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r w:rsidRPr="00B05CDE">
        <w:rPr>
          <w:rFonts w:cs="Arial"/>
          <w:b/>
          <w:sz w:val="40"/>
          <w:szCs w:val="40"/>
        </w:rPr>
        <w:t xml:space="preserve">Assessment </w:t>
      </w:r>
      <w:bookmarkStart w:id="0" w:name="_GoBack"/>
      <w:r w:rsidRPr="00B05CDE">
        <w:rPr>
          <w:rFonts w:cs="Arial"/>
          <w:b/>
          <w:sz w:val="40"/>
          <w:szCs w:val="40"/>
        </w:rPr>
        <w:t>of the</w:t>
      </w:r>
      <w:bookmarkEnd w:id="0"/>
    </w:p>
    <w:p w14:paraId="7CB94214" w14:textId="2762875A" w:rsidR="00B6012C" w:rsidRPr="00B05CDE" w:rsidRDefault="00DA34F5" w:rsidP="00381C3D">
      <w:pPr>
        <w:pStyle w:val="Heading6"/>
        <w:spacing w:before="120" w:after="120"/>
        <w:jc w:val="center"/>
        <w:rPr>
          <w:rFonts w:ascii="Arial" w:hAnsi="Arial" w:cs="Arial"/>
          <w:i/>
          <w:sz w:val="40"/>
          <w:szCs w:val="40"/>
        </w:rPr>
      </w:pPr>
      <w:r w:rsidRPr="0072610E">
        <w:rPr>
          <w:rFonts w:ascii="Arial" w:hAnsi="Arial" w:cs="Arial"/>
          <w:sz w:val="40"/>
          <w:szCs w:val="40"/>
        </w:rPr>
        <w:t>TASMANIAN GIANT CRAB FISHERY</w:t>
      </w:r>
    </w:p>
    <w:p w14:paraId="6A28F6C5" w14:textId="77777777" w:rsidR="00B6012C" w:rsidRPr="00B05CDE" w:rsidRDefault="00B6012C" w:rsidP="00381C3D">
      <w:pPr>
        <w:tabs>
          <w:tab w:val="left" w:pos="6700"/>
        </w:tabs>
        <w:jc w:val="center"/>
        <w:outlineLvl w:val="5"/>
        <w:rPr>
          <w:rFonts w:cs="Arial"/>
          <w:sz w:val="40"/>
          <w:szCs w:val="40"/>
        </w:rPr>
      </w:pPr>
    </w:p>
    <w:p w14:paraId="428EB6A6" w14:textId="77777777" w:rsidR="004E73F1" w:rsidRDefault="004E73F1" w:rsidP="00381C3D">
      <w:pPr>
        <w:tabs>
          <w:tab w:val="left" w:pos="6700"/>
        </w:tabs>
        <w:jc w:val="center"/>
        <w:outlineLvl w:val="5"/>
        <w:rPr>
          <w:rFonts w:cs="Arial"/>
          <w:sz w:val="40"/>
          <w:szCs w:val="40"/>
        </w:rPr>
      </w:pPr>
    </w:p>
    <w:p w14:paraId="08219F9F" w14:textId="77777777" w:rsidR="004E73F1" w:rsidRPr="00B05CDE" w:rsidRDefault="004E73F1" w:rsidP="00381C3D">
      <w:pPr>
        <w:tabs>
          <w:tab w:val="left" w:pos="6700"/>
        </w:tabs>
        <w:jc w:val="center"/>
        <w:outlineLvl w:val="5"/>
        <w:rPr>
          <w:rFonts w:cs="Arial"/>
          <w:sz w:val="40"/>
          <w:szCs w:val="40"/>
        </w:rPr>
      </w:pPr>
    </w:p>
    <w:p w14:paraId="27A49334" w14:textId="77777777" w:rsidR="00D45203" w:rsidRDefault="00D45203" w:rsidP="00381C3D">
      <w:pPr>
        <w:tabs>
          <w:tab w:val="left" w:pos="6700"/>
        </w:tabs>
        <w:jc w:val="center"/>
        <w:outlineLvl w:val="5"/>
        <w:rPr>
          <w:rFonts w:cs="Arial"/>
          <w:b/>
          <w:sz w:val="32"/>
          <w:szCs w:val="32"/>
        </w:rPr>
      </w:pPr>
    </w:p>
    <w:p w14:paraId="09582250" w14:textId="77777777" w:rsidR="00B6012C" w:rsidRDefault="00B6012C" w:rsidP="00381C3D">
      <w:pPr>
        <w:tabs>
          <w:tab w:val="left" w:pos="6700"/>
        </w:tabs>
        <w:jc w:val="center"/>
        <w:outlineLvl w:val="5"/>
        <w:rPr>
          <w:rFonts w:cs="Arial"/>
          <w:b/>
        </w:rPr>
      </w:pPr>
    </w:p>
    <w:p w14:paraId="482ED4BD" w14:textId="77777777" w:rsidR="00D45203" w:rsidRPr="00F6308F" w:rsidRDefault="00D45203" w:rsidP="00381C3D">
      <w:pPr>
        <w:tabs>
          <w:tab w:val="left" w:pos="6700"/>
        </w:tabs>
        <w:jc w:val="center"/>
        <w:outlineLvl w:val="5"/>
        <w:rPr>
          <w:rFonts w:cs="Arial"/>
          <w:b/>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7F673462" w:rsidR="00B6012C" w:rsidRPr="00F6308F" w:rsidRDefault="00983951" w:rsidP="00381C3D">
      <w:pPr>
        <w:pStyle w:val="Heading7"/>
        <w:keepNext w:val="0"/>
        <w:autoSpaceDE/>
        <w:autoSpaceDN/>
        <w:spacing w:after="120"/>
        <w:rPr>
          <w:rFonts w:ascii="Arial" w:hAnsi="Arial" w:cs="Arial"/>
          <w:lang w:val="en-AU"/>
        </w:rPr>
      </w:pPr>
      <w:r w:rsidRPr="0072610E">
        <w:rPr>
          <w:rFonts w:ascii="Arial" w:hAnsi="Arial" w:cs="Arial"/>
          <w:lang w:val="en-AU"/>
        </w:rPr>
        <w:t>DECEMBER</w:t>
      </w:r>
      <w:r w:rsidR="00FF4282" w:rsidRPr="0072610E">
        <w:rPr>
          <w:rFonts w:ascii="Arial" w:hAnsi="Arial" w:cs="Arial"/>
          <w:lang w:val="en-AU"/>
        </w:rPr>
        <w:t xml:space="preserve"> </w:t>
      </w:r>
      <w:r w:rsidR="00375DF7" w:rsidRPr="0071537C">
        <w:rPr>
          <w:rFonts w:ascii="Arial" w:hAnsi="Arial" w:cs="Arial"/>
          <w:lang w:val="en-AU"/>
        </w:rPr>
        <w:t>2019</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793E898A"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A34F5" w:rsidRPr="0072610E">
        <w:rPr>
          <w:rFonts w:ascii="Arial" w:hAnsi="Arial" w:cs="Arial"/>
          <w:sz w:val="16"/>
          <w:szCs w:val="16"/>
        </w:rPr>
        <w:t>2019</w:t>
      </w:r>
      <w:r w:rsidRPr="000A2AF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E98A22B" w:rsidR="00C743A7" w:rsidRPr="00983951" w:rsidRDefault="00C743A7" w:rsidP="00381C3D">
      <w:pPr>
        <w:pStyle w:val="NormalWeb"/>
        <w:spacing w:before="120" w:beforeAutospacing="0" w:after="120" w:afterAutospacing="0"/>
        <w:rPr>
          <w:rFonts w:ascii="Arial" w:hAnsi="Arial" w:cs="Arial"/>
          <w:sz w:val="16"/>
          <w:szCs w:val="16"/>
        </w:rPr>
      </w:pPr>
      <w:r w:rsidRPr="0071537C">
        <w:rPr>
          <w:rFonts w:ascii="Arial" w:hAnsi="Arial" w:cs="Arial"/>
          <w:i/>
          <w:sz w:val="16"/>
          <w:szCs w:val="16"/>
        </w:rPr>
        <w:t xml:space="preserve">Assessment of the </w:t>
      </w:r>
      <w:r w:rsidR="00DA34F5" w:rsidRPr="0071537C">
        <w:rPr>
          <w:rFonts w:ascii="Arial" w:hAnsi="Arial" w:cs="Arial"/>
          <w:i/>
          <w:sz w:val="16"/>
          <w:szCs w:val="16"/>
        </w:rPr>
        <w:t>Tasmanian Giant Crab</w:t>
      </w:r>
      <w:r w:rsidR="00056E19" w:rsidRPr="0071537C">
        <w:rPr>
          <w:rFonts w:ascii="Arial" w:hAnsi="Arial" w:cs="Arial"/>
          <w:i/>
          <w:sz w:val="16"/>
          <w:szCs w:val="16"/>
        </w:rPr>
        <w:t xml:space="preserve"> </w:t>
      </w:r>
      <w:r w:rsidRPr="0071537C">
        <w:rPr>
          <w:rFonts w:ascii="Arial" w:hAnsi="Arial" w:cs="Arial"/>
          <w:i/>
          <w:sz w:val="16"/>
          <w:szCs w:val="16"/>
        </w:rPr>
        <w:t xml:space="preserve">Fishery </w:t>
      </w:r>
      <w:r w:rsidR="00983951" w:rsidRPr="00983951">
        <w:rPr>
          <w:rFonts w:ascii="Arial" w:hAnsi="Arial" w:cs="Arial"/>
          <w:i/>
          <w:sz w:val="16"/>
          <w:szCs w:val="16"/>
        </w:rPr>
        <w:t>December</w:t>
      </w:r>
      <w:r w:rsidR="00971EF4" w:rsidRPr="0072610E">
        <w:rPr>
          <w:rFonts w:ascii="Arial" w:hAnsi="Arial" w:cs="Arial"/>
          <w:i/>
          <w:color w:val="FF0000"/>
          <w:sz w:val="16"/>
          <w:szCs w:val="16"/>
        </w:rPr>
        <w:t xml:space="preserve"> </w:t>
      </w:r>
      <w:r w:rsidR="00DA34F5" w:rsidRPr="0072610E">
        <w:rPr>
          <w:rFonts w:ascii="Arial" w:hAnsi="Arial" w:cs="Arial"/>
          <w:i/>
          <w:sz w:val="16"/>
          <w:szCs w:val="16"/>
        </w:rPr>
        <w:t>2019</w:t>
      </w:r>
      <w:r w:rsidR="00056E19" w:rsidRPr="0072610E">
        <w:rPr>
          <w:rFonts w:ascii="Arial" w:hAnsi="Arial" w:cs="Arial"/>
          <w:i/>
          <w:sz w:val="16"/>
          <w:szCs w:val="16"/>
        </w:rPr>
        <w:t xml:space="preserve"> </w:t>
      </w:r>
      <w:r w:rsidRPr="00983951">
        <w:rPr>
          <w:rFonts w:ascii="Arial" w:hAnsi="Arial" w:cs="Arial"/>
          <w:sz w:val="16"/>
          <w:szCs w:val="16"/>
        </w:rPr>
        <w:t xml:space="preserve">is licensed by the Commonwealth of Australia for use under a Creative Commons By Attribution 3.0 Australia </w:t>
      </w:r>
      <w:proofErr w:type="spellStart"/>
      <w:r w:rsidRPr="00983951">
        <w:rPr>
          <w:rFonts w:ascii="Arial" w:hAnsi="Arial" w:cs="Arial"/>
          <w:sz w:val="16"/>
          <w:szCs w:val="16"/>
        </w:rPr>
        <w:t>licence</w:t>
      </w:r>
      <w:proofErr w:type="spellEnd"/>
      <w:r w:rsidRPr="00983951">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83951">
        <w:rPr>
          <w:rFonts w:ascii="Arial" w:hAnsi="Arial" w:cs="Arial"/>
          <w:sz w:val="16"/>
          <w:szCs w:val="16"/>
        </w:rPr>
        <w:t>licence</w:t>
      </w:r>
      <w:proofErr w:type="spellEnd"/>
      <w:r w:rsidRPr="00983951">
        <w:rPr>
          <w:rFonts w:ascii="Arial" w:hAnsi="Arial" w:cs="Arial"/>
          <w:sz w:val="16"/>
          <w:szCs w:val="16"/>
        </w:rPr>
        <w:t xml:space="preserve"> conditions see: http://creativecommons.org/licenses/by/3.0/au/.</w:t>
      </w:r>
    </w:p>
    <w:p w14:paraId="6F619313" w14:textId="5D24E60B" w:rsidR="00C743A7" w:rsidRPr="00480A40" w:rsidRDefault="00C743A7" w:rsidP="00381C3D">
      <w:pPr>
        <w:pStyle w:val="NormalWeb"/>
        <w:spacing w:before="120" w:beforeAutospacing="0" w:after="120" w:afterAutospacing="0"/>
        <w:rPr>
          <w:rFonts w:ascii="Arial" w:hAnsi="Arial" w:cs="Arial"/>
          <w:sz w:val="16"/>
          <w:szCs w:val="16"/>
        </w:rPr>
      </w:pPr>
      <w:r w:rsidRPr="00983951">
        <w:rPr>
          <w:rFonts w:ascii="Arial" w:hAnsi="Arial" w:cs="Arial"/>
          <w:sz w:val="16"/>
          <w:szCs w:val="16"/>
        </w:rPr>
        <w:t>This report should be attributed as ‘</w:t>
      </w:r>
      <w:r w:rsidRPr="00983951">
        <w:rPr>
          <w:rFonts w:ascii="Arial" w:hAnsi="Arial" w:cs="Arial"/>
          <w:i/>
          <w:sz w:val="16"/>
          <w:szCs w:val="16"/>
        </w:rPr>
        <w:t xml:space="preserve">Assessment of the </w:t>
      </w:r>
      <w:r w:rsidR="00DA34F5" w:rsidRPr="00983951">
        <w:rPr>
          <w:rFonts w:ascii="Arial" w:hAnsi="Arial" w:cs="Arial"/>
          <w:i/>
          <w:sz w:val="16"/>
          <w:szCs w:val="16"/>
        </w:rPr>
        <w:t xml:space="preserve">Tasmanian Giant Crab </w:t>
      </w:r>
      <w:r w:rsidRPr="00983951">
        <w:rPr>
          <w:rFonts w:ascii="Arial" w:hAnsi="Arial" w:cs="Arial"/>
          <w:i/>
          <w:sz w:val="16"/>
          <w:szCs w:val="16"/>
        </w:rPr>
        <w:t xml:space="preserve">Fishery </w:t>
      </w:r>
      <w:r w:rsidR="00983951" w:rsidRPr="0072610E">
        <w:rPr>
          <w:rFonts w:ascii="Arial" w:hAnsi="Arial" w:cs="Arial"/>
          <w:i/>
          <w:color w:val="000000" w:themeColor="text1"/>
          <w:sz w:val="16"/>
          <w:szCs w:val="16"/>
        </w:rPr>
        <w:t>December</w:t>
      </w:r>
      <w:r w:rsidR="00DA34F5" w:rsidRPr="0072610E">
        <w:rPr>
          <w:rFonts w:ascii="Arial" w:hAnsi="Arial" w:cs="Arial"/>
          <w:i/>
          <w:color w:val="000000" w:themeColor="text1"/>
          <w:sz w:val="16"/>
          <w:szCs w:val="16"/>
        </w:rPr>
        <w:t xml:space="preserve"> 2019</w:t>
      </w:r>
      <w:r w:rsidRPr="00983951">
        <w:rPr>
          <w:rFonts w:ascii="Arial" w:hAnsi="Arial" w:cs="Arial"/>
          <w:sz w:val="16"/>
          <w:szCs w:val="16"/>
        </w:rPr>
        <w:t>, Commonwealth</w:t>
      </w:r>
      <w:r w:rsidRPr="00480A40">
        <w:rPr>
          <w:rFonts w:ascii="Arial" w:hAnsi="Arial" w:cs="Arial"/>
          <w:sz w:val="16"/>
          <w:szCs w:val="16"/>
        </w:rPr>
        <w:t xml:space="preserve"> of Australia </w:t>
      </w:r>
      <w:r w:rsidR="00DA34F5" w:rsidRPr="0072610E">
        <w:rPr>
          <w:rFonts w:ascii="Arial" w:hAnsi="Arial" w:cs="Arial"/>
          <w:sz w:val="16"/>
          <w:szCs w:val="16"/>
        </w:rPr>
        <w:t>2019</w:t>
      </w:r>
      <w:r w:rsidRPr="000A2AF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71537C">
        <w:rPr>
          <w:rFonts w:ascii="Arial" w:hAnsi="Arial" w:cs="Arial"/>
          <w:sz w:val="16"/>
          <w:szCs w:val="16"/>
          <w:lang w:val="en-AU"/>
        </w:rPr>
        <w:t>Department of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w:t>
      </w:r>
      <w:r w:rsidRPr="00E15A30">
        <w:rPr>
          <w:rFonts w:ascii="Arial" w:hAnsi="Arial" w:cs="Arial"/>
          <w:sz w:val="16"/>
          <w:szCs w:val="16"/>
          <w:lang w:val="en-AU"/>
        </w:rPr>
        <w:t xml:space="preserve">provided to the </w:t>
      </w:r>
      <w:r w:rsidRPr="0071537C">
        <w:rPr>
          <w:rFonts w:ascii="Arial" w:hAnsi="Arial" w:cs="Arial"/>
          <w:sz w:val="16"/>
          <w:szCs w:val="16"/>
          <w:lang w:val="en-AU"/>
        </w:rPr>
        <w:t>Minister for the Environment</w:t>
      </w:r>
      <w:r w:rsidRPr="00E15A30">
        <w:rPr>
          <w:rFonts w:ascii="Arial" w:hAnsi="Arial" w:cs="Arial"/>
          <w:sz w:val="16"/>
          <w:szCs w:val="16"/>
          <w:lang w:val="en-AU"/>
        </w:rPr>
        <w:t xml:space="preserve"> on the fishery in relation to decisions under </w:t>
      </w:r>
      <w:r w:rsidRPr="00A57B02">
        <w:rPr>
          <w:rFonts w:ascii="Arial" w:hAnsi="Arial" w:cs="Arial"/>
          <w:sz w:val="16"/>
          <w:szCs w:val="16"/>
          <w:lang w:val="en-AU"/>
        </w:rPr>
        <w:t xml:space="preserve">Parts 13 and 13A of the </w:t>
      </w:r>
      <w:r w:rsidRPr="00A57B02">
        <w:rPr>
          <w:rFonts w:ascii="Arial" w:hAnsi="Arial" w:cs="Arial"/>
          <w:i/>
          <w:sz w:val="16"/>
          <w:szCs w:val="16"/>
          <w:lang w:val="en-AU"/>
        </w:rPr>
        <w:t>Environment Protection and Biodiversity Conservation Act 1999</w:t>
      </w:r>
      <w:r w:rsidRPr="00A57B02">
        <w:rPr>
          <w:rFonts w:ascii="Arial" w:hAnsi="Arial" w:cs="Arial"/>
          <w:sz w:val="16"/>
          <w:szCs w:val="16"/>
          <w:lang w:val="en-AU"/>
        </w:rPr>
        <w:t xml:space="preserve">. The views expressed do not necessarily reflect those of the </w:t>
      </w:r>
      <w:r w:rsidRPr="0071537C">
        <w:rPr>
          <w:rFonts w:ascii="Arial" w:hAnsi="Arial" w:cs="Arial"/>
          <w:sz w:val="16"/>
          <w:szCs w:val="16"/>
          <w:lang w:val="en-AU"/>
        </w:rPr>
        <w:t>Minister for the Environment</w:t>
      </w:r>
      <w:r w:rsidRPr="00E15A30">
        <w:rPr>
          <w:rFonts w:ascii="Arial" w:hAnsi="Arial" w:cs="Arial"/>
          <w:sz w:val="16"/>
          <w:szCs w:val="16"/>
          <w:lang w:val="en-AU"/>
        </w:rPr>
        <w:t xml:space="preserve"> 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b w:val="0"/>
          <w:bCs w:val="0"/>
          <w:sz w:val="22"/>
          <w:szCs w:val="22"/>
          <w:lang w:val="en-AU"/>
        </w:rPr>
        <w:id w:val="992149566"/>
        <w:docPartObj>
          <w:docPartGallery w:val="Table of Contents"/>
          <w:docPartUnique/>
        </w:docPartObj>
      </w:sdtPr>
      <w:sdtEndPr>
        <w:rPr>
          <w:rFonts w:cs="Arial"/>
          <w:noProof/>
        </w:rPr>
      </w:sdtEndPr>
      <w:sdtContent>
        <w:p w14:paraId="59CFA3CA" w14:textId="77777777" w:rsidR="00134108" w:rsidRPr="0071537C" w:rsidRDefault="00134108" w:rsidP="00B05CDE">
          <w:pPr>
            <w:pStyle w:val="TOCHeading"/>
            <w:rPr>
              <w:rFonts w:ascii="Arial" w:hAnsi="Arial" w:cs="Arial"/>
              <w:sz w:val="24"/>
              <w:szCs w:val="24"/>
            </w:rPr>
          </w:pPr>
          <w:r w:rsidRPr="0071537C">
            <w:rPr>
              <w:rFonts w:ascii="Arial" w:hAnsi="Arial" w:cs="Arial"/>
              <w:sz w:val="24"/>
              <w:szCs w:val="24"/>
            </w:rPr>
            <w:t>CONTENTS</w:t>
          </w:r>
        </w:p>
        <w:p w14:paraId="0DCB5FF7" w14:textId="77777777" w:rsidR="00134108" w:rsidRDefault="00134108" w:rsidP="0071537C">
          <w:pPr>
            <w:pStyle w:val="TOC1"/>
          </w:pPr>
        </w:p>
        <w:p w14:paraId="76BE49DB" w14:textId="6209D25D" w:rsidR="001527D3" w:rsidRDefault="00134108">
          <w:pPr>
            <w:pStyle w:val="TOC1"/>
            <w:rPr>
              <w:rFonts w:asciiTheme="minorHAnsi" w:eastAsiaTheme="minorEastAsia" w:hAnsiTheme="minorHAnsi" w:cstheme="minorBidi"/>
              <w:sz w:val="22"/>
              <w:szCs w:val="22"/>
            </w:rPr>
          </w:pPr>
          <w:r w:rsidRPr="00893305">
            <w:rPr>
              <w:b/>
            </w:rPr>
            <w:fldChar w:fldCharType="begin"/>
          </w:r>
          <w:r w:rsidRPr="00893305">
            <w:rPr>
              <w:b/>
            </w:rPr>
            <w:instrText xml:space="preserve"> TOC \o "1-3" \h \z \u </w:instrText>
          </w:r>
          <w:r w:rsidRPr="00893305">
            <w:rPr>
              <w:b/>
            </w:rPr>
            <w:fldChar w:fldCharType="separate"/>
          </w:r>
          <w:hyperlink w:anchor="_Toc25824099" w:history="1">
            <w:r w:rsidR="001527D3" w:rsidRPr="000433B4">
              <w:rPr>
                <w:rStyle w:val="Hyperlink"/>
                <w:rFonts w:ascii="Arial" w:hAnsi="Arial"/>
              </w:rPr>
              <w:t>Executive Summary of t</w:t>
            </w:r>
            <w:r w:rsidR="00B935DB">
              <w:rPr>
                <w:rStyle w:val="Hyperlink"/>
                <w:rFonts w:ascii="Arial" w:hAnsi="Arial"/>
              </w:rPr>
              <w:t>he Assessment of the Tasmanian Giant C</w:t>
            </w:r>
            <w:r w:rsidR="001527D3" w:rsidRPr="000433B4">
              <w:rPr>
                <w:rStyle w:val="Hyperlink"/>
                <w:rFonts w:ascii="Arial" w:hAnsi="Arial"/>
              </w:rPr>
              <w:t>rab Fishery</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_Toc25824099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1</w:t>
            </w:r>
            <w:r w:rsidR="001527D3" w:rsidRPr="0072610E">
              <w:rPr>
                <w:rFonts w:ascii="Arial" w:hAnsi="Arial" w:cs="Arial"/>
                <w:webHidden/>
              </w:rPr>
              <w:fldChar w:fldCharType="end"/>
            </w:r>
          </w:hyperlink>
        </w:p>
        <w:p w14:paraId="7D24429A" w14:textId="4C75A640" w:rsidR="001527D3" w:rsidRDefault="00A23586">
          <w:pPr>
            <w:pStyle w:val="TOC1"/>
            <w:rPr>
              <w:rFonts w:asciiTheme="minorHAnsi" w:eastAsiaTheme="minorEastAsia" w:hAnsiTheme="minorHAnsi" w:cstheme="minorBidi"/>
              <w:sz w:val="22"/>
              <w:szCs w:val="22"/>
            </w:rPr>
          </w:pPr>
          <w:hyperlink w:anchor="_Toc25824100" w:history="1">
            <w:r w:rsidR="001527D3" w:rsidRPr="000433B4">
              <w:rPr>
                <w:rStyle w:val="Hyperlink"/>
                <w:rFonts w:ascii="Arial" w:hAnsi="Arial"/>
              </w:rPr>
              <w:t>Section 1: Asses</w:t>
            </w:r>
            <w:r w:rsidR="00B935DB">
              <w:rPr>
                <w:rStyle w:val="Hyperlink"/>
                <w:rFonts w:ascii="Arial" w:hAnsi="Arial"/>
              </w:rPr>
              <w:t xml:space="preserve">sment Summary </w:t>
            </w:r>
            <w:r w:rsidR="00C7504B">
              <w:rPr>
                <w:rStyle w:val="Hyperlink"/>
                <w:rFonts w:ascii="Arial" w:hAnsi="Arial"/>
              </w:rPr>
              <w:t xml:space="preserve">of </w:t>
            </w:r>
            <w:r w:rsidR="006B791A">
              <w:rPr>
                <w:rStyle w:val="Hyperlink"/>
                <w:rFonts w:ascii="Arial" w:hAnsi="Arial"/>
              </w:rPr>
              <w:t xml:space="preserve">the </w:t>
            </w:r>
            <w:r w:rsidR="00C7504B">
              <w:rPr>
                <w:rStyle w:val="Hyperlink"/>
                <w:rFonts w:ascii="Arial" w:hAnsi="Arial"/>
              </w:rPr>
              <w:t>Fisher</w:t>
            </w:r>
            <w:r w:rsidR="006B791A">
              <w:rPr>
                <w:rStyle w:val="Hyperlink"/>
                <w:rFonts w:ascii="Arial" w:hAnsi="Arial"/>
              </w:rPr>
              <w:t>y</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_Toc25824100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3</w:t>
            </w:r>
            <w:r w:rsidR="001527D3" w:rsidRPr="0072610E">
              <w:rPr>
                <w:rFonts w:ascii="Arial" w:hAnsi="Arial" w:cs="Arial"/>
                <w:webHidden/>
              </w:rPr>
              <w:fldChar w:fldCharType="end"/>
            </w:r>
          </w:hyperlink>
        </w:p>
        <w:p w14:paraId="731C0B73" w14:textId="77777777" w:rsidR="001527D3" w:rsidRPr="0072610E" w:rsidRDefault="00A23586" w:rsidP="000B43D5">
          <w:pPr>
            <w:pStyle w:val="TOC2"/>
            <w:rPr>
              <w:lang w:val="en-AU" w:eastAsia="en-AU"/>
            </w:rPr>
          </w:pPr>
          <w:hyperlink w:anchor="_Toc25824101" w:history="1">
            <w:r w:rsidR="001527D3" w:rsidRPr="0072610E">
              <w:rPr>
                <w:rStyle w:val="Hyperlink"/>
                <w:sz w:val="24"/>
                <w:szCs w:val="24"/>
              </w:rPr>
              <w:t>Notes:</w:t>
            </w:r>
            <w:r w:rsidR="001527D3" w:rsidRPr="000B43D5">
              <w:rPr>
                <w:webHidden/>
              </w:rPr>
              <w:tab/>
            </w:r>
            <w:r w:rsidR="001527D3" w:rsidRPr="0072610E">
              <w:rPr>
                <w:webHidden/>
              </w:rPr>
              <w:fldChar w:fldCharType="begin"/>
            </w:r>
            <w:r w:rsidR="001527D3" w:rsidRPr="001527D3">
              <w:rPr>
                <w:webHidden/>
              </w:rPr>
              <w:instrText xml:space="preserve"> PAGEREF _Toc25824101 \h </w:instrText>
            </w:r>
            <w:r w:rsidR="001527D3" w:rsidRPr="0072610E">
              <w:rPr>
                <w:webHidden/>
              </w:rPr>
            </w:r>
            <w:r w:rsidR="001527D3" w:rsidRPr="0072610E">
              <w:rPr>
                <w:webHidden/>
              </w:rPr>
              <w:fldChar w:fldCharType="separate"/>
            </w:r>
            <w:r w:rsidR="004D6649">
              <w:rPr>
                <w:webHidden/>
              </w:rPr>
              <w:t>5</w:t>
            </w:r>
            <w:r w:rsidR="001527D3" w:rsidRPr="0072610E">
              <w:rPr>
                <w:webHidden/>
              </w:rPr>
              <w:fldChar w:fldCharType="end"/>
            </w:r>
          </w:hyperlink>
        </w:p>
        <w:p w14:paraId="15F01E36" w14:textId="77777777" w:rsidR="001527D3" w:rsidRDefault="00A23586">
          <w:pPr>
            <w:pStyle w:val="TOC3"/>
            <w:tabs>
              <w:tab w:val="right" w:leader="dot" w:pos="9202"/>
            </w:tabs>
            <w:rPr>
              <w:rFonts w:asciiTheme="minorHAnsi" w:eastAsiaTheme="minorEastAsia" w:hAnsiTheme="minorHAnsi" w:cstheme="minorBidi"/>
              <w:noProof/>
              <w:lang w:eastAsia="en-AU"/>
            </w:rPr>
          </w:pPr>
          <w:hyperlink w:anchor="_Toc25824102" w:history="1">
            <w:r w:rsidR="001527D3" w:rsidRPr="000433B4">
              <w:rPr>
                <w:rStyle w:val="Hyperlink"/>
                <w:noProof/>
              </w:rPr>
              <w:t>Assessment history:</w:t>
            </w:r>
            <w:r w:rsidR="001527D3">
              <w:rPr>
                <w:noProof/>
                <w:webHidden/>
              </w:rPr>
              <w:tab/>
            </w:r>
            <w:r w:rsidR="001527D3">
              <w:rPr>
                <w:noProof/>
                <w:webHidden/>
              </w:rPr>
              <w:fldChar w:fldCharType="begin"/>
            </w:r>
            <w:r w:rsidR="001527D3">
              <w:rPr>
                <w:noProof/>
                <w:webHidden/>
              </w:rPr>
              <w:instrText xml:space="preserve"> PAGEREF _Toc25824102 \h </w:instrText>
            </w:r>
            <w:r w:rsidR="001527D3">
              <w:rPr>
                <w:noProof/>
                <w:webHidden/>
              </w:rPr>
            </w:r>
            <w:r w:rsidR="001527D3">
              <w:rPr>
                <w:noProof/>
                <w:webHidden/>
              </w:rPr>
              <w:fldChar w:fldCharType="separate"/>
            </w:r>
            <w:r w:rsidR="004D6649">
              <w:rPr>
                <w:noProof/>
                <w:webHidden/>
              </w:rPr>
              <w:t>5</w:t>
            </w:r>
            <w:r w:rsidR="001527D3">
              <w:rPr>
                <w:noProof/>
                <w:webHidden/>
              </w:rPr>
              <w:fldChar w:fldCharType="end"/>
            </w:r>
          </w:hyperlink>
        </w:p>
        <w:p w14:paraId="37C3B298" w14:textId="77777777" w:rsidR="001527D3" w:rsidRDefault="00A23586">
          <w:pPr>
            <w:pStyle w:val="TOC3"/>
            <w:tabs>
              <w:tab w:val="right" w:leader="dot" w:pos="9202"/>
            </w:tabs>
            <w:rPr>
              <w:rFonts w:asciiTheme="minorHAnsi" w:eastAsiaTheme="minorEastAsia" w:hAnsiTheme="minorHAnsi" w:cstheme="minorBidi"/>
              <w:noProof/>
              <w:lang w:eastAsia="en-AU"/>
            </w:rPr>
          </w:pPr>
          <w:hyperlink w:anchor="_Toc25824103" w:history="1">
            <w:r w:rsidR="001527D3" w:rsidRPr="000433B4">
              <w:rPr>
                <w:rStyle w:val="Hyperlink"/>
                <w:noProof/>
              </w:rPr>
              <w:t>Fishery reporting:</w:t>
            </w:r>
            <w:r w:rsidR="001527D3">
              <w:rPr>
                <w:noProof/>
                <w:webHidden/>
              </w:rPr>
              <w:tab/>
            </w:r>
            <w:r w:rsidR="001527D3">
              <w:rPr>
                <w:noProof/>
                <w:webHidden/>
              </w:rPr>
              <w:fldChar w:fldCharType="begin"/>
            </w:r>
            <w:r w:rsidR="001527D3">
              <w:rPr>
                <w:noProof/>
                <w:webHidden/>
              </w:rPr>
              <w:instrText xml:space="preserve"> PAGEREF _Toc25824103 \h </w:instrText>
            </w:r>
            <w:r w:rsidR="001527D3">
              <w:rPr>
                <w:noProof/>
                <w:webHidden/>
              </w:rPr>
            </w:r>
            <w:r w:rsidR="001527D3">
              <w:rPr>
                <w:noProof/>
                <w:webHidden/>
              </w:rPr>
              <w:fldChar w:fldCharType="separate"/>
            </w:r>
            <w:r w:rsidR="004D6649">
              <w:rPr>
                <w:noProof/>
                <w:webHidden/>
              </w:rPr>
              <w:t>5</w:t>
            </w:r>
            <w:r w:rsidR="001527D3">
              <w:rPr>
                <w:noProof/>
                <w:webHidden/>
              </w:rPr>
              <w:fldChar w:fldCharType="end"/>
            </w:r>
          </w:hyperlink>
        </w:p>
        <w:p w14:paraId="69A734CD" w14:textId="77777777" w:rsidR="001527D3" w:rsidRDefault="00A23586">
          <w:pPr>
            <w:pStyle w:val="TOC3"/>
            <w:tabs>
              <w:tab w:val="right" w:leader="dot" w:pos="9202"/>
            </w:tabs>
            <w:rPr>
              <w:rFonts w:asciiTheme="minorHAnsi" w:eastAsiaTheme="minorEastAsia" w:hAnsiTheme="minorHAnsi" w:cstheme="minorBidi"/>
              <w:noProof/>
              <w:lang w:eastAsia="en-AU"/>
            </w:rPr>
          </w:pPr>
          <w:hyperlink w:anchor="_Toc25824104" w:history="1">
            <w:r w:rsidR="001527D3" w:rsidRPr="000433B4">
              <w:rPr>
                <w:rStyle w:val="Hyperlink"/>
                <w:noProof/>
              </w:rPr>
              <w:t>Key links:</w:t>
            </w:r>
            <w:r w:rsidR="001527D3">
              <w:rPr>
                <w:noProof/>
                <w:webHidden/>
              </w:rPr>
              <w:tab/>
            </w:r>
            <w:r w:rsidR="001527D3">
              <w:rPr>
                <w:noProof/>
                <w:webHidden/>
              </w:rPr>
              <w:fldChar w:fldCharType="begin"/>
            </w:r>
            <w:r w:rsidR="001527D3">
              <w:rPr>
                <w:noProof/>
                <w:webHidden/>
              </w:rPr>
              <w:instrText xml:space="preserve"> PAGEREF _Toc25824104 \h </w:instrText>
            </w:r>
            <w:r w:rsidR="001527D3">
              <w:rPr>
                <w:noProof/>
                <w:webHidden/>
              </w:rPr>
            </w:r>
            <w:r w:rsidR="001527D3">
              <w:rPr>
                <w:noProof/>
                <w:webHidden/>
              </w:rPr>
              <w:fldChar w:fldCharType="separate"/>
            </w:r>
            <w:r w:rsidR="004D6649">
              <w:rPr>
                <w:noProof/>
                <w:webHidden/>
              </w:rPr>
              <w:t>5</w:t>
            </w:r>
            <w:r w:rsidR="001527D3">
              <w:rPr>
                <w:noProof/>
                <w:webHidden/>
              </w:rPr>
              <w:fldChar w:fldCharType="end"/>
            </w:r>
          </w:hyperlink>
        </w:p>
        <w:p w14:paraId="4EA19688" w14:textId="7A483D2D" w:rsidR="001527D3" w:rsidRDefault="00A23586">
          <w:pPr>
            <w:pStyle w:val="TOC1"/>
            <w:rPr>
              <w:rFonts w:asciiTheme="minorHAnsi" w:eastAsiaTheme="minorEastAsia" w:hAnsiTheme="minorHAnsi" w:cstheme="minorBidi"/>
              <w:sz w:val="22"/>
              <w:szCs w:val="22"/>
            </w:rPr>
          </w:pPr>
          <w:hyperlink w:anchor="_Toc25824105" w:history="1">
            <w:r w:rsidR="001527D3" w:rsidRPr="000433B4">
              <w:rPr>
                <w:rStyle w:val="Hyperlink"/>
                <w:rFonts w:ascii="Arial" w:hAnsi="Arial"/>
              </w:rPr>
              <w:t>Secti</w:t>
            </w:r>
            <w:r w:rsidR="00486475">
              <w:rPr>
                <w:rStyle w:val="Hyperlink"/>
                <w:rFonts w:ascii="Arial" w:hAnsi="Arial"/>
              </w:rPr>
              <w:t>on 2: Detailed Analysis of the Fishery a</w:t>
            </w:r>
            <w:r w:rsidR="001527D3" w:rsidRPr="000433B4">
              <w:rPr>
                <w:rStyle w:val="Hyperlink"/>
                <w:rFonts w:ascii="Arial" w:hAnsi="Arial"/>
              </w:rPr>
              <w:t>gainst the Guidelines for the Ecologically Sustainable Management of Fisheries (2nd Edition)</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_Toc25824105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7</w:t>
            </w:r>
            <w:r w:rsidR="001527D3" w:rsidRPr="0072610E">
              <w:rPr>
                <w:rFonts w:ascii="Arial" w:hAnsi="Arial" w:cs="Arial"/>
                <w:webHidden/>
              </w:rPr>
              <w:fldChar w:fldCharType="end"/>
            </w:r>
          </w:hyperlink>
        </w:p>
        <w:p w14:paraId="2818B520" w14:textId="37FB5826" w:rsidR="001527D3" w:rsidRDefault="00A23586">
          <w:pPr>
            <w:pStyle w:val="TOC1"/>
            <w:rPr>
              <w:rFonts w:asciiTheme="minorHAnsi" w:eastAsiaTheme="minorEastAsia" w:hAnsiTheme="minorHAnsi" w:cstheme="minorBidi"/>
              <w:sz w:val="22"/>
              <w:szCs w:val="22"/>
            </w:rPr>
          </w:pPr>
          <w:hyperlink w:anchor="_Toc25824106" w:history="1">
            <w:r w:rsidR="001527D3" w:rsidRPr="000433B4">
              <w:rPr>
                <w:rStyle w:val="Hyperlink"/>
                <w:rFonts w:ascii="Arial" w:hAnsi="Arial"/>
              </w:rPr>
              <w:t xml:space="preserve">Section 3: Assessment of the </w:t>
            </w:r>
            <w:r w:rsidR="001527D3">
              <w:rPr>
                <w:rStyle w:val="Hyperlink"/>
                <w:rFonts w:ascii="Arial" w:hAnsi="Arial"/>
              </w:rPr>
              <w:t>Fishery</w:t>
            </w:r>
            <w:r w:rsidR="00486475">
              <w:rPr>
                <w:rStyle w:val="Hyperlink"/>
                <w:rFonts w:ascii="Arial" w:hAnsi="Arial"/>
              </w:rPr>
              <w:t xml:space="preserve"> Against the </w:t>
            </w:r>
            <w:r w:rsidR="00D0755A">
              <w:rPr>
                <w:rStyle w:val="Hyperlink"/>
                <w:rFonts w:ascii="Arial" w:hAnsi="Arial"/>
              </w:rPr>
              <w:t>R</w:t>
            </w:r>
            <w:r w:rsidR="001527D3" w:rsidRPr="000433B4">
              <w:rPr>
                <w:rStyle w:val="Hyperlink"/>
                <w:rFonts w:ascii="Arial" w:hAnsi="Arial"/>
              </w:rPr>
              <w:t>equirements of the EPBC Act</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_Toc25824106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23</w:t>
            </w:r>
            <w:r w:rsidR="001527D3" w:rsidRPr="0072610E">
              <w:rPr>
                <w:rFonts w:ascii="Arial" w:hAnsi="Arial" w:cs="Arial"/>
                <w:webHidden/>
              </w:rPr>
              <w:fldChar w:fldCharType="end"/>
            </w:r>
          </w:hyperlink>
        </w:p>
        <w:p w14:paraId="51E1C25A" w14:textId="77777777" w:rsidR="001527D3" w:rsidRPr="00C6051C" w:rsidRDefault="00A23586" w:rsidP="000B43D5">
          <w:pPr>
            <w:pStyle w:val="TOC2"/>
            <w:rPr>
              <w:rFonts w:asciiTheme="minorHAnsi" w:hAnsiTheme="minorHAnsi" w:cstheme="minorBidi"/>
              <w:lang w:val="en-AU" w:eastAsia="en-AU"/>
            </w:rPr>
          </w:pPr>
          <w:hyperlink w:anchor="_Toc25824108" w:history="1">
            <w:r w:rsidR="001527D3" w:rsidRPr="000B43D5">
              <w:rPr>
                <w:rStyle w:val="Hyperlink"/>
              </w:rPr>
              <w:t>Part 13 – Species and communities</w:t>
            </w:r>
            <w:r w:rsidR="001527D3" w:rsidRPr="000B43D5">
              <w:rPr>
                <w:webHidden/>
              </w:rPr>
              <w:tab/>
            </w:r>
            <w:r w:rsidR="001527D3" w:rsidRPr="0072610E">
              <w:rPr>
                <w:webHidden/>
              </w:rPr>
              <w:fldChar w:fldCharType="begin"/>
            </w:r>
            <w:r w:rsidR="001527D3" w:rsidRPr="00C6051C">
              <w:rPr>
                <w:webHidden/>
              </w:rPr>
              <w:instrText xml:space="preserve"> PAGEREF _Toc25824108 \h </w:instrText>
            </w:r>
            <w:r w:rsidR="001527D3" w:rsidRPr="0072610E">
              <w:rPr>
                <w:webHidden/>
              </w:rPr>
            </w:r>
            <w:r w:rsidR="001527D3" w:rsidRPr="0072610E">
              <w:rPr>
                <w:webHidden/>
              </w:rPr>
              <w:fldChar w:fldCharType="separate"/>
            </w:r>
            <w:r w:rsidR="004D6649">
              <w:rPr>
                <w:webHidden/>
              </w:rPr>
              <w:t>23</w:t>
            </w:r>
            <w:r w:rsidR="001527D3" w:rsidRPr="0072610E">
              <w:rPr>
                <w:webHidden/>
              </w:rPr>
              <w:fldChar w:fldCharType="end"/>
            </w:r>
          </w:hyperlink>
        </w:p>
        <w:p w14:paraId="5CE9D6AD" w14:textId="77777777" w:rsidR="001527D3" w:rsidRDefault="00A23586" w:rsidP="00F32842">
          <w:pPr>
            <w:pStyle w:val="TOC2"/>
            <w:rPr>
              <w:rFonts w:asciiTheme="minorHAnsi" w:hAnsiTheme="minorHAnsi" w:cstheme="minorBidi"/>
              <w:lang w:val="en-AU" w:eastAsia="en-AU"/>
            </w:rPr>
          </w:pPr>
          <w:hyperlink w:anchor="_Toc25824109" w:history="1">
            <w:r w:rsidR="001527D3" w:rsidRPr="000433B4">
              <w:rPr>
                <w:rStyle w:val="Hyperlink"/>
              </w:rPr>
              <w:t>Part 13A – International movement of wildlife specimens</w:t>
            </w:r>
            <w:r w:rsidR="001527D3">
              <w:rPr>
                <w:webHidden/>
              </w:rPr>
              <w:tab/>
            </w:r>
            <w:r w:rsidR="001527D3">
              <w:rPr>
                <w:webHidden/>
              </w:rPr>
              <w:fldChar w:fldCharType="begin"/>
            </w:r>
            <w:r w:rsidR="001527D3">
              <w:rPr>
                <w:webHidden/>
              </w:rPr>
              <w:instrText xml:space="preserve"> PAGEREF _Toc25824109 \h </w:instrText>
            </w:r>
            <w:r w:rsidR="001527D3">
              <w:rPr>
                <w:webHidden/>
              </w:rPr>
            </w:r>
            <w:r w:rsidR="001527D3">
              <w:rPr>
                <w:webHidden/>
              </w:rPr>
              <w:fldChar w:fldCharType="separate"/>
            </w:r>
            <w:r w:rsidR="004D6649">
              <w:rPr>
                <w:webHidden/>
              </w:rPr>
              <w:t>27</w:t>
            </w:r>
            <w:r w:rsidR="001527D3">
              <w:rPr>
                <w:webHidden/>
              </w:rPr>
              <w:fldChar w:fldCharType="end"/>
            </w:r>
          </w:hyperlink>
        </w:p>
        <w:p w14:paraId="11DD9ED7" w14:textId="77777777" w:rsidR="001527D3" w:rsidRDefault="00A23586" w:rsidP="008201A1">
          <w:pPr>
            <w:pStyle w:val="TOC2"/>
            <w:rPr>
              <w:rFonts w:asciiTheme="minorHAnsi" w:hAnsiTheme="minorHAnsi" w:cstheme="minorBidi"/>
              <w:lang w:val="en-AU" w:eastAsia="en-AU"/>
            </w:rPr>
          </w:pPr>
          <w:hyperlink w:anchor="_Toc25824110" w:history="1">
            <w:r w:rsidR="001527D3" w:rsidRPr="000433B4">
              <w:rPr>
                <w:rStyle w:val="Hyperlink"/>
              </w:rPr>
              <w:t>Part 16 – Precautionary principle and other considerations in making decisions</w:t>
            </w:r>
            <w:r w:rsidR="001527D3">
              <w:rPr>
                <w:webHidden/>
              </w:rPr>
              <w:tab/>
            </w:r>
            <w:r w:rsidR="001527D3">
              <w:rPr>
                <w:webHidden/>
              </w:rPr>
              <w:fldChar w:fldCharType="begin"/>
            </w:r>
            <w:r w:rsidR="001527D3">
              <w:rPr>
                <w:webHidden/>
              </w:rPr>
              <w:instrText xml:space="preserve"> PAGEREF _Toc25824110 \h </w:instrText>
            </w:r>
            <w:r w:rsidR="001527D3">
              <w:rPr>
                <w:webHidden/>
              </w:rPr>
            </w:r>
            <w:r w:rsidR="001527D3">
              <w:rPr>
                <w:webHidden/>
              </w:rPr>
              <w:fldChar w:fldCharType="separate"/>
            </w:r>
            <w:r w:rsidR="004D6649">
              <w:rPr>
                <w:webHidden/>
              </w:rPr>
              <w:t>29</w:t>
            </w:r>
            <w:r w:rsidR="001527D3">
              <w:rPr>
                <w:webHidden/>
              </w:rPr>
              <w:fldChar w:fldCharType="end"/>
            </w:r>
          </w:hyperlink>
        </w:p>
        <w:p w14:paraId="7E235879" w14:textId="10576F75" w:rsidR="001527D3" w:rsidRDefault="00A23586">
          <w:pPr>
            <w:pStyle w:val="TOC1"/>
            <w:rPr>
              <w:rFonts w:asciiTheme="minorHAnsi" w:eastAsiaTheme="minorEastAsia" w:hAnsiTheme="minorHAnsi" w:cstheme="minorBidi"/>
              <w:sz w:val="22"/>
              <w:szCs w:val="22"/>
            </w:rPr>
          </w:pPr>
          <w:hyperlink w:anchor="_Toc25824111" w:history="1">
            <w:r w:rsidR="001527D3">
              <w:rPr>
                <w:rStyle w:val="Hyperlink"/>
                <w:rFonts w:ascii="Arial" w:hAnsi="Arial"/>
              </w:rPr>
              <w:t xml:space="preserve">Section 4: </w:t>
            </w:r>
            <w:r w:rsidR="001527D3" w:rsidRPr="000433B4">
              <w:rPr>
                <w:rStyle w:val="Hyperlink"/>
                <w:rFonts w:ascii="Arial" w:hAnsi="Arial"/>
              </w:rPr>
              <w:t xml:space="preserve">Summary of Issues Requiring </w:t>
            </w:r>
            <w:r w:rsidR="00E44814">
              <w:rPr>
                <w:rStyle w:val="Hyperlink"/>
                <w:rFonts w:ascii="Arial" w:hAnsi="Arial"/>
              </w:rPr>
              <w:t xml:space="preserve">Conditions and </w:t>
            </w:r>
            <w:r w:rsidR="00C6051C">
              <w:rPr>
                <w:rStyle w:val="Hyperlink"/>
                <w:rFonts w:ascii="Arial" w:hAnsi="Arial"/>
              </w:rPr>
              <w:t>Recommendations</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_Toc25824111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30</w:t>
            </w:r>
            <w:r w:rsidR="001527D3" w:rsidRPr="0072610E">
              <w:rPr>
                <w:rFonts w:ascii="Arial" w:hAnsi="Arial" w:cs="Arial"/>
                <w:webHidden/>
              </w:rPr>
              <w:fldChar w:fldCharType="end"/>
            </w:r>
          </w:hyperlink>
        </w:p>
        <w:p w14:paraId="2D0606E7" w14:textId="77777777" w:rsidR="001527D3" w:rsidRDefault="00A23586">
          <w:pPr>
            <w:pStyle w:val="TOC1"/>
            <w:rPr>
              <w:rFonts w:asciiTheme="minorHAnsi" w:eastAsiaTheme="minorEastAsia" w:hAnsiTheme="minorHAnsi" w:cstheme="minorBidi"/>
              <w:sz w:val="22"/>
              <w:szCs w:val="22"/>
            </w:rPr>
          </w:pPr>
          <w:hyperlink w:anchor="_Toc25824112" w:history="1">
            <w:r w:rsidR="001527D3" w:rsidRPr="000433B4">
              <w:rPr>
                <w:rStyle w:val="Hyperlink"/>
                <w:rFonts w:ascii="Arial" w:hAnsi="Arial"/>
              </w:rPr>
              <w:t>References</w:t>
            </w:r>
            <w:r w:rsidR="001527D3">
              <w:rPr>
                <w:webHidden/>
              </w:rPr>
              <w:tab/>
            </w:r>
            <w:r w:rsidR="001527D3" w:rsidRPr="0072610E">
              <w:rPr>
                <w:rFonts w:ascii="Arial" w:hAnsi="Arial" w:cs="Arial"/>
                <w:webHidden/>
              </w:rPr>
              <w:fldChar w:fldCharType="begin"/>
            </w:r>
            <w:r w:rsidR="001527D3" w:rsidRPr="0072610E">
              <w:rPr>
                <w:rFonts w:ascii="Arial" w:hAnsi="Arial" w:cs="Arial"/>
                <w:webHidden/>
              </w:rPr>
              <w:instrText xml:space="preserve"> PAGEREF _Toc25824112 \h </w:instrText>
            </w:r>
            <w:r w:rsidR="001527D3" w:rsidRPr="0072610E">
              <w:rPr>
                <w:rFonts w:ascii="Arial" w:hAnsi="Arial" w:cs="Arial"/>
                <w:webHidden/>
              </w:rPr>
            </w:r>
            <w:r w:rsidR="001527D3" w:rsidRPr="0072610E">
              <w:rPr>
                <w:rFonts w:ascii="Arial" w:hAnsi="Arial" w:cs="Arial"/>
                <w:webHidden/>
              </w:rPr>
              <w:fldChar w:fldCharType="separate"/>
            </w:r>
            <w:r w:rsidR="004D6649">
              <w:rPr>
                <w:rFonts w:ascii="Arial" w:hAnsi="Arial" w:cs="Arial"/>
                <w:webHidden/>
              </w:rPr>
              <w:t>34</w:t>
            </w:r>
            <w:r w:rsidR="001527D3" w:rsidRPr="0072610E">
              <w:rPr>
                <w:rFonts w:ascii="Arial" w:hAnsi="Arial" w:cs="Arial"/>
                <w:webHidden/>
              </w:rPr>
              <w:fldChar w:fldCharType="end"/>
            </w:r>
          </w:hyperlink>
        </w:p>
        <w:p w14:paraId="16AFA717" w14:textId="77777777" w:rsidR="00134108" w:rsidRPr="00893305" w:rsidRDefault="00134108" w:rsidP="00134108">
          <w:pPr>
            <w:rPr>
              <w:rFonts w:cs="Arial"/>
            </w:rPr>
          </w:pPr>
          <w:r w:rsidRPr="00893305">
            <w:rPr>
              <w:rFonts w:cs="Arial"/>
              <w:b/>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1D20D8A4" w:rsidR="00CF1DE5" w:rsidRPr="004F5EA4" w:rsidRDefault="00CF1DE5" w:rsidP="004F5EA4">
      <w:pPr>
        <w:pStyle w:val="Heading1"/>
        <w:jc w:val="center"/>
        <w:rPr>
          <w:rFonts w:ascii="Arial" w:hAnsi="Arial"/>
          <w:sz w:val="32"/>
          <w:szCs w:val="32"/>
        </w:rPr>
      </w:pPr>
      <w:bookmarkStart w:id="1" w:name="_Toc25824099"/>
      <w:r w:rsidRPr="004F5EA4">
        <w:rPr>
          <w:rFonts w:ascii="Arial" w:hAnsi="Arial"/>
          <w:sz w:val="32"/>
          <w:szCs w:val="32"/>
        </w:rPr>
        <w:lastRenderedPageBreak/>
        <w:t xml:space="preserve">Executive Summary </w:t>
      </w:r>
      <w:bookmarkEnd w:id="1"/>
    </w:p>
    <w:p w14:paraId="348BA7B6" w14:textId="44329FE8" w:rsidR="001A34A7" w:rsidRPr="00F32842" w:rsidRDefault="001A34A7" w:rsidP="0072610E">
      <w:pPr>
        <w:tabs>
          <w:tab w:val="left" w:pos="360"/>
        </w:tabs>
        <w:spacing w:before="60" w:after="60" w:line="276" w:lineRule="auto"/>
        <w:rPr>
          <w:rFonts w:cs="Arial"/>
          <w:noProof/>
        </w:rPr>
      </w:pPr>
      <w:r w:rsidRPr="008201A1">
        <w:rPr>
          <w:rFonts w:cs="Arial"/>
          <w:noProof/>
        </w:rPr>
        <w:t xml:space="preserve">On </w:t>
      </w:r>
      <w:r w:rsidR="00874E3F" w:rsidRPr="0072610E">
        <w:rPr>
          <w:rFonts w:cs="Arial"/>
          <w:noProof/>
        </w:rPr>
        <w:t xml:space="preserve">19 </w:t>
      </w:r>
      <w:r w:rsidR="00B34FD2" w:rsidRPr="0072610E">
        <w:rPr>
          <w:rFonts w:cs="Arial"/>
          <w:noProof/>
        </w:rPr>
        <w:t>June</w:t>
      </w:r>
      <w:r w:rsidR="00874E3F" w:rsidRPr="0072610E">
        <w:rPr>
          <w:rFonts w:cs="Arial"/>
          <w:noProof/>
        </w:rPr>
        <w:t xml:space="preserve"> 2019</w:t>
      </w:r>
      <w:r w:rsidRPr="008201A1">
        <w:rPr>
          <w:rFonts w:cs="Arial"/>
          <w:noProof/>
        </w:rPr>
        <w:t xml:space="preserve">, </w:t>
      </w:r>
      <w:r w:rsidR="00874E3F" w:rsidRPr="0072610E">
        <w:rPr>
          <w:rFonts w:cs="Arial"/>
          <w:noProof/>
        </w:rPr>
        <w:t>the Tasmanian Department of Primary Industries, Parks, Water and Environment (DPIPWE)</w:t>
      </w:r>
      <w:r w:rsidR="00874E3F" w:rsidRPr="008201A1">
        <w:rPr>
          <w:rFonts w:cs="Arial"/>
          <w:noProof/>
        </w:rPr>
        <w:t xml:space="preserve"> </w:t>
      </w:r>
      <w:r w:rsidRPr="00F32842">
        <w:rPr>
          <w:rFonts w:cs="Arial"/>
          <w:noProof/>
        </w:rPr>
        <w:t>s</w:t>
      </w:r>
      <w:r w:rsidR="00E3768F" w:rsidRPr="00F32842">
        <w:rPr>
          <w:rFonts w:cs="Arial"/>
          <w:noProof/>
        </w:rPr>
        <w:t>ubmitted an application</w:t>
      </w:r>
      <w:r w:rsidRPr="00F32842">
        <w:rPr>
          <w:rFonts w:cs="Arial"/>
          <w:noProof/>
        </w:rPr>
        <w:t xml:space="preserve"> for </w:t>
      </w:r>
      <w:r w:rsidR="00874E3F" w:rsidRPr="0072610E">
        <w:rPr>
          <w:rFonts w:cs="Arial"/>
          <w:noProof/>
        </w:rPr>
        <w:t>the Tasmanian Giant Grab Fishery</w:t>
      </w:r>
      <w:r w:rsidR="00874E3F" w:rsidRPr="008201A1">
        <w:rPr>
          <w:rFonts w:cs="Arial"/>
          <w:noProof/>
        </w:rPr>
        <w:t xml:space="preserve"> </w:t>
      </w:r>
      <w:r w:rsidR="00323CA8" w:rsidRPr="00F32842">
        <w:rPr>
          <w:rFonts w:cs="Arial"/>
          <w:noProof/>
        </w:rPr>
        <w:t xml:space="preserve">(the fishery) </w:t>
      </w:r>
      <w:r w:rsidRPr="00F32842">
        <w:rPr>
          <w:rFonts w:cs="Arial"/>
          <w:noProof/>
        </w:rPr>
        <w:t xml:space="preserve">to the </w:t>
      </w:r>
      <w:r w:rsidRPr="0072610E">
        <w:rPr>
          <w:rFonts w:cs="Arial"/>
          <w:noProof/>
        </w:rPr>
        <w:t xml:space="preserve">Department of </w:t>
      </w:r>
      <w:r w:rsidR="00DF27FA" w:rsidRPr="0072610E">
        <w:rPr>
          <w:rFonts w:cs="Arial"/>
          <w:noProof/>
        </w:rPr>
        <w:t xml:space="preserve">the </w:t>
      </w:r>
      <w:r w:rsidRPr="0072610E">
        <w:rPr>
          <w:rFonts w:cs="Arial"/>
          <w:noProof/>
        </w:rPr>
        <w:t>Environment and Energy</w:t>
      </w:r>
      <w:r w:rsidRPr="008201A1">
        <w:rPr>
          <w:rFonts w:cs="Arial"/>
          <w:noProof/>
        </w:rPr>
        <w:t xml:space="preserve"> for assessment</w:t>
      </w:r>
      <w:r w:rsidR="00E3768F" w:rsidRPr="00F32842">
        <w:rPr>
          <w:rFonts w:cs="Arial"/>
          <w:noProof/>
        </w:rPr>
        <w:t xml:space="preserve"> under the</w:t>
      </w:r>
      <w:r w:rsidRPr="00F32842">
        <w:rPr>
          <w:rFonts w:cs="Arial"/>
          <w:noProof/>
        </w:rPr>
        <w:t xml:space="preserve"> </w:t>
      </w:r>
      <w:r w:rsidR="00323CA8" w:rsidRPr="00F32842">
        <w:rPr>
          <w:rFonts w:cs="Arial"/>
          <w:noProof/>
        </w:rPr>
        <w:t>provisions of Part 13 (protected species) and Part 13A (wildlife trade) of the</w:t>
      </w:r>
      <w:r w:rsidRPr="00F32842">
        <w:rPr>
          <w:rFonts w:cs="Arial"/>
          <w:noProof/>
        </w:rPr>
        <w:t xml:space="preserve"> </w:t>
      </w:r>
      <w:r w:rsidR="00F32842" w:rsidRPr="002468A8">
        <w:rPr>
          <w:rFonts w:cs="Arial"/>
          <w:i/>
          <w:noProof/>
        </w:rPr>
        <w:t xml:space="preserve">Environment Protection and Biodiversity Conservation Act 1999 </w:t>
      </w:r>
      <w:r w:rsidR="00F32842" w:rsidRPr="002468A8">
        <w:rPr>
          <w:rFonts w:cs="Arial"/>
          <w:noProof/>
        </w:rPr>
        <w:t>(EPBC Act)</w:t>
      </w:r>
      <w:r w:rsidR="00E3768F" w:rsidRPr="00F32842">
        <w:rPr>
          <w:rFonts w:cs="Arial"/>
          <w:noProof/>
        </w:rPr>
        <w:t xml:space="preserve">, </w:t>
      </w:r>
      <w:r w:rsidRPr="00F32842">
        <w:rPr>
          <w:rFonts w:cs="Arial"/>
          <w:noProof/>
        </w:rPr>
        <w:t xml:space="preserve">against the Australian Government ‘Guidelines for the Ecologically Sustainable Management of Fisheries – 2nd Edition’. A public comment period was open from </w:t>
      </w:r>
      <w:r w:rsidR="00874E3F" w:rsidRPr="0072610E">
        <w:rPr>
          <w:rFonts w:cs="Arial"/>
          <w:noProof/>
        </w:rPr>
        <w:t xml:space="preserve">27 June 2019 </w:t>
      </w:r>
      <w:r w:rsidR="00C50CA0" w:rsidRPr="0072610E">
        <w:rPr>
          <w:rFonts w:cs="Arial"/>
          <w:noProof/>
        </w:rPr>
        <w:t>to</w:t>
      </w:r>
      <w:r w:rsidR="00874E3F" w:rsidRPr="0072610E">
        <w:rPr>
          <w:rFonts w:cs="Arial"/>
          <w:noProof/>
        </w:rPr>
        <w:t xml:space="preserve"> 31 July 2019</w:t>
      </w:r>
      <w:r w:rsidR="00874E3F" w:rsidRPr="008201A1">
        <w:rPr>
          <w:rFonts w:cs="Arial"/>
          <w:noProof/>
        </w:rPr>
        <w:t xml:space="preserve">. </w:t>
      </w:r>
      <w:r w:rsidR="00EF2E43" w:rsidRPr="00F32842">
        <w:rPr>
          <w:rFonts w:cs="Arial"/>
          <w:noProof/>
        </w:rPr>
        <w:t>No public comments were received.</w:t>
      </w:r>
      <w:r w:rsidR="00874E3F" w:rsidRPr="00F32842">
        <w:rPr>
          <w:rFonts w:cs="Arial"/>
          <w:noProof/>
        </w:rPr>
        <w:t xml:space="preserve"> </w:t>
      </w:r>
    </w:p>
    <w:p w14:paraId="75E099F1" w14:textId="2BAE994E" w:rsidR="00C97995" w:rsidRPr="00F32842" w:rsidRDefault="00C97995" w:rsidP="0072610E">
      <w:pPr>
        <w:tabs>
          <w:tab w:val="left" w:pos="360"/>
        </w:tabs>
        <w:spacing w:before="60" w:after="60" w:line="276" w:lineRule="auto"/>
        <w:rPr>
          <w:rFonts w:cs="Arial"/>
          <w:iCs/>
          <w:noProof/>
        </w:rPr>
      </w:pPr>
    </w:p>
    <w:p w14:paraId="18770AC7" w14:textId="22E9F118" w:rsidR="00C97995" w:rsidRPr="00F32842" w:rsidRDefault="00C97995" w:rsidP="0072610E">
      <w:pPr>
        <w:spacing w:before="60" w:after="60" w:line="276" w:lineRule="auto"/>
        <w:rPr>
          <w:b/>
        </w:rPr>
      </w:pPr>
      <w:r w:rsidRPr="00F32842">
        <w:rPr>
          <w:b/>
        </w:rPr>
        <w:t>Fishery management arrangements</w:t>
      </w:r>
    </w:p>
    <w:p w14:paraId="20AE0FA4" w14:textId="311F5C1C" w:rsidR="001805C6" w:rsidRPr="0072610E" w:rsidRDefault="00184E85" w:rsidP="0072610E">
      <w:pPr>
        <w:tabs>
          <w:tab w:val="left" w:pos="360"/>
        </w:tabs>
        <w:spacing w:before="60" w:after="60" w:line="276" w:lineRule="auto"/>
        <w:rPr>
          <w:rFonts w:cs="Arial"/>
          <w:iCs/>
          <w:noProof/>
        </w:rPr>
      </w:pPr>
      <w:r w:rsidRPr="0072610E">
        <w:rPr>
          <w:rFonts w:cs="Arial"/>
          <w:iCs/>
          <w:noProof/>
        </w:rPr>
        <w:t>The Tasmanian Giant Crab Fishery (TGCF) operates in waters surrounding the state of Tasmania generally including Commonwealth waters under an Offshore Constitutional Settlement (OCS) between the Australlian Government and the government of Tasmania. The TGCF targets giant crabs (</w:t>
      </w:r>
      <w:r w:rsidRPr="0072610E">
        <w:rPr>
          <w:rFonts w:cs="Arial"/>
          <w:i/>
          <w:iCs/>
          <w:noProof/>
        </w:rPr>
        <w:t>Pseudocarcinus gigas)</w:t>
      </w:r>
      <w:r w:rsidRPr="0072610E">
        <w:rPr>
          <w:rFonts w:cs="Arial"/>
          <w:iCs/>
          <w:noProof/>
        </w:rPr>
        <w:t xml:space="preserve"> using heavy steel trap (modified rock lobster pot). The harvest</w:t>
      </w:r>
      <w:r w:rsidR="001805C6" w:rsidRPr="0072610E">
        <w:t xml:space="preserve"> of giant crab</w:t>
      </w:r>
      <w:r w:rsidRPr="0072610E">
        <w:t>s in the TGCF</w:t>
      </w:r>
      <w:r w:rsidR="001805C6" w:rsidRPr="0072610E">
        <w:t xml:space="preserve"> is managed through </w:t>
      </w:r>
      <w:r w:rsidRPr="0072610E">
        <w:t xml:space="preserve">input </w:t>
      </w:r>
      <w:r w:rsidR="00735AB7" w:rsidRPr="0072610E">
        <w:t xml:space="preserve">controls </w:t>
      </w:r>
      <w:r w:rsidR="00735AB7" w:rsidRPr="0072610E">
        <w:rPr>
          <w:iCs/>
        </w:rPr>
        <w:t>including</w:t>
      </w:r>
      <w:r w:rsidR="00486C71">
        <w:rPr>
          <w:iCs/>
        </w:rPr>
        <w:t>;</w:t>
      </w:r>
      <w:r w:rsidR="00735AB7" w:rsidRPr="0072610E">
        <w:rPr>
          <w:iCs/>
        </w:rPr>
        <w:t xml:space="preserve"> limited entry, seasonal spawning cl</w:t>
      </w:r>
      <w:r w:rsidR="00486C71" w:rsidRPr="008201A1">
        <w:rPr>
          <w:iCs/>
        </w:rPr>
        <w:t>osure, and limited trap numbers</w:t>
      </w:r>
      <w:r w:rsidR="00486C71">
        <w:rPr>
          <w:iCs/>
        </w:rPr>
        <w:t>. O</w:t>
      </w:r>
      <w:r w:rsidRPr="0072610E">
        <w:t>utput controls</w:t>
      </w:r>
      <w:r w:rsidR="00486C71" w:rsidRPr="008201A1">
        <w:t xml:space="preserve"> </w:t>
      </w:r>
      <w:r w:rsidR="00735AB7" w:rsidRPr="0072610E">
        <w:t>include</w:t>
      </w:r>
      <w:r w:rsidR="00486C71">
        <w:t>;</w:t>
      </w:r>
      <w:r w:rsidR="00735AB7" w:rsidRPr="0072610E">
        <w:t xml:space="preserve"> </w:t>
      </w:r>
      <w:r w:rsidR="00735AB7" w:rsidRPr="0072610E">
        <w:rPr>
          <w:iCs/>
        </w:rPr>
        <w:t>annually set Total Allowable Catch (TAC), individual transferable quotas, minimum size limits and the prohibition on the take of egg-bearing females</w:t>
      </w:r>
      <w:r w:rsidRPr="0072610E">
        <w:t>. T</w:t>
      </w:r>
      <w:r w:rsidR="001805C6" w:rsidRPr="0072610E">
        <w:t>he fishery operates in accordance with</w:t>
      </w:r>
      <w:r w:rsidRPr="0072610E">
        <w:t xml:space="preserve"> the</w:t>
      </w:r>
      <w:r w:rsidR="001805C6" w:rsidRPr="0072610E">
        <w:t xml:space="preserve"> </w:t>
      </w:r>
      <w:r w:rsidRPr="0072610E">
        <w:rPr>
          <w:i/>
          <w:iCs/>
        </w:rPr>
        <w:t xml:space="preserve">Fisheries (Giant Crab) Rules 2013, </w:t>
      </w:r>
      <w:r w:rsidRPr="0072610E">
        <w:rPr>
          <w:iCs/>
        </w:rPr>
        <w:t>which obtains its authority from the Tasmanian</w:t>
      </w:r>
      <w:r w:rsidRPr="0072610E">
        <w:rPr>
          <w:i/>
          <w:iCs/>
        </w:rPr>
        <w:t xml:space="preserve"> Living Marine Resources Management Act 1995</w:t>
      </w:r>
      <w:r w:rsidR="001805C6" w:rsidRPr="0072610E">
        <w:t>.</w:t>
      </w:r>
    </w:p>
    <w:p w14:paraId="29E53EB3" w14:textId="70636C27" w:rsidR="00C97995" w:rsidRPr="008201A1" w:rsidRDefault="00C97995" w:rsidP="0072610E">
      <w:pPr>
        <w:tabs>
          <w:tab w:val="left" w:pos="360"/>
        </w:tabs>
        <w:spacing w:before="60" w:after="60" w:line="276" w:lineRule="auto"/>
        <w:rPr>
          <w:rFonts w:cs="Arial"/>
          <w:iCs/>
          <w:noProof/>
        </w:rPr>
      </w:pPr>
    </w:p>
    <w:p w14:paraId="5AA31AAA" w14:textId="77777777" w:rsidR="00C97995" w:rsidRPr="00F32842" w:rsidRDefault="00C97995" w:rsidP="0072610E">
      <w:pPr>
        <w:spacing w:before="60" w:after="60" w:line="276" w:lineRule="auto"/>
        <w:rPr>
          <w:b/>
        </w:rPr>
      </w:pPr>
      <w:r w:rsidRPr="00F32842">
        <w:rPr>
          <w:b/>
        </w:rPr>
        <w:t>Target stocks</w:t>
      </w:r>
    </w:p>
    <w:p w14:paraId="1AE57816" w14:textId="31476D63" w:rsidR="008609EB" w:rsidRPr="0072610E" w:rsidRDefault="00FC6249" w:rsidP="000B43D5">
      <w:pPr>
        <w:spacing w:before="60" w:after="60" w:line="276" w:lineRule="auto"/>
        <w:contextualSpacing/>
      </w:pPr>
      <w:r w:rsidRPr="0072610E">
        <w:t>T</w:t>
      </w:r>
      <w:r w:rsidR="00B833B6" w:rsidRPr="0072610E">
        <w:t>he Status of Australian Fish Stocks cl</w:t>
      </w:r>
      <w:r w:rsidR="003C2AD2" w:rsidRPr="0072610E">
        <w:t>assifies</w:t>
      </w:r>
      <w:r w:rsidR="00B833B6" w:rsidRPr="0072610E">
        <w:t xml:space="preserve"> the Tasmanian giant crab stock</w:t>
      </w:r>
      <w:r w:rsidR="003C2AD2" w:rsidRPr="0072610E">
        <w:t xml:space="preserve"> as depleted. </w:t>
      </w:r>
      <w:r w:rsidR="00983951" w:rsidRPr="009B0F46">
        <w:rPr>
          <w:rFonts w:cs="Arial"/>
          <w:noProof/>
        </w:rPr>
        <w:t>DPIPWE</w:t>
      </w:r>
      <w:r w:rsidR="00983951" w:rsidRPr="00F32842">
        <w:t xml:space="preserve"> </w:t>
      </w:r>
      <w:r w:rsidR="00983951">
        <w:t xml:space="preserve">have implemented reductions in </w:t>
      </w:r>
      <w:r w:rsidR="00983951" w:rsidRPr="00B02CD8">
        <w:t xml:space="preserve">total allowable catch (TAC) </w:t>
      </w:r>
      <w:r w:rsidR="00983951">
        <w:t>since 2006 in response to declining catch rates.</w:t>
      </w:r>
      <w:r w:rsidR="008609EB" w:rsidRPr="0072610E">
        <w:t xml:space="preserve"> </w:t>
      </w:r>
      <w:r w:rsidR="00983951">
        <w:t>L</w:t>
      </w:r>
      <w:r w:rsidR="000448AD" w:rsidRPr="0072610E">
        <w:t>ack of</w:t>
      </w:r>
      <w:r w:rsidR="006E4AB6" w:rsidRPr="0072610E">
        <w:t xml:space="preserve"> appropriate </w:t>
      </w:r>
      <w:r w:rsidR="008609EB" w:rsidRPr="0072610E">
        <w:t xml:space="preserve">biological data </w:t>
      </w:r>
      <w:r w:rsidR="00983951">
        <w:t xml:space="preserve">of the stock </w:t>
      </w:r>
      <w:r w:rsidR="008609EB" w:rsidRPr="0072610E">
        <w:t xml:space="preserve">in the </w:t>
      </w:r>
      <w:r w:rsidR="006E4AB6" w:rsidRPr="0072610E">
        <w:t>TGCF and</w:t>
      </w:r>
      <w:r w:rsidR="008609EB" w:rsidRPr="0072610E">
        <w:t xml:space="preserve"> </w:t>
      </w:r>
      <w:r w:rsidRPr="0072610E">
        <w:t xml:space="preserve">the </w:t>
      </w:r>
      <w:r w:rsidR="006E4AB6" w:rsidRPr="0072610E">
        <w:t xml:space="preserve">unknown </w:t>
      </w:r>
      <w:r w:rsidR="008609EB" w:rsidRPr="0072610E">
        <w:t>extent</w:t>
      </w:r>
      <w:r w:rsidRPr="0072610E">
        <w:t xml:space="preserve"> </w:t>
      </w:r>
      <w:r w:rsidR="008609EB" w:rsidRPr="0072610E">
        <w:t xml:space="preserve">to which </w:t>
      </w:r>
      <w:r w:rsidRPr="0072610E">
        <w:t xml:space="preserve">trawling activities </w:t>
      </w:r>
      <w:r w:rsidR="00D10CFB" w:rsidRPr="0072610E">
        <w:t xml:space="preserve">impact </w:t>
      </w:r>
      <w:r w:rsidRPr="0072610E">
        <w:t>on giant crab stock and the species natural habitat</w:t>
      </w:r>
      <w:r w:rsidR="002C3F79" w:rsidRPr="0072610E">
        <w:t>,</w:t>
      </w:r>
      <w:r w:rsidR="006E4AB6" w:rsidRPr="0072610E">
        <w:t xml:space="preserve"> are</w:t>
      </w:r>
      <w:r w:rsidR="00F17517" w:rsidRPr="008201A1">
        <w:t xml:space="preserve"> </w:t>
      </w:r>
      <w:r w:rsidR="00F17517">
        <w:t xml:space="preserve">the </w:t>
      </w:r>
      <w:r w:rsidR="006E4AB6" w:rsidRPr="0072610E">
        <w:t xml:space="preserve">main factors </w:t>
      </w:r>
      <w:r w:rsidR="00F17517">
        <w:t>limiting</w:t>
      </w:r>
      <w:r w:rsidR="00891A31">
        <w:t xml:space="preserve"> the understanding of</w:t>
      </w:r>
      <w:r w:rsidR="000448AD" w:rsidRPr="0072610E">
        <w:t xml:space="preserve"> the</w:t>
      </w:r>
      <w:r w:rsidR="006E4AB6" w:rsidRPr="0072610E">
        <w:t xml:space="preserve"> </w:t>
      </w:r>
      <w:r w:rsidR="000448AD" w:rsidRPr="0072610E">
        <w:t>declining catch rate trend</w:t>
      </w:r>
      <w:r w:rsidR="00F17517" w:rsidRPr="008201A1">
        <w:t xml:space="preserve"> of giant crabs </w:t>
      </w:r>
      <w:r w:rsidR="00F17517">
        <w:t>in the fishery for fishery managers and scientists</w:t>
      </w:r>
      <w:r w:rsidR="006E4AB6" w:rsidRPr="0072610E">
        <w:t>.</w:t>
      </w:r>
    </w:p>
    <w:p w14:paraId="3E42CA18" w14:textId="78AA3669" w:rsidR="00C97995" w:rsidRPr="008201A1" w:rsidRDefault="00C97995" w:rsidP="0072610E">
      <w:pPr>
        <w:tabs>
          <w:tab w:val="left" w:pos="360"/>
        </w:tabs>
        <w:spacing w:before="60" w:after="60" w:line="276" w:lineRule="auto"/>
        <w:rPr>
          <w:rFonts w:cs="Arial"/>
          <w:iCs/>
          <w:noProof/>
        </w:rPr>
      </w:pPr>
    </w:p>
    <w:p w14:paraId="234FC87F" w14:textId="45F9C5B1" w:rsidR="00C97995" w:rsidRPr="00F32842" w:rsidRDefault="00C97995" w:rsidP="0072610E">
      <w:pPr>
        <w:spacing w:before="60" w:after="60" w:line="276" w:lineRule="auto"/>
        <w:rPr>
          <w:b/>
          <w:noProof/>
        </w:rPr>
      </w:pPr>
      <w:r w:rsidRPr="00F32842">
        <w:rPr>
          <w:b/>
          <w:noProof/>
        </w:rPr>
        <w:t xml:space="preserve">Protected species and </w:t>
      </w:r>
      <w:r w:rsidR="00937DA0" w:rsidRPr="00F32842">
        <w:rPr>
          <w:b/>
          <w:noProof/>
        </w:rPr>
        <w:t>threatened ecological communities</w:t>
      </w:r>
    </w:p>
    <w:p w14:paraId="18665CA7" w14:textId="14B7C47C" w:rsidR="00BA5567" w:rsidRPr="008201A1" w:rsidRDefault="00BA5567" w:rsidP="0072610E">
      <w:pPr>
        <w:spacing w:before="60" w:after="60" w:line="276" w:lineRule="auto"/>
        <w:contextualSpacing/>
        <w:rPr>
          <w:b/>
          <w:noProof/>
        </w:rPr>
      </w:pPr>
      <w:r w:rsidRPr="0072610E">
        <w:rPr>
          <w:rFonts w:cs="Arial"/>
        </w:rPr>
        <w:t xml:space="preserve">The bycatch of non-target species is considered negligible in the fishery due to the </w:t>
      </w:r>
      <w:r w:rsidR="000903F5" w:rsidRPr="0072610E">
        <w:rPr>
          <w:rFonts w:cs="Arial"/>
        </w:rPr>
        <w:t>nature of the fishery and the fishing method used</w:t>
      </w:r>
      <w:r w:rsidRPr="0072610E">
        <w:rPr>
          <w:rFonts w:cs="Arial"/>
        </w:rPr>
        <w:t>. The majority of bycatch species caught</w:t>
      </w:r>
      <w:r w:rsidR="000903F5" w:rsidRPr="0072610E">
        <w:rPr>
          <w:rFonts w:cs="Arial"/>
        </w:rPr>
        <w:t xml:space="preserve"> are returned to the water unharmed. Historically, n</w:t>
      </w:r>
      <w:r w:rsidRPr="0072610E">
        <w:rPr>
          <w:rFonts w:cs="Arial"/>
        </w:rPr>
        <w:t>o interactions with endangered, threatened or</w:t>
      </w:r>
      <w:r w:rsidR="000903F5" w:rsidRPr="0072610E">
        <w:rPr>
          <w:rFonts w:cs="Arial"/>
        </w:rPr>
        <w:t xml:space="preserve"> protected species (TEPs) occurred in</w:t>
      </w:r>
      <w:r w:rsidRPr="0072610E">
        <w:rPr>
          <w:rFonts w:cs="Arial"/>
        </w:rPr>
        <w:t xml:space="preserve"> the fishery. </w:t>
      </w:r>
      <w:r w:rsidR="00023D76" w:rsidRPr="0072610E">
        <w:rPr>
          <w:rFonts w:cs="Arial"/>
        </w:rPr>
        <w:t xml:space="preserve">The operation of the fishery is considered to have a </w:t>
      </w:r>
      <w:r w:rsidRPr="0072610E">
        <w:rPr>
          <w:rFonts w:cs="Arial"/>
        </w:rPr>
        <w:t>n</w:t>
      </w:r>
      <w:r w:rsidR="00023D76" w:rsidRPr="0072610E">
        <w:rPr>
          <w:rFonts w:cs="Arial"/>
        </w:rPr>
        <w:t>egligible to low risk of impact on TEPs and threatened ecological communities.</w:t>
      </w:r>
    </w:p>
    <w:p w14:paraId="41F2965A" w14:textId="77777777" w:rsidR="00F32842" w:rsidRPr="008201A1" w:rsidRDefault="00F32842" w:rsidP="0072610E">
      <w:pPr>
        <w:tabs>
          <w:tab w:val="left" w:pos="360"/>
        </w:tabs>
        <w:spacing w:before="60" w:after="60" w:line="276" w:lineRule="auto"/>
        <w:rPr>
          <w:rFonts w:cs="Arial"/>
          <w:iCs/>
          <w:noProof/>
        </w:rPr>
      </w:pPr>
    </w:p>
    <w:p w14:paraId="06D86BC2" w14:textId="77777777" w:rsidR="00C97995" w:rsidRPr="00F32842" w:rsidRDefault="00C97995" w:rsidP="0072610E">
      <w:pPr>
        <w:spacing w:before="60" w:after="60" w:line="276" w:lineRule="auto"/>
        <w:rPr>
          <w:b/>
        </w:rPr>
      </w:pPr>
      <w:r w:rsidRPr="00F32842">
        <w:rPr>
          <w:b/>
        </w:rPr>
        <w:t>Ecosystem impacts</w:t>
      </w:r>
    </w:p>
    <w:p w14:paraId="64FB84CC" w14:textId="4AA62D0A" w:rsidR="00BA5567" w:rsidRPr="008201A1" w:rsidRDefault="00983951" w:rsidP="0072610E">
      <w:pPr>
        <w:spacing w:before="60" w:after="60" w:line="276" w:lineRule="auto"/>
        <w:rPr>
          <w:b/>
        </w:rPr>
      </w:pPr>
      <w:r>
        <w:rPr>
          <w:rFonts w:cs="Arial"/>
        </w:rPr>
        <w:t>T</w:t>
      </w:r>
      <w:r w:rsidR="00BA5567" w:rsidRPr="0072610E">
        <w:rPr>
          <w:rFonts w:cs="Arial"/>
        </w:rPr>
        <w:t>he impact of the TGCF on the ecosystem and the environment generally is consider</w:t>
      </w:r>
      <w:r w:rsidR="00990E93" w:rsidRPr="0072610E">
        <w:rPr>
          <w:rFonts w:cs="Arial"/>
        </w:rPr>
        <w:t>ed negligible to low due to the</w:t>
      </w:r>
      <w:r w:rsidR="0080387F">
        <w:rPr>
          <w:rFonts w:cs="Arial"/>
        </w:rPr>
        <w:t xml:space="preserve"> amount of</w:t>
      </w:r>
      <w:r w:rsidR="00990E93" w:rsidRPr="0072610E">
        <w:rPr>
          <w:rFonts w:cs="Arial"/>
        </w:rPr>
        <w:t xml:space="preserve"> trapping effort applied</w:t>
      </w:r>
      <w:r w:rsidR="00BA5567" w:rsidRPr="0072610E">
        <w:rPr>
          <w:rFonts w:cs="Arial"/>
        </w:rPr>
        <w:t xml:space="preserve">. </w:t>
      </w:r>
      <w:r w:rsidR="00990E93" w:rsidRPr="0072610E">
        <w:rPr>
          <w:rFonts w:cs="Arial"/>
        </w:rPr>
        <w:t xml:space="preserve">The TGCF has previously used </w:t>
      </w:r>
      <w:r w:rsidR="00BA5567" w:rsidRPr="0072610E">
        <w:rPr>
          <w:rFonts w:cs="Arial"/>
        </w:rPr>
        <w:t xml:space="preserve">a proxy </w:t>
      </w:r>
      <w:r w:rsidR="00990E93" w:rsidRPr="0072610E">
        <w:rPr>
          <w:rFonts w:cs="Arial"/>
        </w:rPr>
        <w:t>Ecological Risk Assessments (ERA)</w:t>
      </w:r>
      <w:r w:rsidR="00BA5567" w:rsidRPr="0072610E">
        <w:rPr>
          <w:rFonts w:cs="Arial"/>
        </w:rPr>
        <w:t xml:space="preserve"> to assess its impact on </w:t>
      </w:r>
      <w:r w:rsidR="00990E93" w:rsidRPr="0072610E">
        <w:rPr>
          <w:rFonts w:cs="Arial"/>
        </w:rPr>
        <w:t>the ecosystem</w:t>
      </w:r>
      <w:r w:rsidR="00BA5567" w:rsidRPr="0072610E">
        <w:rPr>
          <w:rFonts w:cs="Arial"/>
        </w:rPr>
        <w:t>.</w:t>
      </w:r>
    </w:p>
    <w:p w14:paraId="37AAA9C0" w14:textId="3808E83D" w:rsidR="00C97995" w:rsidRPr="00F32842" w:rsidRDefault="00C97995" w:rsidP="0072610E">
      <w:pPr>
        <w:tabs>
          <w:tab w:val="left" w:pos="360"/>
        </w:tabs>
        <w:spacing w:before="60" w:after="60" w:line="276" w:lineRule="auto"/>
        <w:rPr>
          <w:rFonts w:cs="Arial"/>
          <w:iCs/>
          <w:noProof/>
        </w:rPr>
      </w:pPr>
    </w:p>
    <w:p w14:paraId="49E956B0" w14:textId="77777777" w:rsidR="00291DA7" w:rsidRDefault="00291DA7" w:rsidP="0072610E">
      <w:pPr>
        <w:tabs>
          <w:tab w:val="left" w:pos="360"/>
        </w:tabs>
        <w:spacing w:before="60" w:after="60" w:line="276" w:lineRule="auto"/>
        <w:rPr>
          <w:rFonts w:cs="Arial"/>
          <w:b/>
          <w:iCs/>
          <w:noProof/>
        </w:rPr>
      </w:pPr>
    </w:p>
    <w:p w14:paraId="11398D9B" w14:textId="77777777" w:rsidR="00291DA7" w:rsidRDefault="00291DA7" w:rsidP="0072610E">
      <w:pPr>
        <w:tabs>
          <w:tab w:val="left" w:pos="360"/>
        </w:tabs>
        <w:spacing w:before="60" w:after="60" w:line="276" w:lineRule="auto"/>
        <w:rPr>
          <w:rFonts w:cs="Arial"/>
          <w:b/>
          <w:iCs/>
          <w:noProof/>
        </w:rPr>
      </w:pPr>
    </w:p>
    <w:p w14:paraId="4573E267" w14:textId="77777777" w:rsidR="007153C9" w:rsidRDefault="007153C9" w:rsidP="0072610E">
      <w:pPr>
        <w:tabs>
          <w:tab w:val="left" w:pos="360"/>
        </w:tabs>
        <w:spacing w:before="60" w:after="60" w:line="276" w:lineRule="auto"/>
        <w:rPr>
          <w:rFonts w:cs="Arial"/>
          <w:b/>
          <w:iCs/>
          <w:noProof/>
        </w:rPr>
      </w:pPr>
    </w:p>
    <w:p w14:paraId="6BD0EA4B" w14:textId="6871773A" w:rsidR="00FB7DFE" w:rsidRPr="00F32842" w:rsidRDefault="00937DA0" w:rsidP="0072610E">
      <w:pPr>
        <w:tabs>
          <w:tab w:val="left" w:pos="360"/>
        </w:tabs>
        <w:spacing w:before="60" w:after="60" w:line="276" w:lineRule="auto"/>
        <w:rPr>
          <w:rFonts w:cs="Arial"/>
          <w:b/>
          <w:iCs/>
          <w:noProof/>
        </w:rPr>
      </w:pPr>
      <w:r w:rsidRPr="00F32842">
        <w:rPr>
          <w:rFonts w:cs="Arial"/>
          <w:b/>
          <w:iCs/>
          <w:noProof/>
        </w:rPr>
        <w:lastRenderedPageBreak/>
        <w:t>Research and monitoring</w:t>
      </w:r>
    </w:p>
    <w:p w14:paraId="5637AE2D" w14:textId="355EA7FC" w:rsidR="00FB5764" w:rsidRPr="008201A1" w:rsidRDefault="00BA5567" w:rsidP="0072610E">
      <w:pPr>
        <w:tabs>
          <w:tab w:val="left" w:pos="360"/>
        </w:tabs>
        <w:spacing w:before="60" w:after="60" w:line="276" w:lineRule="auto"/>
        <w:rPr>
          <w:rFonts w:cs="Arial"/>
          <w:i/>
          <w:iCs/>
          <w:noProof/>
        </w:rPr>
      </w:pPr>
      <w:r w:rsidRPr="0072610E">
        <w:rPr>
          <w:rFonts w:cs="Arial"/>
          <w:iCs/>
          <w:noProof/>
        </w:rPr>
        <w:t xml:space="preserve">Information </w:t>
      </w:r>
      <w:r w:rsidR="00291DA7">
        <w:rPr>
          <w:rFonts w:cs="Arial"/>
          <w:iCs/>
          <w:noProof/>
        </w:rPr>
        <w:t>on the</w:t>
      </w:r>
      <w:r w:rsidR="00E13E37" w:rsidRPr="0072610E">
        <w:rPr>
          <w:rFonts w:cs="Arial"/>
          <w:iCs/>
          <w:noProof/>
        </w:rPr>
        <w:t xml:space="preserve"> target stock, </w:t>
      </w:r>
      <w:r w:rsidR="00E13E37" w:rsidRPr="0072610E">
        <w:rPr>
          <w:rFonts w:cs="Arial"/>
        </w:rPr>
        <w:t>bycatch and ecosystem impact</w:t>
      </w:r>
      <w:r w:rsidR="00291DA7">
        <w:rPr>
          <w:rFonts w:cs="Arial"/>
        </w:rPr>
        <w:t>s</w:t>
      </w:r>
      <w:r w:rsidR="00E13E37" w:rsidRPr="0072610E">
        <w:rPr>
          <w:rFonts w:cs="Arial"/>
          <w:iCs/>
          <w:noProof/>
        </w:rPr>
        <w:t xml:space="preserve"> were</w:t>
      </w:r>
      <w:r w:rsidRPr="0072610E">
        <w:rPr>
          <w:rFonts w:cs="Arial"/>
          <w:iCs/>
          <w:noProof/>
        </w:rPr>
        <w:t xml:space="preserve"> categorised </w:t>
      </w:r>
      <w:r w:rsidR="00291DA7">
        <w:rPr>
          <w:rFonts w:cs="Arial"/>
          <w:iCs/>
          <w:noProof/>
        </w:rPr>
        <w:t xml:space="preserve">in this report as being </w:t>
      </w:r>
      <w:r w:rsidR="00E13E37" w:rsidRPr="0072610E">
        <w:rPr>
          <w:rFonts w:cs="Arial"/>
          <w:iCs/>
          <w:noProof/>
        </w:rPr>
        <w:t>‘</w:t>
      </w:r>
      <w:r w:rsidRPr="0072610E">
        <w:rPr>
          <w:rFonts w:cs="Arial"/>
          <w:iCs/>
          <w:noProof/>
        </w:rPr>
        <w:t>partially met</w:t>
      </w:r>
      <w:r w:rsidR="00E13E37" w:rsidRPr="0072610E">
        <w:rPr>
          <w:rFonts w:cs="Arial"/>
          <w:iCs/>
          <w:noProof/>
        </w:rPr>
        <w:t>’</w:t>
      </w:r>
      <w:r w:rsidR="000976FD" w:rsidRPr="0072610E">
        <w:rPr>
          <w:rFonts w:cs="Arial"/>
        </w:rPr>
        <w:t>. T</w:t>
      </w:r>
      <w:r w:rsidRPr="0072610E">
        <w:rPr>
          <w:rFonts w:cs="Arial"/>
        </w:rPr>
        <w:t>he Departme</w:t>
      </w:r>
      <w:r w:rsidR="000976FD" w:rsidRPr="0072610E">
        <w:rPr>
          <w:rFonts w:cs="Arial"/>
        </w:rPr>
        <w:t xml:space="preserve">nt identified the </w:t>
      </w:r>
      <w:r w:rsidR="00F37CB3" w:rsidRPr="0072610E">
        <w:rPr>
          <w:rFonts w:cs="Arial"/>
        </w:rPr>
        <w:t xml:space="preserve">lack of reliable </w:t>
      </w:r>
      <w:r w:rsidR="00291DA7">
        <w:rPr>
          <w:rFonts w:cs="Arial"/>
        </w:rPr>
        <w:t xml:space="preserve">biological </w:t>
      </w:r>
      <w:r w:rsidR="00F37CB3" w:rsidRPr="0072610E">
        <w:rPr>
          <w:rFonts w:cs="Arial"/>
        </w:rPr>
        <w:t xml:space="preserve">data as the </w:t>
      </w:r>
      <w:r w:rsidR="000976FD" w:rsidRPr="0072610E">
        <w:rPr>
          <w:rFonts w:cs="Arial"/>
        </w:rPr>
        <w:t xml:space="preserve">biggest issue </w:t>
      </w:r>
      <w:r w:rsidR="00F37CB3" w:rsidRPr="0072610E">
        <w:rPr>
          <w:rFonts w:cs="Arial"/>
        </w:rPr>
        <w:t>for the TGCF</w:t>
      </w:r>
      <w:r w:rsidR="00291DA7">
        <w:rPr>
          <w:rFonts w:cs="Arial"/>
        </w:rPr>
        <w:t>.</w:t>
      </w:r>
      <w:r w:rsidR="00291DA7" w:rsidRPr="00291DA7">
        <w:rPr>
          <w:rFonts w:cs="Arial"/>
        </w:rPr>
        <w:t xml:space="preserve"> </w:t>
      </w:r>
      <w:r w:rsidR="00291DA7" w:rsidRPr="00A56C81">
        <w:rPr>
          <w:rFonts w:cs="Arial"/>
        </w:rPr>
        <w:t xml:space="preserve">DPIPWE </w:t>
      </w:r>
      <w:r w:rsidR="00291DA7">
        <w:rPr>
          <w:rFonts w:cs="Arial"/>
        </w:rPr>
        <w:t>continues to</w:t>
      </w:r>
      <w:r w:rsidR="00291DA7" w:rsidRPr="00A56C81">
        <w:rPr>
          <w:rFonts w:cs="Arial"/>
        </w:rPr>
        <w:t xml:space="preserve"> work</w:t>
      </w:r>
      <w:r w:rsidR="00291DA7">
        <w:rPr>
          <w:rFonts w:cs="Arial"/>
        </w:rPr>
        <w:t xml:space="preserve"> </w:t>
      </w:r>
      <w:r w:rsidR="00291DA7" w:rsidRPr="00A56C81">
        <w:rPr>
          <w:rFonts w:cs="Arial"/>
        </w:rPr>
        <w:t>closely with the Institute for Marine and Antarctic Studies (IMAS) to improve data collection and the quality of stock assessment</w:t>
      </w:r>
      <w:r w:rsidR="00291DA7">
        <w:rPr>
          <w:rFonts w:cs="Arial"/>
        </w:rPr>
        <w:t>s</w:t>
      </w:r>
      <w:r w:rsidR="00291DA7" w:rsidRPr="00A56C81">
        <w:rPr>
          <w:rFonts w:cs="Arial"/>
        </w:rPr>
        <w:t xml:space="preserve"> in the fishery.</w:t>
      </w:r>
      <w:r w:rsidR="00E41555" w:rsidRPr="0072610E">
        <w:rPr>
          <w:rFonts w:cs="Arial"/>
        </w:rPr>
        <w:t xml:space="preserve"> </w:t>
      </w:r>
      <w:r w:rsidR="00291DA7" w:rsidRPr="00A56C81">
        <w:rPr>
          <w:rFonts w:cs="Arial"/>
        </w:rPr>
        <w:t>DPIPWE</w:t>
      </w:r>
      <w:r w:rsidR="00291DA7" w:rsidRPr="009B0F46">
        <w:rPr>
          <w:rFonts w:cs="Arial"/>
        </w:rPr>
        <w:t xml:space="preserve"> </w:t>
      </w:r>
      <w:r w:rsidR="00291DA7">
        <w:rPr>
          <w:rFonts w:cs="Arial"/>
        </w:rPr>
        <w:t xml:space="preserve">is also </w:t>
      </w:r>
      <w:r w:rsidR="00291DA7" w:rsidRPr="009B0F46">
        <w:rPr>
          <w:rFonts w:cs="Arial"/>
        </w:rPr>
        <w:t xml:space="preserve">collaborating with South Australian and Victorian </w:t>
      </w:r>
      <w:r w:rsidR="00291DA7">
        <w:rPr>
          <w:rFonts w:cs="Arial"/>
        </w:rPr>
        <w:t xml:space="preserve">fisheries management agencies </w:t>
      </w:r>
      <w:r w:rsidR="00291DA7" w:rsidRPr="009B0F46">
        <w:rPr>
          <w:rFonts w:cs="Arial"/>
        </w:rPr>
        <w:t xml:space="preserve">on the </w:t>
      </w:r>
      <w:r w:rsidR="00291DA7" w:rsidRPr="009B0F46">
        <w:rPr>
          <w:rFonts w:cs="Arial"/>
          <w:i/>
        </w:rPr>
        <w:t>Giant Crab Enhanced Data Collection</w:t>
      </w:r>
      <w:r w:rsidR="00291DA7" w:rsidRPr="009B0F46">
        <w:rPr>
          <w:rFonts w:cs="Arial"/>
        </w:rPr>
        <w:t xml:space="preserve"> project</w:t>
      </w:r>
      <w:r w:rsidR="00387ECB">
        <w:rPr>
          <w:rFonts w:cs="Arial"/>
        </w:rPr>
        <w:t xml:space="preserve">. </w:t>
      </w:r>
      <w:r w:rsidR="00291DA7">
        <w:rPr>
          <w:rFonts w:cs="Arial"/>
        </w:rPr>
        <w:t xml:space="preserve">The Department considers it a priority that </w:t>
      </w:r>
      <w:r w:rsidR="00291DA7" w:rsidRPr="00291DA7">
        <w:rPr>
          <w:rFonts w:cs="Arial"/>
        </w:rPr>
        <w:t>DPIPWE</w:t>
      </w:r>
      <w:r w:rsidR="00291DA7" w:rsidRPr="00291DA7" w:rsidDel="00291DA7">
        <w:rPr>
          <w:rFonts w:cs="Arial"/>
        </w:rPr>
        <w:t xml:space="preserve"> </w:t>
      </w:r>
      <w:r w:rsidR="00291DA7">
        <w:rPr>
          <w:rFonts w:cs="Arial"/>
        </w:rPr>
        <w:t xml:space="preserve">continues to work towards improving the collection of appropriate biological data </w:t>
      </w:r>
      <w:r w:rsidR="000976FD" w:rsidRPr="0072610E">
        <w:rPr>
          <w:rFonts w:cs="Arial"/>
        </w:rPr>
        <w:t xml:space="preserve">and </w:t>
      </w:r>
      <w:r w:rsidR="00291DA7">
        <w:rPr>
          <w:rFonts w:cs="Arial"/>
        </w:rPr>
        <w:t xml:space="preserve">the </w:t>
      </w:r>
      <w:r w:rsidR="000976FD" w:rsidRPr="0072610E">
        <w:rPr>
          <w:rFonts w:cs="Arial"/>
        </w:rPr>
        <w:t xml:space="preserve">stock assessment </w:t>
      </w:r>
      <w:r w:rsidR="00291DA7">
        <w:rPr>
          <w:rFonts w:cs="Arial"/>
        </w:rPr>
        <w:t xml:space="preserve">methodology </w:t>
      </w:r>
      <w:r w:rsidR="009E3F0F" w:rsidRPr="0072610E">
        <w:rPr>
          <w:rFonts w:cs="Arial"/>
        </w:rPr>
        <w:t xml:space="preserve">to </w:t>
      </w:r>
      <w:r w:rsidR="00291DA7">
        <w:rPr>
          <w:rFonts w:cs="Arial"/>
        </w:rPr>
        <w:t xml:space="preserve">inform the future </w:t>
      </w:r>
      <w:r w:rsidR="009E3F0F" w:rsidRPr="0072610E">
        <w:rPr>
          <w:rFonts w:cs="Arial"/>
        </w:rPr>
        <w:t>management of the TGCF</w:t>
      </w:r>
      <w:r w:rsidR="000976FD" w:rsidRPr="0072610E">
        <w:rPr>
          <w:rFonts w:cs="Arial"/>
        </w:rPr>
        <w:t>.</w:t>
      </w:r>
    </w:p>
    <w:p w14:paraId="6C5AF136" w14:textId="42B09A57" w:rsidR="00937DA0" w:rsidRPr="00F32842" w:rsidRDefault="00937DA0" w:rsidP="0072610E">
      <w:pPr>
        <w:tabs>
          <w:tab w:val="left" w:pos="360"/>
        </w:tabs>
        <w:spacing w:before="60" w:after="60" w:line="276" w:lineRule="auto"/>
        <w:rPr>
          <w:b/>
        </w:rPr>
      </w:pPr>
    </w:p>
    <w:p w14:paraId="5484F210" w14:textId="466EC78B" w:rsidR="00C97995" w:rsidRPr="00F32842" w:rsidRDefault="00C97995" w:rsidP="0072610E">
      <w:pPr>
        <w:adjustRightInd w:val="0"/>
        <w:spacing w:before="60" w:after="60" w:line="276" w:lineRule="auto"/>
        <w:rPr>
          <w:b/>
        </w:rPr>
      </w:pPr>
      <w:r w:rsidRPr="00F32842">
        <w:rPr>
          <w:b/>
        </w:rPr>
        <w:t>Conclusion</w:t>
      </w:r>
    </w:p>
    <w:p w14:paraId="48462A98" w14:textId="6A1D7B77" w:rsidR="006F172A" w:rsidRPr="0072610E" w:rsidRDefault="005751AC" w:rsidP="0072610E">
      <w:pPr>
        <w:spacing w:before="60" w:after="60" w:line="276" w:lineRule="auto"/>
        <w:rPr>
          <w:rFonts w:cs="Arial"/>
          <w:noProof/>
          <w:color w:val="808080" w:themeColor="background1" w:themeShade="80"/>
          <w:highlight w:val="cyan"/>
        </w:rPr>
        <w:sectPr w:rsidR="006F172A" w:rsidRPr="0072610E" w:rsidSect="001955CD">
          <w:pgSz w:w="11906" w:h="16838"/>
          <w:pgMar w:top="1418" w:right="1276" w:bottom="567" w:left="1418" w:header="425" w:footer="425" w:gutter="0"/>
          <w:pgNumType w:start="1"/>
          <w:cols w:space="708"/>
          <w:titlePg/>
          <w:docGrid w:linePitch="360"/>
        </w:sectPr>
      </w:pPr>
      <w:r w:rsidRPr="00F32842">
        <w:rPr>
          <w:rFonts w:cs="Arial"/>
          <w:noProof/>
        </w:rPr>
        <w:t xml:space="preserve">On this basis, the </w:t>
      </w:r>
      <w:r w:rsidR="00CF1DE5" w:rsidRPr="00F32842">
        <w:rPr>
          <w:rFonts w:cs="Arial"/>
          <w:noProof/>
        </w:rPr>
        <w:t xml:space="preserve">Department </w:t>
      </w:r>
      <w:r w:rsidR="009257AD" w:rsidRPr="00F32842">
        <w:rPr>
          <w:rFonts w:cs="Arial"/>
          <w:noProof/>
        </w:rPr>
        <w:t xml:space="preserve">has determined </w:t>
      </w:r>
      <w:r w:rsidR="00CF1DE5" w:rsidRPr="00F32842">
        <w:rPr>
          <w:rFonts w:cs="Arial"/>
          <w:noProof/>
        </w:rPr>
        <w:t xml:space="preserve">that product taken in the </w:t>
      </w:r>
      <w:r w:rsidR="003F7903" w:rsidRPr="0072610E">
        <w:rPr>
          <w:rFonts w:cs="Arial"/>
          <w:noProof/>
        </w:rPr>
        <w:t xml:space="preserve">Tasmanian Giant Crab Fishery </w:t>
      </w:r>
      <w:r w:rsidR="00CF1DE5" w:rsidRPr="008201A1">
        <w:rPr>
          <w:rFonts w:cs="Arial"/>
          <w:noProof/>
        </w:rPr>
        <w:t xml:space="preserve">should be included in the list of exempt native specimens under Part 13A of the </w:t>
      </w:r>
      <w:r w:rsidR="00CF1DE5" w:rsidRPr="00F32842">
        <w:rPr>
          <w:rFonts w:cs="Arial"/>
          <w:i/>
          <w:noProof/>
        </w:rPr>
        <w:t xml:space="preserve">Environment Protection and Biodiversity Conservation Act 1999 </w:t>
      </w:r>
      <w:r w:rsidR="00CF1DE5" w:rsidRPr="00F32842">
        <w:rPr>
          <w:rFonts w:cs="Arial"/>
          <w:noProof/>
        </w:rPr>
        <w:t xml:space="preserve">(EPBC Act) until </w:t>
      </w:r>
      <w:r w:rsidR="00983951" w:rsidRPr="004F5EA4">
        <w:rPr>
          <w:rFonts w:cs="Arial"/>
          <w:noProof/>
        </w:rPr>
        <w:t>10</w:t>
      </w:r>
      <w:r w:rsidR="00CF1DE5" w:rsidRPr="004F5EA4">
        <w:rPr>
          <w:rFonts w:cs="Arial"/>
          <w:noProof/>
        </w:rPr>
        <w:t> </w:t>
      </w:r>
      <w:r w:rsidR="00983951" w:rsidRPr="004F5EA4">
        <w:rPr>
          <w:rFonts w:cs="Arial"/>
          <w:noProof/>
        </w:rPr>
        <w:t>January</w:t>
      </w:r>
      <w:r w:rsidR="00872FA3" w:rsidRPr="004F5EA4">
        <w:rPr>
          <w:rFonts w:cs="Arial"/>
          <w:noProof/>
        </w:rPr>
        <w:t xml:space="preserve"> 202</w:t>
      </w:r>
      <w:r w:rsidR="00983951" w:rsidRPr="004F5EA4">
        <w:rPr>
          <w:rFonts w:cs="Arial"/>
          <w:noProof/>
        </w:rPr>
        <w:t>5</w:t>
      </w:r>
      <w:r w:rsidR="00CF1DE5" w:rsidRPr="004F5EA4">
        <w:rPr>
          <w:rFonts w:cs="Arial"/>
          <w:noProof/>
        </w:rPr>
        <w:t>.</w:t>
      </w:r>
      <w:r w:rsidR="00CF1DE5" w:rsidRPr="00F32842">
        <w:rPr>
          <w:rFonts w:cs="Arial"/>
          <w:noProof/>
        </w:rPr>
        <w:t xml:space="preserve"> </w:t>
      </w:r>
      <w:r w:rsidR="00D97CBC" w:rsidRPr="0072610E">
        <w:rPr>
          <w:rFonts w:cs="Arial"/>
          <w:noProof/>
        </w:rPr>
        <w:t>To ensure that this decision remains valid, the</w:t>
      </w:r>
      <w:r w:rsidR="0064476B">
        <w:rPr>
          <w:rFonts w:cs="Arial"/>
          <w:noProof/>
        </w:rPr>
        <w:t xml:space="preserve"> conditions and</w:t>
      </w:r>
      <w:r w:rsidR="00D97CBC" w:rsidRPr="0072610E">
        <w:rPr>
          <w:rFonts w:cs="Arial"/>
          <w:noProof/>
        </w:rPr>
        <w:t xml:space="preserve"> recommendations</w:t>
      </w:r>
      <w:r w:rsidR="0027138D" w:rsidRPr="0072610E">
        <w:rPr>
          <w:rFonts w:cs="Arial"/>
          <w:noProof/>
        </w:rPr>
        <w:t xml:space="preserve"> listed at Section 4</w:t>
      </w:r>
      <w:r w:rsidR="00D97CBC" w:rsidRPr="0072610E">
        <w:rPr>
          <w:rFonts w:cs="Arial"/>
          <w:noProof/>
        </w:rPr>
        <w:t xml:space="preserve"> will apply.</w:t>
      </w:r>
    </w:p>
    <w:p w14:paraId="647FA7A4" w14:textId="191680A2" w:rsidR="00885298" w:rsidRPr="004F5EA4" w:rsidRDefault="00134108" w:rsidP="004F5EA4">
      <w:pPr>
        <w:pStyle w:val="Heading1"/>
        <w:jc w:val="center"/>
        <w:rPr>
          <w:rFonts w:ascii="Arial" w:hAnsi="Arial"/>
          <w:sz w:val="32"/>
          <w:szCs w:val="32"/>
          <w:u w:val="single"/>
        </w:rPr>
      </w:pPr>
      <w:bookmarkStart w:id="2" w:name="_Toc25824100"/>
      <w:bookmarkStart w:id="3" w:name="_Toc316301050"/>
      <w:r w:rsidRPr="004F5EA4">
        <w:rPr>
          <w:rFonts w:ascii="Arial" w:hAnsi="Arial"/>
          <w:sz w:val="32"/>
          <w:szCs w:val="32"/>
        </w:rPr>
        <w:lastRenderedPageBreak/>
        <w:t>Section</w:t>
      </w:r>
      <w:r w:rsidR="00885298" w:rsidRPr="004F5EA4">
        <w:rPr>
          <w:rStyle w:val="Emphasis"/>
          <w:rFonts w:ascii="Arial" w:hAnsi="Arial"/>
          <w:i w:val="0"/>
          <w:iCs w:val="0"/>
          <w:sz w:val="32"/>
          <w:szCs w:val="32"/>
        </w:rPr>
        <w:t xml:space="preserve"> </w:t>
      </w:r>
      <w:r w:rsidR="00BC5432" w:rsidRPr="004F5EA4">
        <w:rPr>
          <w:rStyle w:val="Emphasis"/>
          <w:rFonts w:ascii="Arial" w:hAnsi="Arial"/>
          <w:i w:val="0"/>
          <w:iCs w:val="0"/>
          <w:sz w:val="32"/>
          <w:szCs w:val="32"/>
        </w:rPr>
        <w:t>1</w:t>
      </w:r>
      <w:r w:rsidR="00885298" w:rsidRPr="004F5EA4">
        <w:rPr>
          <w:rStyle w:val="Emphasis"/>
          <w:rFonts w:ascii="Arial" w:hAnsi="Arial"/>
          <w:i w:val="0"/>
          <w:iCs w:val="0"/>
          <w:sz w:val="32"/>
          <w:szCs w:val="32"/>
        </w:rPr>
        <w:t xml:space="preserve">: </w:t>
      </w:r>
      <w:r w:rsidR="0080417B" w:rsidRPr="004F5EA4">
        <w:rPr>
          <w:rStyle w:val="Emphasis"/>
          <w:rFonts w:ascii="Arial" w:hAnsi="Arial"/>
          <w:i w:val="0"/>
          <w:iCs w:val="0"/>
          <w:sz w:val="32"/>
          <w:szCs w:val="32"/>
        </w:rPr>
        <w:t>A</w:t>
      </w:r>
      <w:r w:rsidRPr="004F5EA4">
        <w:rPr>
          <w:rStyle w:val="Emphasis"/>
          <w:rFonts w:ascii="Arial" w:hAnsi="Arial"/>
          <w:i w:val="0"/>
          <w:iCs w:val="0"/>
          <w:sz w:val="32"/>
          <w:szCs w:val="32"/>
        </w:rPr>
        <w:t xml:space="preserve">ssessment Summary </w:t>
      </w:r>
      <w:bookmarkEnd w:id="2"/>
    </w:p>
    <w:p w14:paraId="048F6092" w14:textId="77777777" w:rsidR="00AB194A" w:rsidRPr="00FC2EBF" w:rsidRDefault="00AB194A" w:rsidP="00FC2EBF"/>
    <w:tbl>
      <w:tblPr>
        <w:tblStyle w:val="TableGrid"/>
        <w:tblW w:w="5000" w:type="pct"/>
        <w:tblLook w:val="04A0" w:firstRow="1" w:lastRow="0" w:firstColumn="1" w:lastColumn="0" w:noHBand="0" w:noVBand="1"/>
      </w:tblPr>
      <w:tblGrid>
        <w:gridCol w:w="1696"/>
        <w:gridCol w:w="990"/>
        <w:gridCol w:w="995"/>
        <w:gridCol w:w="1133"/>
        <w:gridCol w:w="9972"/>
      </w:tblGrid>
      <w:tr w:rsidR="00E7054C" w:rsidRPr="001F4207" w14:paraId="5241E59E" w14:textId="77777777" w:rsidTr="0072610E">
        <w:trPr>
          <w:cnfStyle w:val="100000000000" w:firstRow="1" w:lastRow="0" w:firstColumn="0" w:lastColumn="0" w:oddVBand="0" w:evenVBand="0" w:oddHBand="0" w:evenHBand="0" w:firstRowFirstColumn="0" w:firstRowLastColumn="0" w:lastRowFirstColumn="0" w:lastRowLastColumn="0"/>
        </w:trPr>
        <w:tc>
          <w:tcPr>
            <w:tcW w:w="574" w:type="pct"/>
            <w:vAlign w:val="center"/>
          </w:tcPr>
          <w:p w14:paraId="0B78829B" w14:textId="0ED9E9F2" w:rsidR="00AB194A" w:rsidRPr="001F4207" w:rsidRDefault="00B97B40" w:rsidP="000B43D5">
            <w:pPr>
              <w:spacing w:before="60" w:after="60" w:line="276" w:lineRule="auto"/>
              <w:contextualSpacing/>
              <w:jc w:val="center"/>
              <w:rPr>
                <w:rFonts w:cs="Arial"/>
                <w:b/>
                <w:sz w:val="20"/>
                <w:szCs w:val="20"/>
              </w:rPr>
            </w:pPr>
            <w:r w:rsidRPr="001F4207">
              <w:rPr>
                <w:rFonts w:cs="Arial"/>
                <w:b/>
                <w:sz w:val="20"/>
                <w:szCs w:val="20"/>
              </w:rPr>
              <w:t xml:space="preserve">Guidelines assessment </w:t>
            </w:r>
          </w:p>
        </w:tc>
        <w:tc>
          <w:tcPr>
            <w:tcW w:w="335" w:type="pct"/>
            <w:shd w:val="clear" w:color="auto" w:fill="92D050"/>
            <w:vAlign w:val="center"/>
          </w:tcPr>
          <w:p w14:paraId="29372550" w14:textId="77777777" w:rsidR="00AB194A" w:rsidRPr="001F4207" w:rsidRDefault="00AB194A" w:rsidP="008201A1">
            <w:pPr>
              <w:spacing w:before="60" w:after="60" w:line="276" w:lineRule="auto"/>
              <w:contextualSpacing/>
              <w:jc w:val="center"/>
              <w:rPr>
                <w:rFonts w:cs="Arial"/>
                <w:b/>
                <w:sz w:val="20"/>
                <w:szCs w:val="20"/>
              </w:rPr>
            </w:pPr>
            <w:r w:rsidRPr="001F4207">
              <w:rPr>
                <w:rFonts w:cs="Arial"/>
                <w:b/>
                <w:sz w:val="20"/>
                <w:szCs w:val="20"/>
              </w:rPr>
              <w:t>Meets</w:t>
            </w:r>
          </w:p>
        </w:tc>
        <w:tc>
          <w:tcPr>
            <w:tcW w:w="336" w:type="pct"/>
            <w:shd w:val="clear" w:color="auto" w:fill="FFC000"/>
            <w:vAlign w:val="center"/>
          </w:tcPr>
          <w:p w14:paraId="439F3FF6" w14:textId="77777777" w:rsidR="00AB194A" w:rsidRPr="001F4207" w:rsidRDefault="00AB194A">
            <w:pPr>
              <w:spacing w:before="60" w:after="60" w:line="276" w:lineRule="auto"/>
              <w:contextualSpacing/>
              <w:jc w:val="center"/>
              <w:rPr>
                <w:rFonts w:cs="Arial"/>
                <w:b/>
                <w:sz w:val="20"/>
                <w:szCs w:val="20"/>
              </w:rPr>
            </w:pPr>
            <w:r w:rsidRPr="001F4207">
              <w:rPr>
                <w:rFonts w:cs="Arial"/>
                <w:b/>
                <w:sz w:val="20"/>
                <w:szCs w:val="20"/>
              </w:rPr>
              <w:t>Partially meets</w:t>
            </w:r>
          </w:p>
        </w:tc>
        <w:tc>
          <w:tcPr>
            <w:tcW w:w="383" w:type="pct"/>
            <w:shd w:val="clear" w:color="auto" w:fill="FF0000"/>
            <w:vAlign w:val="center"/>
          </w:tcPr>
          <w:p w14:paraId="4F65884C" w14:textId="77777777" w:rsidR="00AB194A" w:rsidRPr="001F4207" w:rsidRDefault="00AB194A">
            <w:pPr>
              <w:spacing w:before="60" w:after="60" w:line="276" w:lineRule="auto"/>
              <w:contextualSpacing/>
              <w:jc w:val="center"/>
              <w:rPr>
                <w:rFonts w:cs="Arial"/>
                <w:b/>
                <w:sz w:val="20"/>
                <w:szCs w:val="20"/>
              </w:rPr>
            </w:pPr>
            <w:r w:rsidRPr="001F4207">
              <w:rPr>
                <w:rFonts w:cs="Arial"/>
                <w:b/>
                <w:sz w:val="20"/>
                <w:szCs w:val="20"/>
              </w:rPr>
              <w:t>Does not meet</w:t>
            </w:r>
          </w:p>
        </w:tc>
        <w:tc>
          <w:tcPr>
            <w:tcW w:w="3372" w:type="pct"/>
            <w:vAlign w:val="center"/>
          </w:tcPr>
          <w:p w14:paraId="052AB3D7" w14:textId="77777777" w:rsidR="00AB194A" w:rsidRPr="001F4207" w:rsidRDefault="00AB194A">
            <w:pPr>
              <w:spacing w:before="60" w:after="60" w:line="276" w:lineRule="auto"/>
              <w:contextualSpacing/>
              <w:jc w:val="center"/>
              <w:rPr>
                <w:rFonts w:cs="Arial"/>
                <w:b/>
                <w:sz w:val="20"/>
                <w:szCs w:val="20"/>
              </w:rPr>
            </w:pPr>
            <w:r w:rsidRPr="001F4207">
              <w:rPr>
                <w:rFonts w:cs="Arial"/>
                <w:b/>
                <w:sz w:val="20"/>
                <w:szCs w:val="20"/>
              </w:rPr>
              <w:t>Details</w:t>
            </w:r>
          </w:p>
        </w:tc>
      </w:tr>
      <w:tr w:rsidR="00E7054C" w:rsidRPr="001F4207" w14:paraId="1B656C43" w14:textId="77777777" w:rsidTr="0072610E">
        <w:trPr>
          <w:cnfStyle w:val="000000100000" w:firstRow="0" w:lastRow="0" w:firstColumn="0" w:lastColumn="0" w:oddVBand="0" w:evenVBand="0" w:oddHBand="1" w:evenHBand="0" w:firstRowFirstColumn="0" w:firstRowLastColumn="0" w:lastRowFirstColumn="0" w:lastRowLastColumn="0"/>
        </w:trPr>
        <w:tc>
          <w:tcPr>
            <w:tcW w:w="574" w:type="pct"/>
          </w:tcPr>
          <w:p w14:paraId="29382D6F" w14:textId="77777777" w:rsidR="00AB194A" w:rsidRPr="001F4207" w:rsidRDefault="00AB194A" w:rsidP="000B43D5">
            <w:pPr>
              <w:spacing w:before="60" w:after="60" w:line="276" w:lineRule="auto"/>
              <w:contextualSpacing/>
              <w:rPr>
                <w:rFonts w:cs="Arial"/>
                <w:sz w:val="20"/>
                <w:szCs w:val="20"/>
              </w:rPr>
            </w:pPr>
            <w:r w:rsidRPr="001F4207">
              <w:rPr>
                <w:rFonts w:cs="Arial"/>
                <w:sz w:val="20"/>
                <w:szCs w:val="20"/>
              </w:rPr>
              <w:t>Management regime</w:t>
            </w:r>
          </w:p>
        </w:tc>
        <w:tc>
          <w:tcPr>
            <w:tcW w:w="335" w:type="pct"/>
            <w:shd w:val="clear" w:color="auto" w:fill="92D050"/>
          </w:tcPr>
          <w:p w14:paraId="6B33C294" w14:textId="0AF38385" w:rsidR="00AB194A" w:rsidRPr="001F4207" w:rsidRDefault="002962EF" w:rsidP="008201A1">
            <w:pPr>
              <w:spacing w:before="60" w:after="60" w:line="276" w:lineRule="auto"/>
              <w:contextualSpacing/>
              <w:jc w:val="center"/>
              <w:rPr>
                <w:rFonts w:cs="Arial"/>
                <w:sz w:val="20"/>
                <w:szCs w:val="20"/>
              </w:rPr>
            </w:pPr>
            <w:r>
              <w:rPr>
                <w:rFonts w:cs="Arial"/>
                <w:sz w:val="20"/>
                <w:szCs w:val="20"/>
              </w:rPr>
              <w:t>8</w:t>
            </w:r>
            <w:r w:rsidR="000C178D">
              <w:rPr>
                <w:rFonts w:cs="Arial"/>
                <w:sz w:val="20"/>
                <w:szCs w:val="20"/>
              </w:rPr>
              <w:t xml:space="preserve"> of 9</w:t>
            </w:r>
            <w:r w:rsidR="000C178D">
              <w:rPr>
                <w:rFonts w:cs="Arial"/>
                <w:sz w:val="20"/>
                <w:szCs w:val="20"/>
              </w:rPr>
              <w:br/>
              <w:t>(1 N/A)</w:t>
            </w:r>
          </w:p>
        </w:tc>
        <w:tc>
          <w:tcPr>
            <w:tcW w:w="336" w:type="pct"/>
            <w:shd w:val="clear" w:color="auto" w:fill="auto"/>
          </w:tcPr>
          <w:p w14:paraId="3BBC9E01" w14:textId="6B339CA8" w:rsidR="00AB194A" w:rsidRPr="002962EF" w:rsidRDefault="002962EF" w:rsidP="0072610E">
            <w:pPr>
              <w:tabs>
                <w:tab w:val="left" w:pos="400"/>
                <w:tab w:val="center" w:pos="670"/>
              </w:tabs>
              <w:spacing w:before="60" w:after="60" w:line="276" w:lineRule="auto"/>
              <w:contextualSpacing/>
              <w:rPr>
                <w:rFonts w:cs="Arial"/>
                <w:sz w:val="20"/>
                <w:szCs w:val="20"/>
              </w:rPr>
            </w:pPr>
            <w:r>
              <w:rPr>
                <w:rFonts w:cs="Arial"/>
                <w:sz w:val="20"/>
                <w:szCs w:val="20"/>
              </w:rPr>
              <w:tab/>
            </w:r>
          </w:p>
        </w:tc>
        <w:tc>
          <w:tcPr>
            <w:tcW w:w="383" w:type="pct"/>
            <w:shd w:val="clear" w:color="auto" w:fill="auto"/>
          </w:tcPr>
          <w:p w14:paraId="4E06581E" w14:textId="0D7B5E53" w:rsidR="00AB194A" w:rsidRPr="001F4207" w:rsidRDefault="00AB194A" w:rsidP="000B43D5">
            <w:pPr>
              <w:spacing w:before="60" w:after="60" w:line="276" w:lineRule="auto"/>
              <w:contextualSpacing/>
              <w:jc w:val="center"/>
              <w:rPr>
                <w:rFonts w:cs="Arial"/>
                <w:sz w:val="20"/>
                <w:szCs w:val="20"/>
              </w:rPr>
            </w:pPr>
          </w:p>
        </w:tc>
        <w:tc>
          <w:tcPr>
            <w:tcW w:w="3372" w:type="pct"/>
          </w:tcPr>
          <w:p w14:paraId="646F42E0" w14:textId="1C691CA3" w:rsidR="00AB194A" w:rsidRPr="001F4207" w:rsidRDefault="004D665B">
            <w:pPr>
              <w:spacing w:before="60" w:after="60" w:line="276" w:lineRule="auto"/>
              <w:contextualSpacing/>
              <w:rPr>
                <w:rFonts w:cs="Arial"/>
                <w:sz w:val="20"/>
                <w:szCs w:val="20"/>
              </w:rPr>
            </w:pPr>
            <w:r>
              <w:rPr>
                <w:rFonts w:cs="Arial"/>
                <w:sz w:val="20"/>
                <w:szCs w:val="20"/>
              </w:rPr>
              <w:t xml:space="preserve">The management regime </w:t>
            </w:r>
            <w:r w:rsidR="00AF6581">
              <w:rPr>
                <w:rFonts w:cs="Arial"/>
                <w:sz w:val="20"/>
                <w:szCs w:val="20"/>
              </w:rPr>
              <w:t xml:space="preserve">and the stock assessment </w:t>
            </w:r>
            <w:r>
              <w:rPr>
                <w:rFonts w:cs="Arial"/>
                <w:sz w:val="20"/>
                <w:szCs w:val="20"/>
              </w:rPr>
              <w:t>of the Tasmanian Giant Crab Fishery (TGCF)</w:t>
            </w:r>
            <w:r w:rsidR="00AF6581">
              <w:rPr>
                <w:rFonts w:cs="Arial"/>
                <w:sz w:val="20"/>
                <w:szCs w:val="20"/>
              </w:rPr>
              <w:t xml:space="preserve"> </w:t>
            </w:r>
            <w:r w:rsidR="004D0F2F">
              <w:rPr>
                <w:rFonts w:cs="Arial"/>
                <w:sz w:val="20"/>
                <w:szCs w:val="20"/>
              </w:rPr>
              <w:t xml:space="preserve">are publicly available and </w:t>
            </w:r>
            <w:r w:rsidR="00AF6581">
              <w:rPr>
                <w:rFonts w:cs="Arial"/>
                <w:sz w:val="20"/>
                <w:szCs w:val="20"/>
              </w:rPr>
              <w:t>follow</w:t>
            </w:r>
            <w:r>
              <w:rPr>
                <w:rFonts w:cs="Arial"/>
                <w:sz w:val="20"/>
                <w:szCs w:val="20"/>
              </w:rPr>
              <w:t xml:space="preserve"> an open</w:t>
            </w:r>
            <w:r w:rsidR="00AF6581">
              <w:rPr>
                <w:rFonts w:cs="Arial"/>
                <w:sz w:val="20"/>
                <w:szCs w:val="20"/>
              </w:rPr>
              <w:t xml:space="preserve"> and</w:t>
            </w:r>
            <w:r>
              <w:rPr>
                <w:rFonts w:cs="Arial"/>
                <w:sz w:val="20"/>
                <w:szCs w:val="20"/>
              </w:rPr>
              <w:t xml:space="preserve"> transparent consultative process </w:t>
            </w:r>
            <w:r w:rsidR="00AF6581">
              <w:rPr>
                <w:rFonts w:cs="Arial"/>
                <w:sz w:val="20"/>
                <w:szCs w:val="20"/>
              </w:rPr>
              <w:t>involving a di</w:t>
            </w:r>
            <w:r w:rsidR="004D0F2F">
              <w:rPr>
                <w:rFonts w:cs="Arial"/>
                <w:sz w:val="20"/>
                <w:szCs w:val="20"/>
              </w:rPr>
              <w:t>verse range of stakeholders</w:t>
            </w:r>
            <w:r>
              <w:rPr>
                <w:rFonts w:cs="Arial"/>
                <w:sz w:val="20"/>
                <w:szCs w:val="20"/>
              </w:rPr>
              <w:t>. The effectiveness of the TGCF management arrangements are measured via the strategic objectives and performance criteria defined by the fishery management authority</w:t>
            </w:r>
            <w:r w:rsidR="004D0F2F">
              <w:rPr>
                <w:rFonts w:cs="Arial"/>
                <w:sz w:val="20"/>
                <w:szCs w:val="20"/>
              </w:rPr>
              <w:t>,</w:t>
            </w:r>
            <w:r>
              <w:rPr>
                <w:rFonts w:cs="Arial"/>
                <w:sz w:val="20"/>
                <w:szCs w:val="20"/>
              </w:rPr>
              <w:t xml:space="preserve"> the Tasmanian Department of Primary Industries, Parks, Water and Environment (DPIPWE). </w:t>
            </w:r>
            <w:r w:rsidR="00AF6581">
              <w:rPr>
                <w:rFonts w:cs="Arial"/>
                <w:sz w:val="20"/>
                <w:szCs w:val="20"/>
              </w:rPr>
              <w:t>The management plan</w:t>
            </w:r>
            <w:r>
              <w:rPr>
                <w:rFonts w:cs="Arial"/>
                <w:sz w:val="20"/>
                <w:szCs w:val="20"/>
              </w:rPr>
              <w:t xml:space="preserve">, arrangements, performance indicators, </w:t>
            </w:r>
            <w:r w:rsidR="004A71A5">
              <w:rPr>
                <w:rFonts w:cs="Arial"/>
                <w:sz w:val="20"/>
                <w:szCs w:val="20"/>
              </w:rPr>
              <w:t>and e</w:t>
            </w:r>
            <w:r>
              <w:rPr>
                <w:rFonts w:cs="Arial"/>
                <w:sz w:val="20"/>
                <w:szCs w:val="20"/>
              </w:rPr>
              <w:t xml:space="preserve">nforceable control rules </w:t>
            </w:r>
            <w:r w:rsidR="004A71A5">
              <w:rPr>
                <w:rFonts w:cs="Arial"/>
                <w:sz w:val="20"/>
                <w:szCs w:val="20"/>
              </w:rPr>
              <w:t>in place in the fishery</w:t>
            </w:r>
            <w:r>
              <w:rPr>
                <w:rFonts w:cs="Arial"/>
                <w:sz w:val="20"/>
                <w:szCs w:val="20"/>
              </w:rPr>
              <w:t xml:space="preserve"> are subject to a regular review process.</w:t>
            </w:r>
            <w:r w:rsidR="00AF6581">
              <w:rPr>
                <w:rFonts w:cs="Arial"/>
                <w:sz w:val="20"/>
                <w:szCs w:val="20"/>
              </w:rPr>
              <w:t xml:space="preserve"> The Department considers the management </w:t>
            </w:r>
            <w:r w:rsidR="00246FC1">
              <w:rPr>
                <w:rFonts w:cs="Arial"/>
                <w:sz w:val="20"/>
                <w:szCs w:val="20"/>
              </w:rPr>
              <w:t xml:space="preserve">regime </w:t>
            </w:r>
            <w:r w:rsidR="00AF6581">
              <w:rPr>
                <w:rFonts w:cs="Arial"/>
                <w:sz w:val="20"/>
                <w:szCs w:val="20"/>
              </w:rPr>
              <w:t>of the fishery</w:t>
            </w:r>
            <w:r w:rsidR="00246FC1">
              <w:rPr>
                <w:rFonts w:cs="Arial"/>
                <w:sz w:val="20"/>
                <w:szCs w:val="20"/>
              </w:rPr>
              <w:t xml:space="preserve"> effective at harvesting the target species sustainably, and </w:t>
            </w:r>
            <w:r w:rsidR="00AF6581">
              <w:rPr>
                <w:rFonts w:cs="Arial"/>
                <w:sz w:val="20"/>
                <w:szCs w:val="20"/>
              </w:rPr>
              <w:t xml:space="preserve">capable of effective management of </w:t>
            </w:r>
            <w:r w:rsidR="00246FC1">
              <w:rPr>
                <w:rFonts w:cs="Arial"/>
                <w:sz w:val="20"/>
                <w:szCs w:val="20"/>
              </w:rPr>
              <w:t xml:space="preserve">potential </w:t>
            </w:r>
            <w:r w:rsidR="00AF6581">
              <w:rPr>
                <w:rFonts w:cs="Arial"/>
                <w:sz w:val="20"/>
                <w:szCs w:val="20"/>
              </w:rPr>
              <w:t>impacts on the wider marine ecosystem.</w:t>
            </w:r>
          </w:p>
        </w:tc>
      </w:tr>
      <w:tr w:rsidR="00E7054C" w:rsidRPr="001F4207" w14:paraId="56282922" w14:textId="77777777" w:rsidTr="004F5EA4">
        <w:trPr>
          <w:cnfStyle w:val="000000010000" w:firstRow="0" w:lastRow="0" w:firstColumn="0" w:lastColumn="0" w:oddVBand="0" w:evenVBand="0" w:oddHBand="0" w:evenHBand="1" w:firstRowFirstColumn="0" w:firstRowLastColumn="0" w:lastRowFirstColumn="0" w:lastRowLastColumn="0"/>
        </w:trPr>
        <w:tc>
          <w:tcPr>
            <w:tcW w:w="574" w:type="pct"/>
          </w:tcPr>
          <w:p w14:paraId="1CF6F480" w14:textId="77777777" w:rsidR="00AB194A" w:rsidRPr="001F4207" w:rsidRDefault="00AB194A" w:rsidP="000B43D5">
            <w:pPr>
              <w:spacing w:before="60" w:after="60" w:line="276" w:lineRule="auto"/>
              <w:contextualSpacing/>
              <w:rPr>
                <w:rFonts w:cs="Arial"/>
                <w:sz w:val="20"/>
                <w:szCs w:val="20"/>
              </w:rPr>
            </w:pPr>
            <w:r w:rsidRPr="001F4207">
              <w:rPr>
                <w:rFonts w:cs="Arial"/>
                <w:sz w:val="20"/>
                <w:szCs w:val="20"/>
              </w:rPr>
              <w:t>Principle 1 (target stocks)</w:t>
            </w:r>
          </w:p>
        </w:tc>
        <w:tc>
          <w:tcPr>
            <w:tcW w:w="335" w:type="pct"/>
            <w:shd w:val="clear" w:color="auto" w:fill="FFFFFF" w:themeFill="background1"/>
          </w:tcPr>
          <w:p w14:paraId="490E81C8" w14:textId="4A17CB9F" w:rsidR="00AB194A" w:rsidRPr="001F4207" w:rsidRDefault="002962EF" w:rsidP="000B43D5">
            <w:pPr>
              <w:spacing w:before="60" w:after="60" w:line="276" w:lineRule="auto"/>
              <w:contextualSpacing/>
              <w:jc w:val="center"/>
              <w:rPr>
                <w:rFonts w:cs="Arial"/>
                <w:sz w:val="20"/>
                <w:szCs w:val="20"/>
              </w:rPr>
            </w:pPr>
            <w:r>
              <w:rPr>
                <w:rFonts w:cs="Arial"/>
                <w:sz w:val="20"/>
                <w:szCs w:val="20"/>
              </w:rPr>
              <w:t>5</w:t>
            </w:r>
            <w:r w:rsidR="000C178D">
              <w:rPr>
                <w:rFonts w:cs="Arial"/>
                <w:sz w:val="20"/>
                <w:szCs w:val="20"/>
              </w:rPr>
              <w:t xml:space="preserve"> of </w:t>
            </w:r>
            <w:r>
              <w:rPr>
                <w:rFonts w:cs="Arial"/>
                <w:sz w:val="20"/>
                <w:szCs w:val="20"/>
              </w:rPr>
              <w:t>11</w:t>
            </w:r>
          </w:p>
        </w:tc>
        <w:tc>
          <w:tcPr>
            <w:tcW w:w="336" w:type="pct"/>
            <w:shd w:val="clear" w:color="auto" w:fill="FFFFFF" w:themeFill="background1"/>
          </w:tcPr>
          <w:p w14:paraId="4C95A0BC" w14:textId="1E69C253" w:rsidR="00AB194A" w:rsidRPr="001F4207" w:rsidRDefault="00B66224" w:rsidP="008201A1">
            <w:pPr>
              <w:spacing w:before="60" w:after="60" w:line="276" w:lineRule="auto"/>
              <w:contextualSpacing/>
              <w:jc w:val="center"/>
              <w:rPr>
                <w:rFonts w:cs="Arial"/>
                <w:sz w:val="20"/>
                <w:szCs w:val="20"/>
              </w:rPr>
            </w:pPr>
            <w:r>
              <w:rPr>
                <w:rFonts w:cs="Arial"/>
                <w:sz w:val="20"/>
                <w:szCs w:val="20"/>
              </w:rPr>
              <w:t>5</w:t>
            </w:r>
            <w:r w:rsidR="000C178D">
              <w:rPr>
                <w:rFonts w:cs="Arial"/>
                <w:sz w:val="20"/>
                <w:szCs w:val="20"/>
              </w:rPr>
              <w:t xml:space="preserve"> of </w:t>
            </w:r>
            <w:r w:rsidR="002962EF">
              <w:rPr>
                <w:rFonts w:cs="Arial"/>
                <w:sz w:val="20"/>
                <w:szCs w:val="20"/>
              </w:rPr>
              <w:t>11</w:t>
            </w:r>
          </w:p>
        </w:tc>
        <w:tc>
          <w:tcPr>
            <w:tcW w:w="383" w:type="pct"/>
            <w:shd w:val="clear" w:color="auto" w:fill="FF0000"/>
          </w:tcPr>
          <w:p w14:paraId="2344264A" w14:textId="0C70FD19" w:rsidR="00AB194A" w:rsidRPr="001F4207" w:rsidRDefault="002962EF">
            <w:pPr>
              <w:spacing w:before="60" w:after="60" w:line="276" w:lineRule="auto"/>
              <w:contextualSpacing/>
              <w:jc w:val="center"/>
              <w:rPr>
                <w:rFonts w:cs="Arial"/>
                <w:sz w:val="20"/>
                <w:szCs w:val="20"/>
              </w:rPr>
            </w:pPr>
            <w:r>
              <w:rPr>
                <w:rFonts w:cs="Arial"/>
                <w:sz w:val="20"/>
                <w:szCs w:val="20"/>
              </w:rPr>
              <w:t>1 of 11</w:t>
            </w:r>
          </w:p>
        </w:tc>
        <w:tc>
          <w:tcPr>
            <w:tcW w:w="3372" w:type="pct"/>
          </w:tcPr>
          <w:p w14:paraId="50262C2C" w14:textId="1FCA632D" w:rsidR="0065452B" w:rsidRDefault="00E86A35" w:rsidP="0072610E">
            <w:pPr>
              <w:spacing w:before="60" w:line="276" w:lineRule="auto"/>
              <w:rPr>
                <w:sz w:val="20"/>
                <w:szCs w:val="20"/>
              </w:rPr>
            </w:pPr>
            <w:r>
              <w:rPr>
                <w:sz w:val="20"/>
                <w:szCs w:val="20"/>
              </w:rPr>
              <w:t>R</w:t>
            </w:r>
            <w:r w:rsidR="000B554D" w:rsidRPr="0072610E">
              <w:rPr>
                <w:sz w:val="20"/>
                <w:szCs w:val="20"/>
              </w:rPr>
              <w:t xml:space="preserve">eliable estimates of commercial, recreational and </w:t>
            </w:r>
            <w:r w:rsidR="00086BA9">
              <w:rPr>
                <w:sz w:val="20"/>
                <w:szCs w:val="20"/>
              </w:rPr>
              <w:t>I</w:t>
            </w:r>
            <w:r w:rsidR="000B554D" w:rsidRPr="0072610E">
              <w:rPr>
                <w:sz w:val="20"/>
                <w:szCs w:val="20"/>
              </w:rPr>
              <w:t xml:space="preserve">ndigenous removals from the fished stock </w:t>
            </w:r>
            <w:r>
              <w:rPr>
                <w:sz w:val="20"/>
                <w:szCs w:val="20"/>
              </w:rPr>
              <w:t>in the TGCF are available</w:t>
            </w:r>
            <w:r w:rsidR="000B554D" w:rsidRPr="0072610E">
              <w:rPr>
                <w:sz w:val="20"/>
                <w:szCs w:val="20"/>
              </w:rPr>
              <w:t>. Scientific surveys advise and supp</w:t>
            </w:r>
            <w:r w:rsidRPr="000B43D5">
              <w:rPr>
                <w:sz w:val="20"/>
                <w:szCs w:val="20"/>
              </w:rPr>
              <w:t>ort the management of the TGCF</w:t>
            </w:r>
            <w:r>
              <w:rPr>
                <w:sz w:val="20"/>
                <w:szCs w:val="20"/>
              </w:rPr>
              <w:t xml:space="preserve"> and can </w:t>
            </w:r>
            <w:r w:rsidR="000B554D" w:rsidRPr="0072610E">
              <w:rPr>
                <w:sz w:val="20"/>
                <w:szCs w:val="20"/>
              </w:rPr>
              <w:t>trigger management responses</w:t>
            </w:r>
            <w:r>
              <w:rPr>
                <w:sz w:val="20"/>
                <w:szCs w:val="20"/>
              </w:rPr>
              <w:t>. T</w:t>
            </w:r>
            <w:r w:rsidR="000B554D" w:rsidRPr="0072610E">
              <w:rPr>
                <w:sz w:val="20"/>
                <w:szCs w:val="20"/>
              </w:rPr>
              <w:t>he total allowable catch</w:t>
            </w:r>
            <w:r w:rsidR="003C2AD2">
              <w:rPr>
                <w:sz w:val="20"/>
                <w:szCs w:val="20"/>
              </w:rPr>
              <w:t xml:space="preserve"> (TAC)</w:t>
            </w:r>
            <w:r w:rsidR="000B554D" w:rsidRPr="0072610E">
              <w:rPr>
                <w:sz w:val="20"/>
                <w:szCs w:val="20"/>
              </w:rPr>
              <w:t xml:space="preserve"> is </w:t>
            </w:r>
            <w:r w:rsidR="006E549D" w:rsidRPr="0072610E">
              <w:rPr>
                <w:sz w:val="20"/>
                <w:szCs w:val="20"/>
              </w:rPr>
              <w:t>periodically reviewed</w:t>
            </w:r>
            <w:r w:rsidR="000B554D" w:rsidRPr="0072610E">
              <w:rPr>
                <w:sz w:val="20"/>
                <w:szCs w:val="20"/>
              </w:rPr>
              <w:t xml:space="preserve"> and adjusted according to</w:t>
            </w:r>
            <w:r w:rsidR="00376B57" w:rsidRPr="000B43D5">
              <w:rPr>
                <w:sz w:val="20"/>
                <w:szCs w:val="20"/>
              </w:rPr>
              <w:t xml:space="preserve"> survey and assessment outcomes</w:t>
            </w:r>
            <w:r w:rsidR="00C5695A">
              <w:rPr>
                <w:sz w:val="20"/>
                <w:szCs w:val="20"/>
              </w:rPr>
              <w:t>,</w:t>
            </w:r>
            <w:r w:rsidR="00376B57">
              <w:rPr>
                <w:sz w:val="20"/>
                <w:szCs w:val="20"/>
              </w:rPr>
              <w:t xml:space="preserve"> and r</w:t>
            </w:r>
            <w:r w:rsidR="00566137" w:rsidRPr="0072610E">
              <w:rPr>
                <w:sz w:val="20"/>
                <w:szCs w:val="20"/>
              </w:rPr>
              <w:t>obust reference points trigger</w:t>
            </w:r>
            <w:r>
              <w:rPr>
                <w:sz w:val="20"/>
                <w:szCs w:val="20"/>
              </w:rPr>
              <w:t>ing</w:t>
            </w:r>
            <w:r w:rsidR="00566137" w:rsidRPr="0072610E">
              <w:rPr>
                <w:sz w:val="20"/>
                <w:szCs w:val="20"/>
              </w:rPr>
              <w:t xml:space="preserve"> management actions </w:t>
            </w:r>
            <w:r w:rsidRPr="000B43D5">
              <w:rPr>
                <w:sz w:val="20"/>
                <w:szCs w:val="20"/>
              </w:rPr>
              <w:t xml:space="preserve">are </w:t>
            </w:r>
            <w:r>
              <w:rPr>
                <w:sz w:val="20"/>
                <w:szCs w:val="20"/>
              </w:rPr>
              <w:t>in place</w:t>
            </w:r>
            <w:r w:rsidR="00566137" w:rsidRPr="0072610E">
              <w:rPr>
                <w:sz w:val="20"/>
                <w:szCs w:val="20"/>
              </w:rPr>
              <w:t>.</w:t>
            </w:r>
            <w:r w:rsidR="000F57D7">
              <w:rPr>
                <w:rFonts w:cs="Arial"/>
                <w:sz w:val="20"/>
                <w:szCs w:val="20"/>
              </w:rPr>
              <w:t xml:space="preserve"> However, the Department considers the </w:t>
            </w:r>
            <w:r w:rsidR="000F57D7">
              <w:rPr>
                <w:sz w:val="20"/>
                <w:szCs w:val="20"/>
              </w:rPr>
              <w:t>i</w:t>
            </w:r>
            <w:r w:rsidR="00B97C52" w:rsidRPr="0072610E">
              <w:rPr>
                <w:sz w:val="20"/>
                <w:szCs w:val="20"/>
              </w:rPr>
              <w:t xml:space="preserve">nformation </w:t>
            </w:r>
            <w:r w:rsidR="000F57D7" w:rsidRPr="000B43D5">
              <w:rPr>
                <w:sz w:val="20"/>
                <w:szCs w:val="20"/>
              </w:rPr>
              <w:t>collection system is not reliable</w:t>
            </w:r>
            <w:r w:rsidR="000F57D7">
              <w:rPr>
                <w:sz w:val="20"/>
                <w:szCs w:val="20"/>
              </w:rPr>
              <w:t>.</w:t>
            </w:r>
            <w:r w:rsidR="00B97C52" w:rsidRPr="0072610E">
              <w:rPr>
                <w:sz w:val="20"/>
                <w:szCs w:val="20"/>
              </w:rPr>
              <w:t xml:space="preserve"> </w:t>
            </w:r>
            <w:r w:rsidR="000F57D7">
              <w:rPr>
                <w:sz w:val="20"/>
                <w:szCs w:val="20"/>
              </w:rPr>
              <w:t>Data</w:t>
            </w:r>
            <w:r w:rsidR="00B97C52" w:rsidRPr="0072610E">
              <w:rPr>
                <w:sz w:val="20"/>
                <w:szCs w:val="20"/>
              </w:rPr>
              <w:t xml:space="preserve"> collection and stock </w:t>
            </w:r>
            <w:r w:rsidR="007C6F81" w:rsidRPr="008201A1">
              <w:rPr>
                <w:sz w:val="20"/>
                <w:szCs w:val="20"/>
              </w:rPr>
              <w:t xml:space="preserve">assessment </w:t>
            </w:r>
            <w:r w:rsidR="007C6F81">
              <w:rPr>
                <w:sz w:val="20"/>
                <w:szCs w:val="20"/>
              </w:rPr>
              <w:t>are</w:t>
            </w:r>
            <w:r w:rsidR="00B97C52" w:rsidRPr="0072610E">
              <w:rPr>
                <w:sz w:val="20"/>
                <w:szCs w:val="20"/>
              </w:rPr>
              <w:t xml:space="preserve"> mostly based on fishery-dependent research and</w:t>
            </w:r>
            <w:r w:rsidR="000F57D7" w:rsidRPr="000B43D5">
              <w:rPr>
                <w:sz w:val="20"/>
                <w:szCs w:val="20"/>
              </w:rPr>
              <w:t xml:space="preserve"> monitoring data</w:t>
            </w:r>
            <w:r w:rsidR="00486C71">
              <w:rPr>
                <w:sz w:val="20"/>
                <w:szCs w:val="20"/>
              </w:rPr>
              <w:t xml:space="preserve">. </w:t>
            </w:r>
          </w:p>
          <w:p w14:paraId="05BB9D42" w14:textId="599F4143" w:rsidR="0017665F" w:rsidRDefault="00486C71" w:rsidP="0072610E">
            <w:pPr>
              <w:spacing w:before="60" w:line="276" w:lineRule="auto"/>
              <w:rPr>
                <w:sz w:val="20"/>
                <w:szCs w:val="20"/>
              </w:rPr>
            </w:pPr>
            <w:r>
              <w:rPr>
                <w:sz w:val="20"/>
                <w:szCs w:val="20"/>
              </w:rPr>
              <w:t>S</w:t>
            </w:r>
            <w:r w:rsidR="00741C7D" w:rsidRPr="0072610E">
              <w:rPr>
                <w:sz w:val="20"/>
                <w:szCs w:val="20"/>
              </w:rPr>
              <w:t xml:space="preserve">tock assessment modelling </w:t>
            </w:r>
            <w:r w:rsidR="000F57D7">
              <w:rPr>
                <w:sz w:val="20"/>
                <w:szCs w:val="20"/>
              </w:rPr>
              <w:t xml:space="preserve">has not been used </w:t>
            </w:r>
            <w:r w:rsidR="00741C7D" w:rsidRPr="0072610E">
              <w:rPr>
                <w:sz w:val="20"/>
                <w:szCs w:val="20"/>
              </w:rPr>
              <w:t xml:space="preserve">since 2015 and spatial biomass estimates lack accuracy due to </w:t>
            </w:r>
            <w:r w:rsidR="000F57D7">
              <w:rPr>
                <w:sz w:val="20"/>
                <w:szCs w:val="20"/>
              </w:rPr>
              <w:t>gap</w:t>
            </w:r>
            <w:r w:rsidR="00387ECB">
              <w:rPr>
                <w:sz w:val="20"/>
                <w:szCs w:val="20"/>
              </w:rPr>
              <w:t>s</w:t>
            </w:r>
            <w:r w:rsidR="000F57D7">
              <w:rPr>
                <w:sz w:val="20"/>
                <w:szCs w:val="20"/>
              </w:rPr>
              <w:t xml:space="preserve"> in </w:t>
            </w:r>
            <w:r w:rsidR="00741C7D" w:rsidRPr="0072610E">
              <w:rPr>
                <w:sz w:val="20"/>
                <w:szCs w:val="20"/>
              </w:rPr>
              <w:t xml:space="preserve">biological data. </w:t>
            </w:r>
            <w:r w:rsidR="00387ECB">
              <w:rPr>
                <w:sz w:val="20"/>
                <w:szCs w:val="20"/>
              </w:rPr>
              <w:t>G</w:t>
            </w:r>
            <w:r w:rsidR="00387ECB" w:rsidRPr="001C0334">
              <w:rPr>
                <w:sz w:val="20"/>
                <w:szCs w:val="20"/>
              </w:rPr>
              <w:t>iant crab</w:t>
            </w:r>
            <w:r w:rsidR="00387ECB">
              <w:rPr>
                <w:sz w:val="20"/>
                <w:szCs w:val="20"/>
              </w:rPr>
              <w:t>s</w:t>
            </w:r>
            <w:r w:rsidR="00387ECB" w:rsidRPr="001C0334">
              <w:rPr>
                <w:sz w:val="20"/>
                <w:szCs w:val="20"/>
              </w:rPr>
              <w:t xml:space="preserve"> </w:t>
            </w:r>
            <w:r w:rsidR="00387ECB">
              <w:rPr>
                <w:sz w:val="20"/>
                <w:szCs w:val="20"/>
              </w:rPr>
              <w:t>s</w:t>
            </w:r>
            <w:r w:rsidR="00664450" w:rsidRPr="0072610E">
              <w:rPr>
                <w:sz w:val="20"/>
                <w:szCs w:val="20"/>
              </w:rPr>
              <w:t>tock</w:t>
            </w:r>
            <w:r w:rsidR="00387ECB">
              <w:rPr>
                <w:sz w:val="20"/>
                <w:szCs w:val="20"/>
              </w:rPr>
              <w:t>s</w:t>
            </w:r>
            <w:r w:rsidR="00664450" w:rsidRPr="0072610E">
              <w:rPr>
                <w:sz w:val="20"/>
                <w:szCs w:val="20"/>
              </w:rPr>
              <w:t xml:space="preserve"> in the TGCF </w:t>
            </w:r>
            <w:r w:rsidR="00387ECB">
              <w:rPr>
                <w:sz w:val="20"/>
                <w:szCs w:val="20"/>
              </w:rPr>
              <w:t>are</w:t>
            </w:r>
            <w:r w:rsidR="00664450" w:rsidRPr="0072610E">
              <w:rPr>
                <w:sz w:val="20"/>
                <w:szCs w:val="20"/>
              </w:rPr>
              <w:t xml:space="preserve"> considered overfished </w:t>
            </w:r>
            <w:r w:rsidR="00387ECB">
              <w:rPr>
                <w:sz w:val="20"/>
                <w:szCs w:val="20"/>
              </w:rPr>
              <w:t xml:space="preserve">and </w:t>
            </w:r>
            <w:r w:rsidR="00664450" w:rsidRPr="0072610E">
              <w:rPr>
                <w:sz w:val="20"/>
                <w:szCs w:val="20"/>
              </w:rPr>
              <w:t>precautionary management action</w:t>
            </w:r>
            <w:r w:rsidR="00387ECB">
              <w:rPr>
                <w:sz w:val="20"/>
                <w:szCs w:val="20"/>
              </w:rPr>
              <w:t>s</w:t>
            </w:r>
            <w:r w:rsidR="00664450" w:rsidRPr="0072610E">
              <w:rPr>
                <w:sz w:val="20"/>
                <w:szCs w:val="20"/>
              </w:rPr>
              <w:t xml:space="preserve"> to reduce the TAC every year as a response to declining catch rates.</w:t>
            </w:r>
            <w:r w:rsidR="0017665F">
              <w:rPr>
                <w:sz w:val="20"/>
                <w:szCs w:val="20"/>
              </w:rPr>
              <w:t xml:space="preserve"> </w:t>
            </w:r>
            <w:r w:rsidR="00387ECB">
              <w:rPr>
                <w:sz w:val="20"/>
                <w:szCs w:val="20"/>
              </w:rPr>
              <w:t>T</w:t>
            </w:r>
            <w:r w:rsidR="00664450" w:rsidRPr="0072610E">
              <w:rPr>
                <w:sz w:val="20"/>
                <w:szCs w:val="20"/>
              </w:rPr>
              <w:t>he</w:t>
            </w:r>
            <w:r w:rsidR="000F57D7">
              <w:rPr>
                <w:sz w:val="20"/>
                <w:szCs w:val="20"/>
              </w:rPr>
              <w:t xml:space="preserve"> unknown</w:t>
            </w:r>
            <w:r w:rsidR="00664450" w:rsidRPr="0072610E">
              <w:rPr>
                <w:sz w:val="20"/>
                <w:szCs w:val="20"/>
              </w:rPr>
              <w:t xml:space="preserve"> </w:t>
            </w:r>
            <w:r w:rsidR="008609EB" w:rsidRPr="001805C6">
              <w:rPr>
                <w:sz w:val="20"/>
                <w:szCs w:val="20"/>
              </w:rPr>
              <w:t>exten</w:t>
            </w:r>
            <w:r w:rsidR="008609EB">
              <w:rPr>
                <w:sz w:val="20"/>
                <w:szCs w:val="20"/>
              </w:rPr>
              <w:t>t</w:t>
            </w:r>
            <w:r w:rsidR="00664450" w:rsidRPr="0072610E">
              <w:rPr>
                <w:sz w:val="20"/>
                <w:szCs w:val="20"/>
              </w:rPr>
              <w:t xml:space="preserve"> </w:t>
            </w:r>
            <w:r w:rsidR="000F57D7">
              <w:rPr>
                <w:sz w:val="20"/>
                <w:szCs w:val="20"/>
              </w:rPr>
              <w:t xml:space="preserve">to which </w:t>
            </w:r>
            <w:r w:rsidR="00664450" w:rsidRPr="0072610E">
              <w:rPr>
                <w:sz w:val="20"/>
                <w:szCs w:val="20"/>
              </w:rPr>
              <w:t>trawling ac</w:t>
            </w:r>
            <w:r w:rsidR="00753BA3" w:rsidRPr="0072610E">
              <w:rPr>
                <w:sz w:val="20"/>
                <w:szCs w:val="20"/>
              </w:rPr>
              <w:t xml:space="preserve">tivities </w:t>
            </w:r>
            <w:r w:rsidR="000F57D7">
              <w:rPr>
                <w:sz w:val="20"/>
                <w:szCs w:val="20"/>
              </w:rPr>
              <w:t xml:space="preserve">in Tasmanian waters affect the stock and natural habitat of </w:t>
            </w:r>
            <w:r w:rsidR="00753BA3" w:rsidRPr="0072610E">
              <w:rPr>
                <w:sz w:val="20"/>
                <w:szCs w:val="20"/>
              </w:rPr>
              <w:t>giant</w:t>
            </w:r>
            <w:r w:rsidR="000F57D7" w:rsidRPr="000B43D5">
              <w:rPr>
                <w:sz w:val="20"/>
                <w:szCs w:val="20"/>
              </w:rPr>
              <w:t xml:space="preserve"> crab</w:t>
            </w:r>
            <w:r w:rsidR="000F57D7">
              <w:rPr>
                <w:sz w:val="20"/>
                <w:szCs w:val="20"/>
              </w:rPr>
              <w:t>s</w:t>
            </w:r>
            <w:r w:rsidR="00664450" w:rsidRPr="0072610E">
              <w:rPr>
                <w:sz w:val="20"/>
                <w:szCs w:val="20"/>
              </w:rPr>
              <w:t>,</w:t>
            </w:r>
            <w:r w:rsidR="000F57D7">
              <w:rPr>
                <w:sz w:val="20"/>
                <w:szCs w:val="20"/>
              </w:rPr>
              <w:t xml:space="preserve"> and the ability for the target stock to recover from trawling impact and/or overfishing</w:t>
            </w:r>
            <w:r w:rsidR="00387ECB">
              <w:rPr>
                <w:sz w:val="20"/>
                <w:szCs w:val="20"/>
              </w:rPr>
              <w:t xml:space="preserve"> is also an issue that need further research</w:t>
            </w:r>
            <w:r w:rsidR="000F57D7">
              <w:rPr>
                <w:sz w:val="20"/>
                <w:szCs w:val="20"/>
              </w:rPr>
              <w:t>.</w:t>
            </w:r>
            <w:r w:rsidR="00664450" w:rsidRPr="0072610E">
              <w:rPr>
                <w:sz w:val="20"/>
                <w:szCs w:val="20"/>
              </w:rPr>
              <w:t xml:space="preserve"> </w:t>
            </w:r>
            <w:r w:rsidR="00B97C52" w:rsidRPr="0072610E">
              <w:rPr>
                <w:sz w:val="20"/>
                <w:szCs w:val="20"/>
              </w:rPr>
              <w:t>The Department notes DPIPWE</w:t>
            </w:r>
            <w:r w:rsidR="0065452B">
              <w:rPr>
                <w:sz w:val="20"/>
                <w:szCs w:val="20"/>
              </w:rPr>
              <w:t>’s</w:t>
            </w:r>
            <w:r w:rsidR="00B97C52" w:rsidRPr="0072610E">
              <w:rPr>
                <w:sz w:val="20"/>
                <w:szCs w:val="20"/>
              </w:rPr>
              <w:t xml:space="preserve"> work with fishers to improve data collection in the fishery and acknowledges </w:t>
            </w:r>
            <w:r w:rsidR="00107546">
              <w:rPr>
                <w:sz w:val="20"/>
                <w:szCs w:val="20"/>
              </w:rPr>
              <w:t>that the</w:t>
            </w:r>
            <w:r w:rsidR="00B97C52" w:rsidRPr="0072610E">
              <w:rPr>
                <w:sz w:val="20"/>
                <w:szCs w:val="20"/>
              </w:rPr>
              <w:t xml:space="preserve"> joint cross-jurisdictional project of the </w:t>
            </w:r>
            <w:r w:rsidR="003B4168">
              <w:rPr>
                <w:rFonts w:cs="Arial"/>
                <w:sz w:val="20"/>
                <w:szCs w:val="20"/>
              </w:rPr>
              <w:t>Fisheries Research and Development Corporation (FRDC)</w:t>
            </w:r>
            <w:r w:rsidR="00B97C52" w:rsidRPr="0072610E">
              <w:rPr>
                <w:sz w:val="20"/>
                <w:szCs w:val="20"/>
              </w:rPr>
              <w:t xml:space="preserve"> and </w:t>
            </w:r>
            <w:r w:rsidR="003B4168">
              <w:rPr>
                <w:rFonts w:cs="Arial"/>
                <w:sz w:val="20"/>
                <w:szCs w:val="20"/>
              </w:rPr>
              <w:t xml:space="preserve">the Institute for Marine and Antarctic Studies (IMAS) </w:t>
            </w:r>
            <w:r w:rsidR="00B97C52" w:rsidRPr="0072610E">
              <w:rPr>
                <w:sz w:val="20"/>
                <w:szCs w:val="20"/>
              </w:rPr>
              <w:t>set to start early 2020</w:t>
            </w:r>
            <w:r w:rsidR="00572F54" w:rsidRPr="0072610E">
              <w:rPr>
                <w:sz w:val="20"/>
                <w:szCs w:val="20"/>
              </w:rPr>
              <w:t>. The Depar</w:t>
            </w:r>
            <w:r w:rsidR="0017665F" w:rsidRPr="000B43D5">
              <w:rPr>
                <w:sz w:val="20"/>
                <w:szCs w:val="20"/>
              </w:rPr>
              <w:t>tment expects DPIPWE to provide</w:t>
            </w:r>
            <w:r w:rsidR="00572F54" w:rsidRPr="0072610E">
              <w:rPr>
                <w:sz w:val="20"/>
                <w:szCs w:val="20"/>
              </w:rPr>
              <w:t xml:space="preserve"> regular updates on the progress and outcome</w:t>
            </w:r>
            <w:r w:rsidR="00387ECB">
              <w:rPr>
                <w:sz w:val="20"/>
                <w:szCs w:val="20"/>
              </w:rPr>
              <w:t>s</w:t>
            </w:r>
            <w:r w:rsidR="00572F54" w:rsidRPr="0072610E">
              <w:rPr>
                <w:sz w:val="20"/>
                <w:szCs w:val="20"/>
              </w:rPr>
              <w:t xml:space="preserve"> of the project via the fishery’s annual reports</w:t>
            </w:r>
            <w:r w:rsidR="00224D67" w:rsidRPr="0072610E">
              <w:rPr>
                <w:sz w:val="20"/>
                <w:szCs w:val="20"/>
              </w:rPr>
              <w:t xml:space="preserve">. </w:t>
            </w:r>
          </w:p>
          <w:p w14:paraId="087D9E22" w14:textId="03FB7294" w:rsidR="00D105F7" w:rsidRPr="0072610E" w:rsidRDefault="00A644F8" w:rsidP="0072610E">
            <w:pPr>
              <w:spacing w:before="60" w:after="0" w:line="276" w:lineRule="auto"/>
              <w:rPr>
                <w:sz w:val="20"/>
                <w:szCs w:val="20"/>
              </w:rPr>
            </w:pPr>
            <w:r w:rsidRPr="001805C6">
              <w:rPr>
                <w:sz w:val="20"/>
                <w:szCs w:val="20"/>
              </w:rPr>
              <w:t>The Department considers that</w:t>
            </w:r>
            <w:r w:rsidR="00DF4FB0" w:rsidRPr="0072610E">
              <w:rPr>
                <w:sz w:val="20"/>
                <w:szCs w:val="20"/>
              </w:rPr>
              <w:t xml:space="preserve"> the implementation of effective management strategies, and the relatively low fishing effort</w:t>
            </w:r>
            <w:r w:rsidR="0017665F" w:rsidRPr="000B43D5">
              <w:rPr>
                <w:sz w:val="20"/>
                <w:szCs w:val="20"/>
              </w:rPr>
              <w:t xml:space="preserve"> in the TGCF</w:t>
            </w:r>
            <w:r w:rsidR="00DF4FB0" w:rsidRPr="0072610E">
              <w:rPr>
                <w:sz w:val="20"/>
                <w:szCs w:val="20"/>
              </w:rPr>
              <w:t xml:space="preserve"> are capable of controlling the level of giant crab take and not threaten stocks of </w:t>
            </w:r>
            <w:proofErr w:type="spellStart"/>
            <w:r w:rsidR="00DF4FB0" w:rsidRPr="0072610E">
              <w:rPr>
                <w:sz w:val="20"/>
                <w:szCs w:val="20"/>
              </w:rPr>
              <w:t>byproduct</w:t>
            </w:r>
            <w:proofErr w:type="spellEnd"/>
            <w:r w:rsidR="00DF4FB0" w:rsidRPr="0072610E">
              <w:rPr>
                <w:sz w:val="20"/>
                <w:szCs w:val="20"/>
              </w:rPr>
              <w:t xml:space="preserve"> species</w:t>
            </w:r>
            <w:r w:rsidR="0017665F">
              <w:rPr>
                <w:sz w:val="20"/>
                <w:szCs w:val="20"/>
              </w:rPr>
              <w:t>,</w:t>
            </w:r>
            <w:r w:rsidR="00DF4FB0" w:rsidRPr="0072610E">
              <w:rPr>
                <w:sz w:val="20"/>
                <w:szCs w:val="20"/>
              </w:rPr>
              <w:t xml:space="preserve"> since bycatch and the take of </w:t>
            </w:r>
            <w:proofErr w:type="spellStart"/>
            <w:r w:rsidR="00DF4FB0" w:rsidRPr="0072610E">
              <w:rPr>
                <w:sz w:val="20"/>
                <w:szCs w:val="20"/>
              </w:rPr>
              <w:t>byproduct</w:t>
            </w:r>
            <w:proofErr w:type="spellEnd"/>
            <w:r w:rsidR="00DF4FB0" w:rsidRPr="0072610E">
              <w:rPr>
                <w:sz w:val="20"/>
                <w:szCs w:val="20"/>
              </w:rPr>
              <w:t xml:space="preserve"> species is considered negligible.</w:t>
            </w:r>
            <w:r w:rsidR="00E7054C" w:rsidRPr="0072610E">
              <w:rPr>
                <w:sz w:val="20"/>
                <w:szCs w:val="20"/>
              </w:rPr>
              <w:t xml:space="preserve"> </w:t>
            </w:r>
            <w:r w:rsidR="0017665F">
              <w:rPr>
                <w:sz w:val="20"/>
                <w:szCs w:val="20"/>
              </w:rPr>
              <w:t>M</w:t>
            </w:r>
            <w:r w:rsidR="00E7054C" w:rsidRPr="0072610E">
              <w:rPr>
                <w:sz w:val="20"/>
                <w:szCs w:val="20"/>
              </w:rPr>
              <w:t>anagement response</w:t>
            </w:r>
            <w:r w:rsidR="0017665F">
              <w:rPr>
                <w:sz w:val="20"/>
                <w:szCs w:val="20"/>
              </w:rPr>
              <w:t>s</w:t>
            </w:r>
            <w:r w:rsidR="0017665F" w:rsidRPr="000B43D5">
              <w:rPr>
                <w:sz w:val="20"/>
                <w:szCs w:val="20"/>
              </w:rPr>
              <w:t xml:space="preserve"> </w:t>
            </w:r>
            <w:r w:rsidR="0017665F">
              <w:rPr>
                <w:sz w:val="20"/>
                <w:szCs w:val="20"/>
              </w:rPr>
              <w:t>are</w:t>
            </w:r>
            <w:r w:rsidR="00E7054C" w:rsidRPr="0072610E">
              <w:rPr>
                <w:sz w:val="20"/>
                <w:szCs w:val="20"/>
              </w:rPr>
              <w:t xml:space="preserve"> considered to have a high chan</w:t>
            </w:r>
            <w:r w:rsidR="00387ECB">
              <w:rPr>
                <w:sz w:val="20"/>
                <w:szCs w:val="20"/>
              </w:rPr>
              <w:t>c</w:t>
            </w:r>
            <w:r w:rsidR="00E7054C" w:rsidRPr="0072610E">
              <w:rPr>
                <w:sz w:val="20"/>
                <w:szCs w:val="20"/>
              </w:rPr>
              <w:t>e of</w:t>
            </w:r>
            <w:r w:rsidR="0017665F" w:rsidRPr="000B43D5">
              <w:rPr>
                <w:sz w:val="20"/>
                <w:szCs w:val="20"/>
              </w:rPr>
              <w:t xml:space="preserve"> meeting </w:t>
            </w:r>
            <w:r w:rsidR="0017665F">
              <w:rPr>
                <w:sz w:val="20"/>
                <w:szCs w:val="20"/>
              </w:rPr>
              <w:t>their</w:t>
            </w:r>
            <w:r w:rsidR="00E7054C" w:rsidRPr="0072610E">
              <w:rPr>
                <w:sz w:val="20"/>
                <w:szCs w:val="20"/>
              </w:rPr>
              <w:t xml:space="preserve"> objective despite uncertainties in the </w:t>
            </w:r>
            <w:r w:rsidR="0017665F">
              <w:rPr>
                <w:sz w:val="20"/>
                <w:szCs w:val="20"/>
              </w:rPr>
              <w:t xml:space="preserve">collection and assessment of </w:t>
            </w:r>
            <w:r w:rsidR="00E7054C" w:rsidRPr="0072610E">
              <w:rPr>
                <w:sz w:val="20"/>
                <w:szCs w:val="20"/>
              </w:rPr>
              <w:t>infor</w:t>
            </w:r>
            <w:r w:rsidR="0017665F" w:rsidRPr="000B43D5">
              <w:rPr>
                <w:sz w:val="20"/>
                <w:szCs w:val="20"/>
              </w:rPr>
              <w:t>mation</w:t>
            </w:r>
            <w:r w:rsidR="00E7054C" w:rsidRPr="0072610E">
              <w:rPr>
                <w:sz w:val="20"/>
                <w:szCs w:val="20"/>
              </w:rPr>
              <w:t xml:space="preserve">. </w:t>
            </w:r>
          </w:p>
        </w:tc>
      </w:tr>
      <w:tr w:rsidR="00E7054C" w:rsidRPr="001F4207" w14:paraId="4DB69FFC" w14:textId="77777777" w:rsidTr="0072610E">
        <w:trPr>
          <w:cnfStyle w:val="000000100000" w:firstRow="0" w:lastRow="0" w:firstColumn="0" w:lastColumn="0" w:oddVBand="0" w:evenVBand="0" w:oddHBand="1" w:evenHBand="0" w:firstRowFirstColumn="0" w:firstRowLastColumn="0" w:lastRowFirstColumn="0" w:lastRowLastColumn="0"/>
        </w:trPr>
        <w:tc>
          <w:tcPr>
            <w:tcW w:w="574" w:type="pct"/>
          </w:tcPr>
          <w:p w14:paraId="5DBEF2B0" w14:textId="5A6EF200" w:rsidR="00AB194A" w:rsidRPr="001F4207" w:rsidRDefault="00AB194A" w:rsidP="000B43D5">
            <w:pPr>
              <w:spacing w:before="60" w:after="60" w:line="276" w:lineRule="auto"/>
              <w:contextualSpacing/>
              <w:rPr>
                <w:rFonts w:cs="Arial"/>
                <w:sz w:val="20"/>
                <w:szCs w:val="20"/>
              </w:rPr>
            </w:pPr>
            <w:r w:rsidRPr="001F4207">
              <w:rPr>
                <w:rFonts w:cs="Arial"/>
                <w:sz w:val="20"/>
                <w:szCs w:val="20"/>
              </w:rPr>
              <w:lastRenderedPageBreak/>
              <w:t>Principle 2 (bycatch and TEPS)</w:t>
            </w:r>
          </w:p>
        </w:tc>
        <w:tc>
          <w:tcPr>
            <w:tcW w:w="335" w:type="pct"/>
            <w:shd w:val="clear" w:color="auto" w:fill="92D050"/>
          </w:tcPr>
          <w:p w14:paraId="1A4DCC9B" w14:textId="60674EE9" w:rsidR="000C1336" w:rsidRDefault="007A713D" w:rsidP="008201A1">
            <w:pPr>
              <w:spacing w:before="60" w:after="60" w:line="276" w:lineRule="auto"/>
              <w:contextualSpacing/>
              <w:jc w:val="center"/>
              <w:rPr>
                <w:rFonts w:cs="Arial"/>
                <w:sz w:val="20"/>
                <w:szCs w:val="20"/>
              </w:rPr>
            </w:pPr>
            <w:r>
              <w:rPr>
                <w:rFonts w:cs="Arial"/>
                <w:sz w:val="20"/>
                <w:szCs w:val="20"/>
              </w:rPr>
              <w:t>6</w:t>
            </w:r>
            <w:r w:rsidR="000C1336">
              <w:rPr>
                <w:rFonts w:cs="Arial"/>
                <w:sz w:val="20"/>
                <w:szCs w:val="20"/>
              </w:rPr>
              <w:t xml:space="preserve"> of 12</w:t>
            </w:r>
          </w:p>
          <w:p w14:paraId="01713504" w14:textId="19D1B645" w:rsidR="00AB194A" w:rsidRPr="001F4207" w:rsidRDefault="000C1336">
            <w:pPr>
              <w:spacing w:before="60" w:after="60" w:line="276" w:lineRule="auto"/>
              <w:contextualSpacing/>
              <w:jc w:val="center"/>
              <w:rPr>
                <w:rFonts w:cs="Arial"/>
                <w:sz w:val="20"/>
                <w:szCs w:val="20"/>
              </w:rPr>
            </w:pPr>
            <w:r>
              <w:rPr>
                <w:rFonts w:cs="Arial"/>
                <w:sz w:val="20"/>
                <w:szCs w:val="20"/>
              </w:rPr>
              <w:t>(6 N/A)</w:t>
            </w:r>
          </w:p>
        </w:tc>
        <w:tc>
          <w:tcPr>
            <w:tcW w:w="336" w:type="pct"/>
            <w:shd w:val="clear" w:color="auto" w:fill="auto"/>
          </w:tcPr>
          <w:p w14:paraId="6F0B7D38" w14:textId="1E52B07E" w:rsidR="00AB194A" w:rsidRPr="001F4207" w:rsidRDefault="00AB194A">
            <w:pPr>
              <w:spacing w:before="60" w:after="60" w:line="276" w:lineRule="auto"/>
              <w:contextualSpacing/>
              <w:jc w:val="center"/>
              <w:rPr>
                <w:rFonts w:cs="Arial"/>
                <w:sz w:val="20"/>
                <w:szCs w:val="20"/>
              </w:rPr>
            </w:pPr>
          </w:p>
        </w:tc>
        <w:tc>
          <w:tcPr>
            <w:tcW w:w="383" w:type="pct"/>
            <w:shd w:val="clear" w:color="auto" w:fill="auto"/>
          </w:tcPr>
          <w:p w14:paraId="26CFB1FA" w14:textId="13ED8C74" w:rsidR="00AB194A" w:rsidRPr="001F4207" w:rsidRDefault="00AB194A">
            <w:pPr>
              <w:spacing w:before="60" w:after="60" w:line="276" w:lineRule="auto"/>
              <w:contextualSpacing/>
              <w:jc w:val="center"/>
              <w:rPr>
                <w:rFonts w:cs="Arial"/>
                <w:sz w:val="20"/>
                <w:szCs w:val="20"/>
              </w:rPr>
            </w:pPr>
          </w:p>
        </w:tc>
        <w:tc>
          <w:tcPr>
            <w:tcW w:w="3372" w:type="pct"/>
          </w:tcPr>
          <w:p w14:paraId="29AFBB0E" w14:textId="107EF29F" w:rsidR="00633EF7" w:rsidRDefault="00187707">
            <w:pPr>
              <w:spacing w:before="60" w:after="60" w:line="276" w:lineRule="auto"/>
              <w:contextualSpacing/>
              <w:rPr>
                <w:rFonts w:cs="Arial"/>
                <w:sz w:val="20"/>
                <w:szCs w:val="20"/>
              </w:rPr>
            </w:pPr>
            <w:r>
              <w:rPr>
                <w:rFonts w:cs="Arial"/>
                <w:sz w:val="20"/>
                <w:szCs w:val="20"/>
              </w:rPr>
              <w:t xml:space="preserve">The bycatch of non-target species is considered negligible in the fishery due to the small amount of trapping effort applied. </w:t>
            </w:r>
            <w:r w:rsidR="00403D84">
              <w:rPr>
                <w:rFonts w:cs="Arial"/>
                <w:sz w:val="20"/>
                <w:szCs w:val="20"/>
              </w:rPr>
              <w:t xml:space="preserve">No interactions with endangered, threatened or protected species (TEPs) were recorded since the inception of the fishery. </w:t>
            </w:r>
            <w:r w:rsidR="009D5C11">
              <w:rPr>
                <w:rFonts w:cs="Arial"/>
                <w:sz w:val="20"/>
                <w:szCs w:val="20"/>
              </w:rPr>
              <w:t>Due to the negligible to</w:t>
            </w:r>
            <w:r w:rsidR="00403D84">
              <w:rPr>
                <w:rFonts w:cs="Arial"/>
                <w:sz w:val="20"/>
                <w:szCs w:val="20"/>
              </w:rPr>
              <w:t xml:space="preserve"> low risk of bycatch</w:t>
            </w:r>
            <w:r w:rsidR="009D5C11">
              <w:rPr>
                <w:rFonts w:cs="Arial"/>
                <w:sz w:val="20"/>
                <w:szCs w:val="20"/>
              </w:rPr>
              <w:t xml:space="preserve">, no indicator group or decision rules </w:t>
            </w:r>
            <w:r w:rsidR="003E3C88">
              <w:rPr>
                <w:rFonts w:cs="Arial"/>
                <w:sz w:val="20"/>
                <w:szCs w:val="20"/>
              </w:rPr>
              <w:t>are</w:t>
            </w:r>
            <w:r w:rsidR="009D5C11">
              <w:rPr>
                <w:rFonts w:cs="Arial"/>
                <w:sz w:val="20"/>
                <w:szCs w:val="20"/>
              </w:rPr>
              <w:t xml:space="preserve"> implemented for bycatch species in the fishery. Similarly, </w:t>
            </w:r>
            <w:r w:rsidR="00403D84">
              <w:rPr>
                <w:rFonts w:cs="Arial"/>
                <w:sz w:val="20"/>
                <w:szCs w:val="20"/>
              </w:rPr>
              <w:t>Ecological Risk Assessment</w:t>
            </w:r>
            <w:r w:rsidR="00F967E8">
              <w:rPr>
                <w:rFonts w:cs="Arial"/>
                <w:sz w:val="20"/>
                <w:szCs w:val="20"/>
              </w:rPr>
              <w:t>s</w:t>
            </w:r>
            <w:r w:rsidR="00403D84">
              <w:rPr>
                <w:rFonts w:cs="Arial"/>
                <w:sz w:val="20"/>
                <w:szCs w:val="20"/>
              </w:rPr>
              <w:t xml:space="preserve"> (ERA) or mitigation </w:t>
            </w:r>
            <w:r w:rsidR="00F967E8">
              <w:rPr>
                <w:rFonts w:cs="Arial"/>
                <w:sz w:val="20"/>
                <w:szCs w:val="20"/>
              </w:rPr>
              <w:t xml:space="preserve">strategies </w:t>
            </w:r>
            <w:r w:rsidR="00403D84">
              <w:rPr>
                <w:rFonts w:cs="Arial"/>
                <w:sz w:val="20"/>
                <w:szCs w:val="20"/>
              </w:rPr>
              <w:t>are not applicable in this fishery due to t</w:t>
            </w:r>
            <w:r w:rsidR="00D105F7">
              <w:rPr>
                <w:rFonts w:cs="Arial"/>
                <w:sz w:val="20"/>
                <w:szCs w:val="20"/>
              </w:rPr>
              <w:t>he nature of the TGCF operation</w:t>
            </w:r>
            <w:r w:rsidR="00403D84">
              <w:rPr>
                <w:rFonts w:cs="Arial"/>
                <w:sz w:val="20"/>
                <w:szCs w:val="20"/>
              </w:rPr>
              <w:t>.</w:t>
            </w:r>
            <w:r w:rsidR="00F967E8">
              <w:rPr>
                <w:rFonts w:cs="Arial"/>
                <w:sz w:val="20"/>
                <w:szCs w:val="20"/>
              </w:rPr>
              <w:t xml:space="preserve"> </w:t>
            </w:r>
            <w:r w:rsidR="00633EF7">
              <w:rPr>
                <w:rFonts w:cs="Arial"/>
                <w:sz w:val="20"/>
                <w:szCs w:val="20"/>
              </w:rPr>
              <w:t xml:space="preserve">The Department considers the management </w:t>
            </w:r>
            <w:r w:rsidR="00F967E8">
              <w:rPr>
                <w:rFonts w:cs="Arial"/>
                <w:sz w:val="20"/>
                <w:szCs w:val="20"/>
              </w:rPr>
              <w:t>response</w:t>
            </w:r>
            <w:r w:rsidR="00633EF7">
              <w:rPr>
                <w:rFonts w:cs="Arial"/>
                <w:sz w:val="20"/>
                <w:szCs w:val="20"/>
              </w:rPr>
              <w:t xml:space="preserve"> in the TGCF </w:t>
            </w:r>
            <w:r w:rsidR="00F967E8">
              <w:rPr>
                <w:rFonts w:cs="Arial"/>
                <w:sz w:val="20"/>
                <w:szCs w:val="20"/>
              </w:rPr>
              <w:t>are</w:t>
            </w:r>
            <w:r w:rsidR="00633EF7">
              <w:rPr>
                <w:rFonts w:cs="Arial"/>
                <w:sz w:val="20"/>
                <w:szCs w:val="20"/>
              </w:rPr>
              <w:t xml:space="preserve"> likely to achieve the objective of the fishery being conducted in a manner that:</w:t>
            </w:r>
          </w:p>
          <w:p w14:paraId="2FD2C662" w14:textId="342F4E5B" w:rsidR="00633EF7" w:rsidRDefault="00633EF7" w:rsidP="0072610E">
            <w:pPr>
              <w:pStyle w:val="ListParagraph"/>
              <w:numPr>
                <w:ilvl w:val="0"/>
                <w:numId w:val="63"/>
              </w:numPr>
              <w:spacing w:before="60" w:after="60" w:line="276" w:lineRule="auto"/>
              <w:contextualSpacing/>
              <w:rPr>
                <w:rFonts w:cs="Arial"/>
                <w:sz w:val="20"/>
                <w:szCs w:val="20"/>
              </w:rPr>
            </w:pPr>
            <w:r>
              <w:rPr>
                <w:rFonts w:cs="Arial"/>
                <w:sz w:val="20"/>
                <w:szCs w:val="20"/>
              </w:rPr>
              <w:t>does not threaten bycatch species</w:t>
            </w:r>
            <w:r w:rsidR="00F967E8">
              <w:rPr>
                <w:rFonts w:cs="Arial"/>
                <w:sz w:val="20"/>
                <w:szCs w:val="20"/>
              </w:rPr>
              <w:t>;</w:t>
            </w:r>
          </w:p>
          <w:p w14:paraId="4F493A1C" w14:textId="6F1C325B" w:rsidR="00633EF7" w:rsidRDefault="00633EF7" w:rsidP="0072610E">
            <w:pPr>
              <w:pStyle w:val="ListParagraph"/>
              <w:numPr>
                <w:ilvl w:val="0"/>
                <w:numId w:val="63"/>
              </w:numPr>
              <w:spacing w:before="60" w:after="60" w:line="276" w:lineRule="auto"/>
              <w:contextualSpacing/>
              <w:rPr>
                <w:rFonts w:cs="Arial"/>
                <w:sz w:val="20"/>
                <w:szCs w:val="20"/>
              </w:rPr>
            </w:pPr>
            <w:r>
              <w:rPr>
                <w:rFonts w:cs="Arial"/>
                <w:sz w:val="20"/>
                <w:szCs w:val="20"/>
              </w:rPr>
              <w:t>avoids mortality of, or injuries to</w:t>
            </w:r>
            <w:r w:rsidR="00F967E8">
              <w:rPr>
                <w:rFonts w:cs="Arial"/>
                <w:sz w:val="20"/>
                <w:szCs w:val="20"/>
              </w:rPr>
              <w:t xml:space="preserve"> TEPs</w:t>
            </w:r>
            <w:r w:rsidR="00DF543A">
              <w:rPr>
                <w:rFonts w:cs="Arial"/>
                <w:sz w:val="20"/>
                <w:szCs w:val="20"/>
              </w:rPr>
              <w:t>; and</w:t>
            </w:r>
          </w:p>
          <w:p w14:paraId="08EB80BE" w14:textId="4D5F368F" w:rsidR="00D105F7" w:rsidRPr="0072610E" w:rsidRDefault="00633EF7" w:rsidP="0072610E">
            <w:pPr>
              <w:pStyle w:val="ListParagraph"/>
              <w:numPr>
                <w:ilvl w:val="0"/>
                <w:numId w:val="63"/>
              </w:numPr>
              <w:spacing w:before="60" w:after="60" w:line="276" w:lineRule="auto"/>
              <w:contextualSpacing/>
              <w:rPr>
                <w:rFonts w:cs="Arial"/>
                <w:sz w:val="20"/>
                <w:szCs w:val="20"/>
              </w:rPr>
            </w:pPr>
            <w:proofErr w:type="gramStart"/>
            <w:r>
              <w:rPr>
                <w:rFonts w:cs="Arial"/>
                <w:sz w:val="20"/>
                <w:szCs w:val="20"/>
              </w:rPr>
              <w:t>avoids</w:t>
            </w:r>
            <w:proofErr w:type="gramEnd"/>
            <w:r>
              <w:rPr>
                <w:rFonts w:cs="Arial"/>
                <w:sz w:val="20"/>
                <w:szCs w:val="20"/>
              </w:rPr>
              <w:t xml:space="preserve"> or minimise</w:t>
            </w:r>
            <w:r w:rsidR="00F967E8">
              <w:rPr>
                <w:rFonts w:cs="Arial"/>
                <w:sz w:val="20"/>
                <w:szCs w:val="20"/>
              </w:rPr>
              <w:t>s</w:t>
            </w:r>
            <w:r>
              <w:rPr>
                <w:rFonts w:cs="Arial"/>
                <w:sz w:val="20"/>
                <w:szCs w:val="20"/>
              </w:rPr>
              <w:t xml:space="preserve"> impacts on threatened ecological</w:t>
            </w:r>
            <w:r w:rsidR="00DF543A">
              <w:rPr>
                <w:rFonts w:cs="Arial"/>
                <w:sz w:val="20"/>
                <w:szCs w:val="20"/>
              </w:rPr>
              <w:t xml:space="preserve"> communities.</w:t>
            </w:r>
          </w:p>
        </w:tc>
      </w:tr>
      <w:tr w:rsidR="00E7054C" w:rsidRPr="001F4207" w14:paraId="77A7913F" w14:textId="77777777" w:rsidTr="004F5EA4">
        <w:trPr>
          <w:cnfStyle w:val="000000010000" w:firstRow="0" w:lastRow="0" w:firstColumn="0" w:lastColumn="0" w:oddVBand="0" w:evenVBand="0" w:oddHBand="0" w:evenHBand="1" w:firstRowFirstColumn="0" w:firstRowLastColumn="0" w:lastRowFirstColumn="0" w:lastRowLastColumn="0"/>
        </w:trPr>
        <w:tc>
          <w:tcPr>
            <w:tcW w:w="574" w:type="pct"/>
          </w:tcPr>
          <w:p w14:paraId="722471C4" w14:textId="4F1661A1" w:rsidR="00AB194A" w:rsidRPr="001F4207" w:rsidRDefault="00AB194A" w:rsidP="000B43D5">
            <w:pPr>
              <w:spacing w:before="60" w:after="60" w:line="276" w:lineRule="auto"/>
              <w:contextualSpacing/>
              <w:rPr>
                <w:rFonts w:cs="Arial"/>
                <w:sz w:val="20"/>
                <w:szCs w:val="20"/>
              </w:rPr>
            </w:pPr>
            <w:r w:rsidRPr="001F4207">
              <w:rPr>
                <w:rFonts w:cs="Arial"/>
                <w:sz w:val="20"/>
                <w:szCs w:val="20"/>
              </w:rPr>
              <w:t>Principle 2 (ecosystem impacts)</w:t>
            </w:r>
          </w:p>
        </w:tc>
        <w:tc>
          <w:tcPr>
            <w:tcW w:w="335" w:type="pct"/>
            <w:shd w:val="clear" w:color="auto" w:fill="FFFFFF" w:themeFill="background1"/>
          </w:tcPr>
          <w:p w14:paraId="37FDB269" w14:textId="369E6F2F" w:rsidR="00AB194A" w:rsidRDefault="005D2413" w:rsidP="008201A1">
            <w:pPr>
              <w:spacing w:before="60" w:after="60" w:line="276" w:lineRule="auto"/>
              <w:contextualSpacing/>
              <w:jc w:val="center"/>
              <w:rPr>
                <w:rFonts w:cs="Arial"/>
                <w:sz w:val="20"/>
                <w:szCs w:val="20"/>
              </w:rPr>
            </w:pPr>
            <w:r>
              <w:rPr>
                <w:rFonts w:cs="Arial"/>
                <w:sz w:val="20"/>
                <w:szCs w:val="20"/>
              </w:rPr>
              <w:t>1</w:t>
            </w:r>
            <w:r w:rsidR="00770447">
              <w:rPr>
                <w:rFonts w:cs="Arial"/>
                <w:sz w:val="20"/>
                <w:szCs w:val="20"/>
              </w:rPr>
              <w:t xml:space="preserve"> of 5</w:t>
            </w:r>
          </w:p>
          <w:p w14:paraId="7B2D69A1" w14:textId="2B3C597D" w:rsidR="00770447" w:rsidRPr="001F4207" w:rsidRDefault="00770447">
            <w:pPr>
              <w:spacing w:before="60" w:after="60" w:line="276" w:lineRule="auto"/>
              <w:contextualSpacing/>
              <w:jc w:val="center"/>
              <w:rPr>
                <w:rFonts w:cs="Arial"/>
                <w:sz w:val="20"/>
                <w:szCs w:val="20"/>
              </w:rPr>
            </w:pPr>
            <w:r>
              <w:rPr>
                <w:rFonts w:cs="Arial"/>
                <w:sz w:val="20"/>
                <w:szCs w:val="20"/>
              </w:rPr>
              <w:t>(2 N/A)</w:t>
            </w:r>
          </w:p>
        </w:tc>
        <w:tc>
          <w:tcPr>
            <w:tcW w:w="336" w:type="pct"/>
            <w:shd w:val="clear" w:color="auto" w:fill="FFC000"/>
          </w:tcPr>
          <w:p w14:paraId="183A4864" w14:textId="2E680ACE" w:rsidR="00AB194A" w:rsidRPr="001F4207" w:rsidRDefault="005D2413">
            <w:pPr>
              <w:spacing w:before="60" w:after="60" w:line="276" w:lineRule="auto"/>
              <w:contextualSpacing/>
              <w:jc w:val="center"/>
              <w:rPr>
                <w:rFonts w:cs="Arial"/>
                <w:sz w:val="20"/>
                <w:szCs w:val="20"/>
              </w:rPr>
            </w:pPr>
            <w:r>
              <w:rPr>
                <w:rFonts w:cs="Arial"/>
                <w:sz w:val="20"/>
                <w:szCs w:val="20"/>
              </w:rPr>
              <w:t>2</w:t>
            </w:r>
            <w:r w:rsidR="00770447">
              <w:rPr>
                <w:rFonts w:cs="Arial"/>
                <w:sz w:val="20"/>
                <w:szCs w:val="20"/>
              </w:rPr>
              <w:t xml:space="preserve"> of 5</w:t>
            </w:r>
          </w:p>
        </w:tc>
        <w:tc>
          <w:tcPr>
            <w:tcW w:w="383" w:type="pct"/>
            <w:shd w:val="clear" w:color="auto" w:fill="auto"/>
          </w:tcPr>
          <w:p w14:paraId="0EF7E465" w14:textId="135E8D31" w:rsidR="00AB194A" w:rsidRPr="001F4207" w:rsidRDefault="00AB194A">
            <w:pPr>
              <w:spacing w:before="60" w:after="60" w:line="276" w:lineRule="auto"/>
              <w:contextualSpacing/>
              <w:jc w:val="center"/>
              <w:rPr>
                <w:rFonts w:cs="Arial"/>
                <w:sz w:val="20"/>
                <w:szCs w:val="20"/>
              </w:rPr>
            </w:pPr>
          </w:p>
        </w:tc>
        <w:tc>
          <w:tcPr>
            <w:tcW w:w="3372" w:type="pct"/>
          </w:tcPr>
          <w:p w14:paraId="5701B5C8" w14:textId="21E31A8B" w:rsidR="00AB194A" w:rsidRPr="001F4207" w:rsidRDefault="00E552F9">
            <w:pPr>
              <w:spacing w:before="60" w:after="60" w:line="276" w:lineRule="auto"/>
              <w:contextualSpacing/>
              <w:rPr>
                <w:rFonts w:cs="Arial"/>
                <w:sz w:val="20"/>
                <w:szCs w:val="20"/>
              </w:rPr>
            </w:pPr>
            <w:r>
              <w:rPr>
                <w:rFonts w:cs="Arial"/>
                <w:sz w:val="20"/>
                <w:szCs w:val="20"/>
              </w:rPr>
              <w:t>The i</w:t>
            </w:r>
            <w:r w:rsidR="00D312D2">
              <w:rPr>
                <w:rFonts w:cs="Arial"/>
                <w:sz w:val="20"/>
                <w:szCs w:val="20"/>
              </w:rPr>
              <w:t xml:space="preserve">mpact </w:t>
            </w:r>
            <w:r>
              <w:rPr>
                <w:rFonts w:cs="Arial"/>
                <w:sz w:val="20"/>
                <w:szCs w:val="20"/>
              </w:rPr>
              <w:t xml:space="preserve">of the TGCF </w:t>
            </w:r>
            <w:r w:rsidR="00D312D2">
              <w:rPr>
                <w:rFonts w:cs="Arial"/>
                <w:sz w:val="20"/>
                <w:szCs w:val="20"/>
              </w:rPr>
              <w:t>on the ecosystem</w:t>
            </w:r>
            <w:r>
              <w:rPr>
                <w:rFonts w:cs="Arial"/>
                <w:sz w:val="20"/>
                <w:szCs w:val="20"/>
              </w:rPr>
              <w:t xml:space="preserve"> and the environment generally </w:t>
            </w:r>
            <w:r w:rsidR="00D312D2">
              <w:rPr>
                <w:rFonts w:cs="Arial"/>
                <w:sz w:val="20"/>
                <w:szCs w:val="20"/>
              </w:rPr>
              <w:t>is considered negligible to low due to the fishing gear used</w:t>
            </w:r>
            <w:r w:rsidR="002517B4">
              <w:rPr>
                <w:rFonts w:cs="Arial"/>
                <w:sz w:val="20"/>
                <w:szCs w:val="20"/>
              </w:rPr>
              <w:t>. Therefore, an ERA is not considered necessary due to the scale and nature of the fishery</w:t>
            </w:r>
            <w:r w:rsidR="00ED331E">
              <w:rPr>
                <w:rFonts w:cs="Arial"/>
                <w:sz w:val="20"/>
                <w:szCs w:val="20"/>
              </w:rPr>
              <w:t xml:space="preserve"> and the TGCF has been using</w:t>
            </w:r>
            <w:r w:rsidR="000C4EF8">
              <w:rPr>
                <w:rFonts w:cs="Arial"/>
                <w:sz w:val="20"/>
                <w:szCs w:val="20"/>
              </w:rPr>
              <w:t xml:space="preserve"> a proxy ERA to assess its impact on the ecosystem generally.</w:t>
            </w:r>
            <w:r>
              <w:rPr>
                <w:rFonts w:cs="Arial"/>
                <w:sz w:val="20"/>
                <w:szCs w:val="20"/>
              </w:rPr>
              <w:t xml:space="preserve"> The Department considers the management responses </w:t>
            </w:r>
            <w:r w:rsidR="005E629D">
              <w:rPr>
                <w:rFonts w:cs="Arial"/>
                <w:sz w:val="20"/>
                <w:szCs w:val="20"/>
              </w:rPr>
              <w:t xml:space="preserve">and arrangements </w:t>
            </w:r>
            <w:r>
              <w:rPr>
                <w:rFonts w:cs="Arial"/>
                <w:sz w:val="20"/>
                <w:szCs w:val="20"/>
              </w:rPr>
              <w:t>are likely to achieve the objective of the fishery being conducted in a manner that minimises the impact of fishing operations on the ecosystem generally.</w:t>
            </w:r>
          </w:p>
        </w:tc>
      </w:tr>
      <w:tr w:rsidR="00E7054C" w:rsidRPr="001F4207" w14:paraId="14FFCC4D" w14:textId="77777777" w:rsidTr="0072610E">
        <w:trPr>
          <w:cnfStyle w:val="000000100000" w:firstRow="0" w:lastRow="0" w:firstColumn="0" w:lastColumn="0" w:oddVBand="0" w:evenVBand="0" w:oddHBand="1" w:evenHBand="0" w:firstRowFirstColumn="0" w:firstRowLastColumn="0" w:lastRowFirstColumn="0" w:lastRowLastColumn="0"/>
        </w:trPr>
        <w:tc>
          <w:tcPr>
            <w:tcW w:w="574" w:type="pct"/>
            <w:vAlign w:val="center"/>
          </w:tcPr>
          <w:p w14:paraId="4D7DC563" w14:textId="67470506" w:rsidR="00B97B40" w:rsidRPr="001F4207" w:rsidRDefault="00B97B40" w:rsidP="000B43D5">
            <w:pPr>
              <w:spacing w:before="60" w:after="60" w:line="276" w:lineRule="auto"/>
              <w:contextualSpacing/>
              <w:jc w:val="center"/>
              <w:rPr>
                <w:rFonts w:cs="Arial"/>
                <w:b/>
                <w:sz w:val="20"/>
                <w:szCs w:val="20"/>
              </w:rPr>
            </w:pPr>
            <w:r w:rsidRPr="001F4207">
              <w:rPr>
                <w:rFonts w:cs="Arial"/>
                <w:b/>
                <w:sz w:val="20"/>
                <w:szCs w:val="20"/>
              </w:rPr>
              <w:t>EPBC requirements</w:t>
            </w:r>
          </w:p>
        </w:tc>
        <w:tc>
          <w:tcPr>
            <w:tcW w:w="335" w:type="pct"/>
            <w:shd w:val="clear" w:color="auto" w:fill="92D050"/>
            <w:vAlign w:val="center"/>
          </w:tcPr>
          <w:p w14:paraId="6D0A4838" w14:textId="77777777" w:rsidR="00B97B40" w:rsidRPr="001F4207" w:rsidRDefault="00B97B40" w:rsidP="008201A1">
            <w:pPr>
              <w:spacing w:before="60" w:after="60" w:line="276" w:lineRule="auto"/>
              <w:contextualSpacing/>
              <w:jc w:val="center"/>
              <w:rPr>
                <w:rFonts w:cs="Arial"/>
                <w:b/>
                <w:sz w:val="20"/>
                <w:szCs w:val="20"/>
              </w:rPr>
            </w:pPr>
            <w:r w:rsidRPr="001F4207">
              <w:rPr>
                <w:rFonts w:cs="Arial"/>
                <w:b/>
                <w:sz w:val="20"/>
                <w:szCs w:val="20"/>
              </w:rPr>
              <w:t>Meets</w:t>
            </w:r>
          </w:p>
        </w:tc>
        <w:tc>
          <w:tcPr>
            <w:tcW w:w="336" w:type="pct"/>
            <w:shd w:val="clear" w:color="auto" w:fill="FFC000"/>
            <w:vAlign w:val="center"/>
          </w:tcPr>
          <w:p w14:paraId="3E8183B4" w14:textId="77777777" w:rsidR="00B97B40" w:rsidRPr="001F4207" w:rsidRDefault="00B97B40">
            <w:pPr>
              <w:spacing w:before="60" w:after="60" w:line="276" w:lineRule="auto"/>
              <w:contextualSpacing/>
              <w:jc w:val="center"/>
              <w:rPr>
                <w:rFonts w:cs="Arial"/>
                <w:b/>
                <w:sz w:val="20"/>
                <w:szCs w:val="20"/>
              </w:rPr>
            </w:pPr>
            <w:r w:rsidRPr="001F4207">
              <w:rPr>
                <w:rFonts w:cs="Arial"/>
                <w:b/>
                <w:sz w:val="20"/>
                <w:szCs w:val="20"/>
              </w:rPr>
              <w:t>Partially meets</w:t>
            </w:r>
          </w:p>
        </w:tc>
        <w:tc>
          <w:tcPr>
            <w:tcW w:w="383" w:type="pct"/>
            <w:shd w:val="clear" w:color="auto" w:fill="FF0000"/>
            <w:vAlign w:val="center"/>
          </w:tcPr>
          <w:p w14:paraId="09A677DF" w14:textId="77777777" w:rsidR="00B97B40" w:rsidRPr="001F4207" w:rsidRDefault="00B97B40">
            <w:pPr>
              <w:spacing w:before="60" w:after="60" w:line="276" w:lineRule="auto"/>
              <w:contextualSpacing/>
              <w:jc w:val="center"/>
              <w:rPr>
                <w:rFonts w:cs="Arial"/>
                <w:b/>
                <w:sz w:val="20"/>
                <w:szCs w:val="20"/>
              </w:rPr>
            </w:pPr>
            <w:r w:rsidRPr="001F4207">
              <w:rPr>
                <w:rFonts w:cs="Arial"/>
                <w:b/>
                <w:sz w:val="20"/>
                <w:szCs w:val="20"/>
              </w:rPr>
              <w:t>Does not meet</w:t>
            </w:r>
          </w:p>
        </w:tc>
        <w:tc>
          <w:tcPr>
            <w:tcW w:w="3372" w:type="pct"/>
            <w:vAlign w:val="center"/>
          </w:tcPr>
          <w:p w14:paraId="52515391" w14:textId="77777777" w:rsidR="00B97B40" w:rsidRPr="001F4207" w:rsidRDefault="00B97B40">
            <w:pPr>
              <w:spacing w:before="60" w:after="60" w:line="276" w:lineRule="auto"/>
              <w:contextualSpacing/>
              <w:jc w:val="center"/>
              <w:rPr>
                <w:rFonts w:cs="Arial"/>
                <w:b/>
                <w:sz w:val="20"/>
                <w:szCs w:val="20"/>
              </w:rPr>
            </w:pPr>
            <w:r w:rsidRPr="001F4207">
              <w:rPr>
                <w:rFonts w:cs="Arial"/>
                <w:b/>
                <w:sz w:val="20"/>
                <w:szCs w:val="20"/>
              </w:rPr>
              <w:t>Details</w:t>
            </w:r>
          </w:p>
        </w:tc>
      </w:tr>
      <w:tr w:rsidR="00E7054C" w:rsidRPr="001F4207" w14:paraId="288C0458" w14:textId="77777777" w:rsidTr="0072610E">
        <w:trPr>
          <w:cnfStyle w:val="000000010000" w:firstRow="0" w:lastRow="0" w:firstColumn="0" w:lastColumn="0" w:oddVBand="0" w:evenVBand="0" w:oddHBand="0" w:evenHBand="1" w:firstRowFirstColumn="0" w:firstRowLastColumn="0" w:lastRowFirstColumn="0" w:lastRowLastColumn="0"/>
        </w:trPr>
        <w:tc>
          <w:tcPr>
            <w:tcW w:w="574" w:type="pct"/>
          </w:tcPr>
          <w:p w14:paraId="3A69EF13" w14:textId="77777777" w:rsidR="00AB194A" w:rsidRPr="001F4207" w:rsidRDefault="00AB194A" w:rsidP="000B43D5">
            <w:pPr>
              <w:spacing w:before="60" w:after="60" w:line="276" w:lineRule="auto"/>
              <w:contextualSpacing/>
              <w:rPr>
                <w:rFonts w:cs="Arial"/>
                <w:sz w:val="20"/>
                <w:szCs w:val="20"/>
              </w:rPr>
            </w:pPr>
            <w:r w:rsidRPr="001F4207">
              <w:rPr>
                <w:rFonts w:cs="Arial"/>
                <w:sz w:val="20"/>
                <w:szCs w:val="20"/>
              </w:rPr>
              <w:t>Part 12</w:t>
            </w:r>
          </w:p>
        </w:tc>
        <w:tc>
          <w:tcPr>
            <w:tcW w:w="335" w:type="pct"/>
            <w:shd w:val="clear" w:color="auto" w:fill="92D050"/>
          </w:tcPr>
          <w:p w14:paraId="0D057530" w14:textId="36C19652" w:rsidR="00AB194A" w:rsidRPr="001F4207" w:rsidRDefault="002266E5" w:rsidP="008201A1">
            <w:pPr>
              <w:spacing w:before="60" w:after="60" w:line="276" w:lineRule="auto"/>
              <w:contextualSpacing/>
              <w:jc w:val="center"/>
              <w:rPr>
                <w:rFonts w:cs="Arial"/>
                <w:sz w:val="20"/>
                <w:szCs w:val="20"/>
              </w:rPr>
            </w:pPr>
            <w:r>
              <w:rPr>
                <w:rFonts w:cs="Arial"/>
                <w:sz w:val="20"/>
                <w:szCs w:val="20"/>
              </w:rPr>
              <w:t>All met</w:t>
            </w:r>
          </w:p>
        </w:tc>
        <w:tc>
          <w:tcPr>
            <w:tcW w:w="336" w:type="pct"/>
            <w:shd w:val="clear" w:color="auto" w:fill="auto"/>
          </w:tcPr>
          <w:p w14:paraId="256D5847" w14:textId="2A2FAF40" w:rsidR="00AB194A" w:rsidRPr="001F4207" w:rsidRDefault="00AB194A">
            <w:pPr>
              <w:spacing w:before="60" w:after="60" w:line="276" w:lineRule="auto"/>
              <w:contextualSpacing/>
              <w:jc w:val="center"/>
              <w:rPr>
                <w:rFonts w:cs="Arial"/>
                <w:sz w:val="20"/>
                <w:szCs w:val="20"/>
              </w:rPr>
            </w:pPr>
          </w:p>
        </w:tc>
        <w:tc>
          <w:tcPr>
            <w:tcW w:w="383" w:type="pct"/>
            <w:shd w:val="clear" w:color="auto" w:fill="auto"/>
          </w:tcPr>
          <w:p w14:paraId="6EE06B37" w14:textId="2835D7BC" w:rsidR="00AB194A" w:rsidRPr="001F4207" w:rsidRDefault="00AB194A">
            <w:pPr>
              <w:spacing w:before="60" w:after="60" w:line="276" w:lineRule="auto"/>
              <w:contextualSpacing/>
              <w:jc w:val="center"/>
              <w:rPr>
                <w:rFonts w:cs="Arial"/>
                <w:sz w:val="20"/>
                <w:szCs w:val="20"/>
              </w:rPr>
            </w:pPr>
          </w:p>
        </w:tc>
        <w:tc>
          <w:tcPr>
            <w:tcW w:w="3372" w:type="pct"/>
          </w:tcPr>
          <w:p w14:paraId="327E0B80" w14:textId="360CBDF8" w:rsidR="00AB194A" w:rsidRPr="001F4207" w:rsidRDefault="0070086B">
            <w:pPr>
              <w:spacing w:before="60" w:after="60" w:line="276" w:lineRule="auto"/>
              <w:contextualSpacing/>
              <w:rPr>
                <w:rFonts w:cs="Arial"/>
                <w:sz w:val="20"/>
                <w:szCs w:val="20"/>
              </w:rPr>
            </w:pPr>
            <w:r>
              <w:rPr>
                <w:rFonts w:cs="Arial"/>
                <w:sz w:val="20"/>
                <w:szCs w:val="20"/>
              </w:rPr>
              <w:t xml:space="preserve">Requirements met subject to </w:t>
            </w:r>
            <w:r w:rsidR="003C2FC6">
              <w:rPr>
                <w:rFonts w:cs="Arial"/>
                <w:sz w:val="20"/>
                <w:szCs w:val="20"/>
              </w:rPr>
              <w:t xml:space="preserve">conditions and </w:t>
            </w:r>
            <w:r>
              <w:rPr>
                <w:rFonts w:cs="Arial"/>
                <w:sz w:val="20"/>
                <w:szCs w:val="20"/>
              </w:rPr>
              <w:t xml:space="preserve">recommendations specified at Section 4 of this report. </w:t>
            </w:r>
            <w:r w:rsidR="00E50335">
              <w:rPr>
                <w:rFonts w:cs="Arial"/>
                <w:sz w:val="20"/>
                <w:szCs w:val="20"/>
              </w:rPr>
              <w:t>The Marine Bioregional Plan (the Plan) for the South-East Marine Region is applicable to the area of the TGCF and impact to key ecological features as described in the Plan is considered low.</w:t>
            </w:r>
          </w:p>
        </w:tc>
      </w:tr>
      <w:tr w:rsidR="00E7054C" w:rsidRPr="001F4207" w14:paraId="506B6990" w14:textId="77777777" w:rsidTr="0072610E">
        <w:trPr>
          <w:cnfStyle w:val="000000100000" w:firstRow="0" w:lastRow="0" w:firstColumn="0" w:lastColumn="0" w:oddVBand="0" w:evenVBand="0" w:oddHBand="1" w:evenHBand="0" w:firstRowFirstColumn="0" w:firstRowLastColumn="0" w:lastRowFirstColumn="0" w:lastRowLastColumn="0"/>
        </w:trPr>
        <w:tc>
          <w:tcPr>
            <w:tcW w:w="574" w:type="pct"/>
          </w:tcPr>
          <w:p w14:paraId="1E8F6B74" w14:textId="77777777" w:rsidR="00AB194A" w:rsidRPr="001F4207" w:rsidRDefault="00AB194A" w:rsidP="000B43D5">
            <w:pPr>
              <w:spacing w:before="60" w:after="60" w:line="276" w:lineRule="auto"/>
              <w:contextualSpacing/>
              <w:rPr>
                <w:rFonts w:cs="Arial"/>
                <w:sz w:val="20"/>
                <w:szCs w:val="20"/>
              </w:rPr>
            </w:pPr>
            <w:r w:rsidRPr="001F4207">
              <w:rPr>
                <w:rFonts w:cs="Arial"/>
                <w:sz w:val="20"/>
                <w:szCs w:val="20"/>
              </w:rPr>
              <w:t>Part 13</w:t>
            </w:r>
          </w:p>
        </w:tc>
        <w:tc>
          <w:tcPr>
            <w:tcW w:w="335" w:type="pct"/>
            <w:shd w:val="clear" w:color="auto" w:fill="92D050"/>
          </w:tcPr>
          <w:p w14:paraId="0A1932D2" w14:textId="77777777" w:rsidR="000B407B" w:rsidRDefault="0092755D" w:rsidP="008201A1">
            <w:pPr>
              <w:spacing w:before="60" w:after="60" w:line="276" w:lineRule="auto"/>
              <w:contextualSpacing/>
              <w:jc w:val="center"/>
              <w:rPr>
                <w:rFonts w:cs="Arial"/>
                <w:sz w:val="20"/>
                <w:szCs w:val="20"/>
              </w:rPr>
            </w:pPr>
            <w:r>
              <w:rPr>
                <w:rFonts w:cs="Arial"/>
                <w:sz w:val="20"/>
                <w:szCs w:val="20"/>
              </w:rPr>
              <w:t>1</w:t>
            </w:r>
            <w:r w:rsidR="000B407B">
              <w:rPr>
                <w:rFonts w:cs="Arial"/>
                <w:sz w:val="20"/>
                <w:szCs w:val="20"/>
              </w:rPr>
              <w:t>1 of 12</w:t>
            </w:r>
          </w:p>
          <w:p w14:paraId="7F19FF8D" w14:textId="5E80AF6B" w:rsidR="00AB194A" w:rsidRPr="001F4207" w:rsidRDefault="000B407B">
            <w:pPr>
              <w:spacing w:before="60" w:after="60" w:line="276" w:lineRule="auto"/>
              <w:contextualSpacing/>
              <w:jc w:val="center"/>
              <w:rPr>
                <w:rFonts w:cs="Arial"/>
                <w:sz w:val="20"/>
                <w:szCs w:val="20"/>
              </w:rPr>
            </w:pPr>
            <w:r>
              <w:rPr>
                <w:rFonts w:cs="Arial"/>
                <w:sz w:val="20"/>
                <w:szCs w:val="20"/>
              </w:rPr>
              <w:t>(1 N/A)</w:t>
            </w:r>
          </w:p>
        </w:tc>
        <w:tc>
          <w:tcPr>
            <w:tcW w:w="336" w:type="pct"/>
            <w:shd w:val="clear" w:color="auto" w:fill="auto"/>
          </w:tcPr>
          <w:p w14:paraId="236DD031" w14:textId="5AAD738B" w:rsidR="00AB194A" w:rsidRPr="001F4207" w:rsidRDefault="00AB194A">
            <w:pPr>
              <w:spacing w:before="60" w:after="60" w:line="276" w:lineRule="auto"/>
              <w:contextualSpacing/>
              <w:jc w:val="center"/>
              <w:rPr>
                <w:rFonts w:cs="Arial"/>
                <w:sz w:val="20"/>
                <w:szCs w:val="20"/>
              </w:rPr>
            </w:pPr>
          </w:p>
        </w:tc>
        <w:tc>
          <w:tcPr>
            <w:tcW w:w="383" w:type="pct"/>
            <w:shd w:val="clear" w:color="auto" w:fill="auto"/>
          </w:tcPr>
          <w:p w14:paraId="46D8A6F7" w14:textId="1E8DF0FF" w:rsidR="00AB194A" w:rsidRPr="001F4207" w:rsidRDefault="00AB194A">
            <w:pPr>
              <w:spacing w:before="60" w:after="60" w:line="276" w:lineRule="auto"/>
              <w:contextualSpacing/>
              <w:jc w:val="center"/>
              <w:rPr>
                <w:rFonts w:cs="Arial"/>
                <w:sz w:val="20"/>
                <w:szCs w:val="20"/>
              </w:rPr>
            </w:pPr>
          </w:p>
        </w:tc>
        <w:tc>
          <w:tcPr>
            <w:tcW w:w="3372" w:type="pct"/>
          </w:tcPr>
          <w:p w14:paraId="008A304B" w14:textId="43974461" w:rsidR="00AB194A" w:rsidRPr="001F4207" w:rsidRDefault="0070086B">
            <w:pPr>
              <w:spacing w:before="60" w:after="60" w:line="276" w:lineRule="auto"/>
              <w:contextualSpacing/>
              <w:rPr>
                <w:rFonts w:cs="Arial"/>
                <w:sz w:val="20"/>
                <w:szCs w:val="20"/>
              </w:rPr>
            </w:pPr>
            <w:r>
              <w:rPr>
                <w:rFonts w:cs="Arial"/>
                <w:sz w:val="20"/>
                <w:szCs w:val="20"/>
              </w:rPr>
              <w:t>Requirements met subject to</w:t>
            </w:r>
            <w:r w:rsidR="003C2FC6">
              <w:rPr>
                <w:rFonts w:cs="Arial"/>
                <w:sz w:val="20"/>
                <w:szCs w:val="20"/>
              </w:rPr>
              <w:t xml:space="preserve"> conditions and</w:t>
            </w:r>
            <w:r>
              <w:rPr>
                <w:rFonts w:cs="Arial"/>
                <w:sz w:val="20"/>
                <w:szCs w:val="20"/>
              </w:rPr>
              <w:t xml:space="preserve"> recommendations specified at Section 4 of this report. </w:t>
            </w:r>
            <w:r w:rsidR="008F496E">
              <w:rPr>
                <w:rFonts w:cs="Arial"/>
                <w:sz w:val="20"/>
                <w:szCs w:val="20"/>
              </w:rPr>
              <w:t>Due</w:t>
            </w:r>
            <w:r w:rsidR="0004003F">
              <w:rPr>
                <w:rFonts w:cs="Arial"/>
                <w:sz w:val="20"/>
                <w:szCs w:val="20"/>
              </w:rPr>
              <w:t xml:space="preserve"> to the nature of the operation</w:t>
            </w:r>
            <w:r w:rsidR="008F496E">
              <w:rPr>
                <w:rFonts w:cs="Arial"/>
                <w:sz w:val="20"/>
                <w:szCs w:val="20"/>
              </w:rPr>
              <w:t xml:space="preserve"> and the fishing method employed in the fishery, interaction or impact on the</w:t>
            </w:r>
            <w:r w:rsidR="00086D87">
              <w:rPr>
                <w:rFonts w:cs="Arial"/>
                <w:sz w:val="20"/>
                <w:szCs w:val="20"/>
              </w:rPr>
              <w:t xml:space="preserve"> survival or recovery in nature</w:t>
            </w:r>
            <w:r w:rsidR="008F496E">
              <w:rPr>
                <w:rFonts w:cs="Arial"/>
                <w:sz w:val="20"/>
                <w:szCs w:val="20"/>
              </w:rPr>
              <w:t xml:space="preserve"> on listed threatened </w:t>
            </w:r>
            <w:r w:rsidR="00086D87">
              <w:rPr>
                <w:rFonts w:cs="Arial"/>
                <w:sz w:val="20"/>
                <w:szCs w:val="20"/>
              </w:rPr>
              <w:t>species</w:t>
            </w:r>
            <w:r w:rsidR="00C60014">
              <w:rPr>
                <w:rFonts w:cs="Arial"/>
                <w:sz w:val="20"/>
                <w:szCs w:val="20"/>
              </w:rPr>
              <w:t>,</w:t>
            </w:r>
            <w:r w:rsidR="00415D92">
              <w:rPr>
                <w:rFonts w:cs="Arial"/>
                <w:sz w:val="20"/>
                <w:szCs w:val="20"/>
              </w:rPr>
              <w:t xml:space="preserve"> migratory species, whales,</w:t>
            </w:r>
            <w:r w:rsidR="00C60014">
              <w:rPr>
                <w:rFonts w:cs="Arial"/>
                <w:sz w:val="20"/>
                <w:szCs w:val="20"/>
              </w:rPr>
              <w:t xml:space="preserve"> cetaceans and listed marine species</w:t>
            </w:r>
            <w:r w:rsidR="008F496E">
              <w:rPr>
                <w:rFonts w:cs="Arial"/>
                <w:sz w:val="20"/>
                <w:szCs w:val="20"/>
              </w:rPr>
              <w:t xml:space="preserve"> is considered </w:t>
            </w:r>
            <w:r w:rsidR="00086D87">
              <w:rPr>
                <w:rFonts w:cs="Arial"/>
                <w:sz w:val="20"/>
                <w:szCs w:val="20"/>
              </w:rPr>
              <w:t xml:space="preserve">to </w:t>
            </w:r>
            <w:r w:rsidR="008F496E">
              <w:rPr>
                <w:rFonts w:cs="Arial"/>
                <w:sz w:val="20"/>
                <w:szCs w:val="20"/>
              </w:rPr>
              <w:t>be low risk.</w:t>
            </w:r>
          </w:p>
        </w:tc>
      </w:tr>
      <w:tr w:rsidR="00E7054C" w:rsidRPr="001F4207" w14:paraId="22B413FF" w14:textId="77777777" w:rsidTr="0072610E">
        <w:trPr>
          <w:cnfStyle w:val="000000010000" w:firstRow="0" w:lastRow="0" w:firstColumn="0" w:lastColumn="0" w:oddVBand="0" w:evenVBand="0" w:oddHBand="0" w:evenHBand="1" w:firstRowFirstColumn="0" w:firstRowLastColumn="0" w:lastRowFirstColumn="0" w:lastRowLastColumn="0"/>
        </w:trPr>
        <w:tc>
          <w:tcPr>
            <w:tcW w:w="574" w:type="pct"/>
          </w:tcPr>
          <w:p w14:paraId="43BD9B9F" w14:textId="03BF5731" w:rsidR="00AB194A" w:rsidRPr="001F4207" w:rsidRDefault="00AB194A" w:rsidP="000B43D5">
            <w:pPr>
              <w:spacing w:before="60" w:after="60" w:line="276" w:lineRule="auto"/>
              <w:contextualSpacing/>
              <w:rPr>
                <w:rFonts w:cs="Arial"/>
                <w:sz w:val="20"/>
                <w:szCs w:val="20"/>
              </w:rPr>
            </w:pPr>
            <w:r w:rsidRPr="001F4207">
              <w:rPr>
                <w:rFonts w:cs="Arial"/>
                <w:sz w:val="20"/>
                <w:szCs w:val="20"/>
              </w:rPr>
              <w:t>Part 13A</w:t>
            </w:r>
          </w:p>
        </w:tc>
        <w:tc>
          <w:tcPr>
            <w:tcW w:w="335" w:type="pct"/>
            <w:shd w:val="clear" w:color="auto" w:fill="92D050"/>
          </w:tcPr>
          <w:p w14:paraId="4B7EA81D" w14:textId="77777777" w:rsidR="00DC03D4" w:rsidRDefault="00FA59D2" w:rsidP="008201A1">
            <w:pPr>
              <w:spacing w:before="60" w:after="60" w:line="276" w:lineRule="auto"/>
              <w:contextualSpacing/>
              <w:jc w:val="center"/>
              <w:rPr>
                <w:rFonts w:cs="Arial"/>
                <w:sz w:val="20"/>
                <w:szCs w:val="20"/>
              </w:rPr>
            </w:pPr>
            <w:r>
              <w:rPr>
                <w:rFonts w:cs="Arial"/>
                <w:sz w:val="20"/>
                <w:szCs w:val="20"/>
              </w:rPr>
              <w:t>5</w:t>
            </w:r>
            <w:r w:rsidR="00DC03D4">
              <w:rPr>
                <w:rFonts w:cs="Arial"/>
                <w:sz w:val="20"/>
                <w:szCs w:val="20"/>
              </w:rPr>
              <w:t xml:space="preserve"> of 9</w:t>
            </w:r>
          </w:p>
          <w:p w14:paraId="5C07EDB0" w14:textId="21766190" w:rsidR="00AB194A" w:rsidRPr="001F4207" w:rsidRDefault="00DC03D4">
            <w:pPr>
              <w:spacing w:before="60" w:after="60" w:line="276" w:lineRule="auto"/>
              <w:contextualSpacing/>
              <w:jc w:val="center"/>
              <w:rPr>
                <w:rFonts w:cs="Arial"/>
                <w:sz w:val="20"/>
                <w:szCs w:val="20"/>
              </w:rPr>
            </w:pPr>
            <w:r>
              <w:rPr>
                <w:rFonts w:cs="Arial"/>
                <w:sz w:val="20"/>
                <w:szCs w:val="20"/>
              </w:rPr>
              <w:t>(4 N/A)</w:t>
            </w:r>
          </w:p>
        </w:tc>
        <w:tc>
          <w:tcPr>
            <w:tcW w:w="336" w:type="pct"/>
            <w:shd w:val="clear" w:color="auto" w:fill="auto"/>
          </w:tcPr>
          <w:p w14:paraId="37366B5B" w14:textId="2EB0FB56" w:rsidR="00AB194A" w:rsidRPr="001F4207" w:rsidRDefault="00AB194A">
            <w:pPr>
              <w:spacing w:before="60" w:after="60" w:line="276" w:lineRule="auto"/>
              <w:contextualSpacing/>
              <w:jc w:val="center"/>
              <w:rPr>
                <w:rFonts w:cs="Arial"/>
                <w:sz w:val="20"/>
                <w:szCs w:val="20"/>
              </w:rPr>
            </w:pPr>
          </w:p>
        </w:tc>
        <w:tc>
          <w:tcPr>
            <w:tcW w:w="383" w:type="pct"/>
            <w:shd w:val="clear" w:color="auto" w:fill="auto"/>
          </w:tcPr>
          <w:p w14:paraId="3DC1438C" w14:textId="54863FA7" w:rsidR="00AB194A" w:rsidRPr="001F4207" w:rsidRDefault="00AB194A">
            <w:pPr>
              <w:spacing w:before="60" w:after="60" w:line="276" w:lineRule="auto"/>
              <w:contextualSpacing/>
              <w:jc w:val="center"/>
              <w:rPr>
                <w:rFonts w:cs="Arial"/>
                <w:sz w:val="20"/>
                <w:szCs w:val="20"/>
              </w:rPr>
            </w:pPr>
          </w:p>
        </w:tc>
        <w:tc>
          <w:tcPr>
            <w:tcW w:w="3372" w:type="pct"/>
          </w:tcPr>
          <w:p w14:paraId="3A492242" w14:textId="0187769A" w:rsidR="00AB194A" w:rsidRPr="001F4207" w:rsidRDefault="0070086B">
            <w:pPr>
              <w:spacing w:before="60" w:after="60" w:line="276" w:lineRule="auto"/>
              <w:contextualSpacing/>
              <w:rPr>
                <w:rFonts w:cs="Arial"/>
                <w:sz w:val="20"/>
                <w:szCs w:val="20"/>
              </w:rPr>
            </w:pPr>
            <w:r>
              <w:rPr>
                <w:rFonts w:cs="Arial"/>
                <w:sz w:val="20"/>
                <w:szCs w:val="20"/>
              </w:rPr>
              <w:t>Requirements met subject to</w:t>
            </w:r>
            <w:r w:rsidR="003C2FC6">
              <w:rPr>
                <w:rFonts w:cs="Arial"/>
                <w:sz w:val="20"/>
                <w:szCs w:val="20"/>
              </w:rPr>
              <w:t xml:space="preserve"> conditions and</w:t>
            </w:r>
            <w:r>
              <w:rPr>
                <w:rFonts w:cs="Arial"/>
                <w:sz w:val="20"/>
                <w:szCs w:val="20"/>
              </w:rPr>
              <w:t xml:space="preserve"> recommendations specified at Section 4 of this report. </w:t>
            </w:r>
            <w:r w:rsidR="004F190F">
              <w:rPr>
                <w:rFonts w:cs="Arial"/>
                <w:sz w:val="20"/>
                <w:szCs w:val="20"/>
              </w:rPr>
              <w:t xml:space="preserve">The TGCF is consistent with the objects of Part 13A. Inclusion in the list of exempt native specimens for five years, until </w:t>
            </w:r>
            <w:r w:rsidR="00983951" w:rsidRPr="004F5EA4">
              <w:rPr>
                <w:rFonts w:cs="Arial"/>
                <w:sz w:val="20"/>
                <w:szCs w:val="20"/>
              </w:rPr>
              <w:t>10</w:t>
            </w:r>
            <w:r w:rsidR="004F190F" w:rsidRPr="004F5EA4">
              <w:rPr>
                <w:rFonts w:cs="Arial"/>
                <w:sz w:val="20"/>
                <w:szCs w:val="20"/>
              </w:rPr>
              <w:t xml:space="preserve"> </w:t>
            </w:r>
            <w:r w:rsidR="00983951" w:rsidRPr="004F5EA4">
              <w:rPr>
                <w:rFonts w:cs="Arial"/>
                <w:sz w:val="20"/>
                <w:szCs w:val="20"/>
              </w:rPr>
              <w:t>January</w:t>
            </w:r>
            <w:r w:rsidR="004F190F" w:rsidRPr="004F5EA4">
              <w:rPr>
                <w:rFonts w:cs="Arial"/>
                <w:sz w:val="20"/>
                <w:szCs w:val="20"/>
              </w:rPr>
              <w:t xml:space="preserve"> 202</w:t>
            </w:r>
            <w:r w:rsidR="00983951" w:rsidRPr="004F5EA4">
              <w:rPr>
                <w:rFonts w:cs="Arial"/>
                <w:sz w:val="20"/>
                <w:szCs w:val="20"/>
              </w:rPr>
              <w:t>5</w:t>
            </w:r>
            <w:r w:rsidR="004F190F">
              <w:rPr>
                <w:rFonts w:cs="Arial"/>
                <w:sz w:val="20"/>
                <w:szCs w:val="20"/>
              </w:rPr>
              <w:t xml:space="preserve"> is recommended, subject to recommendations detailed in Section 4 of this report.</w:t>
            </w:r>
          </w:p>
        </w:tc>
      </w:tr>
      <w:tr w:rsidR="00E7054C" w:rsidRPr="001F4207" w14:paraId="3E17CDF2" w14:textId="77777777" w:rsidTr="0072610E">
        <w:trPr>
          <w:cnfStyle w:val="000000100000" w:firstRow="0" w:lastRow="0" w:firstColumn="0" w:lastColumn="0" w:oddVBand="0" w:evenVBand="0" w:oddHBand="1" w:evenHBand="0" w:firstRowFirstColumn="0" w:firstRowLastColumn="0" w:lastRowFirstColumn="0" w:lastRowLastColumn="0"/>
        </w:trPr>
        <w:tc>
          <w:tcPr>
            <w:tcW w:w="574" w:type="pct"/>
          </w:tcPr>
          <w:p w14:paraId="716FE531" w14:textId="77777777" w:rsidR="00AB194A" w:rsidRPr="001F4207" w:rsidRDefault="00AB194A" w:rsidP="000B43D5">
            <w:pPr>
              <w:spacing w:before="60" w:after="60" w:line="276" w:lineRule="auto"/>
              <w:contextualSpacing/>
              <w:rPr>
                <w:rFonts w:cs="Arial"/>
                <w:sz w:val="20"/>
                <w:szCs w:val="20"/>
              </w:rPr>
            </w:pPr>
            <w:r w:rsidRPr="001F4207">
              <w:rPr>
                <w:rFonts w:cs="Arial"/>
                <w:sz w:val="20"/>
                <w:szCs w:val="20"/>
              </w:rPr>
              <w:t>Part 16</w:t>
            </w:r>
          </w:p>
        </w:tc>
        <w:tc>
          <w:tcPr>
            <w:tcW w:w="335" w:type="pct"/>
            <w:shd w:val="clear" w:color="auto" w:fill="92D050"/>
          </w:tcPr>
          <w:p w14:paraId="6CB8748C" w14:textId="51DB5666" w:rsidR="00AB194A" w:rsidRPr="001F4207" w:rsidRDefault="000154DB" w:rsidP="008201A1">
            <w:pPr>
              <w:spacing w:before="60" w:after="60" w:line="276" w:lineRule="auto"/>
              <w:contextualSpacing/>
              <w:jc w:val="center"/>
              <w:rPr>
                <w:rFonts w:cs="Arial"/>
                <w:sz w:val="20"/>
                <w:szCs w:val="20"/>
              </w:rPr>
            </w:pPr>
            <w:r>
              <w:rPr>
                <w:rFonts w:cs="Arial"/>
                <w:sz w:val="20"/>
                <w:szCs w:val="20"/>
              </w:rPr>
              <w:t>All met</w:t>
            </w:r>
          </w:p>
        </w:tc>
        <w:tc>
          <w:tcPr>
            <w:tcW w:w="336" w:type="pct"/>
            <w:shd w:val="clear" w:color="auto" w:fill="auto"/>
          </w:tcPr>
          <w:p w14:paraId="7B5C007D" w14:textId="48049B68" w:rsidR="00AB194A" w:rsidRPr="001F4207" w:rsidRDefault="00AB194A">
            <w:pPr>
              <w:spacing w:before="60" w:after="60" w:line="276" w:lineRule="auto"/>
              <w:contextualSpacing/>
              <w:jc w:val="center"/>
              <w:rPr>
                <w:rFonts w:cs="Arial"/>
                <w:sz w:val="20"/>
                <w:szCs w:val="20"/>
              </w:rPr>
            </w:pPr>
          </w:p>
        </w:tc>
        <w:tc>
          <w:tcPr>
            <w:tcW w:w="383" w:type="pct"/>
            <w:shd w:val="clear" w:color="auto" w:fill="auto"/>
          </w:tcPr>
          <w:p w14:paraId="138BAF54" w14:textId="50953470" w:rsidR="00AB194A" w:rsidRPr="001F4207" w:rsidRDefault="00AB194A">
            <w:pPr>
              <w:spacing w:before="60" w:after="60" w:line="276" w:lineRule="auto"/>
              <w:contextualSpacing/>
              <w:jc w:val="center"/>
              <w:rPr>
                <w:rFonts w:cs="Arial"/>
                <w:sz w:val="20"/>
                <w:szCs w:val="20"/>
              </w:rPr>
            </w:pPr>
          </w:p>
        </w:tc>
        <w:tc>
          <w:tcPr>
            <w:tcW w:w="3372" w:type="pct"/>
          </w:tcPr>
          <w:p w14:paraId="70D1DCFD" w14:textId="7EB7EE4B" w:rsidR="00AB194A" w:rsidRPr="001F4207" w:rsidRDefault="00672D05">
            <w:pPr>
              <w:spacing w:before="60" w:after="60" w:line="276" w:lineRule="auto"/>
              <w:contextualSpacing/>
              <w:rPr>
                <w:rFonts w:cs="Arial"/>
                <w:sz w:val="20"/>
                <w:szCs w:val="20"/>
              </w:rPr>
            </w:pPr>
            <w:r>
              <w:rPr>
                <w:rFonts w:cs="Arial"/>
                <w:sz w:val="20"/>
                <w:szCs w:val="20"/>
              </w:rPr>
              <w:t>Requirements met subject to</w:t>
            </w:r>
            <w:r w:rsidR="003C2FC6">
              <w:rPr>
                <w:rFonts w:cs="Arial"/>
                <w:sz w:val="20"/>
                <w:szCs w:val="20"/>
              </w:rPr>
              <w:t xml:space="preserve"> conditions and</w:t>
            </w:r>
            <w:r>
              <w:rPr>
                <w:rFonts w:cs="Arial"/>
                <w:sz w:val="20"/>
                <w:szCs w:val="20"/>
              </w:rPr>
              <w:t xml:space="preserve"> recommendations specified at Section 4 of this report. Precautionary management measures, performance measures and monitoring in place in the fishery are considered satisfactory to prevent serious or irreversible environmental damage being caused by the TGCF.</w:t>
            </w:r>
          </w:p>
        </w:tc>
      </w:tr>
    </w:tbl>
    <w:p w14:paraId="32449674" w14:textId="77777777" w:rsidR="00AB194A" w:rsidRPr="00FC2EBF" w:rsidRDefault="00AB194A" w:rsidP="00FC2EBF"/>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1F4207" w:rsidRDefault="00134108" w:rsidP="001F4207">
      <w:pPr>
        <w:pStyle w:val="Heading2"/>
        <w:spacing w:before="0" w:after="200" w:line="276" w:lineRule="auto"/>
        <w:rPr>
          <w:sz w:val="24"/>
          <w:szCs w:val="24"/>
        </w:rPr>
      </w:pPr>
      <w:bookmarkStart w:id="4" w:name="_Toc25824101"/>
      <w:r w:rsidRPr="001F4207">
        <w:rPr>
          <w:sz w:val="24"/>
          <w:szCs w:val="24"/>
        </w:rPr>
        <w:lastRenderedPageBreak/>
        <w:t>Notes:</w:t>
      </w:r>
      <w:bookmarkEnd w:id="4"/>
    </w:p>
    <w:p w14:paraId="00205463" w14:textId="77777777" w:rsidR="00134108" w:rsidRPr="00F72302" w:rsidRDefault="00134108" w:rsidP="00FC2EBF">
      <w:pPr>
        <w:pStyle w:val="Heading3"/>
        <w:rPr>
          <w:i w:val="0"/>
        </w:rPr>
      </w:pPr>
      <w:bookmarkStart w:id="5" w:name="_Toc25824102"/>
      <w:r w:rsidRPr="00F72302">
        <w:rPr>
          <w:i w:val="0"/>
        </w:rPr>
        <w:t>Assessment history:</w:t>
      </w:r>
      <w:bookmarkEnd w:id="5"/>
    </w:p>
    <w:p w14:paraId="0AC8D611" w14:textId="667BCF12" w:rsidR="00134108" w:rsidRPr="0072610E" w:rsidRDefault="004819FB" w:rsidP="00FC2EBF">
      <w:r w:rsidRPr="0072610E">
        <w:t xml:space="preserve">Information on previous assessments for the Tasmanian Giant Crab Fishery </w:t>
      </w:r>
      <w:r w:rsidR="00C80B34" w:rsidRPr="0072610E">
        <w:t xml:space="preserve">(TGCF) </w:t>
      </w:r>
      <w:r w:rsidRPr="0072610E">
        <w:t xml:space="preserve">is available on the Department’s website at </w:t>
      </w:r>
      <w:hyperlink r:id="rId17" w:history="1">
        <w:r w:rsidRPr="0072610E">
          <w:rPr>
            <w:rStyle w:val="Hyperlink"/>
          </w:rPr>
          <w:t>http://www.environment.gov.au/marine/fisheries/tas/giant-crab</w:t>
        </w:r>
      </w:hyperlink>
      <w:r w:rsidRPr="0072610E">
        <w:t xml:space="preserve">. </w:t>
      </w:r>
      <w:r w:rsidR="00134108" w:rsidRPr="0072610E">
        <w:t xml:space="preserve"> </w:t>
      </w:r>
    </w:p>
    <w:p w14:paraId="5838652F" w14:textId="277D7320" w:rsidR="00B97B40" w:rsidRPr="0072610E" w:rsidRDefault="00AB194A" w:rsidP="00FC2EBF">
      <w:r w:rsidRPr="0072610E">
        <w:t>1</w:t>
      </w:r>
      <w:r w:rsidR="00AC7B3E" w:rsidRPr="0072610E">
        <w:rPr>
          <w:vertAlign w:val="superscript"/>
        </w:rPr>
        <w:t>st</w:t>
      </w:r>
      <w:r w:rsidRPr="0072610E">
        <w:t xml:space="preserve"> assessment </w:t>
      </w:r>
      <w:r w:rsidRPr="0072610E">
        <w:rPr>
          <w:b/>
        </w:rPr>
        <w:t xml:space="preserve">finalised </w:t>
      </w:r>
      <w:r w:rsidR="009B60F5" w:rsidRPr="0072610E">
        <w:rPr>
          <w:b/>
        </w:rPr>
        <w:t>July 2003</w:t>
      </w:r>
      <w:r w:rsidR="00BA09B7" w:rsidRPr="0072610E">
        <w:t xml:space="preserve"> </w:t>
      </w:r>
      <w:r w:rsidR="00B97B40" w:rsidRPr="0072610E">
        <w:t xml:space="preserve">– </w:t>
      </w:r>
      <w:r w:rsidR="00F93026" w:rsidRPr="0072610E">
        <w:t xml:space="preserve">Exempt from export approval </w:t>
      </w:r>
      <w:r w:rsidR="00A57B02" w:rsidRPr="0072610E">
        <w:t>under the EPBC Act</w:t>
      </w:r>
      <w:r w:rsidR="0037277F" w:rsidRPr="0072610E">
        <w:t>. In October</w:t>
      </w:r>
      <w:r w:rsidR="004A7C56" w:rsidRPr="0072610E">
        <w:t> </w:t>
      </w:r>
      <w:r w:rsidR="0037277F" w:rsidRPr="0072610E">
        <w:t>2004</w:t>
      </w:r>
      <w:r w:rsidR="00A57B02" w:rsidRPr="0072610E">
        <w:t xml:space="preserve"> </w:t>
      </w:r>
      <w:r w:rsidR="0037277F" w:rsidRPr="0072610E">
        <w:t xml:space="preserve">the list of exempt native specimens (LENS) was </w:t>
      </w:r>
      <w:r w:rsidR="004A7C56" w:rsidRPr="0072610E">
        <w:t xml:space="preserve">amended </w:t>
      </w:r>
      <w:r w:rsidR="00F93026" w:rsidRPr="0072610E">
        <w:t xml:space="preserve">until </w:t>
      </w:r>
      <w:r w:rsidR="009B60F5" w:rsidRPr="0072610E">
        <w:t>22 July 2006</w:t>
      </w:r>
      <w:r w:rsidR="00B97B40" w:rsidRPr="0072610E">
        <w:t xml:space="preserve">. Export approval was subject to </w:t>
      </w:r>
      <w:r w:rsidR="009B60F5" w:rsidRPr="0072610E">
        <w:t>3</w:t>
      </w:r>
      <w:r w:rsidR="00B97B40" w:rsidRPr="0072610E">
        <w:t xml:space="preserve"> conditions and </w:t>
      </w:r>
      <w:r w:rsidR="009B60F5" w:rsidRPr="0072610E">
        <w:t>12</w:t>
      </w:r>
      <w:r w:rsidR="00F839FE" w:rsidRPr="0072610E">
        <w:t xml:space="preserve"> </w:t>
      </w:r>
      <w:r w:rsidR="00B97B40" w:rsidRPr="0072610E">
        <w:t>recommendations</w:t>
      </w:r>
      <w:r w:rsidRPr="0072610E">
        <w:t>.</w:t>
      </w:r>
    </w:p>
    <w:p w14:paraId="7E9C438A" w14:textId="3598B5F9" w:rsidR="00B97B40" w:rsidRPr="0072610E" w:rsidRDefault="00AB194A" w:rsidP="00FC2EBF">
      <w:r w:rsidRPr="0072610E">
        <w:t>2</w:t>
      </w:r>
      <w:r w:rsidR="00AC7B3E" w:rsidRPr="0072610E">
        <w:rPr>
          <w:vertAlign w:val="superscript"/>
        </w:rPr>
        <w:t>nd</w:t>
      </w:r>
      <w:r w:rsidR="00B97B40" w:rsidRPr="0072610E">
        <w:t xml:space="preserve"> assessment </w:t>
      </w:r>
      <w:r w:rsidR="00B97B40" w:rsidRPr="0072610E">
        <w:rPr>
          <w:b/>
        </w:rPr>
        <w:t>finalised</w:t>
      </w:r>
      <w:r w:rsidR="00F4085F" w:rsidRPr="0072610E">
        <w:rPr>
          <w:b/>
        </w:rPr>
        <w:t xml:space="preserve"> </w:t>
      </w:r>
      <w:r w:rsidR="00383C95" w:rsidRPr="0072610E">
        <w:rPr>
          <w:b/>
        </w:rPr>
        <w:t>July 2006</w:t>
      </w:r>
      <w:r w:rsidR="00B97B40" w:rsidRPr="0072610E">
        <w:t xml:space="preserve"> – </w:t>
      </w:r>
      <w:r w:rsidR="00BA09B7" w:rsidRPr="0072610E">
        <w:t xml:space="preserve">Exempt from export approval </w:t>
      </w:r>
      <w:r w:rsidR="004A7C56" w:rsidRPr="0072610E">
        <w:t xml:space="preserve">under the EPBC Act. In July 2006 the LENS was amended </w:t>
      </w:r>
      <w:r w:rsidR="00BA09B7" w:rsidRPr="0072610E">
        <w:t xml:space="preserve">until </w:t>
      </w:r>
      <w:r w:rsidR="00383C95" w:rsidRPr="0072610E">
        <w:t>22 July 2009</w:t>
      </w:r>
      <w:r w:rsidR="00BA09B7" w:rsidRPr="0072610E">
        <w:t xml:space="preserve">. </w:t>
      </w:r>
      <w:r w:rsidR="00B97B40" w:rsidRPr="0072610E">
        <w:t xml:space="preserve">Export approval was subject to </w:t>
      </w:r>
      <w:r w:rsidR="00FA01ED" w:rsidRPr="0072610E">
        <w:t>4</w:t>
      </w:r>
      <w:r w:rsidR="00F839FE" w:rsidRPr="0072610E">
        <w:t xml:space="preserve"> </w:t>
      </w:r>
      <w:r w:rsidR="00B97B40" w:rsidRPr="0072610E">
        <w:t xml:space="preserve">conditions and </w:t>
      </w:r>
      <w:r w:rsidR="00FA01ED" w:rsidRPr="0072610E">
        <w:t>4</w:t>
      </w:r>
      <w:r w:rsidR="004A7C56" w:rsidRPr="0072610E">
        <w:t> </w:t>
      </w:r>
      <w:r w:rsidR="00B97B40" w:rsidRPr="0072610E">
        <w:t>recommendations.</w:t>
      </w:r>
    </w:p>
    <w:p w14:paraId="51DFEA78" w14:textId="599BE5CA" w:rsidR="00DC73B9" w:rsidRPr="0072610E" w:rsidRDefault="00AB194A" w:rsidP="00FC2EBF">
      <w:r w:rsidRPr="0072610E">
        <w:t>3</w:t>
      </w:r>
      <w:r w:rsidR="00AC7B3E" w:rsidRPr="0072610E">
        <w:rPr>
          <w:vertAlign w:val="superscript"/>
        </w:rPr>
        <w:t>rd</w:t>
      </w:r>
      <w:r w:rsidR="00B97B40" w:rsidRPr="0072610E">
        <w:t xml:space="preserve"> assessment </w:t>
      </w:r>
      <w:r w:rsidR="00B97B40" w:rsidRPr="0072610E">
        <w:rPr>
          <w:b/>
        </w:rPr>
        <w:t>finalised</w:t>
      </w:r>
      <w:r w:rsidR="005B30D9" w:rsidRPr="0072610E">
        <w:rPr>
          <w:b/>
        </w:rPr>
        <w:t xml:space="preserve"> July 2009</w:t>
      </w:r>
      <w:r w:rsidR="00BA09B7" w:rsidRPr="0072610E">
        <w:t xml:space="preserve"> </w:t>
      </w:r>
      <w:r w:rsidR="00B97B40" w:rsidRPr="0072610E">
        <w:t>–</w:t>
      </w:r>
      <w:r w:rsidR="00BA09B7" w:rsidRPr="0072610E">
        <w:t xml:space="preserve"> </w:t>
      </w:r>
      <w:r w:rsidR="004A7C56" w:rsidRPr="0072610E">
        <w:t>Exempt from export approval under the EPBC Act. In July 2009 t</w:t>
      </w:r>
      <w:r w:rsidR="00BA09B7" w:rsidRPr="0072610E">
        <w:t xml:space="preserve">he LENS was amended until </w:t>
      </w:r>
      <w:r w:rsidR="00F540E3" w:rsidRPr="0072610E">
        <w:t>22 July 2014</w:t>
      </w:r>
      <w:r w:rsidR="00BA09B7" w:rsidRPr="0072610E">
        <w:t xml:space="preserve">. </w:t>
      </w:r>
      <w:r w:rsidR="00B97B40" w:rsidRPr="0072610E">
        <w:t xml:space="preserve">Export approval was subject to </w:t>
      </w:r>
      <w:r w:rsidR="00F92301" w:rsidRPr="0072610E">
        <w:t>7</w:t>
      </w:r>
      <w:r w:rsidR="00F839FE" w:rsidRPr="0072610E">
        <w:t xml:space="preserve"> </w:t>
      </w:r>
      <w:r w:rsidR="00B97B40" w:rsidRPr="0072610E">
        <w:t>recommendations.</w:t>
      </w:r>
      <w:r w:rsidR="00BA09B7" w:rsidRPr="0072610E">
        <w:t xml:space="preserve"> </w:t>
      </w:r>
      <w:r w:rsidR="007C4D1B" w:rsidRPr="0072610E">
        <w:t xml:space="preserve">In </w:t>
      </w:r>
      <w:r w:rsidR="00582C66" w:rsidRPr="0072610E">
        <w:t>February</w:t>
      </w:r>
      <w:r w:rsidR="00DC73B9" w:rsidRPr="0072610E">
        <w:t xml:space="preserve"> 2013</w:t>
      </w:r>
      <w:r w:rsidR="007C4D1B" w:rsidRPr="0072610E">
        <w:t xml:space="preserve"> the management regime for the TGCF was </w:t>
      </w:r>
      <w:r w:rsidR="002D1B00" w:rsidRPr="0072610E">
        <w:t>re</w:t>
      </w:r>
      <w:r w:rsidR="007C4D1B" w:rsidRPr="0072610E">
        <w:t>accr</w:t>
      </w:r>
      <w:r w:rsidR="002D1B00" w:rsidRPr="0072610E">
        <w:t xml:space="preserve">edited </w:t>
      </w:r>
      <w:r w:rsidR="007C4D1B" w:rsidRPr="0072610E">
        <w:t xml:space="preserve">in force under the </w:t>
      </w:r>
      <w:r w:rsidR="00B94A58" w:rsidRPr="0072610E">
        <w:rPr>
          <w:i/>
        </w:rPr>
        <w:t>Fisheries (Giant C</w:t>
      </w:r>
      <w:r w:rsidR="007C4D1B" w:rsidRPr="0072610E">
        <w:rPr>
          <w:i/>
        </w:rPr>
        <w:t>rab) rules 2013.</w:t>
      </w:r>
      <w:r w:rsidR="007C4D1B" w:rsidRPr="0072610E">
        <w:t xml:space="preserve"> </w:t>
      </w:r>
      <w:r w:rsidR="00DC73B9" w:rsidRPr="0072610E">
        <w:t>T</w:t>
      </w:r>
      <w:r w:rsidR="00CB2289" w:rsidRPr="0072610E">
        <w:t>he LENS</w:t>
      </w:r>
      <w:r w:rsidR="00DC73B9" w:rsidRPr="0072610E">
        <w:t xml:space="preserve"> was amended until </w:t>
      </w:r>
      <w:r w:rsidR="00AE4836" w:rsidRPr="0072610E">
        <w:t>22 July 2014</w:t>
      </w:r>
      <w:r w:rsidR="00FF123B" w:rsidRPr="0072610E">
        <w:t xml:space="preserve"> to take into consideration the new rules.</w:t>
      </w:r>
    </w:p>
    <w:p w14:paraId="70D459C8" w14:textId="234E4ABE" w:rsidR="003D3277" w:rsidRPr="0072610E" w:rsidRDefault="003D3277" w:rsidP="00FC2EBF">
      <w:r w:rsidRPr="0072610E">
        <w:t>4</w:t>
      </w:r>
      <w:r w:rsidR="00AC7B3E" w:rsidRPr="0072610E">
        <w:rPr>
          <w:vertAlign w:val="superscript"/>
        </w:rPr>
        <w:t>th</w:t>
      </w:r>
      <w:r w:rsidRPr="0072610E">
        <w:t xml:space="preserve"> assessment </w:t>
      </w:r>
      <w:r w:rsidRPr="0072610E">
        <w:rPr>
          <w:b/>
        </w:rPr>
        <w:t>finalised</w:t>
      </w:r>
      <w:r w:rsidR="006A7307" w:rsidRPr="0072610E">
        <w:rPr>
          <w:b/>
        </w:rPr>
        <w:t xml:space="preserve"> July 2014</w:t>
      </w:r>
      <w:r w:rsidR="006A7307" w:rsidRPr="0072610E">
        <w:t xml:space="preserve"> – </w:t>
      </w:r>
      <w:r w:rsidR="00FF123B" w:rsidRPr="0072610E">
        <w:t>Exempt from export approval under the EPBC Act. In July 2014 t</w:t>
      </w:r>
      <w:r w:rsidR="006A7307" w:rsidRPr="0072610E">
        <w:t xml:space="preserve">he </w:t>
      </w:r>
      <w:r w:rsidR="00F61405" w:rsidRPr="0072610E">
        <w:t>LENS was amended until 18 July 2019</w:t>
      </w:r>
      <w:r w:rsidR="006A7307" w:rsidRPr="0072610E">
        <w:t>. E</w:t>
      </w:r>
      <w:r w:rsidR="00F61405" w:rsidRPr="0072610E">
        <w:t>xport approval was subject to 6</w:t>
      </w:r>
      <w:r w:rsidR="006A7307" w:rsidRPr="0072610E">
        <w:t xml:space="preserve"> recommendations.</w:t>
      </w:r>
    </w:p>
    <w:p w14:paraId="5CE9132E" w14:textId="77777777" w:rsidR="00AB194A" w:rsidRPr="00FC2EBF" w:rsidRDefault="00AB194A" w:rsidP="00FC2EBF"/>
    <w:p w14:paraId="5C3C5A42" w14:textId="77777777" w:rsidR="00B97B40" w:rsidRPr="00F72302" w:rsidRDefault="00AB194A" w:rsidP="00FC2EBF">
      <w:pPr>
        <w:pStyle w:val="Heading3"/>
        <w:rPr>
          <w:i w:val="0"/>
        </w:rPr>
      </w:pPr>
      <w:bookmarkStart w:id="6" w:name="_Toc25824103"/>
      <w:r w:rsidRPr="00F72302">
        <w:rPr>
          <w:i w:val="0"/>
        </w:rPr>
        <w:t>Fishery reporting:</w:t>
      </w:r>
      <w:bookmarkEnd w:id="6"/>
    </w:p>
    <w:p w14:paraId="7BB5964E" w14:textId="03561920" w:rsidR="008C6E20" w:rsidRPr="0072610E" w:rsidRDefault="00AB194A" w:rsidP="00FC2EBF">
      <w:r w:rsidRPr="0072610E">
        <w:t>Annual report</w:t>
      </w:r>
      <w:r w:rsidR="008C6E20" w:rsidRPr="0072610E">
        <w:t>s</w:t>
      </w:r>
      <w:r w:rsidR="00E15A30" w:rsidRPr="0072610E">
        <w:t>:</w:t>
      </w:r>
    </w:p>
    <w:p w14:paraId="386A973A" w14:textId="70F84F0D" w:rsidR="008C6E20" w:rsidRPr="0072610E" w:rsidRDefault="008C6E20" w:rsidP="00FC2EBF">
      <w:r w:rsidRPr="0072610E">
        <w:t xml:space="preserve">– 2015/16 Annual Report </w:t>
      </w:r>
      <w:r w:rsidR="00970F1E">
        <w:t>on the</w:t>
      </w:r>
      <w:r w:rsidRPr="0072610E">
        <w:t xml:space="preserve"> Tasmanian Giant Crab Fishery</w:t>
      </w:r>
    </w:p>
    <w:p w14:paraId="5831E62F" w14:textId="0B4B1A87" w:rsidR="008C6E20" w:rsidRPr="0072610E" w:rsidRDefault="008C6E20" w:rsidP="00FC2EBF">
      <w:r w:rsidRPr="0072610E">
        <w:t>– Giant Crab – An overview of the 2015/16 Assessment</w:t>
      </w:r>
    </w:p>
    <w:p w14:paraId="1585308C" w14:textId="6A87B75F" w:rsidR="008C6E20" w:rsidRPr="0072610E" w:rsidRDefault="008C6E20" w:rsidP="00FC2EBF">
      <w:r w:rsidRPr="0072610E">
        <w:t>– 2016/17 Annual Report on the Tasmanian Giant Crab Fishery</w:t>
      </w:r>
    </w:p>
    <w:p w14:paraId="61122463" w14:textId="4C1B50D6" w:rsidR="008C6E20" w:rsidRPr="0072610E" w:rsidRDefault="008C6E20" w:rsidP="00FC2EBF">
      <w:r w:rsidRPr="0072610E">
        <w:t>– Giant Crab November 2017 – Fishery Assessment update</w:t>
      </w:r>
    </w:p>
    <w:p w14:paraId="586FACF4" w14:textId="519C3BFE" w:rsidR="00E15A30" w:rsidRPr="0072610E" w:rsidRDefault="008C6E20" w:rsidP="00FC2EBF">
      <w:r w:rsidRPr="0072610E">
        <w:t>– 2017/18 Annual Report on the Tasmanian Giant Crab Fishery</w:t>
      </w:r>
    </w:p>
    <w:p w14:paraId="3186A862" w14:textId="77777777" w:rsidR="00E15A30" w:rsidRDefault="00E15A30" w:rsidP="00F72302"/>
    <w:p w14:paraId="4F3D3FCE" w14:textId="75E1FE3D" w:rsidR="00B97B40" w:rsidRPr="00BD31A9" w:rsidRDefault="00AB194A" w:rsidP="00FC2EBF">
      <w:pPr>
        <w:pStyle w:val="Heading3"/>
        <w:rPr>
          <w:i w:val="0"/>
        </w:rPr>
      </w:pPr>
      <w:bookmarkStart w:id="7" w:name="_Toc25824104"/>
      <w:r w:rsidRPr="00F32842">
        <w:rPr>
          <w:i w:val="0"/>
        </w:rPr>
        <w:t>Key links</w:t>
      </w:r>
      <w:r w:rsidR="000B43D5" w:rsidRPr="008201A1">
        <w:rPr>
          <w:i w:val="0"/>
        </w:rPr>
        <w:t>, fishery information</w:t>
      </w:r>
      <w:r w:rsidRPr="00BD31A9">
        <w:rPr>
          <w:i w:val="0"/>
        </w:rPr>
        <w:t>:</w:t>
      </w:r>
      <w:bookmarkEnd w:id="7"/>
      <w:r w:rsidRPr="00BD31A9">
        <w:rPr>
          <w:i w:val="0"/>
        </w:rPr>
        <w:t xml:space="preserve"> </w:t>
      </w:r>
    </w:p>
    <w:p w14:paraId="27FF925A" w14:textId="587F89CB" w:rsidR="00AB194A" w:rsidRDefault="007E3D05" w:rsidP="00F72302">
      <w:pPr>
        <w:spacing w:after="200"/>
      </w:pPr>
      <w:r w:rsidRPr="0072610E">
        <w:t xml:space="preserve">Tasmanian Giant Crab Fishery </w:t>
      </w:r>
      <w:r w:rsidR="00FF123B" w:rsidRPr="0072610E">
        <w:t xml:space="preserve">webpage: </w:t>
      </w:r>
      <w:r w:rsidR="00DC3F55">
        <w:br/>
      </w:r>
      <w:hyperlink r:id="rId18" w:history="1">
        <w:r w:rsidR="00E15A30" w:rsidRPr="0072610E">
          <w:rPr>
            <w:rStyle w:val="Hyperlink"/>
          </w:rPr>
          <w:t>https://dpipwe.tas.gov.au/sea-fishing-aquaculture/commercial-fishing/giant-crab-fishery</w:t>
        </w:r>
      </w:hyperlink>
      <w:r w:rsidRPr="0072610E">
        <w:t>.</w:t>
      </w:r>
    </w:p>
    <w:p w14:paraId="749CBF71" w14:textId="32FB8EB8" w:rsidR="00402720" w:rsidRDefault="00402720" w:rsidP="00F72302">
      <w:pPr>
        <w:spacing w:after="200"/>
      </w:pPr>
      <w:r>
        <w:t xml:space="preserve">Tasmanian </w:t>
      </w:r>
      <w:r w:rsidRPr="00402720">
        <w:t>Crustacean Fisheries Advisory Committee (CFAC)</w:t>
      </w:r>
      <w:r>
        <w:t xml:space="preserve"> webpage</w:t>
      </w:r>
      <w:proofErr w:type="gramStart"/>
      <w:r>
        <w:t>:</w:t>
      </w:r>
      <w:proofErr w:type="gramEnd"/>
      <w:r>
        <w:br/>
      </w:r>
      <w:hyperlink r:id="rId19" w:history="1">
        <w:r w:rsidRPr="00DD2712">
          <w:rPr>
            <w:rStyle w:val="Hyperlink"/>
          </w:rPr>
          <w:t>https://dpipwe.tas.gov.au/sea-fishing-aquaculture/sustainable-fisheries-management/fishery-advisory-committees/crustacean-fisheries-advisory-committee</w:t>
        </w:r>
      </w:hyperlink>
      <w:r>
        <w:t xml:space="preserve"> </w:t>
      </w:r>
    </w:p>
    <w:p w14:paraId="7A0F2B42" w14:textId="7AB769BE" w:rsidR="002B656C" w:rsidRDefault="002B656C" w:rsidP="00F72302">
      <w:pPr>
        <w:spacing w:after="200"/>
      </w:pPr>
      <w:r w:rsidRPr="002B656C">
        <w:t>Sustainable Marine Research Collaboration Agreement</w:t>
      </w:r>
      <w:r>
        <w:br/>
      </w:r>
      <w:hyperlink r:id="rId20" w:history="1">
        <w:r w:rsidRPr="00DD2712">
          <w:rPr>
            <w:rStyle w:val="Hyperlink"/>
          </w:rPr>
          <w:t>http://www.imas.utas.edu.au/partnerships-projects-and-collaborations/sustainable-marine-research-collaboration-agreement</w:t>
        </w:r>
      </w:hyperlink>
      <w:r>
        <w:t xml:space="preserve"> </w:t>
      </w:r>
    </w:p>
    <w:p w14:paraId="19A4DA0B" w14:textId="1B1E03C5" w:rsidR="00276C80" w:rsidRPr="0072610E" w:rsidRDefault="00276C80" w:rsidP="00F72302">
      <w:pPr>
        <w:spacing w:after="200"/>
      </w:pPr>
      <w:r w:rsidRPr="00276C80">
        <w:t>Giant Crab Catch Updates</w:t>
      </w:r>
      <w:proofErr w:type="gramStart"/>
      <w:r>
        <w:t>:</w:t>
      </w:r>
      <w:proofErr w:type="gramEnd"/>
      <w:r>
        <w:br/>
      </w:r>
      <w:hyperlink r:id="rId21" w:history="1">
        <w:r w:rsidRPr="006A1F23">
          <w:rPr>
            <w:rStyle w:val="Hyperlink"/>
          </w:rPr>
          <w:t>https://dpipwe.tas.gov.au/sea-fishing-aquaculture/commercial-fishing/giant-crab-fishery/giant-crab-catch</w:t>
        </w:r>
      </w:hyperlink>
      <w:r>
        <w:t xml:space="preserve"> </w:t>
      </w:r>
    </w:p>
    <w:p w14:paraId="66179759" w14:textId="10956F24" w:rsidR="00B97B40" w:rsidRPr="00F32842" w:rsidRDefault="00B97B40" w:rsidP="00FC2EBF">
      <w:pPr>
        <w:rPr>
          <w:b/>
        </w:rPr>
      </w:pPr>
      <w:r w:rsidRPr="00F32842">
        <w:rPr>
          <w:b/>
        </w:rPr>
        <w:t>Management plan</w:t>
      </w:r>
    </w:p>
    <w:p w14:paraId="5D9D1F76" w14:textId="1B69C3EA" w:rsidR="00AB194A" w:rsidRPr="0072610E" w:rsidRDefault="00DA34F5" w:rsidP="00F72302">
      <w:pPr>
        <w:spacing w:after="200"/>
      </w:pPr>
      <w:r w:rsidRPr="0072610E">
        <w:rPr>
          <w:i/>
        </w:rPr>
        <w:t>Fisheries (Giant Crab) Rules 2013</w:t>
      </w:r>
      <w:r w:rsidR="00DC3F55">
        <w:t>:</w:t>
      </w:r>
      <w:r w:rsidR="00440D80" w:rsidRPr="0072610E">
        <w:t xml:space="preserve"> </w:t>
      </w:r>
      <w:r w:rsidR="00DC3F55">
        <w:br/>
      </w:r>
      <w:hyperlink r:id="rId22" w:history="1">
        <w:r w:rsidRPr="0072610E">
          <w:rPr>
            <w:rStyle w:val="Hyperlink"/>
          </w:rPr>
          <w:t>https://www.legislation.tas.gov.au/view/html/inforce/current/sr-2013-002</w:t>
        </w:r>
      </w:hyperlink>
    </w:p>
    <w:p w14:paraId="69836492" w14:textId="77777777" w:rsidR="00276C80" w:rsidRDefault="00276C80" w:rsidP="00FC2EBF">
      <w:pPr>
        <w:rPr>
          <w:b/>
        </w:rPr>
      </w:pPr>
    </w:p>
    <w:p w14:paraId="01053B74" w14:textId="77777777" w:rsidR="00276C80" w:rsidRDefault="00276C80" w:rsidP="00FC2EBF">
      <w:pPr>
        <w:rPr>
          <w:b/>
        </w:rPr>
      </w:pPr>
    </w:p>
    <w:p w14:paraId="390B7E04" w14:textId="1C797AC1" w:rsidR="00CD0543" w:rsidRPr="00BD31A9" w:rsidRDefault="00AB194A" w:rsidP="00FC2EBF">
      <w:pPr>
        <w:rPr>
          <w:b/>
        </w:rPr>
      </w:pPr>
      <w:r w:rsidRPr="00F32842">
        <w:rPr>
          <w:b/>
        </w:rPr>
        <w:lastRenderedPageBreak/>
        <w:t>Enforcing legislation</w:t>
      </w:r>
      <w:r w:rsidR="00FF123B" w:rsidRPr="008201A1">
        <w:rPr>
          <w:b/>
        </w:rPr>
        <w:t>:</w:t>
      </w:r>
      <w:r w:rsidRPr="00BD31A9">
        <w:rPr>
          <w:b/>
        </w:rPr>
        <w:t xml:space="preserve"> </w:t>
      </w:r>
    </w:p>
    <w:p w14:paraId="21F70AAA" w14:textId="438DB915" w:rsidR="00AB194A" w:rsidRPr="0072610E" w:rsidRDefault="00DA34F5" w:rsidP="00F72302">
      <w:pPr>
        <w:spacing w:after="200"/>
      </w:pPr>
      <w:r w:rsidRPr="0072610E">
        <w:rPr>
          <w:i/>
        </w:rPr>
        <w:t>Living Marine Resources Management Act 1995</w:t>
      </w:r>
      <w:r w:rsidRPr="0072610E">
        <w:t xml:space="preserve"> (T</w:t>
      </w:r>
      <w:r w:rsidR="00440D80" w:rsidRPr="0072610E">
        <w:t>AS</w:t>
      </w:r>
      <w:r w:rsidRPr="0072610E">
        <w:t>)</w:t>
      </w:r>
      <w:r w:rsidR="00DC3F55">
        <w:t>:</w:t>
      </w:r>
      <w:r w:rsidR="00440D80" w:rsidRPr="0072610E">
        <w:t xml:space="preserve"> </w:t>
      </w:r>
      <w:hyperlink r:id="rId23" w:history="1">
        <w:r w:rsidRPr="0072610E">
          <w:rPr>
            <w:rStyle w:val="Hyperlink"/>
          </w:rPr>
          <w:t>https://www.legislation.tas.gov.au/view/whole/html/inforce/current/act-1995-025</w:t>
        </w:r>
      </w:hyperlink>
    </w:p>
    <w:p w14:paraId="005FE20F" w14:textId="1BA95938" w:rsidR="00CD0543" w:rsidRPr="00BD31A9" w:rsidRDefault="00CD0543" w:rsidP="00FC2EBF">
      <w:pPr>
        <w:rPr>
          <w:b/>
        </w:rPr>
      </w:pPr>
      <w:r w:rsidRPr="00F32842">
        <w:rPr>
          <w:b/>
        </w:rPr>
        <w:t>S</w:t>
      </w:r>
      <w:r w:rsidR="00AB194A" w:rsidRPr="008201A1">
        <w:rPr>
          <w:b/>
        </w:rPr>
        <w:t>tock assessment</w:t>
      </w:r>
      <w:r w:rsidRPr="00BD31A9">
        <w:rPr>
          <w:b/>
        </w:rPr>
        <w:t>s</w:t>
      </w:r>
      <w:r w:rsidR="00FF123B" w:rsidRPr="00BD31A9">
        <w:rPr>
          <w:b/>
        </w:rPr>
        <w:t>:</w:t>
      </w:r>
      <w:r w:rsidR="00AB194A" w:rsidRPr="00BD31A9">
        <w:rPr>
          <w:b/>
        </w:rPr>
        <w:t xml:space="preserve"> </w:t>
      </w:r>
    </w:p>
    <w:p w14:paraId="377267C4" w14:textId="3D31988E" w:rsidR="00D4173A" w:rsidRPr="0072610E" w:rsidRDefault="00DF71EB" w:rsidP="00FC2EBF">
      <w:r w:rsidRPr="0072610E">
        <w:t xml:space="preserve">Tasmanian Giant Crab Fishery 2013–14 </w:t>
      </w:r>
      <w:r w:rsidR="00935906" w:rsidRPr="0072610E">
        <w:t>assessment:</w:t>
      </w:r>
      <w:r w:rsidR="009D2E57" w:rsidRPr="0072610E">
        <w:t xml:space="preserve"> </w:t>
      </w:r>
      <w:hyperlink r:id="rId24" w:history="1">
        <w:r w:rsidR="004631C2" w:rsidRPr="0072610E">
          <w:rPr>
            <w:rStyle w:val="Hyperlink"/>
          </w:rPr>
          <w:t>http://www.imas.utas.edu.au/__data/assets/pdf_file/0003/743106/Giant-Crab_2013-14.pdf</w:t>
        </w:r>
      </w:hyperlink>
      <w:r w:rsidR="004631C2" w:rsidRPr="0072610E">
        <w:t xml:space="preserve"> </w:t>
      </w:r>
    </w:p>
    <w:p w14:paraId="2453D73C" w14:textId="35B19D0E" w:rsidR="00DF71EB" w:rsidRPr="0072610E" w:rsidRDefault="00D4173A" w:rsidP="00FC2EBF">
      <w:r w:rsidRPr="0072610E">
        <w:t xml:space="preserve">Previous stock assessments: </w:t>
      </w:r>
      <w:r w:rsidR="00DC3F55">
        <w:br/>
      </w:r>
      <w:hyperlink r:id="rId25" w:history="1">
        <w:r w:rsidRPr="0072610E">
          <w:rPr>
            <w:rStyle w:val="Hyperlink"/>
          </w:rPr>
          <w:t>https://www.imas.utas.edu.au/research/fisheries-and-aquaculture/publications-and-resources</w:t>
        </w:r>
      </w:hyperlink>
      <w:r w:rsidRPr="0072610E">
        <w:t xml:space="preserve"> </w:t>
      </w:r>
    </w:p>
    <w:p w14:paraId="52836BE5" w14:textId="00FD9093" w:rsidR="007361FC" w:rsidRPr="0072610E" w:rsidRDefault="003B4168" w:rsidP="00FC2EBF">
      <w:r w:rsidRPr="0072610E">
        <w:rPr>
          <w:rFonts w:cs="Arial"/>
        </w:rPr>
        <w:t>The Fisheries Research and Development Corporation (FRDC)</w:t>
      </w:r>
      <w:r w:rsidR="00935906" w:rsidRPr="0072610E">
        <w:t xml:space="preserve"> report:</w:t>
      </w:r>
      <w:r w:rsidR="00DF71EB" w:rsidRPr="0072610E">
        <w:t xml:space="preserve"> </w:t>
      </w:r>
      <w:hyperlink r:id="rId26" w:history="1">
        <w:r w:rsidR="00DF71EB" w:rsidRPr="0072610E">
          <w:rPr>
            <w:rStyle w:val="Hyperlink"/>
          </w:rPr>
          <w:t>https://www.fish.gov.au/report/180-Giant-Crab-2018</w:t>
        </w:r>
      </w:hyperlink>
      <w:r w:rsidR="00DF71EB" w:rsidRPr="0072610E">
        <w:t xml:space="preserve">. </w:t>
      </w:r>
    </w:p>
    <w:p w14:paraId="0DDCEFD3" w14:textId="77777777" w:rsidR="00227603" w:rsidRPr="00BD31A9" w:rsidRDefault="00227603" w:rsidP="00FC2EBF">
      <w:pPr>
        <w:sectPr w:rsidR="00227603" w:rsidRPr="00BD31A9" w:rsidSect="00227603">
          <w:pgSz w:w="11906" w:h="16838"/>
          <w:pgMar w:top="1021" w:right="1021" w:bottom="1021" w:left="1021" w:header="709" w:footer="709" w:gutter="0"/>
          <w:cols w:space="708"/>
          <w:docGrid w:linePitch="360"/>
        </w:sectPr>
      </w:pPr>
    </w:p>
    <w:p w14:paraId="104F2B01" w14:textId="37F021FC" w:rsidR="00885298" w:rsidRPr="004F5EA4" w:rsidRDefault="0027415B" w:rsidP="004F5EA4">
      <w:pPr>
        <w:pStyle w:val="Heading1"/>
        <w:jc w:val="center"/>
        <w:rPr>
          <w:rFonts w:ascii="Arial" w:hAnsi="Arial"/>
          <w:sz w:val="32"/>
          <w:szCs w:val="32"/>
          <w:u w:val="single"/>
        </w:rPr>
      </w:pPr>
      <w:bookmarkStart w:id="8" w:name="_Toc25824105"/>
      <w:r w:rsidRPr="004F5EA4">
        <w:rPr>
          <w:rFonts w:ascii="Arial" w:hAnsi="Arial"/>
          <w:sz w:val="32"/>
          <w:szCs w:val="32"/>
        </w:rPr>
        <w:lastRenderedPageBreak/>
        <w:t>Section</w:t>
      </w:r>
      <w:r w:rsidR="0027138D" w:rsidRPr="004F5EA4">
        <w:rPr>
          <w:rFonts w:ascii="Arial" w:hAnsi="Arial"/>
          <w:sz w:val="32"/>
          <w:szCs w:val="32"/>
        </w:rPr>
        <w:t xml:space="preserve"> 2: </w:t>
      </w:r>
      <w:r w:rsidRPr="004F5EA4">
        <w:rPr>
          <w:rFonts w:ascii="Arial" w:hAnsi="Arial"/>
          <w:sz w:val="32"/>
          <w:szCs w:val="32"/>
        </w:rPr>
        <w:t xml:space="preserve">Detailed Analysis Against the Guidelines </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1F2CF9" w14:paraId="48EAFFFA" w14:textId="77777777" w:rsidTr="00117313">
        <w:trPr>
          <w:cantSplit/>
        </w:trPr>
        <w:tc>
          <w:tcPr>
            <w:tcW w:w="1500" w:type="pct"/>
            <w:shd w:val="clear" w:color="auto" w:fill="auto"/>
            <w:vAlign w:val="center"/>
          </w:tcPr>
          <w:p w14:paraId="48317278" w14:textId="165C73C2" w:rsidR="00885298" w:rsidRPr="001F2CF9" w:rsidRDefault="00885298" w:rsidP="00F32842">
            <w:pPr>
              <w:spacing w:before="60" w:after="60" w:line="276" w:lineRule="auto"/>
              <w:contextualSpacing/>
              <w:jc w:val="center"/>
              <w:rPr>
                <w:rFonts w:cs="Arial"/>
                <w:sz w:val="20"/>
                <w:szCs w:val="20"/>
              </w:rPr>
            </w:pPr>
            <w:r w:rsidRPr="00F32842">
              <w:rPr>
                <w:rFonts w:cs="Arial"/>
                <w:sz w:val="20"/>
                <w:szCs w:val="20"/>
                <w:lang w:eastAsia="en-AU"/>
              </w:rPr>
              <w:br w:type="page"/>
            </w:r>
            <w:r w:rsidRPr="008201A1">
              <w:rPr>
                <w:rFonts w:cs="Arial"/>
                <w:b/>
                <w:sz w:val="20"/>
                <w:szCs w:val="20"/>
              </w:rPr>
              <w:t>Guidelines</w:t>
            </w:r>
            <w:r w:rsidR="0027415B" w:rsidRPr="001F2CF9">
              <w:rPr>
                <w:rFonts w:cs="Arial"/>
                <w:b/>
                <w:sz w:val="20"/>
                <w:szCs w:val="20"/>
              </w:rPr>
              <w:t xml:space="preserve"> criteria</w:t>
            </w:r>
          </w:p>
        </w:tc>
        <w:tc>
          <w:tcPr>
            <w:tcW w:w="3500" w:type="pct"/>
            <w:shd w:val="clear" w:color="auto" w:fill="FFFFFF"/>
            <w:vAlign w:val="center"/>
          </w:tcPr>
          <w:p w14:paraId="2C014CC6" w14:textId="77777777" w:rsidR="00885298" w:rsidRPr="001F2CF9" w:rsidRDefault="00885298" w:rsidP="008201A1">
            <w:pPr>
              <w:spacing w:before="60" w:after="60" w:line="276" w:lineRule="auto"/>
              <w:contextualSpacing/>
              <w:jc w:val="center"/>
              <w:rPr>
                <w:rFonts w:cs="Arial"/>
                <w:b/>
                <w:sz w:val="20"/>
                <w:szCs w:val="20"/>
              </w:rPr>
            </w:pPr>
            <w:r w:rsidRPr="001F2CF9">
              <w:rPr>
                <w:rFonts w:cs="Arial"/>
                <w:b/>
                <w:sz w:val="20"/>
                <w:szCs w:val="20"/>
              </w:rPr>
              <w:t>Comment</w:t>
            </w:r>
          </w:p>
        </w:tc>
      </w:tr>
      <w:tr w:rsidR="00885298" w:rsidRPr="001F2CF9" w14:paraId="734EF4DC" w14:textId="77777777" w:rsidTr="00117313">
        <w:trPr>
          <w:cantSplit/>
        </w:trPr>
        <w:tc>
          <w:tcPr>
            <w:tcW w:w="5000" w:type="pct"/>
            <w:gridSpan w:val="2"/>
            <w:shd w:val="clear" w:color="auto" w:fill="FFFF66"/>
          </w:tcPr>
          <w:p w14:paraId="7A6AEE90" w14:textId="77777777" w:rsidR="00885298" w:rsidRPr="00F32842" w:rsidRDefault="00885298" w:rsidP="00F32842">
            <w:pPr>
              <w:spacing w:before="60" w:after="60" w:line="276" w:lineRule="auto"/>
              <w:contextualSpacing/>
              <w:rPr>
                <w:rFonts w:cs="Arial"/>
                <w:b/>
                <w:sz w:val="20"/>
                <w:szCs w:val="20"/>
              </w:rPr>
            </w:pPr>
            <w:r w:rsidRPr="00F32842">
              <w:rPr>
                <w:rFonts w:cs="Arial"/>
                <w:b/>
                <w:sz w:val="20"/>
                <w:szCs w:val="20"/>
              </w:rPr>
              <w:t>THE MANAGEMENT REGIME</w:t>
            </w:r>
          </w:p>
        </w:tc>
      </w:tr>
      <w:tr w:rsidR="00885298" w:rsidRPr="001F2CF9" w14:paraId="28AB77EE" w14:textId="77777777" w:rsidTr="00117313">
        <w:trPr>
          <w:cantSplit/>
        </w:trPr>
        <w:tc>
          <w:tcPr>
            <w:tcW w:w="5000" w:type="pct"/>
            <w:gridSpan w:val="2"/>
            <w:shd w:val="clear" w:color="auto" w:fill="FFFF99"/>
          </w:tcPr>
          <w:p w14:paraId="37148127" w14:textId="77777777" w:rsidR="00885298" w:rsidRPr="001F2CF9" w:rsidRDefault="00885298" w:rsidP="00F32842">
            <w:pPr>
              <w:spacing w:before="60" w:after="60" w:line="276" w:lineRule="auto"/>
              <w:contextualSpacing/>
              <w:rPr>
                <w:rFonts w:cs="Arial"/>
                <w:b/>
                <w:sz w:val="20"/>
                <w:szCs w:val="20"/>
              </w:rPr>
            </w:pPr>
            <w:r w:rsidRPr="00F32842">
              <w:rPr>
                <w:rFonts w:cs="Arial"/>
                <w:sz w:val="20"/>
                <w:szCs w:val="20"/>
              </w:rPr>
              <w:t>The management regime does not have to be a formal statutory fishery management plan as such, and may include non-statutory management arrangements or management polic</w:t>
            </w:r>
            <w:r w:rsidRPr="008201A1">
              <w:rPr>
                <w:rFonts w:cs="Arial"/>
                <w:sz w:val="20"/>
                <w:szCs w:val="20"/>
              </w:rPr>
              <w:t>ies and programs. The regime should:</w:t>
            </w:r>
          </w:p>
        </w:tc>
      </w:tr>
      <w:tr w:rsidR="00885298" w:rsidRPr="001F2CF9" w14:paraId="72AABFAD" w14:textId="77777777" w:rsidTr="00117313">
        <w:trPr>
          <w:cantSplit/>
          <w:trHeight w:val="1392"/>
        </w:trPr>
        <w:tc>
          <w:tcPr>
            <w:tcW w:w="1500" w:type="pct"/>
            <w:shd w:val="clear" w:color="auto" w:fill="auto"/>
          </w:tcPr>
          <w:p w14:paraId="5A32CC79" w14:textId="77777777" w:rsidR="00885298" w:rsidRPr="001F2CF9" w:rsidRDefault="00885298" w:rsidP="00F32842">
            <w:pPr>
              <w:spacing w:before="60" w:after="60" w:line="276" w:lineRule="auto"/>
              <w:contextualSpacing/>
              <w:rPr>
                <w:rFonts w:cs="Arial"/>
                <w:sz w:val="20"/>
                <w:szCs w:val="20"/>
              </w:rPr>
            </w:pPr>
            <w:r w:rsidRPr="00F32842">
              <w:rPr>
                <w:rFonts w:cs="Arial"/>
                <w:sz w:val="20"/>
                <w:szCs w:val="20"/>
              </w:rPr>
              <w:t>Be documented, publicly available and transparent</w:t>
            </w:r>
            <w:r w:rsidR="006B6EF9" w:rsidRPr="008201A1">
              <w:rPr>
                <w:rFonts w:cs="Arial"/>
                <w:sz w:val="20"/>
                <w:szCs w:val="20"/>
              </w:rPr>
              <w:t>.</w:t>
            </w:r>
          </w:p>
          <w:p w14:paraId="5524B93B" w14:textId="5700D540"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4A4BEF64" w14:textId="4060F9C3" w:rsidR="00AB6AD7" w:rsidRPr="001F2CF9" w:rsidRDefault="00AB6AD7">
            <w:pPr>
              <w:spacing w:before="60" w:after="60" w:line="276" w:lineRule="auto"/>
              <w:contextualSpacing/>
              <w:rPr>
                <w:rFonts w:cs="Arial"/>
                <w:b/>
                <w:sz w:val="20"/>
                <w:szCs w:val="20"/>
              </w:rPr>
            </w:pPr>
            <w:r w:rsidRPr="001F2CF9">
              <w:rPr>
                <w:rFonts w:cs="Arial"/>
                <w:b/>
                <w:sz w:val="20"/>
                <w:szCs w:val="20"/>
              </w:rPr>
              <w:t>Meets</w:t>
            </w:r>
            <w:r w:rsidR="00C6305A" w:rsidRPr="001F2CF9">
              <w:rPr>
                <w:rFonts w:cs="Arial"/>
                <w:b/>
                <w:sz w:val="20"/>
                <w:szCs w:val="20"/>
              </w:rPr>
              <w:t xml:space="preserve"> – </w:t>
            </w:r>
            <w:r w:rsidR="004E7A5A">
              <w:rPr>
                <w:rFonts w:cs="Arial"/>
                <w:b/>
                <w:sz w:val="20"/>
                <w:szCs w:val="20"/>
              </w:rPr>
              <w:tab/>
            </w:r>
            <w:r w:rsidR="00E15A30" w:rsidRPr="001F2CF9">
              <w:rPr>
                <w:rFonts w:cs="Arial"/>
                <w:b/>
                <w:sz w:val="20"/>
                <w:szCs w:val="20"/>
              </w:rPr>
              <w:t>The management regime is d</w:t>
            </w:r>
            <w:r w:rsidR="00C6305A" w:rsidRPr="001F2CF9">
              <w:rPr>
                <w:rFonts w:cs="Arial"/>
                <w:b/>
                <w:sz w:val="20"/>
                <w:szCs w:val="20"/>
              </w:rPr>
              <w:t>ocumented, publicly available and transparent</w:t>
            </w:r>
            <w:r w:rsidR="00163B9F" w:rsidRPr="001F2CF9">
              <w:rPr>
                <w:rFonts w:cs="Arial"/>
                <w:b/>
                <w:sz w:val="20"/>
                <w:szCs w:val="20"/>
              </w:rPr>
              <w:t>.</w:t>
            </w:r>
          </w:p>
          <w:p w14:paraId="275C72CA" w14:textId="77777777" w:rsidR="007153C9" w:rsidRDefault="007153C9">
            <w:pPr>
              <w:spacing w:before="60" w:after="60" w:line="276" w:lineRule="auto"/>
              <w:contextualSpacing/>
              <w:rPr>
                <w:rFonts w:cs="Arial"/>
                <w:sz w:val="20"/>
                <w:szCs w:val="20"/>
              </w:rPr>
            </w:pPr>
          </w:p>
          <w:p w14:paraId="2C14BD26" w14:textId="3BA71EA4" w:rsidR="005869AD" w:rsidRDefault="00E72376">
            <w:pPr>
              <w:spacing w:before="60" w:after="60" w:line="276" w:lineRule="auto"/>
              <w:contextualSpacing/>
              <w:rPr>
                <w:sz w:val="20"/>
                <w:szCs w:val="20"/>
              </w:rPr>
            </w:pPr>
            <w:r w:rsidRPr="001F2CF9">
              <w:rPr>
                <w:rFonts w:cs="Arial"/>
                <w:sz w:val="20"/>
                <w:szCs w:val="20"/>
              </w:rPr>
              <w:t xml:space="preserve">The Tasmanian Giant Crab Fishery </w:t>
            </w:r>
            <w:r w:rsidR="00387F45" w:rsidRPr="001F2CF9">
              <w:rPr>
                <w:rFonts w:cs="Arial"/>
                <w:sz w:val="20"/>
                <w:szCs w:val="20"/>
              </w:rPr>
              <w:t xml:space="preserve">(TGCF) </w:t>
            </w:r>
            <w:r w:rsidRPr="001F2CF9">
              <w:rPr>
                <w:rFonts w:cs="Arial"/>
                <w:sz w:val="20"/>
                <w:szCs w:val="20"/>
              </w:rPr>
              <w:t>is managed by</w:t>
            </w:r>
            <w:r w:rsidR="00BB7810" w:rsidRPr="001F2CF9">
              <w:rPr>
                <w:rFonts w:cs="Arial"/>
                <w:sz w:val="20"/>
                <w:szCs w:val="20"/>
              </w:rPr>
              <w:t xml:space="preserve"> the</w:t>
            </w:r>
            <w:r w:rsidRPr="001F2CF9">
              <w:rPr>
                <w:rFonts w:cs="Arial"/>
                <w:sz w:val="20"/>
                <w:szCs w:val="20"/>
              </w:rPr>
              <w:t xml:space="preserve"> Tasmanian Department of Primary Industry, Parks, Water and Environment (DPIPWE) in accordance with the </w:t>
            </w:r>
            <w:r w:rsidRPr="001F2CF9">
              <w:rPr>
                <w:rFonts w:cs="Arial"/>
                <w:i/>
                <w:sz w:val="20"/>
                <w:szCs w:val="20"/>
              </w:rPr>
              <w:t>Fisheries (Giant Crab) Rules 2013</w:t>
            </w:r>
            <w:r w:rsidRPr="001F2CF9">
              <w:rPr>
                <w:rFonts w:cs="Arial"/>
                <w:sz w:val="20"/>
                <w:szCs w:val="20"/>
              </w:rPr>
              <w:t xml:space="preserve"> in force under the </w:t>
            </w:r>
            <w:r w:rsidRPr="001F2CF9">
              <w:rPr>
                <w:rFonts w:cs="Arial"/>
                <w:i/>
                <w:sz w:val="20"/>
                <w:szCs w:val="20"/>
              </w:rPr>
              <w:t>Living Marine Resources Management Act 1995</w:t>
            </w:r>
            <w:r w:rsidRPr="001F2CF9">
              <w:rPr>
                <w:rFonts w:cs="Arial"/>
                <w:sz w:val="20"/>
                <w:szCs w:val="20"/>
              </w:rPr>
              <w:t>. This legislation</w:t>
            </w:r>
            <w:r w:rsidR="00F64F59" w:rsidRPr="001F2CF9">
              <w:rPr>
                <w:rFonts w:cs="Arial"/>
                <w:sz w:val="20"/>
                <w:szCs w:val="20"/>
              </w:rPr>
              <w:t xml:space="preserve"> and the rules are</w:t>
            </w:r>
            <w:r w:rsidR="00684D88" w:rsidRPr="001F2CF9">
              <w:rPr>
                <w:rFonts w:cs="Arial"/>
                <w:sz w:val="20"/>
                <w:szCs w:val="20"/>
              </w:rPr>
              <w:t xml:space="preserve"> publicly available </w:t>
            </w:r>
            <w:r w:rsidR="002B656C" w:rsidRPr="002B656C">
              <w:rPr>
                <w:rFonts w:cs="Arial"/>
                <w:sz w:val="20"/>
                <w:szCs w:val="20"/>
              </w:rPr>
              <w:t>(link accessible in Section 1: Notes)</w:t>
            </w:r>
            <w:r w:rsidR="00684D88" w:rsidRPr="00F32842">
              <w:rPr>
                <w:sz w:val="20"/>
                <w:szCs w:val="20"/>
              </w:rPr>
              <w:t>.</w:t>
            </w:r>
          </w:p>
          <w:p w14:paraId="28161830" w14:textId="31847FE9" w:rsidR="00564BC9" w:rsidRPr="00F32842" w:rsidRDefault="00564BC9">
            <w:pPr>
              <w:spacing w:before="60" w:after="60" w:line="276" w:lineRule="auto"/>
              <w:contextualSpacing/>
              <w:rPr>
                <w:rFonts w:cs="Arial"/>
                <w:sz w:val="20"/>
                <w:szCs w:val="20"/>
              </w:rPr>
            </w:pPr>
          </w:p>
        </w:tc>
      </w:tr>
      <w:tr w:rsidR="00885298" w:rsidRPr="001F2CF9" w14:paraId="4513BEBB" w14:textId="77777777" w:rsidTr="00117313">
        <w:trPr>
          <w:cantSplit/>
        </w:trPr>
        <w:tc>
          <w:tcPr>
            <w:tcW w:w="1500" w:type="pct"/>
            <w:shd w:val="clear" w:color="auto" w:fill="auto"/>
          </w:tcPr>
          <w:p w14:paraId="69DB1911" w14:textId="4F1BB1CA" w:rsidR="00885298" w:rsidRPr="001F2CF9" w:rsidRDefault="00885298" w:rsidP="00F32842">
            <w:pPr>
              <w:spacing w:before="60" w:after="60" w:line="276" w:lineRule="auto"/>
              <w:contextualSpacing/>
              <w:rPr>
                <w:rFonts w:cs="Arial"/>
                <w:sz w:val="20"/>
                <w:szCs w:val="20"/>
              </w:rPr>
            </w:pPr>
            <w:r w:rsidRPr="00F32842">
              <w:rPr>
                <w:rFonts w:cs="Arial"/>
                <w:sz w:val="20"/>
                <w:szCs w:val="20"/>
              </w:rPr>
              <w:t>Be developed through a consultative process providing opportunity to all interested and affected parties, including the general public</w:t>
            </w:r>
            <w:r w:rsidR="006B6EF9" w:rsidRPr="008201A1">
              <w:rPr>
                <w:rFonts w:cs="Arial"/>
                <w:sz w:val="20"/>
                <w:szCs w:val="20"/>
              </w:rPr>
              <w:t>.</w:t>
            </w:r>
          </w:p>
          <w:p w14:paraId="1B8852AD" w14:textId="345FBAC7"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2CB0D6EA" w14:textId="5F441BCE" w:rsidR="00636969" w:rsidRPr="001F2CF9" w:rsidRDefault="00F8472A">
            <w:pPr>
              <w:spacing w:before="60" w:after="60" w:line="276" w:lineRule="auto"/>
              <w:contextualSpacing/>
              <w:rPr>
                <w:rFonts w:cs="Arial"/>
                <w:b/>
                <w:sz w:val="20"/>
                <w:szCs w:val="20"/>
              </w:rPr>
            </w:pPr>
            <w:r w:rsidRPr="001F2CF9">
              <w:rPr>
                <w:rFonts w:cs="Arial"/>
                <w:b/>
                <w:sz w:val="20"/>
                <w:szCs w:val="20"/>
              </w:rPr>
              <w:t xml:space="preserve">Meets </w:t>
            </w:r>
            <w:r w:rsidR="00636969" w:rsidRPr="001F2CF9">
              <w:rPr>
                <w:rFonts w:cs="Arial"/>
                <w:b/>
                <w:sz w:val="20"/>
                <w:szCs w:val="20"/>
              </w:rPr>
              <w:t xml:space="preserve">– </w:t>
            </w:r>
            <w:r w:rsidR="004E7A5A">
              <w:rPr>
                <w:rFonts w:cs="Arial"/>
                <w:b/>
                <w:sz w:val="20"/>
                <w:szCs w:val="20"/>
              </w:rPr>
              <w:tab/>
            </w:r>
            <w:r w:rsidR="00E15A30" w:rsidRPr="001F2CF9">
              <w:rPr>
                <w:rFonts w:cs="Arial"/>
                <w:b/>
                <w:sz w:val="20"/>
                <w:szCs w:val="20"/>
              </w:rPr>
              <w:t>The management regime was developed through a f</w:t>
            </w:r>
            <w:r w:rsidR="00636969" w:rsidRPr="001F2CF9">
              <w:rPr>
                <w:rFonts w:cs="Arial"/>
                <w:b/>
                <w:sz w:val="20"/>
                <w:szCs w:val="20"/>
              </w:rPr>
              <w:t>ully open and transparent</w:t>
            </w:r>
            <w:r w:rsidR="004B6201" w:rsidRPr="001F2CF9">
              <w:rPr>
                <w:rFonts w:cs="Arial"/>
                <w:b/>
                <w:sz w:val="20"/>
                <w:szCs w:val="20"/>
              </w:rPr>
              <w:t xml:space="preserve"> public</w:t>
            </w:r>
            <w:r w:rsidR="00636969" w:rsidRPr="001F2CF9">
              <w:rPr>
                <w:rFonts w:cs="Arial"/>
                <w:b/>
                <w:sz w:val="20"/>
                <w:szCs w:val="20"/>
              </w:rPr>
              <w:t xml:space="preserve"> </w:t>
            </w:r>
            <w:r w:rsidR="004E7A5A">
              <w:rPr>
                <w:rFonts w:cs="Arial"/>
                <w:b/>
                <w:sz w:val="20"/>
                <w:szCs w:val="20"/>
              </w:rPr>
              <w:tab/>
            </w:r>
            <w:r w:rsidR="004E7A5A">
              <w:rPr>
                <w:rFonts w:cs="Arial"/>
                <w:b/>
                <w:sz w:val="20"/>
                <w:szCs w:val="20"/>
              </w:rPr>
              <w:tab/>
            </w:r>
            <w:r w:rsidR="004E7A5A">
              <w:rPr>
                <w:rFonts w:cs="Arial"/>
                <w:b/>
                <w:sz w:val="20"/>
                <w:szCs w:val="20"/>
              </w:rPr>
              <w:tab/>
            </w:r>
            <w:r w:rsidR="00636969" w:rsidRPr="001F2CF9">
              <w:rPr>
                <w:rFonts w:cs="Arial"/>
                <w:b/>
                <w:sz w:val="20"/>
                <w:szCs w:val="20"/>
              </w:rPr>
              <w:t>process</w:t>
            </w:r>
            <w:r w:rsidR="00163B9F" w:rsidRPr="001F2CF9">
              <w:rPr>
                <w:rFonts w:cs="Arial"/>
                <w:b/>
                <w:sz w:val="20"/>
                <w:szCs w:val="20"/>
              </w:rPr>
              <w:t>.</w:t>
            </w:r>
          </w:p>
          <w:p w14:paraId="55CAA379" w14:textId="77777777" w:rsidR="007153C9" w:rsidRDefault="007153C9">
            <w:pPr>
              <w:spacing w:before="60" w:after="60" w:line="276" w:lineRule="auto"/>
              <w:contextualSpacing/>
              <w:rPr>
                <w:rFonts w:cs="Arial"/>
                <w:sz w:val="20"/>
                <w:szCs w:val="20"/>
              </w:rPr>
            </w:pPr>
          </w:p>
          <w:p w14:paraId="2069A5EB" w14:textId="7BCA247C" w:rsidR="00A50909" w:rsidRPr="001F2CF9" w:rsidRDefault="004B6201">
            <w:pPr>
              <w:spacing w:before="60" w:after="60" w:line="276" w:lineRule="auto"/>
              <w:contextualSpacing/>
              <w:rPr>
                <w:rFonts w:cs="Arial"/>
                <w:sz w:val="20"/>
                <w:szCs w:val="20"/>
              </w:rPr>
            </w:pPr>
            <w:r w:rsidRPr="001F2CF9">
              <w:rPr>
                <w:rFonts w:cs="Arial"/>
                <w:sz w:val="20"/>
                <w:szCs w:val="20"/>
              </w:rPr>
              <w:t>The development of management arrangements and regime follow</w:t>
            </w:r>
            <w:r w:rsidR="00E15A30" w:rsidRPr="001F2CF9">
              <w:rPr>
                <w:rFonts w:cs="Arial"/>
                <w:sz w:val="20"/>
                <w:szCs w:val="20"/>
              </w:rPr>
              <w:t>ed</w:t>
            </w:r>
            <w:r w:rsidRPr="001F2CF9">
              <w:rPr>
                <w:rFonts w:cs="Arial"/>
                <w:sz w:val="20"/>
                <w:szCs w:val="20"/>
              </w:rPr>
              <w:t xml:space="preserve"> a consultative process. </w:t>
            </w:r>
            <w:r w:rsidR="001315C8" w:rsidRPr="001F2CF9">
              <w:rPr>
                <w:rFonts w:cs="Arial"/>
                <w:sz w:val="20"/>
                <w:szCs w:val="20"/>
              </w:rPr>
              <w:t>As per s</w:t>
            </w:r>
            <w:r w:rsidR="00A50909" w:rsidRPr="001F2CF9">
              <w:rPr>
                <w:rFonts w:cs="Arial"/>
                <w:sz w:val="20"/>
                <w:szCs w:val="20"/>
              </w:rPr>
              <w:t>ection 44</w:t>
            </w:r>
            <w:r w:rsidR="001315C8" w:rsidRPr="001F2CF9">
              <w:rPr>
                <w:rFonts w:cs="Arial"/>
                <w:sz w:val="20"/>
                <w:szCs w:val="20"/>
              </w:rPr>
              <w:t xml:space="preserve"> of</w:t>
            </w:r>
            <w:r w:rsidR="00A50909" w:rsidRPr="001F2CF9">
              <w:rPr>
                <w:rFonts w:cs="Arial"/>
                <w:sz w:val="20"/>
                <w:szCs w:val="20"/>
              </w:rPr>
              <w:t xml:space="preserve"> </w:t>
            </w:r>
            <w:r w:rsidR="001315C8" w:rsidRPr="001F2CF9">
              <w:rPr>
                <w:rFonts w:cs="Arial"/>
                <w:sz w:val="20"/>
                <w:szCs w:val="20"/>
              </w:rPr>
              <w:t xml:space="preserve">the </w:t>
            </w:r>
            <w:r w:rsidR="001315C8" w:rsidRPr="001F2CF9">
              <w:rPr>
                <w:rFonts w:cs="Arial"/>
                <w:i/>
                <w:sz w:val="20"/>
                <w:szCs w:val="20"/>
              </w:rPr>
              <w:t>Living Marine Resources Management Act 1995</w:t>
            </w:r>
            <w:r w:rsidR="001315C8" w:rsidRPr="001F2CF9">
              <w:rPr>
                <w:rFonts w:cs="Arial"/>
                <w:sz w:val="20"/>
                <w:szCs w:val="20"/>
              </w:rPr>
              <w:t xml:space="preserve">, </w:t>
            </w:r>
            <w:r w:rsidR="00A50909" w:rsidRPr="001F2CF9">
              <w:rPr>
                <w:rFonts w:cs="Arial"/>
                <w:sz w:val="20"/>
                <w:szCs w:val="20"/>
              </w:rPr>
              <w:t xml:space="preserve">a new </w:t>
            </w:r>
            <w:r w:rsidR="00BA5FA6" w:rsidRPr="001F2CF9">
              <w:rPr>
                <w:rFonts w:cs="Arial"/>
                <w:sz w:val="20"/>
                <w:szCs w:val="20"/>
              </w:rPr>
              <w:t xml:space="preserve">or the remake of a </w:t>
            </w:r>
            <w:r w:rsidR="00A50909" w:rsidRPr="001F2CF9">
              <w:rPr>
                <w:rFonts w:cs="Arial"/>
                <w:sz w:val="20"/>
                <w:szCs w:val="20"/>
              </w:rPr>
              <w:t xml:space="preserve">management plan </w:t>
            </w:r>
            <w:r w:rsidR="001315C8" w:rsidRPr="001F2CF9">
              <w:rPr>
                <w:rFonts w:cs="Arial"/>
                <w:sz w:val="20"/>
                <w:szCs w:val="20"/>
              </w:rPr>
              <w:t>is open for</w:t>
            </w:r>
            <w:r w:rsidR="00BA5FA6" w:rsidRPr="001F2CF9">
              <w:rPr>
                <w:rFonts w:cs="Arial"/>
                <w:sz w:val="20"/>
                <w:szCs w:val="20"/>
              </w:rPr>
              <w:t xml:space="preserve"> a</w:t>
            </w:r>
            <w:r w:rsidR="001315C8" w:rsidRPr="001F2CF9">
              <w:rPr>
                <w:rFonts w:cs="Arial"/>
                <w:sz w:val="20"/>
                <w:szCs w:val="20"/>
              </w:rPr>
              <w:t xml:space="preserve"> </w:t>
            </w:r>
            <w:r w:rsidR="00BA5FA6" w:rsidRPr="001F2CF9">
              <w:rPr>
                <w:rFonts w:cs="Arial"/>
                <w:sz w:val="20"/>
                <w:szCs w:val="20"/>
              </w:rPr>
              <w:t>60 day period</w:t>
            </w:r>
            <w:r w:rsidR="00A50909" w:rsidRPr="001F2CF9">
              <w:rPr>
                <w:rFonts w:cs="Arial"/>
                <w:sz w:val="20"/>
                <w:szCs w:val="20"/>
              </w:rPr>
              <w:t xml:space="preserve"> of public consul</w:t>
            </w:r>
            <w:r w:rsidR="001119D7" w:rsidRPr="001F2CF9">
              <w:rPr>
                <w:rFonts w:cs="Arial"/>
                <w:sz w:val="20"/>
                <w:szCs w:val="20"/>
              </w:rPr>
              <w:t>tation</w:t>
            </w:r>
            <w:r w:rsidR="00A50909" w:rsidRPr="001F2CF9">
              <w:rPr>
                <w:rFonts w:cs="Arial"/>
                <w:sz w:val="20"/>
                <w:szCs w:val="20"/>
              </w:rPr>
              <w:t xml:space="preserve"> and </w:t>
            </w:r>
            <w:r w:rsidR="00BA5FA6" w:rsidRPr="001F2CF9">
              <w:rPr>
                <w:rFonts w:cs="Arial"/>
                <w:sz w:val="20"/>
                <w:szCs w:val="20"/>
              </w:rPr>
              <w:t>a 30 day period</w:t>
            </w:r>
            <w:r w:rsidR="001119D7" w:rsidRPr="001F2CF9">
              <w:rPr>
                <w:rFonts w:cs="Arial"/>
                <w:sz w:val="20"/>
                <w:szCs w:val="20"/>
              </w:rPr>
              <w:t xml:space="preserve"> for an alternation of </w:t>
            </w:r>
            <w:r w:rsidR="00BA5FA6" w:rsidRPr="001F2CF9">
              <w:rPr>
                <w:rFonts w:cs="Arial"/>
                <w:sz w:val="20"/>
                <w:szCs w:val="20"/>
              </w:rPr>
              <w:t xml:space="preserve">an </w:t>
            </w:r>
            <w:r w:rsidR="008D402D" w:rsidRPr="001F2CF9">
              <w:rPr>
                <w:rFonts w:cs="Arial"/>
                <w:sz w:val="20"/>
                <w:szCs w:val="20"/>
              </w:rPr>
              <w:t>existing</w:t>
            </w:r>
            <w:r w:rsidR="00BA5FA6" w:rsidRPr="001F2CF9">
              <w:rPr>
                <w:rFonts w:cs="Arial"/>
                <w:sz w:val="20"/>
                <w:szCs w:val="20"/>
              </w:rPr>
              <w:t xml:space="preserve"> </w:t>
            </w:r>
            <w:r w:rsidR="001119D7" w:rsidRPr="001F2CF9">
              <w:rPr>
                <w:rFonts w:cs="Arial"/>
                <w:sz w:val="20"/>
                <w:szCs w:val="20"/>
              </w:rPr>
              <w:t xml:space="preserve">management plan, as per section 54 of the </w:t>
            </w:r>
            <w:r w:rsidR="001119D7" w:rsidRPr="001F2CF9">
              <w:rPr>
                <w:rFonts w:cs="Arial"/>
                <w:i/>
                <w:sz w:val="20"/>
                <w:szCs w:val="20"/>
              </w:rPr>
              <w:t>Living Marine Resources Management Act 1995</w:t>
            </w:r>
            <w:r w:rsidR="001119D7" w:rsidRPr="001F2CF9">
              <w:rPr>
                <w:rFonts w:cs="Arial"/>
                <w:sz w:val="20"/>
                <w:szCs w:val="20"/>
              </w:rPr>
              <w:t xml:space="preserve">. </w:t>
            </w:r>
            <w:r w:rsidR="00473186" w:rsidRPr="001F2CF9">
              <w:rPr>
                <w:rFonts w:cs="Arial"/>
                <w:sz w:val="20"/>
                <w:szCs w:val="20"/>
              </w:rPr>
              <w:t xml:space="preserve">The range of stakeholders involved in the </w:t>
            </w:r>
            <w:r w:rsidR="00473186" w:rsidRPr="002B656C">
              <w:rPr>
                <w:sz w:val="20"/>
                <w:szCs w:val="20"/>
              </w:rPr>
              <w:t>Crustacean Fishery Advisory Committee (CFAC)</w:t>
            </w:r>
            <w:r w:rsidR="00473186" w:rsidRPr="00F32842">
              <w:rPr>
                <w:rFonts w:cs="Arial"/>
                <w:sz w:val="20"/>
                <w:szCs w:val="20"/>
              </w:rPr>
              <w:t xml:space="preserve"> also provides advice during f</w:t>
            </w:r>
            <w:r w:rsidR="00DD6730" w:rsidRPr="008201A1">
              <w:rPr>
                <w:rFonts w:cs="Arial"/>
                <w:sz w:val="20"/>
                <w:szCs w:val="20"/>
              </w:rPr>
              <w:t>ormal reviews of the management plan</w:t>
            </w:r>
            <w:r w:rsidR="00473186" w:rsidRPr="001F2CF9">
              <w:rPr>
                <w:rFonts w:cs="Arial"/>
                <w:sz w:val="20"/>
                <w:szCs w:val="20"/>
              </w:rPr>
              <w:t>.</w:t>
            </w:r>
          </w:p>
          <w:p w14:paraId="254E39FF" w14:textId="02D910F5" w:rsidR="00885298" w:rsidRPr="001F2CF9" w:rsidRDefault="00885298">
            <w:pPr>
              <w:spacing w:before="60" w:after="60" w:line="276" w:lineRule="auto"/>
              <w:contextualSpacing/>
              <w:rPr>
                <w:rFonts w:cs="Arial"/>
                <w:sz w:val="20"/>
                <w:szCs w:val="20"/>
              </w:rPr>
            </w:pPr>
          </w:p>
        </w:tc>
      </w:tr>
      <w:tr w:rsidR="00885298" w:rsidRPr="001F2CF9" w14:paraId="064DC322" w14:textId="77777777" w:rsidTr="00117313">
        <w:trPr>
          <w:cantSplit/>
        </w:trPr>
        <w:tc>
          <w:tcPr>
            <w:tcW w:w="1500" w:type="pct"/>
            <w:shd w:val="clear" w:color="auto" w:fill="auto"/>
          </w:tcPr>
          <w:p w14:paraId="155D9C96" w14:textId="3A9D7BF0" w:rsidR="00885298" w:rsidRPr="001F2CF9" w:rsidRDefault="00885298" w:rsidP="00F32842">
            <w:pPr>
              <w:spacing w:before="60" w:after="60" w:line="276" w:lineRule="auto"/>
              <w:contextualSpacing/>
              <w:rPr>
                <w:rFonts w:cs="Arial"/>
                <w:sz w:val="20"/>
                <w:szCs w:val="20"/>
              </w:rPr>
            </w:pPr>
            <w:r w:rsidRPr="00F32842">
              <w:rPr>
                <w:rFonts w:cs="Arial"/>
                <w:sz w:val="20"/>
                <w:szCs w:val="20"/>
              </w:rPr>
              <w:lastRenderedPageBreak/>
              <w:t>Ensure</w:t>
            </w:r>
            <w:r w:rsidRPr="008201A1">
              <w:rPr>
                <w:rFonts w:cs="Arial"/>
                <w:sz w:val="20"/>
                <w:szCs w:val="20"/>
              </w:rPr>
              <w:t xml:space="preserve"> that a range of expertise and community interests are involved in individual fishery management committees and during the stock assessment process</w:t>
            </w:r>
            <w:r w:rsidR="006B6EF9" w:rsidRPr="001F2CF9">
              <w:rPr>
                <w:rFonts w:cs="Arial"/>
                <w:sz w:val="20"/>
                <w:szCs w:val="20"/>
              </w:rPr>
              <w:t>.</w:t>
            </w:r>
          </w:p>
          <w:p w14:paraId="2188F6A2" w14:textId="1B938CBC"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1FA69D45" w14:textId="1DF475FA" w:rsidR="00AB6AD7" w:rsidRPr="001F2CF9" w:rsidRDefault="00AB6AD7">
            <w:pPr>
              <w:spacing w:before="60" w:after="60" w:line="276" w:lineRule="auto"/>
              <w:contextualSpacing/>
              <w:rPr>
                <w:rFonts w:cs="Arial"/>
                <w:b/>
                <w:sz w:val="20"/>
                <w:szCs w:val="20"/>
              </w:rPr>
            </w:pPr>
            <w:r w:rsidRPr="001F2CF9">
              <w:rPr>
                <w:rFonts w:cs="Arial"/>
                <w:b/>
                <w:sz w:val="20"/>
                <w:szCs w:val="20"/>
              </w:rPr>
              <w:t>Meets</w:t>
            </w:r>
            <w:r w:rsidR="00796A9B" w:rsidRPr="001F2CF9">
              <w:rPr>
                <w:rFonts w:cs="Arial"/>
                <w:b/>
                <w:sz w:val="20"/>
                <w:szCs w:val="20"/>
              </w:rPr>
              <w:t xml:space="preserve"> – </w:t>
            </w:r>
            <w:r w:rsidR="004E7A5A">
              <w:rPr>
                <w:rFonts w:cs="Arial"/>
                <w:b/>
                <w:sz w:val="20"/>
                <w:szCs w:val="20"/>
              </w:rPr>
              <w:tab/>
            </w:r>
            <w:r w:rsidR="00E15A30" w:rsidRPr="001F2CF9">
              <w:rPr>
                <w:rFonts w:cs="Arial"/>
                <w:b/>
                <w:sz w:val="20"/>
                <w:szCs w:val="20"/>
              </w:rPr>
              <w:t>A r</w:t>
            </w:r>
            <w:r w:rsidR="00796A9B" w:rsidRPr="001F2CF9">
              <w:rPr>
                <w:rFonts w:cs="Arial"/>
                <w:b/>
                <w:sz w:val="20"/>
                <w:szCs w:val="20"/>
              </w:rPr>
              <w:t xml:space="preserve">ange of expertise and public interests </w:t>
            </w:r>
            <w:r w:rsidR="00E15A30" w:rsidRPr="001F2CF9">
              <w:rPr>
                <w:rFonts w:cs="Arial"/>
                <w:b/>
                <w:sz w:val="20"/>
                <w:szCs w:val="20"/>
              </w:rPr>
              <w:t xml:space="preserve">were </w:t>
            </w:r>
            <w:r w:rsidR="00796A9B" w:rsidRPr="001F2CF9">
              <w:rPr>
                <w:rFonts w:cs="Arial"/>
                <w:b/>
                <w:sz w:val="20"/>
                <w:szCs w:val="20"/>
              </w:rPr>
              <w:t>involved</w:t>
            </w:r>
            <w:r w:rsidR="00E15A30" w:rsidRPr="001F2CF9">
              <w:rPr>
                <w:rFonts w:cs="Arial"/>
                <w:b/>
                <w:sz w:val="20"/>
                <w:szCs w:val="20"/>
              </w:rPr>
              <w:t xml:space="preserve"> during the stock assessment </w:t>
            </w:r>
            <w:r w:rsidR="004E7A5A">
              <w:rPr>
                <w:rFonts w:cs="Arial"/>
                <w:b/>
                <w:sz w:val="20"/>
                <w:szCs w:val="20"/>
              </w:rPr>
              <w:tab/>
            </w:r>
            <w:r w:rsidR="004E7A5A">
              <w:rPr>
                <w:rFonts w:cs="Arial"/>
                <w:b/>
                <w:sz w:val="20"/>
                <w:szCs w:val="20"/>
              </w:rPr>
              <w:tab/>
            </w:r>
            <w:r w:rsidR="004E7A5A">
              <w:rPr>
                <w:rFonts w:cs="Arial"/>
                <w:b/>
                <w:sz w:val="20"/>
                <w:szCs w:val="20"/>
              </w:rPr>
              <w:tab/>
            </w:r>
            <w:r w:rsidR="00E15A30" w:rsidRPr="001F2CF9">
              <w:rPr>
                <w:rFonts w:cs="Arial"/>
                <w:b/>
                <w:sz w:val="20"/>
                <w:szCs w:val="20"/>
              </w:rPr>
              <w:t>process</w:t>
            </w:r>
            <w:r w:rsidR="00163B9F" w:rsidRPr="001F2CF9">
              <w:rPr>
                <w:rFonts w:cs="Arial"/>
                <w:b/>
                <w:sz w:val="20"/>
                <w:szCs w:val="20"/>
              </w:rPr>
              <w:t>.</w:t>
            </w:r>
          </w:p>
          <w:p w14:paraId="42BB1936" w14:textId="77777777" w:rsidR="007153C9" w:rsidRDefault="007153C9">
            <w:pPr>
              <w:spacing w:before="60" w:after="60" w:line="276" w:lineRule="auto"/>
              <w:contextualSpacing/>
              <w:rPr>
                <w:rFonts w:cs="Arial"/>
                <w:sz w:val="20"/>
                <w:szCs w:val="20"/>
              </w:rPr>
            </w:pPr>
          </w:p>
          <w:p w14:paraId="573E966B" w14:textId="0A1EC8A2" w:rsidR="00DD6730" w:rsidRPr="001F2CF9" w:rsidRDefault="00C02863">
            <w:pPr>
              <w:spacing w:before="60" w:after="60" w:line="276" w:lineRule="auto"/>
              <w:contextualSpacing/>
              <w:rPr>
                <w:rFonts w:cs="Arial"/>
                <w:sz w:val="20"/>
                <w:szCs w:val="20"/>
              </w:rPr>
            </w:pPr>
            <w:r w:rsidRPr="001F2CF9">
              <w:rPr>
                <w:rFonts w:cs="Arial"/>
                <w:sz w:val="20"/>
                <w:szCs w:val="20"/>
              </w:rPr>
              <w:t>T</w:t>
            </w:r>
            <w:r w:rsidR="00DD6730" w:rsidRPr="001F2CF9">
              <w:rPr>
                <w:rFonts w:cs="Arial"/>
                <w:sz w:val="20"/>
                <w:szCs w:val="20"/>
              </w:rPr>
              <w:t>he CFAC</w:t>
            </w:r>
            <w:r w:rsidR="00EF0AC1" w:rsidRPr="001F2CF9">
              <w:rPr>
                <w:rFonts w:cs="Arial"/>
                <w:sz w:val="20"/>
                <w:szCs w:val="20"/>
              </w:rPr>
              <w:t xml:space="preserve"> is part of a co-management framework for the rock lobster and giant crab fisheries which </w:t>
            </w:r>
            <w:r w:rsidR="007A0ED7" w:rsidRPr="001F2CF9">
              <w:rPr>
                <w:rFonts w:cs="Arial"/>
                <w:sz w:val="20"/>
                <w:szCs w:val="20"/>
              </w:rPr>
              <w:t>facilitates</w:t>
            </w:r>
            <w:r w:rsidR="00E15A30" w:rsidRPr="001F2CF9">
              <w:rPr>
                <w:rFonts w:cs="Arial"/>
                <w:sz w:val="20"/>
                <w:szCs w:val="20"/>
              </w:rPr>
              <w:t xml:space="preserve"> a working relationship </w:t>
            </w:r>
            <w:r w:rsidR="00EF0AC1" w:rsidRPr="001F2CF9">
              <w:rPr>
                <w:rFonts w:cs="Arial"/>
                <w:sz w:val="20"/>
                <w:szCs w:val="20"/>
              </w:rPr>
              <w:t>bet</w:t>
            </w:r>
            <w:r w:rsidR="00387F45" w:rsidRPr="001F2CF9">
              <w:rPr>
                <w:rFonts w:cs="Arial"/>
                <w:sz w:val="20"/>
                <w:szCs w:val="20"/>
              </w:rPr>
              <w:t>ween industry and DPIPWE</w:t>
            </w:r>
            <w:r w:rsidR="00EF0AC1" w:rsidRPr="001F2CF9">
              <w:rPr>
                <w:rFonts w:cs="Arial"/>
                <w:sz w:val="20"/>
                <w:szCs w:val="20"/>
              </w:rPr>
              <w:t xml:space="preserve">. A range of expertise and public interests are involved </w:t>
            </w:r>
            <w:r w:rsidR="006A3607" w:rsidRPr="001F2CF9">
              <w:rPr>
                <w:rFonts w:cs="Arial"/>
                <w:sz w:val="20"/>
                <w:szCs w:val="20"/>
              </w:rPr>
              <w:t>in this committee</w:t>
            </w:r>
            <w:r w:rsidR="00EF0AC1" w:rsidRPr="001F2CF9">
              <w:rPr>
                <w:rFonts w:cs="Arial"/>
                <w:sz w:val="20"/>
                <w:szCs w:val="20"/>
              </w:rPr>
              <w:t xml:space="preserve"> with representatives across fishermen associations, environmental groups, food councils, giant crab and rock lobster industries, scientific research</w:t>
            </w:r>
            <w:r w:rsidR="00C80FBF" w:rsidRPr="001F2CF9">
              <w:rPr>
                <w:rFonts w:cs="Arial"/>
                <w:sz w:val="20"/>
                <w:szCs w:val="20"/>
              </w:rPr>
              <w:t>ers</w:t>
            </w:r>
            <w:r w:rsidR="00EF0AC1" w:rsidRPr="001F2CF9">
              <w:rPr>
                <w:rFonts w:cs="Arial"/>
                <w:sz w:val="20"/>
                <w:szCs w:val="20"/>
              </w:rPr>
              <w:t xml:space="preserve"> and </w:t>
            </w:r>
            <w:r w:rsidR="00C80FBF" w:rsidRPr="001F2CF9">
              <w:rPr>
                <w:rFonts w:cs="Arial"/>
                <w:sz w:val="20"/>
                <w:szCs w:val="20"/>
              </w:rPr>
              <w:t>DPIPWE</w:t>
            </w:r>
            <w:r w:rsidR="00EF0AC1" w:rsidRPr="001F2CF9">
              <w:rPr>
                <w:rFonts w:cs="Arial"/>
                <w:sz w:val="20"/>
                <w:szCs w:val="20"/>
              </w:rPr>
              <w:t xml:space="preserve">. The CFAC meet a few times annually to discuss key issues </w:t>
            </w:r>
            <w:r w:rsidR="00C80FBF" w:rsidRPr="001F2CF9">
              <w:rPr>
                <w:rFonts w:cs="Arial"/>
                <w:sz w:val="20"/>
                <w:szCs w:val="20"/>
              </w:rPr>
              <w:t>including</w:t>
            </w:r>
            <w:r w:rsidR="00EF0AC1" w:rsidRPr="001F2CF9">
              <w:rPr>
                <w:rFonts w:cs="Arial"/>
                <w:sz w:val="20"/>
                <w:szCs w:val="20"/>
              </w:rPr>
              <w:t xml:space="preserve">: </w:t>
            </w:r>
          </w:p>
          <w:p w14:paraId="3E4DA72B" w14:textId="2A02D530" w:rsidR="00DD6730" w:rsidRPr="001F2CF9" w:rsidRDefault="00EF0AC1">
            <w:pPr>
              <w:pStyle w:val="ListParagraph"/>
              <w:numPr>
                <w:ilvl w:val="0"/>
                <w:numId w:val="54"/>
              </w:numPr>
              <w:spacing w:before="60" w:after="60" w:line="276" w:lineRule="auto"/>
              <w:contextualSpacing/>
              <w:rPr>
                <w:rFonts w:cs="Arial"/>
                <w:sz w:val="20"/>
                <w:szCs w:val="20"/>
              </w:rPr>
            </w:pPr>
            <w:r w:rsidRPr="001F2CF9">
              <w:rPr>
                <w:rFonts w:cs="Arial"/>
                <w:sz w:val="20"/>
                <w:szCs w:val="20"/>
              </w:rPr>
              <w:t>res</w:t>
            </w:r>
            <w:r w:rsidR="00D97756" w:rsidRPr="001F2CF9">
              <w:rPr>
                <w:rFonts w:cs="Arial"/>
                <w:sz w:val="20"/>
                <w:szCs w:val="20"/>
              </w:rPr>
              <w:t>earch needs and priorities;</w:t>
            </w:r>
            <w:r w:rsidRPr="001F2CF9">
              <w:rPr>
                <w:rFonts w:cs="Arial"/>
                <w:sz w:val="20"/>
                <w:szCs w:val="20"/>
              </w:rPr>
              <w:t xml:space="preserve"> </w:t>
            </w:r>
          </w:p>
          <w:p w14:paraId="236F621B" w14:textId="7B4DD7FB" w:rsidR="00DD6730" w:rsidRPr="001F2CF9" w:rsidRDefault="00EF0AC1">
            <w:pPr>
              <w:pStyle w:val="ListParagraph"/>
              <w:numPr>
                <w:ilvl w:val="0"/>
                <w:numId w:val="54"/>
              </w:numPr>
              <w:spacing w:before="60" w:after="60" w:line="276" w:lineRule="auto"/>
              <w:contextualSpacing/>
              <w:rPr>
                <w:rFonts w:cs="Arial"/>
                <w:sz w:val="20"/>
                <w:szCs w:val="20"/>
              </w:rPr>
            </w:pPr>
            <w:r w:rsidRPr="001F2CF9">
              <w:rPr>
                <w:rFonts w:cs="Arial"/>
                <w:sz w:val="20"/>
                <w:szCs w:val="20"/>
              </w:rPr>
              <w:t xml:space="preserve">fishery </w:t>
            </w:r>
            <w:r w:rsidR="00D97756" w:rsidRPr="001F2CF9">
              <w:rPr>
                <w:rFonts w:cs="Arial"/>
                <w:sz w:val="20"/>
                <w:szCs w:val="20"/>
              </w:rPr>
              <w:t>assessment and stock monitoring;</w:t>
            </w:r>
            <w:r w:rsidRPr="001F2CF9">
              <w:rPr>
                <w:rFonts w:cs="Arial"/>
                <w:sz w:val="20"/>
                <w:szCs w:val="20"/>
              </w:rPr>
              <w:t xml:space="preserve"> </w:t>
            </w:r>
          </w:p>
          <w:p w14:paraId="1B601426" w14:textId="258C45B8" w:rsidR="00DD6730" w:rsidRPr="001F2CF9" w:rsidRDefault="00EF0AC1">
            <w:pPr>
              <w:pStyle w:val="ListParagraph"/>
              <w:numPr>
                <w:ilvl w:val="0"/>
                <w:numId w:val="54"/>
              </w:numPr>
              <w:spacing w:before="60" w:after="60" w:line="276" w:lineRule="auto"/>
              <w:contextualSpacing/>
              <w:rPr>
                <w:rFonts w:cs="Arial"/>
                <w:sz w:val="20"/>
                <w:szCs w:val="20"/>
              </w:rPr>
            </w:pPr>
            <w:r w:rsidRPr="001F2CF9">
              <w:rPr>
                <w:rFonts w:cs="Arial"/>
                <w:sz w:val="20"/>
                <w:szCs w:val="20"/>
              </w:rPr>
              <w:t>formal</w:t>
            </w:r>
            <w:r w:rsidR="00D97756" w:rsidRPr="001F2CF9">
              <w:rPr>
                <w:rFonts w:cs="Arial"/>
                <w:sz w:val="20"/>
                <w:szCs w:val="20"/>
              </w:rPr>
              <w:t xml:space="preserve"> reviews of the management plan;</w:t>
            </w:r>
            <w:r w:rsidRPr="001F2CF9">
              <w:rPr>
                <w:rFonts w:cs="Arial"/>
                <w:sz w:val="20"/>
                <w:szCs w:val="20"/>
              </w:rPr>
              <w:t xml:space="preserve"> </w:t>
            </w:r>
          </w:p>
          <w:p w14:paraId="0442FFFC" w14:textId="77777777" w:rsidR="00DD6730" w:rsidRPr="001F2CF9" w:rsidRDefault="00EF0AC1">
            <w:pPr>
              <w:pStyle w:val="ListParagraph"/>
              <w:numPr>
                <w:ilvl w:val="0"/>
                <w:numId w:val="54"/>
              </w:numPr>
              <w:spacing w:before="60" w:after="60" w:line="276" w:lineRule="auto"/>
              <w:contextualSpacing/>
              <w:rPr>
                <w:rFonts w:cs="Arial"/>
                <w:sz w:val="20"/>
                <w:szCs w:val="20"/>
              </w:rPr>
            </w:pPr>
            <w:r w:rsidRPr="001F2CF9">
              <w:rPr>
                <w:rFonts w:cs="Arial"/>
                <w:sz w:val="20"/>
                <w:szCs w:val="20"/>
              </w:rPr>
              <w:t xml:space="preserve">development of management responses and </w:t>
            </w:r>
          </w:p>
          <w:p w14:paraId="072709AB" w14:textId="1F84701A" w:rsidR="00DD6730" w:rsidRPr="001F2CF9" w:rsidRDefault="00EF0AC1">
            <w:pPr>
              <w:pStyle w:val="ListParagraph"/>
              <w:numPr>
                <w:ilvl w:val="0"/>
                <w:numId w:val="54"/>
              </w:numPr>
              <w:spacing w:before="60" w:after="60" w:line="276" w:lineRule="auto"/>
              <w:contextualSpacing/>
              <w:rPr>
                <w:rFonts w:cs="Arial"/>
                <w:sz w:val="20"/>
                <w:szCs w:val="20"/>
              </w:rPr>
            </w:pPr>
            <w:proofErr w:type="gramStart"/>
            <w:r w:rsidRPr="001F2CF9">
              <w:rPr>
                <w:rFonts w:cs="Arial"/>
                <w:sz w:val="20"/>
                <w:szCs w:val="20"/>
              </w:rPr>
              <w:t>setting</w:t>
            </w:r>
            <w:proofErr w:type="gramEnd"/>
            <w:r w:rsidRPr="001F2CF9">
              <w:rPr>
                <w:rFonts w:cs="Arial"/>
                <w:sz w:val="20"/>
                <w:szCs w:val="20"/>
              </w:rPr>
              <w:t xml:space="preserve"> an</w:t>
            </w:r>
            <w:r w:rsidR="00A171DE" w:rsidRPr="001F2CF9">
              <w:rPr>
                <w:rFonts w:cs="Arial"/>
                <w:sz w:val="20"/>
                <w:szCs w:val="20"/>
              </w:rPr>
              <w:t>nual total allowable catch</w:t>
            </w:r>
            <w:r w:rsidR="00B44BAB" w:rsidRPr="001F2CF9">
              <w:rPr>
                <w:rFonts w:cs="Arial"/>
                <w:sz w:val="20"/>
                <w:szCs w:val="20"/>
              </w:rPr>
              <w:t xml:space="preserve"> (TAC)</w:t>
            </w:r>
            <w:r w:rsidRPr="001F2CF9">
              <w:rPr>
                <w:rFonts w:cs="Arial"/>
                <w:sz w:val="20"/>
                <w:szCs w:val="20"/>
              </w:rPr>
              <w:t xml:space="preserve">. </w:t>
            </w:r>
          </w:p>
          <w:p w14:paraId="055D7169" w14:textId="5F0CE566" w:rsidR="00EF0AC1" w:rsidRPr="001F2CF9" w:rsidRDefault="00EF0AC1">
            <w:pPr>
              <w:spacing w:before="60" w:after="60" w:line="276" w:lineRule="auto"/>
              <w:contextualSpacing/>
              <w:rPr>
                <w:rFonts w:cs="Arial"/>
                <w:sz w:val="20"/>
                <w:szCs w:val="20"/>
              </w:rPr>
            </w:pPr>
            <w:r w:rsidRPr="001F2CF9">
              <w:rPr>
                <w:rFonts w:cs="Arial"/>
                <w:sz w:val="20"/>
                <w:szCs w:val="20"/>
              </w:rPr>
              <w:t xml:space="preserve">Minutes from CFAC meetings </w:t>
            </w:r>
            <w:r w:rsidR="006C03B6" w:rsidRPr="001F2CF9">
              <w:rPr>
                <w:rFonts w:cs="Arial"/>
                <w:sz w:val="20"/>
                <w:szCs w:val="20"/>
              </w:rPr>
              <w:t xml:space="preserve">can be found on the </w:t>
            </w:r>
            <w:r w:rsidR="00DD6730" w:rsidRPr="002B656C">
              <w:rPr>
                <w:sz w:val="20"/>
                <w:szCs w:val="20"/>
              </w:rPr>
              <w:t>CFAC</w:t>
            </w:r>
            <w:r w:rsidR="006C03B6" w:rsidRPr="00F32842">
              <w:rPr>
                <w:rFonts w:cs="Arial"/>
                <w:sz w:val="20"/>
                <w:szCs w:val="20"/>
              </w:rPr>
              <w:t xml:space="preserve"> page of</w:t>
            </w:r>
            <w:r w:rsidRPr="008201A1">
              <w:rPr>
                <w:rFonts w:cs="Arial"/>
                <w:sz w:val="20"/>
                <w:szCs w:val="20"/>
              </w:rPr>
              <w:t xml:space="preserve"> the </w:t>
            </w:r>
            <w:r w:rsidR="00DD6730" w:rsidRPr="001F2CF9">
              <w:rPr>
                <w:rFonts w:cs="Arial"/>
                <w:sz w:val="20"/>
                <w:szCs w:val="20"/>
              </w:rPr>
              <w:t>DPIPWE</w:t>
            </w:r>
            <w:r w:rsidR="002B656C">
              <w:rPr>
                <w:rFonts w:cs="Arial"/>
                <w:sz w:val="20"/>
                <w:szCs w:val="20"/>
              </w:rPr>
              <w:t xml:space="preserve"> </w:t>
            </w:r>
            <w:r w:rsidR="002B656C" w:rsidRPr="001F2CF9">
              <w:rPr>
                <w:rFonts w:cs="Arial"/>
                <w:sz w:val="20"/>
                <w:szCs w:val="20"/>
              </w:rPr>
              <w:t>website</w:t>
            </w:r>
            <w:r w:rsidR="002B656C" w:rsidRPr="00FE068B">
              <w:rPr>
                <w:rFonts w:cs="Arial"/>
                <w:sz w:val="20"/>
                <w:szCs w:val="20"/>
              </w:rPr>
              <w:t xml:space="preserve"> (link accessible in Section</w:t>
            </w:r>
            <w:r w:rsidR="002B656C">
              <w:rPr>
                <w:rFonts w:cs="Arial"/>
                <w:sz w:val="20"/>
                <w:szCs w:val="20"/>
              </w:rPr>
              <w:t> </w:t>
            </w:r>
            <w:r w:rsidR="002B656C" w:rsidRPr="00FE068B">
              <w:rPr>
                <w:rFonts w:cs="Arial"/>
                <w:sz w:val="20"/>
                <w:szCs w:val="20"/>
              </w:rPr>
              <w:t>1:</w:t>
            </w:r>
            <w:r w:rsidR="002B656C">
              <w:rPr>
                <w:rFonts w:cs="Arial"/>
                <w:sz w:val="20"/>
                <w:szCs w:val="20"/>
              </w:rPr>
              <w:t> </w:t>
            </w:r>
            <w:r w:rsidR="002B656C" w:rsidRPr="00FE068B">
              <w:rPr>
                <w:rFonts w:cs="Arial"/>
                <w:sz w:val="20"/>
                <w:szCs w:val="20"/>
              </w:rPr>
              <w:t>Notes)</w:t>
            </w:r>
            <w:r w:rsidR="006C03B6" w:rsidRPr="001F2CF9">
              <w:rPr>
                <w:rFonts w:cs="Arial"/>
                <w:sz w:val="20"/>
                <w:szCs w:val="20"/>
              </w:rPr>
              <w:t>. M</w:t>
            </w:r>
            <w:r w:rsidRPr="001F2CF9">
              <w:rPr>
                <w:rFonts w:cs="Arial"/>
                <w:sz w:val="20"/>
                <w:szCs w:val="20"/>
              </w:rPr>
              <w:t xml:space="preserve">embers of the public are invited to contact the CFAC Executive Officer to raise specific issues to be tabled for discussion at upcoming CFAC meetings. </w:t>
            </w:r>
          </w:p>
          <w:p w14:paraId="621CEADF" w14:textId="77777777" w:rsidR="00587915" w:rsidRPr="001F2CF9" w:rsidRDefault="00587915">
            <w:pPr>
              <w:spacing w:before="60" w:after="60" w:line="276" w:lineRule="auto"/>
              <w:contextualSpacing/>
              <w:rPr>
                <w:rFonts w:cs="Arial"/>
                <w:b/>
                <w:sz w:val="20"/>
                <w:szCs w:val="20"/>
              </w:rPr>
            </w:pPr>
          </w:p>
          <w:p w14:paraId="0BD2275B" w14:textId="4910A243" w:rsidR="00885298" w:rsidRDefault="003001F0">
            <w:pPr>
              <w:spacing w:before="60" w:after="60" w:line="276" w:lineRule="auto"/>
              <w:contextualSpacing/>
              <w:rPr>
                <w:rFonts w:cs="Arial"/>
                <w:sz w:val="20"/>
                <w:szCs w:val="20"/>
              </w:rPr>
            </w:pPr>
            <w:r w:rsidRPr="001F2CF9">
              <w:rPr>
                <w:rFonts w:cs="Arial"/>
                <w:sz w:val="20"/>
                <w:szCs w:val="20"/>
              </w:rPr>
              <w:t>The s</w:t>
            </w:r>
            <w:r w:rsidR="002D66DB" w:rsidRPr="001F2CF9">
              <w:rPr>
                <w:rFonts w:cs="Arial"/>
                <w:sz w:val="20"/>
                <w:szCs w:val="20"/>
              </w:rPr>
              <w:t>tock assessment</w:t>
            </w:r>
            <w:r w:rsidR="00EF0AC1" w:rsidRPr="001F2CF9">
              <w:rPr>
                <w:rFonts w:cs="Arial"/>
                <w:sz w:val="20"/>
                <w:szCs w:val="20"/>
              </w:rPr>
              <w:t xml:space="preserve"> of the </w:t>
            </w:r>
            <w:r w:rsidR="00387F45" w:rsidRPr="001F2CF9">
              <w:rPr>
                <w:rFonts w:cs="Arial"/>
                <w:sz w:val="20"/>
                <w:szCs w:val="20"/>
              </w:rPr>
              <w:t>TGCF</w:t>
            </w:r>
            <w:r w:rsidR="002D66DB" w:rsidRPr="001F2CF9">
              <w:rPr>
                <w:rFonts w:cs="Arial"/>
                <w:sz w:val="20"/>
                <w:szCs w:val="20"/>
              </w:rPr>
              <w:t xml:space="preserve"> is </w:t>
            </w:r>
            <w:r w:rsidR="00C02863" w:rsidRPr="001F2CF9">
              <w:rPr>
                <w:rFonts w:cs="Arial"/>
                <w:sz w:val="20"/>
                <w:szCs w:val="20"/>
              </w:rPr>
              <w:t>undertaken by</w:t>
            </w:r>
            <w:r w:rsidRPr="001F2CF9">
              <w:rPr>
                <w:rFonts w:cs="Arial"/>
                <w:sz w:val="20"/>
                <w:szCs w:val="20"/>
              </w:rPr>
              <w:t xml:space="preserve"> researchers of</w:t>
            </w:r>
            <w:r w:rsidR="00C02863" w:rsidRPr="001F2CF9">
              <w:rPr>
                <w:rFonts w:cs="Arial"/>
                <w:sz w:val="20"/>
                <w:szCs w:val="20"/>
              </w:rPr>
              <w:t xml:space="preserve"> </w:t>
            </w:r>
            <w:r w:rsidRPr="001F2CF9">
              <w:rPr>
                <w:rFonts w:cs="Arial"/>
                <w:sz w:val="20"/>
                <w:szCs w:val="20"/>
              </w:rPr>
              <w:t>the nominated service provider,</w:t>
            </w:r>
            <w:r w:rsidR="00C02863" w:rsidRPr="001F2CF9">
              <w:rPr>
                <w:rFonts w:cs="Arial"/>
                <w:sz w:val="20"/>
                <w:szCs w:val="20"/>
              </w:rPr>
              <w:t xml:space="preserve"> the Institute for Marine and Antarctic Studies (IMAS)</w:t>
            </w:r>
            <w:r w:rsidR="00587915" w:rsidRPr="001F2CF9">
              <w:rPr>
                <w:rFonts w:cs="Arial"/>
                <w:sz w:val="20"/>
                <w:szCs w:val="20"/>
              </w:rPr>
              <w:t xml:space="preserve"> </w:t>
            </w:r>
            <w:r w:rsidRPr="001F2CF9">
              <w:rPr>
                <w:rFonts w:cs="Arial"/>
                <w:sz w:val="20"/>
                <w:szCs w:val="20"/>
              </w:rPr>
              <w:t>at the University of Tasmania</w:t>
            </w:r>
            <w:r w:rsidR="00C91086" w:rsidRPr="001F2CF9">
              <w:rPr>
                <w:rFonts w:cs="Arial"/>
                <w:sz w:val="20"/>
                <w:szCs w:val="20"/>
              </w:rPr>
              <w:t>,</w:t>
            </w:r>
            <w:r w:rsidRPr="001F2CF9">
              <w:rPr>
                <w:rFonts w:cs="Arial"/>
                <w:sz w:val="20"/>
                <w:szCs w:val="20"/>
              </w:rPr>
              <w:t xml:space="preserve"> who</w:t>
            </w:r>
            <w:r w:rsidR="00587915" w:rsidRPr="001F2CF9">
              <w:rPr>
                <w:rFonts w:cs="Arial"/>
                <w:sz w:val="20"/>
                <w:szCs w:val="20"/>
              </w:rPr>
              <w:t xml:space="preserve"> work in collaboration with the Tasmanian Government through the </w:t>
            </w:r>
            <w:r w:rsidRPr="00022496">
              <w:rPr>
                <w:sz w:val="20"/>
                <w:szCs w:val="20"/>
              </w:rPr>
              <w:t>Sustainable Marine Research Collaboration Agreement</w:t>
            </w:r>
            <w:r w:rsidRPr="00022496">
              <w:rPr>
                <w:rFonts w:cs="Arial"/>
                <w:sz w:val="20"/>
                <w:szCs w:val="20"/>
              </w:rPr>
              <w:t xml:space="preserve"> (</w:t>
            </w:r>
            <w:r w:rsidRPr="00F32842">
              <w:rPr>
                <w:rFonts w:cs="Arial"/>
                <w:sz w:val="20"/>
                <w:szCs w:val="20"/>
              </w:rPr>
              <w:t>SMRCA)</w:t>
            </w:r>
            <w:r w:rsidR="00C02863" w:rsidRPr="008201A1">
              <w:rPr>
                <w:rFonts w:cs="Arial"/>
                <w:sz w:val="20"/>
                <w:szCs w:val="20"/>
              </w:rPr>
              <w:t>.</w:t>
            </w:r>
            <w:r w:rsidR="00387F45" w:rsidRPr="001F2CF9">
              <w:rPr>
                <w:rFonts w:cs="Arial"/>
                <w:sz w:val="20"/>
                <w:szCs w:val="20"/>
              </w:rPr>
              <w:t xml:space="preserve"> </w:t>
            </w:r>
            <w:r w:rsidR="00C91086" w:rsidRPr="001F2CF9">
              <w:rPr>
                <w:rFonts w:cs="Arial"/>
                <w:sz w:val="20"/>
                <w:szCs w:val="20"/>
              </w:rPr>
              <w:t>S</w:t>
            </w:r>
            <w:r w:rsidR="00387F45" w:rsidRPr="001F2CF9">
              <w:rPr>
                <w:rFonts w:cs="Arial"/>
                <w:sz w:val="20"/>
                <w:szCs w:val="20"/>
              </w:rPr>
              <w:t xml:space="preserve">tock assessments of the TGCF can be found on the </w:t>
            </w:r>
            <w:r w:rsidR="00387F45" w:rsidRPr="00022496">
              <w:rPr>
                <w:rFonts w:cs="Arial"/>
                <w:sz w:val="20"/>
                <w:szCs w:val="20"/>
              </w:rPr>
              <w:t xml:space="preserve">IMAS </w:t>
            </w:r>
            <w:r w:rsidR="00820BD3" w:rsidRPr="00022496">
              <w:rPr>
                <w:rFonts w:cs="Arial"/>
                <w:sz w:val="20"/>
                <w:szCs w:val="20"/>
              </w:rPr>
              <w:t>P</w:t>
            </w:r>
            <w:r w:rsidR="00820BD3" w:rsidRPr="008201A1">
              <w:rPr>
                <w:rFonts w:cs="Arial"/>
                <w:sz w:val="20"/>
                <w:szCs w:val="20"/>
              </w:rPr>
              <w:t>ublication</w:t>
            </w:r>
            <w:r w:rsidR="00820BD3" w:rsidRPr="001F2CF9">
              <w:rPr>
                <w:rFonts w:cs="Arial"/>
                <w:sz w:val="20"/>
                <w:szCs w:val="20"/>
              </w:rPr>
              <w:t>s &amp; Resources</w:t>
            </w:r>
            <w:r w:rsidR="00387F45" w:rsidRPr="001F2CF9">
              <w:rPr>
                <w:rFonts w:cs="Arial"/>
                <w:sz w:val="20"/>
                <w:szCs w:val="20"/>
              </w:rPr>
              <w:t xml:space="preserve"> page</w:t>
            </w:r>
            <w:r w:rsidR="00022496">
              <w:rPr>
                <w:rFonts w:cs="Arial"/>
                <w:sz w:val="20"/>
                <w:szCs w:val="20"/>
              </w:rPr>
              <w:t xml:space="preserve"> </w:t>
            </w:r>
            <w:r w:rsidR="00022496" w:rsidRPr="002B656C">
              <w:rPr>
                <w:rFonts w:cs="Arial"/>
                <w:sz w:val="20"/>
                <w:szCs w:val="20"/>
              </w:rPr>
              <w:t>(link accessible in Section 1: Notes)</w:t>
            </w:r>
            <w:r w:rsidR="00387F45" w:rsidRPr="001F2CF9">
              <w:rPr>
                <w:rFonts w:cs="Arial"/>
                <w:sz w:val="20"/>
                <w:szCs w:val="20"/>
              </w:rPr>
              <w:t>.</w:t>
            </w:r>
          </w:p>
          <w:p w14:paraId="14A7D973" w14:textId="5528A7FF" w:rsidR="00564BC9" w:rsidRPr="00F32842" w:rsidRDefault="00564BC9">
            <w:pPr>
              <w:spacing w:before="60" w:after="60" w:line="276" w:lineRule="auto"/>
              <w:contextualSpacing/>
              <w:rPr>
                <w:rFonts w:cs="Arial"/>
                <w:sz w:val="20"/>
                <w:szCs w:val="20"/>
              </w:rPr>
            </w:pPr>
          </w:p>
        </w:tc>
      </w:tr>
      <w:tr w:rsidR="00885298" w:rsidRPr="001F2CF9" w14:paraId="434A9161" w14:textId="77777777" w:rsidTr="00117313">
        <w:trPr>
          <w:cantSplit/>
        </w:trPr>
        <w:tc>
          <w:tcPr>
            <w:tcW w:w="1500" w:type="pct"/>
            <w:shd w:val="clear" w:color="auto" w:fill="auto"/>
          </w:tcPr>
          <w:p w14:paraId="434CE030" w14:textId="62EF3F01" w:rsidR="00885298" w:rsidRPr="001F2CF9" w:rsidRDefault="00885298" w:rsidP="00F32842">
            <w:pPr>
              <w:spacing w:before="60" w:after="60" w:line="276" w:lineRule="auto"/>
              <w:contextualSpacing/>
              <w:rPr>
                <w:rFonts w:cs="Arial"/>
                <w:sz w:val="20"/>
                <w:szCs w:val="20"/>
              </w:rPr>
            </w:pPr>
            <w:r w:rsidRPr="00F32842">
              <w:rPr>
                <w:rFonts w:cs="Arial"/>
                <w:sz w:val="20"/>
                <w:szCs w:val="20"/>
              </w:rPr>
              <w:lastRenderedPageBreak/>
              <w:t>Be strategic, containing objectives and performance criteria by which the effectiveness</w:t>
            </w:r>
            <w:r w:rsidRPr="008201A1">
              <w:rPr>
                <w:rFonts w:cs="Arial"/>
                <w:sz w:val="20"/>
                <w:szCs w:val="20"/>
              </w:rPr>
              <w:t xml:space="preserve"> of the management arrangements are measured</w:t>
            </w:r>
            <w:r w:rsidR="006B6EF9" w:rsidRPr="001F2CF9">
              <w:rPr>
                <w:rFonts w:cs="Arial"/>
                <w:sz w:val="20"/>
                <w:szCs w:val="20"/>
              </w:rPr>
              <w:t>.</w:t>
            </w:r>
          </w:p>
          <w:p w14:paraId="7043B0B9" w14:textId="6802F625"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3B19F720" w14:textId="465EADEB" w:rsidR="00AB6AD7" w:rsidRPr="001F2CF9" w:rsidRDefault="00AB6AD7">
            <w:pPr>
              <w:spacing w:before="60" w:after="60" w:line="276" w:lineRule="auto"/>
              <w:contextualSpacing/>
              <w:rPr>
                <w:rFonts w:cs="Arial"/>
                <w:b/>
                <w:sz w:val="20"/>
                <w:szCs w:val="20"/>
              </w:rPr>
            </w:pPr>
            <w:r w:rsidRPr="001F2CF9">
              <w:rPr>
                <w:rFonts w:cs="Arial"/>
                <w:b/>
                <w:sz w:val="20"/>
                <w:szCs w:val="20"/>
              </w:rPr>
              <w:t>Meets</w:t>
            </w:r>
            <w:r w:rsidR="0083760F" w:rsidRPr="001F2CF9">
              <w:rPr>
                <w:rFonts w:cs="Arial"/>
                <w:b/>
                <w:sz w:val="20"/>
                <w:szCs w:val="20"/>
              </w:rPr>
              <w:t xml:space="preserve"> – </w:t>
            </w:r>
            <w:r w:rsidR="004E7A5A">
              <w:rPr>
                <w:rFonts w:cs="Arial"/>
                <w:b/>
                <w:sz w:val="20"/>
                <w:szCs w:val="20"/>
              </w:rPr>
              <w:tab/>
            </w:r>
            <w:r w:rsidR="0083760F" w:rsidRPr="001F2CF9">
              <w:rPr>
                <w:rFonts w:cs="Arial"/>
                <w:b/>
                <w:sz w:val="20"/>
                <w:szCs w:val="20"/>
              </w:rPr>
              <w:t>Has strategic objectives and performance measures to measure effectiveness</w:t>
            </w:r>
            <w:r w:rsidR="00163B9F" w:rsidRPr="001F2CF9">
              <w:rPr>
                <w:rFonts w:cs="Arial"/>
                <w:b/>
                <w:sz w:val="20"/>
                <w:szCs w:val="20"/>
              </w:rPr>
              <w:t>.</w:t>
            </w:r>
          </w:p>
          <w:p w14:paraId="18B03AE4" w14:textId="77777777" w:rsidR="007153C9" w:rsidRDefault="007153C9">
            <w:pPr>
              <w:spacing w:before="60" w:after="60" w:line="276" w:lineRule="auto"/>
              <w:contextualSpacing/>
              <w:rPr>
                <w:rFonts w:cs="Arial"/>
                <w:sz w:val="20"/>
                <w:szCs w:val="20"/>
              </w:rPr>
            </w:pPr>
          </w:p>
          <w:p w14:paraId="5EC4A5A7" w14:textId="4D9827FB" w:rsidR="00F53EFB" w:rsidRPr="0072610E" w:rsidRDefault="00116A3D">
            <w:pPr>
              <w:spacing w:before="60" w:after="60" w:line="276" w:lineRule="auto"/>
              <w:contextualSpacing/>
              <w:rPr>
                <w:rFonts w:cs="Arial"/>
                <w:sz w:val="20"/>
                <w:szCs w:val="20"/>
              </w:rPr>
            </w:pPr>
            <w:r w:rsidRPr="0072610E">
              <w:rPr>
                <w:rFonts w:cs="Arial"/>
                <w:sz w:val="20"/>
                <w:szCs w:val="20"/>
              </w:rPr>
              <w:t>The management regime of the</w:t>
            </w:r>
            <w:r w:rsidR="00E866F1" w:rsidRPr="0072610E">
              <w:rPr>
                <w:rFonts w:cs="Arial"/>
                <w:sz w:val="20"/>
                <w:szCs w:val="20"/>
              </w:rPr>
              <w:t xml:space="preserve"> TGCF</w:t>
            </w:r>
            <w:r w:rsidR="00F53EFB" w:rsidRPr="0072610E">
              <w:rPr>
                <w:rFonts w:cs="Arial"/>
                <w:sz w:val="20"/>
                <w:szCs w:val="20"/>
              </w:rPr>
              <w:t xml:space="preserve"> has </w:t>
            </w:r>
            <w:r w:rsidR="00C91086" w:rsidRPr="0072610E">
              <w:rPr>
                <w:rFonts w:cs="Arial"/>
                <w:sz w:val="20"/>
                <w:szCs w:val="20"/>
              </w:rPr>
              <w:t xml:space="preserve">the </w:t>
            </w:r>
            <w:r w:rsidR="00F53EFB" w:rsidRPr="0072610E">
              <w:rPr>
                <w:rFonts w:cs="Arial"/>
                <w:sz w:val="20"/>
                <w:szCs w:val="20"/>
              </w:rPr>
              <w:t xml:space="preserve">strategic objectives of: </w:t>
            </w:r>
          </w:p>
          <w:p w14:paraId="5291F3EA" w14:textId="4594F545" w:rsidR="00F53EFB" w:rsidRPr="0072610E" w:rsidRDefault="00C009BA">
            <w:pPr>
              <w:pStyle w:val="ListParagraph"/>
              <w:numPr>
                <w:ilvl w:val="0"/>
                <w:numId w:val="52"/>
              </w:numPr>
              <w:spacing w:before="60" w:after="60" w:line="276" w:lineRule="auto"/>
              <w:ind w:left="357" w:hanging="357"/>
              <w:contextualSpacing/>
              <w:rPr>
                <w:rFonts w:cs="Arial"/>
                <w:i/>
                <w:sz w:val="20"/>
                <w:szCs w:val="20"/>
              </w:rPr>
            </w:pPr>
            <w:r w:rsidRPr="0072610E">
              <w:rPr>
                <w:rFonts w:cs="Arial"/>
                <w:sz w:val="20"/>
                <w:szCs w:val="20"/>
              </w:rPr>
              <w:t>maintain</w:t>
            </w:r>
            <w:r w:rsidR="00F53EFB" w:rsidRPr="0072610E">
              <w:rPr>
                <w:rFonts w:cs="Arial"/>
                <w:sz w:val="20"/>
                <w:szCs w:val="20"/>
              </w:rPr>
              <w:t>ing</w:t>
            </w:r>
            <w:r w:rsidRPr="0072610E">
              <w:rPr>
                <w:rFonts w:cs="Arial"/>
                <w:sz w:val="20"/>
                <w:szCs w:val="20"/>
              </w:rPr>
              <w:t xml:space="preserve"> fish stocks</w:t>
            </w:r>
            <w:r w:rsidR="00F53EFB" w:rsidRPr="0072610E">
              <w:rPr>
                <w:rFonts w:cs="Arial"/>
                <w:sz w:val="20"/>
                <w:szCs w:val="20"/>
              </w:rPr>
              <w:t xml:space="preserve"> at optimum sustainable levels;</w:t>
            </w:r>
          </w:p>
          <w:p w14:paraId="79D768EF" w14:textId="3813A652" w:rsidR="00F53EFB" w:rsidRPr="0072610E" w:rsidRDefault="00F53EFB">
            <w:pPr>
              <w:pStyle w:val="ListParagraph"/>
              <w:numPr>
                <w:ilvl w:val="0"/>
                <w:numId w:val="52"/>
              </w:numPr>
              <w:spacing w:before="60" w:after="60" w:line="276" w:lineRule="auto"/>
              <w:ind w:left="357" w:hanging="357"/>
              <w:contextualSpacing/>
              <w:rPr>
                <w:rFonts w:cs="Arial"/>
                <w:i/>
                <w:sz w:val="20"/>
                <w:szCs w:val="20"/>
              </w:rPr>
            </w:pPr>
            <w:r w:rsidRPr="0072610E">
              <w:rPr>
                <w:rFonts w:cs="Arial"/>
                <w:sz w:val="20"/>
                <w:szCs w:val="20"/>
              </w:rPr>
              <w:t>reducing incidental fishing mortality;</w:t>
            </w:r>
          </w:p>
          <w:p w14:paraId="52E91728" w14:textId="04684A94" w:rsidR="00F53EFB" w:rsidRPr="0072610E" w:rsidRDefault="00C009BA">
            <w:pPr>
              <w:pStyle w:val="ListParagraph"/>
              <w:numPr>
                <w:ilvl w:val="0"/>
                <w:numId w:val="52"/>
              </w:numPr>
              <w:spacing w:before="60" w:after="60" w:line="276" w:lineRule="auto"/>
              <w:ind w:left="357" w:hanging="357"/>
              <w:contextualSpacing/>
              <w:rPr>
                <w:rFonts w:cs="Arial"/>
                <w:i/>
                <w:sz w:val="20"/>
                <w:szCs w:val="20"/>
              </w:rPr>
            </w:pPr>
            <w:r w:rsidRPr="0072610E">
              <w:rPr>
                <w:rFonts w:cs="Arial"/>
                <w:sz w:val="20"/>
                <w:szCs w:val="20"/>
              </w:rPr>
              <w:t>pr</w:t>
            </w:r>
            <w:r w:rsidR="00F44DB8" w:rsidRPr="0072610E">
              <w:rPr>
                <w:rFonts w:cs="Arial"/>
                <w:sz w:val="20"/>
                <w:szCs w:val="20"/>
              </w:rPr>
              <w:t>otecting under-size giant crab</w:t>
            </w:r>
            <w:r w:rsidR="00F53EFB" w:rsidRPr="0072610E">
              <w:rPr>
                <w:rFonts w:cs="Arial"/>
                <w:sz w:val="20"/>
                <w:szCs w:val="20"/>
              </w:rPr>
              <w:t>s;</w:t>
            </w:r>
          </w:p>
          <w:p w14:paraId="73F9EE2D" w14:textId="6AE97DFC" w:rsidR="00F53EFB" w:rsidRPr="0072610E" w:rsidRDefault="00F53EFB">
            <w:pPr>
              <w:pStyle w:val="ListParagraph"/>
              <w:numPr>
                <w:ilvl w:val="0"/>
                <w:numId w:val="52"/>
              </w:numPr>
              <w:spacing w:before="60" w:after="60" w:line="276" w:lineRule="auto"/>
              <w:ind w:left="357" w:hanging="357"/>
              <w:contextualSpacing/>
              <w:rPr>
                <w:rFonts w:cs="Arial"/>
                <w:i/>
                <w:sz w:val="20"/>
                <w:szCs w:val="20"/>
              </w:rPr>
            </w:pPr>
            <w:r w:rsidRPr="0072610E">
              <w:rPr>
                <w:rFonts w:cs="Arial"/>
                <w:sz w:val="20"/>
                <w:szCs w:val="20"/>
              </w:rPr>
              <w:t>conserving</w:t>
            </w:r>
            <w:r w:rsidR="00F44DB8" w:rsidRPr="0072610E">
              <w:rPr>
                <w:rFonts w:cs="Arial"/>
                <w:sz w:val="20"/>
                <w:szCs w:val="20"/>
              </w:rPr>
              <w:t xml:space="preserve"> and protect</w:t>
            </w:r>
            <w:r w:rsidRPr="0072610E">
              <w:rPr>
                <w:rFonts w:cs="Arial"/>
                <w:sz w:val="20"/>
                <w:szCs w:val="20"/>
              </w:rPr>
              <w:t>ing</w:t>
            </w:r>
            <w:r w:rsidR="00F44DB8" w:rsidRPr="0072610E">
              <w:rPr>
                <w:rFonts w:cs="Arial"/>
                <w:sz w:val="20"/>
                <w:szCs w:val="20"/>
              </w:rPr>
              <w:t xml:space="preserve"> egg producti</w:t>
            </w:r>
            <w:r w:rsidRPr="0072610E">
              <w:rPr>
                <w:rFonts w:cs="Arial"/>
                <w:sz w:val="20"/>
                <w:szCs w:val="20"/>
              </w:rPr>
              <w:t>on during peak spawning periods;</w:t>
            </w:r>
            <w:r w:rsidR="00C009BA" w:rsidRPr="0072610E">
              <w:rPr>
                <w:rFonts w:cs="Arial"/>
                <w:sz w:val="20"/>
                <w:szCs w:val="20"/>
              </w:rPr>
              <w:t xml:space="preserve"> </w:t>
            </w:r>
          </w:p>
          <w:p w14:paraId="11096679" w14:textId="5B6197EF" w:rsidR="00F53EFB" w:rsidRPr="0072610E" w:rsidRDefault="00F53EFB">
            <w:pPr>
              <w:pStyle w:val="ListParagraph"/>
              <w:numPr>
                <w:ilvl w:val="0"/>
                <w:numId w:val="52"/>
              </w:numPr>
              <w:spacing w:before="60" w:after="60" w:line="276" w:lineRule="auto"/>
              <w:ind w:left="357" w:hanging="357"/>
              <w:contextualSpacing/>
              <w:rPr>
                <w:rFonts w:cs="Arial"/>
                <w:i/>
                <w:sz w:val="20"/>
                <w:szCs w:val="20"/>
              </w:rPr>
            </w:pPr>
            <w:r w:rsidRPr="0072610E">
              <w:rPr>
                <w:rFonts w:cs="Arial"/>
                <w:sz w:val="20"/>
                <w:szCs w:val="20"/>
              </w:rPr>
              <w:t>managing</w:t>
            </w:r>
            <w:r w:rsidR="00C009BA" w:rsidRPr="0072610E">
              <w:rPr>
                <w:rFonts w:cs="Arial"/>
                <w:sz w:val="20"/>
                <w:szCs w:val="20"/>
              </w:rPr>
              <w:t xml:space="preserve"> commercial f</w:t>
            </w:r>
            <w:r w:rsidRPr="0072610E">
              <w:rPr>
                <w:rFonts w:cs="Arial"/>
                <w:sz w:val="20"/>
                <w:szCs w:val="20"/>
              </w:rPr>
              <w:t>ishing interactions and mitigating</w:t>
            </w:r>
            <w:r w:rsidR="00C009BA" w:rsidRPr="0072610E">
              <w:rPr>
                <w:rFonts w:cs="Arial"/>
                <w:sz w:val="20"/>
                <w:szCs w:val="20"/>
              </w:rPr>
              <w:t xml:space="preserve"> any competition conflicts between different fishing methods</w:t>
            </w:r>
            <w:r w:rsidRPr="0072610E">
              <w:rPr>
                <w:rFonts w:cs="Arial"/>
                <w:sz w:val="20"/>
                <w:szCs w:val="20"/>
              </w:rPr>
              <w:t>;</w:t>
            </w:r>
          </w:p>
          <w:p w14:paraId="6FFAAAD7" w14:textId="77777777" w:rsidR="00F53EFB" w:rsidRPr="0072610E" w:rsidRDefault="00F53EFB">
            <w:pPr>
              <w:pStyle w:val="ListParagraph"/>
              <w:numPr>
                <w:ilvl w:val="0"/>
                <w:numId w:val="52"/>
              </w:numPr>
              <w:spacing w:before="60" w:after="60" w:line="276" w:lineRule="auto"/>
              <w:ind w:left="357" w:hanging="357"/>
              <w:contextualSpacing/>
              <w:rPr>
                <w:rFonts w:cs="Arial"/>
                <w:i/>
                <w:sz w:val="20"/>
                <w:szCs w:val="20"/>
              </w:rPr>
            </w:pPr>
            <w:proofErr w:type="gramStart"/>
            <w:r w:rsidRPr="0072610E">
              <w:rPr>
                <w:rFonts w:cs="Arial"/>
                <w:sz w:val="20"/>
                <w:szCs w:val="20"/>
              </w:rPr>
              <w:t>providing</w:t>
            </w:r>
            <w:proofErr w:type="gramEnd"/>
            <w:r w:rsidR="00C009BA" w:rsidRPr="0072610E">
              <w:rPr>
                <w:rFonts w:cs="Arial"/>
                <w:sz w:val="20"/>
                <w:szCs w:val="20"/>
              </w:rPr>
              <w:t xml:space="preserve"> socio-economic benefits to the com</w:t>
            </w:r>
            <w:r w:rsidRPr="0072610E">
              <w:rPr>
                <w:rFonts w:cs="Arial"/>
                <w:sz w:val="20"/>
                <w:szCs w:val="20"/>
              </w:rPr>
              <w:t>munity and high quality products.</w:t>
            </w:r>
          </w:p>
          <w:p w14:paraId="183C8C67" w14:textId="77777777" w:rsidR="00885298" w:rsidRDefault="0007700D">
            <w:pPr>
              <w:spacing w:before="60" w:after="60" w:line="276" w:lineRule="auto"/>
              <w:contextualSpacing/>
              <w:rPr>
                <w:rFonts w:cs="Arial"/>
                <w:sz w:val="20"/>
                <w:szCs w:val="20"/>
              </w:rPr>
            </w:pPr>
            <w:r w:rsidRPr="0072610E">
              <w:rPr>
                <w:rFonts w:cs="Arial"/>
                <w:sz w:val="20"/>
                <w:szCs w:val="20"/>
              </w:rPr>
              <w:t xml:space="preserve">Performance indicators </w:t>
            </w:r>
            <w:r w:rsidR="009456F4" w:rsidRPr="0072610E">
              <w:rPr>
                <w:rFonts w:cs="Arial"/>
                <w:sz w:val="20"/>
                <w:szCs w:val="20"/>
              </w:rPr>
              <w:t>in relation</w:t>
            </w:r>
            <w:r w:rsidRPr="0072610E">
              <w:rPr>
                <w:rFonts w:cs="Arial"/>
                <w:sz w:val="20"/>
                <w:szCs w:val="20"/>
              </w:rPr>
              <w:t xml:space="preserve"> to total yearly catch rate, catch per unit effort (CPUE) and giant crab bycatch are used to assess whether reference points have been exceeded in the fishery</w:t>
            </w:r>
            <w:r w:rsidR="009456F4" w:rsidRPr="0072610E">
              <w:rPr>
                <w:rFonts w:cs="Arial"/>
                <w:sz w:val="20"/>
                <w:szCs w:val="20"/>
              </w:rPr>
              <w:t xml:space="preserve"> as well as</w:t>
            </w:r>
            <w:r w:rsidRPr="0072610E">
              <w:rPr>
                <w:rFonts w:cs="Arial"/>
                <w:sz w:val="20"/>
                <w:szCs w:val="20"/>
              </w:rPr>
              <w:t xml:space="preserve"> to</w:t>
            </w:r>
            <w:r w:rsidR="00116A3D" w:rsidRPr="0072610E">
              <w:rPr>
                <w:rFonts w:cs="Arial"/>
                <w:sz w:val="20"/>
                <w:szCs w:val="20"/>
              </w:rPr>
              <w:t xml:space="preserve"> measure </w:t>
            </w:r>
            <w:r w:rsidR="00F53EFB" w:rsidRPr="0072610E">
              <w:rPr>
                <w:rFonts w:cs="Arial"/>
                <w:sz w:val="20"/>
                <w:szCs w:val="20"/>
              </w:rPr>
              <w:t xml:space="preserve">the </w:t>
            </w:r>
            <w:r w:rsidR="00116A3D" w:rsidRPr="0072610E">
              <w:rPr>
                <w:rFonts w:cs="Arial"/>
                <w:sz w:val="20"/>
                <w:szCs w:val="20"/>
              </w:rPr>
              <w:t xml:space="preserve">effectiveness </w:t>
            </w:r>
            <w:r w:rsidR="00F53EFB" w:rsidRPr="0072610E">
              <w:rPr>
                <w:rFonts w:cs="Arial"/>
                <w:sz w:val="20"/>
                <w:szCs w:val="20"/>
              </w:rPr>
              <w:t xml:space="preserve">of the management arrangement of the </w:t>
            </w:r>
            <w:r w:rsidRPr="0072610E">
              <w:rPr>
                <w:rFonts w:cs="Arial"/>
                <w:sz w:val="20"/>
                <w:szCs w:val="20"/>
              </w:rPr>
              <w:t>TGCF</w:t>
            </w:r>
            <w:r w:rsidR="00F53EFB" w:rsidRPr="0072610E">
              <w:rPr>
                <w:rFonts w:cs="Arial"/>
                <w:sz w:val="20"/>
                <w:szCs w:val="20"/>
              </w:rPr>
              <w:t>.</w:t>
            </w:r>
            <w:r w:rsidR="00DF1D9A" w:rsidRPr="0072610E">
              <w:rPr>
                <w:rFonts w:cs="Arial"/>
                <w:sz w:val="20"/>
                <w:szCs w:val="20"/>
              </w:rPr>
              <w:t xml:space="preserve"> </w:t>
            </w:r>
          </w:p>
          <w:p w14:paraId="1DAE5048" w14:textId="2B46BC52" w:rsidR="00564BC9" w:rsidRPr="0072610E" w:rsidRDefault="00564BC9">
            <w:pPr>
              <w:spacing w:before="60" w:after="60" w:line="276" w:lineRule="auto"/>
              <w:contextualSpacing/>
              <w:rPr>
                <w:i/>
                <w:sz w:val="20"/>
                <w:szCs w:val="20"/>
              </w:rPr>
            </w:pPr>
          </w:p>
        </w:tc>
      </w:tr>
      <w:tr w:rsidR="00885298" w:rsidRPr="001F2CF9" w14:paraId="73791D4D" w14:textId="77777777" w:rsidTr="00117313">
        <w:trPr>
          <w:cantSplit/>
        </w:trPr>
        <w:tc>
          <w:tcPr>
            <w:tcW w:w="1500" w:type="pct"/>
            <w:shd w:val="clear" w:color="auto" w:fill="auto"/>
          </w:tcPr>
          <w:p w14:paraId="77416607" w14:textId="7E78E387" w:rsidR="00885298" w:rsidRPr="001F2CF9" w:rsidRDefault="00885298" w:rsidP="00F32842">
            <w:pPr>
              <w:spacing w:before="60" w:after="60" w:line="276" w:lineRule="auto"/>
              <w:contextualSpacing/>
              <w:rPr>
                <w:rFonts w:cs="Arial"/>
                <w:sz w:val="20"/>
                <w:szCs w:val="20"/>
              </w:rPr>
            </w:pPr>
            <w:r w:rsidRPr="00F32842">
              <w:rPr>
                <w:rFonts w:cs="Arial"/>
                <w:sz w:val="20"/>
                <w:szCs w:val="20"/>
              </w:rPr>
              <w:t>Be capable of controlling the level of harvest in the fishery using input and/or output controls</w:t>
            </w:r>
            <w:r w:rsidR="006B6EF9" w:rsidRPr="008201A1">
              <w:rPr>
                <w:rFonts w:cs="Arial"/>
                <w:sz w:val="20"/>
                <w:szCs w:val="20"/>
              </w:rPr>
              <w:t>.</w:t>
            </w:r>
          </w:p>
          <w:p w14:paraId="1EB80B0F" w14:textId="42B1B36D"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73A60E6C" w14:textId="5EECEB2E" w:rsidR="00F652CA" w:rsidRPr="001F2CF9" w:rsidRDefault="00AB6AD7">
            <w:pPr>
              <w:spacing w:before="60" w:after="60" w:line="276" w:lineRule="auto"/>
              <w:contextualSpacing/>
              <w:rPr>
                <w:rFonts w:cs="Arial"/>
                <w:b/>
                <w:sz w:val="20"/>
                <w:szCs w:val="20"/>
              </w:rPr>
            </w:pPr>
            <w:r w:rsidRPr="001F2CF9">
              <w:rPr>
                <w:rFonts w:cs="Arial"/>
                <w:b/>
                <w:sz w:val="20"/>
                <w:szCs w:val="20"/>
              </w:rPr>
              <w:t>Meets</w:t>
            </w:r>
            <w:r w:rsidR="00BC3072" w:rsidRPr="001F2CF9">
              <w:rPr>
                <w:rFonts w:cs="Arial"/>
                <w:b/>
                <w:sz w:val="20"/>
                <w:szCs w:val="20"/>
              </w:rPr>
              <w:t xml:space="preserve"> – </w:t>
            </w:r>
            <w:r w:rsidR="004E7A5A">
              <w:rPr>
                <w:rFonts w:cs="Arial"/>
                <w:b/>
                <w:sz w:val="20"/>
                <w:szCs w:val="20"/>
              </w:rPr>
              <w:tab/>
            </w:r>
            <w:r w:rsidR="00BC3072" w:rsidRPr="001F2CF9">
              <w:rPr>
                <w:rFonts w:cs="Arial"/>
                <w:b/>
                <w:sz w:val="20"/>
                <w:szCs w:val="20"/>
              </w:rPr>
              <w:t xml:space="preserve">Effective </w:t>
            </w:r>
            <w:r w:rsidR="00C91086" w:rsidRPr="001F2CF9">
              <w:rPr>
                <w:rFonts w:cs="Arial"/>
                <w:b/>
                <w:sz w:val="20"/>
                <w:szCs w:val="20"/>
              </w:rPr>
              <w:t xml:space="preserve">harvest </w:t>
            </w:r>
            <w:r w:rsidR="00BC3072" w:rsidRPr="001F2CF9">
              <w:rPr>
                <w:rFonts w:cs="Arial"/>
                <w:b/>
                <w:sz w:val="20"/>
                <w:szCs w:val="20"/>
              </w:rPr>
              <w:t>controls</w:t>
            </w:r>
            <w:r w:rsidR="00C91086" w:rsidRPr="001F2CF9">
              <w:rPr>
                <w:rFonts w:cs="Arial"/>
                <w:b/>
                <w:sz w:val="20"/>
                <w:szCs w:val="20"/>
              </w:rPr>
              <w:t xml:space="preserve"> are </w:t>
            </w:r>
            <w:r w:rsidR="00BC3072" w:rsidRPr="001F2CF9">
              <w:rPr>
                <w:rFonts w:cs="Arial"/>
                <w:b/>
                <w:sz w:val="20"/>
                <w:szCs w:val="20"/>
              </w:rPr>
              <w:t>in place</w:t>
            </w:r>
            <w:r w:rsidR="00163B9F" w:rsidRPr="001F2CF9">
              <w:rPr>
                <w:rFonts w:cs="Arial"/>
                <w:b/>
                <w:sz w:val="20"/>
                <w:szCs w:val="20"/>
              </w:rPr>
              <w:t>.</w:t>
            </w:r>
          </w:p>
          <w:p w14:paraId="142294FA" w14:textId="77777777" w:rsidR="007153C9" w:rsidRDefault="007153C9">
            <w:pPr>
              <w:spacing w:before="60" w:after="60" w:line="276" w:lineRule="auto"/>
              <w:contextualSpacing/>
              <w:rPr>
                <w:rFonts w:cs="Arial"/>
                <w:sz w:val="20"/>
                <w:szCs w:val="20"/>
              </w:rPr>
            </w:pPr>
          </w:p>
          <w:p w14:paraId="24C11C4C" w14:textId="77777777" w:rsidR="00F652CA" w:rsidRPr="001F2CF9" w:rsidRDefault="00FD6082">
            <w:pPr>
              <w:spacing w:before="60" w:after="60" w:line="276" w:lineRule="auto"/>
              <w:contextualSpacing/>
              <w:rPr>
                <w:rFonts w:cs="Arial"/>
                <w:sz w:val="20"/>
                <w:szCs w:val="20"/>
              </w:rPr>
            </w:pPr>
            <w:r w:rsidRPr="001F2CF9">
              <w:rPr>
                <w:rFonts w:cs="Arial"/>
                <w:sz w:val="20"/>
                <w:szCs w:val="20"/>
              </w:rPr>
              <w:t>Control rules</w:t>
            </w:r>
            <w:r w:rsidR="00F44DB8" w:rsidRPr="001F2CF9">
              <w:rPr>
                <w:rFonts w:cs="Arial"/>
                <w:sz w:val="20"/>
                <w:szCs w:val="20"/>
              </w:rPr>
              <w:t xml:space="preserve"> are in place in the </w:t>
            </w:r>
            <w:r w:rsidRPr="0072610E">
              <w:rPr>
                <w:rFonts w:cs="Arial"/>
                <w:sz w:val="20"/>
                <w:szCs w:val="20"/>
              </w:rPr>
              <w:t>TGCF</w:t>
            </w:r>
            <w:r w:rsidR="00F44DB8" w:rsidRPr="001F2CF9">
              <w:rPr>
                <w:rFonts w:cs="Arial"/>
                <w:sz w:val="20"/>
                <w:szCs w:val="20"/>
              </w:rPr>
              <w:t xml:space="preserve"> to effectively control the level of harvest in the fishery through</w:t>
            </w:r>
            <w:r w:rsidR="00F07540" w:rsidRPr="001F2CF9">
              <w:rPr>
                <w:rFonts w:cs="Arial"/>
                <w:sz w:val="20"/>
                <w:szCs w:val="20"/>
              </w:rPr>
              <w:t xml:space="preserve"> input controls:</w:t>
            </w:r>
            <w:r w:rsidR="00F652CA" w:rsidRPr="001F2CF9">
              <w:rPr>
                <w:rFonts w:cs="Arial"/>
                <w:sz w:val="20"/>
                <w:szCs w:val="20"/>
              </w:rPr>
              <w:t xml:space="preserve"> </w:t>
            </w:r>
          </w:p>
          <w:p w14:paraId="1D96CCD7" w14:textId="77777777" w:rsidR="00F652CA" w:rsidRPr="001F2CF9" w:rsidRDefault="00F07540">
            <w:pPr>
              <w:pStyle w:val="ListParagraph"/>
              <w:numPr>
                <w:ilvl w:val="0"/>
                <w:numId w:val="52"/>
              </w:numPr>
              <w:spacing w:before="60" w:after="60" w:line="276" w:lineRule="auto"/>
              <w:contextualSpacing/>
              <w:rPr>
                <w:rFonts w:cs="Arial"/>
                <w:sz w:val="20"/>
                <w:szCs w:val="20"/>
              </w:rPr>
            </w:pPr>
            <w:r w:rsidRPr="001F2CF9">
              <w:rPr>
                <w:rFonts w:cs="Arial"/>
                <w:sz w:val="20"/>
                <w:szCs w:val="20"/>
              </w:rPr>
              <w:t>limited entry to the fishery</w:t>
            </w:r>
            <w:r w:rsidR="00F652CA" w:rsidRPr="001F2CF9">
              <w:rPr>
                <w:rFonts w:cs="Arial"/>
                <w:sz w:val="20"/>
                <w:szCs w:val="20"/>
              </w:rPr>
              <w:t xml:space="preserve">; </w:t>
            </w:r>
          </w:p>
          <w:p w14:paraId="6CA5CAC7" w14:textId="77777777" w:rsidR="00F652CA" w:rsidRPr="001F2CF9" w:rsidRDefault="00F07540">
            <w:pPr>
              <w:pStyle w:val="ListParagraph"/>
              <w:numPr>
                <w:ilvl w:val="0"/>
                <w:numId w:val="52"/>
              </w:numPr>
              <w:spacing w:before="60" w:after="60" w:line="276" w:lineRule="auto"/>
              <w:contextualSpacing/>
              <w:rPr>
                <w:rFonts w:cs="Arial"/>
                <w:sz w:val="20"/>
                <w:szCs w:val="20"/>
              </w:rPr>
            </w:pPr>
            <w:r w:rsidRPr="001F2CF9">
              <w:rPr>
                <w:rFonts w:cs="Arial"/>
                <w:sz w:val="20"/>
                <w:szCs w:val="20"/>
              </w:rPr>
              <w:t>limited number of traps</w:t>
            </w:r>
            <w:r w:rsidR="00FD6082" w:rsidRPr="001F2CF9">
              <w:rPr>
                <w:rFonts w:cs="Arial"/>
                <w:sz w:val="20"/>
                <w:szCs w:val="20"/>
              </w:rPr>
              <w:t>;</w:t>
            </w:r>
            <w:r w:rsidR="00F652CA" w:rsidRPr="001F2CF9">
              <w:rPr>
                <w:rFonts w:cs="Arial"/>
                <w:sz w:val="20"/>
                <w:szCs w:val="20"/>
              </w:rPr>
              <w:t xml:space="preserve"> </w:t>
            </w:r>
          </w:p>
          <w:p w14:paraId="3BBDE533" w14:textId="77777777" w:rsidR="00F652CA" w:rsidRPr="001F2CF9" w:rsidRDefault="00F44DB8">
            <w:pPr>
              <w:pStyle w:val="ListParagraph"/>
              <w:numPr>
                <w:ilvl w:val="0"/>
                <w:numId w:val="52"/>
              </w:numPr>
              <w:spacing w:before="60" w:after="60" w:line="276" w:lineRule="auto"/>
              <w:contextualSpacing/>
              <w:rPr>
                <w:rFonts w:cs="Arial"/>
                <w:sz w:val="20"/>
                <w:szCs w:val="20"/>
              </w:rPr>
            </w:pPr>
            <w:r w:rsidRPr="001F2CF9">
              <w:rPr>
                <w:rFonts w:cs="Arial"/>
                <w:sz w:val="20"/>
                <w:szCs w:val="20"/>
              </w:rPr>
              <w:t>seasonal spawning closures to protect female giant cra</w:t>
            </w:r>
            <w:r w:rsidR="00F07540" w:rsidRPr="001F2CF9">
              <w:rPr>
                <w:rFonts w:cs="Arial"/>
                <w:sz w:val="20"/>
                <w:szCs w:val="20"/>
              </w:rPr>
              <w:t>bs during peak spawning periods</w:t>
            </w:r>
            <w:r w:rsidR="00A171DE" w:rsidRPr="001F2CF9">
              <w:rPr>
                <w:rFonts w:cs="Arial"/>
                <w:sz w:val="20"/>
                <w:szCs w:val="20"/>
              </w:rPr>
              <w:t>;</w:t>
            </w:r>
            <w:r w:rsidR="00F652CA" w:rsidRPr="001F2CF9">
              <w:rPr>
                <w:rFonts w:cs="Arial"/>
                <w:sz w:val="20"/>
                <w:szCs w:val="20"/>
              </w:rPr>
              <w:t xml:space="preserve"> </w:t>
            </w:r>
          </w:p>
          <w:p w14:paraId="3326B3DA" w14:textId="77777777" w:rsidR="00F652CA" w:rsidRPr="001F2CF9" w:rsidRDefault="00FD6082">
            <w:pPr>
              <w:spacing w:before="60" w:after="60" w:line="276" w:lineRule="auto"/>
              <w:contextualSpacing/>
              <w:rPr>
                <w:rFonts w:cs="Arial"/>
                <w:sz w:val="20"/>
                <w:szCs w:val="20"/>
              </w:rPr>
            </w:pPr>
            <w:r w:rsidRPr="001F2CF9">
              <w:rPr>
                <w:rFonts w:cs="Arial"/>
                <w:sz w:val="20"/>
                <w:szCs w:val="20"/>
              </w:rPr>
              <w:t xml:space="preserve">and </w:t>
            </w:r>
            <w:r w:rsidR="00F07540" w:rsidRPr="001F2CF9">
              <w:rPr>
                <w:rFonts w:cs="Arial"/>
                <w:sz w:val="20"/>
                <w:szCs w:val="20"/>
              </w:rPr>
              <w:t>output controls:</w:t>
            </w:r>
            <w:r w:rsidR="00F652CA" w:rsidRPr="001F2CF9">
              <w:rPr>
                <w:rFonts w:cs="Arial"/>
                <w:sz w:val="20"/>
                <w:szCs w:val="20"/>
              </w:rPr>
              <w:t xml:space="preserve"> </w:t>
            </w:r>
          </w:p>
          <w:p w14:paraId="77ADE4BF" w14:textId="77777777" w:rsidR="00F652CA" w:rsidRPr="001F2CF9" w:rsidRDefault="00F44DB8">
            <w:pPr>
              <w:pStyle w:val="ListParagraph"/>
              <w:numPr>
                <w:ilvl w:val="0"/>
                <w:numId w:val="52"/>
              </w:numPr>
              <w:spacing w:before="60" w:after="60" w:line="276" w:lineRule="auto"/>
              <w:contextualSpacing/>
              <w:rPr>
                <w:rFonts w:cs="Arial"/>
                <w:sz w:val="20"/>
                <w:szCs w:val="20"/>
              </w:rPr>
            </w:pPr>
            <w:r w:rsidRPr="001F2CF9">
              <w:rPr>
                <w:rFonts w:cs="Arial"/>
                <w:sz w:val="20"/>
                <w:szCs w:val="20"/>
              </w:rPr>
              <w:t xml:space="preserve">annually set total </w:t>
            </w:r>
            <w:r w:rsidR="00A171DE" w:rsidRPr="001F2CF9">
              <w:rPr>
                <w:rFonts w:cs="Arial"/>
                <w:sz w:val="20"/>
                <w:szCs w:val="20"/>
              </w:rPr>
              <w:t>allowable commercial catch</w:t>
            </w:r>
            <w:r w:rsidRPr="001F2CF9">
              <w:rPr>
                <w:rFonts w:cs="Arial"/>
                <w:sz w:val="20"/>
                <w:szCs w:val="20"/>
              </w:rPr>
              <w:t xml:space="preserve"> and individual transferable quota</w:t>
            </w:r>
            <w:r w:rsidR="00F07540" w:rsidRPr="001F2CF9">
              <w:rPr>
                <w:rFonts w:cs="Arial"/>
                <w:sz w:val="20"/>
                <w:szCs w:val="20"/>
              </w:rPr>
              <w:t>s</w:t>
            </w:r>
            <w:r w:rsidR="00A171DE" w:rsidRPr="001F2CF9">
              <w:rPr>
                <w:rFonts w:cs="Arial"/>
                <w:sz w:val="20"/>
                <w:szCs w:val="20"/>
              </w:rPr>
              <w:t>;</w:t>
            </w:r>
            <w:r w:rsidR="00F652CA" w:rsidRPr="001F2CF9">
              <w:rPr>
                <w:rFonts w:cs="Arial"/>
                <w:sz w:val="20"/>
                <w:szCs w:val="20"/>
              </w:rPr>
              <w:t xml:space="preserve"> </w:t>
            </w:r>
          </w:p>
          <w:p w14:paraId="1A9E8647" w14:textId="77777777" w:rsidR="00F652CA" w:rsidRPr="001F2CF9" w:rsidRDefault="00F44DB8">
            <w:pPr>
              <w:pStyle w:val="ListParagraph"/>
              <w:numPr>
                <w:ilvl w:val="0"/>
                <w:numId w:val="52"/>
              </w:numPr>
              <w:spacing w:before="60" w:after="60" w:line="276" w:lineRule="auto"/>
              <w:contextualSpacing/>
              <w:rPr>
                <w:rFonts w:cs="Arial"/>
                <w:sz w:val="20"/>
                <w:szCs w:val="20"/>
              </w:rPr>
            </w:pPr>
            <w:r w:rsidRPr="001F2CF9">
              <w:rPr>
                <w:rFonts w:cs="Arial"/>
                <w:sz w:val="20"/>
                <w:szCs w:val="20"/>
              </w:rPr>
              <w:t>minimum giant crab size limit</w:t>
            </w:r>
            <w:r w:rsidR="00A171DE" w:rsidRPr="001F2CF9">
              <w:rPr>
                <w:rFonts w:cs="Arial"/>
                <w:sz w:val="20"/>
                <w:szCs w:val="20"/>
              </w:rPr>
              <w:t>;</w:t>
            </w:r>
            <w:r w:rsidR="00F652CA" w:rsidRPr="001F2CF9">
              <w:rPr>
                <w:rFonts w:cs="Arial"/>
                <w:sz w:val="20"/>
                <w:szCs w:val="20"/>
              </w:rPr>
              <w:t xml:space="preserve"> </w:t>
            </w:r>
          </w:p>
          <w:p w14:paraId="56E32B91" w14:textId="77777777" w:rsidR="00F652CA" w:rsidRPr="001F2CF9" w:rsidRDefault="00F44DB8">
            <w:pPr>
              <w:pStyle w:val="ListParagraph"/>
              <w:numPr>
                <w:ilvl w:val="0"/>
                <w:numId w:val="52"/>
              </w:numPr>
              <w:spacing w:before="60" w:after="60" w:line="276" w:lineRule="auto"/>
              <w:contextualSpacing/>
              <w:rPr>
                <w:rFonts w:cs="Arial"/>
                <w:sz w:val="20"/>
                <w:szCs w:val="20"/>
              </w:rPr>
            </w:pPr>
            <w:r w:rsidRPr="001F2CF9">
              <w:rPr>
                <w:rFonts w:cs="Arial"/>
                <w:sz w:val="20"/>
                <w:szCs w:val="20"/>
              </w:rPr>
              <w:t>catch l</w:t>
            </w:r>
            <w:r w:rsidR="00F07540" w:rsidRPr="001F2CF9">
              <w:rPr>
                <w:rFonts w:cs="Arial"/>
                <w:sz w:val="20"/>
                <w:szCs w:val="20"/>
              </w:rPr>
              <w:t>imits for recreational fishers</w:t>
            </w:r>
            <w:r w:rsidR="00A171DE" w:rsidRPr="001F2CF9">
              <w:rPr>
                <w:rFonts w:cs="Arial"/>
                <w:sz w:val="20"/>
                <w:szCs w:val="20"/>
              </w:rPr>
              <w:t>;</w:t>
            </w:r>
            <w:r w:rsidR="00F652CA" w:rsidRPr="001F2CF9">
              <w:rPr>
                <w:rFonts w:cs="Arial"/>
                <w:sz w:val="20"/>
                <w:szCs w:val="20"/>
              </w:rPr>
              <w:t xml:space="preserve"> </w:t>
            </w:r>
          </w:p>
          <w:p w14:paraId="2ED3A530" w14:textId="77777777" w:rsidR="00564BC9" w:rsidRPr="0072610E" w:rsidRDefault="00F44DB8">
            <w:pPr>
              <w:pStyle w:val="ListParagraph"/>
              <w:numPr>
                <w:ilvl w:val="0"/>
                <w:numId w:val="52"/>
              </w:numPr>
              <w:spacing w:before="60" w:after="60" w:line="276" w:lineRule="auto"/>
              <w:contextualSpacing/>
              <w:rPr>
                <w:sz w:val="20"/>
                <w:szCs w:val="20"/>
              </w:rPr>
            </w:pPr>
            <w:proofErr w:type="gramStart"/>
            <w:r w:rsidRPr="001F2CF9">
              <w:rPr>
                <w:rFonts w:cs="Arial"/>
                <w:sz w:val="20"/>
                <w:szCs w:val="20"/>
              </w:rPr>
              <w:t>prohibition</w:t>
            </w:r>
            <w:proofErr w:type="gramEnd"/>
            <w:r w:rsidRPr="001F2CF9">
              <w:rPr>
                <w:rFonts w:cs="Arial"/>
                <w:sz w:val="20"/>
                <w:szCs w:val="20"/>
              </w:rPr>
              <w:t xml:space="preserve"> on </w:t>
            </w:r>
            <w:r w:rsidR="00E038B2" w:rsidRPr="001F2CF9">
              <w:rPr>
                <w:rFonts w:cs="Arial"/>
                <w:sz w:val="20"/>
                <w:szCs w:val="20"/>
              </w:rPr>
              <w:t>the take of egg-bearing females</w:t>
            </w:r>
            <w:r w:rsidR="008D4674" w:rsidRPr="001F2CF9">
              <w:rPr>
                <w:rFonts w:cs="Arial"/>
                <w:sz w:val="20"/>
                <w:szCs w:val="20"/>
              </w:rPr>
              <w:t>.</w:t>
            </w:r>
          </w:p>
          <w:p w14:paraId="0FD82E69" w14:textId="0874FB88" w:rsidR="00564BC9" w:rsidRPr="0072610E" w:rsidRDefault="00564BC9" w:rsidP="0072610E">
            <w:pPr>
              <w:spacing w:before="60" w:after="60" w:line="276" w:lineRule="auto"/>
              <w:contextualSpacing/>
              <w:rPr>
                <w:sz w:val="20"/>
                <w:szCs w:val="20"/>
              </w:rPr>
            </w:pPr>
          </w:p>
        </w:tc>
      </w:tr>
      <w:tr w:rsidR="00885298" w:rsidRPr="001F2CF9" w14:paraId="1E480671" w14:textId="77777777" w:rsidTr="00117313">
        <w:trPr>
          <w:cantSplit/>
        </w:trPr>
        <w:tc>
          <w:tcPr>
            <w:tcW w:w="1500" w:type="pct"/>
            <w:shd w:val="clear" w:color="auto" w:fill="auto"/>
          </w:tcPr>
          <w:p w14:paraId="22F41D85" w14:textId="65948478" w:rsidR="00885298" w:rsidRPr="001F2CF9" w:rsidRDefault="00885298" w:rsidP="00F32842">
            <w:pPr>
              <w:spacing w:before="60" w:after="60" w:line="276" w:lineRule="auto"/>
              <w:contextualSpacing/>
              <w:rPr>
                <w:rFonts w:cs="Arial"/>
                <w:sz w:val="20"/>
                <w:szCs w:val="20"/>
              </w:rPr>
            </w:pPr>
            <w:r w:rsidRPr="00F32842">
              <w:rPr>
                <w:rFonts w:cs="Arial"/>
                <w:sz w:val="20"/>
                <w:szCs w:val="20"/>
              </w:rPr>
              <w:t xml:space="preserve">Contain the means of </w:t>
            </w:r>
            <w:r w:rsidRPr="001F2CF9">
              <w:rPr>
                <w:rFonts w:cs="Arial"/>
                <w:sz w:val="20"/>
                <w:szCs w:val="20"/>
              </w:rPr>
              <w:t>enforcing critical aspects of the management arrangements</w:t>
            </w:r>
            <w:r w:rsidR="006B6EF9" w:rsidRPr="001F2CF9">
              <w:rPr>
                <w:rFonts w:cs="Arial"/>
                <w:sz w:val="20"/>
                <w:szCs w:val="20"/>
              </w:rPr>
              <w:t>.</w:t>
            </w:r>
          </w:p>
          <w:p w14:paraId="086604CB" w14:textId="2B986CD8"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108F492E" w14:textId="5891C812" w:rsidR="00AB6AD7" w:rsidRPr="001F2CF9" w:rsidRDefault="00AB6AD7">
            <w:pPr>
              <w:spacing w:before="60" w:after="60" w:line="276" w:lineRule="auto"/>
              <w:contextualSpacing/>
              <w:rPr>
                <w:rFonts w:cs="Arial"/>
                <w:b/>
                <w:sz w:val="20"/>
                <w:szCs w:val="20"/>
              </w:rPr>
            </w:pPr>
            <w:r w:rsidRPr="001F2CF9">
              <w:rPr>
                <w:rFonts w:cs="Arial"/>
                <w:b/>
                <w:sz w:val="20"/>
                <w:szCs w:val="20"/>
              </w:rPr>
              <w:t>Meets</w:t>
            </w:r>
            <w:r w:rsidR="001D7DA8" w:rsidRPr="001F2CF9">
              <w:rPr>
                <w:rFonts w:cs="Arial"/>
                <w:b/>
                <w:sz w:val="20"/>
                <w:szCs w:val="20"/>
              </w:rPr>
              <w:t xml:space="preserve"> – </w:t>
            </w:r>
            <w:r w:rsidR="004E7A5A">
              <w:rPr>
                <w:rFonts w:cs="Arial"/>
                <w:b/>
                <w:sz w:val="20"/>
                <w:szCs w:val="20"/>
              </w:rPr>
              <w:tab/>
            </w:r>
            <w:r w:rsidR="001D7DA8" w:rsidRPr="001F2CF9">
              <w:rPr>
                <w:rFonts w:cs="Arial"/>
                <w:b/>
                <w:sz w:val="20"/>
                <w:szCs w:val="20"/>
              </w:rPr>
              <w:t>Effective enforcement capability</w:t>
            </w:r>
            <w:r w:rsidR="00C91086" w:rsidRPr="001F2CF9">
              <w:rPr>
                <w:rFonts w:cs="Arial"/>
                <w:b/>
                <w:sz w:val="20"/>
                <w:szCs w:val="20"/>
              </w:rPr>
              <w:t xml:space="preserve"> forms part of the management regime</w:t>
            </w:r>
            <w:r w:rsidR="00163B9F" w:rsidRPr="001F2CF9">
              <w:rPr>
                <w:rFonts w:cs="Arial"/>
                <w:b/>
                <w:sz w:val="20"/>
                <w:szCs w:val="20"/>
              </w:rPr>
              <w:t>.</w:t>
            </w:r>
          </w:p>
          <w:p w14:paraId="27987F9D" w14:textId="77777777" w:rsidR="007153C9" w:rsidRDefault="007153C9">
            <w:pPr>
              <w:spacing w:before="60" w:after="60" w:line="276" w:lineRule="auto"/>
              <w:contextualSpacing/>
              <w:rPr>
                <w:rFonts w:cs="Arial"/>
                <w:sz w:val="20"/>
                <w:szCs w:val="20"/>
              </w:rPr>
            </w:pPr>
          </w:p>
          <w:p w14:paraId="0235CE1D" w14:textId="77777777" w:rsidR="00885298" w:rsidRDefault="00AD6EB2">
            <w:pPr>
              <w:spacing w:before="60" w:after="60" w:line="276" w:lineRule="auto"/>
              <w:contextualSpacing/>
              <w:rPr>
                <w:rFonts w:cs="Arial"/>
                <w:sz w:val="20"/>
                <w:szCs w:val="20"/>
              </w:rPr>
            </w:pPr>
            <w:r w:rsidRPr="001F2CF9">
              <w:rPr>
                <w:rFonts w:cs="Arial"/>
                <w:sz w:val="20"/>
                <w:szCs w:val="20"/>
              </w:rPr>
              <w:t xml:space="preserve">The </w:t>
            </w:r>
            <w:r w:rsidRPr="001F2CF9">
              <w:rPr>
                <w:rFonts w:cs="Arial"/>
                <w:i/>
                <w:sz w:val="20"/>
                <w:szCs w:val="20"/>
              </w:rPr>
              <w:t xml:space="preserve">Fisheries (Giant Crab) Rules 2013 </w:t>
            </w:r>
            <w:r w:rsidR="00ED406E" w:rsidRPr="001F2CF9">
              <w:rPr>
                <w:rFonts w:cs="Arial"/>
                <w:sz w:val="20"/>
                <w:szCs w:val="20"/>
              </w:rPr>
              <w:t>and the</w:t>
            </w:r>
            <w:r w:rsidR="00ED406E" w:rsidRPr="001F2CF9">
              <w:rPr>
                <w:rFonts w:cs="Arial"/>
                <w:i/>
                <w:sz w:val="20"/>
                <w:szCs w:val="20"/>
              </w:rPr>
              <w:t xml:space="preserve"> Living Marine Resources Management Act 1995 </w:t>
            </w:r>
            <w:r w:rsidR="00ED406E" w:rsidRPr="001F2CF9">
              <w:rPr>
                <w:rFonts w:cs="Arial"/>
                <w:sz w:val="20"/>
                <w:szCs w:val="20"/>
              </w:rPr>
              <w:t>are</w:t>
            </w:r>
            <w:r w:rsidRPr="001F2CF9">
              <w:rPr>
                <w:rFonts w:cs="Arial"/>
                <w:sz w:val="20"/>
                <w:szCs w:val="20"/>
              </w:rPr>
              <w:t xml:space="preserve"> enforceable legislative instrument</w:t>
            </w:r>
            <w:r w:rsidR="00ED406E" w:rsidRPr="001F2CF9">
              <w:rPr>
                <w:rFonts w:cs="Arial"/>
                <w:sz w:val="20"/>
                <w:szCs w:val="20"/>
              </w:rPr>
              <w:t>s</w:t>
            </w:r>
            <w:r w:rsidR="00A140EC" w:rsidRPr="001F2CF9">
              <w:rPr>
                <w:rFonts w:cs="Arial"/>
                <w:sz w:val="20"/>
                <w:szCs w:val="20"/>
              </w:rPr>
              <w:t xml:space="preserve"> through which the management regime of the fishery has an effective enforcement capability.</w:t>
            </w:r>
            <w:r w:rsidRPr="001F2CF9">
              <w:rPr>
                <w:rFonts w:cs="Arial"/>
                <w:sz w:val="20"/>
                <w:szCs w:val="20"/>
              </w:rPr>
              <w:t xml:space="preserve"> Infringement notices and penalties are served</w:t>
            </w:r>
            <w:r w:rsidR="0002700E" w:rsidRPr="001F2CF9">
              <w:rPr>
                <w:rFonts w:cs="Arial"/>
                <w:sz w:val="20"/>
                <w:szCs w:val="20"/>
              </w:rPr>
              <w:t xml:space="preserve"> to persons</w:t>
            </w:r>
            <w:r w:rsidR="00EC04B8" w:rsidRPr="001F2CF9">
              <w:rPr>
                <w:rFonts w:cs="Arial"/>
                <w:sz w:val="20"/>
                <w:szCs w:val="20"/>
              </w:rPr>
              <w:t xml:space="preserve"> </w:t>
            </w:r>
            <w:r w:rsidR="003B4C9B" w:rsidRPr="001F2CF9">
              <w:rPr>
                <w:rFonts w:cs="Arial"/>
                <w:sz w:val="20"/>
                <w:szCs w:val="20"/>
              </w:rPr>
              <w:t>who do not comply with the legislation and rules</w:t>
            </w:r>
            <w:r w:rsidR="008D4674" w:rsidRPr="001F2CF9">
              <w:rPr>
                <w:rFonts w:cs="Arial"/>
                <w:sz w:val="20"/>
                <w:szCs w:val="20"/>
              </w:rPr>
              <w:t>.</w:t>
            </w:r>
          </w:p>
          <w:p w14:paraId="44E84912" w14:textId="7EC327E6" w:rsidR="00564BC9" w:rsidRPr="0072610E" w:rsidRDefault="00564BC9">
            <w:pPr>
              <w:spacing w:before="60" w:after="60" w:line="276" w:lineRule="auto"/>
              <w:contextualSpacing/>
              <w:rPr>
                <w:rFonts w:cs="Arial"/>
                <w:sz w:val="20"/>
                <w:szCs w:val="20"/>
              </w:rPr>
            </w:pPr>
          </w:p>
        </w:tc>
      </w:tr>
      <w:tr w:rsidR="00885298" w:rsidRPr="001F2CF9" w14:paraId="050DB205" w14:textId="77777777" w:rsidTr="00117313">
        <w:trPr>
          <w:cantSplit/>
        </w:trPr>
        <w:tc>
          <w:tcPr>
            <w:tcW w:w="1500" w:type="pct"/>
            <w:shd w:val="clear" w:color="auto" w:fill="auto"/>
          </w:tcPr>
          <w:p w14:paraId="0A1D3E47" w14:textId="3381DD59" w:rsidR="00885298" w:rsidRPr="001F2CF9" w:rsidRDefault="00885298" w:rsidP="00F32842">
            <w:pPr>
              <w:spacing w:before="60" w:after="60" w:line="276" w:lineRule="auto"/>
              <w:contextualSpacing/>
              <w:rPr>
                <w:rFonts w:cs="Arial"/>
                <w:sz w:val="20"/>
                <w:szCs w:val="20"/>
              </w:rPr>
            </w:pPr>
            <w:r w:rsidRPr="00F32842">
              <w:rPr>
                <w:rFonts w:cs="Arial"/>
                <w:sz w:val="20"/>
                <w:szCs w:val="20"/>
              </w:rPr>
              <w:lastRenderedPageBreak/>
              <w:t>Provide for the periodic review of the perfo</w:t>
            </w:r>
            <w:r w:rsidRPr="008201A1">
              <w:rPr>
                <w:rFonts w:cs="Arial"/>
                <w:sz w:val="20"/>
                <w:szCs w:val="20"/>
              </w:rPr>
              <w:t>rmance of the fishery management arrangements and the management strategies, objectives and criteria</w:t>
            </w:r>
            <w:r w:rsidR="006B6EF9" w:rsidRPr="001F2CF9">
              <w:rPr>
                <w:rFonts w:cs="Arial"/>
                <w:sz w:val="20"/>
                <w:szCs w:val="20"/>
              </w:rPr>
              <w:t>.</w:t>
            </w:r>
          </w:p>
          <w:p w14:paraId="4C2BDACB" w14:textId="0F524F03"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47B160A0" w14:textId="685E0D93" w:rsidR="005869AD" w:rsidRPr="001F2CF9" w:rsidRDefault="00F8472A">
            <w:pPr>
              <w:spacing w:before="60" w:after="60" w:line="276" w:lineRule="auto"/>
              <w:contextualSpacing/>
              <w:rPr>
                <w:rFonts w:cs="Arial"/>
                <w:b/>
                <w:sz w:val="20"/>
                <w:szCs w:val="20"/>
              </w:rPr>
            </w:pPr>
            <w:r w:rsidRPr="001F2CF9">
              <w:rPr>
                <w:rFonts w:cs="Arial"/>
                <w:b/>
                <w:sz w:val="20"/>
                <w:szCs w:val="20"/>
              </w:rPr>
              <w:t xml:space="preserve">Meets </w:t>
            </w:r>
            <w:r w:rsidR="005869AD" w:rsidRPr="001F2CF9">
              <w:rPr>
                <w:rFonts w:cs="Arial"/>
                <w:b/>
                <w:sz w:val="20"/>
                <w:szCs w:val="20"/>
              </w:rPr>
              <w:t xml:space="preserve">– </w:t>
            </w:r>
            <w:r w:rsidR="004E7A5A">
              <w:rPr>
                <w:rFonts w:cs="Arial"/>
                <w:b/>
                <w:sz w:val="20"/>
                <w:szCs w:val="20"/>
              </w:rPr>
              <w:tab/>
            </w:r>
            <w:r w:rsidR="005869AD" w:rsidRPr="001F2CF9">
              <w:rPr>
                <w:rFonts w:cs="Arial"/>
                <w:b/>
                <w:sz w:val="20"/>
                <w:szCs w:val="20"/>
              </w:rPr>
              <w:t xml:space="preserve">Regular performance reviews </w:t>
            </w:r>
            <w:r w:rsidR="00C91086" w:rsidRPr="001F2CF9">
              <w:rPr>
                <w:rFonts w:cs="Arial"/>
                <w:b/>
                <w:sz w:val="20"/>
                <w:szCs w:val="20"/>
              </w:rPr>
              <w:t xml:space="preserve">are </w:t>
            </w:r>
            <w:r w:rsidR="005869AD" w:rsidRPr="001F2CF9">
              <w:rPr>
                <w:rFonts w:cs="Arial"/>
                <w:b/>
                <w:sz w:val="20"/>
                <w:szCs w:val="20"/>
              </w:rPr>
              <w:t xml:space="preserve">built into </w:t>
            </w:r>
            <w:r w:rsidR="00C91086" w:rsidRPr="001F2CF9">
              <w:rPr>
                <w:rFonts w:cs="Arial"/>
                <w:b/>
                <w:sz w:val="20"/>
                <w:szCs w:val="20"/>
              </w:rPr>
              <w:t xml:space="preserve">the </w:t>
            </w:r>
            <w:r w:rsidR="005869AD" w:rsidRPr="001F2CF9">
              <w:rPr>
                <w:rFonts w:cs="Arial"/>
                <w:b/>
                <w:sz w:val="20"/>
                <w:szCs w:val="20"/>
              </w:rPr>
              <w:t>management</w:t>
            </w:r>
            <w:r w:rsidR="00C91086" w:rsidRPr="001F2CF9">
              <w:rPr>
                <w:rFonts w:cs="Arial"/>
                <w:b/>
                <w:sz w:val="20"/>
                <w:szCs w:val="20"/>
              </w:rPr>
              <w:t xml:space="preserve"> regime for the fishery</w:t>
            </w:r>
            <w:r w:rsidR="00163B9F" w:rsidRPr="001F2CF9">
              <w:rPr>
                <w:rFonts w:cs="Arial"/>
                <w:b/>
                <w:sz w:val="20"/>
                <w:szCs w:val="20"/>
              </w:rPr>
              <w:t>.</w:t>
            </w:r>
          </w:p>
          <w:p w14:paraId="7D0217D0" w14:textId="77777777" w:rsidR="007153C9" w:rsidRDefault="007153C9">
            <w:pPr>
              <w:spacing w:before="60" w:after="60" w:line="276" w:lineRule="auto"/>
              <w:contextualSpacing/>
              <w:rPr>
                <w:rFonts w:cs="Arial"/>
                <w:sz w:val="20"/>
                <w:szCs w:val="20"/>
              </w:rPr>
            </w:pPr>
          </w:p>
          <w:p w14:paraId="20D76566" w14:textId="247CAB75" w:rsidR="00EE73C9" w:rsidRPr="001F2CF9" w:rsidRDefault="00635FB9">
            <w:pPr>
              <w:spacing w:before="60" w:after="60" w:line="276" w:lineRule="auto"/>
              <w:contextualSpacing/>
              <w:rPr>
                <w:rFonts w:cs="Arial"/>
                <w:sz w:val="20"/>
                <w:szCs w:val="20"/>
              </w:rPr>
            </w:pPr>
            <w:r w:rsidRPr="001F2CF9">
              <w:rPr>
                <w:rFonts w:cs="Arial"/>
                <w:sz w:val="20"/>
                <w:szCs w:val="20"/>
              </w:rPr>
              <w:t xml:space="preserve">A regular review process of the management arrangements is in place in the fishery. </w:t>
            </w:r>
          </w:p>
          <w:p w14:paraId="7EC59ADF" w14:textId="77777777" w:rsidR="00751899" w:rsidRPr="001F2CF9" w:rsidRDefault="00751899">
            <w:pPr>
              <w:spacing w:before="60" w:after="60" w:line="276" w:lineRule="auto"/>
              <w:contextualSpacing/>
              <w:rPr>
                <w:rFonts w:cs="Arial"/>
                <w:sz w:val="20"/>
                <w:szCs w:val="20"/>
              </w:rPr>
            </w:pPr>
          </w:p>
          <w:p w14:paraId="7400829C" w14:textId="15C5252F" w:rsidR="00EE73C9" w:rsidRPr="001F2CF9" w:rsidRDefault="00635FB9">
            <w:pPr>
              <w:spacing w:before="60" w:after="60" w:line="276" w:lineRule="auto"/>
              <w:contextualSpacing/>
              <w:rPr>
                <w:rFonts w:cs="Arial"/>
                <w:sz w:val="20"/>
                <w:szCs w:val="20"/>
              </w:rPr>
            </w:pPr>
            <w:r w:rsidRPr="001F2CF9">
              <w:rPr>
                <w:rFonts w:cs="Arial"/>
                <w:b/>
                <w:sz w:val="20"/>
                <w:szCs w:val="20"/>
              </w:rPr>
              <w:t>Management plan</w:t>
            </w:r>
            <w:r w:rsidRPr="001F2CF9">
              <w:rPr>
                <w:rFonts w:cs="Arial"/>
                <w:sz w:val="20"/>
                <w:szCs w:val="20"/>
              </w:rPr>
              <w:t xml:space="preserve"> – </w:t>
            </w:r>
            <w:r w:rsidR="009D09D1" w:rsidRPr="001F2CF9">
              <w:rPr>
                <w:rFonts w:cs="Arial"/>
                <w:sz w:val="20"/>
                <w:szCs w:val="20"/>
              </w:rPr>
              <w:t>The</w:t>
            </w:r>
            <w:r w:rsidR="008D402D" w:rsidRPr="001F2CF9">
              <w:rPr>
                <w:rFonts w:cs="Arial"/>
                <w:sz w:val="20"/>
                <w:szCs w:val="20"/>
              </w:rPr>
              <w:t xml:space="preserve"> management plan</w:t>
            </w:r>
            <w:r w:rsidR="009D09D1" w:rsidRPr="001F2CF9">
              <w:rPr>
                <w:rFonts w:cs="Arial"/>
                <w:sz w:val="20"/>
                <w:szCs w:val="20"/>
              </w:rPr>
              <w:t xml:space="preserve"> of the TGCF is reviewed every 10 years</w:t>
            </w:r>
            <w:r w:rsidRPr="001F2CF9">
              <w:rPr>
                <w:rFonts w:cs="Arial"/>
                <w:sz w:val="20"/>
                <w:szCs w:val="20"/>
              </w:rPr>
              <w:t>. The plan will be reviewed and remade before the 10 year period expires on 28 February 2023.</w:t>
            </w:r>
            <w:r w:rsidRPr="001F2CF9">
              <w:rPr>
                <w:rFonts w:cs="Arial"/>
                <w:i/>
                <w:sz w:val="20"/>
                <w:szCs w:val="20"/>
              </w:rPr>
              <w:t xml:space="preserve"> </w:t>
            </w:r>
            <w:r w:rsidRPr="001F2CF9">
              <w:rPr>
                <w:rFonts w:cs="Arial"/>
                <w:sz w:val="20"/>
                <w:szCs w:val="20"/>
              </w:rPr>
              <w:t>If the existing management plan is amended 30 day public consultation period applies.</w:t>
            </w:r>
            <w:r w:rsidR="00C91086" w:rsidRPr="001F2CF9">
              <w:rPr>
                <w:rFonts w:cs="Arial"/>
                <w:sz w:val="20"/>
                <w:szCs w:val="20"/>
              </w:rPr>
              <w:t xml:space="preserve"> Should a new plan be introduced</w:t>
            </w:r>
            <w:r w:rsidR="009D09D1" w:rsidRPr="001F2CF9">
              <w:rPr>
                <w:rFonts w:cs="Arial"/>
                <w:sz w:val="20"/>
                <w:szCs w:val="20"/>
              </w:rPr>
              <w:t xml:space="preserve"> </w:t>
            </w:r>
            <w:r w:rsidRPr="001F2CF9">
              <w:rPr>
                <w:rFonts w:cs="Arial"/>
                <w:sz w:val="20"/>
                <w:szCs w:val="20"/>
              </w:rPr>
              <w:t xml:space="preserve">it would be subject to </w:t>
            </w:r>
            <w:r w:rsidR="009D09D1" w:rsidRPr="001F2CF9">
              <w:rPr>
                <w:rFonts w:cs="Arial"/>
                <w:sz w:val="20"/>
                <w:szCs w:val="20"/>
              </w:rPr>
              <w:t>a 60 day period of public consultation</w:t>
            </w:r>
            <w:r w:rsidRPr="001F2CF9">
              <w:rPr>
                <w:rFonts w:cs="Arial"/>
                <w:sz w:val="20"/>
                <w:szCs w:val="20"/>
              </w:rPr>
              <w:t>.</w:t>
            </w:r>
            <w:r w:rsidR="00B256A3" w:rsidRPr="001F2CF9">
              <w:rPr>
                <w:rFonts w:cs="Arial"/>
                <w:sz w:val="20"/>
                <w:szCs w:val="20"/>
              </w:rPr>
              <w:t xml:space="preserve"> </w:t>
            </w:r>
          </w:p>
          <w:p w14:paraId="156844BE" w14:textId="77777777" w:rsidR="00635FB9" w:rsidRPr="001F2CF9" w:rsidRDefault="00635FB9">
            <w:pPr>
              <w:spacing w:before="60" w:after="60" w:line="276" w:lineRule="auto"/>
              <w:contextualSpacing/>
              <w:rPr>
                <w:rFonts w:cs="Arial"/>
                <w:sz w:val="20"/>
                <w:szCs w:val="20"/>
              </w:rPr>
            </w:pPr>
          </w:p>
          <w:p w14:paraId="3446136C" w14:textId="1DB36825" w:rsidR="00EE73C9" w:rsidRPr="001F2CF9" w:rsidRDefault="00635FB9">
            <w:pPr>
              <w:spacing w:before="60" w:after="60" w:line="276" w:lineRule="auto"/>
              <w:contextualSpacing/>
              <w:rPr>
                <w:rFonts w:cs="Arial"/>
                <w:sz w:val="20"/>
                <w:szCs w:val="20"/>
              </w:rPr>
            </w:pPr>
            <w:r w:rsidRPr="001F2CF9">
              <w:rPr>
                <w:rFonts w:cs="Arial"/>
                <w:b/>
                <w:sz w:val="20"/>
                <w:szCs w:val="20"/>
              </w:rPr>
              <w:t>Performance indicators</w:t>
            </w:r>
            <w:r w:rsidRPr="001F2CF9">
              <w:rPr>
                <w:rFonts w:cs="Arial"/>
                <w:sz w:val="20"/>
                <w:szCs w:val="20"/>
              </w:rPr>
              <w:t xml:space="preserve"> – Each year, prior to the commencement of each fishing season, p</w:t>
            </w:r>
            <w:r w:rsidR="00282A97" w:rsidRPr="001F2CF9">
              <w:rPr>
                <w:rFonts w:cs="Arial"/>
                <w:sz w:val="20"/>
                <w:szCs w:val="20"/>
              </w:rPr>
              <w:t xml:space="preserve">erformance indicators are reviewed to assess they fall within the acceptable reference ranges of giant crab stock and fishery variations. </w:t>
            </w:r>
          </w:p>
          <w:p w14:paraId="62EEEB05" w14:textId="77777777" w:rsidR="00635FB9" w:rsidRPr="001F2CF9" w:rsidRDefault="00635FB9">
            <w:pPr>
              <w:spacing w:before="60" w:after="60" w:line="276" w:lineRule="auto"/>
              <w:contextualSpacing/>
              <w:rPr>
                <w:rFonts w:cs="Arial"/>
                <w:sz w:val="20"/>
                <w:szCs w:val="20"/>
              </w:rPr>
            </w:pPr>
          </w:p>
          <w:p w14:paraId="6530CCE1" w14:textId="77777777" w:rsidR="00A52653" w:rsidRDefault="00635FB9">
            <w:pPr>
              <w:spacing w:before="60" w:after="60" w:line="276" w:lineRule="auto"/>
              <w:contextualSpacing/>
              <w:rPr>
                <w:rFonts w:cs="Arial"/>
                <w:sz w:val="20"/>
                <w:szCs w:val="20"/>
              </w:rPr>
            </w:pPr>
            <w:r w:rsidRPr="001F2CF9">
              <w:rPr>
                <w:rFonts w:cs="Arial"/>
                <w:b/>
                <w:sz w:val="20"/>
                <w:szCs w:val="20"/>
              </w:rPr>
              <w:t>Review of total allowable catch</w:t>
            </w:r>
            <w:r w:rsidRPr="001F2CF9">
              <w:rPr>
                <w:rFonts w:cs="Arial"/>
                <w:sz w:val="20"/>
                <w:szCs w:val="20"/>
              </w:rPr>
              <w:t xml:space="preserve"> – </w:t>
            </w:r>
            <w:r w:rsidR="00282A97" w:rsidRPr="001F2CF9">
              <w:rPr>
                <w:rFonts w:cs="Arial"/>
                <w:sz w:val="20"/>
                <w:szCs w:val="20"/>
              </w:rPr>
              <w:t xml:space="preserve">When a limit reference point has been exceeded, management actions are triggered, and total allowable catch in the fishery is reduced. </w:t>
            </w:r>
            <w:r w:rsidR="009C1C9D" w:rsidRPr="001F2CF9">
              <w:rPr>
                <w:rFonts w:cs="Arial"/>
                <w:sz w:val="20"/>
                <w:szCs w:val="20"/>
              </w:rPr>
              <w:t>DPIPWE has been adjusting the annual total allowable catch</w:t>
            </w:r>
            <w:r w:rsidR="002A32E4" w:rsidRPr="001F2CF9">
              <w:rPr>
                <w:rFonts w:cs="Arial"/>
                <w:sz w:val="20"/>
                <w:szCs w:val="20"/>
              </w:rPr>
              <w:t xml:space="preserve"> (TAC)</w:t>
            </w:r>
            <w:r w:rsidR="009C1C9D" w:rsidRPr="001F2CF9">
              <w:rPr>
                <w:rFonts w:cs="Arial"/>
                <w:sz w:val="20"/>
                <w:szCs w:val="20"/>
              </w:rPr>
              <w:t xml:space="preserve"> </w:t>
            </w:r>
            <w:r w:rsidR="002A32E4" w:rsidRPr="001F2CF9">
              <w:rPr>
                <w:rFonts w:cs="Arial"/>
                <w:sz w:val="20"/>
                <w:szCs w:val="20"/>
              </w:rPr>
              <w:t>in the fishery since the 2004 quota year</w:t>
            </w:r>
            <w:r w:rsidR="00ED2862" w:rsidRPr="001F2CF9">
              <w:rPr>
                <w:rFonts w:cs="Arial"/>
                <w:sz w:val="20"/>
                <w:szCs w:val="20"/>
              </w:rPr>
              <w:t xml:space="preserve"> </w:t>
            </w:r>
            <w:r w:rsidR="002A32E4" w:rsidRPr="001F2CF9">
              <w:rPr>
                <w:rFonts w:cs="Arial"/>
                <w:sz w:val="20"/>
                <w:szCs w:val="20"/>
              </w:rPr>
              <w:t>to reflect declining catch rates</w:t>
            </w:r>
            <w:r w:rsidR="00ED2862" w:rsidRPr="001F2CF9">
              <w:rPr>
                <w:rFonts w:cs="Arial"/>
                <w:sz w:val="20"/>
                <w:szCs w:val="20"/>
              </w:rPr>
              <w:t xml:space="preserve"> and to increase target stock biomass.</w:t>
            </w:r>
            <w:r w:rsidR="002A32E4" w:rsidRPr="001F2CF9">
              <w:rPr>
                <w:rFonts w:cs="Arial"/>
                <w:sz w:val="20"/>
                <w:szCs w:val="20"/>
              </w:rPr>
              <w:t xml:space="preserve"> The latest </w:t>
            </w:r>
            <w:r w:rsidR="00104EF9" w:rsidRPr="001F2CF9">
              <w:rPr>
                <w:rFonts w:cs="Arial"/>
                <w:sz w:val="20"/>
                <w:szCs w:val="20"/>
              </w:rPr>
              <w:t xml:space="preserve">reduction in </w:t>
            </w:r>
            <w:r w:rsidR="002A32E4" w:rsidRPr="001F2CF9">
              <w:rPr>
                <w:rFonts w:cs="Arial"/>
                <w:sz w:val="20"/>
                <w:szCs w:val="20"/>
              </w:rPr>
              <w:t xml:space="preserve">TAC </w:t>
            </w:r>
            <w:r w:rsidR="00104EF9" w:rsidRPr="001F2CF9">
              <w:rPr>
                <w:rFonts w:cs="Arial"/>
                <w:sz w:val="20"/>
                <w:szCs w:val="20"/>
              </w:rPr>
              <w:t xml:space="preserve">was implemented in 2017 and </w:t>
            </w:r>
            <w:r w:rsidRPr="001F2CF9">
              <w:rPr>
                <w:rFonts w:cs="Arial"/>
                <w:sz w:val="20"/>
                <w:szCs w:val="20"/>
              </w:rPr>
              <w:t xml:space="preserve">currently </w:t>
            </w:r>
            <w:r w:rsidR="00104EF9" w:rsidRPr="001F2CF9">
              <w:rPr>
                <w:rFonts w:cs="Arial"/>
                <w:sz w:val="20"/>
                <w:szCs w:val="20"/>
              </w:rPr>
              <w:t xml:space="preserve">remains </w:t>
            </w:r>
            <w:r w:rsidR="00282A97" w:rsidRPr="001F2CF9">
              <w:rPr>
                <w:rFonts w:cs="Arial"/>
                <w:sz w:val="20"/>
                <w:szCs w:val="20"/>
              </w:rPr>
              <w:t>at 20.7 tonnes.</w:t>
            </w:r>
          </w:p>
          <w:p w14:paraId="38969CE4" w14:textId="2479C09B" w:rsidR="00564BC9" w:rsidRPr="00F32842" w:rsidRDefault="00564BC9">
            <w:pPr>
              <w:spacing w:before="60" w:after="60" w:line="276" w:lineRule="auto"/>
              <w:contextualSpacing/>
              <w:rPr>
                <w:rFonts w:cs="Arial"/>
                <w:sz w:val="20"/>
                <w:szCs w:val="20"/>
              </w:rPr>
            </w:pPr>
          </w:p>
        </w:tc>
      </w:tr>
      <w:tr w:rsidR="00885298" w:rsidRPr="001F2CF9" w14:paraId="7F16FB15" w14:textId="77777777" w:rsidTr="00117313">
        <w:trPr>
          <w:cantSplit/>
        </w:trPr>
        <w:tc>
          <w:tcPr>
            <w:tcW w:w="1500" w:type="pct"/>
            <w:shd w:val="clear" w:color="auto" w:fill="auto"/>
          </w:tcPr>
          <w:p w14:paraId="1EEADDCC" w14:textId="1C6253EB" w:rsidR="00885298" w:rsidRPr="001F2CF9" w:rsidRDefault="00885298" w:rsidP="00F32842">
            <w:pPr>
              <w:spacing w:before="60" w:after="60" w:line="276" w:lineRule="auto"/>
              <w:contextualSpacing/>
              <w:rPr>
                <w:rFonts w:cs="Arial"/>
                <w:sz w:val="20"/>
                <w:szCs w:val="20"/>
              </w:rPr>
            </w:pPr>
            <w:r w:rsidRPr="00F32842">
              <w:rPr>
                <w:rFonts w:cs="Arial"/>
                <w:sz w:val="20"/>
                <w:szCs w:val="20"/>
              </w:rPr>
              <w:t>Be capable of assessing, monitoring and avoiding, remedying or mitigating any adverse impacts on the wider marine ecosystem in which the target species lives and the fishery operates</w:t>
            </w:r>
            <w:r w:rsidR="006B6EF9" w:rsidRPr="008201A1">
              <w:rPr>
                <w:rFonts w:cs="Arial"/>
                <w:sz w:val="20"/>
                <w:szCs w:val="20"/>
              </w:rPr>
              <w:t>.</w:t>
            </w:r>
          </w:p>
          <w:p w14:paraId="79731F76" w14:textId="63F0A939"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0BFC9566" w14:textId="41AB935F" w:rsidR="005869AD" w:rsidRPr="001F2CF9" w:rsidRDefault="00F8472A">
            <w:pPr>
              <w:spacing w:before="60" w:after="60" w:line="276" w:lineRule="auto"/>
              <w:ind w:left="794" w:hanging="794"/>
              <w:contextualSpacing/>
              <w:rPr>
                <w:rFonts w:cs="Arial"/>
                <w:b/>
                <w:sz w:val="20"/>
                <w:szCs w:val="20"/>
              </w:rPr>
            </w:pPr>
            <w:r w:rsidRPr="001F2CF9">
              <w:rPr>
                <w:rFonts w:cs="Arial"/>
                <w:b/>
                <w:sz w:val="20"/>
                <w:szCs w:val="20"/>
              </w:rPr>
              <w:t xml:space="preserve">Meets </w:t>
            </w:r>
            <w:r w:rsidR="005869AD" w:rsidRPr="001F2CF9">
              <w:rPr>
                <w:rFonts w:cs="Arial"/>
                <w:b/>
                <w:sz w:val="20"/>
                <w:szCs w:val="20"/>
              </w:rPr>
              <w:t xml:space="preserve">– </w:t>
            </w:r>
            <w:r w:rsidR="004E7A5A">
              <w:rPr>
                <w:rFonts w:cs="Arial"/>
                <w:b/>
                <w:sz w:val="20"/>
                <w:szCs w:val="20"/>
              </w:rPr>
              <w:tab/>
            </w:r>
            <w:r w:rsidR="004E7A5A">
              <w:rPr>
                <w:rFonts w:cs="Arial"/>
                <w:b/>
                <w:sz w:val="20"/>
                <w:szCs w:val="20"/>
              </w:rPr>
              <w:tab/>
            </w:r>
            <w:r w:rsidR="00F92BDE" w:rsidRPr="001F2CF9">
              <w:rPr>
                <w:rFonts w:cs="Arial"/>
                <w:b/>
                <w:sz w:val="20"/>
                <w:szCs w:val="20"/>
              </w:rPr>
              <w:t>The arrangements in place are considered c</w:t>
            </w:r>
            <w:r w:rsidR="005869AD" w:rsidRPr="001F2CF9">
              <w:rPr>
                <w:rFonts w:cs="Arial"/>
                <w:b/>
                <w:sz w:val="20"/>
                <w:szCs w:val="20"/>
              </w:rPr>
              <w:t xml:space="preserve">apable of effective management of impacts on </w:t>
            </w:r>
            <w:r w:rsidR="004E7A5A">
              <w:rPr>
                <w:rFonts w:cs="Arial"/>
                <w:b/>
                <w:sz w:val="20"/>
                <w:szCs w:val="20"/>
              </w:rPr>
              <w:tab/>
            </w:r>
            <w:r w:rsidR="00F92BDE" w:rsidRPr="001F2CF9">
              <w:rPr>
                <w:rFonts w:cs="Arial"/>
                <w:b/>
                <w:sz w:val="20"/>
                <w:szCs w:val="20"/>
              </w:rPr>
              <w:t>the</w:t>
            </w:r>
            <w:r w:rsidR="00163B9F" w:rsidRPr="001F2CF9">
              <w:rPr>
                <w:rFonts w:cs="Arial"/>
                <w:b/>
                <w:sz w:val="20"/>
                <w:szCs w:val="20"/>
              </w:rPr>
              <w:t xml:space="preserve"> </w:t>
            </w:r>
            <w:r w:rsidR="005869AD" w:rsidRPr="001F2CF9">
              <w:rPr>
                <w:rFonts w:cs="Arial"/>
                <w:b/>
                <w:sz w:val="20"/>
                <w:szCs w:val="20"/>
              </w:rPr>
              <w:t>wider marine ecosystem</w:t>
            </w:r>
            <w:r w:rsidR="00163B9F" w:rsidRPr="001F2CF9">
              <w:rPr>
                <w:rFonts w:cs="Arial"/>
                <w:b/>
                <w:sz w:val="20"/>
                <w:szCs w:val="20"/>
              </w:rPr>
              <w:t>.</w:t>
            </w:r>
          </w:p>
          <w:p w14:paraId="4305684A" w14:textId="77777777" w:rsidR="007153C9" w:rsidRDefault="007153C9">
            <w:pPr>
              <w:pStyle w:val="BodyText1"/>
              <w:spacing w:before="60" w:after="60" w:line="276" w:lineRule="auto"/>
              <w:contextualSpacing/>
              <w:rPr>
                <w:rFonts w:cs="Arial"/>
                <w:sz w:val="20"/>
              </w:rPr>
            </w:pPr>
          </w:p>
          <w:p w14:paraId="6CD6467B" w14:textId="14C04E09" w:rsidR="002517E3" w:rsidRPr="001F2CF9" w:rsidRDefault="00BA4918">
            <w:pPr>
              <w:pStyle w:val="BodyText1"/>
              <w:spacing w:before="60" w:after="60" w:line="276" w:lineRule="auto"/>
              <w:contextualSpacing/>
              <w:rPr>
                <w:rFonts w:cs="Arial"/>
                <w:sz w:val="20"/>
              </w:rPr>
            </w:pPr>
            <w:r w:rsidRPr="001F2CF9">
              <w:rPr>
                <w:rFonts w:cs="Arial"/>
                <w:sz w:val="20"/>
              </w:rPr>
              <w:t>The ecological footprint of the</w:t>
            </w:r>
            <w:r w:rsidR="00A413BC" w:rsidRPr="001F2CF9">
              <w:rPr>
                <w:rFonts w:cs="Arial"/>
                <w:sz w:val="20"/>
              </w:rPr>
              <w:t xml:space="preserve"> </w:t>
            </w:r>
            <w:r w:rsidRPr="001F2CF9">
              <w:rPr>
                <w:rFonts w:cs="Arial"/>
                <w:sz w:val="20"/>
              </w:rPr>
              <w:t xml:space="preserve">operation of the fishery and its </w:t>
            </w:r>
            <w:r w:rsidR="0058373E" w:rsidRPr="001F2CF9">
              <w:rPr>
                <w:rFonts w:cs="Arial"/>
                <w:sz w:val="20"/>
              </w:rPr>
              <w:t>i</w:t>
            </w:r>
            <w:r w:rsidR="00CF000E" w:rsidRPr="001F2CF9">
              <w:rPr>
                <w:rFonts w:cs="Arial"/>
                <w:sz w:val="20"/>
              </w:rPr>
              <w:t xml:space="preserve">mpact on </w:t>
            </w:r>
            <w:r w:rsidR="00B81921" w:rsidRPr="001F2CF9">
              <w:rPr>
                <w:rFonts w:cs="Arial"/>
                <w:sz w:val="20"/>
              </w:rPr>
              <w:t xml:space="preserve">the wider marine </w:t>
            </w:r>
            <w:r w:rsidR="00CF000E" w:rsidRPr="001F2CF9">
              <w:rPr>
                <w:rFonts w:cs="Arial"/>
                <w:sz w:val="20"/>
              </w:rPr>
              <w:t xml:space="preserve">ecosystem </w:t>
            </w:r>
            <w:r w:rsidR="00B81921" w:rsidRPr="001F2CF9">
              <w:rPr>
                <w:rFonts w:cs="Arial"/>
                <w:sz w:val="20"/>
              </w:rPr>
              <w:t xml:space="preserve">is </w:t>
            </w:r>
            <w:r w:rsidR="00CF000E" w:rsidRPr="001F2CF9">
              <w:rPr>
                <w:rFonts w:cs="Arial"/>
                <w:sz w:val="20"/>
              </w:rPr>
              <w:t>limited</w:t>
            </w:r>
            <w:r w:rsidR="00B81921" w:rsidRPr="001F2CF9">
              <w:rPr>
                <w:rFonts w:cs="Arial"/>
                <w:sz w:val="20"/>
              </w:rPr>
              <w:t xml:space="preserve"> and considered low</w:t>
            </w:r>
            <w:r w:rsidR="00CF000E" w:rsidRPr="001F2CF9">
              <w:rPr>
                <w:rFonts w:cs="Arial"/>
                <w:sz w:val="20"/>
              </w:rPr>
              <w:t xml:space="preserve"> due to</w:t>
            </w:r>
            <w:r w:rsidR="008918E8" w:rsidRPr="001F2CF9">
              <w:rPr>
                <w:rFonts w:cs="Arial"/>
                <w:sz w:val="20"/>
              </w:rPr>
              <w:t>:</w:t>
            </w:r>
          </w:p>
          <w:p w14:paraId="51F360C8" w14:textId="77777777" w:rsidR="002517E3" w:rsidRPr="0072610E" w:rsidRDefault="00CF000E">
            <w:pPr>
              <w:pStyle w:val="ListParagraph"/>
              <w:spacing w:before="60" w:after="60" w:line="276" w:lineRule="auto"/>
              <w:contextualSpacing/>
              <w:rPr>
                <w:sz w:val="20"/>
                <w:szCs w:val="20"/>
              </w:rPr>
            </w:pPr>
            <w:r w:rsidRPr="001F2CF9">
              <w:rPr>
                <w:sz w:val="20"/>
                <w:szCs w:val="20"/>
              </w:rPr>
              <w:t xml:space="preserve">the fishing method </w:t>
            </w:r>
            <w:r w:rsidR="0015385B" w:rsidRPr="001F2CF9">
              <w:rPr>
                <w:sz w:val="20"/>
                <w:szCs w:val="20"/>
              </w:rPr>
              <w:t>used (</w:t>
            </w:r>
            <w:r w:rsidR="002517E3" w:rsidRPr="001F2CF9">
              <w:rPr>
                <w:sz w:val="20"/>
                <w:szCs w:val="20"/>
              </w:rPr>
              <w:t xml:space="preserve">crab </w:t>
            </w:r>
            <w:r w:rsidR="0015385B" w:rsidRPr="001F2CF9">
              <w:rPr>
                <w:sz w:val="20"/>
                <w:szCs w:val="20"/>
              </w:rPr>
              <w:t>trap</w:t>
            </w:r>
            <w:r w:rsidR="002517E3" w:rsidRPr="001F2CF9">
              <w:rPr>
                <w:sz w:val="20"/>
                <w:szCs w:val="20"/>
              </w:rPr>
              <w:t xml:space="preserve"> gear is</w:t>
            </w:r>
            <w:r w:rsidR="008918E8" w:rsidRPr="001F2CF9">
              <w:rPr>
                <w:sz w:val="20"/>
                <w:szCs w:val="20"/>
              </w:rPr>
              <w:t xml:space="preserve"> not dragged</w:t>
            </w:r>
            <w:r w:rsidR="0015385B" w:rsidRPr="001F2CF9">
              <w:rPr>
                <w:sz w:val="20"/>
                <w:szCs w:val="20"/>
              </w:rPr>
              <w:t>)</w:t>
            </w:r>
            <w:r w:rsidR="002517E3" w:rsidRPr="001F2CF9">
              <w:rPr>
                <w:sz w:val="20"/>
                <w:szCs w:val="20"/>
              </w:rPr>
              <w:t xml:space="preserve">; </w:t>
            </w:r>
          </w:p>
          <w:p w14:paraId="7D8544A3" w14:textId="317AFDA1" w:rsidR="002517E3" w:rsidRPr="0072610E" w:rsidRDefault="00CF000E">
            <w:pPr>
              <w:pStyle w:val="ListParagraph"/>
              <w:spacing w:before="60" w:after="60" w:line="276" w:lineRule="auto"/>
              <w:contextualSpacing/>
              <w:rPr>
                <w:sz w:val="20"/>
                <w:szCs w:val="20"/>
              </w:rPr>
            </w:pPr>
            <w:r w:rsidRPr="001F2CF9">
              <w:rPr>
                <w:sz w:val="20"/>
                <w:szCs w:val="20"/>
              </w:rPr>
              <w:t>the location where giant crabs are caught</w:t>
            </w:r>
            <w:r w:rsidR="00B81921" w:rsidRPr="001F2CF9">
              <w:rPr>
                <w:sz w:val="20"/>
                <w:szCs w:val="20"/>
              </w:rPr>
              <w:t xml:space="preserve"> (edge of the continental shelf</w:t>
            </w:r>
            <w:r w:rsidR="0015385B" w:rsidRPr="001F2CF9">
              <w:rPr>
                <w:sz w:val="20"/>
                <w:szCs w:val="20"/>
              </w:rPr>
              <w:t xml:space="preserve"> in deep</w:t>
            </w:r>
            <w:r w:rsidR="009F4F4D" w:rsidRPr="001F2CF9">
              <w:rPr>
                <w:sz w:val="20"/>
                <w:szCs w:val="20"/>
              </w:rPr>
              <w:t xml:space="preserve"> waters away from coastal areas and</w:t>
            </w:r>
            <w:r w:rsidR="0015385B" w:rsidRPr="001F2CF9">
              <w:rPr>
                <w:sz w:val="20"/>
                <w:szCs w:val="20"/>
              </w:rPr>
              <w:t xml:space="preserve"> </w:t>
            </w:r>
            <w:r w:rsidR="00D15182">
              <w:rPr>
                <w:sz w:val="20"/>
                <w:szCs w:val="20"/>
              </w:rPr>
              <w:t xml:space="preserve">on </w:t>
            </w:r>
            <w:r w:rsidR="00B81921" w:rsidRPr="008201A1">
              <w:rPr>
                <w:sz w:val="20"/>
                <w:szCs w:val="20"/>
              </w:rPr>
              <w:t>bry</w:t>
            </w:r>
            <w:r w:rsidR="00D15182">
              <w:rPr>
                <w:sz w:val="20"/>
                <w:szCs w:val="20"/>
              </w:rPr>
              <w:t>o</w:t>
            </w:r>
            <w:r w:rsidR="00B81921" w:rsidRPr="008201A1">
              <w:rPr>
                <w:sz w:val="20"/>
                <w:szCs w:val="20"/>
              </w:rPr>
              <w:t>zoan turf</w:t>
            </w:r>
            <w:r w:rsidR="0015385B" w:rsidRPr="001F2CF9">
              <w:rPr>
                <w:sz w:val="20"/>
                <w:szCs w:val="20"/>
              </w:rPr>
              <w:t xml:space="preserve"> habitat</w:t>
            </w:r>
            <w:r w:rsidR="00B81921" w:rsidRPr="001F2CF9">
              <w:rPr>
                <w:sz w:val="20"/>
                <w:szCs w:val="20"/>
              </w:rPr>
              <w:t>)</w:t>
            </w:r>
            <w:r w:rsidR="002517E3" w:rsidRPr="001F2CF9">
              <w:rPr>
                <w:sz w:val="20"/>
                <w:szCs w:val="20"/>
              </w:rPr>
              <w:t xml:space="preserve">; </w:t>
            </w:r>
          </w:p>
          <w:p w14:paraId="334C7C7D" w14:textId="77777777" w:rsidR="002517E3" w:rsidRPr="0072610E" w:rsidRDefault="0015385B">
            <w:pPr>
              <w:pStyle w:val="ListParagraph"/>
              <w:spacing w:before="60" w:after="60" w:line="276" w:lineRule="auto"/>
              <w:contextualSpacing/>
              <w:rPr>
                <w:sz w:val="20"/>
                <w:szCs w:val="20"/>
              </w:rPr>
            </w:pPr>
            <w:r w:rsidRPr="001F2CF9">
              <w:rPr>
                <w:sz w:val="20"/>
                <w:szCs w:val="20"/>
              </w:rPr>
              <w:t>the low rate of bycatch of other species in the TGCF</w:t>
            </w:r>
            <w:r w:rsidR="002517E3" w:rsidRPr="001F2CF9">
              <w:rPr>
                <w:sz w:val="20"/>
                <w:szCs w:val="20"/>
              </w:rPr>
              <w:t>;</w:t>
            </w:r>
          </w:p>
          <w:p w14:paraId="4EB133A4" w14:textId="2CC24289" w:rsidR="00564BC9" w:rsidRPr="0072610E" w:rsidRDefault="002517E3">
            <w:pPr>
              <w:pStyle w:val="ListParagraph"/>
              <w:spacing w:before="60" w:after="60" w:line="276" w:lineRule="auto"/>
              <w:contextualSpacing/>
              <w:rPr>
                <w:i/>
                <w:color w:val="FF0000"/>
                <w:sz w:val="20"/>
                <w:szCs w:val="20"/>
              </w:rPr>
            </w:pPr>
            <w:proofErr w:type="gramStart"/>
            <w:r w:rsidRPr="001F2CF9">
              <w:rPr>
                <w:sz w:val="20"/>
                <w:szCs w:val="20"/>
              </w:rPr>
              <w:t>and</w:t>
            </w:r>
            <w:proofErr w:type="gramEnd"/>
            <w:r w:rsidRPr="001F2CF9">
              <w:rPr>
                <w:sz w:val="20"/>
                <w:szCs w:val="20"/>
              </w:rPr>
              <w:t xml:space="preserve"> </w:t>
            </w:r>
            <w:r w:rsidR="008918E8" w:rsidRPr="001F2CF9">
              <w:rPr>
                <w:sz w:val="20"/>
                <w:szCs w:val="20"/>
              </w:rPr>
              <w:t xml:space="preserve">the absence of reported protected species interactions </w:t>
            </w:r>
            <w:r w:rsidR="00B53225" w:rsidRPr="001F2CF9">
              <w:rPr>
                <w:sz w:val="20"/>
                <w:szCs w:val="20"/>
              </w:rPr>
              <w:t>in the history of the fishery</w:t>
            </w:r>
            <w:r w:rsidR="00F92BDE" w:rsidRPr="001F2CF9">
              <w:rPr>
                <w:sz w:val="20"/>
                <w:szCs w:val="20"/>
              </w:rPr>
              <w:t>,</w:t>
            </w:r>
            <w:r w:rsidR="00B53225" w:rsidRPr="001F2CF9">
              <w:rPr>
                <w:sz w:val="20"/>
                <w:szCs w:val="20"/>
              </w:rPr>
              <w:t xml:space="preserve"> in any fishers report, observer or research sampling.</w:t>
            </w:r>
            <w:r w:rsidR="00564BC9">
              <w:rPr>
                <w:sz w:val="20"/>
                <w:szCs w:val="20"/>
              </w:rPr>
              <w:br/>
            </w:r>
          </w:p>
        </w:tc>
      </w:tr>
      <w:tr w:rsidR="00885298" w:rsidRPr="001F2CF9" w14:paraId="257A30C9" w14:textId="77777777" w:rsidTr="00117313">
        <w:trPr>
          <w:cantSplit/>
        </w:trPr>
        <w:tc>
          <w:tcPr>
            <w:tcW w:w="1500" w:type="pct"/>
            <w:shd w:val="clear" w:color="auto" w:fill="auto"/>
          </w:tcPr>
          <w:p w14:paraId="334B90D6" w14:textId="21267FDB" w:rsidR="00885298" w:rsidRPr="001F2CF9" w:rsidRDefault="00885298" w:rsidP="00F32842">
            <w:pPr>
              <w:spacing w:before="60" w:after="60" w:line="276" w:lineRule="auto"/>
              <w:contextualSpacing/>
              <w:rPr>
                <w:rFonts w:cs="Arial"/>
                <w:sz w:val="20"/>
                <w:szCs w:val="20"/>
              </w:rPr>
            </w:pPr>
            <w:r w:rsidRPr="00F32842">
              <w:rPr>
                <w:rFonts w:cs="Arial"/>
                <w:sz w:val="20"/>
                <w:szCs w:val="20"/>
              </w:rPr>
              <w:t xml:space="preserve">Requires compliance with relevant threat abatement plans, recovery plans, the National Policy on Fisheries Bycatch, and bycatch action strategies developed under </w:t>
            </w:r>
            <w:r w:rsidRPr="001F2CF9">
              <w:rPr>
                <w:rFonts w:cs="Arial"/>
                <w:sz w:val="20"/>
                <w:szCs w:val="20"/>
              </w:rPr>
              <w:t>the policy</w:t>
            </w:r>
            <w:r w:rsidR="006B6EF9" w:rsidRPr="001F2CF9">
              <w:rPr>
                <w:rFonts w:cs="Arial"/>
                <w:sz w:val="20"/>
                <w:szCs w:val="20"/>
              </w:rPr>
              <w:t>.</w:t>
            </w:r>
          </w:p>
          <w:p w14:paraId="2FAB5309" w14:textId="0F6B3941" w:rsidR="004649FA" w:rsidRPr="001F2CF9" w:rsidRDefault="004649FA" w:rsidP="008201A1">
            <w:pPr>
              <w:spacing w:before="60" w:after="60" w:line="276" w:lineRule="auto"/>
              <w:contextualSpacing/>
              <w:rPr>
                <w:rFonts w:cs="Arial"/>
                <w:sz w:val="20"/>
                <w:szCs w:val="20"/>
              </w:rPr>
            </w:pPr>
          </w:p>
        </w:tc>
        <w:tc>
          <w:tcPr>
            <w:tcW w:w="3500" w:type="pct"/>
            <w:shd w:val="clear" w:color="auto" w:fill="auto"/>
          </w:tcPr>
          <w:p w14:paraId="6566FBF1" w14:textId="6F2BB977" w:rsidR="00B95101" w:rsidRPr="001F2CF9" w:rsidRDefault="00B95101">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016ECB53" w14:textId="77777777" w:rsidR="007153C9" w:rsidRDefault="007153C9">
            <w:pPr>
              <w:spacing w:before="60" w:after="60" w:line="276" w:lineRule="auto"/>
              <w:contextualSpacing/>
              <w:rPr>
                <w:rFonts w:cs="Arial"/>
                <w:sz w:val="20"/>
                <w:szCs w:val="20"/>
              </w:rPr>
            </w:pPr>
          </w:p>
          <w:p w14:paraId="7ACEA47E" w14:textId="2E7983D8" w:rsidR="00636969" w:rsidRPr="001F2CF9" w:rsidRDefault="00B95101">
            <w:pPr>
              <w:spacing w:before="60" w:after="60" w:line="276" w:lineRule="auto"/>
              <w:contextualSpacing/>
              <w:rPr>
                <w:rFonts w:cs="Arial"/>
                <w:sz w:val="20"/>
                <w:szCs w:val="20"/>
              </w:rPr>
            </w:pPr>
            <w:r w:rsidRPr="001F2CF9">
              <w:rPr>
                <w:rFonts w:cs="Arial"/>
                <w:sz w:val="20"/>
                <w:szCs w:val="20"/>
              </w:rPr>
              <w:t>There are no relevant plans or strategies relating to threat abatement, recover or bycatch with which the fishery is required to be compliant.</w:t>
            </w:r>
          </w:p>
          <w:p w14:paraId="5E4F5B9B" w14:textId="569D258B" w:rsidR="00885298" w:rsidRPr="001F2CF9" w:rsidRDefault="00885298">
            <w:pPr>
              <w:spacing w:before="60" w:after="60" w:line="276" w:lineRule="auto"/>
              <w:contextualSpacing/>
              <w:rPr>
                <w:rFonts w:cs="Arial"/>
                <w:sz w:val="20"/>
                <w:szCs w:val="20"/>
              </w:rPr>
            </w:pPr>
          </w:p>
        </w:tc>
      </w:tr>
      <w:tr w:rsidR="00885298" w:rsidRPr="001F2CF9" w14:paraId="4C167BCF" w14:textId="77777777" w:rsidTr="00117313">
        <w:trPr>
          <w:cantSplit/>
        </w:trPr>
        <w:tc>
          <w:tcPr>
            <w:tcW w:w="5000" w:type="pct"/>
            <w:gridSpan w:val="2"/>
            <w:shd w:val="clear" w:color="auto" w:fill="92CDDC"/>
          </w:tcPr>
          <w:p w14:paraId="5BAE62F0" w14:textId="77777777" w:rsidR="00885298" w:rsidRPr="001F2CF9" w:rsidRDefault="00885298" w:rsidP="00F32842">
            <w:pPr>
              <w:autoSpaceDE w:val="0"/>
              <w:autoSpaceDN w:val="0"/>
              <w:adjustRightInd w:val="0"/>
              <w:spacing w:before="60" w:after="60" w:line="276" w:lineRule="auto"/>
              <w:contextualSpacing/>
              <w:rPr>
                <w:rFonts w:cs="Arial"/>
                <w:b/>
                <w:bCs/>
                <w:sz w:val="20"/>
                <w:szCs w:val="20"/>
              </w:rPr>
            </w:pPr>
            <w:r w:rsidRPr="00F32842">
              <w:rPr>
                <w:rFonts w:cs="Arial"/>
                <w:b/>
                <w:bCs/>
                <w:sz w:val="20"/>
                <w:szCs w:val="20"/>
              </w:rPr>
              <w:lastRenderedPageBreak/>
              <w:t xml:space="preserve">PRINCIPLE 1 - </w:t>
            </w:r>
            <w:r w:rsidRPr="008201A1">
              <w:rPr>
                <w:rFonts w:cs="Arial"/>
                <w:sz w:val="20"/>
                <w:szCs w:val="20"/>
              </w:rPr>
              <w:t>A fishery must be conducted in a manner that does not lead to over-fishing, or for those stocks that are over-fished, the fishery must be conducted such that there is a high degree of probability the stock(</w:t>
            </w:r>
            <w:r w:rsidRPr="001F2CF9">
              <w:rPr>
                <w:rFonts w:cs="Arial"/>
                <w:sz w:val="20"/>
                <w:szCs w:val="20"/>
              </w:rPr>
              <w:t>s) will recover</w:t>
            </w:r>
            <w:r w:rsidRPr="001F2CF9">
              <w:rPr>
                <w:rFonts w:cs="Arial"/>
                <w:b/>
                <w:bCs/>
                <w:sz w:val="20"/>
                <w:szCs w:val="20"/>
              </w:rPr>
              <w:t xml:space="preserve">. </w:t>
            </w:r>
          </w:p>
        </w:tc>
      </w:tr>
      <w:tr w:rsidR="00885298" w:rsidRPr="001F2CF9" w14:paraId="1B4867E2" w14:textId="77777777" w:rsidTr="00117313">
        <w:trPr>
          <w:cantSplit/>
        </w:trPr>
        <w:tc>
          <w:tcPr>
            <w:tcW w:w="5000" w:type="pct"/>
            <w:gridSpan w:val="2"/>
            <w:shd w:val="clear" w:color="auto" w:fill="B6DDE8"/>
          </w:tcPr>
          <w:p w14:paraId="1598A040" w14:textId="0115D611" w:rsidR="00885298" w:rsidRPr="001F2CF9" w:rsidRDefault="00885298" w:rsidP="00F32842">
            <w:pPr>
              <w:spacing w:before="60" w:after="60" w:line="276" w:lineRule="auto"/>
              <w:contextualSpacing/>
              <w:rPr>
                <w:rFonts w:cs="Arial"/>
                <w:b/>
                <w:bCs/>
                <w:sz w:val="20"/>
                <w:szCs w:val="20"/>
              </w:rPr>
            </w:pPr>
            <w:r w:rsidRPr="00F32842">
              <w:rPr>
                <w:rFonts w:cs="Arial"/>
                <w:b/>
                <w:bCs/>
                <w:sz w:val="20"/>
                <w:szCs w:val="20"/>
              </w:rPr>
              <w:t xml:space="preserve">Objective 1 - </w:t>
            </w:r>
            <w:r w:rsidRPr="008201A1">
              <w:rPr>
                <w:rFonts w:cs="Arial"/>
                <w:sz w:val="20"/>
                <w:szCs w:val="20"/>
              </w:rPr>
              <w:t>The fishery shall be conducted at catch levels that maintain ecologically viable stock levels at an agreed point or range, with ac</w:t>
            </w:r>
            <w:r w:rsidR="006B6EF9" w:rsidRPr="001F2CF9">
              <w:rPr>
                <w:rFonts w:cs="Arial"/>
                <w:sz w:val="20"/>
                <w:szCs w:val="20"/>
              </w:rPr>
              <w:t>ceptable levels of probability.</w:t>
            </w:r>
          </w:p>
        </w:tc>
      </w:tr>
      <w:tr w:rsidR="00885298" w:rsidRPr="001F2CF9" w14:paraId="1CCDF312" w14:textId="77777777" w:rsidTr="00117313">
        <w:trPr>
          <w:cantSplit/>
        </w:trPr>
        <w:tc>
          <w:tcPr>
            <w:tcW w:w="5000" w:type="pct"/>
            <w:gridSpan w:val="2"/>
            <w:shd w:val="clear" w:color="auto" w:fill="DAEEF3"/>
          </w:tcPr>
          <w:p w14:paraId="43C5F828" w14:textId="77777777" w:rsidR="00885298" w:rsidRPr="00F32842" w:rsidRDefault="00885298" w:rsidP="00F32842">
            <w:pPr>
              <w:spacing w:before="60" w:after="60" w:line="276" w:lineRule="auto"/>
              <w:contextualSpacing/>
              <w:rPr>
                <w:rFonts w:cs="Arial"/>
                <w:b/>
                <w:bCs/>
                <w:i/>
                <w:iCs/>
                <w:sz w:val="20"/>
                <w:szCs w:val="20"/>
              </w:rPr>
            </w:pPr>
            <w:r w:rsidRPr="00F32842">
              <w:rPr>
                <w:rFonts w:cs="Arial"/>
                <w:b/>
                <w:bCs/>
                <w:i/>
                <w:iCs/>
                <w:sz w:val="20"/>
                <w:szCs w:val="20"/>
              </w:rPr>
              <w:t xml:space="preserve">Information requirements </w:t>
            </w:r>
          </w:p>
        </w:tc>
      </w:tr>
      <w:tr w:rsidR="00885298" w:rsidRPr="001F2CF9" w14:paraId="40E94611" w14:textId="77777777" w:rsidTr="00117313">
        <w:trPr>
          <w:cantSplit/>
        </w:trPr>
        <w:tc>
          <w:tcPr>
            <w:tcW w:w="1500" w:type="pct"/>
            <w:shd w:val="clear" w:color="auto" w:fill="auto"/>
          </w:tcPr>
          <w:p w14:paraId="144AC722" w14:textId="626FE5E9" w:rsidR="00A0129B" w:rsidRPr="001F2CF9" w:rsidRDefault="00885298" w:rsidP="00F32842">
            <w:pPr>
              <w:spacing w:before="60" w:after="60" w:line="276" w:lineRule="auto"/>
              <w:contextualSpacing/>
              <w:rPr>
                <w:rFonts w:cs="Arial"/>
                <w:sz w:val="20"/>
                <w:szCs w:val="20"/>
              </w:rPr>
            </w:pPr>
            <w:r w:rsidRPr="00F32842">
              <w:rPr>
                <w:rFonts w:cs="Arial"/>
                <w:b/>
                <w:bCs/>
                <w:i/>
                <w:iCs/>
                <w:sz w:val="20"/>
                <w:szCs w:val="20"/>
              </w:rPr>
              <w:t xml:space="preserve">1.1.1 </w:t>
            </w:r>
            <w:r w:rsidRPr="008201A1">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1F2CF9">
              <w:rPr>
                <w:rFonts w:cs="Arial"/>
                <w:sz w:val="20"/>
                <w:szCs w:val="20"/>
              </w:rPr>
              <w:t>endent research and monitoring.</w:t>
            </w:r>
          </w:p>
          <w:p w14:paraId="31C44E87" w14:textId="67073DC3" w:rsidR="00A0129B" w:rsidRPr="001F2CF9" w:rsidRDefault="00A0129B" w:rsidP="008201A1">
            <w:pPr>
              <w:spacing w:before="60" w:after="60" w:line="276" w:lineRule="auto"/>
              <w:contextualSpacing/>
              <w:rPr>
                <w:rFonts w:cs="Arial"/>
                <w:sz w:val="20"/>
                <w:szCs w:val="20"/>
              </w:rPr>
            </w:pPr>
          </w:p>
        </w:tc>
        <w:tc>
          <w:tcPr>
            <w:tcW w:w="3500" w:type="pct"/>
            <w:shd w:val="clear" w:color="auto" w:fill="FFC000"/>
          </w:tcPr>
          <w:p w14:paraId="4FA7C43A" w14:textId="77777777" w:rsidR="005E0D8C" w:rsidRDefault="00F8472A">
            <w:pPr>
              <w:spacing w:before="60" w:after="60" w:line="276" w:lineRule="auto"/>
              <w:contextualSpacing/>
              <w:rPr>
                <w:rFonts w:cs="Arial"/>
                <w:b/>
                <w:sz w:val="20"/>
                <w:szCs w:val="20"/>
              </w:rPr>
            </w:pPr>
            <w:r w:rsidRPr="001F2CF9">
              <w:rPr>
                <w:rFonts w:cs="Arial"/>
                <w:b/>
                <w:sz w:val="20"/>
                <w:szCs w:val="20"/>
              </w:rPr>
              <w:t xml:space="preserve">Partially meets </w:t>
            </w:r>
            <w:r w:rsidR="005869AD" w:rsidRPr="001F2CF9">
              <w:rPr>
                <w:rFonts w:cs="Arial"/>
                <w:b/>
                <w:sz w:val="20"/>
                <w:szCs w:val="20"/>
              </w:rPr>
              <w:t xml:space="preserve">– </w:t>
            </w:r>
            <w:r w:rsidR="004E7A5A">
              <w:rPr>
                <w:rFonts w:cs="Arial"/>
                <w:b/>
                <w:sz w:val="20"/>
                <w:szCs w:val="20"/>
              </w:rPr>
              <w:tab/>
            </w:r>
            <w:r w:rsidR="005869AD" w:rsidRPr="001F2CF9">
              <w:rPr>
                <w:rFonts w:cs="Arial"/>
                <w:b/>
                <w:sz w:val="20"/>
                <w:szCs w:val="20"/>
              </w:rPr>
              <w:t>Log</w:t>
            </w:r>
            <w:r w:rsidR="00F92BDE" w:rsidRPr="001F2CF9">
              <w:rPr>
                <w:rFonts w:cs="Arial"/>
                <w:b/>
                <w:sz w:val="20"/>
                <w:szCs w:val="20"/>
              </w:rPr>
              <w:t>book data is collected</w:t>
            </w:r>
            <w:r w:rsidR="005869AD" w:rsidRPr="001F2CF9">
              <w:rPr>
                <w:rFonts w:cs="Arial"/>
                <w:b/>
                <w:sz w:val="20"/>
                <w:szCs w:val="20"/>
              </w:rPr>
              <w:t xml:space="preserve">, </w:t>
            </w:r>
            <w:r w:rsidR="00F92BDE" w:rsidRPr="001F2CF9">
              <w:rPr>
                <w:rFonts w:cs="Arial"/>
                <w:b/>
                <w:sz w:val="20"/>
                <w:szCs w:val="20"/>
              </w:rPr>
              <w:t xml:space="preserve">however the </w:t>
            </w:r>
            <w:r w:rsidR="005869AD" w:rsidRPr="001F2CF9">
              <w:rPr>
                <w:rFonts w:cs="Arial"/>
                <w:b/>
                <w:sz w:val="20"/>
                <w:szCs w:val="20"/>
              </w:rPr>
              <w:t xml:space="preserve">data is </w:t>
            </w:r>
            <w:r w:rsidR="00F92BDE" w:rsidRPr="001F2CF9">
              <w:rPr>
                <w:rFonts w:cs="Arial"/>
                <w:b/>
                <w:sz w:val="20"/>
                <w:szCs w:val="20"/>
              </w:rPr>
              <w:t xml:space="preserve">considered </w:t>
            </w:r>
            <w:r w:rsidR="005869AD" w:rsidRPr="001F2CF9">
              <w:rPr>
                <w:rFonts w:cs="Arial"/>
                <w:b/>
                <w:sz w:val="20"/>
                <w:szCs w:val="20"/>
              </w:rPr>
              <w:t xml:space="preserve">not adequate or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5869AD" w:rsidRPr="001F2CF9">
              <w:rPr>
                <w:rFonts w:cs="Arial"/>
                <w:b/>
                <w:sz w:val="20"/>
                <w:szCs w:val="20"/>
              </w:rPr>
              <w:t>incomplete</w:t>
            </w:r>
            <w:r w:rsidR="00163B9F" w:rsidRPr="001F2CF9">
              <w:rPr>
                <w:rFonts w:cs="Arial"/>
                <w:b/>
                <w:sz w:val="20"/>
                <w:szCs w:val="20"/>
              </w:rPr>
              <w:t>.</w:t>
            </w:r>
          </w:p>
          <w:p w14:paraId="4FAB1C2D" w14:textId="169BC594" w:rsidR="007153C9" w:rsidRDefault="005E0D8C">
            <w:pPr>
              <w:spacing w:before="60" w:after="60" w:line="276" w:lineRule="auto"/>
              <w:contextualSpacing/>
              <w:rPr>
                <w:rFonts w:cs="Arial"/>
                <w:sz w:val="20"/>
                <w:szCs w:val="20"/>
              </w:rPr>
            </w:pPr>
            <w:r>
              <w:rPr>
                <w:rFonts w:cs="Arial"/>
                <w:b/>
                <w:sz w:val="20"/>
                <w:szCs w:val="20"/>
              </w:rPr>
              <w:tab/>
            </w:r>
            <w:r>
              <w:rPr>
                <w:rFonts w:cs="Arial"/>
                <w:b/>
                <w:sz w:val="20"/>
                <w:szCs w:val="20"/>
              </w:rPr>
              <w:tab/>
            </w:r>
            <w:r>
              <w:rPr>
                <w:rFonts w:cs="Arial"/>
                <w:b/>
                <w:sz w:val="20"/>
                <w:szCs w:val="20"/>
              </w:rPr>
              <w:tab/>
            </w:r>
            <w:r w:rsidR="004E7A5A">
              <w:rPr>
                <w:rFonts w:cs="Arial"/>
                <w:b/>
                <w:sz w:val="20"/>
                <w:szCs w:val="20"/>
              </w:rPr>
              <w:t>[Recommendation 1 at section 4 of this report addresses improved data collection]</w:t>
            </w:r>
          </w:p>
          <w:p w14:paraId="2A78DE9E" w14:textId="77777777" w:rsidR="004E7A5A" w:rsidRDefault="004E7A5A">
            <w:pPr>
              <w:spacing w:before="60" w:after="60" w:line="276" w:lineRule="auto"/>
              <w:contextualSpacing/>
              <w:rPr>
                <w:rFonts w:cs="Arial"/>
                <w:sz w:val="20"/>
                <w:szCs w:val="20"/>
              </w:rPr>
            </w:pPr>
          </w:p>
          <w:p w14:paraId="591EDDB1" w14:textId="23BC9E12" w:rsidR="00751899" w:rsidRPr="001F2CF9" w:rsidRDefault="00703954">
            <w:pPr>
              <w:spacing w:before="60" w:after="60" w:line="276" w:lineRule="auto"/>
              <w:contextualSpacing/>
              <w:rPr>
                <w:rFonts w:cs="Arial"/>
                <w:sz w:val="20"/>
                <w:szCs w:val="20"/>
              </w:rPr>
            </w:pPr>
            <w:r w:rsidRPr="001F2CF9">
              <w:rPr>
                <w:rFonts w:cs="Arial"/>
                <w:sz w:val="20"/>
                <w:szCs w:val="20"/>
              </w:rPr>
              <w:t xml:space="preserve">Giant crab catch records is collected via the quota allocation system (recorded landed catch) and logbook returns in the TGCF. </w:t>
            </w:r>
            <w:r w:rsidR="00872E87" w:rsidRPr="001F2CF9">
              <w:rPr>
                <w:rFonts w:cs="Arial"/>
                <w:sz w:val="20"/>
                <w:szCs w:val="20"/>
              </w:rPr>
              <w:t>There is a requirement for giant crab fishers to record their catch (number of giant crab kept) in the Giant Crab Catch Record Book each day, along with location and effort information.</w:t>
            </w:r>
            <w:r w:rsidR="00B22A69" w:rsidRPr="001F2CF9">
              <w:rPr>
                <w:rFonts w:cs="Arial"/>
                <w:sz w:val="20"/>
                <w:szCs w:val="20"/>
              </w:rPr>
              <w:t xml:space="preserve"> </w:t>
            </w:r>
            <w:r w:rsidR="00F92BDE" w:rsidRPr="001F2CF9">
              <w:rPr>
                <w:rFonts w:cs="Arial"/>
                <w:sz w:val="20"/>
                <w:szCs w:val="20"/>
              </w:rPr>
              <w:t>Fishermen’s</w:t>
            </w:r>
            <w:r w:rsidR="00B22A69" w:rsidRPr="001F2CF9">
              <w:rPr>
                <w:rFonts w:cs="Arial"/>
                <w:sz w:val="20"/>
                <w:szCs w:val="20"/>
              </w:rPr>
              <w:t xml:space="preserve"> giant crab catch records are required to be returned to DPIPWE by the end of </w:t>
            </w:r>
            <w:r w:rsidR="003360C2" w:rsidRPr="001F2CF9">
              <w:rPr>
                <w:rFonts w:cs="Arial"/>
                <w:sz w:val="20"/>
                <w:szCs w:val="20"/>
              </w:rPr>
              <w:t>the</w:t>
            </w:r>
            <w:r w:rsidR="00B22A69" w:rsidRPr="001F2CF9">
              <w:rPr>
                <w:rFonts w:cs="Arial"/>
                <w:sz w:val="20"/>
                <w:szCs w:val="20"/>
              </w:rPr>
              <w:t xml:space="preserve"> following month.</w:t>
            </w:r>
            <w:r w:rsidR="00872E87" w:rsidRPr="001F2CF9">
              <w:rPr>
                <w:rFonts w:cs="Arial"/>
                <w:sz w:val="20"/>
                <w:szCs w:val="20"/>
              </w:rPr>
              <w:t xml:space="preserve"> </w:t>
            </w:r>
            <w:r w:rsidRPr="001F2CF9">
              <w:rPr>
                <w:rFonts w:cs="Arial"/>
                <w:sz w:val="20"/>
                <w:szCs w:val="20"/>
              </w:rPr>
              <w:t>Giant crab logbook returns data from 1989/90 and</w:t>
            </w:r>
            <w:r w:rsidR="005B40EC" w:rsidRPr="001F2CF9">
              <w:rPr>
                <w:rFonts w:cs="Arial"/>
                <w:sz w:val="20"/>
                <w:szCs w:val="20"/>
              </w:rPr>
              <w:t xml:space="preserve"> 2013/14 </w:t>
            </w:r>
            <w:r w:rsidRPr="001F2CF9">
              <w:rPr>
                <w:rFonts w:cs="Arial"/>
                <w:sz w:val="20"/>
                <w:szCs w:val="20"/>
              </w:rPr>
              <w:t xml:space="preserve">are available through </w:t>
            </w:r>
            <w:r w:rsidR="00F92BDE" w:rsidRPr="001F2CF9">
              <w:rPr>
                <w:rFonts w:cs="Arial"/>
                <w:sz w:val="20"/>
                <w:szCs w:val="20"/>
              </w:rPr>
              <w:t xml:space="preserve">the previous </w:t>
            </w:r>
            <w:r w:rsidRPr="00022496">
              <w:rPr>
                <w:rFonts w:cs="Arial"/>
                <w:sz w:val="20"/>
                <w:szCs w:val="20"/>
              </w:rPr>
              <w:t xml:space="preserve">IMAS </w:t>
            </w:r>
            <w:r w:rsidR="005B40EC" w:rsidRPr="00022496">
              <w:rPr>
                <w:rFonts w:cs="Arial"/>
                <w:sz w:val="20"/>
                <w:szCs w:val="20"/>
              </w:rPr>
              <w:t>assessment report</w:t>
            </w:r>
            <w:r w:rsidR="004D7D28" w:rsidRPr="00022496">
              <w:rPr>
                <w:rFonts w:cs="Arial"/>
                <w:sz w:val="20"/>
                <w:szCs w:val="20"/>
              </w:rPr>
              <w:t xml:space="preserve"> </w:t>
            </w:r>
            <w:r w:rsidRPr="00022496">
              <w:rPr>
                <w:rFonts w:cs="Arial"/>
                <w:sz w:val="20"/>
                <w:szCs w:val="20"/>
              </w:rPr>
              <w:t>of</w:t>
            </w:r>
            <w:r w:rsidRPr="008201A1">
              <w:rPr>
                <w:rFonts w:cs="Arial"/>
                <w:sz w:val="20"/>
                <w:szCs w:val="20"/>
              </w:rPr>
              <w:t xml:space="preserve"> the fishery</w:t>
            </w:r>
            <w:r w:rsidR="00022496">
              <w:rPr>
                <w:rFonts w:cs="Arial"/>
                <w:sz w:val="20"/>
                <w:szCs w:val="20"/>
              </w:rPr>
              <w:t xml:space="preserve"> </w:t>
            </w:r>
            <w:r w:rsidR="00022496" w:rsidRPr="00022496">
              <w:rPr>
                <w:rFonts w:cs="Arial"/>
                <w:sz w:val="20"/>
                <w:szCs w:val="20"/>
              </w:rPr>
              <w:t>(link accessible in Section 1: Notes)</w:t>
            </w:r>
            <w:r w:rsidRPr="008201A1">
              <w:rPr>
                <w:rFonts w:cs="Arial"/>
                <w:sz w:val="20"/>
                <w:szCs w:val="20"/>
              </w:rPr>
              <w:t>.</w:t>
            </w:r>
            <w:r w:rsidR="000857D2" w:rsidRPr="008201A1">
              <w:rPr>
                <w:rFonts w:cs="Arial"/>
                <w:sz w:val="20"/>
                <w:szCs w:val="20"/>
              </w:rPr>
              <w:t xml:space="preserve"> Due to the small number of operators in the TGCF, the remot</w:t>
            </w:r>
            <w:r w:rsidR="000857D2" w:rsidRPr="001F2CF9">
              <w:rPr>
                <w:rFonts w:cs="Arial"/>
                <w:sz w:val="20"/>
                <w:szCs w:val="20"/>
              </w:rPr>
              <w:t>e nature of the fishing operations and the size of the fishery, assessments now rely on fisher dependant catch rate dat</w:t>
            </w:r>
            <w:r w:rsidR="00A80743" w:rsidRPr="001F2CF9">
              <w:rPr>
                <w:rFonts w:cs="Arial"/>
                <w:sz w:val="20"/>
                <w:szCs w:val="20"/>
              </w:rPr>
              <w:t>a.</w:t>
            </w:r>
            <w:r w:rsidR="00020C40" w:rsidRPr="001F2CF9">
              <w:rPr>
                <w:rFonts w:cs="Arial"/>
                <w:sz w:val="20"/>
                <w:szCs w:val="20"/>
              </w:rPr>
              <w:t xml:space="preserve"> </w:t>
            </w:r>
            <w:r w:rsidR="00820158" w:rsidRPr="001F2CF9">
              <w:rPr>
                <w:rFonts w:cs="Arial"/>
                <w:sz w:val="20"/>
                <w:szCs w:val="20"/>
              </w:rPr>
              <w:t xml:space="preserve">DPIPWE </w:t>
            </w:r>
            <w:r w:rsidR="00936D79" w:rsidRPr="001F2CF9">
              <w:rPr>
                <w:rFonts w:cs="Arial"/>
                <w:sz w:val="20"/>
                <w:szCs w:val="20"/>
              </w:rPr>
              <w:t>is still attempting</w:t>
            </w:r>
            <w:r w:rsidR="00820158" w:rsidRPr="001F2CF9">
              <w:rPr>
                <w:rFonts w:cs="Arial"/>
                <w:sz w:val="20"/>
                <w:szCs w:val="20"/>
              </w:rPr>
              <w:t xml:space="preserve"> to work with</w:t>
            </w:r>
            <w:r w:rsidR="00C23495" w:rsidRPr="001F2CF9">
              <w:rPr>
                <w:rFonts w:cs="Arial"/>
                <w:sz w:val="20"/>
                <w:szCs w:val="20"/>
              </w:rPr>
              <w:t xml:space="preserve"> giant crab</w:t>
            </w:r>
            <w:r w:rsidR="00820158" w:rsidRPr="001F2CF9">
              <w:rPr>
                <w:rFonts w:cs="Arial"/>
                <w:sz w:val="20"/>
                <w:szCs w:val="20"/>
              </w:rPr>
              <w:t xml:space="preserve"> fishers to improve data collection in the fisher</w:t>
            </w:r>
            <w:r w:rsidR="00C23495" w:rsidRPr="001F2CF9">
              <w:rPr>
                <w:rFonts w:cs="Arial"/>
                <w:sz w:val="20"/>
                <w:szCs w:val="20"/>
              </w:rPr>
              <w:t xml:space="preserve">y. Data collection kits were distributed to fishers this </w:t>
            </w:r>
            <w:r w:rsidR="00020C40" w:rsidRPr="001F2CF9">
              <w:rPr>
                <w:rFonts w:cs="Arial"/>
                <w:sz w:val="20"/>
                <w:szCs w:val="20"/>
              </w:rPr>
              <w:t xml:space="preserve">2019/20 fishing </w:t>
            </w:r>
            <w:r w:rsidR="00C23495" w:rsidRPr="001F2CF9">
              <w:rPr>
                <w:rFonts w:cs="Arial"/>
                <w:sz w:val="20"/>
                <w:szCs w:val="20"/>
              </w:rPr>
              <w:t xml:space="preserve">season and IMAS will be following up on an update with fishers in the near future. </w:t>
            </w:r>
          </w:p>
          <w:p w14:paraId="77B3C859" w14:textId="77777777" w:rsidR="00751899" w:rsidRPr="001F2CF9" w:rsidRDefault="00751899">
            <w:pPr>
              <w:spacing w:before="60" w:after="60" w:line="276" w:lineRule="auto"/>
              <w:contextualSpacing/>
              <w:rPr>
                <w:rFonts w:cs="Arial"/>
                <w:sz w:val="20"/>
                <w:szCs w:val="20"/>
              </w:rPr>
            </w:pPr>
          </w:p>
          <w:p w14:paraId="40962C0C" w14:textId="307E7D4F" w:rsidR="00AF4D30" w:rsidRPr="001F2CF9" w:rsidRDefault="00C23495">
            <w:pPr>
              <w:spacing w:before="60" w:after="60" w:line="276" w:lineRule="auto"/>
              <w:contextualSpacing/>
              <w:rPr>
                <w:rFonts w:cs="Arial"/>
                <w:sz w:val="20"/>
                <w:szCs w:val="20"/>
              </w:rPr>
            </w:pPr>
            <w:r w:rsidRPr="001F2CF9">
              <w:rPr>
                <w:rFonts w:cs="Arial"/>
                <w:sz w:val="20"/>
                <w:szCs w:val="20"/>
              </w:rPr>
              <w:t xml:space="preserve">DPIPWE is working </w:t>
            </w:r>
            <w:r w:rsidR="000857D2" w:rsidRPr="001F2CF9">
              <w:rPr>
                <w:rFonts w:cs="Arial"/>
                <w:sz w:val="20"/>
                <w:szCs w:val="20"/>
              </w:rPr>
              <w:t xml:space="preserve">with other south east </w:t>
            </w:r>
            <w:r w:rsidR="00342383" w:rsidRPr="001F2CF9">
              <w:rPr>
                <w:rFonts w:cs="Arial"/>
                <w:sz w:val="20"/>
                <w:szCs w:val="20"/>
              </w:rPr>
              <w:t>Australian giant crab fi</w:t>
            </w:r>
            <w:r w:rsidR="000857D2" w:rsidRPr="001F2CF9">
              <w:rPr>
                <w:rFonts w:cs="Arial"/>
                <w:sz w:val="20"/>
                <w:szCs w:val="20"/>
              </w:rPr>
              <w:t xml:space="preserve">shery jurisdictions </w:t>
            </w:r>
            <w:r w:rsidR="00342383" w:rsidRPr="001F2CF9">
              <w:rPr>
                <w:rFonts w:cs="Arial"/>
                <w:sz w:val="20"/>
                <w:szCs w:val="20"/>
              </w:rPr>
              <w:t xml:space="preserve">on a </w:t>
            </w:r>
            <w:r w:rsidR="00F92BDE" w:rsidRPr="001F2CF9">
              <w:rPr>
                <w:rFonts w:cs="Arial"/>
                <w:sz w:val="20"/>
                <w:szCs w:val="20"/>
              </w:rPr>
              <w:t>joint</w:t>
            </w:r>
            <w:r w:rsidR="00342383" w:rsidRPr="001F2CF9">
              <w:rPr>
                <w:rFonts w:cs="Arial"/>
                <w:sz w:val="20"/>
                <w:szCs w:val="20"/>
              </w:rPr>
              <w:t xml:space="preserve"> project </w:t>
            </w:r>
            <w:r w:rsidR="00F92BDE" w:rsidRPr="001F2CF9">
              <w:rPr>
                <w:rFonts w:cs="Arial"/>
                <w:sz w:val="20"/>
                <w:szCs w:val="20"/>
              </w:rPr>
              <w:t xml:space="preserve">with the aim of </w:t>
            </w:r>
            <w:r w:rsidR="00342383" w:rsidRPr="001F2CF9">
              <w:rPr>
                <w:rFonts w:cs="Arial"/>
                <w:sz w:val="20"/>
                <w:szCs w:val="20"/>
              </w:rPr>
              <w:t>enhancing data collection for the giant crab fisheries.</w:t>
            </w:r>
            <w:r w:rsidR="000857D2" w:rsidRPr="001F2CF9">
              <w:rPr>
                <w:rFonts w:cs="Arial"/>
                <w:sz w:val="20"/>
                <w:szCs w:val="20"/>
              </w:rPr>
              <w:t xml:space="preserve"> The Fisheries Research and Development Corporation (FRDC) finalised its expression of interest application regarding this </w:t>
            </w:r>
            <w:r w:rsidR="00020C40" w:rsidRPr="001F2CF9">
              <w:rPr>
                <w:rFonts w:cs="Arial"/>
                <w:sz w:val="20"/>
                <w:szCs w:val="20"/>
              </w:rPr>
              <w:t xml:space="preserve">new data collection </w:t>
            </w:r>
            <w:r w:rsidR="000857D2" w:rsidRPr="001F2CF9">
              <w:rPr>
                <w:rFonts w:cs="Arial"/>
                <w:sz w:val="20"/>
                <w:szCs w:val="20"/>
              </w:rPr>
              <w:t>project</w:t>
            </w:r>
            <w:r w:rsidR="0066200B" w:rsidRPr="001F2CF9">
              <w:rPr>
                <w:rFonts w:cs="Arial"/>
                <w:sz w:val="20"/>
                <w:szCs w:val="20"/>
              </w:rPr>
              <w:t xml:space="preserve"> in September 2019</w:t>
            </w:r>
            <w:r w:rsidR="00020C40" w:rsidRPr="001F2CF9">
              <w:rPr>
                <w:rFonts w:cs="Arial"/>
                <w:sz w:val="20"/>
                <w:szCs w:val="20"/>
              </w:rPr>
              <w:t>.</w:t>
            </w:r>
            <w:r w:rsidR="000857D2" w:rsidRPr="001F2CF9">
              <w:rPr>
                <w:rFonts w:cs="Arial"/>
                <w:sz w:val="20"/>
                <w:szCs w:val="20"/>
              </w:rPr>
              <w:t xml:space="preserve"> </w:t>
            </w:r>
            <w:r w:rsidR="0020409C" w:rsidRPr="001F2CF9">
              <w:rPr>
                <w:rFonts w:cs="Arial"/>
                <w:sz w:val="20"/>
                <w:szCs w:val="20"/>
              </w:rPr>
              <w:t>The project involves</w:t>
            </w:r>
            <w:r w:rsidR="009C1E75" w:rsidRPr="001F2CF9">
              <w:rPr>
                <w:rFonts w:cs="Arial"/>
                <w:sz w:val="20"/>
                <w:szCs w:val="20"/>
              </w:rPr>
              <w:t xml:space="preserve"> South Australian, Tasmanian and Victorian research advisory groups and IMAS scientists</w:t>
            </w:r>
            <w:r w:rsidR="0020409C" w:rsidRPr="001F2CF9">
              <w:rPr>
                <w:rFonts w:cs="Arial"/>
                <w:sz w:val="20"/>
                <w:szCs w:val="20"/>
              </w:rPr>
              <w:t>.</w:t>
            </w:r>
            <w:r w:rsidR="005724BC" w:rsidRPr="0072610E">
              <w:rPr>
                <w:sz w:val="20"/>
                <w:szCs w:val="20"/>
              </w:rPr>
              <w:t xml:space="preserve"> A </w:t>
            </w:r>
            <w:r w:rsidR="005724BC" w:rsidRPr="00F32842">
              <w:rPr>
                <w:rFonts w:cs="Arial"/>
                <w:sz w:val="20"/>
                <w:szCs w:val="20"/>
              </w:rPr>
              <w:t xml:space="preserve">steering committee consisting of fishery managers </w:t>
            </w:r>
            <w:r w:rsidR="005724BC" w:rsidRPr="008201A1">
              <w:rPr>
                <w:rFonts w:cs="Arial"/>
                <w:sz w:val="20"/>
                <w:szCs w:val="20"/>
              </w:rPr>
              <w:t>from the three jurisdictions and scientists will oversee and guide the development and implementation of the project.</w:t>
            </w:r>
            <w:r w:rsidR="0020409C" w:rsidRPr="008201A1">
              <w:rPr>
                <w:rFonts w:cs="Arial"/>
                <w:sz w:val="20"/>
                <w:szCs w:val="20"/>
              </w:rPr>
              <w:t xml:space="preserve"> </w:t>
            </w:r>
            <w:r w:rsidR="00020C40" w:rsidRPr="001F2CF9">
              <w:rPr>
                <w:rFonts w:cs="Arial"/>
                <w:sz w:val="20"/>
                <w:szCs w:val="20"/>
              </w:rPr>
              <w:t xml:space="preserve">The </w:t>
            </w:r>
            <w:r w:rsidR="006661FB" w:rsidRPr="001F2CF9">
              <w:rPr>
                <w:rFonts w:cs="Arial"/>
                <w:sz w:val="20"/>
                <w:szCs w:val="20"/>
              </w:rPr>
              <w:t>purpose</w:t>
            </w:r>
            <w:r w:rsidR="00020C40" w:rsidRPr="001F2CF9">
              <w:rPr>
                <w:rFonts w:cs="Arial"/>
                <w:sz w:val="20"/>
                <w:szCs w:val="20"/>
              </w:rPr>
              <w:t xml:space="preserve"> of the </w:t>
            </w:r>
            <w:r w:rsidR="00C47ED8">
              <w:rPr>
                <w:rFonts w:cs="Arial"/>
                <w:sz w:val="20"/>
                <w:szCs w:val="20"/>
              </w:rPr>
              <w:t>‘</w:t>
            </w:r>
            <w:r w:rsidR="00020C40" w:rsidRPr="008201A1">
              <w:rPr>
                <w:rFonts w:cs="Arial"/>
                <w:sz w:val="20"/>
                <w:szCs w:val="20"/>
              </w:rPr>
              <w:t xml:space="preserve">Giant Crab Enhanced Data Collection </w:t>
            </w:r>
            <w:r w:rsidR="00C47ED8">
              <w:rPr>
                <w:rFonts w:cs="Arial"/>
                <w:sz w:val="20"/>
                <w:szCs w:val="20"/>
              </w:rPr>
              <w:t>P</w:t>
            </w:r>
            <w:r w:rsidR="00020C40" w:rsidRPr="008201A1">
              <w:rPr>
                <w:rFonts w:cs="Arial"/>
                <w:sz w:val="20"/>
                <w:szCs w:val="20"/>
              </w:rPr>
              <w:t>roject</w:t>
            </w:r>
            <w:r w:rsidR="00C47ED8">
              <w:rPr>
                <w:rFonts w:cs="Arial"/>
                <w:sz w:val="20"/>
                <w:szCs w:val="20"/>
              </w:rPr>
              <w:t>’</w:t>
            </w:r>
            <w:r w:rsidR="00020C40" w:rsidRPr="008201A1">
              <w:rPr>
                <w:rFonts w:cs="Arial"/>
                <w:sz w:val="20"/>
                <w:szCs w:val="20"/>
              </w:rPr>
              <w:t xml:space="preserve"> is to </w:t>
            </w:r>
            <w:r w:rsidR="000857D2" w:rsidRPr="008201A1">
              <w:rPr>
                <w:rFonts w:cs="Arial"/>
                <w:sz w:val="20"/>
                <w:szCs w:val="20"/>
              </w:rPr>
              <w:t xml:space="preserve">address the </w:t>
            </w:r>
            <w:r w:rsidR="00020C40" w:rsidRPr="001F2CF9">
              <w:rPr>
                <w:rFonts w:cs="Arial"/>
                <w:sz w:val="20"/>
                <w:szCs w:val="20"/>
              </w:rPr>
              <w:t>problem</w:t>
            </w:r>
            <w:r w:rsidR="006661FB" w:rsidRPr="001F2CF9">
              <w:rPr>
                <w:rFonts w:cs="Arial"/>
                <w:sz w:val="20"/>
                <w:szCs w:val="20"/>
              </w:rPr>
              <w:t xml:space="preserve"> of</w:t>
            </w:r>
            <w:r w:rsidR="00020C40" w:rsidRPr="001F2CF9">
              <w:rPr>
                <w:rFonts w:cs="Arial"/>
                <w:sz w:val="20"/>
                <w:szCs w:val="20"/>
              </w:rPr>
              <w:t xml:space="preserve"> collecting</w:t>
            </w:r>
            <w:r w:rsidR="000857D2" w:rsidRPr="001F2CF9">
              <w:rPr>
                <w:rFonts w:cs="Arial"/>
                <w:sz w:val="20"/>
                <w:szCs w:val="20"/>
              </w:rPr>
              <w:t xml:space="preserve"> quality stock assessment data that lead</w:t>
            </w:r>
            <w:r w:rsidR="006661FB" w:rsidRPr="001F2CF9">
              <w:rPr>
                <w:rFonts w:cs="Arial"/>
                <w:sz w:val="20"/>
                <w:szCs w:val="20"/>
              </w:rPr>
              <w:t>s</w:t>
            </w:r>
            <w:r w:rsidR="000857D2" w:rsidRPr="001F2CF9">
              <w:rPr>
                <w:rFonts w:cs="Arial"/>
                <w:sz w:val="20"/>
                <w:szCs w:val="20"/>
              </w:rPr>
              <w:t xml:space="preserve"> to uncertainty in the assessment and management of the southern giant crab fisheries. </w:t>
            </w:r>
            <w:r w:rsidR="006661FB" w:rsidRPr="001F2CF9">
              <w:rPr>
                <w:rFonts w:cs="Arial"/>
                <w:sz w:val="20"/>
                <w:szCs w:val="20"/>
              </w:rPr>
              <w:t>The project aims to develop an innovative and effective low-cost image collection method specific to giant crabs</w:t>
            </w:r>
            <w:r w:rsidR="00AF4D30" w:rsidRPr="001F2CF9">
              <w:rPr>
                <w:rFonts w:cs="Arial"/>
                <w:sz w:val="20"/>
                <w:szCs w:val="20"/>
              </w:rPr>
              <w:t xml:space="preserve"> </w:t>
            </w:r>
            <w:r w:rsidR="006A4215" w:rsidRPr="001F2CF9">
              <w:rPr>
                <w:rFonts w:cs="Arial"/>
                <w:sz w:val="20"/>
                <w:szCs w:val="20"/>
              </w:rPr>
              <w:t>to</w:t>
            </w:r>
            <w:r w:rsidR="00AF4D30" w:rsidRPr="001F2CF9">
              <w:rPr>
                <w:rFonts w:cs="Arial"/>
                <w:sz w:val="20"/>
                <w:szCs w:val="20"/>
              </w:rPr>
              <w:t>:</w:t>
            </w:r>
          </w:p>
          <w:p w14:paraId="41C590E0" w14:textId="3358D9AF" w:rsidR="00AF4D30" w:rsidRPr="001F2CF9" w:rsidRDefault="006A4215">
            <w:pPr>
              <w:pStyle w:val="ListParagraph"/>
              <w:spacing w:before="60" w:after="60" w:line="276" w:lineRule="auto"/>
              <w:contextualSpacing/>
              <w:rPr>
                <w:sz w:val="20"/>
                <w:szCs w:val="20"/>
              </w:rPr>
            </w:pPr>
            <w:r w:rsidRPr="001F2CF9">
              <w:rPr>
                <w:sz w:val="20"/>
                <w:szCs w:val="20"/>
              </w:rPr>
              <w:t>improve the collection of fishery-independent biol</w:t>
            </w:r>
            <w:r w:rsidR="00AF4D30" w:rsidRPr="001F2CF9">
              <w:rPr>
                <w:sz w:val="20"/>
                <w:szCs w:val="20"/>
              </w:rPr>
              <w:t>ogical data;</w:t>
            </w:r>
          </w:p>
          <w:p w14:paraId="352D1A89" w14:textId="07B3998A" w:rsidR="00AF4D30" w:rsidRPr="001F2CF9" w:rsidRDefault="00AF4D30">
            <w:pPr>
              <w:pStyle w:val="ListParagraph"/>
              <w:spacing w:before="60" w:after="60" w:line="276" w:lineRule="auto"/>
              <w:contextualSpacing/>
              <w:rPr>
                <w:sz w:val="20"/>
                <w:szCs w:val="20"/>
              </w:rPr>
            </w:pPr>
            <w:r w:rsidRPr="001F2CF9">
              <w:rPr>
                <w:sz w:val="20"/>
                <w:szCs w:val="20"/>
              </w:rPr>
              <w:t xml:space="preserve">improve </w:t>
            </w:r>
            <w:r w:rsidR="0087295F" w:rsidRPr="001F2CF9">
              <w:rPr>
                <w:sz w:val="20"/>
                <w:szCs w:val="20"/>
              </w:rPr>
              <w:t>the accuracy of biomass and fishing mortality information</w:t>
            </w:r>
            <w:r w:rsidRPr="001F2CF9">
              <w:rPr>
                <w:sz w:val="20"/>
                <w:szCs w:val="20"/>
              </w:rPr>
              <w:t>;</w:t>
            </w:r>
          </w:p>
          <w:p w14:paraId="60C4A86F" w14:textId="5B03B78D" w:rsidR="00AF4D30" w:rsidRPr="001F2CF9" w:rsidRDefault="00AF4D30">
            <w:pPr>
              <w:pStyle w:val="ListParagraph"/>
              <w:spacing w:before="60" w:after="60" w:line="276" w:lineRule="auto"/>
              <w:contextualSpacing/>
              <w:rPr>
                <w:sz w:val="20"/>
                <w:szCs w:val="20"/>
              </w:rPr>
            </w:pPr>
            <w:proofErr w:type="gramStart"/>
            <w:r w:rsidRPr="001F2CF9">
              <w:rPr>
                <w:sz w:val="20"/>
                <w:szCs w:val="20"/>
              </w:rPr>
              <w:t>and</w:t>
            </w:r>
            <w:proofErr w:type="gramEnd"/>
            <w:r w:rsidRPr="001F2CF9">
              <w:rPr>
                <w:sz w:val="20"/>
                <w:szCs w:val="20"/>
              </w:rPr>
              <w:t xml:space="preserve"> </w:t>
            </w:r>
            <w:r w:rsidR="00B401E1" w:rsidRPr="001F2CF9">
              <w:rPr>
                <w:sz w:val="20"/>
                <w:szCs w:val="20"/>
              </w:rPr>
              <w:t xml:space="preserve">enhance the stock assessment process and future </w:t>
            </w:r>
            <w:r w:rsidRPr="001F2CF9">
              <w:rPr>
                <w:sz w:val="20"/>
                <w:szCs w:val="20"/>
              </w:rPr>
              <w:t>assessment</w:t>
            </w:r>
            <w:r w:rsidR="00B401E1" w:rsidRPr="001F2CF9">
              <w:rPr>
                <w:sz w:val="20"/>
                <w:szCs w:val="20"/>
              </w:rPr>
              <w:t>s</w:t>
            </w:r>
            <w:r w:rsidRPr="001F2CF9">
              <w:rPr>
                <w:sz w:val="20"/>
                <w:szCs w:val="20"/>
              </w:rPr>
              <w:t xml:space="preserve"> of the TGCF</w:t>
            </w:r>
            <w:r w:rsidR="006661FB" w:rsidRPr="001F2CF9">
              <w:rPr>
                <w:sz w:val="20"/>
                <w:szCs w:val="20"/>
              </w:rPr>
              <w:t>.</w:t>
            </w:r>
            <w:r w:rsidR="006D76A6" w:rsidRPr="001F2CF9">
              <w:rPr>
                <w:sz w:val="20"/>
                <w:szCs w:val="20"/>
              </w:rPr>
              <w:t xml:space="preserve"> </w:t>
            </w:r>
          </w:p>
          <w:p w14:paraId="23C33F28" w14:textId="0C50139C" w:rsidR="000857D2" w:rsidRPr="001F2CF9" w:rsidRDefault="006D76A6">
            <w:pPr>
              <w:spacing w:before="60" w:after="60" w:line="276" w:lineRule="auto"/>
              <w:contextualSpacing/>
              <w:rPr>
                <w:sz w:val="20"/>
                <w:szCs w:val="20"/>
              </w:rPr>
            </w:pPr>
            <w:r w:rsidRPr="001F2CF9">
              <w:rPr>
                <w:sz w:val="20"/>
                <w:szCs w:val="20"/>
              </w:rPr>
              <w:t>T</w:t>
            </w:r>
            <w:r w:rsidR="00AD46C5" w:rsidRPr="001F2CF9">
              <w:rPr>
                <w:sz w:val="20"/>
                <w:szCs w:val="20"/>
              </w:rPr>
              <w:t>he project will</w:t>
            </w:r>
            <w:r w:rsidR="004758E1" w:rsidRPr="001F2CF9">
              <w:rPr>
                <w:sz w:val="20"/>
                <w:szCs w:val="20"/>
              </w:rPr>
              <w:t xml:space="preserve"> </w:t>
            </w:r>
            <w:r w:rsidR="00AB2E22" w:rsidRPr="001F2CF9">
              <w:rPr>
                <w:sz w:val="20"/>
                <w:szCs w:val="20"/>
              </w:rPr>
              <w:t>consist of</w:t>
            </w:r>
            <w:r w:rsidR="004758E1" w:rsidRPr="001F2CF9">
              <w:rPr>
                <w:sz w:val="20"/>
                <w:szCs w:val="20"/>
              </w:rPr>
              <w:t xml:space="preserve"> three phases and objective</w:t>
            </w:r>
            <w:r w:rsidR="00AB2E22" w:rsidRPr="001F2CF9">
              <w:rPr>
                <w:sz w:val="20"/>
                <w:szCs w:val="20"/>
              </w:rPr>
              <w:t>s</w:t>
            </w:r>
            <w:r w:rsidR="004758E1" w:rsidRPr="001F2CF9">
              <w:rPr>
                <w:sz w:val="20"/>
                <w:szCs w:val="20"/>
              </w:rPr>
              <w:t xml:space="preserve"> </w:t>
            </w:r>
            <w:r w:rsidR="00AB2E22" w:rsidRPr="001F2CF9">
              <w:rPr>
                <w:sz w:val="20"/>
                <w:szCs w:val="20"/>
              </w:rPr>
              <w:t>that</w:t>
            </w:r>
            <w:r w:rsidR="004758E1" w:rsidRPr="001F2CF9">
              <w:rPr>
                <w:sz w:val="20"/>
                <w:szCs w:val="20"/>
              </w:rPr>
              <w:t xml:space="preserve"> will</w:t>
            </w:r>
            <w:r w:rsidR="00AB2E22" w:rsidRPr="001F2CF9">
              <w:rPr>
                <w:sz w:val="20"/>
                <w:szCs w:val="20"/>
              </w:rPr>
              <w:t xml:space="preserve"> be</w:t>
            </w:r>
            <w:r w:rsidR="00AD46C5" w:rsidRPr="001F2CF9">
              <w:rPr>
                <w:sz w:val="20"/>
                <w:szCs w:val="20"/>
              </w:rPr>
              <w:t xml:space="preserve"> spread over </w:t>
            </w:r>
            <w:r w:rsidR="004758E1" w:rsidRPr="001F2CF9">
              <w:rPr>
                <w:sz w:val="20"/>
                <w:szCs w:val="20"/>
              </w:rPr>
              <w:t xml:space="preserve">a </w:t>
            </w:r>
            <w:r w:rsidR="00AD46C5" w:rsidRPr="001F2CF9">
              <w:rPr>
                <w:sz w:val="20"/>
                <w:szCs w:val="20"/>
              </w:rPr>
              <w:t xml:space="preserve">two year </w:t>
            </w:r>
            <w:r w:rsidR="004758E1" w:rsidRPr="001F2CF9">
              <w:rPr>
                <w:sz w:val="20"/>
                <w:szCs w:val="20"/>
              </w:rPr>
              <w:t xml:space="preserve">period </w:t>
            </w:r>
            <w:r w:rsidR="00AD46C5" w:rsidRPr="001F2CF9">
              <w:rPr>
                <w:sz w:val="20"/>
                <w:szCs w:val="20"/>
              </w:rPr>
              <w:t>between 28 January 2020 and 25 January 2022.</w:t>
            </w:r>
          </w:p>
          <w:p w14:paraId="4D7948C3" w14:textId="2AE4545D" w:rsidR="00885298" w:rsidRPr="001F2CF9" w:rsidRDefault="00885298">
            <w:pPr>
              <w:spacing w:before="60" w:after="60" w:line="276" w:lineRule="auto"/>
              <w:contextualSpacing/>
              <w:rPr>
                <w:rFonts w:cs="Arial"/>
                <w:sz w:val="20"/>
                <w:szCs w:val="20"/>
              </w:rPr>
            </w:pPr>
          </w:p>
        </w:tc>
      </w:tr>
      <w:tr w:rsidR="00885298" w:rsidRPr="001F2CF9" w14:paraId="24E6F4E0" w14:textId="77777777" w:rsidTr="00117313">
        <w:trPr>
          <w:cantSplit/>
        </w:trPr>
        <w:tc>
          <w:tcPr>
            <w:tcW w:w="5000" w:type="pct"/>
            <w:gridSpan w:val="2"/>
            <w:shd w:val="clear" w:color="auto" w:fill="DAEEF3"/>
          </w:tcPr>
          <w:p w14:paraId="5031E339" w14:textId="5C249862" w:rsidR="00885298" w:rsidRPr="00F32842" w:rsidRDefault="00885298" w:rsidP="00F32842">
            <w:pPr>
              <w:spacing w:before="60" w:after="60" w:line="276" w:lineRule="auto"/>
              <w:contextualSpacing/>
              <w:rPr>
                <w:rFonts w:cs="Arial"/>
                <w:b/>
                <w:bCs/>
                <w:i/>
                <w:iCs/>
                <w:sz w:val="20"/>
                <w:szCs w:val="20"/>
              </w:rPr>
            </w:pPr>
            <w:r w:rsidRPr="00F32842">
              <w:rPr>
                <w:rFonts w:cs="Arial"/>
                <w:b/>
                <w:bCs/>
                <w:i/>
                <w:iCs/>
                <w:sz w:val="20"/>
                <w:szCs w:val="20"/>
              </w:rPr>
              <w:t xml:space="preserve">Assessment </w:t>
            </w:r>
          </w:p>
        </w:tc>
      </w:tr>
      <w:tr w:rsidR="00885298" w:rsidRPr="001F2CF9" w14:paraId="4FB3EA8F" w14:textId="77777777" w:rsidTr="00117313">
        <w:trPr>
          <w:cantSplit/>
        </w:trPr>
        <w:tc>
          <w:tcPr>
            <w:tcW w:w="1500" w:type="pct"/>
            <w:shd w:val="clear" w:color="auto" w:fill="auto"/>
          </w:tcPr>
          <w:p w14:paraId="2E2A02D7" w14:textId="2A63C702" w:rsidR="007312BE" w:rsidRPr="001F2CF9" w:rsidRDefault="00885298" w:rsidP="00F32842">
            <w:pPr>
              <w:spacing w:before="60" w:after="60" w:line="276" w:lineRule="auto"/>
              <w:contextualSpacing/>
              <w:rPr>
                <w:rFonts w:cs="Arial"/>
                <w:sz w:val="20"/>
                <w:szCs w:val="20"/>
              </w:rPr>
            </w:pPr>
            <w:r w:rsidRPr="00F32842">
              <w:rPr>
                <w:rFonts w:cs="Arial"/>
                <w:b/>
                <w:bCs/>
                <w:i/>
                <w:iCs/>
                <w:sz w:val="20"/>
                <w:szCs w:val="20"/>
              </w:rPr>
              <w:lastRenderedPageBreak/>
              <w:t xml:space="preserve">1.1.2 </w:t>
            </w:r>
            <w:r w:rsidRPr="008201A1">
              <w:rPr>
                <w:rFonts w:cs="Arial"/>
                <w:sz w:val="20"/>
                <w:szCs w:val="20"/>
              </w:rPr>
              <w:t>There is a robust assessment of the dynamics and status of the sp</w:t>
            </w:r>
            <w:r w:rsidRPr="001F2CF9">
              <w:rPr>
                <w:rFonts w:cs="Arial"/>
                <w:sz w:val="20"/>
                <w:szCs w:val="20"/>
              </w:rPr>
              <w:t>ecies/fishery and periodic review of the process and the data collected. Assessment should include a process to identify any reduction in biological diversity and /or reproductive capacity. Review should take place at regular intervals</w:t>
            </w:r>
            <w:r w:rsidR="006B6EF9" w:rsidRPr="001F2CF9">
              <w:rPr>
                <w:rFonts w:cs="Arial"/>
                <w:sz w:val="20"/>
                <w:szCs w:val="20"/>
              </w:rPr>
              <w:t xml:space="preserve"> but at least every three years.</w:t>
            </w:r>
          </w:p>
          <w:p w14:paraId="619918D7" w14:textId="4E9ECF2E" w:rsidR="004649FA" w:rsidRPr="001F2CF9" w:rsidRDefault="004649FA" w:rsidP="008201A1">
            <w:pPr>
              <w:spacing w:before="60" w:after="60" w:line="276" w:lineRule="auto"/>
              <w:contextualSpacing/>
              <w:rPr>
                <w:rFonts w:cs="Arial"/>
                <w:sz w:val="20"/>
                <w:szCs w:val="20"/>
              </w:rPr>
            </w:pPr>
          </w:p>
        </w:tc>
        <w:tc>
          <w:tcPr>
            <w:tcW w:w="3500" w:type="pct"/>
            <w:shd w:val="clear" w:color="auto" w:fill="FFC000"/>
          </w:tcPr>
          <w:p w14:paraId="14C0709E" w14:textId="27FBE627" w:rsidR="002F5A1E" w:rsidRPr="001F2CF9" w:rsidRDefault="00F8472A">
            <w:pPr>
              <w:spacing w:before="60" w:after="60" w:line="276" w:lineRule="auto"/>
              <w:contextualSpacing/>
              <w:rPr>
                <w:rFonts w:cs="Arial"/>
                <w:sz w:val="20"/>
                <w:szCs w:val="20"/>
              </w:rPr>
            </w:pPr>
            <w:r w:rsidRPr="001F2CF9">
              <w:rPr>
                <w:rFonts w:cs="Arial"/>
                <w:b/>
                <w:sz w:val="20"/>
                <w:szCs w:val="20"/>
              </w:rPr>
              <w:t xml:space="preserve">Partially meets </w:t>
            </w:r>
            <w:r w:rsidR="005869AD" w:rsidRPr="001F2CF9">
              <w:rPr>
                <w:rFonts w:cs="Arial"/>
                <w:b/>
                <w:sz w:val="20"/>
                <w:szCs w:val="20"/>
              </w:rPr>
              <w:t xml:space="preserve">– </w:t>
            </w:r>
            <w:r w:rsidR="005E0D8C">
              <w:rPr>
                <w:rFonts w:cs="Arial"/>
                <w:b/>
                <w:sz w:val="20"/>
                <w:szCs w:val="20"/>
              </w:rPr>
              <w:tab/>
            </w:r>
            <w:r w:rsidR="00C74B33" w:rsidRPr="001F2CF9">
              <w:rPr>
                <w:rFonts w:cs="Arial"/>
                <w:b/>
                <w:sz w:val="20"/>
                <w:szCs w:val="20"/>
              </w:rPr>
              <w:t>Stock assessments</w:t>
            </w:r>
            <w:r w:rsidR="00ED1866" w:rsidRPr="001F2CF9">
              <w:rPr>
                <w:rFonts w:cs="Arial"/>
                <w:b/>
                <w:sz w:val="20"/>
                <w:szCs w:val="20"/>
              </w:rPr>
              <w:t xml:space="preserve"> are</w:t>
            </w:r>
            <w:r w:rsidR="00C74B33" w:rsidRPr="001F2CF9">
              <w:rPr>
                <w:rFonts w:cs="Arial"/>
                <w:b/>
                <w:sz w:val="20"/>
                <w:szCs w:val="20"/>
              </w:rPr>
              <w:t xml:space="preserve"> irregular, or pending</w:t>
            </w:r>
            <w:r w:rsidR="00ED1866" w:rsidRPr="001F2CF9">
              <w:rPr>
                <w:rFonts w:cs="Arial"/>
                <w:b/>
                <w:sz w:val="20"/>
                <w:szCs w:val="20"/>
              </w:rPr>
              <w:t xml:space="preserve"> necessitating </w:t>
            </w:r>
            <w:r w:rsidR="00C74B33" w:rsidRPr="001F2CF9">
              <w:rPr>
                <w:rFonts w:cs="Arial"/>
                <w:b/>
                <w:sz w:val="20"/>
                <w:szCs w:val="20"/>
              </w:rPr>
              <w:t xml:space="preserve">precautionary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C74B33" w:rsidRPr="001F2CF9">
              <w:rPr>
                <w:rFonts w:cs="Arial"/>
                <w:b/>
                <w:sz w:val="20"/>
                <w:szCs w:val="20"/>
              </w:rPr>
              <w:t>management</w:t>
            </w:r>
            <w:r w:rsidR="00163B9F" w:rsidRPr="001F2CF9">
              <w:rPr>
                <w:rFonts w:cs="Arial"/>
                <w:b/>
                <w:sz w:val="20"/>
                <w:szCs w:val="20"/>
              </w:rPr>
              <w:t>.</w:t>
            </w:r>
            <w:r w:rsidR="005E0D8C">
              <w:rPr>
                <w:rFonts w:cs="Arial"/>
                <w:b/>
                <w:sz w:val="20"/>
                <w:szCs w:val="20"/>
              </w:rPr>
              <w:br/>
            </w:r>
            <w:r w:rsidR="005E0D8C">
              <w:rPr>
                <w:rFonts w:cs="Arial"/>
                <w:b/>
                <w:sz w:val="20"/>
                <w:szCs w:val="20"/>
              </w:rPr>
              <w:tab/>
            </w:r>
            <w:r w:rsidR="005E0D8C">
              <w:rPr>
                <w:rFonts w:cs="Arial"/>
                <w:b/>
                <w:sz w:val="20"/>
                <w:szCs w:val="20"/>
              </w:rPr>
              <w:tab/>
            </w:r>
            <w:r w:rsidR="005E0D8C">
              <w:rPr>
                <w:rFonts w:cs="Arial"/>
                <w:b/>
                <w:sz w:val="20"/>
                <w:szCs w:val="20"/>
              </w:rPr>
              <w:tab/>
            </w:r>
            <w:r w:rsidR="004E7A5A">
              <w:rPr>
                <w:rFonts w:cs="Arial"/>
                <w:b/>
                <w:sz w:val="20"/>
                <w:szCs w:val="20"/>
              </w:rPr>
              <w:t xml:space="preserve">[Recommendation 2 at section 4 of this report addresses regularity and methods of </w:t>
            </w:r>
            <w:r w:rsidR="004E7A5A">
              <w:rPr>
                <w:rFonts w:cs="Arial"/>
                <w:b/>
                <w:sz w:val="20"/>
                <w:szCs w:val="20"/>
              </w:rPr>
              <w:tab/>
            </w:r>
            <w:r w:rsidR="004E7A5A">
              <w:rPr>
                <w:rFonts w:cs="Arial"/>
                <w:b/>
                <w:sz w:val="20"/>
                <w:szCs w:val="20"/>
              </w:rPr>
              <w:tab/>
            </w:r>
            <w:r w:rsidR="004E7A5A">
              <w:rPr>
                <w:rFonts w:cs="Arial"/>
                <w:b/>
                <w:sz w:val="20"/>
                <w:szCs w:val="20"/>
              </w:rPr>
              <w:tab/>
              <w:t>stock assessments]</w:t>
            </w:r>
          </w:p>
          <w:p w14:paraId="53E784C4" w14:textId="77777777" w:rsidR="007153C9" w:rsidRDefault="007153C9">
            <w:pPr>
              <w:spacing w:before="60" w:after="60" w:line="276" w:lineRule="auto"/>
              <w:contextualSpacing/>
              <w:rPr>
                <w:rFonts w:cs="Arial"/>
                <w:sz w:val="20"/>
                <w:szCs w:val="20"/>
              </w:rPr>
            </w:pPr>
          </w:p>
          <w:p w14:paraId="5B1D9A37" w14:textId="43265782" w:rsidR="00751899" w:rsidRPr="001F2CF9" w:rsidRDefault="00751899">
            <w:pPr>
              <w:spacing w:before="60" w:after="60" w:line="276" w:lineRule="auto"/>
              <w:contextualSpacing/>
              <w:rPr>
                <w:rFonts w:cs="Arial"/>
                <w:sz w:val="20"/>
                <w:szCs w:val="20"/>
              </w:rPr>
            </w:pPr>
            <w:r w:rsidRPr="001F2CF9">
              <w:rPr>
                <w:rFonts w:cs="Arial"/>
                <w:sz w:val="20"/>
                <w:szCs w:val="20"/>
              </w:rPr>
              <w:t xml:space="preserve">IMAS undertook assessments of the TGCF every year until 2011 and every second year until 2015 </w:t>
            </w:r>
            <w:r w:rsidR="00EC65EA" w:rsidRPr="001F2CF9">
              <w:rPr>
                <w:rFonts w:cs="Arial"/>
                <w:sz w:val="20"/>
                <w:szCs w:val="20"/>
              </w:rPr>
              <w:t>–</w:t>
            </w:r>
            <w:r w:rsidRPr="001F2CF9">
              <w:rPr>
                <w:rFonts w:cs="Arial"/>
                <w:sz w:val="20"/>
                <w:szCs w:val="20"/>
              </w:rPr>
              <w:t xml:space="preserve"> the most recent assessment of the fishery published and available is dated 2015. IMAS is currently working on the 2018/19 stock assessment update for the TGCF that should be available in</w:t>
            </w:r>
            <w:r w:rsidR="001919F0">
              <w:rPr>
                <w:rFonts w:cs="Arial"/>
                <w:sz w:val="20"/>
                <w:szCs w:val="20"/>
              </w:rPr>
              <w:t xml:space="preserve"> 2020</w:t>
            </w:r>
            <w:r w:rsidRPr="001F2CF9">
              <w:rPr>
                <w:rFonts w:cs="Arial"/>
                <w:sz w:val="20"/>
                <w:szCs w:val="20"/>
              </w:rPr>
              <w:t>. Stock assessment updates of the fishery are provided each year in November to the CFAC. These reports review and provide advice on the performance of the fishery management arrangements. IMAS is currently working on a new online assessment system to replace the traditional published report format for both the giant crab and rock lobster fisheries</w:t>
            </w:r>
            <w:r w:rsidR="00C07384">
              <w:rPr>
                <w:rFonts w:cs="Arial"/>
                <w:sz w:val="20"/>
                <w:szCs w:val="20"/>
              </w:rPr>
              <w:t>,</w:t>
            </w:r>
            <w:r w:rsidRPr="008201A1">
              <w:rPr>
                <w:rFonts w:cs="Arial"/>
                <w:sz w:val="20"/>
                <w:szCs w:val="20"/>
              </w:rPr>
              <w:t xml:space="preserve"> but completion of this project has been delayed due to changes in fisher</w:t>
            </w:r>
            <w:r w:rsidR="00C07384">
              <w:rPr>
                <w:rFonts w:cs="Arial"/>
                <w:sz w:val="20"/>
                <w:szCs w:val="20"/>
              </w:rPr>
              <w:t>y</w:t>
            </w:r>
            <w:r w:rsidRPr="001F2CF9">
              <w:rPr>
                <w:rFonts w:cs="Arial"/>
                <w:sz w:val="20"/>
                <w:szCs w:val="20"/>
              </w:rPr>
              <w:t xml:space="preserve"> database systems and loss of key staff.</w:t>
            </w:r>
          </w:p>
          <w:p w14:paraId="602D4F4D" w14:textId="77777777" w:rsidR="00751899" w:rsidRPr="001F2CF9" w:rsidRDefault="00751899">
            <w:pPr>
              <w:spacing w:before="60" w:after="60" w:line="276" w:lineRule="auto"/>
              <w:contextualSpacing/>
              <w:rPr>
                <w:rFonts w:cs="Arial"/>
                <w:sz w:val="20"/>
                <w:szCs w:val="20"/>
              </w:rPr>
            </w:pPr>
          </w:p>
          <w:p w14:paraId="035E5530" w14:textId="315A740A" w:rsidR="00450D98" w:rsidRPr="001F2CF9" w:rsidRDefault="00DA4113">
            <w:pPr>
              <w:spacing w:before="60" w:after="60" w:line="276" w:lineRule="auto"/>
              <w:contextualSpacing/>
              <w:rPr>
                <w:rFonts w:cs="Arial"/>
                <w:sz w:val="20"/>
                <w:szCs w:val="20"/>
              </w:rPr>
            </w:pPr>
            <w:r w:rsidRPr="001F2CF9">
              <w:rPr>
                <w:rFonts w:cs="Arial"/>
                <w:sz w:val="20"/>
                <w:szCs w:val="20"/>
              </w:rPr>
              <w:t xml:space="preserve">The FRDC provides a periodic report on </w:t>
            </w:r>
            <w:r w:rsidRPr="00022496">
              <w:rPr>
                <w:rFonts w:cs="Arial"/>
                <w:sz w:val="20"/>
                <w:szCs w:val="20"/>
              </w:rPr>
              <w:t>Status of Australian Fish Stocks</w:t>
            </w:r>
            <w:r w:rsidRPr="00F32842">
              <w:rPr>
                <w:rFonts w:cs="Arial"/>
                <w:sz w:val="20"/>
                <w:szCs w:val="20"/>
              </w:rPr>
              <w:t xml:space="preserve"> </w:t>
            </w:r>
            <w:r w:rsidR="00423A0F" w:rsidRPr="008201A1">
              <w:rPr>
                <w:rFonts w:cs="Arial"/>
                <w:sz w:val="20"/>
                <w:szCs w:val="20"/>
              </w:rPr>
              <w:t>every few years</w:t>
            </w:r>
            <w:r w:rsidRPr="001F2CF9">
              <w:rPr>
                <w:rFonts w:cs="Arial"/>
                <w:sz w:val="20"/>
                <w:szCs w:val="20"/>
              </w:rPr>
              <w:t xml:space="preserve"> </w:t>
            </w:r>
            <w:r w:rsidR="00423A0F" w:rsidRPr="001F2CF9">
              <w:rPr>
                <w:rFonts w:cs="Arial"/>
                <w:sz w:val="20"/>
                <w:szCs w:val="20"/>
              </w:rPr>
              <w:t>for the TGCF</w:t>
            </w:r>
            <w:r w:rsidR="00022496">
              <w:rPr>
                <w:rFonts w:cs="Arial"/>
                <w:sz w:val="20"/>
                <w:szCs w:val="20"/>
              </w:rPr>
              <w:t xml:space="preserve"> </w:t>
            </w:r>
            <w:r w:rsidR="00022496" w:rsidRPr="002B656C">
              <w:rPr>
                <w:rFonts w:cs="Arial"/>
                <w:sz w:val="20"/>
                <w:szCs w:val="20"/>
              </w:rPr>
              <w:t>(link accessible in Section 1: Notes)</w:t>
            </w:r>
            <w:r w:rsidR="00423A0F" w:rsidRPr="001F2CF9">
              <w:rPr>
                <w:rFonts w:cs="Arial"/>
                <w:sz w:val="20"/>
                <w:szCs w:val="20"/>
              </w:rPr>
              <w:t>. The latest 2018 FRDC report categorises</w:t>
            </w:r>
            <w:r w:rsidRPr="001F2CF9">
              <w:rPr>
                <w:rFonts w:cs="Arial"/>
                <w:sz w:val="20"/>
                <w:szCs w:val="20"/>
              </w:rPr>
              <w:t xml:space="preserve"> the giant crab as overfished in Tasmania.</w:t>
            </w:r>
            <w:r w:rsidR="00411823" w:rsidRPr="001F2CF9">
              <w:rPr>
                <w:rFonts w:cs="Arial"/>
                <w:sz w:val="20"/>
                <w:szCs w:val="20"/>
              </w:rPr>
              <w:t xml:space="preserve"> The giant crab stock assessment model has not been used since 2015 </w:t>
            </w:r>
            <w:r w:rsidR="00F55CF6" w:rsidRPr="001F2CF9">
              <w:rPr>
                <w:rFonts w:cs="Arial"/>
                <w:sz w:val="20"/>
                <w:szCs w:val="20"/>
              </w:rPr>
              <w:t xml:space="preserve">as it is considered unable to produce reliable giant crab biomass estimates </w:t>
            </w:r>
            <w:r w:rsidR="00411823" w:rsidRPr="001F2CF9">
              <w:rPr>
                <w:rFonts w:cs="Arial"/>
                <w:sz w:val="20"/>
                <w:szCs w:val="20"/>
              </w:rPr>
              <w:t>due to a lack of giant crab size</w:t>
            </w:r>
            <w:r w:rsidR="00F55CF6" w:rsidRPr="001F2CF9">
              <w:rPr>
                <w:rFonts w:cs="Arial"/>
                <w:sz w:val="20"/>
                <w:szCs w:val="20"/>
              </w:rPr>
              <w:t>,</w:t>
            </w:r>
            <w:r w:rsidR="00411823" w:rsidRPr="001F2CF9">
              <w:rPr>
                <w:rFonts w:cs="Arial"/>
                <w:sz w:val="20"/>
                <w:szCs w:val="20"/>
              </w:rPr>
              <w:t xml:space="preserve"> population and biological data. </w:t>
            </w:r>
            <w:r w:rsidR="00057560" w:rsidRPr="001F2CF9">
              <w:rPr>
                <w:rFonts w:cs="Arial"/>
                <w:sz w:val="20"/>
                <w:szCs w:val="20"/>
              </w:rPr>
              <w:t xml:space="preserve">Scientists and fishery managers regularly assess </w:t>
            </w:r>
            <w:r w:rsidR="008E72A1" w:rsidRPr="001F2CF9">
              <w:rPr>
                <w:rFonts w:cs="Arial"/>
                <w:sz w:val="20"/>
                <w:szCs w:val="20"/>
              </w:rPr>
              <w:t xml:space="preserve">the reproductive capacity of the stock and </w:t>
            </w:r>
            <w:r w:rsidR="00057560" w:rsidRPr="001F2CF9">
              <w:rPr>
                <w:rFonts w:cs="Arial"/>
                <w:sz w:val="20"/>
                <w:szCs w:val="20"/>
              </w:rPr>
              <w:t>any reduction in biological diversity</w:t>
            </w:r>
            <w:r w:rsidR="008E72A1" w:rsidRPr="001F2CF9">
              <w:rPr>
                <w:rFonts w:cs="Arial"/>
                <w:sz w:val="20"/>
                <w:szCs w:val="20"/>
              </w:rPr>
              <w:t xml:space="preserve"> </w:t>
            </w:r>
            <w:r w:rsidR="00057560" w:rsidRPr="001F2CF9">
              <w:rPr>
                <w:rFonts w:cs="Arial"/>
                <w:sz w:val="20"/>
                <w:szCs w:val="20"/>
              </w:rPr>
              <w:t>despite the lack of data and appropriate modelling projections.</w:t>
            </w:r>
            <w:r w:rsidR="00411823" w:rsidRPr="001F2CF9">
              <w:rPr>
                <w:rFonts w:cs="Arial"/>
                <w:sz w:val="20"/>
                <w:szCs w:val="20"/>
              </w:rPr>
              <w:t xml:space="preserve"> A</w:t>
            </w:r>
            <w:r w:rsidR="00057560" w:rsidRPr="001F2CF9">
              <w:rPr>
                <w:rFonts w:cs="Arial"/>
                <w:sz w:val="20"/>
                <w:szCs w:val="20"/>
              </w:rPr>
              <w:t xml:space="preserve">ccurate data collection is </w:t>
            </w:r>
            <w:r w:rsidR="00411823" w:rsidRPr="001F2CF9">
              <w:rPr>
                <w:rFonts w:cs="Arial"/>
                <w:sz w:val="20"/>
                <w:szCs w:val="20"/>
              </w:rPr>
              <w:t>difficult in the TGCF due to:</w:t>
            </w:r>
          </w:p>
          <w:p w14:paraId="65C83737" w14:textId="2EEDB4B0" w:rsidR="00411823" w:rsidRPr="001F2CF9" w:rsidRDefault="008E72A1">
            <w:pPr>
              <w:pStyle w:val="ListParagraph"/>
              <w:spacing w:before="60" w:after="60" w:line="276" w:lineRule="auto"/>
              <w:contextualSpacing/>
              <w:rPr>
                <w:rFonts w:cs="Arial"/>
                <w:sz w:val="20"/>
                <w:szCs w:val="20"/>
              </w:rPr>
            </w:pPr>
            <w:r w:rsidRPr="001F2CF9">
              <w:rPr>
                <w:rFonts w:cs="Arial"/>
                <w:sz w:val="20"/>
                <w:szCs w:val="20"/>
              </w:rPr>
              <w:t xml:space="preserve">the </w:t>
            </w:r>
            <w:r w:rsidR="00411823" w:rsidRPr="001F2CF9">
              <w:rPr>
                <w:rFonts w:cs="Arial"/>
                <w:sz w:val="20"/>
                <w:szCs w:val="20"/>
              </w:rPr>
              <w:t>small number of operators in the fishery;</w:t>
            </w:r>
          </w:p>
          <w:p w14:paraId="4CFB2C5F" w14:textId="7AC76BC8" w:rsidR="00411823" w:rsidRPr="001F2CF9" w:rsidRDefault="008E72A1">
            <w:pPr>
              <w:pStyle w:val="ListParagraph"/>
              <w:spacing w:before="60" w:after="60" w:line="276" w:lineRule="auto"/>
              <w:contextualSpacing/>
              <w:rPr>
                <w:rFonts w:cs="Arial"/>
                <w:sz w:val="20"/>
                <w:szCs w:val="20"/>
              </w:rPr>
            </w:pPr>
            <w:r w:rsidRPr="001F2CF9">
              <w:rPr>
                <w:rFonts w:cs="Arial"/>
                <w:sz w:val="20"/>
                <w:szCs w:val="20"/>
              </w:rPr>
              <w:t xml:space="preserve">The </w:t>
            </w:r>
            <w:r w:rsidR="00411823" w:rsidRPr="001F2CF9">
              <w:rPr>
                <w:rFonts w:cs="Arial"/>
                <w:sz w:val="20"/>
                <w:szCs w:val="20"/>
              </w:rPr>
              <w:t>size of the fishery;</w:t>
            </w:r>
          </w:p>
          <w:p w14:paraId="198EE8B4" w14:textId="2472824C" w:rsidR="002F5A1E" w:rsidRPr="001F2CF9" w:rsidRDefault="008E72A1">
            <w:pPr>
              <w:pStyle w:val="ListParagraph"/>
              <w:spacing w:before="60" w:after="60" w:line="276" w:lineRule="auto"/>
              <w:contextualSpacing/>
              <w:rPr>
                <w:rFonts w:cs="Arial"/>
                <w:sz w:val="20"/>
                <w:szCs w:val="20"/>
              </w:rPr>
            </w:pPr>
            <w:proofErr w:type="gramStart"/>
            <w:r w:rsidRPr="001F2CF9">
              <w:rPr>
                <w:rFonts w:cs="Arial"/>
                <w:sz w:val="20"/>
                <w:szCs w:val="20"/>
              </w:rPr>
              <w:t>and</w:t>
            </w:r>
            <w:proofErr w:type="gramEnd"/>
            <w:r w:rsidRPr="001F2CF9">
              <w:rPr>
                <w:rFonts w:cs="Arial"/>
                <w:sz w:val="20"/>
                <w:szCs w:val="20"/>
              </w:rPr>
              <w:t xml:space="preserve"> the </w:t>
            </w:r>
            <w:r w:rsidR="00411823" w:rsidRPr="001F2CF9">
              <w:rPr>
                <w:rFonts w:cs="Arial"/>
                <w:sz w:val="20"/>
                <w:szCs w:val="20"/>
              </w:rPr>
              <w:t xml:space="preserve">remote </w:t>
            </w:r>
            <w:r w:rsidRPr="001F2CF9">
              <w:rPr>
                <w:rFonts w:cs="Arial"/>
                <w:sz w:val="20"/>
                <w:szCs w:val="20"/>
              </w:rPr>
              <w:t xml:space="preserve">nature of </w:t>
            </w:r>
            <w:r w:rsidR="00411823" w:rsidRPr="001F2CF9">
              <w:rPr>
                <w:rFonts w:cs="Arial"/>
                <w:sz w:val="20"/>
                <w:szCs w:val="20"/>
              </w:rPr>
              <w:t>fishing operations.</w:t>
            </w:r>
          </w:p>
          <w:p w14:paraId="4E875B19" w14:textId="0446DC05" w:rsidR="00885298" w:rsidRDefault="0037071C">
            <w:pPr>
              <w:spacing w:before="60" w:after="60" w:line="276" w:lineRule="auto"/>
              <w:contextualSpacing/>
              <w:rPr>
                <w:rFonts w:cs="Arial"/>
                <w:sz w:val="20"/>
                <w:szCs w:val="20"/>
              </w:rPr>
            </w:pPr>
            <w:r w:rsidRPr="001F2CF9">
              <w:rPr>
                <w:rFonts w:cs="Arial"/>
                <w:sz w:val="20"/>
                <w:szCs w:val="20"/>
              </w:rPr>
              <w:t>DPIPWE in collaboration wit</w:t>
            </w:r>
            <w:r w:rsidR="008E72A1" w:rsidRPr="001F2CF9">
              <w:rPr>
                <w:rFonts w:cs="Arial"/>
                <w:sz w:val="20"/>
                <w:szCs w:val="20"/>
              </w:rPr>
              <w:t>h IMAS</w:t>
            </w:r>
            <w:r w:rsidR="00CC3146">
              <w:rPr>
                <w:rFonts w:cs="Arial"/>
                <w:sz w:val="20"/>
                <w:szCs w:val="20"/>
              </w:rPr>
              <w:t>, are</w:t>
            </w:r>
            <w:r w:rsidR="008E72A1" w:rsidRPr="008201A1">
              <w:rPr>
                <w:rFonts w:cs="Arial"/>
                <w:sz w:val="20"/>
                <w:szCs w:val="20"/>
              </w:rPr>
              <w:t xml:space="preserve"> </w:t>
            </w:r>
            <w:r w:rsidR="006B6F62" w:rsidRPr="008201A1">
              <w:rPr>
                <w:rFonts w:cs="Arial"/>
                <w:sz w:val="20"/>
                <w:szCs w:val="20"/>
              </w:rPr>
              <w:t>working</w:t>
            </w:r>
            <w:r w:rsidR="008E72A1" w:rsidRPr="001F2CF9">
              <w:rPr>
                <w:rFonts w:cs="Arial"/>
                <w:sz w:val="20"/>
                <w:szCs w:val="20"/>
              </w:rPr>
              <w:t xml:space="preserve"> to resolve the</w:t>
            </w:r>
            <w:r w:rsidRPr="001F2CF9">
              <w:rPr>
                <w:rFonts w:cs="Arial"/>
                <w:sz w:val="20"/>
                <w:szCs w:val="20"/>
              </w:rPr>
              <w:t xml:space="preserve"> data gap issue by participating in a new FRDC project </w:t>
            </w:r>
            <w:r w:rsidR="00CC3146">
              <w:rPr>
                <w:rFonts w:cs="Arial"/>
                <w:sz w:val="20"/>
                <w:szCs w:val="20"/>
              </w:rPr>
              <w:t>‘</w:t>
            </w:r>
            <w:r w:rsidR="008E72A1" w:rsidRPr="008201A1">
              <w:rPr>
                <w:rFonts w:cs="Arial"/>
                <w:i/>
                <w:sz w:val="20"/>
                <w:szCs w:val="20"/>
              </w:rPr>
              <w:t>Giant Crab Enhanced Data Collection</w:t>
            </w:r>
            <w:r w:rsidR="00CC3146">
              <w:rPr>
                <w:rFonts w:cs="Arial"/>
                <w:i/>
                <w:sz w:val="20"/>
                <w:szCs w:val="20"/>
              </w:rPr>
              <w:t>’</w:t>
            </w:r>
            <w:r w:rsidRPr="008201A1">
              <w:rPr>
                <w:rFonts w:cs="Arial"/>
                <w:sz w:val="20"/>
                <w:szCs w:val="20"/>
              </w:rPr>
              <w:t xml:space="preserve"> </w:t>
            </w:r>
            <w:r w:rsidR="008E72A1" w:rsidRPr="008201A1">
              <w:rPr>
                <w:rFonts w:cs="Arial"/>
                <w:sz w:val="20"/>
                <w:szCs w:val="20"/>
              </w:rPr>
              <w:t xml:space="preserve">(FRDC project 2019-114). DPIPWE is </w:t>
            </w:r>
            <w:r w:rsidR="00721AB5" w:rsidRPr="001F2CF9">
              <w:rPr>
                <w:rFonts w:cs="Arial"/>
                <w:sz w:val="20"/>
                <w:szCs w:val="20"/>
              </w:rPr>
              <w:t>collaborating with</w:t>
            </w:r>
            <w:r w:rsidRPr="001F2CF9">
              <w:rPr>
                <w:rFonts w:cs="Arial"/>
                <w:sz w:val="20"/>
                <w:szCs w:val="20"/>
              </w:rPr>
              <w:t xml:space="preserve"> the South Australian and Victorian giant crab fishery jurisdictions</w:t>
            </w:r>
            <w:r w:rsidR="00721AB5" w:rsidRPr="001F2CF9">
              <w:rPr>
                <w:rFonts w:cs="Arial"/>
                <w:sz w:val="20"/>
                <w:szCs w:val="20"/>
              </w:rPr>
              <w:t xml:space="preserve"> to develop enhanced data collection methods for </w:t>
            </w:r>
            <w:r w:rsidR="005E4163" w:rsidRPr="001F2CF9">
              <w:rPr>
                <w:rFonts w:cs="Arial"/>
                <w:sz w:val="20"/>
                <w:szCs w:val="20"/>
              </w:rPr>
              <w:t>the shared giant c</w:t>
            </w:r>
            <w:r w:rsidR="00721AB5" w:rsidRPr="001F2CF9">
              <w:rPr>
                <w:rFonts w:cs="Arial"/>
                <w:sz w:val="20"/>
                <w:szCs w:val="20"/>
              </w:rPr>
              <w:t>rab fisheries.</w:t>
            </w:r>
          </w:p>
          <w:p w14:paraId="5ECF3F15" w14:textId="4A3A9F2B" w:rsidR="00564BC9" w:rsidRPr="00F32842" w:rsidRDefault="00564BC9">
            <w:pPr>
              <w:spacing w:before="60" w:after="60" w:line="276" w:lineRule="auto"/>
              <w:contextualSpacing/>
              <w:rPr>
                <w:rFonts w:cs="Arial"/>
                <w:sz w:val="20"/>
                <w:szCs w:val="20"/>
              </w:rPr>
            </w:pPr>
          </w:p>
        </w:tc>
      </w:tr>
      <w:tr w:rsidR="00885298" w:rsidRPr="001F2CF9" w14:paraId="554D6C9D" w14:textId="77777777" w:rsidTr="0072610E">
        <w:trPr>
          <w:cantSplit/>
          <w:trHeight w:val="854"/>
        </w:trPr>
        <w:tc>
          <w:tcPr>
            <w:tcW w:w="1500" w:type="pct"/>
            <w:shd w:val="clear" w:color="auto" w:fill="auto"/>
          </w:tcPr>
          <w:p w14:paraId="4E9F9AB0" w14:textId="6EA533E3" w:rsidR="00885298" w:rsidRPr="001F2CF9" w:rsidRDefault="00885298" w:rsidP="00F32842">
            <w:pPr>
              <w:spacing w:before="60" w:after="60" w:line="276" w:lineRule="auto"/>
              <w:contextualSpacing/>
              <w:rPr>
                <w:rFonts w:cs="Arial"/>
                <w:i/>
                <w:iCs/>
                <w:sz w:val="20"/>
                <w:szCs w:val="20"/>
              </w:rPr>
            </w:pPr>
            <w:r w:rsidRPr="00F32842">
              <w:rPr>
                <w:rFonts w:cs="Arial"/>
                <w:b/>
                <w:bCs/>
                <w:i/>
                <w:iCs/>
                <w:sz w:val="20"/>
                <w:szCs w:val="20"/>
              </w:rPr>
              <w:lastRenderedPageBreak/>
              <w:t xml:space="preserve">1.1.3 </w:t>
            </w:r>
            <w:r w:rsidRPr="008201A1">
              <w:rPr>
                <w:rFonts w:cs="Arial"/>
                <w:sz w:val="20"/>
                <w:szCs w:val="20"/>
              </w:rPr>
              <w:t>The distribution and spatial structure of the stock(s) has been established and factored into management responses</w:t>
            </w:r>
            <w:r w:rsidR="006B6EF9" w:rsidRPr="001F2CF9">
              <w:rPr>
                <w:rFonts w:cs="Arial"/>
                <w:i/>
                <w:iCs/>
                <w:sz w:val="20"/>
                <w:szCs w:val="20"/>
              </w:rPr>
              <w:t>.</w:t>
            </w:r>
          </w:p>
          <w:p w14:paraId="0D80A14A" w14:textId="315FCA83" w:rsidR="004649FA" w:rsidRPr="001F2CF9" w:rsidRDefault="004649FA" w:rsidP="008201A1">
            <w:pPr>
              <w:spacing w:before="60" w:after="60" w:line="276" w:lineRule="auto"/>
              <w:contextualSpacing/>
              <w:rPr>
                <w:rFonts w:cs="Arial"/>
                <w:i/>
                <w:iCs/>
                <w:sz w:val="20"/>
                <w:szCs w:val="20"/>
              </w:rPr>
            </w:pPr>
          </w:p>
        </w:tc>
        <w:tc>
          <w:tcPr>
            <w:tcW w:w="3500" w:type="pct"/>
            <w:shd w:val="clear" w:color="auto" w:fill="FFC000"/>
          </w:tcPr>
          <w:p w14:paraId="23A2F536" w14:textId="77777777" w:rsidR="005E0D8C" w:rsidRDefault="00356F32">
            <w:pPr>
              <w:spacing w:before="60" w:after="60" w:line="276" w:lineRule="auto"/>
              <w:contextualSpacing/>
              <w:rPr>
                <w:rFonts w:cs="Arial"/>
                <w:b/>
                <w:sz w:val="20"/>
                <w:szCs w:val="20"/>
              </w:rPr>
            </w:pPr>
            <w:r w:rsidRPr="001F2CF9">
              <w:rPr>
                <w:rFonts w:cs="Arial"/>
                <w:b/>
                <w:sz w:val="20"/>
                <w:szCs w:val="20"/>
              </w:rPr>
              <w:t>Partially meets</w:t>
            </w:r>
            <w:r w:rsidR="005869AD" w:rsidRPr="001F2CF9">
              <w:rPr>
                <w:rFonts w:cs="Arial"/>
                <w:b/>
                <w:sz w:val="20"/>
                <w:szCs w:val="20"/>
              </w:rPr>
              <w:t xml:space="preserve"> – </w:t>
            </w:r>
            <w:r w:rsidR="005E0D8C">
              <w:rPr>
                <w:rFonts w:cs="Arial"/>
                <w:b/>
                <w:sz w:val="20"/>
                <w:szCs w:val="20"/>
              </w:rPr>
              <w:tab/>
            </w:r>
            <w:r w:rsidRPr="001F2CF9">
              <w:rPr>
                <w:rFonts w:cs="Arial"/>
                <w:b/>
                <w:sz w:val="20"/>
                <w:szCs w:val="20"/>
              </w:rPr>
              <w:t>Spatial information is collected but lacks accuracy and is yet to be used</w:t>
            </w:r>
            <w:r w:rsidR="00163B9F" w:rsidRPr="001F2CF9">
              <w:rPr>
                <w:rFonts w:cs="Arial"/>
                <w:b/>
                <w:sz w:val="20"/>
                <w:szCs w:val="20"/>
              </w:rPr>
              <w:t>.</w:t>
            </w:r>
            <w:r w:rsidR="005E0D8C">
              <w:rPr>
                <w:rFonts w:cs="Arial"/>
                <w:b/>
                <w:sz w:val="20"/>
                <w:szCs w:val="20"/>
              </w:rPr>
              <w:br/>
            </w:r>
            <w:r w:rsidR="005E0D8C">
              <w:rPr>
                <w:rFonts w:cs="Arial"/>
                <w:b/>
                <w:sz w:val="20"/>
                <w:szCs w:val="20"/>
              </w:rPr>
              <w:tab/>
            </w:r>
            <w:r w:rsidR="005E0D8C">
              <w:rPr>
                <w:rFonts w:cs="Arial"/>
                <w:b/>
                <w:sz w:val="20"/>
                <w:szCs w:val="20"/>
              </w:rPr>
              <w:tab/>
            </w:r>
            <w:r w:rsidR="005E0D8C">
              <w:rPr>
                <w:rFonts w:cs="Arial"/>
                <w:b/>
                <w:sz w:val="20"/>
                <w:szCs w:val="20"/>
              </w:rPr>
              <w:tab/>
            </w:r>
            <w:r w:rsidR="004E7A5A">
              <w:rPr>
                <w:rFonts w:cs="Arial"/>
                <w:b/>
                <w:sz w:val="20"/>
                <w:szCs w:val="20"/>
              </w:rPr>
              <w:t xml:space="preserve">[Recommendation 2 at section 4 of this report addresses provision of scientific </w:t>
            </w:r>
          </w:p>
          <w:p w14:paraId="58BAC2F4" w14:textId="19A85FFC" w:rsidR="005869AD" w:rsidRDefault="005E0D8C">
            <w:pPr>
              <w:spacing w:before="60" w:after="60" w:line="276" w:lineRule="auto"/>
              <w:contextualSpacing/>
              <w:rPr>
                <w:rFonts w:cs="Arial"/>
                <w:b/>
                <w:sz w:val="20"/>
                <w:szCs w:val="20"/>
              </w:rPr>
            </w:pPr>
            <w:r>
              <w:rPr>
                <w:rFonts w:cs="Arial"/>
                <w:b/>
                <w:sz w:val="20"/>
                <w:szCs w:val="20"/>
              </w:rPr>
              <w:tab/>
            </w:r>
            <w:r>
              <w:rPr>
                <w:rFonts w:cs="Arial"/>
                <w:b/>
                <w:sz w:val="20"/>
                <w:szCs w:val="20"/>
              </w:rPr>
              <w:tab/>
            </w:r>
            <w:r>
              <w:rPr>
                <w:rFonts w:cs="Arial"/>
                <w:b/>
                <w:sz w:val="20"/>
                <w:szCs w:val="20"/>
              </w:rPr>
              <w:tab/>
            </w:r>
            <w:proofErr w:type="gramStart"/>
            <w:r w:rsidR="004E7A5A">
              <w:rPr>
                <w:rFonts w:cs="Arial"/>
                <w:b/>
                <w:sz w:val="20"/>
                <w:szCs w:val="20"/>
              </w:rPr>
              <w:t>reports</w:t>
            </w:r>
            <w:proofErr w:type="gramEnd"/>
            <w:r w:rsidR="004E7A5A">
              <w:rPr>
                <w:rFonts w:cs="Arial"/>
                <w:b/>
                <w:sz w:val="20"/>
                <w:szCs w:val="20"/>
              </w:rPr>
              <w:t xml:space="preserve"> </w:t>
            </w:r>
            <w:r w:rsidR="00C87353">
              <w:rPr>
                <w:rFonts w:cs="Arial"/>
                <w:b/>
                <w:sz w:val="20"/>
                <w:szCs w:val="20"/>
              </w:rPr>
              <w:t>to the Department.</w:t>
            </w:r>
            <w:r w:rsidR="00C87353">
              <w:rPr>
                <w:rFonts w:cs="Arial"/>
                <w:b/>
                <w:sz w:val="20"/>
                <w:szCs w:val="20"/>
              </w:rPr>
              <w:br/>
            </w:r>
            <w:r w:rsidR="00C87353">
              <w:rPr>
                <w:rFonts w:cs="Arial"/>
                <w:b/>
                <w:sz w:val="20"/>
                <w:szCs w:val="20"/>
              </w:rPr>
              <w:tab/>
            </w:r>
            <w:r w:rsidR="00C87353">
              <w:rPr>
                <w:rFonts w:cs="Arial"/>
                <w:b/>
                <w:sz w:val="20"/>
                <w:szCs w:val="20"/>
              </w:rPr>
              <w:tab/>
            </w:r>
            <w:r w:rsidR="00C87353">
              <w:rPr>
                <w:rFonts w:cs="Arial"/>
                <w:b/>
                <w:sz w:val="20"/>
                <w:szCs w:val="20"/>
              </w:rPr>
              <w:tab/>
              <w:t xml:space="preserve">Recommendation 3 addresses improved collaboration with AFMA where fishing </w:t>
            </w:r>
            <w:r w:rsidR="00C87353">
              <w:rPr>
                <w:rFonts w:cs="Arial"/>
                <w:b/>
                <w:sz w:val="20"/>
                <w:szCs w:val="20"/>
              </w:rPr>
              <w:tab/>
            </w:r>
            <w:r w:rsidR="00C87353">
              <w:rPr>
                <w:rFonts w:cs="Arial"/>
                <w:b/>
                <w:sz w:val="20"/>
                <w:szCs w:val="20"/>
              </w:rPr>
              <w:tab/>
            </w:r>
            <w:r w:rsidR="00C87353">
              <w:rPr>
                <w:rFonts w:cs="Arial"/>
                <w:b/>
                <w:sz w:val="20"/>
                <w:szCs w:val="20"/>
              </w:rPr>
              <w:tab/>
            </w:r>
            <w:r w:rsidR="00C87353">
              <w:rPr>
                <w:rFonts w:cs="Arial"/>
                <w:b/>
                <w:sz w:val="20"/>
                <w:szCs w:val="20"/>
              </w:rPr>
              <w:tab/>
              <w:t>activity overlaps with this fishery.</w:t>
            </w:r>
          </w:p>
          <w:p w14:paraId="39082E24" w14:textId="77777777" w:rsidR="006B791A" w:rsidRDefault="006B791A">
            <w:pPr>
              <w:spacing w:before="60" w:after="60" w:line="276" w:lineRule="auto"/>
              <w:contextualSpacing/>
              <w:rPr>
                <w:rFonts w:cs="Arial"/>
                <w:sz w:val="20"/>
                <w:szCs w:val="20"/>
              </w:rPr>
            </w:pPr>
          </w:p>
          <w:p w14:paraId="7687E088" w14:textId="6053FA8C" w:rsidR="00C44D37" w:rsidRPr="001F2CF9" w:rsidRDefault="006D3BC9">
            <w:pPr>
              <w:spacing w:before="60" w:after="60" w:line="276" w:lineRule="auto"/>
              <w:contextualSpacing/>
              <w:rPr>
                <w:rFonts w:cs="Arial"/>
                <w:sz w:val="20"/>
                <w:szCs w:val="20"/>
              </w:rPr>
            </w:pPr>
            <w:r w:rsidRPr="001F2CF9">
              <w:rPr>
                <w:rFonts w:cs="Arial"/>
                <w:sz w:val="20"/>
                <w:szCs w:val="20"/>
              </w:rPr>
              <w:t xml:space="preserve">The distribution and spatial structure of the giant crab </w:t>
            </w:r>
            <w:r w:rsidR="00A413BC" w:rsidRPr="001F2CF9">
              <w:rPr>
                <w:rFonts w:cs="Arial"/>
                <w:sz w:val="20"/>
                <w:szCs w:val="20"/>
              </w:rPr>
              <w:t xml:space="preserve">stock </w:t>
            </w:r>
            <w:r w:rsidRPr="001F2CF9">
              <w:rPr>
                <w:rFonts w:cs="Arial"/>
                <w:sz w:val="20"/>
                <w:szCs w:val="20"/>
              </w:rPr>
              <w:t xml:space="preserve">is regularly reviewed throughout IMAS assessments and factored into the management responses of the </w:t>
            </w:r>
            <w:r w:rsidR="00785FDD" w:rsidRPr="001F2CF9">
              <w:rPr>
                <w:rFonts w:cs="Arial"/>
                <w:sz w:val="20"/>
                <w:szCs w:val="20"/>
              </w:rPr>
              <w:t>TGCF</w:t>
            </w:r>
            <w:r w:rsidRPr="001F2CF9">
              <w:rPr>
                <w:rFonts w:cs="Arial"/>
                <w:sz w:val="20"/>
                <w:szCs w:val="20"/>
              </w:rPr>
              <w:t>.</w:t>
            </w:r>
            <w:r w:rsidR="00B44735" w:rsidRPr="001F2CF9">
              <w:rPr>
                <w:rFonts w:cs="Arial"/>
                <w:sz w:val="20"/>
                <w:szCs w:val="20"/>
              </w:rPr>
              <w:t xml:space="preserve"> </w:t>
            </w:r>
            <w:r w:rsidR="001D0FE1" w:rsidRPr="001F2CF9">
              <w:rPr>
                <w:rFonts w:cs="Arial"/>
                <w:sz w:val="20"/>
                <w:szCs w:val="20"/>
              </w:rPr>
              <w:t>The</w:t>
            </w:r>
            <w:r w:rsidR="00F72A07" w:rsidRPr="001F2CF9">
              <w:rPr>
                <w:rFonts w:cs="Arial"/>
                <w:sz w:val="20"/>
                <w:szCs w:val="20"/>
              </w:rPr>
              <w:t xml:space="preserve"> c</w:t>
            </w:r>
            <w:r w:rsidR="00B44735" w:rsidRPr="001F2CF9">
              <w:rPr>
                <w:rFonts w:cs="Arial"/>
                <w:sz w:val="20"/>
                <w:szCs w:val="20"/>
              </w:rPr>
              <w:t>atch of giant crab in the TGCF is sub-divided</w:t>
            </w:r>
            <w:r w:rsidR="00F72A07" w:rsidRPr="001F2CF9">
              <w:rPr>
                <w:rFonts w:cs="Arial"/>
                <w:sz w:val="20"/>
                <w:szCs w:val="20"/>
              </w:rPr>
              <w:t xml:space="preserve"> across t</w:t>
            </w:r>
            <w:r w:rsidR="001D0FE1" w:rsidRPr="001F2CF9">
              <w:rPr>
                <w:rFonts w:cs="Arial"/>
                <w:sz w:val="20"/>
                <w:szCs w:val="20"/>
              </w:rPr>
              <w:t xml:space="preserve">hree </w:t>
            </w:r>
            <w:r w:rsidR="00050E12" w:rsidRPr="001F2CF9">
              <w:rPr>
                <w:rFonts w:cs="Arial"/>
                <w:sz w:val="20"/>
                <w:szCs w:val="20"/>
              </w:rPr>
              <w:t>spatial scales</w:t>
            </w:r>
            <w:r w:rsidR="00B44735" w:rsidRPr="001F2CF9">
              <w:rPr>
                <w:rFonts w:cs="Arial"/>
                <w:sz w:val="20"/>
                <w:szCs w:val="20"/>
              </w:rPr>
              <w:t xml:space="preserve"> and differentiated between</w:t>
            </w:r>
            <w:r w:rsidR="001D0FE1" w:rsidRPr="001F2CF9">
              <w:rPr>
                <w:rFonts w:cs="Arial"/>
                <w:sz w:val="20"/>
                <w:szCs w:val="20"/>
              </w:rPr>
              <w:t xml:space="preserve"> state-wide, </w:t>
            </w:r>
            <w:r w:rsidR="00050E12" w:rsidRPr="001F2CF9">
              <w:rPr>
                <w:rFonts w:cs="Arial"/>
                <w:sz w:val="20"/>
                <w:szCs w:val="20"/>
              </w:rPr>
              <w:t>eastern</w:t>
            </w:r>
            <w:r w:rsidR="00F72A07" w:rsidRPr="001F2CF9">
              <w:rPr>
                <w:rFonts w:cs="Arial"/>
                <w:sz w:val="20"/>
                <w:szCs w:val="20"/>
              </w:rPr>
              <w:t xml:space="preserve"> and </w:t>
            </w:r>
            <w:r w:rsidR="00050E12" w:rsidRPr="001F2CF9">
              <w:rPr>
                <w:rFonts w:cs="Arial"/>
                <w:sz w:val="20"/>
                <w:szCs w:val="20"/>
              </w:rPr>
              <w:t>western regions</w:t>
            </w:r>
            <w:r w:rsidR="00F72A07" w:rsidRPr="001F2CF9">
              <w:rPr>
                <w:rFonts w:cs="Arial"/>
                <w:sz w:val="20"/>
                <w:szCs w:val="20"/>
              </w:rPr>
              <w:t>.</w:t>
            </w:r>
            <w:r w:rsidR="00433369" w:rsidRPr="001F2CF9">
              <w:rPr>
                <w:rFonts w:cs="Arial"/>
                <w:sz w:val="20"/>
                <w:szCs w:val="20"/>
              </w:rPr>
              <w:t xml:space="preserve"> DPIPWE implement</w:t>
            </w:r>
            <w:r w:rsidR="000F463E">
              <w:rPr>
                <w:rFonts w:cs="Arial"/>
                <w:sz w:val="20"/>
                <w:szCs w:val="20"/>
              </w:rPr>
              <w:t>s</w:t>
            </w:r>
            <w:r w:rsidR="00433369" w:rsidRPr="008201A1">
              <w:rPr>
                <w:rFonts w:cs="Arial"/>
                <w:sz w:val="20"/>
                <w:szCs w:val="20"/>
              </w:rPr>
              <w:t xml:space="preserve"> </w:t>
            </w:r>
            <w:r w:rsidR="00555BBB" w:rsidRPr="008201A1">
              <w:rPr>
                <w:rFonts w:cs="Arial"/>
                <w:sz w:val="20"/>
                <w:szCs w:val="20"/>
              </w:rPr>
              <w:t xml:space="preserve">seasonal </w:t>
            </w:r>
            <w:r w:rsidR="00433369" w:rsidRPr="001F2CF9">
              <w:rPr>
                <w:rFonts w:cs="Arial"/>
                <w:sz w:val="20"/>
                <w:szCs w:val="20"/>
              </w:rPr>
              <w:t>closures in the fishery to protect female giant crabs during the peak spawning period to conserve egg production.</w:t>
            </w:r>
            <w:r w:rsidR="00555BBB" w:rsidRPr="001F2CF9">
              <w:rPr>
                <w:rFonts w:cs="Arial"/>
                <w:sz w:val="20"/>
                <w:szCs w:val="20"/>
              </w:rPr>
              <w:t xml:space="preserve"> </w:t>
            </w:r>
            <w:r w:rsidR="002755C8" w:rsidRPr="001F2CF9">
              <w:rPr>
                <w:rFonts w:cs="Arial"/>
                <w:sz w:val="20"/>
                <w:szCs w:val="20"/>
              </w:rPr>
              <w:t>The assessment of giant crab stock and biomass estimates is limited due to the lack of biological data in the fishery, which limits the estimation of the stock’s distribution and spatial structure.</w:t>
            </w:r>
          </w:p>
          <w:p w14:paraId="53536FFD" w14:textId="77777777" w:rsidR="00C44D37" w:rsidRPr="001F2CF9" w:rsidRDefault="00C44D37">
            <w:pPr>
              <w:spacing w:before="60" w:after="60" w:line="276" w:lineRule="auto"/>
              <w:contextualSpacing/>
              <w:rPr>
                <w:rFonts w:cs="Arial"/>
                <w:sz w:val="20"/>
                <w:szCs w:val="20"/>
              </w:rPr>
            </w:pPr>
          </w:p>
          <w:p w14:paraId="16996E4A" w14:textId="4A3C06AC" w:rsidR="00113FEF" w:rsidRPr="001F2CF9" w:rsidRDefault="00ED1866">
            <w:pPr>
              <w:spacing w:before="60" w:after="60" w:line="276" w:lineRule="auto"/>
              <w:contextualSpacing/>
              <w:rPr>
                <w:rFonts w:cs="Arial"/>
                <w:sz w:val="20"/>
                <w:szCs w:val="20"/>
              </w:rPr>
            </w:pPr>
            <w:r w:rsidRPr="001F2CF9">
              <w:rPr>
                <w:rFonts w:cs="Arial"/>
                <w:sz w:val="20"/>
                <w:szCs w:val="20"/>
              </w:rPr>
              <w:t>In 2009, scientists identified the northwest of Tasmania as an important area for giant crab recruitment based on undersized individuals distribution and larval dispersal distribution</w:t>
            </w:r>
            <w:r w:rsidR="00EC4249">
              <w:rPr>
                <w:rFonts w:cs="Arial"/>
                <w:sz w:val="20"/>
                <w:szCs w:val="20"/>
              </w:rPr>
              <w:t>,</w:t>
            </w:r>
            <w:r w:rsidR="00D741FA" w:rsidRPr="008201A1">
              <w:rPr>
                <w:rFonts w:cs="Arial"/>
                <w:sz w:val="20"/>
                <w:szCs w:val="20"/>
              </w:rPr>
              <w:t xml:space="preserve"> and suggested this region should receive special attention in any spatial management of the fishery</w:t>
            </w:r>
            <w:r w:rsidRPr="001F2CF9">
              <w:rPr>
                <w:rFonts w:cs="Arial"/>
                <w:sz w:val="20"/>
                <w:szCs w:val="20"/>
              </w:rPr>
              <w:t>.</w:t>
            </w:r>
            <w:r w:rsidR="00D741FA" w:rsidRPr="00F32842">
              <w:rPr>
                <w:rFonts w:cs="Arial"/>
                <w:sz w:val="20"/>
                <w:szCs w:val="20"/>
              </w:rPr>
              <w:t xml:space="preserve"> No measure</w:t>
            </w:r>
            <w:r w:rsidR="00EC4249">
              <w:rPr>
                <w:rFonts w:cs="Arial"/>
                <w:sz w:val="20"/>
                <w:szCs w:val="20"/>
              </w:rPr>
              <w:t>s</w:t>
            </w:r>
            <w:r w:rsidR="00D741FA" w:rsidRPr="00F32842">
              <w:rPr>
                <w:rFonts w:cs="Arial"/>
                <w:sz w:val="20"/>
                <w:szCs w:val="20"/>
              </w:rPr>
              <w:t xml:space="preserve"> of spatial management regulation are </w:t>
            </w:r>
            <w:r w:rsidR="00F713F6">
              <w:rPr>
                <w:rFonts w:cs="Arial"/>
                <w:sz w:val="20"/>
                <w:szCs w:val="20"/>
              </w:rPr>
              <w:t xml:space="preserve">currently </w:t>
            </w:r>
            <w:r w:rsidR="00D741FA" w:rsidRPr="00F32842">
              <w:rPr>
                <w:rFonts w:cs="Arial"/>
                <w:sz w:val="20"/>
                <w:szCs w:val="20"/>
              </w:rPr>
              <w:t xml:space="preserve">in place </w:t>
            </w:r>
            <w:r w:rsidR="00D741FA" w:rsidRPr="008201A1">
              <w:rPr>
                <w:rFonts w:cs="Arial"/>
                <w:sz w:val="20"/>
                <w:szCs w:val="20"/>
              </w:rPr>
              <w:t>to protect bryozoan turf habitat in this region. Bryozoan turf habitat was categorised at potentially high risk from trawl gear</w:t>
            </w:r>
            <w:r w:rsidR="00231903">
              <w:rPr>
                <w:rFonts w:cs="Arial"/>
                <w:sz w:val="20"/>
                <w:szCs w:val="20"/>
              </w:rPr>
              <w:t xml:space="preserve"> impact</w:t>
            </w:r>
            <w:r w:rsidR="00D741FA" w:rsidRPr="008201A1">
              <w:rPr>
                <w:rFonts w:cs="Arial"/>
                <w:sz w:val="20"/>
                <w:szCs w:val="20"/>
              </w:rPr>
              <w:t>.</w:t>
            </w:r>
            <w:r w:rsidR="00113FEF" w:rsidRPr="001F2CF9">
              <w:rPr>
                <w:rFonts w:cs="Arial"/>
                <w:sz w:val="20"/>
                <w:szCs w:val="20"/>
              </w:rPr>
              <w:t xml:space="preserve"> </w:t>
            </w:r>
            <w:r w:rsidR="00B835E2" w:rsidRPr="001F2CF9">
              <w:rPr>
                <w:rFonts w:cs="Arial"/>
                <w:sz w:val="20"/>
                <w:szCs w:val="20"/>
              </w:rPr>
              <w:t>T</w:t>
            </w:r>
            <w:r w:rsidR="00555BBB" w:rsidRPr="001F2CF9">
              <w:rPr>
                <w:rFonts w:cs="Arial"/>
                <w:sz w:val="20"/>
                <w:szCs w:val="20"/>
              </w:rPr>
              <w:t xml:space="preserve">rawl fisheries interactions with </w:t>
            </w:r>
            <w:r w:rsidR="001D0FE1" w:rsidRPr="001F2CF9">
              <w:rPr>
                <w:rFonts w:cs="Arial"/>
                <w:sz w:val="20"/>
                <w:szCs w:val="20"/>
              </w:rPr>
              <w:t xml:space="preserve">the </w:t>
            </w:r>
            <w:r w:rsidR="00113FEF" w:rsidRPr="001F2CF9">
              <w:rPr>
                <w:rFonts w:cs="Arial"/>
                <w:sz w:val="20"/>
                <w:szCs w:val="20"/>
              </w:rPr>
              <w:t>bryozoan</w:t>
            </w:r>
            <w:r w:rsidR="001D0FE1" w:rsidRPr="001F2CF9">
              <w:rPr>
                <w:rFonts w:cs="Arial"/>
                <w:sz w:val="20"/>
                <w:szCs w:val="20"/>
              </w:rPr>
              <w:t xml:space="preserve"> turf habitat </w:t>
            </w:r>
            <w:r w:rsidR="00A047AE" w:rsidRPr="001F2CF9">
              <w:rPr>
                <w:rFonts w:cs="Arial"/>
                <w:sz w:val="20"/>
                <w:szCs w:val="20"/>
              </w:rPr>
              <w:t>in t</w:t>
            </w:r>
            <w:r w:rsidR="00EC4249">
              <w:rPr>
                <w:rFonts w:cs="Arial"/>
                <w:sz w:val="20"/>
                <w:szCs w:val="20"/>
              </w:rPr>
              <w:t xml:space="preserve">he Tasmanian </w:t>
            </w:r>
            <w:r w:rsidR="00113FEF" w:rsidRPr="001F2CF9">
              <w:rPr>
                <w:rFonts w:cs="Arial"/>
                <w:sz w:val="20"/>
                <w:szCs w:val="20"/>
              </w:rPr>
              <w:t xml:space="preserve">northwest </w:t>
            </w:r>
            <w:r w:rsidR="00A047AE" w:rsidRPr="001F2CF9">
              <w:rPr>
                <w:rFonts w:cs="Arial"/>
                <w:sz w:val="20"/>
                <w:szCs w:val="20"/>
              </w:rPr>
              <w:t>region could</w:t>
            </w:r>
            <w:r w:rsidR="00231903">
              <w:rPr>
                <w:rFonts w:cs="Arial"/>
                <w:sz w:val="20"/>
                <w:szCs w:val="20"/>
              </w:rPr>
              <w:t xml:space="preserve"> be significantly</w:t>
            </w:r>
            <w:r w:rsidR="00A047AE" w:rsidRPr="008201A1">
              <w:rPr>
                <w:rFonts w:cs="Arial"/>
                <w:sz w:val="20"/>
                <w:szCs w:val="20"/>
              </w:rPr>
              <w:t xml:space="preserve"> </w:t>
            </w:r>
            <w:r w:rsidR="00555BBB" w:rsidRPr="008201A1">
              <w:rPr>
                <w:rFonts w:cs="Arial"/>
                <w:sz w:val="20"/>
                <w:szCs w:val="20"/>
              </w:rPr>
              <w:t>impact</w:t>
            </w:r>
            <w:r w:rsidR="00231903">
              <w:rPr>
                <w:rFonts w:cs="Arial"/>
                <w:sz w:val="20"/>
                <w:szCs w:val="20"/>
              </w:rPr>
              <w:t>ing</w:t>
            </w:r>
            <w:r w:rsidR="00555BBB" w:rsidRPr="008201A1">
              <w:rPr>
                <w:rFonts w:cs="Arial"/>
                <w:sz w:val="20"/>
                <w:szCs w:val="20"/>
              </w:rPr>
              <w:t xml:space="preserve"> the recruitment capacity of</w:t>
            </w:r>
            <w:r w:rsidR="009F6ED2" w:rsidRPr="001F2CF9">
              <w:rPr>
                <w:rFonts w:cs="Arial"/>
                <w:sz w:val="20"/>
                <w:szCs w:val="20"/>
              </w:rPr>
              <w:t xml:space="preserve"> the Tasmanian giant crab stock. </w:t>
            </w:r>
          </w:p>
          <w:p w14:paraId="1464F8B2" w14:textId="77777777" w:rsidR="00113FEF" w:rsidRPr="001F2CF9" w:rsidRDefault="00113FEF">
            <w:pPr>
              <w:spacing w:before="60" w:after="60" w:line="276" w:lineRule="auto"/>
              <w:contextualSpacing/>
              <w:rPr>
                <w:rFonts w:cs="Arial"/>
                <w:sz w:val="20"/>
                <w:szCs w:val="20"/>
              </w:rPr>
            </w:pPr>
          </w:p>
          <w:p w14:paraId="39BEAE97" w14:textId="59B1A587" w:rsidR="00885298" w:rsidRDefault="00EB2F6D">
            <w:pPr>
              <w:spacing w:before="60" w:after="60" w:line="276" w:lineRule="auto"/>
              <w:contextualSpacing/>
              <w:rPr>
                <w:rFonts w:cs="Arial"/>
                <w:sz w:val="20"/>
                <w:szCs w:val="20"/>
              </w:rPr>
            </w:pPr>
            <w:r w:rsidRPr="001F2CF9">
              <w:rPr>
                <w:rFonts w:cs="Arial"/>
                <w:sz w:val="20"/>
                <w:szCs w:val="20"/>
              </w:rPr>
              <w:t xml:space="preserve">Voluntary exclusions zones were defined and agreed upon between DPIPWE and the Australian Fisheries Management Authority (AFMA) responsible for managing trawling in the Southern and Eastern </w:t>
            </w:r>
            <w:proofErr w:type="spellStart"/>
            <w:r w:rsidRPr="001F2CF9">
              <w:rPr>
                <w:rFonts w:cs="Arial"/>
                <w:sz w:val="20"/>
                <w:szCs w:val="20"/>
              </w:rPr>
              <w:t>Scalefish</w:t>
            </w:r>
            <w:proofErr w:type="spellEnd"/>
            <w:r w:rsidRPr="001F2CF9">
              <w:rPr>
                <w:rFonts w:cs="Arial"/>
                <w:sz w:val="20"/>
                <w:szCs w:val="20"/>
              </w:rPr>
              <w:t xml:space="preserve"> and Shark </w:t>
            </w:r>
            <w:r w:rsidR="005A5FEE">
              <w:rPr>
                <w:rFonts w:cs="Arial"/>
                <w:sz w:val="20"/>
                <w:szCs w:val="20"/>
              </w:rPr>
              <w:t>F</w:t>
            </w:r>
            <w:r w:rsidRPr="008201A1">
              <w:rPr>
                <w:rFonts w:cs="Arial"/>
                <w:sz w:val="20"/>
                <w:szCs w:val="20"/>
              </w:rPr>
              <w:t>ishery</w:t>
            </w:r>
            <w:r w:rsidR="00113FEF" w:rsidRPr="001F2CF9">
              <w:rPr>
                <w:rFonts w:cs="Arial"/>
                <w:sz w:val="20"/>
                <w:szCs w:val="20"/>
              </w:rPr>
              <w:t xml:space="preserve"> (SESSF)</w:t>
            </w:r>
            <w:r w:rsidRPr="001F2CF9">
              <w:rPr>
                <w:rFonts w:cs="Arial"/>
                <w:sz w:val="20"/>
                <w:szCs w:val="20"/>
              </w:rPr>
              <w:t xml:space="preserve">. </w:t>
            </w:r>
            <w:r w:rsidR="00ED1866" w:rsidRPr="001F2CF9">
              <w:rPr>
                <w:rFonts w:cs="Arial"/>
                <w:sz w:val="20"/>
                <w:szCs w:val="20"/>
              </w:rPr>
              <w:t>T</w:t>
            </w:r>
            <w:r w:rsidRPr="001F2CF9">
              <w:rPr>
                <w:rFonts w:cs="Arial"/>
                <w:sz w:val="20"/>
                <w:szCs w:val="20"/>
              </w:rPr>
              <w:t>he attempted co-management</w:t>
            </w:r>
            <w:r w:rsidR="00555BBB" w:rsidRPr="001F2CF9">
              <w:rPr>
                <w:rFonts w:cs="Arial"/>
                <w:sz w:val="20"/>
                <w:szCs w:val="20"/>
              </w:rPr>
              <w:t xml:space="preserve"> </w:t>
            </w:r>
            <w:r w:rsidR="00ED1866" w:rsidRPr="001F2CF9">
              <w:rPr>
                <w:rFonts w:cs="Arial"/>
                <w:sz w:val="20"/>
                <w:szCs w:val="20"/>
              </w:rPr>
              <w:t xml:space="preserve">has not been effective as </w:t>
            </w:r>
            <w:r w:rsidRPr="001F2CF9">
              <w:rPr>
                <w:rFonts w:cs="Arial"/>
                <w:sz w:val="20"/>
                <w:szCs w:val="20"/>
              </w:rPr>
              <w:t>trawling effort</w:t>
            </w:r>
            <w:r w:rsidR="00ED1866" w:rsidRPr="001F2CF9">
              <w:rPr>
                <w:rFonts w:cs="Arial"/>
                <w:sz w:val="20"/>
                <w:szCs w:val="20"/>
              </w:rPr>
              <w:t xml:space="preserve"> has</w:t>
            </w:r>
            <w:r w:rsidRPr="001F2CF9">
              <w:rPr>
                <w:rFonts w:cs="Arial"/>
                <w:sz w:val="20"/>
                <w:szCs w:val="20"/>
              </w:rPr>
              <w:t xml:space="preserve"> continued in th</w:t>
            </w:r>
            <w:r w:rsidR="00ED1866" w:rsidRPr="001F2CF9">
              <w:rPr>
                <w:rFonts w:cs="Arial"/>
                <w:sz w:val="20"/>
                <w:szCs w:val="20"/>
              </w:rPr>
              <w:t>e</w:t>
            </w:r>
            <w:r w:rsidRPr="001F2CF9">
              <w:rPr>
                <w:rFonts w:cs="Arial"/>
                <w:sz w:val="20"/>
                <w:szCs w:val="20"/>
              </w:rPr>
              <w:t xml:space="preserve"> agreed voluntary exclusion zones. The</w:t>
            </w:r>
            <w:r w:rsidR="00113FEF" w:rsidRPr="001F2CF9">
              <w:rPr>
                <w:rFonts w:cs="Arial"/>
                <w:sz w:val="20"/>
                <w:szCs w:val="20"/>
              </w:rPr>
              <w:t xml:space="preserve"> implementation and enforcement of</w:t>
            </w:r>
            <w:r w:rsidRPr="001F2CF9">
              <w:rPr>
                <w:rFonts w:cs="Arial"/>
                <w:sz w:val="20"/>
                <w:szCs w:val="20"/>
              </w:rPr>
              <w:t xml:space="preserve"> </w:t>
            </w:r>
            <w:r w:rsidR="00555BBB" w:rsidRPr="001F2CF9">
              <w:rPr>
                <w:rFonts w:cs="Arial"/>
                <w:sz w:val="20"/>
                <w:szCs w:val="20"/>
              </w:rPr>
              <w:t>spatial management arrangements</w:t>
            </w:r>
            <w:r w:rsidR="00EA6DC3" w:rsidRPr="001F2CF9">
              <w:rPr>
                <w:rFonts w:cs="Arial"/>
                <w:sz w:val="20"/>
                <w:szCs w:val="20"/>
              </w:rPr>
              <w:t xml:space="preserve"> </w:t>
            </w:r>
            <w:r w:rsidR="00113FEF" w:rsidRPr="001F2CF9">
              <w:rPr>
                <w:rFonts w:cs="Arial"/>
                <w:sz w:val="20"/>
                <w:szCs w:val="20"/>
              </w:rPr>
              <w:t xml:space="preserve">by both jurisdictions in </w:t>
            </w:r>
            <w:r w:rsidR="005A5FEE">
              <w:rPr>
                <w:rFonts w:cs="Arial"/>
                <w:sz w:val="20"/>
                <w:szCs w:val="20"/>
              </w:rPr>
              <w:t>both fisheries</w:t>
            </w:r>
            <w:r w:rsidR="00113FEF" w:rsidRPr="008201A1">
              <w:rPr>
                <w:rFonts w:cs="Arial"/>
                <w:sz w:val="20"/>
                <w:szCs w:val="20"/>
              </w:rPr>
              <w:t xml:space="preserve">, </w:t>
            </w:r>
            <w:r w:rsidR="00EA6DC3" w:rsidRPr="001F2CF9">
              <w:rPr>
                <w:rFonts w:cs="Arial"/>
                <w:sz w:val="20"/>
                <w:szCs w:val="20"/>
              </w:rPr>
              <w:t xml:space="preserve">such as </w:t>
            </w:r>
            <w:r w:rsidR="00EA6DC3" w:rsidRPr="001F2CF9">
              <w:rPr>
                <w:sz w:val="20"/>
                <w:szCs w:val="20"/>
              </w:rPr>
              <w:t>spatial closures</w:t>
            </w:r>
            <w:r w:rsidR="00EA6DC3" w:rsidRPr="001F2CF9">
              <w:rPr>
                <w:rFonts w:cs="Arial"/>
                <w:sz w:val="20"/>
                <w:szCs w:val="20"/>
              </w:rPr>
              <w:t xml:space="preserve"> </w:t>
            </w:r>
            <w:r w:rsidRPr="001F2CF9">
              <w:rPr>
                <w:rFonts w:cs="Arial"/>
                <w:sz w:val="20"/>
                <w:szCs w:val="20"/>
              </w:rPr>
              <w:t xml:space="preserve">could help </w:t>
            </w:r>
            <w:r w:rsidR="00555BBB" w:rsidRPr="001F2CF9">
              <w:rPr>
                <w:rFonts w:cs="Arial"/>
                <w:sz w:val="20"/>
                <w:szCs w:val="20"/>
              </w:rPr>
              <w:t>protect the</w:t>
            </w:r>
            <w:r w:rsidRPr="001F2CF9">
              <w:rPr>
                <w:rFonts w:cs="Arial"/>
                <w:sz w:val="20"/>
                <w:szCs w:val="20"/>
              </w:rPr>
              <w:t xml:space="preserve"> </w:t>
            </w:r>
            <w:r w:rsidR="00113FEF" w:rsidRPr="001F2CF9">
              <w:rPr>
                <w:rFonts w:cs="Arial"/>
                <w:sz w:val="20"/>
                <w:szCs w:val="20"/>
              </w:rPr>
              <w:t>bryozoan</w:t>
            </w:r>
            <w:r w:rsidRPr="001F2CF9">
              <w:rPr>
                <w:rFonts w:cs="Arial"/>
                <w:sz w:val="20"/>
                <w:szCs w:val="20"/>
              </w:rPr>
              <w:t xml:space="preserve"> turf habitat and the giant crab </w:t>
            </w:r>
            <w:r w:rsidR="005A5FEE">
              <w:rPr>
                <w:rFonts w:cs="Arial"/>
                <w:sz w:val="20"/>
                <w:szCs w:val="20"/>
              </w:rPr>
              <w:t>juveniles</w:t>
            </w:r>
            <w:r w:rsidR="005A5FEE" w:rsidRPr="008201A1">
              <w:rPr>
                <w:rFonts w:cs="Arial"/>
                <w:sz w:val="20"/>
                <w:szCs w:val="20"/>
              </w:rPr>
              <w:t xml:space="preserve"> </w:t>
            </w:r>
            <w:r w:rsidRPr="008201A1">
              <w:rPr>
                <w:rFonts w:cs="Arial"/>
                <w:sz w:val="20"/>
                <w:szCs w:val="20"/>
              </w:rPr>
              <w:t>from potential trawl damage</w:t>
            </w:r>
            <w:r w:rsidR="00113FEF" w:rsidRPr="001F2CF9">
              <w:rPr>
                <w:rFonts w:cs="Arial"/>
                <w:sz w:val="20"/>
                <w:szCs w:val="20"/>
              </w:rPr>
              <w:t>.</w:t>
            </w:r>
            <w:r w:rsidRPr="001F2CF9">
              <w:rPr>
                <w:rFonts w:cs="Arial"/>
                <w:sz w:val="20"/>
                <w:szCs w:val="20"/>
              </w:rPr>
              <w:t xml:space="preserve"> </w:t>
            </w:r>
            <w:r w:rsidR="00CC0FF4">
              <w:rPr>
                <w:rFonts w:cs="Arial"/>
                <w:sz w:val="20"/>
                <w:szCs w:val="20"/>
              </w:rPr>
              <w:t>H</w:t>
            </w:r>
            <w:r w:rsidR="00ED1866" w:rsidRPr="008201A1">
              <w:rPr>
                <w:rFonts w:cs="Arial"/>
                <w:sz w:val="20"/>
                <w:szCs w:val="20"/>
              </w:rPr>
              <w:t>owever this would require</w:t>
            </w:r>
            <w:r w:rsidRPr="001F2CF9">
              <w:rPr>
                <w:rFonts w:cs="Arial"/>
                <w:sz w:val="20"/>
                <w:szCs w:val="20"/>
              </w:rPr>
              <w:t xml:space="preserve"> further cross-jurisdictional collaboration and discussion </w:t>
            </w:r>
            <w:r w:rsidR="00886E69">
              <w:rPr>
                <w:rFonts w:cs="Arial"/>
                <w:sz w:val="20"/>
                <w:szCs w:val="20"/>
              </w:rPr>
              <w:t xml:space="preserve">with AFMA </w:t>
            </w:r>
            <w:r w:rsidRPr="008201A1">
              <w:rPr>
                <w:rFonts w:cs="Arial"/>
                <w:sz w:val="20"/>
                <w:szCs w:val="20"/>
              </w:rPr>
              <w:t>to implement such management response in the TGCF.</w:t>
            </w:r>
          </w:p>
          <w:p w14:paraId="602A640F" w14:textId="337E3FFC" w:rsidR="00564BC9" w:rsidRPr="00F32842" w:rsidRDefault="00564BC9">
            <w:pPr>
              <w:spacing w:before="60" w:after="60" w:line="276" w:lineRule="auto"/>
              <w:contextualSpacing/>
              <w:rPr>
                <w:rFonts w:cs="Arial"/>
                <w:b/>
                <w:sz w:val="20"/>
                <w:szCs w:val="20"/>
              </w:rPr>
            </w:pPr>
          </w:p>
        </w:tc>
      </w:tr>
      <w:tr w:rsidR="00885298" w:rsidRPr="001F2CF9" w14:paraId="3F52708C" w14:textId="77777777" w:rsidTr="00117313">
        <w:trPr>
          <w:cantSplit/>
        </w:trPr>
        <w:tc>
          <w:tcPr>
            <w:tcW w:w="1500" w:type="pct"/>
            <w:shd w:val="clear" w:color="auto" w:fill="auto"/>
          </w:tcPr>
          <w:p w14:paraId="150B44F6" w14:textId="4F1B232C" w:rsidR="004E6C95" w:rsidRPr="001F2CF9" w:rsidRDefault="00885298" w:rsidP="00F32842">
            <w:pPr>
              <w:spacing w:before="60" w:after="60" w:line="276" w:lineRule="auto"/>
              <w:contextualSpacing/>
              <w:rPr>
                <w:rFonts w:cs="Arial"/>
                <w:sz w:val="20"/>
                <w:szCs w:val="20"/>
              </w:rPr>
            </w:pPr>
            <w:r w:rsidRPr="00F32842">
              <w:rPr>
                <w:rFonts w:cs="Arial"/>
                <w:b/>
                <w:bCs/>
                <w:i/>
                <w:iCs/>
                <w:sz w:val="20"/>
                <w:szCs w:val="20"/>
              </w:rPr>
              <w:lastRenderedPageBreak/>
              <w:t xml:space="preserve">1.1.4 </w:t>
            </w:r>
            <w:r w:rsidRPr="008201A1">
              <w:rPr>
                <w:rFonts w:cs="Arial"/>
                <w:sz w:val="20"/>
                <w:szCs w:val="20"/>
              </w:rPr>
              <w:t>There are reliable estimates of all removals, includin</w:t>
            </w:r>
            <w:r w:rsidRPr="001F2CF9">
              <w:rPr>
                <w:rFonts w:cs="Arial"/>
                <w:sz w:val="20"/>
                <w:szCs w:val="20"/>
              </w:rPr>
              <w:t>g commercial (landings and discards), recreational and indigenous, from the fished stock. These estimates have been factored into stock assessments a</w:t>
            </w:r>
            <w:r w:rsidR="006B6EF9" w:rsidRPr="001F2CF9">
              <w:rPr>
                <w:rFonts w:cs="Arial"/>
                <w:sz w:val="20"/>
                <w:szCs w:val="20"/>
              </w:rPr>
              <w:t>nd target species catch levels.</w:t>
            </w:r>
          </w:p>
        </w:tc>
        <w:tc>
          <w:tcPr>
            <w:tcW w:w="3500" w:type="pct"/>
            <w:shd w:val="clear" w:color="auto" w:fill="92D050"/>
          </w:tcPr>
          <w:p w14:paraId="41B9EC99" w14:textId="7DED9A96" w:rsidR="005869AD" w:rsidRPr="001F2CF9" w:rsidRDefault="005869AD" w:rsidP="008201A1">
            <w:pPr>
              <w:spacing w:before="60" w:after="60" w:line="276" w:lineRule="auto"/>
              <w:ind w:left="794" w:hanging="794"/>
              <w:contextualSpacing/>
              <w:rPr>
                <w:rFonts w:cs="Arial"/>
                <w:b/>
                <w:sz w:val="20"/>
                <w:szCs w:val="20"/>
              </w:rPr>
            </w:pPr>
            <w:r w:rsidRPr="001F2CF9">
              <w:rPr>
                <w:rFonts w:cs="Arial"/>
                <w:b/>
                <w:sz w:val="20"/>
                <w:szCs w:val="20"/>
              </w:rPr>
              <w:t>Meets –</w:t>
            </w:r>
            <w:r w:rsidR="005E0D8C">
              <w:rPr>
                <w:rFonts w:cs="Arial"/>
                <w:b/>
                <w:sz w:val="20"/>
                <w:szCs w:val="20"/>
              </w:rPr>
              <w:tab/>
            </w:r>
            <w:r w:rsidR="005E0D8C">
              <w:rPr>
                <w:rFonts w:cs="Arial"/>
                <w:b/>
                <w:sz w:val="20"/>
                <w:szCs w:val="20"/>
              </w:rPr>
              <w:tab/>
            </w:r>
            <w:r w:rsidR="00C74B33" w:rsidRPr="001F2CF9">
              <w:rPr>
                <w:rFonts w:cs="Arial"/>
                <w:b/>
                <w:sz w:val="20"/>
                <w:szCs w:val="20"/>
              </w:rPr>
              <w:t xml:space="preserve">Robust surveys/ research </w:t>
            </w:r>
            <w:r w:rsidR="00ED1866" w:rsidRPr="001F2CF9">
              <w:rPr>
                <w:rFonts w:cs="Arial"/>
                <w:b/>
                <w:sz w:val="20"/>
                <w:szCs w:val="20"/>
              </w:rPr>
              <w:t xml:space="preserve">is </w:t>
            </w:r>
            <w:r w:rsidR="00C74B33" w:rsidRPr="001F2CF9">
              <w:rPr>
                <w:rFonts w:cs="Arial"/>
                <w:b/>
                <w:sz w:val="20"/>
                <w:szCs w:val="20"/>
              </w:rPr>
              <w:t>undertaken, with appropriate management response</w:t>
            </w:r>
            <w:r w:rsidR="00ED1866" w:rsidRPr="001F2CF9">
              <w:rPr>
                <w:rFonts w:cs="Arial"/>
                <w:b/>
                <w:sz w:val="20"/>
                <w:szCs w:val="20"/>
              </w:rPr>
              <w:t xml:space="preserve">s </w:t>
            </w:r>
            <w:r w:rsidR="005E0D8C">
              <w:rPr>
                <w:rFonts w:cs="Arial"/>
                <w:b/>
                <w:sz w:val="20"/>
                <w:szCs w:val="20"/>
              </w:rPr>
              <w:tab/>
            </w:r>
            <w:r w:rsidR="00ED1866" w:rsidRPr="001F2CF9">
              <w:rPr>
                <w:rFonts w:cs="Arial"/>
                <w:b/>
                <w:sz w:val="20"/>
                <w:szCs w:val="20"/>
              </w:rPr>
              <w:t>implemented where required</w:t>
            </w:r>
            <w:r w:rsidR="00163B9F" w:rsidRPr="001F2CF9">
              <w:rPr>
                <w:rFonts w:cs="Arial"/>
                <w:b/>
                <w:sz w:val="20"/>
                <w:szCs w:val="20"/>
              </w:rPr>
              <w:t>.</w:t>
            </w:r>
          </w:p>
          <w:p w14:paraId="7A33D0A4" w14:textId="77777777" w:rsidR="006B791A" w:rsidRDefault="006B791A">
            <w:pPr>
              <w:spacing w:before="60" w:after="60" w:line="276" w:lineRule="auto"/>
              <w:contextualSpacing/>
              <w:rPr>
                <w:rFonts w:cs="Arial"/>
                <w:sz w:val="20"/>
                <w:szCs w:val="20"/>
              </w:rPr>
            </w:pPr>
          </w:p>
          <w:p w14:paraId="0698097E" w14:textId="4A8B985F" w:rsidR="009A0BD8" w:rsidRPr="001F2CF9" w:rsidRDefault="00C551E3">
            <w:pPr>
              <w:spacing w:before="60" w:after="60" w:line="276" w:lineRule="auto"/>
              <w:contextualSpacing/>
              <w:rPr>
                <w:rFonts w:cs="Arial"/>
                <w:sz w:val="20"/>
                <w:szCs w:val="20"/>
              </w:rPr>
            </w:pPr>
            <w:r w:rsidRPr="001F2CF9">
              <w:rPr>
                <w:rFonts w:cs="Arial"/>
                <w:sz w:val="20"/>
                <w:szCs w:val="20"/>
              </w:rPr>
              <w:t xml:space="preserve">There are reliable estimates of </w:t>
            </w:r>
            <w:r w:rsidR="00622AAC" w:rsidRPr="001F2CF9">
              <w:rPr>
                <w:rFonts w:cs="Arial"/>
                <w:sz w:val="20"/>
                <w:szCs w:val="20"/>
              </w:rPr>
              <w:t xml:space="preserve">effort data and </w:t>
            </w:r>
            <w:r w:rsidRPr="001F2CF9">
              <w:rPr>
                <w:rFonts w:cs="Arial"/>
                <w:sz w:val="20"/>
                <w:szCs w:val="20"/>
              </w:rPr>
              <w:t xml:space="preserve">commercial removals </w:t>
            </w:r>
            <w:r w:rsidR="00B30BBF" w:rsidRPr="001F2CF9">
              <w:rPr>
                <w:rFonts w:cs="Arial"/>
                <w:sz w:val="20"/>
                <w:szCs w:val="20"/>
              </w:rPr>
              <w:t xml:space="preserve">from </w:t>
            </w:r>
            <w:r w:rsidRPr="001F2CF9">
              <w:rPr>
                <w:rFonts w:cs="Arial"/>
                <w:sz w:val="20"/>
                <w:szCs w:val="20"/>
              </w:rPr>
              <w:t xml:space="preserve">total </w:t>
            </w:r>
            <w:r w:rsidR="00B30BBF" w:rsidRPr="001F2CF9">
              <w:rPr>
                <w:rFonts w:cs="Arial"/>
                <w:sz w:val="20"/>
                <w:szCs w:val="20"/>
              </w:rPr>
              <w:t>and regional landed catch</w:t>
            </w:r>
            <w:r w:rsidR="00622AAC" w:rsidRPr="001F2CF9">
              <w:rPr>
                <w:rFonts w:cs="Arial"/>
                <w:sz w:val="20"/>
                <w:szCs w:val="20"/>
              </w:rPr>
              <w:t xml:space="preserve"> records</w:t>
            </w:r>
            <w:r w:rsidR="00277F9E" w:rsidRPr="001F2CF9">
              <w:rPr>
                <w:rFonts w:cs="Arial"/>
                <w:sz w:val="20"/>
                <w:szCs w:val="20"/>
              </w:rPr>
              <w:t xml:space="preserve"> and</w:t>
            </w:r>
            <w:r w:rsidR="00622AAC" w:rsidRPr="001F2CF9">
              <w:rPr>
                <w:rFonts w:cs="Arial"/>
                <w:sz w:val="20"/>
                <w:szCs w:val="20"/>
              </w:rPr>
              <w:t xml:space="preserve"> </w:t>
            </w:r>
            <w:r w:rsidR="00B30BBF" w:rsidRPr="001F2CF9">
              <w:rPr>
                <w:rFonts w:cs="Arial"/>
                <w:sz w:val="20"/>
                <w:szCs w:val="20"/>
              </w:rPr>
              <w:t>fishing logbook returns every quota year</w:t>
            </w:r>
            <w:r w:rsidRPr="001F2CF9">
              <w:rPr>
                <w:rFonts w:cs="Arial"/>
                <w:sz w:val="20"/>
                <w:szCs w:val="20"/>
              </w:rPr>
              <w:t xml:space="preserve">. </w:t>
            </w:r>
            <w:r w:rsidR="00B30BBF" w:rsidRPr="001F2CF9">
              <w:rPr>
                <w:rFonts w:cs="Arial"/>
                <w:sz w:val="20"/>
                <w:szCs w:val="20"/>
              </w:rPr>
              <w:t xml:space="preserve">DPIPWE </w:t>
            </w:r>
            <w:r w:rsidRPr="001F2CF9">
              <w:rPr>
                <w:rFonts w:cs="Arial"/>
                <w:sz w:val="20"/>
                <w:szCs w:val="20"/>
              </w:rPr>
              <w:t xml:space="preserve">publishes monthly </w:t>
            </w:r>
            <w:r w:rsidR="00B30BBF" w:rsidRPr="001F2CF9">
              <w:rPr>
                <w:rFonts w:cs="Arial"/>
                <w:sz w:val="20"/>
                <w:szCs w:val="20"/>
              </w:rPr>
              <w:t xml:space="preserve">online </w:t>
            </w:r>
            <w:r w:rsidRPr="001F2CF9">
              <w:rPr>
                <w:rFonts w:cs="Arial"/>
                <w:sz w:val="20"/>
                <w:szCs w:val="20"/>
              </w:rPr>
              <w:t>updates</w:t>
            </w:r>
            <w:r w:rsidR="00B30BBF" w:rsidRPr="001F2CF9">
              <w:rPr>
                <w:rFonts w:cs="Arial"/>
                <w:sz w:val="20"/>
                <w:szCs w:val="20"/>
              </w:rPr>
              <w:t xml:space="preserve"> </w:t>
            </w:r>
            <w:r w:rsidRPr="001F2CF9">
              <w:rPr>
                <w:rFonts w:cs="Arial"/>
                <w:sz w:val="20"/>
                <w:szCs w:val="20"/>
              </w:rPr>
              <w:t xml:space="preserve">on the </w:t>
            </w:r>
            <w:r w:rsidRPr="00CE42D0">
              <w:rPr>
                <w:rFonts w:cs="Arial"/>
                <w:sz w:val="20"/>
                <w:szCs w:val="20"/>
              </w:rPr>
              <w:t>commercial catch of giant crab</w:t>
            </w:r>
            <w:r w:rsidRPr="00F32842">
              <w:rPr>
                <w:rFonts w:cs="Arial"/>
                <w:sz w:val="20"/>
                <w:szCs w:val="20"/>
              </w:rPr>
              <w:t xml:space="preserve"> </w:t>
            </w:r>
            <w:r w:rsidR="00B30BBF" w:rsidRPr="008201A1">
              <w:rPr>
                <w:rFonts w:cs="Arial"/>
                <w:sz w:val="20"/>
                <w:szCs w:val="20"/>
              </w:rPr>
              <w:t>for the current</w:t>
            </w:r>
            <w:r w:rsidR="00785FDD" w:rsidRPr="008201A1">
              <w:rPr>
                <w:rFonts w:cs="Arial"/>
                <w:sz w:val="20"/>
                <w:szCs w:val="20"/>
              </w:rPr>
              <w:t xml:space="preserve"> fishing season</w:t>
            </w:r>
            <w:r w:rsidR="00CE42D0">
              <w:rPr>
                <w:rFonts w:cs="Arial"/>
                <w:sz w:val="20"/>
                <w:szCs w:val="20"/>
              </w:rPr>
              <w:t xml:space="preserve"> </w:t>
            </w:r>
            <w:r w:rsidR="00CE42D0" w:rsidRPr="002B656C">
              <w:rPr>
                <w:rFonts w:cs="Arial"/>
                <w:sz w:val="20"/>
                <w:szCs w:val="20"/>
              </w:rPr>
              <w:t>(link accessible in Section 1: Notes)</w:t>
            </w:r>
            <w:r w:rsidRPr="001F2CF9">
              <w:rPr>
                <w:rFonts w:cs="Arial"/>
                <w:sz w:val="20"/>
                <w:szCs w:val="20"/>
              </w:rPr>
              <w:t xml:space="preserve">. Recreational and indigenous removals are considered negligible due to the nature of </w:t>
            </w:r>
            <w:r w:rsidR="0012131D" w:rsidRPr="001F2CF9">
              <w:rPr>
                <w:rFonts w:cs="Arial"/>
                <w:sz w:val="20"/>
                <w:szCs w:val="20"/>
              </w:rPr>
              <w:t xml:space="preserve">the </w:t>
            </w:r>
            <w:r w:rsidR="0029307F" w:rsidRPr="001F2CF9">
              <w:rPr>
                <w:rFonts w:cs="Arial"/>
                <w:sz w:val="20"/>
                <w:szCs w:val="20"/>
              </w:rPr>
              <w:t xml:space="preserve">fishery operations occurring </w:t>
            </w:r>
            <w:r w:rsidRPr="001F2CF9">
              <w:rPr>
                <w:rFonts w:cs="Arial"/>
                <w:sz w:val="20"/>
                <w:szCs w:val="20"/>
              </w:rPr>
              <w:t xml:space="preserve">in deep water off the continental shelf. </w:t>
            </w:r>
          </w:p>
          <w:p w14:paraId="7826D8FA" w14:textId="77777777" w:rsidR="009A0BD8" w:rsidRPr="001F2CF9" w:rsidRDefault="009A0BD8">
            <w:pPr>
              <w:spacing w:before="60" w:after="60" w:line="276" w:lineRule="auto"/>
              <w:contextualSpacing/>
              <w:rPr>
                <w:rFonts w:cs="Arial"/>
                <w:sz w:val="20"/>
                <w:szCs w:val="20"/>
              </w:rPr>
            </w:pPr>
          </w:p>
          <w:p w14:paraId="633CAEE5" w14:textId="0E1D3947" w:rsidR="00885298" w:rsidRDefault="00622AAC">
            <w:pPr>
              <w:spacing w:before="60" w:after="60" w:line="276" w:lineRule="auto"/>
              <w:contextualSpacing/>
              <w:rPr>
                <w:rFonts w:cs="Arial"/>
                <w:sz w:val="20"/>
                <w:szCs w:val="20"/>
              </w:rPr>
            </w:pPr>
            <w:r w:rsidRPr="001F2CF9">
              <w:rPr>
                <w:rFonts w:cs="Arial"/>
                <w:sz w:val="20"/>
                <w:szCs w:val="20"/>
              </w:rPr>
              <w:t xml:space="preserve">Scientific research supports </w:t>
            </w:r>
            <w:r w:rsidR="00AB756B" w:rsidRPr="001F2CF9">
              <w:rPr>
                <w:rFonts w:cs="Arial"/>
                <w:sz w:val="20"/>
                <w:szCs w:val="20"/>
              </w:rPr>
              <w:t>the rate</w:t>
            </w:r>
            <w:r w:rsidRPr="001F2CF9">
              <w:rPr>
                <w:rFonts w:cs="Arial"/>
                <w:sz w:val="20"/>
                <w:szCs w:val="20"/>
              </w:rPr>
              <w:t xml:space="preserve"> of giant crab harvest in the fishery and </w:t>
            </w:r>
            <w:r w:rsidR="00C551E3" w:rsidRPr="001F2CF9">
              <w:rPr>
                <w:rFonts w:cs="Arial"/>
                <w:sz w:val="20"/>
                <w:szCs w:val="20"/>
              </w:rPr>
              <w:t xml:space="preserve">IMAS provides </w:t>
            </w:r>
            <w:r w:rsidR="0012131D" w:rsidRPr="001F2CF9">
              <w:rPr>
                <w:rFonts w:cs="Arial"/>
                <w:sz w:val="20"/>
                <w:szCs w:val="20"/>
              </w:rPr>
              <w:t>annual</w:t>
            </w:r>
            <w:r w:rsidR="00C551E3" w:rsidRPr="001F2CF9">
              <w:rPr>
                <w:rFonts w:cs="Arial"/>
                <w:sz w:val="20"/>
                <w:szCs w:val="20"/>
              </w:rPr>
              <w:t xml:space="preserve"> fished stock estimate</w:t>
            </w:r>
            <w:r w:rsidR="002066CC" w:rsidRPr="001F2CF9">
              <w:rPr>
                <w:rFonts w:cs="Arial"/>
                <w:sz w:val="20"/>
                <w:szCs w:val="20"/>
              </w:rPr>
              <w:t xml:space="preserve"> surveys to the CFAC each year in November</w:t>
            </w:r>
            <w:r w:rsidR="00AB756B" w:rsidRPr="001F2CF9">
              <w:rPr>
                <w:rFonts w:cs="Arial"/>
                <w:sz w:val="20"/>
                <w:szCs w:val="20"/>
              </w:rPr>
              <w:t>.</w:t>
            </w:r>
            <w:r w:rsidR="002066CC" w:rsidRPr="001F2CF9">
              <w:rPr>
                <w:rFonts w:cs="Arial"/>
                <w:sz w:val="20"/>
                <w:szCs w:val="20"/>
              </w:rPr>
              <w:t xml:space="preserve"> </w:t>
            </w:r>
            <w:r w:rsidR="00AB756B" w:rsidRPr="001F2CF9">
              <w:rPr>
                <w:rFonts w:cs="Arial"/>
                <w:sz w:val="20"/>
                <w:szCs w:val="20"/>
              </w:rPr>
              <w:t>These scientific surveys advise on giant crab stock</w:t>
            </w:r>
            <w:r w:rsidR="00B2553E" w:rsidRPr="001F2CF9">
              <w:rPr>
                <w:rFonts w:cs="Arial"/>
                <w:sz w:val="20"/>
                <w:szCs w:val="20"/>
              </w:rPr>
              <w:t>; they</w:t>
            </w:r>
            <w:r w:rsidR="00AB756B" w:rsidRPr="001F2CF9">
              <w:rPr>
                <w:rFonts w:cs="Arial"/>
                <w:sz w:val="20"/>
                <w:szCs w:val="20"/>
              </w:rPr>
              <w:t xml:space="preserve"> are</w:t>
            </w:r>
            <w:r w:rsidR="002066CC" w:rsidRPr="001F2CF9">
              <w:rPr>
                <w:rFonts w:cs="Arial"/>
                <w:sz w:val="20"/>
                <w:szCs w:val="20"/>
              </w:rPr>
              <w:t xml:space="preserve"> factored into </w:t>
            </w:r>
            <w:r w:rsidR="00C551E3" w:rsidRPr="001F2CF9">
              <w:rPr>
                <w:rFonts w:cs="Arial"/>
                <w:sz w:val="20"/>
                <w:szCs w:val="20"/>
              </w:rPr>
              <w:t xml:space="preserve">stock assessments </w:t>
            </w:r>
            <w:r w:rsidR="002066CC" w:rsidRPr="001F2CF9">
              <w:rPr>
                <w:rFonts w:cs="Arial"/>
                <w:sz w:val="20"/>
                <w:szCs w:val="20"/>
              </w:rPr>
              <w:t>and can trigger</w:t>
            </w:r>
            <w:r w:rsidR="00C15B4B" w:rsidRPr="001F2CF9">
              <w:rPr>
                <w:rFonts w:cs="Arial"/>
                <w:sz w:val="20"/>
                <w:szCs w:val="20"/>
              </w:rPr>
              <w:t xml:space="preserve"> m</w:t>
            </w:r>
            <w:r w:rsidR="00C551E3" w:rsidRPr="001F2CF9">
              <w:rPr>
                <w:rFonts w:cs="Arial"/>
                <w:sz w:val="20"/>
                <w:szCs w:val="20"/>
              </w:rPr>
              <w:t>anagement responses</w:t>
            </w:r>
            <w:r w:rsidR="00B2553E" w:rsidRPr="001F2CF9">
              <w:rPr>
                <w:rFonts w:cs="Arial"/>
                <w:sz w:val="20"/>
                <w:szCs w:val="20"/>
              </w:rPr>
              <w:t xml:space="preserve"> in the fishery</w:t>
            </w:r>
            <w:r w:rsidR="00785FDD" w:rsidRPr="001F2CF9">
              <w:rPr>
                <w:rFonts w:cs="Arial"/>
                <w:sz w:val="20"/>
                <w:szCs w:val="20"/>
              </w:rPr>
              <w:t xml:space="preserve">. The </w:t>
            </w:r>
            <w:r w:rsidR="00C551E3" w:rsidRPr="001F2CF9">
              <w:rPr>
                <w:rFonts w:cs="Arial"/>
                <w:sz w:val="20"/>
                <w:szCs w:val="20"/>
              </w:rPr>
              <w:t xml:space="preserve">TGFC </w:t>
            </w:r>
            <w:r w:rsidR="002066CC" w:rsidRPr="001F2CF9">
              <w:rPr>
                <w:rFonts w:cs="Arial"/>
                <w:sz w:val="20"/>
                <w:szCs w:val="20"/>
              </w:rPr>
              <w:t>review</w:t>
            </w:r>
            <w:r w:rsidRPr="001F2CF9">
              <w:rPr>
                <w:rFonts w:cs="Arial"/>
                <w:sz w:val="20"/>
                <w:szCs w:val="20"/>
              </w:rPr>
              <w:t>s</w:t>
            </w:r>
            <w:r w:rsidR="000B7340" w:rsidRPr="001F2CF9">
              <w:rPr>
                <w:rFonts w:cs="Arial"/>
                <w:sz w:val="20"/>
                <w:szCs w:val="20"/>
              </w:rPr>
              <w:t xml:space="preserve"> </w:t>
            </w:r>
            <w:r w:rsidRPr="001F2CF9">
              <w:rPr>
                <w:rFonts w:cs="Arial"/>
                <w:sz w:val="20"/>
                <w:szCs w:val="20"/>
              </w:rPr>
              <w:t>previous</w:t>
            </w:r>
            <w:r w:rsidR="002066CC" w:rsidRPr="001F2CF9">
              <w:rPr>
                <w:rFonts w:cs="Arial"/>
                <w:sz w:val="20"/>
                <w:szCs w:val="20"/>
              </w:rPr>
              <w:t xml:space="preserve"> </w:t>
            </w:r>
            <w:r w:rsidRPr="001F2CF9">
              <w:rPr>
                <w:rFonts w:cs="Arial"/>
                <w:sz w:val="20"/>
                <w:szCs w:val="20"/>
              </w:rPr>
              <w:t>catch and effort data</w:t>
            </w:r>
            <w:r w:rsidR="000E4B8D" w:rsidRPr="001F2CF9">
              <w:rPr>
                <w:rFonts w:cs="Arial"/>
                <w:sz w:val="20"/>
                <w:szCs w:val="20"/>
              </w:rPr>
              <w:t xml:space="preserve"> </w:t>
            </w:r>
            <w:r w:rsidR="002066CC" w:rsidRPr="001F2CF9">
              <w:rPr>
                <w:rFonts w:cs="Arial"/>
                <w:sz w:val="20"/>
                <w:szCs w:val="20"/>
              </w:rPr>
              <w:t xml:space="preserve">and </w:t>
            </w:r>
            <w:r w:rsidR="00C551E3" w:rsidRPr="001F2CF9">
              <w:rPr>
                <w:rFonts w:cs="Arial"/>
                <w:sz w:val="20"/>
                <w:szCs w:val="20"/>
              </w:rPr>
              <w:t>adjust</w:t>
            </w:r>
            <w:r w:rsidR="002066CC" w:rsidRPr="001F2CF9">
              <w:rPr>
                <w:rFonts w:cs="Arial"/>
                <w:sz w:val="20"/>
                <w:szCs w:val="20"/>
              </w:rPr>
              <w:t xml:space="preserve"> the</w:t>
            </w:r>
            <w:r w:rsidR="00C551E3" w:rsidRPr="001F2CF9">
              <w:rPr>
                <w:rFonts w:cs="Arial"/>
                <w:sz w:val="20"/>
                <w:szCs w:val="20"/>
              </w:rPr>
              <w:t xml:space="preserve"> </w:t>
            </w:r>
            <w:r w:rsidR="00C70417">
              <w:rPr>
                <w:rFonts w:cs="Arial"/>
                <w:sz w:val="20"/>
                <w:szCs w:val="20"/>
              </w:rPr>
              <w:t>TAC</w:t>
            </w:r>
            <w:r w:rsidR="00C551E3" w:rsidRPr="008201A1">
              <w:rPr>
                <w:rFonts w:cs="Arial"/>
                <w:sz w:val="20"/>
                <w:szCs w:val="20"/>
              </w:rPr>
              <w:t xml:space="preserve"> </w:t>
            </w:r>
            <w:r w:rsidR="00B24E97" w:rsidRPr="008201A1">
              <w:rPr>
                <w:rFonts w:cs="Arial"/>
                <w:sz w:val="20"/>
                <w:szCs w:val="20"/>
              </w:rPr>
              <w:t>for the following</w:t>
            </w:r>
            <w:r w:rsidR="002066CC" w:rsidRPr="001F2CF9">
              <w:rPr>
                <w:rFonts w:cs="Arial"/>
                <w:sz w:val="20"/>
                <w:szCs w:val="20"/>
              </w:rPr>
              <w:t xml:space="preserve"> quota year</w:t>
            </w:r>
            <w:r w:rsidRPr="001F2CF9">
              <w:rPr>
                <w:rFonts w:cs="Arial"/>
                <w:sz w:val="20"/>
                <w:szCs w:val="20"/>
              </w:rPr>
              <w:t xml:space="preserve"> accordingly</w:t>
            </w:r>
            <w:r w:rsidR="00C551E3" w:rsidRPr="001F2CF9">
              <w:rPr>
                <w:rFonts w:cs="Arial"/>
                <w:sz w:val="20"/>
                <w:szCs w:val="20"/>
              </w:rPr>
              <w:t>.</w:t>
            </w:r>
          </w:p>
          <w:p w14:paraId="7647E613" w14:textId="33A5B46E" w:rsidR="00564BC9" w:rsidRPr="00F32842" w:rsidRDefault="00564BC9">
            <w:pPr>
              <w:spacing w:before="60" w:after="60" w:line="276" w:lineRule="auto"/>
              <w:contextualSpacing/>
              <w:rPr>
                <w:rFonts w:cs="Arial"/>
                <w:sz w:val="20"/>
                <w:szCs w:val="20"/>
                <w:lang w:eastAsia="en-AU"/>
              </w:rPr>
            </w:pPr>
          </w:p>
        </w:tc>
      </w:tr>
      <w:tr w:rsidR="00885298" w:rsidRPr="001F2CF9" w14:paraId="4048E040" w14:textId="77777777" w:rsidTr="00117313">
        <w:trPr>
          <w:cantSplit/>
        </w:trPr>
        <w:tc>
          <w:tcPr>
            <w:tcW w:w="1500" w:type="pct"/>
            <w:shd w:val="clear" w:color="auto" w:fill="auto"/>
          </w:tcPr>
          <w:p w14:paraId="413B5EF5" w14:textId="77777777" w:rsidR="00885298" w:rsidRPr="001F2CF9" w:rsidRDefault="00885298" w:rsidP="00F32842">
            <w:pPr>
              <w:spacing w:before="60" w:after="60" w:line="276" w:lineRule="auto"/>
              <w:contextualSpacing/>
              <w:rPr>
                <w:rFonts w:cs="Arial"/>
                <w:sz w:val="20"/>
                <w:szCs w:val="20"/>
              </w:rPr>
            </w:pPr>
            <w:r w:rsidRPr="00F32842">
              <w:rPr>
                <w:rFonts w:cs="Arial"/>
                <w:b/>
                <w:bCs/>
                <w:i/>
                <w:iCs/>
                <w:sz w:val="20"/>
                <w:szCs w:val="20"/>
              </w:rPr>
              <w:t xml:space="preserve">1.1.5 </w:t>
            </w:r>
            <w:r w:rsidRPr="008201A1">
              <w:rPr>
                <w:rFonts w:cs="Arial"/>
                <w:sz w:val="20"/>
                <w:szCs w:val="20"/>
              </w:rPr>
              <w:t>There is a sound estimate of the potential productivity of the fished stock/s and the prop</w:t>
            </w:r>
            <w:r w:rsidR="006B6EF9" w:rsidRPr="001F2CF9">
              <w:rPr>
                <w:rFonts w:cs="Arial"/>
                <w:sz w:val="20"/>
                <w:szCs w:val="20"/>
              </w:rPr>
              <w:t>ortion that could be harvested.</w:t>
            </w:r>
          </w:p>
          <w:p w14:paraId="1E766E2B" w14:textId="5EB12E47" w:rsidR="004E6C95" w:rsidRPr="001F2CF9" w:rsidRDefault="004E6C95" w:rsidP="008201A1">
            <w:pPr>
              <w:spacing w:before="60" w:after="60" w:line="276" w:lineRule="auto"/>
              <w:contextualSpacing/>
              <w:rPr>
                <w:rFonts w:cs="Arial"/>
                <w:sz w:val="20"/>
                <w:szCs w:val="20"/>
              </w:rPr>
            </w:pPr>
          </w:p>
        </w:tc>
        <w:tc>
          <w:tcPr>
            <w:tcW w:w="3500" w:type="pct"/>
            <w:shd w:val="clear" w:color="auto" w:fill="FFC000"/>
          </w:tcPr>
          <w:p w14:paraId="5875C8AA" w14:textId="281B7795" w:rsidR="004E7A5A" w:rsidRPr="001F2CF9" w:rsidRDefault="00D90316" w:rsidP="004E7A5A">
            <w:pPr>
              <w:spacing w:before="60" w:after="60" w:line="276" w:lineRule="auto"/>
              <w:contextualSpacing/>
              <w:rPr>
                <w:rFonts w:cs="Arial"/>
                <w:b/>
                <w:sz w:val="20"/>
                <w:szCs w:val="20"/>
              </w:rPr>
            </w:pPr>
            <w:r w:rsidRPr="001F2CF9">
              <w:rPr>
                <w:rFonts w:cs="Arial"/>
                <w:b/>
                <w:sz w:val="20"/>
                <w:szCs w:val="20"/>
              </w:rPr>
              <w:t xml:space="preserve">Partially meets – </w:t>
            </w:r>
            <w:r w:rsidR="005E0D8C">
              <w:rPr>
                <w:rFonts w:cs="Arial"/>
                <w:b/>
                <w:sz w:val="20"/>
                <w:szCs w:val="20"/>
              </w:rPr>
              <w:tab/>
            </w:r>
            <w:r w:rsidRPr="001F2CF9">
              <w:rPr>
                <w:rFonts w:cs="Arial"/>
                <w:b/>
                <w:sz w:val="20"/>
                <w:szCs w:val="20"/>
              </w:rPr>
              <w:t>Productivity is currently being estimated</w:t>
            </w:r>
            <w:r w:rsidR="00163B9F" w:rsidRPr="001F2CF9">
              <w:rPr>
                <w:rFonts w:cs="Arial"/>
                <w:b/>
                <w:sz w:val="20"/>
                <w:szCs w:val="20"/>
              </w:rPr>
              <w:t>.</w:t>
            </w:r>
            <w:r w:rsidR="005E0D8C">
              <w:rPr>
                <w:rFonts w:cs="Arial"/>
                <w:b/>
                <w:sz w:val="20"/>
                <w:szCs w:val="20"/>
              </w:rPr>
              <w:t xml:space="preserve"> </w:t>
            </w:r>
            <w:r w:rsidR="005E0D8C">
              <w:rPr>
                <w:rFonts w:cs="Arial"/>
                <w:b/>
                <w:sz w:val="20"/>
                <w:szCs w:val="20"/>
              </w:rPr>
              <w:br/>
            </w:r>
            <w:r w:rsidR="005E0D8C">
              <w:rPr>
                <w:rFonts w:cs="Arial"/>
                <w:b/>
                <w:sz w:val="20"/>
                <w:szCs w:val="20"/>
              </w:rPr>
              <w:tab/>
            </w:r>
            <w:r w:rsidR="005E0D8C">
              <w:rPr>
                <w:rFonts w:cs="Arial"/>
                <w:b/>
                <w:sz w:val="20"/>
                <w:szCs w:val="20"/>
              </w:rPr>
              <w:tab/>
            </w:r>
            <w:r w:rsidR="005E0D8C">
              <w:rPr>
                <w:rFonts w:cs="Arial"/>
                <w:b/>
                <w:sz w:val="20"/>
                <w:szCs w:val="20"/>
              </w:rPr>
              <w:tab/>
            </w:r>
            <w:r w:rsidR="004E7A5A">
              <w:rPr>
                <w:rFonts w:cs="Arial"/>
                <w:b/>
                <w:sz w:val="20"/>
                <w:szCs w:val="20"/>
              </w:rPr>
              <w:t xml:space="preserve">[Recommendation 2 at section 4 of this report addresses provision of scientific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4E7A5A">
              <w:rPr>
                <w:rFonts w:cs="Arial"/>
                <w:b/>
                <w:sz w:val="20"/>
                <w:szCs w:val="20"/>
              </w:rPr>
              <w:t>reports to the Department relevant to this criteria]</w:t>
            </w:r>
          </w:p>
          <w:p w14:paraId="1DEBA7F5" w14:textId="77777777" w:rsidR="006B791A" w:rsidRDefault="006B791A">
            <w:pPr>
              <w:spacing w:before="60" w:after="60" w:line="276" w:lineRule="auto"/>
              <w:contextualSpacing/>
              <w:rPr>
                <w:rFonts w:cs="Arial"/>
                <w:sz w:val="20"/>
                <w:szCs w:val="20"/>
              </w:rPr>
            </w:pPr>
          </w:p>
          <w:p w14:paraId="2A0E7171" w14:textId="171E14C7" w:rsidR="00885298" w:rsidRDefault="00030981">
            <w:pPr>
              <w:spacing w:before="60" w:after="60" w:line="276" w:lineRule="auto"/>
              <w:contextualSpacing/>
              <w:rPr>
                <w:rFonts w:cs="Arial"/>
                <w:sz w:val="20"/>
                <w:szCs w:val="20"/>
              </w:rPr>
            </w:pPr>
            <w:r w:rsidRPr="001F2CF9">
              <w:rPr>
                <w:rFonts w:cs="Arial"/>
                <w:sz w:val="20"/>
                <w:szCs w:val="20"/>
              </w:rPr>
              <w:t>IMAS provided model projections for the future harvest outcomes of the fishery by using historic recruitment estimates</w:t>
            </w:r>
            <w:r w:rsidR="00CF6540" w:rsidRPr="001F2CF9">
              <w:rPr>
                <w:rFonts w:cs="Arial"/>
                <w:sz w:val="20"/>
                <w:szCs w:val="20"/>
              </w:rPr>
              <w:t xml:space="preserve"> until 2015</w:t>
            </w:r>
            <w:r w:rsidRPr="001F2CF9">
              <w:rPr>
                <w:rFonts w:cs="Arial"/>
                <w:sz w:val="20"/>
                <w:szCs w:val="20"/>
              </w:rPr>
              <w:t xml:space="preserve">. </w:t>
            </w:r>
            <w:r w:rsidR="00CF6540" w:rsidRPr="001F2CF9">
              <w:rPr>
                <w:rFonts w:cs="Arial"/>
                <w:sz w:val="20"/>
                <w:szCs w:val="20"/>
              </w:rPr>
              <w:t>D</w:t>
            </w:r>
            <w:r w:rsidRPr="001F2CF9">
              <w:rPr>
                <w:rFonts w:cs="Arial"/>
                <w:sz w:val="20"/>
                <w:szCs w:val="20"/>
              </w:rPr>
              <w:t>ue to a lack of giant crab size population data, the model cannot produce reliable giant crab biomass estimates</w:t>
            </w:r>
            <w:r w:rsidR="00CF6540" w:rsidRPr="001F2CF9">
              <w:rPr>
                <w:rFonts w:cs="Arial"/>
                <w:sz w:val="20"/>
                <w:szCs w:val="20"/>
              </w:rPr>
              <w:t xml:space="preserve"> and is no longer used by researchers</w:t>
            </w:r>
            <w:r w:rsidRPr="001F2CF9">
              <w:rPr>
                <w:rFonts w:cs="Arial"/>
                <w:sz w:val="20"/>
                <w:szCs w:val="20"/>
              </w:rPr>
              <w:t>.</w:t>
            </w:r>
            <w:r w:rsidRPr="001F2CF9">
              <w:rPr>
                <w:rFonts w:cs="Arial"/>
                <w:i/>
                <w:sz w:val="20"/>
                <w:szCs w:val="20"/>
              </w:rPr>
              <w:t xml:space="preserve"> </w:t>
            </w:r>
            <w:r w:rsidRPr="001F2CF9">
              <w:rPr>
                <w:rFonts w:cs="Arial"/>
                <w:sz w:val="20"/>
                <w:szCs w:val="20"/>
              </w:rPr>
              <w:t xml:space="preserve">IMAS provides </w:t>
            </w:r>
            <w:r w:rsidR="00CF6540" w:rsidRPr="001F2CF9">
              <w:rPr>
                <w:rFonts w:cs="Arial"/>
                <w:sz w:val="20"/>
                <w:szCs w:val="20"/>
              </w:rPr>
              <w:t xml:space="preserve">regular </w:t>
            </w:r>
            <w:r w:rsidRPr="001F2CF9">
              <w:rPr>
                <w:rFonts w:cs="Arial"/>
                <w:sz w:val="20"/>
                <w:szCs w:val="20"/>
              </w:rPr>
              <w:t>s</w:t>
            </w:r>
            <w:r w:rsidR="00047F11" w:rsidRPr="001F2CF9">
              <w:rPr>
                <w:rFonts w:cs="Arial"/>
                <w:sz w:val="20"/>
                <w:szCs w:val="20"/>
              </w:rPr>
              <w:t>ound estimate</w:t>
            </w:r>
            <w:r w:rsidRPr="001F2CF9">
              <w:rPr>
                <w:rFonts w:cs="Arial"/>
                <w:sz w:val="20"/>
                <w:szCs w:val="20"/>
              </w:rPr>
              <w:t>s</w:t>
            </w:r>
            <w:r w:rsidR="00047F11" w:rsidRPr="001F2CF9">
              <w:rPr>
                <w:rFonts w:cs="Arial"/>
                <w:sz w:val="20"/>
                <w:szCs w:val="20"/>
              </w:rPr>
              <w:t xml:space="preserve"> of </w:t>
            </w:r>
            <w:r w:rsidR="007D52FC" w:rsidRPr="001F2CF9">
              <w:rPr>
                <w:rFonts w:cs="Arial"/>
                <w:sz w:val="20"/>
                <w:szCs w:val="20"/>
              </w:rPr>
              <w:t>Catch Per Unit Effort (</w:t>
            </w:r>
            <w:r w:rsidR="00047F11" w:rsidRPr="001F2CF9">
              <w:rPr>
                <w:rFonts w:cs="Arial"/>
                <w:sz w:val="20"/>
                <w:szCs w:val="20"/>
              </w:rPr>
              <w:t>CPUE</w:t>
            </w:r>
            <w:r w:rsidR="007D52FC" w:rsidRPr="001F2CF9">
              <w:rPr>
                <w:rFonts w:cs="Arial"/>
                <w:sz w:val="20"/>
                <w:szCs w:val="20"/>
              </w:rPr>
              <w:t>)</w:t>
            </w:r>
            <w:r w:rsidRPr="001F2CF9">
              <w:rPr>
                <w:rFonts w:cs="Arial"/>
                <w:sz w:val="20"/>
                <w:szCs w:val="20"/>
              </w:rPr>
              <w:t xml:space="preserve"> to the TGCF management</w:t>
            </w:r>
            <w:r w:rsidR="00CF6540" w:rsidRPr="001F2CF9">
              <w:rPr>
                <w:rFonts w:cs="Arial"/>
                <w:sz w:val="20"/>
                <w:szCs w:val="20"/>
              </w:rPr>
              <w:t xml:space="preserve"> and c</w:t>
            </w:r>
            <w:r w:rsidR="009546C6" w:rsidRPr="001F2CF9">
              <w:rPr>
                <w:rFonts w:cs="Arial"/>
                <w:sz w:val="20"/>
                <w:szCs w:val="20"/>
              </w:rPr>
              <w:t>atch and recruitment data are regularly reviewed to estimate the fishery’s potential productivity.</w:t>
            </w:r>
            <w:r w:rsidR="00CF6540" w:rsidRPr="001F2CF9">
              <w:rPr>
                <w:rFonts w:cs="Arial"/>
                <w:sz w:val="20"/>
                <w:szCs w:val="20"/>
              </w:rPr>
              <w:t xml:space="preserve"> </w:t>
            </w:r>
            <w:r w:rsidR="00791095" w:rsidRPr="001F2CF9">
              <w:rPr>
                <w:rFonts w:cs="Arial"/>
                <w:sz w:val="20"/>
                <w:szCs w:val="20"/>
              </w:rPr>
              <w:t>T</w:t>
            </w:r>
            <w:r w:rsidR="00CF6540" w:rsidRPr="001F2CF9">
              <w:rPr>
                <w:rFonts w:cs="Arial"/>
                <w:sz w:val="20"/>
                <w:szCs w:val="20"/>
              </w:rPr>
              <w:t xml:space="preserve">he development </w:t>
            </w:r>
            <w:r w:rsidR="00791095" w:rsidRPr="001F2CF9">
              <w:rPr>
                <w:rFonts w:cs="Arial"/>
                <w:sz w:val="20"/>
                <w:szCs w:val="20"/>
              </w:rPr>
              <w:t>and implementation of t</w:t>
            </w:r>
            <w:r w:rsidR="00CF6540" w:rsidRPr="001F2CF9">
              <w:rPr>
                <w:rFonts w:cs="Arial"/>
                <w:sz w:val="20"/>
                <w:szCs w:val="20"/>
              </w:rPr>
              <w:t xml:space="preserve">he cross-jurisdictional collaborative project of </w:t>
            </w:r>
            <w:r w:rsidR="00E173F8">
              <w:rPr>
                <w:rFonts w:cs="Arial"/>
                <w:sz w:val="20"/>
                <w:szCs w:val="20"/>
              </w:rPr>
              <w:t>‘</w:t>
            </w:r>
            <w:r w:rsidR="00CF6540" w:rsidRPr="008201A1">
              <w:rPr>
                <w:rFonts w:cs="Arial"/>
                <w:i/>
                <w:sz w:val="20"/>
                <w:szCs w:val="20"/>
              </w:rPr>
              <w:t>Giant Crab Enhanced Data Collection</w:t>
            </w:r>
            <w:r w:rsidR="00E173F8">
              <w:rPr>
                <w:rFonts w:cs="Arial"/>
                <w:i/>
                <w:sz w:val="20"/>
                <w:szCs w:val="20"/>
              </w:rPr>
              <w:t>’</w:t>
            </w:r>
            <w:r w:rsidR="00CF6540" w:rsidRPr="008201A1">
              <w:rPr>
                <w:rFonts w:cs="Arial"/>
                <w:sz w:val="20"/>
                <w:szCs w:val="20"/>
              </w:rPr>
              <w:t xml:space="preserve"> </w:t>
            </w:r>
            <w:r w:rsidR="002D77DE" w:rsidRPr="008201A1">
              <w:rPr>
                <w:rFonts w:cs="Arial"/>
                <w:sz w:val="20"/>
                <w:szCs w:val="20"/>
              </w:rPr>
              <w:t>starting in 2020</w:t>
            </w:r>
            <w:r w:rsidR="002D77DE" w:rsidRPr="001F2CF9">
              <w:rPr>
                <w:rFonts w:cs="Arial"/>
                <w:sz w:val="20"/>
                <w:szCs w:val="20"/>
              </w:rPr>
              <w:t xml:space="preserve"> </w:t>
            </w:r>
            <w:r w:rsidR="004C6CCE" w:rsidRPr="001F2CF9">
              <w:rPr>
                <w:rFonts w:cs="Arial"/>
                <w:sz w:val="20"/>
                <w:szCs w:val="20"/>
              </w:rPr>
              <w:t xml:space="preserve">has the objective to enhance the accuracy </w:t>
            </w:r>
            <w:r w:rsidR="004C6CCE" w:rsidRPr="001F2CF9">
              <w:rPr>
                <w:sz w:val="20"/>
                <w:szCs w:val="20"/>
              </w:rPr>
              <w:t>of biomass and fishing mortality information</w:t>
            </w:r>
            <w:r w:rsidR="00E173F8">
              <w:rPr>
                <w:sz w:val="20"/>
                <w:szCs w:val="20"/>
              </w:rPr>
              <w:t>,</w:t>
            </w:r>
            <w:r w:rsidR="004C6CCE" w:rsidRPr="008201A1">
              <w:rPr>
                <w:sz w:val="20"/>
                <w:szCs w:val="20"/>
              </w:rPr>
              <w:t xml:space="preserve"> </w:t>
            </w:r>
            <w:r w:rsidR="00E173F8" w:rsidRPr="001F2CF9">
              <w:rPr>
                <w:sz w:val="20"/>
                <w:szCs w:val="20"/>
              </w:rPr>
              <w:t>a</w:t>
            </w:r>
            <w:r w:rsidR="00E173F8">
              <w:rPr>
                <w:sz w:val="20"/>
                <w:szCs w:val="20"/>
              </w:rPr>
              <w:t>s well as</w:t>
            </w:r>
            <w:r w:rsidR="00E173F8" w:rsidRPr="008201A1">
              <w:rPr>
                <w:sz w:val="20"/>
                <w:szCs w:val="20"/>
              </w:rPr>
              <w:t xml:space="preserve"> </w:t>
            </w:r>
            <w:r w:rsidR="00E63E19" w:rsidRPr="008201A1">
              <w:rPr>
                <w:sz w:val="20"/>
                <w:szCs w:val="20"/>
              </w:rPr>
              <w:t xml:space="preserve">to </w:t>
            </w:r>
            <w:r w:rsidR="004C6CCE" w:rsidRPr="001F2CF9">
              <w:rPr>
                <w:sz w:val="20"/>
                <w:szCs w:val="20"/>
              </w:rPr>
              <w:t>enhance</w:t>
            </w:r>
            <w:r w:rsidR="004C6CCE" w:rsidRPr="001F2CF9">
              <w:rPr>
                <w:rFonts w:cs="Arial"/>
                <w:sz w:val="20"/>
                <w:szCs w:val="20"/>
              </w:rPr>
              <w:t xml:space="preserve"> </w:t>
            </w:r>
            <w:r w:rsidR="004C6CCE" w:rsidRPr="001F2CF9">
              <w:rPr>
                <w:sz w:val="20"/>
                <w:szCs w:val="20"/>
              </w:rPr>
              <w:t>the stock assessment process</w:t>
            </w:r>
            <w:r w:rsidR="004C6CCE" w:rsidRPr="001F2CF9">
              <w:rPr>
                <w:rFonts w:cs="Arial"/>
                <w:sz w:val="20"/>
                <w:szCs w:val="20"/>
              </w:rPr>
              <w:t xml:space="preserve"> in the fishery. This FRDC project </w:t>
            </w:r>
            <w:r w:rsidR="002D77DE" w:rsidRPr="001F2CF9">
              <w:rPr>
                <w:rFonts w:cs="Arial"/>
                <w:sz w:val="20"/>
                <w:szCs w:val="20"/>
              </w:rPr>
              <w:t>will</w:t>
            </w:r>
            <w:r w:rsidR="00791095" w:rsidRPr="001F2CF9">
              <w:rPr>
                <w:rFonts w:cs="Arial"/>
                <w:sz w:val="20"/>
                <w:szCs w:val="20"/>
              </w:rPr>
              <w:t xml:space="preserve"> </w:t>
            </w:r>
            <w:r w:rsidR="004C6CCE" w:rsidRPr="001F2CF9">
              <w:rPr>
                <w:rFonts w:cs="Arial"/>
                <w:sz w:val="20"/>
                <w:szCs w:val="20"/>
              </w:rPr>
              <w:t>also assist in providing</w:t>
            </w:r>
            <w:r w:rsidR="00791095" w:rsidRPr="001F2CF9">
              <w:rPr>
                <w:rFonts w:cs="Arial"/>
                <w:sz w:val="20"/>
                <w:szCs w:val="20"/>
              </w:rPr>
              <w:t xml:space="preserve"> better estimates o</w:t>
            </w:r>
            <w:r w:rsidR="002D77DE" w:rsidRPr="001F2CF9">
              <w:rPr>
                <w:rFonts w:cs="Arial"/>
                <w:sz w:val="20"/>
                <w:szCs w:val="20"/>
              </w:rPr>
              <w:t>f the potential productivity of the Tasmanian giant crab stock</w:t>
            </w:r>
            <w:r w:rsidR="00E63E19" w:rsidRPr="001F2CF9">
              <w:rPr>
                <w:rFonts w:cs="Arial"/>
                <w:sz w:val="20"/>
                <w:szCs w:val="20"/>
              </w:rPr>
              <w:t xml:space="preserve"> and will assist DPIPWE in developing a harvest strategy for the fishery.</w:t>
            </w:r>
          </w:p>
          <w:p w14:paraId="18AD0295" w14:textId="19FE1FC2" w:rsidR="00564BC9" w:rsidRPr="00F32842" w:rsidRDefault="00564BC9">
            <w:pPr>
              <w:spacing w:before="60" w:after="60" w:line="276" w:lineRule="auto"/>
              <w:contextualSpacing/>
              <w:rPr>
                <w:rFonts w:cs="Arial"/>
                <w:sz w:val="20"/>
                <w:szCs w:val="20"/>
              </w:rPr>
            </w:pPr>
          </w:p>
        </w:tc>
      </w:tr>
      <w:tr w:rsidR="00867590" w:rsidRPr="001F2CF9" w14:paraId="56D2C7E4" w14:textId="77777777" w:rsidTr="00117313">
        <w:trPr>
          <w:cantSplit/>
        </w:trPr>
        <w:tc>
          <w:tcPr>
            <w:tcW w:w="5000" w:type="pct"/>
            <w:gridSpan w:val="2"/>
            <w:shd w:val="clear" w:color="auto" w:fill="DAEEF3"/>
          </w:tcPr>
          <w:p w14:paraId="7D91A0CD" w14:textId="1599B1A6"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 xml:space="preserve">Management responses </w:t>
            </w:r>
          </w:p>
        </w:tc>
      </w:tr>
      <w:tr w:rsidR="00867590" w:rsidRPr="001F2CF9" w14:paraId="51F6B96C" w14:textId="77777777" w:rsidTr="00117313">
        <w:trPr>
          <w:cantSplit/>
          <w:trHeight w:val="3109"/>
        </w:trPr>
        <w:tc>
          <w:tcPr>
            <w:tcW w:w="1500" w:type="pct"/>
          </w:tcPr>
          <w:p w14:paraId="1DB6A9BC" w14:textId="77777777"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1.1.6 </w:t>
            </w:r>
            <w:r w:rsidRPr="008201A1">
              <w:rPr>
                <w:rFonts w:cs="Arial"/>
                <w:sz w:val="20"/>
                <w:szCs w:val="20"/>
              </w:rPr>
              <w:t xml:space="preserve">There are reference points (target and/or limit), that trigger management actions </w:t>
            </w:r>
            <w:r w:rsidRPr="001F2CF9">
              <w:rPr>
                <w:rFonts w:cs="Arial"/>
                <w:sz w:val="20"/>
                <w:szCs w:val="20"/>
              </w:rPr>
              <w:t>including a biological bottom line and/or a catch or effort upper limit beyond which the stock should not be</w:t>
            </w:r>
            <w:r w:rsidR="006B6EF9" w:rsidRPr="001F2CF9">
              <w:rPr>
                <w:rFonts w:cs="Arial"/>
                <w:sz w:val="20"/>
                <w:szCs w:val="20"/>
              </w:rPr>
              <w:t xml:space="preserve"> taken.</w:t>
            </w:r>
          </w:p>
          <w:p w14:paraId="37D19E12" w14:textId="5DA7B9DC" w:rsidR="004E6C95" w:rsidRPr="001F2CF9" w:rsidRDefault="004E6C95" w:rsidP="008201A1">
            <w:pPr>
              <w:spacing w:before="60" w:after="60" w:line="276" w:lineRule="auto"/>
              <w:contextualSpacing/>
              <w:rPr>
                <w:rFonts w:cs="Arial"/>
                <w:sz w:val="20"/>
                <w:szCs w:val="20"/>
              </w:rPr>
            </w:pPr>
          </w:p>
        </w:tc>
        <w:tc>
          <w:tcPr>
            <w:tcW w:w="3500" w:type="pct"/>
            <w:shd w:val="clear" w:color="auto" w:fill="92D050"/>
          </w:tcPr>
          <w:p w14:paraId="0F7D787E" w14:textId="40C75842" w:rsidR="005869AD" w:rsidRPr="001F2CF9" w:rsidRDefault="005869AD">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C74B33" w:rsidRPr="001F2CF9">
              <w:rPr>
                <w:rFonts w:cs="Arial"/>
                <w:b/>
                <w:sz w:val="20"/>
                <w:szCs w:val="20"/>
              </w:rPr>
              <w:t>Robust reference points are in place</w:t>
            </w:r>
            <w:r w:rsidR="00163B9F" w:rsidRPr="001F2CF9">
              <w:rPr>
                <w:rFonts w:cs="Arial"/>
                <w:b/>
                <w:sz w:val="20"/>
                <w:szCs w:val="20"/>
              </w:rPr>
              <w:t>.</w:t>
            </w:r>
          </w:p>
          <w:p w14:paraId="7EED01C7" w14:textId="77777777" w:rsidR="006B791A" w:rsidRDefault="006B791A">
            <w:pPr>
              <w:spacing w:before="60" w:after="60" w:line="276" w:lineRule="auto"/>
              <w:contextualSpacing/>
              <w:rPr>
                <w:rFonts w:cs="Arial"/>
                <w:sz w:val="20"/>
                <w:szCs w:val="20"/>
              </w:rPr>
            </w:pPr>
          </w:p>
          <w:p w14:paraId="60ECF312" w14:textId="51E8810F" w:rsidR="008100C2" w:rsidRPr="001F2CF9" w:rsidRDefault="00380432">
            <w:pPr>
              <w:spacing w:before="60" w:after="60" w:line="276" w:lineRule="auto"/>
              <w:contextualSpacing/>
              <w:rPr>
                <w:rFonts w:cs="Arial"/>
                <w:sz w:val="20"/>
                <w:szCs w:val="20"/>
              </w:rPr>
            </w:pPr>
            <w:r w:rsidRPr="001F2CF9">
              <w:rPr>
                <w:rFonts w:cs="Arial"/>
                <w:sz w:val="20"/>
                <w:szCs w:val="20"/>
              </w:rPr>
              <w:t>The</w:t>
            </w:r>
            <w:r w:rsidR="009A0BD8" w:rsidRPr="001F2CF9">
              <w:rPr>
                <w:rFonts w:cs="Arial"/>
                <w:sz w:val="20"/>
                <w:szCs w:val="20"/>
              </w:rPr>
              <w:t xml:space="preserve">re are </w:t>
            </w:r>
            <w:r w:rsidRPr="001F2CF9">
              <w:rPr>
                <w:rFonts w:cs="Arial"/>
                <w:sz w:val="20"/>
                <w:szCs w:val="20"/>
              </w:rPr>
              <w:t>l</w:t>
            </w:r>
            <w:r w:rsidR="004D73B6" w:rsidRPr="001F2CF9">
              <w:rPr>
                <w:rFonts w:cs="Arial"/>
                <w:sz w:val="20"/>
                <w:szCs w:val="20"/>
              </w:rPr>
              <w:t>imit r</w:t>
            </w:r>
            <w:r w:rsidR="008100C2" w:rsidRPr="001F2CF9">
              <w:rPr>
                <w:rFonts w:cs="Arial"/>
                <w:sz w:val="20"/>
                <w:szCs w:val="20"/>
              </w:rPr>
              <w:t xml:space="preserve">eference points </w:t>
            </w:r>
            <w:r w:rsidR="0061796B" w:rsidRPr="001F2CF9">
              <w:rPr>
                <w:rFonts w:cs="Arial"/>
                <w:sz w:val="20"/>
                <w:szCs w:val="20"/>
              </w:rPr>
              <w:t>in place in the fishery</w:t>
            </w:r>
            <w:r w:rsidR="004D73B6" w:rsidRPr="001F2CF9">
              <w:rPr>
                <w:rFonts w:cs="Arial"/>
                <w:sz w:val="20"/>
                <w:szCs w:val="20"/>
              </w:rPr>
              <w:t xml:space="preserve"> that trigger</w:t>
            </w:r>
            <w:r w:rsidR="008100C2" w:rsidRPr="001F2CF9">
              <w:rPr>
                <w:rFonts w:cs="Arial"/>
                <w:sz w:val="20"/>
                <w:szCs w:val="20"/>
              </w:rPr>
              <w:t xml:space="preserve"> management actions to protect giant crab stock</w:t>
            </w:r>
            <w:r w:rsidR="009A0BD8" w:rsidRPr="001F2CF9">
              <w:rPr>
                <w:rFonts w:cs="Arial"/>
                <w:sz w:val="20"/>
                <w:szCs w:val="20"/>
              </w:rPr>
              <w:t xml:space="preserve">. These </w:t>
            </w:r>
            <w:r w:rsidR="008100C2" w:rsidRPr="001F2CF9">
              <w:rPr>
                <w:rFonts w:cs="Arial"/>
                <w:sz w:val="20"/>
                <w:szCs w:val="20"/>
              </w:rPr>
              <w:t>include:</w:t>
            </w:r>
          </w:p>
          <w:p w14:paraId="22A802D5" w14:textId="4964B234" w:rsidR="00F372F3" w:rsidRPr="001F2CF9" w:rsidRDefault="00FD3E19">
            <w:pPr>
              <w:pStyle w:val="ListParagraph"/>
              <w:numPr>
                <w:ilvl w:val="0"/>
                <w:numId w:val="47"/>
              </w:numPr>
              <w:spacing w:before="60" w:after="60" w:line="276" w:lineRule="auto"/>
              <w:contextualSpacing/>
              <w:rPr>
                <w:rFonts w:cs="Arial"/>
                <w:sz w:val="20"/>
                <w:szCs w:val="20"/>
              </w:rPr>
            </w:pPr>
            <w:r w:rsidRPr="001F2CF9">
              <w:rPr>
                <w:rFonts w:cs="Arial"/>
                <w:sz w:val="20"/>
                <w:szCs w:val="20"/>
              </w:rPr>
              <w:t xml:space="preserve">drop of the </w:t>
            </w:r>
            <w:r w:rsidR="00F372F3" w:rsidRPr="001F2CF9">
              <w:rPr>
                <w:rFonts w:cs="Arial"/>
                <w:sz w:val="20"/>
                <w:szCs w:val="20"/>
              </w:rPr>
              <w:t xml:space="preserve">total yearly catch in the fishery </w:t>
            </w:r>
            <w:r w:rsidR="00D038BA" w:rsidRPr="001F2CF9">
              <w:rPr>
                <w:rFonts w:cs="Arial"/>
                <w:sz w:val="20"/>
                <w:szCs w:val="20"/>
              </w:rPr>
              <w:t>below 90 per</w:t>
            </w:r>
            <w:r w:rsidR="004406A4" w:rsidRPr="001F2CF9">
              <w:rPr>
                <w:rFonts w:cs="Arial"/>
                <w:sz w:val="20"/>
                <w:szCs w:val="20"/>
              </w:rPr>
              <w:t xml:space="preserve"> </w:t>
            </w:r>
            <w:r w:rsidR="00D038BA" w:rsidRPr="001F2CF9">
              <w:rPr>
                <w:rFonts w:cs="Arial"/>
                <w:sz w:val="20"/>
                <w:szCs w:val="20"/>
              </w:rPr>
              <w:t>cent</w:t>
            </w:r>
            <w:r w:rsidR="00F372F3" w:rsidRPr="001F2CF9">
              <w:rPr>
                <w:rFonts w:cs="Arial"/>
                <w:sz w:val="20"/>
                <w:szCs w:val="20"/>
              </w:rPr>
              <w:t xml:space="preserve"> of</w:t>
            </w:r>
            <w:r w:rsidR="00D038BA" w:rsidRPr="001F2CF9">
              <w:rPr>
                <w:rFonts w:cs="Arial"/>
                <w:sz w:val="20"/>
                <w:szCs w:val="20"/>
              </w:rPr>
              <w:t xml:space="preserve"> the</w:t>
            </w:r>
            <w:r w:rsidR="00F372F3" w:rsidRPr="001F2CF9">
              <w:rPr>
                <w:rFonts w:cs="Arial"/>
                <w:sz w:val="20"/>
                <w:szCs w:val="20"/>
              </w:rPr>
              <w:t xml:space="preserve"> TAC in any year</w:t>
            </w:r>
            <w:r w:rsidR="0061796B" w:rsidRPr="001F2CF9">
              <w:rPr>
                <w:rFonts w:cs="Arial"/>
                <w:sz w:val="20"/>
                <w:szCs w:val="20"/>
              </w:rPr>
              <w:t>;</w:t>
            </w:r>
          </w:p>
          <w:p w14:paraId="4CA5C593" w14:textId="5BC11C5F" w:rsidR="008100C2" w:rsidRPr="001F2CF9" w:rsidRDefault="008A16B4">
            <w:pPr>
              <w:pStyle w:val="ListParagraph"/>
              <w:numPr>
                <w:ilvl w:val="0"/>
                <w:numId w:val="47"/>
              </w:numPr>
              <w:spacing w:before="60" w:after="60" w:line="276" w:lineRule="auto"/>
              <w:contextualSpacing/>
              <w:rPr>
                <w:rFonts w:cs="Arial"/>
                <w:sz w:val="20"/>
                <w:szCs w:val="20"/>
              </w:rPr>
            </w:pPr>
            <w:r w:rsidRPr="001F2CF9">
              <w:rPr>
                <w:rFonts w:cs="Arial"/>
                <w:sz w:val="20"/>
                <w:szCs w:val="20"/>
              </w:rPr>
              <w:t>decline of the s</w:t>
            </w:r>
            <w:r w:rsidR="00F372F3" w:rsidRPr="001F2CF9">
              <w:rPr>
                <w:rFonts w:cs="Arial"/>
                <w:sz w:val="20"/>
                <w:szCs w:val="20"/>
              </w:rPr>
              <w:t>tate</w:t>
            </w:r>
            <w:r w:rsidR="00D038BA" w:rsidRPr="001F2CF9">
              <w:rPr>
                <w:rFonts w:cs="Arial"/>
                <w:sz w:val="20"/>
                <w:szCs w:val="20"/>
              </w:rPr>
              <w:t>-wide</w:t>
            </w:r>
            <w:r w:rsidR="00F372F3" w:rsidRPr="001F2CF9">
              <w:rPr>
                <w:rFonts w:cs="Arial"/>
                <w:sz w:val="20"/>
                <w:szCs w:val="20"/>
              </w:rPr>
              <w:t xml:space="preserve"> catch pe</w:t>
            </w:r>
            <w:r w:rsidRPr="001F2CF9">
              <w:rPr>
                <w:rFonts w:cs="Arial"/>
                <w:sz w:val="20"/>
                <w:szCs w:val="20"/>
              </w:rPr>
              <w:t xml:space="preserve">r unit effort </w:t>
            </w:r>
            <w:r w:rsidR="009A0BD8" w:rsidRPr="001F2CF9">
              <w:rPr>
                <w:rFonts w:cs="Arial"/>
                <w:sz w:val="20"/>
                <w:szCs w:val="20"/>
              </w:rPr>
              <w:t>(</w:t>
            </w:r>
            <w:r w:rsidRPr="001F2CF9">
              <w:rPr>
                <w:rFonts w:cs="Arial"/>
                <w:sz w:val="20"/>
                <w:szCs w:val="20"/>
              </w:rPr>
              <w:t>CPUE</w:t>
            </w:r>
            <w:r w:rsidR="009A0BD8" w:rsidRPr="001F2CF9">
              <w:rPr>
                <w:rFonts w:cs="Arial"/>
                <w:sz w:val="20"/>
                <w:szCs w:val="20"/>
              </w:rPr>
              <w:t>)</w:t>
            </w:r>
            <w:r w:rsidRPr="001F2CF9">
              <w:rPr>
                <w:rFonts w:cs="Arial"/>
                <w:sz w:val="20"/>
                <w:szCs w:val="20"/>
              </w:rPr>
              <w:t xml:space="preserve"> </w:t>
            </w:r>
            <w:r w:rsidR="00F372F3" w:rsidRPr="001F2CF9">
              <w:rPr>
                <w:rFonts w:cs="Arial"/>
                <w:sz w:val="20"/>
                <w:szCs w:val="20"/>
              </w:rPr>
              <w:t>for two consecutive years</w:t>
            </w:r>
            <w:r w:rsidR="0061796B" w:rsidRPr="001F2CF9">
              <w:rPr>
                <w:rFonts w:cs="Arial"/>
                <w:sz w:val="20"/>
                <w:szCs w:val="20"/>
              </w:rPr>
              <w:t>;</w:t>
            </w:r>
          </w:p>
          <w:p w14:paraId="2F8CC886" w14:textId="14F3C438" w:rsidR="008100C2" w:rsidRPr="001F2CF9" w:rsidRDefault="008A16B4">
            <w:pPr>
              <w:pStyle w:val="ListParagraph"/>
              <w:numPr>
                <w:ilvl w:val="0"/>
                <w:numId w:val="47"/>
              </w:numPr>
              <w:spacing w:before="60" w:after="60" w:line="276" w:lineRule="auto"/>
              <w:contextualSpacing/>
              <w:rPr>
                <w:rFonts w:cs="Arial"/>
                <w:sz w:val="20"/>
                <w:szCs w:val="20"/>
              </w:rPr>
            </w:pPr>
            <w:r w:rsidRPr="001F2CF9">
              <w:rPr>
                <w:rFonts w:cs="Arial"/>
                <w:sz w:val="20"/>
                <w:szCs w:val="20"/>
              </w:rPr>
              <w:t xml:space="preserve">decline of the </w:t>
            </w:r>
            <w:r w:rsidR="00AF35FB" w:rsidRPr="001F2CF9">
              <w:rPr>
                <w:rFonts w:cs="Arial"/>
                <w:sz w:val="20"/>
                <w:szCs w:val="20"/>
              </w:rPr>
              <w:t>regional</w:t>
            </w:r>
            <w:r w:rsidR="00D038BA" w:rsidRPr="001F2CF9">
              <w:rPr>
                <w:rFonts w:cs="Arial"/>
                <w:sz w:val="20"/>
                <w:szCs w:val="20"/>
              </w:rPr>
              <w:t xml:space="preserve"> commercial catch rate</w:t>
            </w:r>
            <w:r w:rsidR="00AF35FB" w:rsidRPr="001F2CF9">
              <w:rPr>
                <w:rFonts w:cs="Arial"/>
                <w:sz w:val="20"/>
                <w:szCs w:val="20"/>
              </w:rPr>
              <w:t>s</w:t>
            </w:r>
            <w:r w:rsidR="00445D77" w:rsidRPr="001F2CF9">
              <w:rPr>
                <w:rFonts w:cs="Arial"/>
                <w:sz w:val="20"/>
                <w:szCs w:val="20"/>
              </w:rPr>
              <w:t xml:space="preserve"> </w:t>
            </w:r>
            <w:r w:rsidR="004406A4" w:rsidRPr="001F2CF9">
              <w:rPr>
                <w:rFonts w:cs="Arial"/>
                <w:sz w:val="20"/>
                <w:szCs w:val="20"/>
              </w:rPr>
              <w:t>by a total of 20 per cent</w:t>
            </w:r>
            <w:r w:rsidR="00F372F3" w:rsidRPr="001F2CF9">
              <w:rPr>
                <w:rFonts w:cs="Arial"/>
                <w:sz w:val="20"/>
                <w:szCs w:val="20"/>
              </w:rPr>
              <w:t xml:space="preserve"> in two years</w:t>
            </w:r>
            <w:r w:rsidR="004406A4" w:rsidRPr="001F2CF9">
              <w:rPr>
                <w:rFonts w:cs="Arial"/>
                <w:sz w:val="20"/>
                <w:szCs w:val="20"/>
              </w:rPr>
              <w:t>;</w:t>
            </w:r>
          </w:p>
          <w:p w14:paraId="56294329" w14:textId="22FDE5B1" w:rsidR="008100C2" w:rsidRPr="001F2CF9" w:rsidRDefault="00F372F3">
            <w:pPr>
              <w:pStyle w:val="ListParagraph"/>
              <w:numPr>
                <w:ilvl w:val="0"/>
                <w:numId w:val="47"/>
              </w:numPr>
              <w:spacing w:before="60" w:after="60" w:line="276" w:lineRule="auto"/>
              <w:contextualSpacing/>
              <w:rPr>
                <w:rFonts w:cs="Arial"/>
                <w:sz w:val="20"/>
                <w:szCs w:val="20"/>
              </w:rPr>
            </w:pPr>
            <w:proofErr w:type="gramStart"/>
            <w:r w:rsidRPr="001F2CF9">
              <w:rPr>
                <w:rFonts w:cs="Arial"/>
                <w:sz w:val="20"/>
                <w:szCs w:val="20"/>
              </w:rPr>
              <w:t>bycatch</w:t>
            </w:r>
            <w:proofErr w:type="gramEnd"/>
            <w:r w:rsidRPr="001F2CF9">
              <w:rPr>
                <w:rFonts w:cs="Arial"/>
                <w:sz w:val="20"/>
                <w:szCs w:val="20"/>
              </w:rPr>
              <w:t xml:space="preserve"> of giant crabs taken by </w:t>
            </w:r>
            <w:r w:rsidR="00AA32D8" w:rsidRPr="001F2CF9">
              <w:rPr>
                <w:rFonts w:cs="Arial"/>
                <w:sz w:val="20"/>
                <w:szCs w:val="20"/>
              </w:rPr>
              <w:t>rock lobster fishe</w:t>
            </w:r>
            <w:r w:rsidR="00A621F7" w:rsidRPr="001F2CF9">
              <w:rPr>
                <w:rFonts w:cs="Arial"/>
                <w:sz w:val="20"/>
                <w:szCs w:val="20"/>
              </w:rPr>
              <w:t>r</w:t>
            </w:r>
            <w:r w:rsidR="00AA32D8" w:rsidRPr="001F2CF9">
              <w:rPr>
                <w:rFonts w:cs="Arial"/>
                <w:sz w:val="20"/>
                <w:szCs w:val="20"/>
              </w:rPr>
              <w:t xml:space="preserve">s </w:t>
            </w:r>
            <w:r w:rsidR="00A621F7" w:rsidRPr="001F2CF9">
              <w:rPr>
                <w:rFonts w:cs="Arial"/>
                <w:sz w:val="20"/>
                <w:szCs w:val="20"/>
              </w:rPr>
              <w:t>above</w:t>
            </w:r>
            <w:r w:rsidRPr="001F2CF9">
              <w:rPr>
                <w:rFonts w:cs="Arial"/>
                <w:sz w:val="20"/>
                <w:szCs w:val="20"/>
              </w:rPr>
              <w:t xml:space="preserve"> 5</w:t>
            </w:r>
            <w:r w:rsidR="00AA32D8" w:rsidRPr="001F2CF9">
              <w:rPr>
                <w:rFonts w:cs="Arial"/>
                <w:sz w:val="20"/>
                <w:szCs w:val="20"/>
              </w:rPr>
              <w:t xml:space="preserve"> </w:t>
            </w:r>
            <w:r w:rsidRPr="001F2CF9">
              <w:rPr>
                <w:rFonts w:cs="Arial"/>
                <w:sz w:val="20"/>
                <w:szCs w:val="20"/>
              </w:rPr>
              <w:t>t</w:t>
            </w:r>
            <w:r w:rsidR="00AA32D8" w:rsidRPr="001F2CF9">
              <w:rPr>
                <w:rFonts w:cs="Arial"/>
                <w:sz w:val="20"/>
                <w:szCs w:val="20"/>
              </w:rPr>
              <w:t>onnes</w:t>
            </w:r>
            <w:r w:rsidRPr="001F2CF9">
              <w:rPr>
                <w:rFonts w:cs="Arial"/>
                <w:sz w:val="20"/>
                <w:szCs w:val="20"/>
              </w:rPr>
              <w:t xml:space="preserve"> in any year</w:t>
            </w:r>
            <w:r w:rsidR="004406A4" w:rsidRPr="001F2CF9">
              <w:rPr>
                <w:rFonts w:cs="Arial"/>
                <w:sz w:val="20"/>
                <w:szCs w:val="20"/>
              </w:rPr>
              <w:t>.</w:t>
            </w:r>
          </w:p>
          <w:p w14:paraId="4FB3FC0A" w14:textId="77777777" w:rsidR="00867590" w:rsidRDefault="009B1DA5">
            <w:pPr>
              <w:spacing w:before="60" w:after="60" w:line="276" w:lineRule="auto"/>
              <w:contextualSpacing/>
              <w:rPr>
                <w:rFonts w:cs="Arial"/>
                <w:sz w:val="20"/>
                <w:szCs w:val="20"/>
                <w:lang w:eastAsia="en-AU"/>
              </w:rPr>
            </w:pPr>
            <w:r w:rsidRPr="001F2CF9">
              <w:rPr>
                <w:sz w:val="20"/>
                <w:szCs w:val="20"/>
              </w:rPr>
              <w:t>When a trigger point has been exceeded, management actions may be required.</w:t>
            </w:r>
            <w:r w:rsidR="003A41AF" w:rsidRPr="001F2CF9">
              <w:rPr>
                <w:sz w:val="20"/>
                <w:szCs w:val="20"/>
              </w:rPr>
              <w:t xml:space="preserve"> IMAS warns that virgin biomass estimates </w:t>
            </w:r>
            <w:r w:rsidR="005131BF" w:rsidRPr="001F2CF9">
              <w:rPr>
                <w:sz w:val="20"/>
                <w:szCs w:val="20"/>
              </w:rPr>
              <w:t xml:space="preserve">and peak biomass projections predicted </w:t>
            </w:r>
            <w:r w:rsidR="003A41AF" w:rsidRPr="001F2CF9">
              <w:rPr>
                <w:sz w:val="20"/>
                <w:szCs w:val="20"/>
              </w:rPr>
              <w:t>by the</w:t>
            </w:r>
            <w:r w:rsidR="005131BF" w:rsidRPr="001F2CF9">
              <w:rPr>
                <w:sz w:val="20"/>
                <w:szCs w:val="20"/>
              </w:rPr>
              <w:t xml:space="preserve"> giant crab stock assessment</w:t>
            </w:r>
            <w:r w:rsidR="003A41AF" w:rsidRPr="001F2CF9">
              <w:rPr>
                <w:sz w:val="20"/>
                <w:szCs w:val="20"/>
              </w:rPr>
              <w:t xml:space="preserve"> model may have been underestimated. </w:t>
            </w:r>
            <w:r w:rsidR="005131BF" w:rsidRPr="001F2CF9">
              <w:rPr>
                <w:sz w:val="20"/>
                <w:szCs w:val="20"/>
              </w:rPr>
              <w:t>IMAS recommended</w:t>
            </w:r>
            <w:r w:rsidR="007B45E1" w:rsidRPr="001F2CF9">
              <w:rPr>
                <w:sz w:val="20"/>
                <w:szCs w:val="20"/>
              </w:rPr>
              <w:t xml:space="preserve"> in the 2015 assessment of the TGCF</w:t>
            </w:r>
            <w:r w:rsidR="005131BF" w:rsidRPr="001F2CF9">
              <w:rPr>
                <w:sz w:val="20"/>
                <w:szCs w:val="20"/>
              </w:rPr>
              <w:t xml:space="preserve"> that</w:t>
            </w:r>
            <w:r w:rsidR="003A41AF" w:rsidRPr="001F2CF9">
              <w:rPr>
                <w:sz w:val="20"/>
                <w:szCs w:val="20"/>
              </w:rPr>
              <w:t xml:space="preserve"> further discussion on suitable reference points was </w:t>
            </w:r>
            <w:r w:rsidR="005131BF" w:rsidRPr="001F2CF9">
              <w:rPr>
                <w:sz w:val="20"/>
                <w:szCs w:val="20"/>
              </w:rPr>
              <w:t>required</w:t>
            </w:r>
            <w:r w:rsidR="0061796B" w:rsidRPr="001F2CF9">
              <w:rPr>
                <w:sz w:val="20"/>
                <w:szCs w:val="20"/>
              </w:rPr>
              <w:t>.</w:t>
            </w:r>
            <w:r w:rsidR="007B45E1" w:rsidRPr="001F2CF9">
              <w:rPr>
                <w:sz w:val="20"/>
                <w:szCs w:val="20"/>
              </w:rPr>
              <w:t xml:space="preserve"> Information on reference points may evolve once the outcomes and the final report of the FRDC </w:t>
            </w:r>
            <w:r w:rsidR="007B45E1" w:rsidRPr="001F2CF9">
              <w:rPr>
                <w:rFonts w:cs="Arial"/>
                <w:sz w:val="20"/>
                <w:szCs w:val="20"/>
              </w:rPr>
              <w:t xml:space="preserve">project 2019-114 </w:t>
            </w:r>
            <w:r w:rsidR="009A0BD8" w:rsidRPr="001F2CF9">
              <w:rPr>
                <w:rFonts w:cs="Arial"/>
                <w:sz w:val="20"/>
                <w:szCs w:val="20"/>
              </w:rPr>
              <w:t xml:space="preserve">is </w:t>
            </w:r>
            <w:r w:rsidR="007B45E1" w:rsidRPr="001F2CF9">
              <w:rPr>
                <w:rFonts w:cs="Arial"/>
                <w:sz w:val="20"/>
                <w:szCs w:val="20"/>
              </w:rPr>
              <w:t xml:space="preserve">be released </w:t>
            </w:r>
            <w:r w:rsidR="009A0BD8" w:rsidRPr="001F2CF9">
              <w:rPr>
                <w:rFonts w:cs="Arial"/>
                <w:sz w:val="20"/>
                <w:szCs w:val="20"/>
              </w:rPr>
              <w:t>(</w:t>
            </w:r>
            <w:r w:rsidR="007B45E1" w:rsidRPr="001F2CF9">
              <w:rPr>
                <w:rFonts w:cs="Arial"/>
                <w:sz w:val="20"/>
                <w:szCs w:val="20"/>
              </w:rPr>
              <w:t>post-2022</w:t>
            </w:r>
            <w:r w:rsidR="009A0BD8" w:rsidRPr="001F2CF9">
              <w:rPr>
                <w:rFonts w:cs="Arial"/>
                <w:sz w:val="20"/>
                <w:szCs w:val="20"/>
              </w:rPr>
              <w:t>)</w:t>
            </w:r>
            <w:r w:rsidR="008D2FD2" w:rsidRPr="001F2CF9">
              <w:rPr>
                <w:rFonts w:cs="Arial"/>
                <w:sz w:val="20"/>
                <w:szCs w:val="20"/>
              </w:rPr>
              <w:t xml:space="preserve">. The fishery managers and scientific steering committee will look into developing a protocol to </w:t>
            </w:r>
            <w:r w:rsidR="008D2FD2" w:rsidRPr="001F2CF9">
              <w:rPr>
                <w:rFonts w:cs="Arial"/>
                <w:sz w:val="20"/>
                <w:szCs w:val="20"/>
                <w:lang w:eastAsia="en-AU"/>
              </w:rPr>
              <w:t>integrate the new data obtained into stock assessments</w:t>
            </w:r>
            <w:r w:rsidR="00564BC9">
              <w:rPr>
                <w:rFonts w:cs="Arial"/>
                <w:sz w:val="20"/>
                <w:szCs w:val="20"/>
                <w:lang w:eastAsia="en-AU"/>
              </w:rPr>
              <w:t>.</w:t>
            </w:r>
          </w:p>
          <w:p w14:paraId="325A6C3A" w14:textId="46D8E5EC" w:rsidR="00564BC9" w:rsidRPr="00F32842" w:rsidRDefault="00564BC9">
            <w:pPr>
              <w:spacing w:before="60" w:after="60" w:line="276" w:lineRule="auto"/>
              <w:contextualSpacing/>
              <w:rPr>
                <w:rFonts w:cs="Arial"/>
                <w:sz w:val="20"/>
                <w:szCs w:val="20"/>
              </w:rPr>
            </w:pPr>
          </w:p>
        </w:tc>
      </w:tr>
      <w:tr w:rsidR="00867590" w:rsidRPr="001F2CF9" w14:paraId="31A6BE89" w14:textId="77777777" w:rsidTr="00117313">
        <w:trPr>
          <w:cantSplit/>
        </w:trPr>
        <w:tc>
          <w:tcPr>
            <w:tcW w:w="1500" w:type="pct"/>
          </w:tcPr>
          <w:p w14:paraId="039A44C7" w14:textId="080260AD"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1.1.7 </w:t>
            </w:r>
            <w:r w:rsidRPr="008201A1">
              <w:rPr>
                <w:rFonts w:cs="Arial"/>
                <w:sz w:val="20"/>
                <w:szCs w:val="20"/>
              </w:rPr>
              <w:t xml:space="preserve">There are management strategies in place capable of controlling the level of take. </w:t>
            </w:r>
          </w:p>
          <w:p w14:paraId="4CC54A7F" w14:textId="4F8715F5" w:rsidR="004E6C95" w:rsidRPr="001F2CF9" w:rsidRDefault="004E6C95" w:rsidP="008201A1">
            <w:pPr>
              <w:spacing w:before="60" w:after="60" w:line="276" w:lineRule="auto"/>
              <w:contextualSpacing/>
              <w:rPr>
                <w:rFonts w:cs="Arial"/>
                <w:sz w:val="20"/>
                <w:szCs w:val="20"/>
              </w:rPr>
            </w:pPr>
          </w:p>
        </w:tc>
        <w:tc>
          <w:tcPr>
            <w:tcW w:w="3500" w:type="pct"/>
            <w:shd w:val="clear" w:color="auto" w:fill="92D050"/>
          </w:tcPr>
          <w:p w14:paraId="6723AD2E" w14:textId="29022B3B" w:rsidR="00C74B33" w:rsidRPr="001F2CF9" w:rsidRDefault="005869AD">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9A0BD8" w:rsidRPr="001F2CF9">
              <w:rPr>
                <w:rFonts w:cs="Arial"/>
                <w:b/>
                <w:sz w:val="20"/>
                <w:szCs w:val="20"/>
              </w:rPr>
              <w:t>Management arrangements are in place to control the level of take</w:t>
            </w:r>
            <w:r w:rsidR="00163B9F" w:rsidRPr="001F2CF9">
              <w:rPr>
                <w:rFonts w:cs="Arial"/>
                <w:b/>
                <w:sz w:val="20"/>
                <w:szCs w:val="20"/>
              </w:rPr>
              <w:t>.</w:t>
            </w:r>
          </w:p>
          <w:p w14:paraId="6203DB5B" w14:textId="77777777" w:rsidR="006B791A" w:rsidRDefault="006B791A">
            <w:pPr>
              <w:spacing w:before="60" w:after="60" w:line="276" w:lineRule="auto"/>
              <w:contextualSpacing/>
              <w:rPr>
                <w:rFonts w:cs="Arial"/>
                <w:sz w:val="20"/>
                <w:szCs w:val="20"/>
              </w:rPr>
            </w:pPr>
          </w:p>
          <w:p w14:paraId="272061B3" w14:textId="780FD59B" w:rsidR="00867590" w:rsidRDefault="00B54723">
            <w:pPr>
              <w:spacing w:before="60" w:after="60" w:line="276" w:lineRule="auto"/>
              <w:contextualSpacing/>
              <w:rPr>
                <w:rFonts w:cs="Arial"/>
                <w:sz w:val="20"/>
                <w:szCs w:val="20"/>
              </w:rPr>
            </w:pPr>
            <w:r w:rsidRPr="001F2CF9">
              <w:rPr>
                <w:rFonts w:cs="Arial"/>
                <w:sz w:val="20"/>
                <w:szCs w:val="20"/>
              </w:rPr>
              <w:t xml:space="preserve">Management strategies in place controlling the level of take in the fishery </w:t>
            </w:r>
            <w:r w:rsidR="009A0BD8" w:rsidRPr="001F2CF9">
              <w:rPr>
                <w:rFonts w:cs="Arial"/>
                <w:sz w:val="20"/>
                <w:szCs w:val="20"/>
              </w:rPr>
              <w:t>include</w:t>
            </w:r>
            <w:r w:rsidR="0080622B" w:rsidRPr="001F2CF9">
              <w:rPr>
                <w:rFonts w:cs="Arial"/>
                <w:sz w:val="20"/>
                <w:szCs w:val="20"/>
              </w:rPr>
              <w:t>;</w:t>
            </w:r>
            <w:r w:rsidRPr="001F2CF9">
              <w:rPr>
                <w:rFonts w:cs="Arial"/>
                <w:sz w:val="20"/>
                <w:szCs w:val="20"/>
              </w:rPr>
              <w:t xml:space="preserve"> annually set </w:t>
            </w:r>
            <w:r w:rsidR="00E173F8">
              <w:rPr>
                <w:rFonts w:cs="Arial"/>
                <w:sz w:val="20"/>
                <w:szCs w:val="20"/>
              </w:rPr>
              <w:t>TAC</w:t>
            </w:r>
            <w:r w:rsidRPr="008201A1">
              <w:rPr>
                <w:rFonts w:cs="Arial"/>
                <w:sz w:val="20"/>
                <w:szCs w:val="20"/>
              </w:rPr>
              <w:t xml:space="preserve"> and limited entry control.</w:t>
            </w:r>
          </w:p>
          <w:p w14:paraId="0F14F279" w14:textId="3257DEE9" w:rsidR="00564BC9" w:rsidRPr="00F32842" w:rsidRDefault="00564BC9">
            <w:pPr>
              <w:spacing w:before="60" w:after="60" w:line="276" w:lineRule="auto"/>
              <w:contextualSpacing/>
              <w:rPr>
                <w:rFonts w:cs="Arial"/>
                <w:sz w:val="20"/>
                <w:szCs w:val="20"/>
              </w:rPr>
            </w:pPr>
          </w:p>
        </w:tc>
      </w:tr>
      <w:tr w:rsidR="00867590" w:rsidRPr="001F2CF9" w14:paraId="2457E862" w14:textId="77777777" w:rsidTr="00117313">
        <w:trPr>
          <w:cantSplit/>
        </w:trPr>
        <w:tc>
          <w:tcPr>
            <w:tcW w:w="1500" w:type="pct"/>
          </w:tcPr>
          <w:p w14:paraId="504D319A"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1.1.8 </w:t>
            </w:r>
            <w:r w:rsidRPr="008201A1">
              <w:rPr>
                <w:rFonts w:cs="Arial"/>
                <w:sz w:val="20"/>
                <w:szCs w:val="20"/>
              </w:rPr>
              <w:t xml:space="preserve">Fishing is conducted in a manner that does not threaten stocks of </w:t>
            </w:r>
            <w:proofErr w:type="spellStart"/>
            <w:r w:rsidRPr="008201A1">
              <w:rPr>
                <w:rFonts w:cs="Arial"/>
                <w:sz w:val="20"/>
                <w:szCs w:val="20"/>
              </w:rPr>
              <w:t>byproduct</w:t>
            </w:r>
            <w:proofErr w:type="spellEnd"/>
            <w:r w:rsidRPr="008201A1">
              <w:rPr>
                <w:rFonts w:cs="Arial"/>
                <w:sz w:val="20"/>
                <w:szCs w:val="20"/>
              </w:rPr>
              <w:t xml:space="preserve"> species.</w:t>
            </w:r>
          </w:p>
          <w:p w14:paraId="4099D757" w14:textId="438F01D5" w:rsidR="004E6C95" w:rsidRPr="008201A1" w:rsidRDefault="004E6C95" w:rsidP="008201A1">
            <w:pPr>
              <w:spacing w:before="60" w:after="60" w:line="276" w:lineRule="auto"/>
              <w:contextualSpacing/>
              <w:rPr>
                <w:rFonts w:cs="Arial"/>
                <w:sz w:val="20"/>
                <w:szCs w:val="20"/>
              </w:rPr>
            </w:pPr>
          </w:p>
        </w:tc>
        <w:tc>
          <w:tcPr>
            <w:tcW w:w="3500" w:type="pct"/>
            <w:shd w:val="clear" w:color="auto" w:fill="92D050"/>
          </w:tcPr>
          <w:p w14:paraId="67A5BF09" w14:textId="38297159" w:rsidR="00C74B33" w:rsidRPr="001F2CF9" w:rsidRDefault="005869AD">
            <w:pPr>
              <w:shd w:val="clear" w:color="auto" w:fill="92D050"/>
              <w:spacing w:before="60" w:after="60" w:line="276" w:lineRule="auto"/>
              <w:ind w:left="794" w:hanging="794"/>
              <w:contextualSpacing/>
              <w:rPr>
                <w:rFonts w:cs="Arial"/>
                <w:sz w:val="20"/>
                <w:szCs w:val="20"/>
              </w:rPr>
            </w:pPr>
            <w:r w:rsidRPr="001F2CF9">
              <w:rPr>
                <w:rFonts w:cs="Arial"/>
                <w:b/>
                <w:sz w:val="20"/>
                <w:szCs w:val="20"/>
                <w:shd w:val="clear" w:color="auto" w:fill="92D050"/>
              </w:rPr>
              <w:t xml:space="preserve">Meets – </w:t>
            </w:r>
            <w:r w:rsidR="005E0D8C">
              <w:rPr>
                <w:rFonts w:cs="Arial"/>
                <w:b/>
                <w:sz w:val="20"/>
                <w:szCs w:val="20"/>
                <w:shd w:val="clear" w:color="auto" w:fill="92D050"/>
              </w:rPr>
              <w:tab/>
            </w:r>
            <w:r w:rsidR="005E0D8C">
              <w:rPr>
                <w:rFonts w:cs="Arial"/>
                <w:b/>
                <w:sz w:val="20"/>
                <w:szCs w:val="20"/>
                <w:shd w:val="clear" w:color="auto" w:fill="92D050"/>
              </w:rPr>
              <w:tab/>
            </w:r>
            <w:r w:rsidR="00C74B33" w:rsidRPr="001F2CF9">
              <w:rPr>
                <w:rFonts w:cs="Arial"/>
                <w:b/>
                <w:sz w:val="20"/>
                <w:szCs w:val="20"/>
                <w:shd w:val="clear" w:color="auto" w:fill="92D050"/>
              </w:rPr>
              <w:t>Effort is relatively low</w:t>
            </w:r>
            <w:r w:rsidR="00C74B33" w:rsidRPr="001F2CF9">
              <w:rPr>
                <w:rFonts w:cs="Arial"/>
                <w:b/>
                <w:sz w:val="20"/>
                <w:szCs w:val="20"/>
              </w:rPr>
              <w:t xml:space="preserve">, take of </w:t>
            </w:r>
            <w:proofErr w:type="spellStart"/>
            <w:r w:rsidR="00C74B33" w:rsidRPr="001F2CF9">
              <w:rPr>
                <w:rFonts w:cs="Arial"/>
                <w:b/>
                <w:sz w:val="20"/>
                <w:szCs w:val="20"/>
              </w:rPr>
              <w:t>byproduct</w:t>
            </w:r>
            <w:proofErr w:type="spellEnd"/>
            <w:r w:rsidR="00C74B33" w:rsidRPr="001F2CF9">
              <w:rPr>
                <w:rFonts w:cs="Arial"/>
                <w:b/>
                <w:sz w:val="20"/>
                <w:szCs w:val="20"/>
              </w:rPr>
              <w:t xml:space="preserve"> species is low, or impact on by-product whole </w:t>
            </w:r>
            <w:r w:rsidR="005E0D8C">
              <w:rPr>
                <w:rFonts w:cs="Arial"/>
                <w:b/>
                <w:sz w:val="20"/>
                <w:szCs w:val="20"/>
              </w:rPr>
              <w:tab/>
            </w:r>
            <w:r w:rsidR="00C74B33" w:rsidRPr="001F2CF9">
              <w:rPr>
                <w:rFonts w:cs="Arial"/>
                <w:b/>
                <w:sz w:val="20"/>
                <w:szCs w:val="20"/>
              </w:rPr>
              <w:t>stock have been demonstrated to be low.</w:t>
            </w:r>
          </w:p>
          <w:p w14:paraId="103BB884" w14:textId="77777777" w:rsidR="006B791A" w:rsidRDefault="006B791A">
            <w:pPr>
              <w:spacing w:before="60" w:after="60" w:line="276" w:lineRule="auto"/>
              <w:contextualSpacing/>
              <w:rPr>
                <w:rFonts w:cs="Arial"/>
                <w:sz w:val="20"/>
                <w:szCs w:val="20"/>
              </w:rPr>
            </w:pPr>
          </w:p>
          <w:p w14:paraId="2050D377" w14:textId="77777777" w:rsidR="00867590" w:rsidRDefault="00B62E1B">
            <w:pPr>
              <w:spacing w:before="60" w:after="60" w:line="276" w:lineRule="auto"/>
              <w:contextualSpacing/>
              <w:rPr>
                <w:rFonts w:cs="Arial"/>
                <w:sz w:val="20"/>
                <w:szCs w:val="20"/>
              </w:rPr>
            </w:pPr>
            <w:r w:rsidRPr="001F2CF9">
              <w:rPr>
                <w:rFonts w:cs="Arial"/>
                <w:sz w:val="20"/>
                <w:szCs w:val="20"/>
              </w:rPr>
              <w:t xml:space="preserve">Bycatch is considered negligible in the fishery and was assessed as low risk to other species due to the small amount of trapping effort. </w:t>
            </w:r>
            <w:r w:rsidR="000B639B" w:rsidRPr="001F2CF9">
              <w:rPr>
                <w:rFonts w:cs="Arial"/>
                <w:sz w:val="20"/>
                <w:szCs w:val="20"/>
              </w:rPr>
              <w:t>The m</w:t>
            </w:r>
            <w:r w:rsidRPr="001F2CF9">
              <w:rPr>
                <w:rFonts w:cs="Arial"/>
                <w:sz w:val="20"/>
                <w:szCs w:val="20"/>
              </w:rPr>
              <w:t>ajority of bycatch species can be returned to the sea unharmed.</w:t>
            </w:r>
          </w:p>
          <w:p w14:paraId="30F78FE4" w14:textId="192CBD2A" w:rsidR="00564BC9" w:rsidRPr="00F32842" w:rsidRDefault="00564BC9">
            <w:pPr>
              <w:spacing w:before="60" w:after="60" w:line="276" w:lineRule="auto"/>
              <w:contextualSpacing/>
              <w:rPr>
                <w:rFonts w:cs="Arial"/>
                <w:b/>
                <w:sz w:val="20"/>
                <w:szCs w:val="20"/>
              </w:rPr>
            </w:pPr>
          </w:p>
        </w:tc>
      </w:tr>
      <w:tr w:rsidR="00867590" w:rsidRPr="001F2CF9" w14:paraId="2961A6DF" w14:textId="77777777" w:rsidTr="00117313">
        <w:trPr>
          <w:cantSplit/>
        </w:trPr>
        <w:tc>
          <w:tcPr>
            <w:tcW w:w="5000" w:type="pct"/>
            <w:gridSpan w:val="2"/>
            <w:shd w:val="clear" w:color="auto" w:fill="DAEEF3"/>
          </w:tcPr>
          <w:p w14:paraId="27314CF2" w14:textId="00D8E667" w:rsidR="00867590" w:rsidRPr="00F32842" w:rsidRDefault="00867590" w:rsidP="00F32842">
            <w:pPr>
              <w:spacing w:before="60" w:after="60" w:line="276" w:lineRule="auto"/>
              <w:contextualSpacing/>
              <w:rPr>
                <w:rFonts w:cs="Arial"/>
                <w:sz w:val="20"/>
                <w:szCs w:val="20"/>
              </w:rPr>
            </w:pPr>
            <w:r w:rsidRPr="00F32842">
              <w:rPr>
                <w:rFonts w:cs="Arial"/>
                <w:sz w:val="20"/>
                <w:szCs w:val="20"/>
              </w:rPr>
              <w:t xml:space="preserve">(Guidelines 1.1.1 to 1.1.7 should be applied to </w:t>
            </w:r>
            <w:proofErr w:type="spellStart"/>
            <w:r w:rsidRPr="00F32842">
              <w:rPr>
                <w:rFonts w:cs="Arial"/>
                <w:sz w:val="20"/>
                <w:szCs w:val="20"/>
              </w:rPr>
              <w:t>byproduct</w:t>
            </w:r>
            <w:proofErr w:type="spellEnd"/>
            <w:r w:rsidRPr="00F32842">
              <w:rPr>
                <w:rFonts w:cs="Arial"/>
                <w:sz w:val="20"/>
                <w:szCs w:val="20"/>
              </w:rPr>
              <w:t xml:space="preserve"> species to an appropriate level) </w:t>
            </w:r>
          </w:p>
        </w:tc>
      </w:tr>
      <w:tr w:rsidR="00867590" w:rsidRPr="001F2CF9" w14:paraId="4222D52C" w14:textId="77777777" w:rsidTr="00117313">
        <w:trPr>
          <w:cantSplit/>
        </w:trPr>
        <w:tc>
          <w:tcPr>
            <w:tcW w:w="1500" w:type="pct"/>
          </w:tcPr>
          <w:p w14:paraId="3C74BA56"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1.1.9 </w:t>
            </w:r>
            <w:r w:rsidRPr="008201A1">
              <w:rPr>
                <w:rFonts w:cs="Arial"/>
                <w:sz w:val="20"/>
                <w:szCs w:val="20"/>
              </w:rPr>
              <w:t>The management response, considering uncertainties in the assessment and precautionary management actions, has a high chance of achieving the objective.</w:t>
            </w:r>
          </w:p>
          <w:p w14:paraId="4861A5F6" w14:textId="288FFA1C" w:rsidR="004649FA" w:rsidRPr="008201A1" w:rsidRDefault="004649FA" w:rsidP="008201A1">
            <w:pPr>
              <w:spacing w:before="60" w:after="60" w:line="276" w:lineRule="auto"/>
              <w:contextualSpacing/>
              <w:rPr>
                <w:rFonts w:cs="Arial"/>
                <w:sz w:val="20"/>
                <w:szCs w:val="20"/>
              </w:rPr>
            </w:pPr>
          </w:p>
        </w:tc>
        <w:tc>
          <w:tcPr>
            <w:tcW w:w="3500" w:type="pct"/>
            <w:shd w:val="clear" w:color="auto" w:fill="92D050"/>
          </w:tcPr>
          <w:p w14:paraId="54A65D62" w14:textId="1D42A1B9" w:rsidR="00C74B33" w:rsidRPr="001F2CF9" w:rsidRDefault="005869AD">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5069B4" w:rsidRPr="001F2CF9">
              <w:rPr>
                <w:rFonts w:cs="Arial"/>
                <w:b/>
                <w:sz w:val="20"/>
                <w:szCs w:val="20"/>
              </w:rPr>
              <w:t>The management response is considered to have a h</w:t>
            </w:r>
            <w:r w:rsidR="00C74B33" w:rsidRPr="001F2CF9">
              <w:rPr>
                <w:rFonts w:cs="Arial"/>
                <w:b/>
                <w:sz w:val="20"/>
                <w:szCs w:val="20"/>
              </w:rPr>
              <w:t>igh chance</w:t>
            </w:r>
            <w:r w:rsidR="005069B4" w:rsidRPr="001F2CF9">
              <w:rPr>
                <w:rFonts w:cs="Arial"/>
                <w:b/>
                <w:sz w:val="20"/>
                <w:szCs w:val="20"/>
              </w:rPr>
              <w:t xml:space="preserve"> of meeting its objective</w:t>
            </w:r>
            <w:r w:rsidR="00163B9F" w:rsidRPr="001F2CF9">
              <w:rPr>
                <w:rFonts w:cs="Arial"/>
                <w:b/>
                <w:sz w:val="20"/>
                <w:szCs w:val="20"/>
              </w:rPr>
              <w:t>.</w:t>
            </w:r>
          </w:p>
          <w:p w14:paraId="406BB4AE" w14:textId="77777777" w:rsidR="006B791A" w:rsidRDefault="006B791A">
            <w:pPr>
              <w:spacing w:before="60" w:after="60" w:line="276" w:lineRule="auto"/>
              <w:contextualSpacing/>
              <w:rPr>
                <w:rFonts w:cs="Arial"/>
                <w:sz w:val="20"/>
                <w:szCs w:val="20"/>
              </w:rPr>
            </w:pPr>
          </w:p>
          <w:p w14:paraId="6EC2CC41" w14:textId="412404FE" w:rsidR="00411D58" w:rsidRPr="001F2CF9" w:rsidRDefault="00BA71A2">
            <w:pPr>
              <w:spacing w:before="60" w:after="60" w:line="276" w:lineRule="auto"/>
              <w:contextualSpacing/>
              <w:rPr>
                <w:rFonts w:cs="Arial"/>
                <w:sz w:val="20"/>
                <w:szCs w:val="20"/>
              </w:rPr>
            </w:pPr>
            <w:r w:rsidRPr="001F2CF9">
              <w:rPr>
                <w:rFonts w:cs="Arial"/>
                <w:sz w:val="20"/>
                <w:szCs w:val="20"/>
              </w:rPr>
              <w:t xml:space="preserve">The management </w:t>
            </w:r>
            <w:r w:rsidR="005069B4" w:rsidRPr="001F2CF9">
              <w:rPr>
                <w:rFonts w:cs="Arial"/>
                <w:sz w:val="20"/>
                <w:szCs w:val="20"/>
              </w:rPr>
              <w:t xml:space="preserve">responses </w:t>
            </w:r>
            <w:r w:rsidRPr="001F2CF9">
              <w:rPr>
                <w:rFonts w:cs="Arial"/>
                <w:sz w:val="20"/>
                <w:szCs w:val="20"/>
              </w:rPr>
              <w:t>are considered likely to meet the objective</w:t>
            </w:r>
            <w:r w:rsidR="005069B4" w:rsidRPr="001F2CF9">
              <w:rPr>
                <w:rFonts w:cs="Arial"/>
                <w:sz w:val="20"/>
                <w:szCs w:val="20"/>
              </w:rPr>
              <w:t>s.</w:t>
            </w:r>
            <w:r w:rsidRPr="001F2CF9">
              <w:rPr>
                <w:rFonts w:cs="Arial"/>
                <w:sz w:val="20"/>
                <w:szCs w:val="20"/>
              </w:rPr>
              <w:t xml:space="preserve"> </w:t>
            </w:r>
            <w:r w:rsidR="00B45089" w:rsidRPr="001F2CF9">
              <w:rPr>
                <w:rFonts w:cs="Arial"/>
                <w:sz w:val="20"/>
                <w:szCs w:val="20"/>
              </w:rPr>
              <w:t>The fishery has been adjusting management responses to stock and catch rate decline by reducing the total allowable catch to allow biomass increase in the fishery for the last few years.</w:t>
            </w:r>
          </w:p>
        </w:tc>
      </w:tr>
      <w:tr w:rsidR="00867590" w:rsidRPr="001F2CF9" w14:paraId="5014C200" w14:textId="77777777" w:rsidTr="00117313">
        <w:trPr>
          <w:cantSplit/>
        </w:trPr>
        <w:tc>
          <w:tcPr>
            <w:tcW w:w="5000" w:type="pct"/>
            <w:gridSpan w:val="2"/>
            <w:shd w:val="clear" w:color="auto" w:fill="DAEEF3"/>
          </w:tcPr>
          <w:p w14:paraId="4D58C0B1" w14:textId="77777777" w:rsidR="00867590" w:rsidRPr="00F32842" w:rsidRDefault="00867590" w:rsidP="00F32842">
            <w:pPr>
              <w:spacing w:before="60" w:after="60" w:line="276" w:lineRule="auto"/>
              <w:contextualSpacing/>
              <w:rPr>
                <w:rFonts w:cs="Arial"/>
                <w:b/>
                <w:bCs/>
                <w:sz w:val="20"/>
                <w:szCs w:val="20"/>
              </w:rPr>
            </w:pPr>
            <w:r w:rsidRPr="00F32842">
              <w:rPr>
                <w:rFonts w:cs="Arial"/>
                <w:b/>
                <w:bCs/>
                <w:sz w:val="20"/>
                <w:szCs w:val="20"/>
              </w:rPr>
              <w:t>If overfished, go to Objective 2:</w:t>
            </w:r>
          </w:p>
          <w:p w14:paraId="60E5199F" w14:textId="77777777" w:rsidR="00867590" w:rsidRPr="008201A1" w:rsidRDefault="00867590" w:rsidP="008201A1">
            <w:pPr>
              <w:spacing w:before="60" w:after="60" w:line="276" w:lineRule="auto"/>
              <w:contextualSpacing/>
              <w:rPr>
                <w:rFonts w:cs="Arial"/>
                <w:b/>
                <w:bCs/>
                <w:sz w:val="20"/>
                <w:szCs w:val="20"/>
              </w:rPr>
            </w:pPr>
            <w:r w:rsidRPr="008201A1">
              <w:rPr>
                <w:rFonts w:cs="Arial"/>
                <w:b/>
                <w:bCs/>
                <w:sz w:val="20"/>
                <w:szCs w:val="20"/>
              </w:rPr>
              <w:t>If not overfished, go to PRINCIPLE 2:</w:t>
            </w:r>
          </w:p>
        </w:tc>
      </w:tr>
      <w:tr w:rsidR="00867590" w:rsidRPr="001F2CF9" w14:paraId="4A7FBAAA" w14:textId="77777777" w:rsidTr="00117313">
        <w:trPr>
          <w:cantSplit/>
        </w:trPr>
        <w:tc>
          <w:tcPr>
            <w:tcW w:w="5000" w:type="pct"/>
            <w:gridSpan w:val="2"/>
            <w:shd w:val="clear" w:color="auto" w:fill="B6DDE8"/>
          </w:tcPr>
          <w:p w14:paraId="476360A7" w14:textId="77777777" w:rsidR="00867590" w:rsidRPr="001F2CF9" w:rsidRDefault="00867590" w:rsidP="00F32842">
            <w:pPr>
              <w:spacing w:before="60" w:after="60" w:line="276" w:lineRule="auto"/>
              <w:contextualSpacing/>
              <w:rPr>
                <w:rFonts w:cs="Arial"/>
                <w:b/>
                <w:bCs/>
                <w:sz w:val="20"/>
                <w:szCs w:val="20"/>
              </w:rPr>
            </w:pPr>
            <w:r w:rsidRPr="00F32842">
              <w:rPr>
                <w:rFonts w:cs="Arial"/>
                <w:b/>
                <w:bCs/>
                <w:sz w:val="20"/>
                <w:szCs w:val="20"/>
              </w:rPr>
              <w:lastRenderedPageBreak/>
              <w:t xml:space="preserve">Objective 2 - </w:t>
            </w:r>
            <w:r w:rsidRPr="008201A1">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1F2CF9" w14:paraId="36CC6979" w14:textId="77777777" w:rsidTr="00117313">
        <w:trPr>
          <w:cantSplit/>
        </w:trPr>
        <w:tc>
          <w:tcPr>
            <w:tcW w:w="5000" w:type="pct"/>
            <w:gridSpan w:val="2"/>
            <w:shd w:val="clear" w:color="auto" w:fill="DAEEF3"/>
          </w:tcPr>
          <w:p w14:paraId="2128D6FD" w14:textId="77777777"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 xml:space="preserve">Management responses </w:t>
            </w:r>
          </w:p>
        </w:tc>
      </w:tr>
      <w:tr w:rsidR="00867590" w:rsidRPr="001F2CF9" w14:paraId="51B761D2" w14:textId="77777777" w:rsidTr="00117313">
        <w:trPr>
          <w:cantSplit/>
        </w:trPr>
        <w:tc>
          <w:tcPr>
            <w:tcW w:w="1500" w:type="pct"/>
            <w:tcBorders>
              <w:bottom w:val="single" w:sz="4" w:space="0" w:color="auto"/>
            </w:tcBorders>
            <w:shd w:val="clear" w:color="auto" w:fill="auto"/>
          </w:tcPr>
          <w:p w14:paraId="651D4377" w14:textId="77777777"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t xml:space="preserve">1.2.1 </w:t>
            </w:r>
            <w:r w:rsidRPr="008201A1">
              <w:rPr>
                <w:rFonts w:cs="Arial"/>
                <w:sz w:val="20"/>
                <w:szCs w:val="20"/>
              </w:rPr>
              <w:t>A precautionary recovery strategy is in place specifying management actions, or staged management responses, which are linked to reference point</w:t>
            </w:r>
            <w:r w:rsidRPr="001F2CF9">
              <w:rPr>
                <w:rFonts w:cs="Arial"/>
                <w:sz w:val="20"/>
                <w:szCs w:val="20"/>
              </w:rPr>
              <w:t>s. The recovery strategy should apply until the stock recovers, and should aim for recovery within a specific time period appropriate to the biology of the stock.</w:t>
            </w:r>
          </w:p>
          <w:p w14:paraId="5553280C" w14:textId="07B2BC96" w:rsidR="004649FA" w:rsidRPr="001F2CF9" w:rsidRDefault="004649FA" w:rsidP="008201A1">
            <w:pPr>
              <w:spacing w:before="60" w:after="60" w:line="276" w:lineRule="auto"/>
              <w:contextualSpacing/>
              <w:rPr>
                <w:rFonts w:cs="Arial"/>
                <w:sz w:val="20"/>
                <w:szCs w:val="20"/>
              </w:rPr>
            </w:pPr>
          </w:p>
        </w:tc>
        <w:tc>
          <w:tcPr>
            <w:tcW w:w="3500" w:type="pct"/>
            <w:tcBorders>
              <w:bottom w:val="single" w:sz="4" w:space="0" w:color="auto"/>
            </w:tcBorders>
            <w:shd w:val="clear" w:color="auto" w:fill="FF0000"/>
          </w:tcPr>
          <w:p w14:paraId="67780ADA" w14:textId="3BAE9009" w:rsidR="00C74B33" w:rsidRPr="001F2CF9" w:rsidRDefault="001F2CA0">
            <w:pPr>
              <w:spacing w:before="60" w:after="60" w:line="276" w:lineRule="auto"/>
              <w:contextualSpacing/>
              <w:rPr>
                <w:rFonts w:cs="Arial"/>
                <w:sz w:val="20"/>
                <w:szCs w:val="20"/>
              </w:rPr>
            </w:pPr>
            <w:r w:rsidRPr="001F2CF9">
              <w:rPr>
                <w:rFonts w:cs="Arial"/>
                <w:b/>
                <w:sz w:val="20"/>
                <w:szCs w:val="20"/>
              </w:rPr>
              <w:t>Does not</w:t>
            </w:r>
            <w:r w:rsidR="005869AD" w:rsidRPr="001F2CF9">
              <w:rPr>
                <w:rFonts w:cs="Arial"/>
                <w:b/>
                <w:sz w:val="20"/>
                <w:szCs w:val="20"/>
              </w:rPr>
              <w:t xml:space="preserve"> meet</w:t>
            </w:r>
            <w:r w:rsidRPr="001F2CF9">
              <w:rPr>
                <w:rFonts w:cs="Arial"/>
                <w:b/>
                <w:sz w:val="20"/>
                <w:szCs w:val="20"/>
              </w:rPr>
              <w:t xml:space="preserve"> – </w:t>
            </w:r>
            <w:r w:rsidR="004E7A5A">
              <w:rPr>
                <w:rFonts w:cs="Arial"/>
                <w:b/>
                <w:sz w:val="20"/>
                <w:szCs w:val="20"/>
              </w:rPr>
              <w:tab/>
            </w:r>
            <w:r w:rsidRPr="001F2CF9">
              <w:rPr>
                <w:rFonts w:cs="Arial"/>
                <w:b/>
                <w:sz w:val="20"/>
                <w:szCs w:val="20"/>
              </w:rPr>
              <w:t>No recovery strategy under development or in place</w:t>
            </w:r>
            <w:r w:rsidR="00163B9F" w:rsidRPr="001F2CF9">
              <w:rPr>
                <w:rFonts w:cs="Arial"/>
                <w:b/>
                <w:sz w:val="20"/>
                <w:szCs w:val="20"/>
              </w:rPr>
              <w:t>.</w:t>
            </w:r>
            <w:r w:rsidR="00022496">
              <w:rPr>
                <w:rFonts w:cs="Arial"/>
                <w:b/>
                <w:sz w:val="20"/>
                <w:szCs w:val="20"/>
              </w:rPr>
              <w:t xml:space="preserve"> While giant crab </w:t>
            </w:r>
            <w:r w:rsidR="00022496" w:rsidRPr="00022496">
              <w:rPr>
                <w:rFonts w:cs="Arial"/>
                <w:b/>
                <w:sz w:val="20"/>
                <w:szCs w:val="20"/>
              </w:rPr>
              <w:t xml:space="preserve">stocks in the </w:t>
            </w:r>
            <w:r w:rsidR="00022496">
              <w:rPr>
                <w:rFonts w:cs="Arial"/>
                <w:b/>
                <w:sz w:val="20"/>
                <w:szCs w:val="20"/>
              </w:rPr>
              <w:tab/>
            </w:r>
            <w:r w:rsidR="00022496">
              <w:rPr>
                <w:rFonts w:cs="Arial"/>
                <w:b/>
                <w:sz w:val="20"/>
                <w:szCs w:val="20"/>
              </w:rPr>
              <w:tab/>
            </w:r>
            <w:r w:rsidR="00022496">
              <w:rPr>
                <w:rFonts w:cs="Arial"/>
                <w:b/>
                <w:sz w:val="20"/>
                <w:szCs w:val="20"/>
              </w:rPr>
              <w:tab/>
            </w:r>
            <w:r w:rsidR="00022496" w:rsidRPr="00022496">
              <w:rPr>
                <w:rFonts w:cs="Arial"/>
                <w:b/>
                <w:sz w:val="20"/>
                <w:szCs w:val="20"/>
              </w:rPr>
              <w:t xml:space="preserve">TGCF are considered overfished DPIPWE </w:t>
            </w:r>
            <w:r w:rsidR="00022496">
              <w:rPr>
                <w:rFonts w:cs="Arial"/>
                <w:b/>
                <w:sz w:val="20"/>
                <w:szCs w:val="20"/>
              </w:rPr>
              <w:t xml:space="preserve">has set </w:t>
            </w:r>
            <w:r w:rsidR="00022496" w:rsidRPr="00022496">
              <w:rPr>
                <w:rFonts w:cs="Arial"/>
                <w:b/>
                <w:sz w:val="20"/>
                <w:szCs w:val="20"/>
              </w:rPr>
              <w:t xml:space="preserve">precautionary management </w:t>
            </w:r>
            <w:r w:rsidR="00022496">
              <w:rPr>
                <w:rFonts w:cs="Arial"/>
                <w:b/>
                <w:sz w:val="20"/>
                <w:szCs w:val="20"/>
              </w:rPr>
              <w:tab/>
            </w:r>
            <w:r w:rsidR="00022496">
              <w:rPr>
                <w:rFonts w:cs="Arial"/>
                <w:b/>
                <w:sz w:val="20"/>
                <w:szCs w:val="20"/>
              </w:rPr>
              <w:tab/>
            </w:r>
            <w:r w:rsidR="00022496">
              <w:rPr>
                <w:rFonts w:cs="Arial"/>
                <w:b/>
                <w:sz w:val="20"/>
                <w:szCs w:val="20"/>
              </w:rPr>
              <w:tab/>
            </w:r>
            <w:r w:rsidR="00022496">
              <w:rPr>
                <w:rFonts w:cs="Arial"/>
                <w:b/>
                <w:sz w:val="20"/>
                <w:szCs w:val="20"/>
              </w:rPr>
              <w:tab/>
            </w:r>
            <w:r w:rsidR="00022496" w:rsidRPr="00022496">
              <w:rPr>
                <w:rFonts w:cs="Arial"/>
                <w:b/>
                <w:sz w:val="20"/>
                <w:szCs w:val="20"/>
              </w:rPr>
              <w:t>actions to reduce the T</w:t>
            </w:r>
            <w:r w:rsidR="00022496">
              <w:rPr>
                <w:rFonts w:cs="Arial"/>
                <w:b/>
                <w:sz w:val="20"/>
                <w:szCs w:val="20"/>
              </w:rPr>
              <w:t xml:space="preserve">otal </w:t>
            </w:r>
            <w:r w:rsidR="00022496" w:rsidRPr="00022496">
              <w:rPr>
                <w:rFonts w:cs="Arial"/>
                <w:b/>
                <w:sz w:val="20"/>
                <w:szCs w:val="20"/>
              </w:rPr>
              <w:t>A</w:t>
            </w:r>
            <w:r w:rsidR="00022496">
              <w:rPr>
                <w:rFonts w:cs="Arial"/>
                <w:b/>
                <w:sz w:val="20"/>
                <w:szCs w:val="20"/>
              </w:rPr>
              <w:t xml:space="preserve">llowable </w:t>
            </w:r>
            <w:r w:rsidR="00022496" w:rsidRPr="00022496">
              <w:rPr>
                <w:rFonts w:cs="Arial"/>
                <w:b/>
                <w:sz w:val="20"/>
                <w:szCs w:val="20"/>
              </w:rPr>
              <w:t>C</w:t>
            </w:r>
            <w:r w:rsidR="00022496">
              <w:rPr>
                <w:rFonts w:cs="Arial"/>
                <w:b/>
                <w:sz w:val="20"/>
                <w:szCs w:val="20"/>
              </w:rPr>
              <w:t xml:space="preserve">atch </w:t>
            </w:r>
            <w:r w:rsidR="00022496" w:rsidRPr="00022496">
              <w:rPr>
                <w:rFonts w:cs="Arial"/>
                <w:b/>
                <w:sz w:val="20"/>
                <w:szCs w:val="20"/>
              </w:rPr>
              <w:t xml:space="preserve">every year as a response to declining </w:t>
            </w:r>
            <w:r w:rsidR="00022496">
              <w:rPr>
                <w:rFonts w:cs="Arial"/>
                <w:b/>
                <w:sz w:val="20"/>
                <w:szCs w:val="20"/>
              </w:rPr>
              <w:tab/>
            </w:r>
            <w:r w:rsidR="00022496">
              <w:rPr>
                <w:rFonts w:cs="Arial"/>
                <w:b/>
                <w:sz w:val="20"/>
                <w:szCs w:val="20"/>
              </w:rPr>
              <w:tab/>
            </w:r>
            <w:r w:rsidR="00022496">
              <w:rPr>
                <w:rFonts w:cs="Arial"/>
                <w:b/>
                <w:sz w:val="20"/>
                <w:szCs w:val="20"/>
              </w:rPr>
              <w:tab/>
            </w:r>
            <w:r w:rsidR="00022496">
              <w:rPr>
                <w:rFonts w:cs="Arial"/>
                <w:b/>
                <w:sz w:val="20"/>
                <w:szCs w:val="20"/>
              </w:rPr>
              <w:tab/>
            </w:r>
            <w:r w:rsidR="00022496" w:rsidRPr="00022496">
              <w:rPr>
                <w:rFonts w:cs="Arial"/>
                <w:b/>
                <w:sz w:val="20"/>
                <w:szCs w:val="20"/>
              </w:rPr>
              <w:t>catch rates.</w:t>
            </w:r>
            <w:r w:rsidR="004E7A5A">
              <w:rPr>
                <w:rFonts w:cs="Arial"/>
                <w:b/>
                <w:sz w:val="20"/>
                <w:szCs w:val="20"/>
              </w:rPr>
              <w:br/>
            </w:r>
            <w:r w:rsidR="004E7A5A">
              <w:rPr>
                <w:rFonts w:cs="Arial"/>
                <w:sz w:val="20"/>
                <w:szCs w:val="20"/>
              </w:rPr>
              <w:tab/>
            </w:r>
            <w:r w:rsidR="004E7A5A">
              <w:rPr>
                <w:rFonts w:cs="Arial"/>
                <w:sz w:val="20"/>
                <w:szCs w:val="20"/>
              </w:rPr>
              <w:tab/>
            </w:r>
            <w:r w:rsidR="004E7A5A">
              <w:rPr>
                <w:rFonts w:cs="Arial"/>
                <w:sz w:val="20"/>
                <w:szCs w:val="20"/>
              </w:rPr>
              <w:tab/>
            </w:r>
            <w:r w:rsidR="004E7A5A">
              <w:rPr>
                <w:rFonts w:cs="Arial"/>
                <w:b/>
                <w:sz w:val="20"/>
                <w:szCs w:val="20"/>
              </w:rPr>
              <w:t xml:space="preserve">[Recommendation 2 at section 4 of this report addresses provision of scientific </w:t>
            </w:r>
            <w:r w:rsidR="004E7A5A">
              <w:rPr>
                <w:rFonts w:cs="Arial"/>
                <w:b/>
                <w:sz w:val="20"/>
                <w:szCs w:val="20"/>
              </w:rPr>
              <w:tab/>
            </w:r>
            <w:r w:rsidR="004E7A5A">
              <w:rPr>
                <w:rFonts w:cs="Arial"/>
                <w:b/>
                <w:sz w:val="20"/>
                <w:szCs w:val="20"/>
              </w:rPr>
              <w:tab/>
            </w:r>
            <w:r w:rsidR="004E7A5A">
              <w:rPr>
                <w:rFonts w:cs="Arial"/>
                <w:b/>
                <w:sz w:val="20"/>
                <w:szCs w:val="20"/>
              </w:rPr>
              <w:tab/>
            </w:r>
            <w:r w:rsidR="004E7A5A">
              <w:rPr>
                <w:rFonts w:cs="Arial"/>
                <w:b/>
                <w:sz w:val="20"/>
                <w:szCs w:val="20"/>
              </w:rPr>
              <w:tab/>
              <w:t xml:space="preserve">reports to the Department and </w:t>
            </w:r>
            <w:r w:rsidR="005E0D8C">
              <w:rPr>
                <w:rFonts w:cs="Arial"/>
                <w:b/>
                <w:sz w:val="20"/>
                <w:szCs w:val="20"/>
              </w:rPr>
              <w:t xml:space="preserve">updating </w:t>
            </w:r>
            <w:r w:rsidR="004E7A5A">
              <w:rPr>
                <w:rFonts w:cs="Arial"/>
                <w:b/>
                <w:sz w:val="20"/>
                <w:szCs w:val="20"/>
              </w:rPr>
              <w:t xml:space="preserve">stock assessment methods aimed at </w:t>
            </w:r>
            <w:r w:rsidR="004E7A5A">
              <w:rPr>
                <w:rFonts w:cs="Arial"/>
                <w:b/>
                <w:sz w:val="20"/>
                <w:szCs w:val="20"/>
              </w:rPr>
              <w:tab/>
            </w:r>
            <w:r w:rsidR="004E7A5A">
              <w:rPr>
                <w:rFonts w:cs="Arial"/>
                <w:b/>
                <w:sz w:val="20"/>
                <w:szCs w:val="20"/>
              </w:rPr>
              <w:tab/>
            </w:r>
            <w:r w:rsidR="004E7A5A">
              <w:rPr>
                <w:rFonts w:cs="Arial"/>
                <w:b/>
                <w:sz w:val="20"/>
                <w:szCs w:val="20"/>
              </w:rPr>
              <w:tab/>
            </w:r>
            <w:r w:rsidR="004E7A5A">
              <w:rPr>
                <w:rFonts w:cs="Arial"/>
                <w:b/>
                <w:sz w:val="20"/>
                <w:szCs w:val="20"/>
              </w:rPr>
              <w:tab/>
              <w:t>getting an improved baseline understanding of the stocks so that le</w:t>
            </w:r>
            <w:r w:rsidR="005E0D8C">
              <w:rPr>
                <w:rFonts w:cs="Arial"/>
                <w:b/>
                <w:sz w:val="20"/>
                <w:szCs w:val="20"/>
              </w:rPr>
              <w:t>vel</w:t>
            </w:r>
            <w:r w:rsidR="004E7A5A">
              <w:rPr>
                <w:rFonts w:cs="Arial"/>
                <w:b/>
                <w:sz w:val="20"/>
                <w:szCs w:val="20"/>
              </w:rPr>
              <w:t xml:space="preserve"> of fishing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4E7A5A">
              <w:rPr>
                <w:rFonts w:cs="Arial"/>
                <w:b/>
                <w:sz w:val="20"/>
                <w:szCs w:val="20"/>
              </w:rPr>
              <w:t>can be set to ensure recovery of the stocks over time]</w:t>
            </w:r>
          </w:p>
          <w:p w14:paraId="53233399" w14:textId="77777777" w:rsidR="006B791A" w:rsidRDefault="006B791A">
            <w:pPr>
              <w:spacing w:before="60" w:after="60" w:line="276" w:lineRule="auto"/>
              <w:contextualSpacing/>
              <w:rPr>
                <w:rFonts w:cs="Arial"/>
                <w:sz w:val="20"/>
                <w:szCs w:val="20"/>
              </w:rPr>
            </w:pPr>
          </w:p>
          <w:p w14:paraId="57CD41FD" w14:textId="172BC755" w:rsidR="00A10ED4" w:rsidRDefault="00CC0205">
            <w:pPr>
              <w:spacing w:before="60" w:after="60" w:line="276" w:lineRule="auto"/>
              <w:contextualSpacing/>
              <w:rPr>
                <w:rFonts w:cs="Arial"/>
                <w:sz w:val="20"/>
                <w:szCs w:val="20"/>
              </w:rPr>
            </w:pPr>
            <w:r w:rsidRPr="001F2CF9">
              <w:rPr>
                <w:rFonts w:cs="Arial"/>
                <w:sz w:val="20"/>
                <w:szCs w:val="20"/>
              </w:rPr>
              <w:t>The stock of giant crab in the TGCF is considered overfished and the 2018 FRDC report on the stock status of the fishery stated that the egg production level is inadequate relative to benchmarks in most crustacean fisheries. In the 2014 assessment of the TGCF</w:t>
            </w:r>
            <w:r w:rsidR="005069B4" w:rsidRPr="001F2CF9">
              <w:rPr>
                <w:rFonts w:cs="Arial"/>
                <w:sz w:val="20"/>
                <w:szCs w:val="20"/>
              </w:rPr>
              <w:t xml:space="preserve"> against the Guidelines and the EPBC Act</w:t>
            </w:r>
            <w:r w:rsidRPr="001F2CF9">
              <w:rPr>
                <w:rFonts w:cs="Arial"/>
                <w:sz w:val="20"/>
                <w:szCs w:val="20"/>
              </w:rPr>
              <w:t xml:space="preserve">, </w:t>
            </w:r>
            <w:r w:rsidR="005B00B5" w:rsidRPr="001F2CF9">
              <w:rPr>
                <w:rFonts w:cs="Arial"/>
                <w:sz w:val="20"/>
                <w:szCs w:val="20"/>
              </w:rPr>
              <w:t xml:space="preserve">DPIPWE </w:t>
            </w:r>
            <w:r w:rsidRPr="001F2CF9">
              <w:rPr>
                <w:rFonts w:cs="Arial"/>
                <w:sz w:val="20"/>
                <w:szCs w:val="20"/>
              </w:rPr>
              <w:t>was advised by the Department of the Environment and Energy (the Department) to finalise</w:t>
            </w:r>
            <w:r w:rsidR="005B00B5" w:rsidRPr="001F2CF9">
              <w:rPr>
                <w:rFonts w:cs="Arial"/>
                <w:sz w:val="20"/>
                <w:szCs w:val="20"/>
              </w:rPr>
              <w:t xml:space="preserve"> </w:t>
            </w:r>
            <w:r w:rsidR="002A4F1A" w:rsidRPr="001F2CF9">
              <w:rPr>
                <w:rFonts w:cs="Arial"/>
                <w:sz w:val="20"/>
                <w:szCs w:val="20"/>
              </w:rPr>
              <w:t xml:space="preserve">the </w:t>
            </w:r>
            <w:r w:rsidR="005B00B5" w:rsidRPr="001F2CF9">
              <w:rPr>
                <w:rFonts w:cs="Arial"/>
                <w:sz w:val="20"/>
                <w:szCs w:val="20"/>
              </w:rPr>
              <w:t xml:space="preserve">draft of </w:t>
            </w:r>
            <w:r w:rsidR="002A4F1A" w:rsidRPr="001F2CF9">
              <w:rPr>
                <w:rFonts w:cs="Arial"/>
                <w:sz w:val="20"/>
                <w:szCs w:val="20"/>
              </w:rPr>
              <w:t xml:space="preserve">the </w:t>
            </w:r>
            <w:r w:rsidR="005B00B5" w:rsidRPr="001F2CF9">
              <w:rPr>
                <w:rFonts w:cs="Arial"/>
                <w:sz w:val="20"/>
                <w:szCs w:val="20"/>
              </w:rPr>
              <w:t>ha</w:t>
            </w:r>
            <w:r w:rsidR="00650654" w:rsidRPr="001F2CF9">
              <w:rPr>
                <w:rFonts w:cs="Arial"/>
                <w:sz w:val="20"/>
                <w:szCs w:val="20"/>
              </w:rPr>
              <w:t>rvest strategy for the fishery</w:t>
            </w:r>
            <w:r w:rsidR="002A4F1A" w:rsidRPr="001F2CF9">
              <w:rPr>
                <w:rFonts w:cs="Arial"/>
                <w:sz w:val="20"/>
                <w:szCs w:val="20"/>
              </w:rPr>
              <w:t>. There is no</w:t>
            </w:r>
            <w:r w:rsidR="00AC4974" w:rsidRPr="001F2CF9">
              <w:rPr>
                <w:rFonts w:cs="Arial"/>
                <w:sz w:val="20"/>
                <w:szCs w:val="20"/>
              </w:rPr>
              <w:t xml:space="preserve"> further</w:t>
            </w:r>
            <w:r w:rsidR="002A4F1A" w:rsidRPr="001F2CF9">
              <w:rPr>
                <w:rFonts w:cs="Arial"/>
                <w:sz w:val="20"/>
                <w:szCs w:val="20"/>
              </w:rPr>
              <w:t xml:space="preserve"> progress on the harvest strategy draft</w:t>
            </w:r>
            <w:r w:rsidR="005B00B5" w:rsidRPr="001F2CF9">
              <w:rPr>
                <w:rFonts w:cs="Arial"/>
                <w:sz w:val="20"/>
                <w:szCs w:val="20"/>
              </w:rPr>
              <w:t xml:space="preserve"> due to</w:t>
            </w:r>
            <w:r w:rsidR="002A4F1A" w:rsidRPr="001F2CF9">
              <w:rPr>
                <w:rFonts w:cs="Arial"/>
                <w:sz w:val="20"/>
                <w:szCs w:val="20"/>
              </w:rPr>
              <w:t xml:space="preserve"> a</w:t>
            </w:r>
            <w:r w:rsidR="005B00B5" w:rsidRPr="001F2CF9">
              <w:rPr>
                <w:rFonts w:cs="Arial"/>
                <w:sz w:val="20"/>
                <w:szCs w:val="20"/>
              </w:rPr>
              <w:t xml:space="preserve"> lack of data for effective biomass estimates and stock assessment model</w:t>
            </w:r>
            <w:r w:rsidR="007D3A12" w:rsidRPr="001F2CF9">
              <w:rPr>
                <w:rFonts w:cs="Arial"/>
                <w:sz w:val="20"/>
                <w:szCs w:val="20"/>
              </w:rPr>
              <w:t>. A</w:t>
            </w:r>
            <w:r w:rsidR="00801733" w:rsidRPr="001F2CF9">
              <w:rPr>
                <w:rFonts w:cs="Arial"/>
                <w:sz w:val="20"/>
                <w:szCs w:val="20"/>
              </w:rPr>
              <w:t>nalyses have focused in</w:t>
            </w:r>
            <w:r w:rsidR="00571C1A" w:rsidRPr="001F2CF9">
              <w:rPr>
                <w:rFonts w:cs="Arial"/>
                <w:sz w:val="20"/>
                <w:szCs w:val="20"/>
              </w:rPr>
              <w:t xml:space="preserve">stead on CPUE trends which </w:t>
            </w:r>
            <w:r w:rsidR="00801733" w:rsidRPr="001F2CF9">
              <w:rPr>
                <w:rFonts w:cs="Arial"/>
                <w:sz w:val="20"/>
                <w:szCs w:val="20"/>
              </w:rPr>
              <w:t>decreased continually since the inception of the fishery</w:t>
            </w:r>
            <w:r w:rsidR="005B00B5" w:rsidRPr="001F2CF9">
              <w:rPr>
                <w:rFonts w:cs="Arial"/>
                <w:sz w:val="20"/>
                <w:szCs w:val="20"/>
              </w:rPr>
              <w:t xml:space="preserve">. </w:t>
            </w:r>
            <w:r w:rsidR="00AF79AC" w:rsidRPr="001F2CF9">
              <w:rPr>
                <w:rFonts w:cs="Arial"/>
                <w:sz w:val="20"/>
                <w:szCs w:val="20"/>
              </w:rPr>
              <w:t>As a precautionary recovery strategy, the m</w:t>
            </w:r>
            <w:r w:rsidR="005B00B5" w:rsidRPr="001F2CF9">
              <w:rPr>
                <w:rFonts w:cs="Arial"/>
                <w:sz w:val="20"/>
                <w:szCs w:val="20"/>
              </w:rPr>
              <w:t xml:space="preserve">anagement response </w:t>
            </w:r>
            <w:r w:rsidR="002C070F" w:rsidRPr="001F2CF9">
              <w:rPr>
                <w:rFonts w:cs="Arial"/>
                <w:sz w:val="20"/>
                <w:szCs w:val="20"/>
              </w:rPr>
              <w:t>in the fishery is to reduce the annual</w:t>
            </w:r>
            <w:r w:rsidR="005B00B5" w:rsidRPr="001F2CF9">
              <w:rPr>
                <w:rFonts w:cs="Arial"/>
                <w:sz w:val="20"/>
                <w:szCs w:val="20"/>
              </w:rPr>
              <w:t xml:space="preserve"> TAC. </w:t>
            </w:r>
            <w:r w:rsidR="002C070F" w:rsidRPr="001F2CF9">
              <w:rPr>
                <w:rFonts w:cs="Arial"/>
                <w:sz w:val="20"/>
                <w:szCs w:val="20"/>
              </w:rPr>
              <w:t>The TAC</w:t>
            </w:r>
            <w:r w:rsidR="004E0008" w:rsidRPr="001F2CF9">
              <w:rPr>
                <w:rFonts w:cs="Arial"/>
                <w:sz w:val="20"/>
                <w:szCs w:val="20"/>
              </w:rPr>
              <w:t xml:space="preserve"> was reduced by 46 per cent in 201</w:t>
            </w:r>
            <w:r w:rsidR="009E2A5F" w:rsidRPr="001F2CF9">
              <w:rPr>
                <w:rFonts w:cs="Arial"/>
                <w:sz w:val="20"/>
                <w:szCs w:val="20"/>
              </w:rPr>
              <w:t>7</w:t>
            </w:r>
            <w:r w:rsidR="004E0008" w:rsidRPr="001F2CF9">
              <w:rPr>
                <w:rFonts w:cs="Arial"/>
                <w:sz w:val="20"/>
                <w:szCs w:val="20"/>
              </w:rPr>
              <w:t xml:space="preserve"> and catch rates have continued to decline at a moderate rate</w:t>
            </w:r>
            <w:r w:rsidR="002C070F" w:rsidRPr="001F2CF9">
              <w:rPr>
                <w:rFonts w:cs="Arial"/>
                <w:sz w:val="20"/>
                <w:szCs w:val="20"/>
              </w:rPr>
              <w:t xml:space="preserve"> since</w:t>
            </w:r>
            <w:r w:rsidR="004E0008" w:rsidRPr="001F2CF9">
              <w:rPr>
                <w:rFonts w:cs="Arial"/>
                <w:sz w:val="20"/>
                <w:szCs w:val="20"/>
              </w:rPr>
              <w:t xml:space="preserve"> and are currently at a record low.</w:t>
            </w:r>
            <w:r w:rsidR="00F464EE" w:rsidRPr="001F2CF9">
              <w:rPr>
                <w:rFonts w:cs="Arial"/>
                <w:sz w:val="20"/>
                <w:szCs w:val="20"/>
              </w:rPr>
              <w:t xml:space="preserve"> The stock of the Tasmanian giant crab is likely to be depleted given CPUE evidences and considered particularly susceptible to becoming recruitment overfished due to the species slow growth rate and longevity.</w:t>
            </w:r>
          </w:p>
          <w:p w14:paraId="170C6625" w14:textId="1B369A42" w:rsidR="00564BC9" w:rsidRPr="00F32842" w:rsidRDefault="00564BC9">
            <w:pPr>
              <w:spacing w:before="60" w:after="60" w:line="276" w:lineRule="auto"/>
              <w:contextualSpacing/>
              <w:rPr>
                <w:rFonts w:cs="Arial"/>
                <w:sz w:val="20"/>
                <w:szCs w:val="20"/>
              </w:rPr>
            </w:pPr>
          </w:p>
        </w:tc>
      </w:tr>
      <w:tr w:rsidR="00867590" w:rsidRPr="001F2CF9" w14:paraId="6B177681" w14:textId="77777777" w:rsidTr="00117313">
        <w:trPr>
          <w:cantSplit/>
        </w:trPr>
        <w:tc>
          <w:tcPr>
            <w:tcW w:w="1500" w:type="pct"/>
            <w:tcBorders>
              <w:bottom w:val="single" w:sz="4" w:space="0" w:color="auto"/>
            </w:tcBorders>
            <w:shd w:val="clear" w:color="auto" w:fill="auto"/>
          </w:tcPr>
          <w:p w14:paraId="2EB21E59" w14:textId="2BDD1433"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1.2.2 </w:t>
            </w:r>
            <w:r w:rsidRPr="008201A1">
              <w:rPr>
                <w:rFonts w:cs="Arial"/>
                <w:sz w:val="20"/>
                <w:szCs w:val="20"/>
              </w:rPr>
              <w:t xml:space="preserve">If the stock is estimated as being at or below the biological and / or effort bottom line, management responses such as a zero targeted </w:t>
            </w:r>
            <w:r w:rsidRPr="001F2CF9">
              <w:rPr>
                <w:rFonts w:cs="Arial"/>
                <w:sz w:val="20"/>
                <w:szCs w:val="20"/>
              </w:rPr>
              <w:t>catch, temporary fishery closure or a ‘whole of fishery’ effort or quota reduction are implemented.</w:t>
            </w:r>
          </w:p>
          <w:p w14:paraId="7B9BD7E1" w14:textId="4501EE70" w:rsidR="004649FA" w:rsidRPr="001F2CF9" w:rsidRDefault="004649FA" w:rsidP="008201A1">
            <w:pPr>
              <w:spacing w:before="60" w:after="60" w:line="276" w:lineRule="auto"/>
              <w:contextualSpacing/>
              <w:rPr>
                <w:rFonts w:cs="Arial"/>
                <w:sz w:val="20"/>
                <w:szCs w:val="20"/>
              </w:rPr>
            </w:pPr>
          </w:p>
        </w:tc>
        <w:tc>
          <w:tcPr>
            <w:tcW w:w="3500" w:type="pct"/>
            <w:tcBorders>
              <w:bottom w:val="single" w:sz="4" w:space="0" w:color="auto"/>
            </w:tcBorders>
            <w:shd w:val="clear" w:color="auto" w:fill="FFC000"/>
          </w:tcPr>
          <w:p w14:paraId="7A3646A5" w14:textId="43CA872E" w:rsidR="005869AD" w:rsidRDefault="005869AD">
            <w:pPr>
              <w:spacing w:before="60" w:after="60" w:line="276" w:lineRule="auto"/>
              <w:contextualSpacing/>
              <w:rPr>
                <w:rFonts w:cs="Arial"/>
                <w:b/>
                <w:sz w:val="20"/>
                <w:szCs w:val="20"/>
              </w:rPr>
            </w:pPr>
            <w:r w:rsidRPr="001F2CF9">
              <w:rPr>
                <w:rFonts w:cs="Arial"/>
                <w:b/>
                <w:sz w:val="20"/>
                <w:szCs w:val="20"/>
              </w:rPr>
              <w:t xml:space="preserve">Partially meets – </w:t>
            </w:r>
            <w:r w:rsidR="004E7A5A">
              <w:rPr>
                <w:rFonts w:cs="Arial"/>
                <w:b/>
                <w:sz w:val="20"/>
                <w:szCs w:val="20"/>
              </w:rPr>
              <w:tab/>
            </w:r>
            <w:r w:rsidR="00C74B33" w:rsidRPr="001F2CF9">
              <w:rPr>
                <w:rFonts w:cs="Arial"/>
                <w:b/>
                <w:sz w:val="20"/>
                <w:szCs w:val="20"/>
              </w:rPr>
              <w:t>Management responses have been implemented but are incomplete or in adequate</w:t>
            </w:r>
            <w:r w:rsidR="00163B9F" w:rsidRPr="001F2CF9">
              <w:rPr>
                <w:rFonts w:cs="Arial"/>
                <w:b/>
                <w:sz w:val="20"/>
                <w:szCs w:val="20"/>
              </w:rPr>
              <w:t>.</w:t>
            </w:r>
            <w:r w:rsidR="00344E46">
              <w:rPr>
                <w:rFonts w:cs="Arial"/>
                <w:b/>
                <w:sz w:val="20"/>
                <w:szCs w:val="20"/>
              </w:rPr>
              <w:t xml:space="preserve"> </w:t>
            </w:r>
            <w:r w:rsidR="009F19C1">
              <w:rPr>
                <w:rFonts w:cs="Arial"/>
                <w:b/>
                <w:sz w:val="20"/>
                <w:szCs w:val="20"/>
              </w:rPr>
              <w:tab/>
            </w:r>
            <w:r w:rsidR="009F19C1">
              <w:rPr>
                <w:rFonts w:cs="Arial"/>
                <w:b/>
                <w:sz w:val="20"/>
                <w:szCs w:val="20"/>
              </w:rPr>
              <w:tab/>
            </w:r>
            <w:r w:rsidR="009F19C1">
              <w:rPr>
                <w:rFonts w:cs="Arial"/>
                <w:b/>
                <w:sz w:val="20"/>
                <w:szCs w:val="20"/>
              </w:rPr>
              <w:tab/>
            </w:r>
            <w:r w:rsidR="00344E46">
              <w:rPr>
                <w:rFonts w:cs="Arial"/>
                <w:b/>
                <w:sz w:val="20"/>
                <w:szCs w:val="20"/>
              </w:rPr>
              <w:t>It is noted that w</w:t>
            </w:r>
            <w:r w:rsidR="00344E46" w:rsidRPr="00344E46">
              <w:rPr>
                <w:rFonts w:cs="Arial"/>
                <w:b/>
                <w:sz w:val="20"/>
                <w:szCs w:val="20"/>
              </w:rPr>
              <w:t xml:space="preserve">hile giant crab stocks in the </w:t>
            </w:r>
            <w:r w:rsidR="00344E46" w:rsidRPr="00344E46">
              <w:rPr>
                <w:rFonts w:cs="Arial"/>
                <w:b/>
                <w:sz w:val="20"/>
                <w:szCs w:val="20"/>
              </w:rPr>
              <w:tab/>
              <w:t xml:space="preserve">TGCF are considered overfished </w:t>
            </w:r>
            <w:r w:rsidR="009F19C1">
              <w:rPr>
                <w:rFonts w:cs="Arial"/>
                <w:b/>
                <w:sz w:val="20"/>
                <w:szCs w:val="20"/>
              </w:rPr>
              <w:tab/>
            </w:r>
            <w:r w:rsidR="009F19C1">
              <w:rPr>
                <w:rFonts w:cs="Arial"/>
                <w:b/>
                <w:sz w:val="20"/>
                <w:szCs w:val="20"/>
              </w:rPr>
              <w:tab/>
            </w:r>
            <w:r w:rsidR="009F19C1">
              <w:rPr>
                <w:rFonts w:cs="Arial"/>
                <w:b/>
                <w:sz w:val="20"/>
                <w:szCs w:val="20"/>
              </w:rPr>
              <w:tab/>
            </w:r>
            <w:r w:rsidR="009F19C1">
              <w:rPr>
                <w:rFonts w:cs="Arial"/>
                <w:b/>
                <w:sz w:val="20"/>
                <w:szCs w:val="20"/>
              </w:rPr>
              <w:tab/>
            </w:r>
            <w:r w:rsidR="00344E46" w:rsidRPr="00344E46">
              <w:rPr>
                <w:rFonts w:cs="Arial"/>
                <w:b/>
                <w:sz w:val="20"/>
                <w:szCs w:val="20"/>
              </w:rPr>
              <w:t xml:space="preserve">DPIPWE has set precautionary management actions to reduce the Total Allowable </w:t>
            </w:r>
            <w:r w:rsidR="009F19C1">
              <w:rPr>
                <w:rFonts w:cs="Arial"/>
                <w:b/>
                <w:sz w:val="20"/>
                <w:szCs w:val="20"/>
              </w:rPr>
              <w:tab/>
            </w:r>
            <w:r w:rsidR="009F19C1">
              <w:rPr>
                <w:rFonts w:cs="Arial"/>
                <w:b/>
                <w:sz w:val="20"/>
                <w:szCs w:val="20"/>
              </w:rPr>
              <w:tab/>
            </w:r>
            <w:r w:rsidR="009F19C1">
              <w:rPr>
                <w:rFonts w:cs="Arial"/>
                <w:b/>
                <w:sz w:val="20"/>
                <w:szCs w:val="20"/>
              </w:rPr>
              <w:tab/>
            </w:r>
            <w:r w:rsidR="009F19C1">
              <w:rPr>
                <w:rFonts w:cs="Arial"/>
                <w:b/>
                <w:sz w:val="20"/>
                <w:szCs w:val="20"/>
              </w:rPr>
              <w:tab/>
            </w:r>
            <w:r w:rsidR="00344E46" w:rsidRPr="00344E46">
              <w:rPr>
                <w:rFonts w:cs="Arial"/>
                <w:b/>
                <w:sz w:val="20"/>
                <w:szCs w:val="20"/>
              </w:rPr>
              <w:t>Catch every year as a response to declining catch rates.</w:t>
            </w:r>
          </w:p>
          <w:p w14:paraId="3DB017BB" w14:textId="015F23A0" w:rsidR="004E7A5A" w:rsidRPr="001F2CF9" w:rsidRDefault="004E7A5A">
            <w:pPr>
              <w:spacing w:before="60" w:after="60" w:line="276" w:lineRule="auto"/>
              <w:contextualSpacing/>
              <w:rPr>
                <w:rFonts w:cs="Arial"/>
                <w:b/>
                <w:sz w:val="20"/>
                <w:szCs w:val="20"/>
              </w:rPr>
            </w:pPr>
            <w:r>
              <w:rPr>
                <w:rFonts w:cs="Arial"/>
                <w:b/>
                <w:sz w:val="20"/>
                <w:szCs w:val="20"/>
              </w:rPr>
              <w:tab/>
            </w:r>
            <w:r>
              <w:rPr>
                <w:rFonts w:cs="Arial"/>
                <w:b/>
                <w:sz w:val="20"/>
                <w:szCs w:val="20"/>
              </w:rPr>
              <w:tab/>
            </w:r>
            <w:r w:rsidR="005E0D8C">
              <w:rPr>
                <w:rFonts w:cs="Arial"/>
                <w:b/>
                <w:sz w:val="20"/>
                <w:szCs w:val="20"/>
              </w:rPr>
              <w:tab/>
              <w:t xml:space="preserve">[Recommendation 2 at section 4 of this report addresses updating stock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t xml:space="preserve">assessment methods aimed at getting an improved baseline understanding of the </w:t>
            </w:r>
            <w:r w:rsidR="005E0D8C">
              <w:rPr>
                <w:rFonts w:cs="Arial"/>
                <w:b/>
                <w:sz w:val="20"/>
                <w:szCs w:val="20"/>
              </w:rPr>
              <w:tab/>
            </w:r>
            <w:r w:rsidR="005E0D8C">
              <w:rPr>
                <w:rFonts w:cs="Arial"/>
                <w:b/>
                <w:sz w:val="20"/>
                <w:szCs w:val="20"/>
              </w:rPr>
              <w:tab/>
            </w:r>
            <w:r w:rsidR="005E0D8C">
              <w:rPr>
                <w:rFonts w:cs="Arial"/>
                <w:b/>
                <w:sz w:val="20"/>
                <w:szCs w:val="20"/>
              </w:rPr>
              <w:tab/>
            </w:r>
            <w:r w:rsidR="005E0D8C">
              <w:rPr>
                <w:rFonts w:cs="Arial"/>
                <w:b/>
                <w:sz w:val="20"/>
                <w:szCs w:val="20"/>
              </w:rPr>
              <w:tab/>
              <w:t>stocks which will in turn inform management in the fishery]</w:t>
            </w:r>
          </w:p>
          <w:p w14:paraId="6F12C1EC" w14:textId="77777777" w:rsidR="006B791A" w:rsidRDefault="006B791A">
            <w:pPr>
              <w:spacing w:before="60" w:after="60" w:line="276" w:lineRule="auto"/>
              <w:contextualSpacing/>
              <w:rPr>
                <w:rFonts w:cs="Arial"/>
                <w:sz w:val="20"/>
                <w:szCs w:val="20"/>
              </w:rPr>
            </w:pPr>
          </w:p>
          <w:p w14:paraId="786964DE" w14:textId="23A652AA" w:rsidR="00867590" w:rsidRDefault="009F323A">
            <w:pPr>
              <w:spacing w:before="60" w:after="60" w:line="276" w:lineRule="auto"/>
              <w:contextualSpacing/>
              <w:rPr>
                <w:rFonts w:cs="Arial"/>
                <w:sz w:val="20"/>
                <w:szCs w:val="20"/>
              </w:rPr>
            </w:pPr>
            <w:r w:rsidRPr="001F2CF9">
              <w:rPr>
                <w:rFonts w:cs="Arial"/>
                <w:sz w:val="20"/>
                <w:szCs w:val="20"/>
              </w:rPr>
              <w:t>Management response</w:t>
            </w:r>
            <w:r w:rsidR="00B44BAB" w:rsidRPr="001F2CF9">
              <w:rPr>
                <w:rFonts w:cs="Arial"/>
                <w:sz w:val="20"/>
                <w:szCs w:val="20"/>
              </w:rPr>
              <w:t>s in the TGCF</w:t>
            </w:r>
            <w:r w:rsidRPr="001F2CF9">
              <w:rPr>
                <w:rFonts w:cs="Arial"/>
                <w:sz w:val="20"/>
                <w:szCs w:val="20"/>
              </w:rPr>
              <w:t xml:space="preserve"> involve reducing TAC for the </w:t>
            </w:r>
            <w:r w:rsidR="00802278" w:rsidRPr="001F2CF9">
              <w:rPr>
                <w:rFonts w:cs="Arial"/>
                <w:sz w:val="20"/>
                <w:szCs w:val="20"/>
              </w:rPr>
              <w:t xml:space="preserve">quota </w:t>
            </w:r>
            <w:r w:rsidRPr="001F2CF9">
              <w:rPr>
                <w:rFonts w:cs="Arial"/>
                <w:sz w:val="20"/>
                <w:szCs w:val="20"/>
              </w:rPr>
              <w:t>year to allow biomass to rebuild and catch rate</w:t>
            </w:r>
            <w:r w:rsidR="007A1A4B" w:rsidRPr="001F2CF9">
              <w:rPr>
                <w:rFonts w:cs="Arial"/>
                <w:sz w:val="20"/>
                <w:szCs w:val="20"/>
              </w:rPr>
              <w:t>s</w:t>
            </w:r>
            <w:r w:rsidRPr="001F2CF9">
              <w:rPr>
                <w:rFonts w:cs="Arial"/>
                <w:sz w:val="20"/>
                <w:szCs w:val="20"/>
              </w:rPr>
              <w:t xml:space="preserve"> to increase. </w:t>
            </w:r>
            <w:r w:rsidR="00EE79B1" w:rsidRPr="001F2CF9">
              <w:rPr>
                <w:rFonts w:cs="Arial"/>
                <w:sz w:val="20"/>
                <w:szCs w:val="20"/>
              </w:rPr>
              <w:t xml:space="preserve">Since DPIPWE implemented a 46 per cent reduction in </w:t>
            </w:r>
            <w:r w:rsidR="00214327" w:rsidRPr="001F2CF9">
              <w:rPr>
                <w:rFonts w:cs="Arial"/>
                <w:sz w:val="20"/>
                <w:szCs w:val="20"/>
              </w:rPr>
              <w:t>TAC</w:t>
            </w:r>
            <w:r w:rsidR="004F4AF0" w:rsidRPr="001F2CF9">
              <w:rPr>
                <w:rFonts w:cs="Arial"/>
                <w:sz w:val="20"/>
                <w:szCs w:val="20"/>
              </w:rPr>
              <w:t xml:space="preserve">, </w:t>
            </w:r>
            <w:r w:rsidR="00214327" w:rsidRPr="001F2CF9">
              <w:rPr>
                <w:rFonts w:cs="Arial"/>
                <w:sz w:val="20"/>
                <w:szCs w:val="20"/>
              </w:rPr>
              <w:t>total landed catch has been fluctuating</w:t>
            </w:r>
            <w:r w:rsidR="004B165F">
              <w:rPr>
                <w:rFonts w:cs="Arial"/>
                <w:sz w:val="20"/>
                <w:szCs w:val="20"/>
              </w:rPr>
              <w:t xml:space="preserve"> </w:t>
            </w:r>
            <w:r w:rsidR="004F4AF0" w:rsidRPr="001F2CF9">
              <w:rPr>
                <w:rFonts w:cs="Arial"/>
                <w:sz w:val="20"/>
                <w:szCs w:val="20"/>
              </w:rPr>
              <w:t>every fishing season</w:t>
            </w:r>
            <w:r w:rsidR="004B165F">
              <w:rPr>
                <w:rFonts w:cs="Arial"/>
                <w:sz w:val="20"/>
                <w:szCs w:val="20"/>
              </w:rPr>
              <w:t xml:space="preserve"> but overall remains in a declining trajectory</w:t>
            </w:r>
            <w:r w:rsidR="00214327" w:rsidRPr="001F2CF9">
              <w:rPr>
                <w:rFonts w:cs="Arial"/>
                <w:sz w:val="20"/>
                <w:szCs w:val="20"/>
              </w:rPr>
              <w:t xml:space="preserve">. </w:t>
            </w:r>
            <w:r w:rsidRPr="001F2CF9">
              <w:rPr>
                <w:rFonts w:cs="Arial"/>
                <w:sz w:val="20"/>
                <w:szCs w:val="20"/>
              </w:rPr>
              <w:t>S</w:t>
            </w:r>
            <w:r w:rsidR="00D445DC" w:rsidRPr="001F2CF9">
              <w:rPr>
                <w:rFonts w:cs="Arial"/>
                <w:sz w:val="20"/>
                <w:szCs w:val="20"/>
              </w:rPr>
              <w:t>easonal</w:t>
            </w:r>
            <w:r w:rsidRPr="001F2CF9">
              <w:rPr>
                <w:rFonts w:cs="Arial"/>
                <w:sz w:val="20"/>
                <w:szCs w:val="20"/>
              </w:rPr>
              <w:t xml:space="preserve"> closures</w:t>
            </w:r>
            <w:r w:rsidR="00971AD8" w:rsidRPr="001F2CF9">
              <w:rPr>
                <w:rFonts w:cs="Arial"/>
                <w:sz w:val="20"/>
                <w:szCs w:val="20"/>
              </w:rPr>
              <w:t xml:space="preserve"> are</w:t>
            </w:r>
            <w:r w:rsidRPr="001F2CF9">
              <w:rPr>
                <w:rFonts w:cs="Arial"/>
                <w:sz w:val="20"/>
                <w:szCs w:val="20"/>
              </w:rPr>
              <w:t xml:space="preserve"> in place</w:t>
            </w:r>
            <w:r w:rsidR="00971AD8" w:rsidRPr="001F2CF9">
              <w:rPr>
                <w:rFonts w:cs="Arial"/>
                <w:sz w:val="20"/>
                <w:szCs w:val="20"/>
              </w:rPr>
              <w:t xml:space="preserve"> in the fishery</w:t>
            </w:r>
            <w:r w:rsidRPr="001F2CF9">
              <w:rPr>
                <w:rFonts w:cs="Arial"/>
                <w:sz w:val="20"/>
                <w:szCs w:val="20"/>
              </w:rPr>
              <w:t xml:space="preserve"> to allo</w:t>
            </w:r>
            <w:r w:rsidR="0088035E" w:rsidRPr="001F2CF9">
              <w:rPr>
                <w:rFonts w:cs="Arial"/>
                <w:sz w:val="20"/>
                <w:szCs w:val="20"/>
              </w:rPr>
              <w:t>w for egg production</w:t>
            </w:r>
            <w:r w:rsidR="007A1A4B" w:rsidRPr="001F2CF9">
              <w:rPr>
                <w:rFonts w:cs="Arial"/>
                <w:sz w:val="20"/>
                <w:szCs w:val="20"/>
              </w:rPr>
              <w:t xml:space="preserve"> during </w:t>
            </w:r>
            <w:r w:rsidR="00971AD8" w:rsidRPr="001F2CF9">
              <w:rPr>
                <w:rFonts w:cs="Arial"/>
                <w:sz w:val="20"/>
                <w:szCs w:val="20"/>
              </w:rPr>
              <w:t xml:space="preserve">the giant crab </w:t>
            </w:r>
            <w:r w:rsidR="007A1A4B" w:rsidRPr="001F2CF9">
              <w:rPr>
                <w:rFonts w:cs="Arial"/>
                <w:sz w:val="20"/>
                <w:szCs w:val="20"/>
              </w:rPr>
              <w:t>breeding cycle</w:t>
            </w:r>
            <w:r w:rsidRPr="001F2CF9">
              <w:rPr>
                <w:rFonts w:cs="Arial"/>
                <w:sz w:val="20"/>
                <w:szCs w:val="20"/>
              </w:rPr>
              <w:t xml:space="preserve">. </w:t>
            </w:r>
            <w:r w:rsidR="00D4296B" w:rsidRPr="001F2CF9">
              <w:rPr>
                <w:rFonts w:cs="Arial"/>
                <w:sz w:val="20"/>
                <w:szCs w:val="20"/>
              </w:rPr>
              <w:t xml:space="preserve">The continuing decline in </w:t>
            </w:r>
            <w:r w:rsidR="00855A7F" w:rsidRPr="001F2CF9">
              <w:rPr>
                <w:rFonts w:cs="Arial"/>
                <w:sz w:val="20"/>
                <w:szCs w:val="20"/>
              </w:rPr>
              <w:t>catch rates</w:t>
            </w:r>
            <w:r w:rsidR="003C6AC7" w:rsidRPr="001F2CF9">
              <w:rPr>
                <w:rFonts w:cs="Arial"/>
                <w:sz w:val="20"/>
                <w:szCs w:val="20"/>
              </w:rPr>
              <w:t xml:space="preserve"> is l</w:t>
            </w:r>
            <w:r w:rsidR="00855A7F" w:rsidRPr="001F2CF9">
              <w:rPr>
                <w:rFonts w:cs="Arial"/>
                <w:sz w:val="20"/>
                <w:szCs w:val="20"/>
              </w:rPr>
              <w:t xml:space="preserve">ikely </w:t>
            </w:r>
            <w:r w:rsidR="003C6AC7" w:rsidRPr="001F2CF9">
              <w:rPr>
                <w:rFonts w:cs="Arial"/>
                <w:sz w:val="20"/>
                <w:szCs w:val="20"/>
              </w:rPr>
              <w:t xml:space="preserve">to be influenced by </w:t>
            </w:r>
            <w:r w:rsidR="00855A7F" w:rsidRPr="001F2CF9">
              <w:rPr>
                <w:rFonts w:cs="Arial"/>
                <w:sz w:val="20"/>
                <w:szCs w:val="20"/>
              </w:rPr>
              <w:t>external factors</w:t>
            </w:r>
            <w:r w:rsidR="00DF2BDF" w:rsidRPr="001F2CF9">
              <w:rPr>
                <w:rFonts w:cs="Arial"/>
                <w:sz w:val="20"/>
                <w:szCs w:val="20"/>
              </w:rPr>
              <w:t xml:space="preserve"> including</w:t>
            </w:r>
            <w:r w:rsidR="003C6AC7" w:rsidRPr="001F2CF9">
              <w:rPr>
                <w:rFonts w:cs="Arial"/>
                <w:sz w:val="20"/>
                <w:szCs w:val="20"/>
              </w:rPr>
              <w:t xml:space="preserve"> </w:t>
            </w:r>
            <w:r w:rsidR="00855A7F" w:rsidRPr="001F2CF9">
              <w:rPr>
                <w:rFonts w:cs="Arial"/>
                <w:sz w:val="20"/>
                <w:szCs w:val="20"/>
              </w:rPr>
              <w:t>interaction issues</w:t>
            </w:r>
            <w:r w:rsidR="00DF2BDF" w:rsidRPr="001F2CF9">
              <w:rPr>
                <w:rFonts w:cs="Arial"/>
                <w:sz w:val="20"/>
                <w:szCs w:val="20"/>
              </w:rPr>
              <w:t xml:space="preserve"> </w:t>
            </w:r>
            <w:r w:rsidR="002D2153" w:rsidRPr="001F2CF9">
              <w:rPr>
                <w:rFonts w:cs="Arial"/>
                <w:sz w:val="20"/>
                <w:szCs w:val="20"/>
              </w:rPr>
              <w:t>with</w:t>
            </w:r>
            <w:r w:rsidR="00DF2BDF" w:rsidRPr="001F2CF9">
              <w:rPr>
                <w:rFonts w:cs="Arial"/>
                <w:sz w:val="20"/>
                <w:szCs w:val="20"/>
              </w:rPr>
              <w:t xml:space="preserve"> </w:t>
            </w:r>
            <w:r w:rsidR="00473E5D" w:rsidRPr="001F2CF9">
              <w:rPr>
                <w:rFonts w:cs="Arial"/>
                <w:sz w:val="20"/>
                <w:szCs w:val="20"/>
              </w:rPr>
              <w:t>the trawl sector of the</w:t>
            </w:r>
            <w:r w:rsidR="004F6243" w:rsidRPr="001F2CF9">
              <w:rPr>
                <w:rFonts w:cs="Arial"/>
                <w:sz w:val="20"/>
                <w:szCs w:val="20"/>
              </w:rPr>
              <w:t xml:space="preserve"> </w:t>
            </w:r>
            <w:r w:rsidR="00473E5D" w:rsidRPr="001F2CF9">
              <w:rPr>
                <w:rFonts w:cs="Arial"/>
                <w:sz w:val="20"/>
                <w:szCs w:val="20"/>
              </w:rPr>
              <w:t>SESSF</w:t>
            </w:r>
            <w:r w:rsidR="003C6AC7" w:rsidRPr="001F2CF9">
              <w:rPr>
                <w:rFonts w:cs="Arial"/>
                <w:sz w:val="20"/>
                <w:szCs w:val="20"/>
              </w:rPr>
              <w:t>.</w:t>
            </w:r>
            <w:r w:rsidR="00855A7F" w:rsidRPr="001F2CF9">
              <w:rPr>
                <w:rFonts w:cs="Arial"/>
                <w:sz w:val="20"/>
                <w:szCs w:val="20"/>
              </w:rPr>
              <w:t xml:space="preserve"> </w:t>
            </w:r>
            <w:r w:rsidR="009A00CB" w:rsidRPr="001F2CF9">
              <w:rPr>
                <w:rFonts w:cs="Arial"/>
                <w:sz w:val="20"/>
                <w:szCs w:val="20"/>
              </w:rPr>
              <w:t>Various scientific studies suggested that bottom trawl in the area of the TGCF could negatively</w:t>
            </w:r>
            <w:r w:rsidR="00855A7F" w:rsidRPr="001F2CF9">
              <w:rPr>
                <w:rFonts w:cs="Arial"/>
                <w:sz w:val="20"/>
                <w:szCs w:val="20"/>
              </w:rPr>
              <w:t xml:space="preserve"> impact the recovery of </w:t>
            </w:r>
            <w:r w:rsidR="009A00CB" w:rsidRPr="001F2CF9">
              <w:rPr>
                <w:rFonts w:cs="Arial"/>
                <w:sz w:val="20"/>
                <w:szCs w:val="20"/>
              </w:rPr>
              <w:t>the giant crab stock in</w:t>
            </w:r>
            <w:r w:rsidR="00F006A2" w:rsidRPr="001F2CF9">
              <w:rPr>
                <w:rFonts w:cs="Arial"/>
                <w:sz w:val="20"/>
                <w:szCs w:val="20"/>
              </w:rPr>
              <w:t xml:space="preserve"> Tasmanian waters</w:t>
            </w:r>
            <w:r w:rsidR="00734A2C" w:rsidRPr="001F2CF9">
              <w:rPr>
                <w:rFonts w:cs="Arial"/>
                <w:sz w:val="20"/>
                <w:szCs w:val="20"/>
              </w:rPr>
              <w:t xml:space="preserve"> where the </w:t>
            </w:r>
            <w:r w:rsidR="00A20134">
              <w:rPr>
                <w:rFonts w:cs="Arial"/>
                <w:sz w:val="20"/>
                <w:szCs w:val="20"/>
              </w:rPr>
              <w:t>TGCF</w:t>
            </w:r>
            <w:r w:rsidR="00A20134" w:rsidRPr="008201A1">
              <w:rPr>
                <w:rFonts w:cs="Arial"/>
                <w:sz w:val="20"/>
                <w:szCs w:val="20"/>
              </w:rPr>
              <w:t xml:space="preserve"> </w:t>
            </w:r>
            <w:r w:rsidR="00855A7F" w:rsidRPr="008201A1">
              <w:rPr>
                <w:rFonts w:cs="Arial"/>
                <w:sz w:val="20"/>
                <w:szCs w:val="20"/>
              </w:rPr>
              <w:t>operates</w:t>
            </w:r>
            <w:r w:rsidR="00734A2C" w:rsidRPr="001F2CF9">
              <w:rPr>
                <w:rFonts w:cs="Arial"/>
                <w:sz w:val="20"/>
                <w:szCs w:val="20"/>
              </w:rPr>
              <w:t>. The effort of bottom trawl seems to be higher</w:t>
            </w:r>
            <w:r w:rsidR="00855A7F" w:rsidRPr="001F2CF9">
              <w:rPr>
                <w:rFonts w:cs="Arial"/>
                <w:sz w:val="20"/>
                <w:szCs w:val="20"/>
              </w:rPr>
              <w:t xml:space="preserve"> and overlap</w:t>
            </w:r>
            <w:r w:rsidR="001173AA" w:rsidRPr="001F2CF9">
              <w:rPr>
                <w:rFonts w:cs="Arial"/>
                <w:sz w:val="20"/>
                <w:szCs w:val="20"/>
              </w:rPr>
              <w:t>s</w:t>
            </w:r>
            <w:r w:rsidR="00855A7F" w:rsidRPr="001F2CF9">
              <w:rPr>
                <w:rFonts w:cs="Arial"/>
                <w:sz w:val="20"/>
                <w:szCs w:val="20"/>
              </w:rPr>
              <w:t xml:space="preserve"> in </w:t>
            </w:r>
            <w:r w:rsidR="001173AA" w:rsidRPr="001F2CF9">
              <w:rPr>
                <w:rFonts w:cs="Arial"/>
                <w:sz w:val="20"/>
                <w:szCs w:val="20"/>
              </w:rPr>
              <w:t xml:space="preserve">the </w:t>
            </w:r>
            <w:r w:rsidR="00855A7F" w:rsidRPr="001F2CF9">
              <w:rPr>
                <w:rFonts w:cs="Arial"/>
                <w:sz w:val="20"/>
                <w:szCs w:val="20"/>
              </w:rPr>
              <w:t>TGCF compared t</w:t>
            </w:r>
            <w:r w:rsidR="002F6755" w:rsidRPr="001F2CF9">
              <w:rPr>
                <w:rFonts w:cs="Arial"/>
                <w:sz w:val="20"/>
                <w:szCs w:val="20"/>
              </w:rPr>
              <w:t xml:space="preserve">o other </w:t>
            </w:r>
            <w:r w:rsidR="001173AA" w:rsidRPr="001F2CF9">
              <w:rPr>
                <w:rFonts w:cs="Arial"/>
                <w:sz w:val="20"/>
                <w:szCs w:val="20"/>
              </w:rPr>
              <w:t>giant crabs fisheries in South Australia and Victoria</w:t>
            </w:r>
            <w:r w:rsidR="005B6751" w:rsidRPr="001F2CF9">
              <w:rPr>
                <w:rFonts w:cs="Arial"/>
                <w:sz w:val="20"/>
                <w:szCs w:val="20"/>
              </w:rPr>
              <w:t xml:space="preserve">. Scientists stated </w:t>
            </w:r>
            <w:r w:rsidR="00855A7F" w:rsidRPr="001F2CF9">
              <w:rPr>
                <w:rFonts w:cs="Arial"/>
                <w:sz w:val="20"/>
                <w:szCs w:val="20"/>
              </w:rPr>
              <w:t xml:space="preserve">the impact of bottom trawl on </w:t>
            </w:r>
            <w:r w:rsidR="005B6751" w:rsidRPr="001F2CF9">
              <w:rPr>
                <w:rFonts w:cs="Arial"/>
                <w:sz w:val="20"/>
                <w:szCs w:val="20"/>
              </w:rPr>
              <w:t xml:space="preserve">the </w:t>
            </w:r>
            <w:r w:rsidR="00855A7F" w:rsidRPr="001F2CF9">
              <w:rPr>
                <w:rFonts w:cs="Arial"/>
                <w:sz w:val="20"/>
                <w:szCs w:val="20"/>
              </w:rPr>
              <w:t>giant crab mortality is likely</w:t>
            </w:r>
            <w:r w:rsidR="005B6751" w:rsidRPr="001F2CF9">
              <w:rPr>
                <w:rFonts w:cs="Arial"/>
                <w:sz w:val="20"/>
                <w:szCs w:val="20"/>
              </w:rPr>
              <w:t xml:space="preserve"> to be significant and </w:t>
            </w:r>
            <w:r w:rsidR="00855A7F" w:rsidRPr="001F2CF9">
              <w:rPr>
                <w:rFonts w:cs="Arial"/>
                <w:sz w:val="20"/>
                <w:szCs w:val="20"/>
              </w:rPr>
              <w:t xml:space="preserve">could </w:t>
            </w:r>
            <w:r w:rsidR="00706C10" w:rsidRPr="001F2CF9">
              <w:rPr>
                <w:rFonts w:cs="Arial"/>
                <w:sz w:val="20"/>
                <w:szCs w:val="20"/>
              </w:rPr>
              <w:t xml:space="preserve">be partly responsible for </w:t>
            </w:r>
            <w:r w:rsidR="00855A7F" w:rsidRPr="001F2CF9">
              <w:rPr>
                <w:rFonts w:cs="Arial"/>
                <w:sz w:val="20"/>
                <w:szCs w:val="20"/>
              </w:rPr>
              <w:t>the lack of stock rebuild</w:t>
            </w:r>
            <w:r w:rsidR="00706C10" w:rsidRPr="001F2CF9">
              <w:rPr>
                <w:rFonts w:cs="Arial"/>
                <w:sz w:val="20"/>
                <w:szCs w:val="20"/>
              </w:rPr>
              <w:t xml:space="preserve">, given the significant </w:t>
            </w:r>
            <w:r w:rsidR="00855A7F" w:rsidRPr="001F2CF9">
              <w:rPr>
                <w:rFonts w:cs="Arial"/>
                <w:sz w:val="20"/>
                <w:szCs w:val="20"/>
              </w:rPr>
              <w:t>reductions</w:t>
            </w:r>
            <w:r w:rsidR="00706C10" w:rsidRPr="001F2CF9">
              <w:rPr>
                <w:rFonts w:cs="Arial"/>
                <w:sz w:val="20"/>
                <w:szCs w:val="20"/>
              </w:rPr>
              <w:t xml:space="preserve"> in TAC the TGCF imp</w:t>
            </w:r>
            <w:r w:rsidR="00A24810" w:rsidRPr="001F2CF9">
              <w:rPr>
                <w:rFonts w:cs="Arial"/>
                <w:sz w:val="20"/>
                <w:szCs w:val="20"/>
              </w:rPr>
              <w:t>osed on</w:t>
            </w:r>
            <w:r w:rsidR="00A20134">
              <w:rPr>
                <w:rFonts w:cs="Arial"/>
                <w:sz w:val="20"/>
                <w:szCs w:val="20"/>
              </w:rPr>
              <w:t xml:space="preserve"> the fishing</w:t>
            </w:r>
            <w:r w:rsidR="00A24810" w:rsidRPr="001F2CF9">
              <w:rPr>
                <w:rFonts w:cs="Arial"/>
                <w:sz w:val="20"/>
                <w:szCs w:val="20"/>
              </w:rPr>
              <w:t xml:space="preserve"> operators</w:t>
            </w:r>
            <w:r w:rsidR="00706C10" w:rsidRPr="001F2CF9">
              <w:rPr>
                <w:rFonts w:cs="Arial"/>
                <w:sz w:val="20"/>
                <w:szCs w:val="20"/>
              </w:rPr>
              <w:t xml:space="preserve"> over time</w:t>
            </w:r>
            <w:r w:rsidR="00855A7F" w:rsidRPr="001F2CF9">
              <w:rPr>
                <w:rFonts w:cs="Arial"/>
                <w:sz w:val="20"/>
                <w:szCs w:val="20"/>
              </w:rPr>
              <w:t>.</w:t>
            </w:r>
            <w:r w:rsidR="002F6755" w:rsidRPr="001F2CF9">
              <w:rPr>
                <w:rFonts w:cs="Arial"/>
                <w:sz w:val="20"/>
                <w:szCs w:val="20"/>
              </w:rPr>
              <w:t xml:space="preserve"> </w:t>
            </w:r>
            <w:r w:rsidRPr="001F2CF9">
              <w:rPr>
                <w:rFonts w:cs="Arial"/>
                <w:sz w:val="20"/>
                <w:szCs w:val="20"/>
              </w:rPr>
              <w:t>D</w:t>
            </w:r>
            <w:r w:rsidR="0064227F" w:rsidRPr="001F2CF9">
              <w:rPr>
                <w:rFonts w:cs="Arial"/>
                <w:sz w:val="20"/>
                <w:szCs w:val="20"/>
              </w:rPr>
              <w:t xml:space="preserve">PIPWE </w:t>
            </w:r>
            <w:r w:rsidR="00A24810" w:rsidRPr="001F2CF9">
              <w:rPr>
                <w:rFonts w:cs="Arial"/>
                <w:sz w:val="20"/>
                <w:szCs w:val="20"/>
              </w:rPr>
              <w:t>and</w:t>
            </w:r>
            <w:r w:rsidR="0064227F" w:rsidRPr="001F2CF9">
              <w:rPr>
                <w:rFonts w:cs="Arial"/>
                <w:sz w:val="20"/>
                <w:szCs w:val="20"/>
              </w:rPr>
              <w:t xml:space="preserve"> AFMA </w:t>
            </w:r>
            <w:r w:rsidR="00000D11" w:rsidRPr="001F2CF9">
              <w:rPr>
                <w:rFonts w:cs="Arial"/>
                <w:sz w:val="20"/>
                <w:szCs w:val="20"/>
              </w:rPr>
              <w:t>worked on co-management solutions involving</w:t>
            </w:r>
            <w:r w:rsidR="00A24810" w:rsidRPr="001F2CF9">
              <w:rPr>
                <w:rFonts w:cs="Arial"/>
                <w:sz w:val="20"/>
                <w:szCs w:val="20"/>
              </w:rPr>
              <w:t xml:space="preserve"> </w:t>
            </w:r>
            <w:r w:rsidR="009A1B47">
              <w:rPr>
                <w:rFonts w:cs="Arial"/>
                <w:sz w:val="20"/>
                <w:szCs w:val="20"/>
              </w:rPr>
              <w:t xml:space="preserve">a </w:t>
            </w:r>
            <w:r w:rsidR="00A24810" w:rsidRPr="008201A1">
              <w:rPr>
                <w:rFonts w:cs="Arial"/>
                <w:sz w:val="20"/>
                <w:szCs w:val="20"/>
              </w:rPr>
              <w:t>voluntary exclusion zone agreement for trawlers</w:t>
            </w:r>
            <w:r w:rsidR="00000D11" w:rsidRPr="001F2CF9">
              <w:rPr>
                <w:rFonts w:cs="Arial"/>
                <w:sz w:val="20"/>
                <w:szCs w:val="20"/>
              </w:rPr>
              <w:t xml:space="preserve"> which failed. That measure</w:t>
            </w:r>
            <w:r w:rsidR="00A24810" w:rsidRPr="001F2CF9">
              <w:rPr>
                <w:rFonts w:cs="Arial"/>
                <w:sz w:val="20"/>
                <w:szCs w:val="20"/>
              </w:rPr>
              <w:t xml:space="preserve"> </w:t>
            </w:r>
            <w:r w:rsidR="00000D11" w:rsidRPr="001F2CF9">
              <w:rPr>
                <w:rFonts w:cs="Arial"/>
                <w:sz w:val="20"/>
                <w:szCs w:val="20"/>
              </w:rPr>
              <w:t xml:space="preserve">aimed at limiting bottom trawl in the depth band around Tasmania to mitigate the identified risks and potential damage done to </w:t>
            </w:r>
            <w:r w:rsidR="00ED47B9" w:rsidRPr="001F2CF9">
              <w:rPr>
                <w:rFonts w:cs="Arial"/>
                <w:sz w:val="20"/>
                <w:szCs w:val="20"/>
              </w:rPr>
              <w:t>bryozoan</w:t>
            </w:r>
            <w:r w:rsidR="00000D11" w:rsidRPr="001F2CF9">
              <w:rPr>
                <w:rFonts w:cs="Arial"/>
                <w:sz w:val="20"/>
                <w:szCs w:val="20"/>
              </w:rPr>
              <w:t xml:space="preserve"> habitat. B</w:t>
            </w:r>
            <w:r w:rsidR="00A24810" w:rsidRPr="001F2CF9">
              <w:rPr>
                <w:rFonts w:cs="Arial"/>
                <w:sz w:val="20"/>
                <w:szCs w:val="20"/>
              </w:rPr>
              <w:t xml:space="preserve">oth jurisdictions are still collaborating </w:t>
            </w:r>
            <w:r w:rsidR="0064227F" w:rsidRPr="001F2CF9">
              <w:rPr>
                <w:rFonts w:cs="Arial"/>
                <w:sz w:val="20"/>
                <w:szCs w:val="20"/>
              </w:rPr>
              <w:t>to analyse</w:t>
            </w:r>
            <w:r w:rsidR="002B2105" w:rsidRPr="001F2CF9">
              <w:rPr>
                <w:rFonts w:cs="Arial"/>
                <w:sz w:val="20"/>
                <w:szCs w:val="20"/>
              </w:rPr>
              <w:t xml:space="preserve"> further</w:t>
            </w:r>
            <w:r w:rsidRPr="001F2CF9">
              <w:rPr>
                <w:rFonts w:cs="Arial"/>
                <w:sz w:val="20"/>
                <w:szCs w:val="20"/>
              </w:rPr>
              <w:t xml:space="preserve"> waters adjacent to Tasmania where </w:t>
            </w:r>
            <w:r w:rsidR="003F5CCD" w:rsidRPr="001F2CF9">
              <w:rPr>
                <w:rFonts w:cs="Arial"/>
                <w:sz w:val="20"/>
                <w:szCs w:val="20"/>
              </w:rPr>
              <w:t xml:space="preserve">issues of interaction between </w:t>
            </w:r>
            <w:r w:rsidR="00A24810" w:rsidRPr="001F2CF9">
              <w:rPr>
                <w:rFonts w:cs="Arial"/>
                <w:sz w:val="20"/>
                <w:szCs w:val="20"/>
              </w:rPr>
              <w:t>the trawl sector and the giant crab fishers</w:t>
            </w:r>
            <w:r w:rsidRPr="001F2CF9">
              <w:rPr>
                <w:rFonts w:cs="Arial"/>
                <w:sz w:val="20"/>
                <w:szCs w:val="20"/>
              </w:rPr>
              <w:t xml:space="preserve"> occur. </w:t>
            </w:r>
            <w:r w:rsidR="000955F1" w:rsidRPr="001F2CF9">
              <w:rPr>
                <w:rFonts w:cs="Arial"/>
                <w:sz w:val="20"/>
                <w:szCs w:val="20"/>
              </w:rPr>
              <w:t xml:space="preserve">Data collection in the fishery </w:t>
            </w:r>
            <w:r w:rsidR="00EA7BF3" w:rsidRPr="001F2CF9">
              <w:rPr>
                <w:rFonts w:cs="Arial"/>
                <w:sz w:val="20"/>
                <w:szCs w:val="20"/>
              </w:rPr>
              <w:t xml:space="preserve">needs to be improved </w:t>
            </w:r>
            <w:r w:rsidR="000955F1" w:rsidRPr="001F2CF9">
              <w:rPr>
                <w:rFonts w:cs="Arial"/>
                <w:sz w:val="20"/>
                <w:szCs w:val="20"/>
              </w:rPr>
              <w:t>to enable</w:t>
            </w:r>
            <w:r w:rsidR="00EA7BF3" w:rsidRPr="001F2CF9">
              <w:rPr>
                <w:rFonts w:cs="Arial"/>
                <w:sz w:val="20"/>
                <w:szCs w:val="20"/>
              </w:rPr>
              <w:t xml:space="preserve"> researcher</w:t>
            </w:r>
            <w:r w:rsidR="000955F1" w:rsidRPr="001F2CF9">
              <w:rPr>
                <w:rFonts w:cs="Arial"/>
                <w:sz w:val="20"/>
                <w:szCs w:val="20"/>
              </w:rPr>
              <w:t xml:space="preserve">s to develop accurate </w:t>
            </w:r>
            <w:r w:rsidR="00EA7BF3" w:rsidRPr="001F2CF9">
              <w:rPr>
                <w:rFonts w:cs="Arial"/>
                <w:sz w:val="20"/>
                <w:szCs w:val="20"/>
              </w:rPr>
              <w:t>biomass assessment</w:t>
            </w:r>
            <w:r w:rsidR="000955F1" w:rsidRPr="001F2CF9">
              <w:rPr>
                <w:rFonts w:cs="Arial"/>
                <w:sz w:val="20"/>
                <w:szCs w:val="20"/>
              </w:rPr>
              <w:t>s</w:t>
            </w:r>
            <w:r w:rsidR="00EA7BF3" w:rsidRPr="001F2CF9">
              <w:rPr>
                <w:rFonts w:cs="Arial"/>
                <w:sz w:val="20"/>
                <w:szCs w:val="20"/>
              </w:rPr>
              <w:t xml:space="preserve"> in the TGCF</w:t>
            </w:r>
            <w:r w:rsidR="000955F1" w:rsidRPr="001F2CF9">
              <w:rPr>
                <w:rFonts w:cs="Arial"/>
                <w:sz w:val="20"/>
                <w:szCs w:val="20"/>
              </w:rPr>
              <w:t>,</w:t>
            </w:r>
            <w:r w:rsidR="00EA7BF3" w:rsidRPr="001F2CF9">
              <w:rPr>
                <w:rFonts w:cs="Arial"/>
                <w:sz w:val="20"/>
                <w:szCs w:val="20"/>
              </w:rPr>
              <w:t xml:space="preserve"> and to </w:t>
            </w:r>
            <w:r w:rsidR="005069B4" w:rsidRPr="001F2CF9">
              <w:rPr>
                <w:rFonts w:cs="Arial"/>
                <w:sz w:val="20"/>
                <w:szCs w:val="20"/>
              </w:rPr>
              <w:t xml:space="preserve">better </w:t>
            </w:r>
            <w:r w:rsidR="00EA7BF3" w:rsidRPr="001F2CF9">
              <w:rPr>
                <w:rFonts w:cs="Arial"/>
                <w:sz w:val="20"/>
                <w:szCs w:val="20"/>
              </w:rPr>
              <w:t xml:space="preserve">define the </w:t>
            </w:r>
            <w:r w:rsidR="005069B4" w:rsidRPr="001F2CF9">
              <w:rPr>
                <w:rFonts w:cs="Arial"/>
                <w:sz w:val="20"/>
                <w:szCs w:val="20"/>
              </w:rPr>
              <w:t xml:space="preserve">current </w:t>
            </w:r>
            <w:r w:rsidR="00EA7BF3" w:rsidRPr="001F2CF9">
              <w:rPr>
                <w:rFonts w:cs="Arial"/>
                <w:sz w:val="20"/>
                <w:szCs w:val="20"/>
              </w:rPr>
              <w:t>status of the Tasmanian giant crab stock.</w:t>
            </w:r>
          </w:p>
          <w:p w14:paraId="24B5BCC4" w14:textId="19FAF5CE" w:rsidR="00564BC9" w:rsidRPr="0072610E" w:rsidRDefault="00564BC9">
            <w:pPr>
              <w:spacing w:before="60" w:after="60" w:line="276" w:lineRule="auto"/>
              <w:contextualSpacing/>
              <w:rPr>
                <w:sz w:val="20"/>
                <w:szCs w:val="20"/>
              </w:rPr>
            </w:pPr>
          </w:p>
        </w:tc>
      </w:tr>
      <w:tr w:rsidR="00867590" w:rsidRPr="001F2CF9" w14:paraId="79CFA58D" w14:textId="77777777" w:rsidTr="00117313">
        <w:trPr>
          <w:cantSplit/>
        </w:trPr>
        <w:tc>
          <w:tcPr>
            <w:tcW w:w="5000" w:type="pct"/>
            <w:gridSpan w:val="2"/>
            <w:tcBorders>
              <w:top w:val="single" w:sz="4" w:space="0" w:color="auto"/>
            </w:tcBorders>
            <w:shd w:val="clear" w:color="auto" w:fill="B2A1C7"/>
          </w:tcPr>
          <w:p w14:paraId="315DE2B9" w14:textId="512D1E2B" w:rsidR="00867590" w:rsidRPr="001F2CF9" w:rsidRDefault="00867590" w:rsidP="00F32842">
            <w:pPr>
              <w:autoSpaceDE w:val="0"/>
              <w:autoSpaceDN w:val="0"/>
              <w:adjustRightInd w:val="0"/>
              <w:spacing w:before="60" w:after="60" w:line="276" w:lineRule="auto"/>
              <w:contextualSpacing/>
              <w:rPr>
                <w:rFonts w:cs="Arial"/>
                <w:sz w:val="20"/>
                <w:szCs w:val="20"/>
              </w:rPr>
            </w:pPr>
            <w:r w:rsidRPr="00F32842">
              <w:rPr>
                <w:rFonts w:cs="Arial"/>
                <w:b/>
                <w:bCs/>
                <w:sz w:val="20"/>
                <w:szCs w:val="20"/>
              </w:rPr>
              <w:t xml:space="preserve">PRINCIPLE 2 - </w:t>
            </w:r>
            <w:r w:rsidRPr="008201A1">
              <w:rPr>
                <w:rFonts w:cs="Arial"/>
                <w:sz w:val="20"/>
                <w:szCs w:val="20"/>
              </w:rPr>
              <w:t>Fishing operations should be managed to minimise</w:t>
            </w:r>
            <w:r w:rsidR="006B6EF9" w:rsidRPr="008201A1">
              <w:rPr>
                <w:rFonts w:cs="Arial"/>
                <w:sz w:val="20"/>
                <w:szCs w:val="20"/>
              </w:rPr>
              <w:t xml:space="preserve"> their impact on the structure, </w:t>
            </w:r>
            <w:r w:rsidRPr="001F2CF9">
              <w:rPr>
                <w:rFonts w:cs="Arial"/>
                <w:sz w:val="20"/>
                <w:szCs w:val="20"/>
              </w:rPr>
              <w:t>productivity, function and biological diversity of the ecosystem.</w:t>
            </w:r>
          </w:p>
        </w:tc>
      </w:tr>
      <w:tr w:rsidR="00867590" w:rsidRPr="001F2CF9" w14:paraId="5D87684C" w14:textId="77777777" w:rsidTr="00117313">
        <w:trPr>
          <w:cantSplit/>
        </w:trPr>
        <w:tc>
          <w:tcPr>
            <w:tcW w:w="5000" w:type="pct"/>
            <w:gridSpan w:val="2"/>
            <w:shd w:val="clear" w:color="auto" w:fill="CCC0D9"/>
          </w:tcPr>
          <w:p w14:paraId="1117EA62" w14:textId="58F055E1" w:rsidR="00867590" w:rsidRPr="001F2CF9" w:rsidRDefault="00867590" w:rsidP="00F32842">
            <w:pPr>
              <w:autoSpaceDE w:val="0"/>
              <w:autoSpaceDN w:val="0"/>
              <w:adjustRightInd w:val="0"/>
              <w:spacing w:before="60" w:after="60" w:line="276" w:lineRule="auto"/>
              <w:contextualSpacing/>
              <w:rPr>
                <w:rFonts w:cs="Arial"/>
                <w:sz w:val="20"/>
                <w:szCs w:val="20"/>
              </w:rPr>
            </w:pPr>
            <w:r w:rsidRPr="00F32842">
              <w:rPr>
                <w:rFonts w:cs="Arial"/>
                <w:b/>
                <w:bCs/>
                <w:sz w:val="20"/>
                <w:szCs w:val="20"/>
              </w:rPr>
              <w:t xml:space="preserve">Objective 1 - </w:t>
            </w:r>
            <w:r w:rsidRPr="008201A1">
              <w:rPr>
                <w:rFonts w:cs="Arial"/>
                <w:sz w:val="20"/>
                <w:szCs w:val="20"/>
              </w:rPr>
              <w:t>The fishery is conducted in a manner that does not threat</w:t>
            </w:r>
            <w:r w:rsidR="006B6EF9" w:rsidRPr="008201A1">
              <w:rPr>
                <w:rFonts w:cs="Arial"/>
                <w:sz w:val="20"/>
                <w:szCs w:val="20"/>
              </w:rPr>
              <w:t xml:space="preserve">en bycatch </w:t>
            </w:r>
            <w:r w:rsidRPr="001F2CF9">
              <w:rPr>
                <w:rFonts w:cs="Arial"/>
                <w:sz w:val="20"/>
                <w:szCs w:val="20"/>
              </w:rPr>
              <w:t>species.</w:t>
            </w:r>
          </w:p>
        </w:tc>
      </w:tr>
      <w:tr w:rsidR="00867590" w:rsidRPr="001F2CF9" w14:paraId="0E8276E1" w14:textId="77777777" w:rsidTr="00117313">
        <w:trPr>
          <w:cantSplit/>
        </w:trPr>
        <w:tc>
          <w:tcPr>
            <w:tcW w:w="5000" w:type="pct"/>
            <w:gridSpan w:val="2"/>
            <w:shd w:val="clear" w:color="auto" w:fill="E5DFEC"/>
          </w:tcPr>
          <w:p w14:paraId="2EB91C61" w14:textId="77777777"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Information requirements</w:t>
            </w:r>
          </w:p>
        </w:tc>
      </w:tr>
      <w:tr w:rsidR="00867590" w:rsidRPr="001F2CF9" w14:paraId="5E08C7C1" w14:textId="77777777" w:rsidTr="0072610E">
        <w:trPr>
          <w:cantSplit/>
        </w:trPr>
        <w:tc>
          <w:tcPr>
            <w:tcW w:w="1500" w:type="pct"/>
          </w:tcPr>
          <w:p w14:paraId="02430850"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2.1.1 </w:t>
            </w:r>
            <w:r w:rsidRPr="008201A1">
              <w:rPr>
                <w:rFonts w:cs="Arial"/>
                <w:sz w:val="20"/>
                <w:szCs w:val="20"/>
              </w:rPr>
              <w:t>Reliable information, appropriate to the scale of the fishery, is collected on the composition and abundance of bycatch.</w:t>
            </w:r>
          </w:p>
          <w:p w14:paraId="1F0D0CE5" w14:textId="7C7EBAF2" w:rsidR="00C10568" w:rsidRPr="008201A1" w:rsidRDefault="00C10568" w:rsidP="008201A1">
            <w:pPr>
              <w:spacing w:before="60" w:after="60" w:line="276" w:lineRule="auto"/>
              <w:contextualSpacing/>
              <w:rPr>
                <w:rFonts w:cs="Arial"/>
                <w:sz w:val="20"/>
                <w:szCs w:val="20"/>
              </w:rPr>
            </w:pPr>
          </w:p>
          <w:p w14:paraId="24D6DBE3" w14:textId="77777777" w:rsidR="004649FA" w:rsidRPr="001F2CF9" w:rsidRDefault="004649FA" w:rsidP="0072610E">
            <w:pPr>
              <w:spacing w:line="276" w:lineRule="auto"/>
              <w:jc w:val="right"/>
              <w:rPr>
                <w:rFonts w:cs="Arial"/>
                <w:sz w:val="20"/>
                <w:szCs w:val="20"/>
              </w:rPr>
            </w:pPr>
          </w:p>
        </w:tc>
        <w:tc>
          <w:tcPr>
            <w:tcW w:w="3500" w:type="pct"/>
            <w:shd w:val="clear" w:color="auto" w:fill="92D050"/>
          </w:tcPr>
          <w:p w14:paraId="09216CC8" w14:textId="1905BA54" w:rsidR="00C74B33" w:rsidRPr="001F2CF9" w:rsidRDefault="005869AD" w:rsidP="00F32842">
            <w:pPr>
              <w:spacing w:before="60" w:after="60" w:line="276" w:lineRule="auto"/>
              <w:contextualSpacing/>
              <w:rPr>
                <w:rFonts w:cs="Arial"/>
                <w:b/>
                <w:sz w:val="20"/>
                <w:szCs w:val="20"/>
              </w:rPr>
            </w:pPr>
            <w:r w:rsidRPr="001F2CF9">
              <w:rPr>
                <w:rFonts w:cs="Arial"/>
                <w:b/>
                <w:sz w:val="20"/>
                <w:szCs w:val="20"/>
              </w:rPr>
              <w:t xml:space="preserve">Meets – </w:t>
            </w:r>
            <w:r w:rsidR="004E7A5A">
              <w:rPr>
                <w:rFonts w:cs="Arial"/>
                <w:b/>
                <w:sz w:val="20"/>
                <w:szCs w:val="20"/>
              </w:rPr>
              <w:tab/>
            </w:r>
            <w:r w:rsidR="008518A7">
              <w:rPr>
                <w:rFonts w:cs="Arial"/>
                <w:b/>
                <w:sz w:val="20"/>
                <w:szCs w:val="20"/>
              </w:rPr>
              <w:t>Information on the c</w:t>
            </w:r>
            <w:r w:rsidR="008518A7" w:rsidRPr="008518A7">
              <w:rPr>
                <w:rFonts w:cs="Arial"/>
                <w:b/>
                <w:sz w:val="20"/>
                <w:szCs w:val="20"/>
              </w:rPr>
              <w:t>omposition and abundance of bycatch</w:t>
            </w:r>
            <w:r w:rsidR="008518A7">
              <w:rPr>
                <w:rFonts w:cs="Arial"/>
                <w:b/>
                <w:sz w:val="20"/>
                <w:szCs w:val="20"/>
              </w:rPr>
              <w:t xml:space="preserve"> is collected in the fishery.</w:t>
            </w:r>
          </w:p>
          <w:p w14:paraId="668E6EEF" w14:textId="77777777" w:rsidR="006B791A" w:rsidRDefault="006B791A" w:rsidP="008201A1">
            <w:pPr>
              <w:spacing w:before="60" w:after="60" w:line="276" w:lineRule="auto"/>
              <w:contextualSpacing/>
              <w:rPr>
                <w:rFonts w:cs="Arial"/>
                <w:sz w:val="20"/>
                <w:szCs w:val="20"/>
              </w:rPr>
            </w:pPr>
          </w:p>
          <w:p w14:paraId="7E4F904E" w14:textId="77777777" w:rsidR="00867590" w:rsidRDefault="00953FA5" w:rsidP="008201A1">
            <w:pPr>
              <w:spacing w:before="60" w:after="60" w:line="276" w:lineRule="auto"/>
              <w:contextualSpacing/>
              <w:rPr>
                <w:rFonts w:cs="Arial"/>
                <w:sz w:val="20"/>
                <w:szCs w:val="20"/>
              </w:rPr>
            </w:pPr>
            <w:r w:rsidRPr="001F2CF9">
              <w:rPr>
                <w:rFonts w:cs="Arial"/>
                <w:sz w:val="20"/>
                <w:szCs w:val="20"/>
              </w:rPr>
              <w:t xml:space="preserve">The bycatch </w:t>
            </w:r>
            <w:r w:rsidR="007D2C77" w:rsidRPr="001F2CF9">
              <w:rPr>
                <w:rFonts w:cs="Arial"/>
                <w:sz w:val="20"/>
                <w:szCs w:val="20"/>
              </w:rPr>
              <w:t xml:space="preserve">of non-target species </w:t>
            </w:r>
            <w:r w:rsidRPr="001F2CF9">
              <w:rPr>
                <w:rFonts w:cs="Arial"/>
                <w:sz w:val="20"/>
                <w:szCs w:val="20"/>
              </w:rPr>
              <w:t xml:space="preserve">is negligible </w:t>
            </w:r>
            <w:r w:rsidR="00684996" w:rsidRPr="001F2CF9">
              <w:rPr>
                <w:rFonts w:cs="Arial"/>
                <w:sz w:val="20"/>
                <w:szCs w:val="20"/>
              </w:rPr>
              <w:t>in the fishery</w:t>
            </w:r>
            <w:r w:rsidR="007D2C77" w:rsidRPr="001F2CF9">
              <w:rPr>
                <w:rFonts w:cs="Arial"/>
                <w:sz w:val="20"/>
                <w:szCs w:val="20"/>
              </w:rPr>
              <w:t xml:space="preserve"> compared with other fishing methods. </w:t>
            </w:r>
            <w:r w:rsidRPr="001F2CF9">
              <w:rPr>
                <w:rFonts w:cs="Arial"/>
                <w:sz w:val="20"/>
                <w:szCs w:val="20"/>
              </w:rPr>
              <w:t>Historically t</w:t>
            </w:r>
            <w:r w:rsidR="007D2C77" w:rsidRPr="001F2CF9">
              <w:rPr>
                <w:rFonts w:cs="Arial"/>
                <w:sz w:val="20"/>
                <w:szCs w:val="20"/>
              </w:rPr>
              <w:t>he most com</w:t>
            </w:r>
            <w:r w:rsidRPr="001F2CF9">
              <w:rPr>
                <w:rFonts w:cs="Arial"/>
                <w:sz w:val="20"/>
                <w:szCs w:val="20"/>
              </w:rPr>
              <w:t xml:space="preserve">mon species caught </w:t>
            </w:r>
            <w:r w:rsidR="007D2C77" w:rsidRPr="001F2CF9">
              <w:rPr>
                <w:rFonts w:cs="Arial"/>
                <w:sz w:val="20"/>
                <w:szCs w:val="20"/>
              </w:rPr>
              <w:t>are draughtboard sharks and hermit crabs that are being returned to the water alive. Fishers may retain some bycatch species for bait or personal use that are recorded in fishing logbooks</w:t>
            </w:r>
            <w:r w:rsidR="00C10568" w:rsidRPr="001F2CF9">
              <w:rPr>
                <w:rFonts w:cs="Arial"/>
                <w:sz w:val="20"/>
                <w:szCs w:val="20"/>
              </w:rPr>
              <w:t>.</w:t>
            </w:r>
            <w:r w:rsidR="00D72E67" w:rsidRPr="001F2CF9">
              <w:rPr>
                <w:rFonts w:cs="Arial"/>
                <w:sz w:val="20"/>
                <w:szCs w:val="20"/>
              </w:rPr>
              <w:t xml:space="preserve"> Fishers are required to record their catch (as the number of individual crabs kept), bycatch, </w:t>
            </w:r>
            <w:proofErr w:type="gramStart"/>
            <w:r w:rsidR="00D72E67" w:rsidRPr="001F2CF9">
              <w:rPr>
                <w:rFonts w:cs="Arial"/>
                <w:sz w:val="20"/>
                <w:szCs w:val="20"/>
              </w:rPr>
              <w:t>effort</w:t>
            </w:r>
            <w:proofErr w:type="gramEnd"/>
            <w:r w:rsidR="00D72E67" w:rsidRPr="001F2CF9">
              <w:rPr>
                <w:rFonts w:cs="Arial"/>
                <w:sz w:val="20"/>
                <w:szCs w:val="20"/>
              </w:rPr>
              <w:t xml:space="preserve"> and location information daily in the Giant Crab Catch Record Book (giant crab logbook). DPIPWE requires fishers to return giant crab logbook records by the end of the following month.</w:t>
            </w:r>
          </w:p>
          <w:p w14:paraId="2508CF63" w14:textId="56E43840" w:rsidR="00564BC9" w:rsidRPr="00F32842" w:rsidRDefault="00564BC9">
            <w:pPr>
              <w:spacing w:before="60" w:after="60" w:line="276" w:lineRule="auto"/>
              <w:contextualSpacing/>
              <w:rPr>
                <w:rFonts w:cs="Arial"/>
                <w:sz w:val="20"/>
                <w:szCs w:val="20"/>
              </w:rPr>
            </w:pPr>
          </w:p>
        </w:tc>
      </w:tr>
      <w:tr w:rsidR="00867590" w:rsidRPr="001F2CF9" w14:paraId="5A548CAF" w14:textId="77777777" w:rsidTr="00117313">
        <w:trPr>
          <w:cantSplit/>
        </w:trPr>
        <w:tc>
          <w:tcPr>
            <w:tcW w:w="5000" w:type="pct"/>
            <w:gridSpan w:val="2"/>
            <w:shd w:val="clear" w:color="auto" w:fill="E5DFEC"/>
          </w:tcPr>
          <w:p w14:paraId="569CD998" w14:textId="072C4A7D" w:rsidR="00867590" w:rsidRPr="008201A1" w:rsidRDefault="006B6EF9" w:rsidP="00F32842">
            <w:pPr>
              <w:spacing w:before="60" w:after="60" w:line="276" w:lineRule="auto"/>
              <w:contextualSpacing/>
              <w:rPr>
                <w:rFonts w:cs="Arial"/>
                <w:b/>
                <w:bCs/>
                <w:i/>
                <w:iCs/>
                <w:sz w:val="20"/>
                <w:szCs w:val="20"/>
              </w:rPr>
            </w:pPr>
            <w:r w:rsidRPr="00F32842">
              <w:rPr>
                <w:rFonts w:cs="Arial"/>
                <w:b/>
                <w:bCs/>
                <w:i/>
                <w:iCs/>
                <w:sz w:val="20"/>
                <w:szCs w:val="20"/>
              </w:rPr>
              <w:t xml:space="preserve">Assessment </w:t>
            </w:r>
          </w:p>
        </w:tc>
      </w:tr>
      <w:tr w:rsidR="00867590" w:rsidRPr="001F2CF9" w14:paraId="1D967E4E" w14:textId="77777777" w:rsidTr="00117313">
        <w:trPr>
          <w:cantSplit/>
        </w:trPr>
        <w:tc>
          <w:tcPr>
            <w:tcW w:w="1500" w:type="pct"/>
          </w:tcPr>
          <w:p w14:paraId="60A29F94"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2.1.2 </w:t>
            </w:r>
            <w:r w:rsidRPr="008201A1">
              <w:rPr>
                <w:rFonts w:cs="Arial"/>
                <w:sz w:val="20"/>
                <w:szCs w:val="20"/>
              </w:rPr>
              <w:t>There is a risk analysis of the bycatch with respect to its vulnerability to fishing.</w:t>
            </w:r>
          </w:p>
          <w:p w14:paraId="14903CA2" w14:textId="405C7162" w:rsidR="004649FA" w:rsidRPr="008201A1" w:rsidRDefault="004649FA" w:rsidP="008201A1">
            <w:pPr>
              <w:spacing w:before="60" w:after="60" w:line="276" w:lineRule="auto"/>
              <w:contextualSpacing/>
              <w:rPr>
                <w:rFonts w:cs="Arial"/>
                <w:sz w:val="20"/>
                <w:szCs w:val="20"/>
              </w:rPr>
            </w:pPr>
          </w:p>
        </w:tc>
        <w:tc>
          <w:tcPr>
            <w:tcW w:w="3500" w:type="pct"/>
            <w:shd w:val="clear" w:color="auto" w:fill="92D050"/>
          </w:tcPr>
          <w:p w14:paraId="1D0471ED" w14:textId="6A802415" w:rsidR="005806BB" w:rsidRPr="001F2CF9" w:rsidRDefault="005869AD">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5806BB" w:rsidRPr="001F2CF9">
              <w:rPr>
                <w:rFonts w:cs="Arial"/>
                <w:b/>
                <w:sz w:val="20"/>
                <w:szCs w:val="20"/>
              </w:rPr>
              <w:t>Risk analysis of bycatch vulnerability has been conducted.</w:t>
            </w:r>
          </w:p>
          <w:p w14:paraId="7E42047A" w14:textId="77777777" w:rsidR="006B791A" w:rsidRDefault="006B791A">
            <w:pPr>
              <w:spacing w:before="60" w:after="60" w:line="276" w:lineRule="auto"/>
              <w:contextualSpacing/>
              <w:rPr>
                <w:rFonts w:cs="Arial"/>
                <w:sz w:val="20"/>
                <w:szCs w:val="20"/>
              </w:rPr>
            </w:pPr>
          </w:p>
          <w:p w14:paraId="4D6003AF" w14:textId="77777777" w:rsidR="00867590" w:rsidRDefault="00C03E8E">
            <w:pPr>
              <w:spacing w:before="60" w:after="60" w:line="276" w:lineRule="auto"/>
              <w:contextualSpacing/>
              <w:rPr>
                <w:rFonts w:cs="Arial"/>
                <w:sz w:val="20"/>
                <w:szCs w:val="20"/>
              </w:rPr>
            </w:pPr>
            <w:r w:rsidRPr="001F2CF9">
              <w:rPr>
                <w:rFonts w:cs="Arial"/>
                <w:sz w:val="20"/>
                <w:szCs w:val="20"/>
              </w:rPr>
              <w:t>The b</w:t>
            </w:r>
            <w:r w:rsidR="009546FA" w:rsidRPr="001F2CF9">
              <w:rPr>
                <w:rFonts w:cs="Arial"/>
                <w:sz w:val="20"/>
                <w:szCs w:val="20"/>
              </w:rPr>
              <w:t>ycatch</w:t>
            </w:r>
            <w:r w:rsidRPr="001F2CF9">
              <w:rPr>
                <w:rFonts w:cs="Arial"/>
                <w:sz w:val="20"/>
                <w:szCs w:val="20"/>
              </w:rPr>
              <w:t xml:space="preserve"> is</w:t>
            </w:r>
            <w:r w:rsidR="009546FA" w:rsidRPr="001F2CF9">
              <w:rPr>
                <w:rFonts w:cs="Arial"/>
                <w:sz w:val="20"/>
                <w:szCs w:val="20"/>
              </w:rPr>
              <w:t xml:space="preserve"> considered low and negligible</w:t>
            </w:r>
            <w:r w:rsidRPr="001F2CF9">
              <w:rPr>
                <w:rFonts w:cs="Arial"/>
                <w:sz w:val="20"/>
                <w:szCs w:val="20"/>
              </w:rPr>
              <w:t xml:space="preserve"> in the TGCF</w:t>
            </w:r>
            <w:r w:rsidR="00573A00" w:rsidRPr="001F2CF9">
              <w:rPr>
                <w:rFonts w:cs="Arial"/>
                <w:sz w:val="20"/>
                <w:szCs w:val="20"/>
              </w:rPr>
              <w:t xml:space="preserve"> and was assessed as low risk to non-target species due to the small amount of trapping effort. The majority of bycatch species are released to the sea unharmed.</w:t>
            </w:r>
          </w:p>
          <w:p w14:paraId="685B9CAD" w14:textId="6445F672" w:rsidR="00564BC9" w:rsidRPr="00F32842" w:rsidRDefault="00564BC9">
            <w:pPr>
              <w:spacing w:before="60" w:after="60" w:line="276" w:lineRule="auto"/>
              <w:contextualSpacing/>
              <w:rPr>
                <w:rFonts w:cs="Arial"/>
                <w:sz w:val="20"/>
                <w:szCs w:val="20"/>
              </w:rPr>
            </w:pPr>
          </w:p>
        </w:tc>
      </w:tr>
      <w:tr w:rsidR="00867590" w:rsidRPr="001F2CF9" w14:paraId="6992A61D" w14:textId="77777777" w:rsidTr="00117313">
        <w:trPr>
          <w:cantSplit/>
        </w:trPr>
        <w:tc>
          <w:tcPr>
            <w:tcW w:w="5000" w:type="pct"/>
            <w:gridSpan w:val="2"/>
            <w:shd w:val="clear" w:color="auto" w:fill="E5DFEC"/>
          </w:tcPr>
          <w:p w14:paraId="31782791" w14:textId="6AA18D8A"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Management responses</w:t>
            </w:r>
          </w:p>
        </w:tc>
      </w:tr>
      <w:tr w:rsidR="00867590" w:rsidRPr="001F2CF9" w14:paraId="6D4F0012" w14:textId="77777777" w:rsidTr="00117313">
        <w:trPr>
          <w:cantSplit/>
        </w:trPr>
        <w:tc>
          <w:tcPr>
            <w:tcW w:w="1500" w:type="pct"/>
          </w:tcPr>
          <w:p w14:paraId="2932E34B" w14:textId="77777777" w:rsidR="004649FA" w:rsidRPr="001F2CF9" w:rsidRDefault="00867590" w:rsidP="00F32842">
            <w:pPr>
              <w:spacing w:before="60" w:after="60" w:line="276" w:lineRule="auto"/>
              <w:contextualSpacing/>
              <w:rPr>
                <w:rFonts w:cs="Arial"/>
                <w:sz w:val="20"/>
                <w:szCs w:val="20"/>
              </w:rPr>
            </w:pPr>
            <w:r w:rsidRPr="00F32842">
              <w:rPr>
                <w:rFonts w:cs="Arial"/>
                <w:b/>
                <w:bCs/>
                <w:i/>
                <w:iCs/>
                <w:sz w:val="20"/>
                <w:szCs w:val="20"/>
              </w:rPr>
              <w:t xml:space="preserve">2.1.3 </w:t>
            </w:r>
            <w:r w:rsidRPr="008201A1">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1F2CF9" w:rsidRDefault="00F8472A" w:rsidP="008201A1">
            <w:pPr>
              <w:spacing w:before="60" w:after="60" w:line="276" w:lineRule="auto"/>
              <w:contextualSpacing/>
              <w:rPr>
                <w:rFonts w:cs="Arial"/>
                <w:sz w:val="20"/>
                <w:szCs w:val="20"/>
              </w:rPr>
            </w:pPr>
          </w:p>
        </w:tc>
        <w:tc>
          <w:tcPr>
            <w:tcW w:w="3500" w:type="pct"/>
            <w:shd w:val="clear" w:color="auto" w:fill="92D050"/>
          </w:tcPr>
          <w:p w14:paraId="75817A80" w14:textId="3F15520C" w:rsidR="0027622F" w:rsidRPr="001F2CF9" w:rsidRDefault="005869AD">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5806BB" w:rsidRPr="001F2CF9">
              <w:rPr>
                <w:rFonts w:cs="Arial"/>
                <w:b/>
                <w:sz w:val="20"/>
                <w:szCs w:val="20"/>
              </w:rPr>
              <w:t>Management responses are in place</w:t>
            </w:r>
            <w:r w:rsidR="00163B9F" w:rsidRPr="001F2CF9">
              <w:rPr>
                <w:rFonts w:cs="Arial"/>
                <w:b/>
                <w:sz w:val="20"/>
                <w:szCs w:val="20"/>
              </w:rPr>
              <w:t>.</w:t>
            </w:r>
          </w:p>
          <w:p w14:paraId="13AC96F8" w14:textId="77777777" w:rsidR="006B791A" w:rsidRDefault="006B791A">
            <w:pPr>
              <w:spacing w:before="60" w:after="60" w:line="276" w:lineRule="auto"/>
              <w:contextualSpacing/>
              <w:rPr>
                <w:rFonts w:cs="Arial"/>
                <w:sz w:val="20"/>
                <w:szCs w:val="20"/>
              </w:rPr>
            </w:pPr>
          </w:p>
          <w:p w14:paraId="2F29AFEE" w14:textId="4A800393" w:rsidR="00867590" w:rsidRPr="001F2CF9" w:rsidRDefault="0078623F">
            <w:pPr>
              <w:spacing w:before="60" w:after="60" w:line="276" w:lineRule="auto"/>
              <w:contextualSpacing/>
              <w:rPr>
                <w:rFonts w:cs="Arial"/>
                <w:sz w:val="20"/>
                <w:szCs w:val="20"/>
              </w:rPr>
            </w:pPr>
            <w:r w:rsidRPr="001F2CF9">
              <w:rPr>
                <w:rFonts w:cs="Arial"/>
                <w:sz w:val="20"/>
                <w:szCs w:val="20"/>
              </w:rPr>
              <w:t>Bycatch is negligible and t</w:t>
            </w:r>
            <w:r w:rsidR="0027622F" w:rsidRPr="001F2CF9">
              <w:rPr>
                <w:rFonts w:cs="Arial"/>
                <w:sz w:val="20"/>
                <w:szCs w:val="20"/>
              </w:rPr>
              <w:t>he majority of bycatch species are released unharmed to the sea.</w:t>
            </w:r>
          </w:p>
        </w:tc>
      </w:tr>
      <w:tr w:rsidR="00867590" w:rsidRPr="001F2CF9" w14:paraId="5C320E4B" w14:textId="77777777" w:rsidTr="00117313">
        <w:trPr>
          <w:cantSplit/>
        </w:trPr>
        <w:tc>
          <w:tcPr>
            <w:tcW w:w="1500" w:type="pct"/>
          </w:tcPr>
          <w:p w14:paraId="3EED2BF3"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2.1.4 </w:t>
            </w:r>
            <w:r w:rsidRPr="008201A1">
              <w:rPr>
                <w:rFonts w:cs="Arial"/>
                <w:sz w:val="20"/>
                <w:szCs w:val="20"/>
              </w:rPr>
              <w:t xml:space="preserve">An indicator group of bycatch species is monitored. </w:t>
            </w:r>
          </w:p>
          <w:p w14:paraId="67507739" w14:textId="18BD4048" w:rsidR="004649FA" w:rsidRPr="008201A1" w:rsidRDefault="004649FA" w:rsidP="008201A1">
            <w:pPr>
              <w:spacing w:before="60" w:after="60" w:line="276" w:lineRule="auto"/>
              <w:contextualSpacing/>
              <w:rPr>
                <w:rFonts w:cs="Arial"/>
                <w:sz w:val="20"/>
                <w:szCs w:val="20"/>
              </w:rPr>
            </w:pPr>
          </w:p>
        </w:tc>
        <w:tc>
          <w:tcPr>
            <w:tcW w:w="3500" w:type="pct"/>
            <w:shd w:val="clear" w:color="auto" w:fill="auto"/>
          </w:tcPr>
          <w:p w14:paraId="44D06B01" w14:textId="522B0556" w:rsidR="00C74B33" w:rsidRPr="001F2CF9" w:rsidRDefault="00153A65">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26360BBA" w14:textId="77777777" w:rsidR="006B791A" w:rsidRDefault="006B791A">
            <w:pPr>
              <w:spacing w:before="60" w:after="60" w:line="276" w:lineRule="auto"/>
              <w:contextualSpacing/>
              <w:rPr>
                <w:rFonts w:cs="Arial"/>
                <w:sz w:val="20"/>
                <w:szCs w:val="20"/>
              </w:rPr>
            </w:pPr>
          </w:p>
          <w:p w14:paraId="71A1832B" w14:textId="5A126932" w:rsidR="00867590" w:rsidRPr="001F2CF9" w:rsidRDefault="00AB1A92">
            <w:pPr>
              <w:spacing w:before="60" w:after="60" w:line="276" w:lineRule="auto"/>
              <w:contextualSpacing/>
              <w:rPr>
                <w:rFonts w:cs="Arial"/>
                <w:sz w:val="20"/>
                <w:szCs w:val="20"/>
              </w:rPr>
            </w:pPr>
            <w:r w:rsidRPr="001F2CF9">
              <w:rPr>
                <w:rFonts w:cs="Arial"/>
                <w:sz w:val="20"/>
                <w:szCs w:val="20"/>
              </w:rPr>
              <w:t>N</w:t>
            </w:r>
            <w:r w:rsidR="00153A65" w:rsidRPr="001F2CF9">
              <w:rPr>
                <w:rFonts w:cs="Arial"/>
                <w:sz w:val="20"/>
                <w:szCs w:val="20"/>
              </w:rPr>
              <w:t xml:space="preserve">o indicator </w:t>
            </w:r>
            <w:r w:rsidRPr="001F2CF9">
              <w:rPr>
                <w:rFonts w:cs="Arial"/>
                <w:sz w:val="20"/>
                <w:szCs w:val="20"/>
              </w:rPr>
              <w:t>group of bycatch species</w:t>
            </w:r>
            <w:r w:rsidR="002B5FC0" w:rsidRPr="001F2CF9">
              <w:rPr>
                <w:rFonts w:cs="Arial"/>
                <w:sz w:val="20"/>
                <w:szCs w:val="20"/>
              </w:rPr>
              <w:t xml:space="preserve"> is in place</w:t>
            </w:r>
            <w:r w:rsidR="00622C8C" w:rsidRPr="001F2CF9">
              <w:rPr>
                <w:rFonts w:cs="Arial"/>
                <w:sz w:val="20"/>
                <w:szCs w:val="20"/>
              </w:rPr>
              <w:t xml:space="preserve"> due to the negligible to low risk of b</w:t>
            </w:r>
            <w:r w:rsidR="00153A65" w:rsidRPr="001F2CF9">
              <w:rPr>
                <w:rFonts w:cs="Arial"/>
                <w:sz w:val="20"/>
                <w:szCs w:val="20"/>
              </w:rPr>
              <w:t xml:space="preserve">ycatch </w:t>
            </w:r>
            <w:r w:rsidR="00622C8C" w:rsidRPr="001F2CF9">
              <w:rPr>
                <w:rFonts w:cs="Arial"/>
                <w:sz w:val="20"/>
                <w:szCs w:val="20"/>
              </w:rPr>
              <w:t>in the fishery.</w:t>
            </w:r>
          </w:p>
        </w:tc>
      </w:tr>
      <w:tr w:rsidR="00867590" w:rsidRPr="001F2CF9" w14:paraId="3677D1E6" w14:textId="77777777" w:rsidTr="00117313">
        <w:trPr>
          <w:cantSplit/>
        </w:trPr>
        <w:tc>
          <w:tcPr>
            <w:tcW w:w="1500" w:type="pct"/>
          </w:tcPr>
          <w:p w14:paraId="2BBBF1A7" w14:textId="766324F7" w:rsidR="00867590" w:rsidRPr="001F2CF9" w:rsidRDefault="00867590" w:rsidP="00F32842">
            <w:pPr>
              <w:spacing w:before="60" w:after="60" w:line="276" w:lineRule="auto"/>
              <w:contextualSpacing/>
              <w:rPr>
                <w:rFonts w:cs="Arial"/>
                <w:i/>
                <w:iCs/>
                <w:sz w:val="20"/>
                <w:szCs w:val="20"/>
              </w:rPr>
            </w:pPr>
            <w:r w:rsidRPr="00F32842">
              <w:rPr>
                <w:rFonts w:cs="Arial"/>
                <w:b/>
                <w:bCs/>
                <w:i/>
                <w:iCs/>
                <w:sz w:val="20"/>
                <w:szCs w:val="20"/>
              </w:rPr>
              <w:t xml:space="preserve">2.1.5 </w:t>
            </w:r>
            <w:r w:rsidRPr="008201A1">
              <w:rPr>
                <w:rFonts w:cs="Arial"/>
                <w:sz w:val="20"/>
                <w:szCs w:val="20"/>
              </w:rPr>
              <w:t>There are decision rules that trigger additional management measures when there are significant perturbations in the indicator species numbers</w:t>
            </w:r>
            <w:r w:rsidRPr="001F2CF9">
              <w:rPr>
                <w:rFonts w:cs="Arial"/>
                <w:i/>
                <w:iCs/>
                <w:sz w:val="20"/>
                <w:szCs w:val="20"/>
              </w:rPr>
              <w:t xml:space="preserve">. </w:t>
            </w:r>
          </w:p>
          <w:p w14:paraId="075B2EE3" w14:textId="59BE1E26" w:rsidR="004649FA" w:rsidRPr="001F2CF9" w:rsidRDefault="004649FA" w:rsidP="008201A1">
            <w:pPr>
              <w:spacing w:before="60" w:after="60" w:line="276" w:lineRule="auto"/>
              <w:contextualSpacing/>
              <w:rPr>
                <w:rFonts w:cs="Arial"/>
                <w:b/>
                <w:bCs/>
                <w:i/>
                <w:iCs/>
                <w:sz w:val="20"/>
                <w:szCs w:val="20"/>
              </w:rPr>
            </w:pPr>
          </w:p>
        </w:tc>
        <w:tc>
          <w:tcPr>
            <w:tcW w:w="3500" w:type="pct"/>
            <w:shd w:val="clear" w:color="auto" w:fill="auto"/>
          </w:tcPr>
          <w:p w14:paraId="408ECFAF" w14:textId="62D44853" w:rsidR="00153A65" w:rsidRPr="001F2CF9" w:rsidRDefault="00153A65">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06977800" w14:textId="77777777" w:rsidR="006B791A" w:rsidRDefault="006B791A">
            <w:pPr>
              <w:spacing w:before="60" w:after="60" w:line="276" w:lineRule="auto"/>
              <w:contextualSpacing/>
              <w:rPr>
                <w:rFonts w:cs="Arial"/>
                <w:sz w:val="20"/>
                <w:szCs w:val="20"/>
              </w:rPr>
            </w:pPr>
          </w:p>
          <w:p w14:paraId="54B81E86" w14:textId="193F2F85" w:rsidR="00867590" w:rsidRPr="001F2CF9" w:rsidRDefault="00153A65">
            <w:pPr>
              <w:spacing w:before="60" w:after="60" w:line="276" w:lineRule="auto"/>
              <w:contextualSpacing/>
              <w:rPr>
                <w:rFonts w:cs="Arial"/>
                <w:sz w:val="20"/>
                <w:szCs w:val="20"/>
              </w:rPr>
            </w:pPr>
            <w:r w:rsidRPr="001F2CF9">
              <w:rPr>
                <w:rFonts w:cs="Arial"/>
                <w:sz w:val="20"/>
                <w:szCs w:val="20"/>
              </w:rPr>
              <w:t>No decision rules are in place for bycatch species because the level of risk is considered negligible to low.</w:t>
            </w:r>
          </w:p>
        </w:tc>
      </w:tr>
      <w:tr w:rsidR="00867590" w:rsidRPr="001F2CF9" w14:paraId="31CCE05E" w14:textId="77777777" w:rsidTr="00117313">
        <w:trPr>
          <w:cantSplit/>
        </w:trPr>
        <w:tc>
          <w:tcPr>
            <w:tcW w:w="1500" w:type="pct"/>
          </w:tcPr>
          <w:p w14:paraId="64326E7B" w14:textId="41C23C86"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2.1.6 </w:t>
            </w:r>
            <w:r w:rsidRPr="008201A1">
              <w:rPr>
                <w:rFonts w:cs="Arial"/>
                <w:sz w:val="20"/>
                <w:szCs w:val="20"/>
              </w:rPr>
              <w:t>The management response, considering uncertainties in the assessment and precautionary management actions, has a high chance of achieving the objective.</w:t>
            </w:r>
          </w:p>
          <w:p w14:paraId="2DBC2884" w14:textId="77777777" w:rsidR="004649FA" w:rsidRPr="008201A1" w:rsidRDefault="004649FA" w:rsidP="008201A1">
            <w:pPr>
              <w:spacing w:before="60" w:after="60" w:line="276" w:lineRule="auto"/>
              <w:contextualSpacing/>
              <w:rPr>
                <w:rFonts w:cs="Arial"/>
                <w:b/>
                <w:bCs/>
                <w:i/>
                <w:iCs/>
                <w:sz w:val="20"/>
                <w:szCs w:val="20"/>
              </w:rPr>
            </w:pPr>
          </w:p>
        </w:tc>
        <w:tc>
          <w:tcPr>
            <w:tcW w:w="3500" w:type="pct"/>
            <w:shd w:val="clear" w:color="auto" w:fill="92D050"/>
          </w:tcPr>
          <w:p w14:paraId="596E472F" w14:textId="39E66F64" w:rsidR="005806BB" w:rsidRPr="001F2CF9" w:rsidRDefault="005806BB">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CC7135" w:rsidRPr="001F2CF9">
              <w:rPr>
                <w:rFonts w:cs="Arial"/>
                <w:b/>
                <w:sz w:val="20"/>
                <w:szCs w:val="20"/>
              </w:rPr>
              <w:t>The management response is considered to have a high chance of meeting its objective</w:t>
            </w:r>
            <w:r w:rsidR="00163B9F" w:rsidRPr="001F2CF9">
              <w:rPr>
                <w:rFonts w:cs="Arial"/>
                <w:b/>
                <w:sz w:val="20"/>
                <w:szCs w:val="20"/>
              </w:rPr>
              <w:t>.</w:t>
            </w:r>
          </w:p>
          <w:p w14:paraId="25EF0F93" w14:textId="77777777" w:rsidR="006B791A" w:rsidRDefault="006B791A">
            <w:pPr>
              <w:spacing w:before="60" w:after="60" w:line="276" w:lineRule="auto"/>
              <w:contextualSpacing/>
              <w:rPr>
                <w:rFonts w:cs="Arial"/>
                <w:sz w:val="20"/>
                <w:szCs w:val="20"/>
              </w:rPr>
            </w:pPr>
          </w:p>
          <w:p w14:paraId="76BC5319" w14:textId="74A1F154" w:rsidR="00867590" w:rsidRPr="001F2CF9" w:rsidRDefault="009A1626">
            <w:pPr>
              <w:spacing w:before="60" w:after="60" w:line="276" w:lineRule="auto"/>
              <w:contextualSpacing/>
              <w:rPr>
                <w:rFonts w:cs="Arial"/>
                <w:sz w:val="20"/>
                <w:szCs w:val="20"/>
              </w:rPr>
            </w:pPr>
            <w:r w:rsidRPr="001F2CF9">
              <w:rPr>
                <w:rFonts w:cs="Arial"/>
                <w:sz w:val="20"/>
                <w:szCs w:val="20"/>
              </w:rPr>
              <w:t>Management arrangements are considered likely to achieve the objective of the fishery being conducted in a manner that does not threaten bycatch species.</w:t>
            </w:r>
          </w:p>
        </w:tc>
      </w:tr>
      <w:tr w:rsidR="00867590" w:rsidRPr="001F2CF9" w14:paraId="6B7593D3" w14:textId="77777777" w:rsidTr="00117313">
        <w:trPr>
          <w:cantSplit/>
        </w:trPr>
        <w:tc>
          <w:tcPr>
            <w:tcW w:w="5000" w:type="pct"/>
            <w:gridSpan w:val="2"/>
            <w:shd w:val="clear" w:color="auto" w:fill="CCC0D9"/>
          </w:tcPr>
          <w:p w14:paraId="1BC83A69" w14:textId="77777777" w:rsidR="00867590" w:rsidRPr="001F2CF9" w:rsidRDefault="00867590" w:rsidP="00F32842">
            <w:pPr>
              <w:spacing w:before="60" w:after="60" w:line="276" w:lineRule="auto"/>
              <w:contextualSpacing/>
              <w:rPr>
                <w:rFonts w:cs="Arial"/>
                <w:b/>
                <w:bCs/>
                <w:sz w:val="20"/>
                <w:szCs w:val="20"/>
              </w:rPr>
            </w:pPr>
            <w:r w:rsidRPr="00F32842">
              <w:rPr>
                <w:rFonts w:cs="Arial"/>
                <w:b/>
                <w:bCs/>
                <w:sz w:val="20"/>
                <w:szCs w:val="20"/>
              </w:rPr>
              <w:t xml:space="preserve">Objective 2 - </w:t>
            </w:r>
            <w:r w:rsidRPr="008201A1">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1F2CF9" w14:paraId="73413938" w14:textId="77777777" w:rsidTr="00117313">
        <w:trPr>
          <w:cantSplit/>
        </w:trPr>
        <w:tc>
          <w:tcPr>
            <w:tcW w:w="5000" w:type="pct"/>
            <w:gridSpan w:val="2"/>
            <w:shd w:val="clear" w:color="auto" w:fill="E5DFEC"/>
          </w:tcPr>
          <w:p w14:paraId="18B50303" w14:textId="7DA083A9"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Information requirements </w:t>
            </w:r>
          </w:p>
        </w:tc>
      </w:tr>
      <w:tr w:rsidR="00867590" w:rsidRPr="001F2CF9" w14:paraId="6761C457" w14:textId="77777777" w:rsidTr="0072610E">
        <w:trPr>
          <w:cantSplit/>
        </w:trPr>
        <w:tc>
          <w:tcPr>
            <w:tcW w:w="1500" w:type="pct"/>
            <w:shd w:val="clear" w:color="auto" w:fill="auto"/>
          </w:tcPr>
          <w:p w14:paraId="7DC54437" w14:textId="77777777"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t xml:space="preserve">2.2.1 </w:t>
            </w:r>
            <w:r w:rsidRPr="008201A1">
              <w:rPr>
                <w:rFonts w:cs="Arial"/>
                <w:sz w:val="20"/>
                <w:szCs w:val="20"/>
              </w:rPr>
              <w:t>Reliable information is col</w:t>
            </w:r>
            <w:r w:rsidRPr="001F2CF9">
              <w:rPr>
                <w:rFonts w:cs="Arial"/>
                <w:sz w:val="20"/>
                <w:szCs w:val="20"/>
              </w:rPr>
              <w:t xml:space="preserve">lected on the interaction with endangered, threatened or protected species and threatened ecological communities. </w:t>
            </w:r>
          </w:p>
          <w:p w14:paraId="46BCF310" w14:textId="6B5B2964" w:rsidR="004649FA" w:rsidRPr="001F2CF9" w:rsidRDefault="000C3717" w:rsidP="008201A1">
            <w:pPr>
              <w:tabs>
                <w:tab w:val="left" w:pos="2625"/>
              </w:tabs>
              <w:spacing w:before="60" w:after="60" w:line="276" w:lineRule="auto"/>
              <w:contextualSpacing/>
              <w:rPr>
                <w:rFonts w:cs="Arial"/>
                <w:sz w:val="20"/>
                <w:szCs w:val="20"/>
              </w:rPr>
            </w:pPr>
            <w:r w:rsidRPr="001F2CF9">
              <w:rPr>
                <w:rFonts w:cs="Arial"/>
                <w:sz w:val="20"/>
                <w:szCs w:val="20"/>
              </w:rPr>
              <w:tab/>
            </w:r>
          </w:p>
        </w:tc>
        <w:tc>
          <w:tcPr>
            <w:tcW w:w="3500" w:type="pct"/>
            <w:shd w:val="clear" w:color="auto" w:fill="92D050"/>
          </w:tcPr>
          <w:p w14:paraId="37319CA9" w14:textId="1963EFBF" w:rsidR="005806BB" w:rsidRPr="00F32842" w:rsidRDefault="005806BB">
            <w:pPr>
              <w:spacing w:before="60" w:after="60" w:line="276" w:lineRule="auto"/>
              <w:ind w:left="794" w:hanging="794"/>
              <w:contextualSpacing/>
              <w:rPr>
                <w:rFonts w:cs="Arial"/>
                <w:b/>
                <w:sz w:val="20"/>
                <w:szCs w:val="20"/>
              </w:rPr>
            </w:pPr>
            <w:r w:rsidRPr="001F2CF9">
              <w:rPr>
                <w:rFonts w:cs="Arial"/>
                <w:b/>
                <w:sz w:val="20"/>
                <w:szCs w:val="20"/>
              </w:rPr>
              <w:t>Meets –</w:t>
            </w:r>
            <w:r w:rsidR="00163B9F" w:rsidRPr="001F2CF9">
              <w:rPr>
                <w:rFonts w:cs="Arial"/>
                <w:b/>
                <w:sz w:val="20"/>
                <w:szCs w:val="20"/>
              </w:rPr>
              <w:t xml:space="preserve"> </w:t>
            </w:r>
            <w:r w:rsidR="005E0D8C">
              <w:rPr>
                <w:rFonts w:cs="Arial"/>
                <w:b/>
                <w:sz w:val="20"/>
                <w:szCs w:val="20"/>
              </w:rPr>
              <w:tab/>
            </w:r>
            <w:r w:rsidR="005E0D8C">
              <w:rPr>
                <w:rFonts w:cs="Arial"/>
                <w:b/>
                <w:sz w:val="20"/>
                <w:szCs w:val="20"/>
              </w:rPr>
              <w:tab/>
            </w:r>
            <w:r w:rsidRPr="001F2CF9">
              <w:rPr>
                <w:rFonts w:cs="Arial"/>
                <w:b/>
                <w:sz w:val="20"/>
                <w:szCs w:val="20"/>
              </w:rPr>
              <w:t xml:space="preserve">reliable records </w:t>
            </w:r>
            <w:r w:rsidR="00700443" w:rsidRPr="001F2CF9">
              <w:rPr>
                <w:rFonts w:cs="Arial"/>
                <w:b/>
                <w:sz w:val="20"/>
                <w:szCs w:val="20"/>
              </w:rPr>
              <w:t xml:space="preserve">are collected that would indicate </w:t>
            </w:r>
            <w:r w:rsidRPr="001F2CF9">
              <w:rPr>
                <w:rFonts w:cs="Arial"/>
                <w:b/>
                <w:sz w:val="20"/>
                <w:szCs w:val="20"/>
              </w:rPr>
              <w:t xml:space="preserve">interactions with endangered, threatened </w:t>
            </w:r>
            <w:r w:rsidR="005E0D8C">
              <w:rPr>
                <w:rFonts w:cs="Arial"/>
                <w:b/>
                <w:sz w:val="20"/>
                <w:szCs w:val="20"/>
              </w:rPr>
              <w:tab/>
            </w:r>
            <w:r w:rsidRPr="001F2CF9">
              <w:rPr>
                <w:rFonts w:cs="Arial"/>
                <w:b/>
                <w:sz w:val="20"/>
                <w:szCs w:val="20"/>
              </w:rPr>
              <w:t>or protected species and threatened ecological communities</w:t>
            </w:r>
            <w:r w:rsidRPr="00F32842">
              <w:rPr>
                <w:rFonts w:cs="Arial"/>
                <w:b/>
                <w:sz w:val="20"/>
                <w:szCs w:val="20"/>
              </w:rPr>
              <w:t xml:space="preserve">. </w:t>
            </w:r>
          </w:p>
          <w:p w14:paraId="129B3B5B" w14:textId="77777777" w:rsidR="006B791A" w:rsidRDefault="006B791A">
            <w:pPr>
              <w:spacing w:before="60" w:after="60" w:line="276" w:lineRule="auto"/>
              <w:contextualSpacing/>
              <w:rPr>
                <w:rFonts w:cs="Arial"/>
                <w:sz w:val="20"/>
                <w:szCs w:val="20"/>
              </w:rPr>
            </w:pPr>
          </w:p>
          <w:p w14:paraId="62297291" w14:textId="77777777" w:rsidR="00F713F6" w:rsidRDefault="006C2A0F">
            <w:pPr>
              <w:spacing w:before="60" w:after="60" w:line="276" w:lineRule="auto"/>
              <w:contextualSpacing/>
              <w:rPr>
                <w:rFonts w:cs="Arial"/>
                <w:sz w:val="20"/>
                <w:szCs w:val="20"/>
              </w:rPr>
            </w:pPr>
            <w:r w:rsidRPr="008201A1">
              <w:rPr>
                <w:rFonts w:cs="Arial"/>
                <w:sz w:val="20"/>
                <w:szCs w:val="20"/>
              </w:rPr>
              <w:t>Interactions with endangered, threatened and protected species are recorded directly in the giant crab logbook</w:t>
            </w:r>
            <w:r w:rsidR="005555CB" w:rsidRPr="001F2CF9">
              <w:rPr>
                <w:rFonts w:cs="Arial"/>
                <w:sz w:val="20"/>
                <w:szCs w:val="20"/>
              </w:rPr>
              <w:t>s that are returned monthly to DPIPWE</w:t>
            </w:r>
            <w:r w:rsidRPr="001F2CF9">
              <w:rPr>
                <w:rFonts w:cs="Arial"/>
                <w:sz w:val="20"/>
                <w:szCs w:val="20"/>
              </w:rPr>
              <w:t>. In the history of the fishery, no interaction</w:t>
            </w:r>
            <w:r w:rsidR="00700443" w:rsidRPr="001F2CF9">
              <w:rPr>
                <w:rFonts w:cs="Arial"/>
                <w:sz w:val="20"/>
                <w:szCs w:val="20"/>
              </w:rPr>
              <w:t>s</w:t>
            </w:r>
            <w:r w:rsidRPr="001F2CF9">
              <w:rPr>
                <w:rFonts w:cs="Arial"/>
                <w:sz w:val="20"/>
                <w:szCs w:val="20"/>
              </w:rPr>
              <w:t xml:space="preserve"> </w:t>
            </w:r>
            <w:r w:rsidR="00700443" w:rsidRPr="001F2CF9">
              <w:rPr>
                <w:rFonts w:cs="Arial"/>
                <w:sz w:val="20"/>
                <w:szCs w:val="20"/>
              </w:rPr>
              <w:t xml:space="preserve">with endangered, threatened or protected species </w:t>
            </w:r>
            <w:r w:rsidRPr="001F2CF9">
              <w:rPr>
                <w:rFonts w:cs="Arial"/>
                <w:sz w:val="20"/>
                <w:szCs w:val="20"/>
              </w:rPr>
              <w:t>have been recorded in any research or observer sampling on board commercial vessels.</w:t>
            </w:r>
            <w:r w:rsidR="00242C26" w:rsidRPr="001F2CF9">
              <w:rPr>
                <w:rFonts w:cs="Arial"/>
                <w:sz w:val="20"/>
                <w:szCs w:val="20"/>
              </w:rPr>
              <w:t xml:space="preserve"> This is likely due to the operation of the fishery occurring in deep water away from coastal areas frequented by juvenile seals and cormorants, which usually interact with traps in the Tasmanian lobster fishery.</w:t>
            </w:r>
            <w:r w:rsidR="00813112" w:rsidRPr="001F2CF9">
              <w:rPr>
                <w:rFonts w:cs="Arial"/>
                <w:sz w:val="20"/>
                <w:szCs w:val="20"/>
              </w:rPr>
              <w:t xml:space="preserve"> Additionally, </w:t>
            </w:r>
            <w:r w:rsidR="00AA31F4" w:rsidRPr="001F2CF9">
              <w:rPr>
                <w:rFonts w:cs="Arial"/>
                <w:sz w:val="20"/>
                <w:szCs w:val="20"/>
              </w:rPr>
              <w:t xml:space="preserve">under sections 199, 214, 232 and 256 of the EPBC Act </w:t>
            </w:r>
            <w:r w:rsidR="00813112" w:rsidRPr="001F2CF9">
              <w:rPr>
                <w:rFonts w:cs="Arial"/>
                <w:sz w:val="20"/>
                <w:szCs w:val="20"/>
              </w:rPr>
              <w:t xml:space="preserve">persons who interact with endangered, threatened or protected species must report that interaction within seven days of the incident occurring to the Department. </w:t>
            </w:r>
          </w:p>
          <w:p w14:paraId="24036B5F" w14:textId="77777777" w:rsidR="00F713F6" w:rsidRPr="0072610E" w:rsidRDefault="00F713F6">
            <w:pPr>
              <w:spacing w:before="60" w:after="60" w:line="276" w:lineRule="auto"/>
              <w:contextualSpacing/>
              <w:rPr>
                <w:rFonts w:cs="Arial"/>
                <w:sz w:val="20"/>
                <w:szCs w:val="20"/>
              </w:rPr>
            </w:pPr>
          </w:p>
          <w:p w14:paraId="777A3A72" w14:textId="6EAAA61E" w:rsidR="000A2AF0" w:rsidRDefault="00F713F6">
            <w:pPr>
              <w:spacing w:before="60" w:after="60" w:line="276" w:lineRule="auto"/>
              <w:contextualSpacing/>
              <w:rPr>
                <w:rFonts w:cs="Arial"/>
                <w:sz w:val="20"/>
                <w:szCs w:val="20"/>
              </w:rPr>
            </w:pPr>
            <w:r w:rsidRPr="0072610E">
              <w:rPr>
                <w:rFonts w:cs="Arial"/>
                <w:sz w:val="20"/>
                <w:szCs w:val="20"/>
              </w:rPr>
              <w:t>The</w:t>
            </w:r>
            <w:r w:rsidR="000A2AF0" w:rsidRPr="00F713F6">
              <w:rPr>
                <w:rFonts w:cs="Arial"/>
                <w:sz w:val="20"/>
                <w:szCs w:val="20"/>
              </w:rPr>
              <w:t xml:space="preserve"> TGCF operates on bryozoan turf habitat found along the edge of the continental shelf. </w:t>
            </w:r>
            <w:r w:rsidR="00A60072" w:rsidRPr="00F713F6">
              <w:rPr>
                <w:rFonts w:cs="Arial"/>
                <w:sz w:val="20"/>
                <w:szCs w:val="20"/>
              </w:rPr>
              <w:t>In the 2009 FRDC project 2004/066, s</w:t>
            </w:r>
            <w:r w:rsidR="000A2AF0" w:rsidRPr="00F713F6">
              <w:rPr>
                <w:rFonts w:cs="Arial"/>
                <w:sz w:val="20"/>
                <w:szCs w:val="20"/>
              </w:rPr>
              <w:t xml:space="preserve">cientists </w:t>
            </w:r>
            <w:r w:rsidR="00A60072" w:rsidRPr="00F713F6">
              <w:rPr>
                <w:rFonts w:cs="Arial"/>
                <w:sz w:val="20"/>
                <w:szCs w:val="20"/>
              </w:rPr>
              <w:t>considered</w:t>
            </w:r>
            <w:r w:rsidR="000A2AF0" w:rsidRPr="00F713F6">
              <w:rPr>
                <w:rFonts w:cs="Arial"/>
                <w:sz w:val="20"/>
                <w:szCs w:val="20"/>
              </w:rPr>
              <w:t xml:space="preserve"> the impact of the fishery </w:t>
            </w:r>
            <w:r w:rsidR="00A60072" w:rsidRPr="00F713F6">
              <w:rPr>
                <w:rFonts w:cs="Arial"/>
                <w:sz w:val="20"/>
                <w:szCs w:val="20"/>
              </w:rPr>
              <w:t xml:space="preserve">on the habitat </w:t>
            </w:r>
            <w:r w:rsidR="000A2AF0" w:rsidRPr="00F713F6">
              <w:rPr>
                <w:rFonts w:cs="Arial"/>
                <w:sz w:val="20"/>
                <w:szCs w:val="20"/>
              </w:rPr>
              <w:t>to be at low risk due to the type of fishing gear used. Crab traps are not dragged on the sand and mud sediments where bryozoan turf grows</w:t>
            </w:r>
            <w:r w:rsidR="0096116A" w:rsidRPr="0072610E">
              <w:rPr>
                <w:rFonts w:cs="Arial"/>
                <w:sz w:val="20"/>
                <w:szCs w:val="20"/>
              </w:rPr>
              <w:t>. T</w:t>
            </w:r>
            <w:r w:rsidR="000A2AF0" w:rsidRPr="00F713F6">
              <w:rPr>
                <w:rFonts w:cs="Arial"/>
                <w:sz w:val="20"/>
                <w:szCs w:val="20"/>
              </w:rPr>
              <w:t xml:space="preserve">he fishing footprint on the habitat </w:t>
            </w:r>
            <w:r w:rsidR="00407F97" w:rsidRPr="00F713F6">
              <w:rPr>
                <w:rFonts w:cs="Arial"/>
                <w:sz w:val="20"/>
                <w:szCs w:val="20"/>
              </w:rPr>
              <w:t xml:space="preserve">is considered insignificant </w:t>
            </w:r>
            <w:r w:rsidR="000A2AF0" w:rsidRPr="00F713F6">
              <w:rPr>
                <w:rFonts w:cs="Arial"/>
                <w:sz w:val="20"/>
                <w:szCs w:val="20"/>
              </w:rPr>
              <w:t>and</w:t>
            </w:r>
            <w:r w:rsidR="00407F97" w:rsidRPr="00F713F6">
              <w:rPr>
                <w:rFonts w:cs="Arial"/>
                <w:sz w:val="20"/>
                <w:szCs w:val="20"/>
              </w:rPr>
              <w:t xml:space="preserve"> no interactions with threatened</w:t>
            </w:r>
            <w:r w:rsidR="000A2AF0" w:rsidRPr="00F713F6">
              <w:rPr>
                <w:rFonts w:cs="Arial"/>
                <w:sz w:val="20"/>
                <w:szCs w:val="20"/>
              </w:rPr>
              <w:t xml:space="preserve"> ecological communities</w:t>
            </w:r>
            <w:r w:rsidR="00407F97" w:rsidRPr="00F713F6">
              <w:rPr>
                <w:rFonts w:cs="Arial"/>
                <w:sz w:val="20"/>
                <w:szCs w:val="20"/>
              </w:rPr>
              <w:t xml:space="preserve"> have been recorded</w:t>
            </w:r>
            <w:r w:rsidR="00A60072" w:rsidRPr="00F713F6">
              <w:rPr>
                <w:rFonts w:cs="Arial"/>
                <w:sz w:val="20"/>
                <w:szCs w:val="20"/>
              </w:rPr>
              <w:t>.</w:t>
            </w:r>
          </w:p>
          <w:p w14:paraId="703CCBC2" w14:textId="171BCE9C" w:rsidR="00564BC9" w:rsidRPr="00F32842" w:rsidRDefault="00564BC9">
            <w:pPr>
              <w:spacing w:before="60" w:after="60" w:line="276" w:lineRule="auto"/>
              <w:contextualSpacing/>
              <w:rPr>
                <w:rFonts w:cs="Arial"/>
                <w:sz w:val="20"/>
                <w:szCs w:val="20"/>
              </w:rPr>
            </w:pPr>
          </w:p>
        </w:tc>
      </w:tr>
      <w:tr w:rsidR="00867590" w:rsidRPr="001F2CF9" w14:paraId="16757C75" w14:textId="77777777" w:rsidTr="00117313">
        <w:trPr>
          <w:cantSplit/>
        </w:trPr>
        <w:tc>
          <w:tcPr>
            <w:tcW w:w="5000" w:type="pct"/>
            <w:gridSpan w:val="2"/>
            <w:shd w:val="clear" w:color="auto" w:fill="E5DFEC"/>
          </w:tcPr>
          <w:p w14:paraId="71DF16AA" w14:textId="2CDCA55F" w:rsidR="00867590" w:rsidRPr="001F2CF9" w:rsidRDefault="00867590" w:rsidP="00F32842">
            <w:pPr>
              <w:spacing w:before="60" w:after="60" w:line="276" w:lineRule="auto"/>
              <w:contextualSpacing/>
              <w:rPr>
                <w:rFonts w:cs="Arial"/>
                <w:b/>
                <w:bCs/>
                <w:i/>
                <w:iCs/>
                <w:sz w:val="20"/>
                <w:szCs w:val="20"/>
              </w:rPr>
            </w:pPr>
            <w:r w:rsidRPr="00F32842">
              <w:rPr>
                <w:rFonts w:cs="Arial"/>
                <w:b/>
                <w:bCs/>
                <w:i/>
                <w:iCs/>
                <w:sz w:val="20"/>
                <w:szCs w:val="20"/>
              </w:rPr>
              <w:t xml:space="preserve">Assessments </w:t>
            </w:r>
            <w:r w:rsidR="00785DCC" w:rsidRPr="008201A1">
              <w:rPr>
                <w:rFonts w:cs="Arial"/>
                <w:b/>
                <w:bCs/>
                <w:i/>
                <w:iCs/>
                <w:sz w:val="20"/>
                <w:szCs w:val="20"/>
              </w:rPr>
              <w:t>s</w:t>
            </w:r>
          </w:p>
        </w:tc>
      </w:tr>
      <w:tr w:rsidR="00867590" w:rsidRPr="001F2CF9" w14:paraId="6A013180" w14:textId="77777777" w:rsidTr="00117313">
        <w:trPr>
          <w:cantSplit/>
        </w:trPr>
        <w:tc>
          <w:tcPr>
            <w:tcW w:w="1500" w:type="pct"/>
          </w:tcPr>
          <w:p w14:paraId="13D6E287"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2.2.2 </w:t>
            </w:r>
            <w:r w:rsidRPr="008201A1">
              <w:rPr>
                <w:rFonts w:cs="Arial"/>
                <w:sz w:val="20"/>
                <w:szCs w:val="20"/>
              </w:rPr>
              <w:t xml:space="preserve">There is an assessment of the impact of the fishery on endangered, threatened or protected species. </w:t>
            </w:r>
          </w:p>
          <w:p w14:paraId="58AE0C55" w14:textId="35FAFDF9" w:rsidR="004649FA" w:rsidRPr="001F2CF9" w:rsidRDefault="004649FA" w:rsidP="008201A1">
            <w:pPr>
              <w:spacing w:before="60" w:after="60" w:line="276" w:lineRule="auto"/>
              <w:contextualSpacing/>
              <w:rPr>
                <w:rFonts w:cs="Arial"/>
                <w:sz w:val="20"/>
                <w:szCs w:val="20"/>
              </w:rPr>
            </w:pPr>
          </w:p>
        </w:tc>
        <w:tc>
          <w:tcPr>
            <w:tcW w:w="3500" w:type="pct"/>
            <w:shd w:val="clear" w:color="auto" w:fill="auto"/>
          </w:tcPr>
          <w:p w14:paraId="3C21C26B" w14:textId="598313A2" w:rsidR="00AD3DB3" w:rsidRPr="001F2CF9" w:rsidRDefault="00AD3DB3">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12CD4460" w14:textId="77777777" w:rsidR="006B791A" w:rsidRDefault="006B791A">
            <w:pPr>
              <w:spacing w:before="60" w:after="60" w:line="276" w:lineRule="auto"/>
              <w:contextualSpacing/>
              <w:rPr>
                <w:rFonts w:cs="Arial"/>
                <w:sz w:val="20"/>
                <w:szCs w:val="20"/>
              </w:rPr>
            </w:pPr>
          </w:p>
          <w:p w14:paraId="27211A81" w14:textId="77777777" w:rsidR="00867590" w:rsidRDefault="00C267E7">
            <w:pPr>
              <w:spacing w:before="60" w:after="60" w:line="276" w:lineRule="auto"/>
              <w:contextualSpacing/>
              <w:rPr>
                <w:rFonts w:cs="Arial"/>
                <w:sz w:val="20"/>
                <w:szCs w:val="20"/>
              </w:rPr>
            </w:pPr>
            <w:r w:rsidRPr="001F2CF9">
              <w:rPr>
                <w:rFonts w:cs="Arial"/>
                <w:sz w:val="20"/>
                <w:szCs w:val="20"/>
              </w:rPr>
              <w:t>No</w:t>
            </w:r>
            <w:r w:rsidR="00464BC3" w:rsidRPr="001F2CF9">
              <w:rPr>
                <w:rFonts w:cs="Arial"/>
                <w:sz w:val="20"/>
                <w:szCs w:val="20"/>
              </w:rPr>
              <w:t xml:space="preserve"> specific</w:t>
            </w:r>
            <w:r w:rsidRPr="001F2CF9">
              <w:rPr>
                <w:rFonts w:cs="Arial"/>
                <w:sz w:val="20"/>
                <w:szCs w:val="20"/>
              </w:rPr>
              <w:t xml:space="preserve"> E</w:t>
            </w:r>
            <w:r w:rsidR="00464BC3" w:rsidRPr="001F2CF9">
              <w:rPr>
                <w:rFonts w:cs="Arial"/>
                <w:sz w:val="20"/>
                <w:szCs w:val="20"/>
              </w:rPr>
              <w:t xml:space="preserve">cological Risk </w:t>
            </w:r>
            <w:r w:rsidRPr="001F2CF9">
              <w:rPr>
                <w:rFonts w:cs="Arial"/>
                <w:sz w:val="20"/>
                <w:szCs w:val="20"/>
              </w:rPr>
              <w:t>A</w:t>
            </w:r>
            <w:r w:rsidR="00464BC3" w:rsidRPr="001F2CF9">
              <w:rPr>
                <w:rFonts w:cs="Arial"/>
                <w:sz w:val="20"/>
                <w:szCs w:val="20"/>
              </w:rPr>
              <w:t>ssessment</w:t>
            </w:r>
            <w:r w:rsidRPr="001F2CF9">
              <w:rPr>
                <w:rFonts w:cs="Arial"/>
                <w:sz w:val="20"/>
                <w:szCs w:val="20"/>
              </w:rPr>
              <w:t xml:space="preserve"> </w:t>
            </w:r>
            <w:r w:rsidR="002D172C" w:rsidRPr="001F2CF9">
              <w:rPr>
                <w:rFonts w:cs="Arial"/>
                <w:sz w:val="20"/>
                <w:szCs w:val="20"/>
              </w:rPr>
              <w:t xml:space="preserve">(ERA) </w:t>
            </w:r>
            <w:r w:rsidR="00464BC3" w:rsidRPr="001F2CF9">
              <w:rPr>
                <w:rFonts w:cs="Arial"/>
                <w:sz w:val="20"/>
                <w:szCs w:val="20"/>
              </w:rPr>
              <w:t>of the impact of the TGCF on endangered, threatened or protected species has been undertaken</w:t>
            </w:r>
            <w:r w:rsidRPr="001F2CF9">
              <w:rPr>
                <w:rFonts w:cs="Arial"/>
                <w:sz w:val="20"/>
                <w:szCs w:val="20"/>
              </w:rPr>
              <w:t xml:space="preserve">. </w:t>
            </w:r>
            <w:r w:rsidR="00464BC3" w:rsidRPr="001F2CF9">
              <w:rPr>
                <w:rFonts w:cs="Arial"/>
                <w:sz w:val="20"/>
                <w:szCs w:val="20"/>
              </w:rPr>
              <w:t>Historically n</w:t>
            </w:r>
            <w:r w:rsidR="00DC0695" w:rsidRPr="001F2CF9">
              <w:rPr>
                <w:rFonts w:cs="Arial"/>
                <w:sz w:val="20"/>
                <w:szCs w:val="20"/>
              </w:rPr>
              <w:t>o interactions</w:t>
            </w:r>
            <w:r w:rsidR="00464BC3" w:rsidRPr="001F2CF9">
              <w:rPr>
                <w:rFonts w:cs="Arial"/>
                <w:sz w:val="20"/>
                <w:szCs w:val="20"/>
              </w:rPr>
              <w:t xml:space="preserve"> were</w:t>
            </w:r>
            <w:r w:rsidR="00DC0695" w:rsidRPr="001F2CF9">
              <w:rPr>
                <w:rFonts w:cs="Arial"/>
                <w:sz w:val="20"/>
                <w:szCs w:val="20"/>
              </w:rPr>
              <w:t xml:space="preserve"> recorded </w:t>
            </w:r>
            <w:r w:rsidR="00464BC3" w:rsidRPr="001F2CF9">
              <w:rPr>
                <w:rFonts w:cs="Arial"/>
                <w:sz w:val="20"/>
                <w:szCs w:val="20"/>
              </w:rPr>
              <w:t xml:space="preserve">in the fishery </w:t>
            </w:r>
            <w:r w:rsidR="00DC0695" w:rsidRPr="001F2CF9">
              <w:rPr>
                <w:rFonts w:cs="Arial"/>
                <w:sz w:val="20"/>
                <w:szCs w:val="20"/>
              </w:rPr>
              <w:t xml:space="preserve">with endangered, threatened and protected species </w:t>
            </w:r>
            <w:r w:rsidR="00464BC3" w:rsidRPr="001F2CF9">
              <w:rPr>
                <w:rFonts w:cs="Arial"/>
                <w:sz w:val="20"/>
                <w:szCs w:val="20"/>
              </w:rPr>
              <w:t xml:space="preserve">and </w:t>
            </w:r>
            <w:r w:rsidR="00DC0695" w:rsidRPr="001F2CF9">
              <w:rPr>
                <w:rFonts w:cs="Arial"/>
                <w:sz w:val="20"/>
                <w:szCs w:val="20"/>
              </w:rPr>
              <w:t>impact is considered low</w:t>
            </w:r>
            <w:r w:rsidR="00464BC3" w:rsidRPr="001F2CF9">
              <w:rPr>
                <w:rFonts w:cs="Arial"/>
                <w:sz w:val="20"/>
                <w:szCs w:val="20"/>
              </w:rPr>
              <w:t>.</w:t>
            </w:r>
            <w:r w:rsidR="002D172C" w:rsidRPr="001F2CF9">
              <w:rPr>
                <w:rFonts w:cs="Arial"/>
                <w:sz w:val="20"/>
                <w:szCs w:val="20"/>
              </w:rPr>
              <w:t xml:space="preserve"> </w:t>
            </w:r>
            <w:r w:rsidR="00CC619F" w:rsidRPr="001F2CF9">
              <w:rPr>
                <w:rFonts w:cs="Arial"/>
                <w:sz w:val="20"/>
                <w:szCs w:val="20"/>
              </w:rPr>
              <w:t>Due to the similar nature of the fishing gear, t</w:t>
            </w:r>
            <w:r w:rsidR="002D172C" w:rsidRPr="001F2CF9">
              <w:rPr>
                <w:rFonts w:cs="Arial"/>
                <w:sz w:val="20"/>
                <w:szCs w:val="20"/>
              </w:rPr>
              <w:t>he rock lobster pot fishery ERA was used by DPIPWE as a substitute for a giant crab ERA</w:t>
            </w:r>
            <w:r w:rsidR="00CC619F" w:rsidRPr="001F2CF9">
              <w:rPr>
                <w:rFonts w:cs="Arial"/>
                <w:sz w:val="20"/>
                <w:szCs w:val="20"/>
              </w:rPr>
              <w:t xml:space="preserve"> in relation to impact on marine mammals</w:t>
            </w:r>
            <w:r w:rsidR="002D172C" w:rsidRPr="001F2CF9">
              <w:rPr>
                <w:rFonts w:cs="Arial"/>
                <w:sz w:val="20"/>
                <w:szCs w:val="20"/>
              </w:rPr>
              <w:t xml:space="preserve">. </w:t>
            </w:r>
            <w:r w:rsidR="00CC619F" w:rsidRPr="001F2CF9">
              <w:rPr>
                <w:rFonts w:cs="Arial"/>
                <w:sz w:val="20"/>
                <w:szCs w:val="20"/>
              </w:rPr>
              <w:t>The TGCF went through this process recently as required by the Department of Agriculture and Water Resources for approval export of giant crabs and rock lobsters to the United States.</w:t>
            </w:r>
          </w:p>
          <w:p w14:paraId="543E02E0" w14:textId="737E5F59" w:rsidR="00564BC9" w:rsidRPr="00F32842" w:rsidRDefault="00564BC9">
            <w:pPr>
              <w:spacing w:before="60" w:after="60" w:line="276" w:lineRule="auto"/>
              <w:contextualSpacing/>
              <w:rPr>
                <w:rFonts w:cs="Arial"/>
                <w:sz w:val="20"/>
                <w:szCs w:val="20"/>
              </w:rPr>
            </w:pPr>
          </w:p>
        </w:tc>
      </w:tr>
      <w:tr w:rsidR="00867590" w:rsidRPr="001F2CF9" w14:paraId="7BA4A993" w14:textId="77777777" w:rsidTr="00117313">
        <w:trPr>
          <w:cantSplit/>
        </w:trPr>
        <w:tc>
          <w:tcPr>
            <w:tcW w:w="1500" w:type="pct"/>
          </w:tcPr>
          <w:p w14:paraId="35BD01ED"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2.2.3 </w:t>
            </w:r>
            <w:r w:rsidRPr="008201A1">
              <w:rPr>
                <w:rFonts w:cs="Arial"/>
                <w:sz w:val="20"/>
                <w:szCs w:val="20"/>
              </w:rPr>
              <w:t xml:space="preserve">There is an assessment of the impact of the fishery on threatened ecological communities. </w:t>
            </w:r>
          </w:p>
          <w:p w14:paraId="65593620" w14:textId="18ECB72B" w:rsidR="004649FA" w:rsidRPr="001F2CF9" w:rsidRDefault="004649FA" w:rsidP="008201A1">
            <w:pPr>
              <w:spacing w:before="60" w:after="60" w:line="276" w:lineRule="auto"/>
              <w:contextualSpacing/>
              <w:rPr>
                <w:rFonts w:cs="Arial"/>
                <w:sz w:val="20"/>
                <w:szCs w:val="20"/>
              </w:rPr>
            </w:pPr>
          </w:p>
        </w:tc>
        <w:tc>
          <w:tcPr>
            <w:tcW w:w="3500" w:type="pct"/>
            <w:shd w:val="clear" w:color="auto" w:fill="auto"/>
          </w:tcPr>
          <w:p w14:paraId="7AC39C8E" w14:textId="490F9FBE" w:rsidR="00AD3DB3" w:rsidRPr="001F2CF9" w:rsidRDefault="00AD3DB3">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4C36ACF2" w14:textId="77777777" w:rsidR="006B791A" w:rsidRDefault="006B791A">
            <w:pPr>
              <w:spacing w:before="60" w:after="60" w:line="276" w:lineRule="auto"/>
              <w:contextualSpacing/>
              <w:rPr>
                <w:rFonts w:cs="Arial"/>
                <w:sz w:val="20"/>
                <w:szCs w:val="20"/>
              </w:rPr>
            </w:pPr>
          </w:p>
          <w:p w14:paraId="3C02A0B4" w14:textId="23B3AFF5" w:rsidR="00A7754F" w:rsidRDefault="00AD3DB3">
            <w:pPr>
              <w:spacing w:before="60" w:after="60" w:line="276" w:lineRule="auto"/>
              <w:contextualSpacing/>
              <w:rPr>
                <w:rFonts w:cs="Arial"/>
                <w:sz w:val="20"/>
                <w:szCs w:val="20"/>
              </w:rPr>
            </w:pPr>
            <w:r w:rsidRPr="001F2CF9">
              <w:rPr>
                <w:rFonts w:cs="Arial"/>
                <w:sz w:val="20"/>
                <w:szCs w:val="20"/>
              </w:rPr>
              <w:t>No</w:t>
            </w:r>
            <w:r w:rsidR="006E342E" w:rsidRPr="001F2CF9">
              <w:rPr>
                <w:rFonts w:cs="Arial"/>
                <w:sz w:val="20"/>
                <w:szCs w:val="20"/>
              </w:rPr>
              <w:t xml:space="preserve"> specific</w:t>
            </w:r>
            <w:r w:rsidRPr="001F2CF9">
              <w:rPr>
                <w:rFonts w:cs="Arial"/>
                <w:sz w:val="20"/>
                <w:szCs w:val="20"/>
              </w:rPr>
              <w:t xml:space="preserve"> ERA of the impact of the fishery on threatened ecological communities </w:t>
            </w:r>
            <w:r w:rsidR="00C35CE8" w:rsidRPr="001F2CF9">
              <w:rPr>
                <w:rFonts w:cs="Arial"/>
                <w:sz w:val="20"/>
                <w:szCs w:val="20"/>
              </w:rPr>
              <w:t xml:space="preserve">is </w:t>
            </w:r>
            <w:r w:rsidRPr="001F2CF9">
              <w:rPr>
                <w:rFonts w:cs="Arial"/>
                <w:sz w:val="20"/>
                <w:szCs w:val="20"/>
              </w:rPr>
              <w:t>available</w:t>
            </w:r>
            <w:r w:rsidR="00C35CE8" w:rsidRPr="001F2CF9">
              <w:rPr>
                <w:rFonts w:cs="Arial"/>
                <w:sz w:val="20"/>
                <w:szCs w:val="20"/>
              </w:rPr>
              <w:t xml:space="preserve"> or has ever been conducted</w:t>
            </w:r>
            <w:r w:rsidRPr="001F2CF9">
              <w:rPr>
                <w:rFonts w:cs="Arial"/>
                <w:sz w:val="20"/>
                <w:szCs w:val="20"/>
              </w:rPr>
              <w:t xml:space="preserve">. The fishery mostly operating on </w:t>
            </w:r>
            <w:r w:rsidR="00ED47B9" w:rsidRPr="001F2CF9">
              <w:rPr>
                <w:rFonts w:cs="Arial"/>
                <w:sz w:val="20"/>
                <w:szCs w:val="20"/>
              </w:rPr>
              <w:t>bryozoan</w:t>
            </w:r>
            <w:r w:rsidRPr="001F2CF9">
              <w:rPr>
                <w:rFonts w:cs="Arial"/>
                <w:sz w:val="20"/>
                <w:szCs w:val="20"/>
              </w:rPr>
              <w:t xml:space="preserve"> turf habitat (growing on sand and mud sediments) along the edge of the continental </w:t>
            </w:r>
            <w:proofErr w:type="gramStart"/>
            <w:r w:rsidRPr="001F2CF9">
              <w:rPr>
                <w:rFonts w:cs="Arial"/>
                <w:sz w:val="20"/>
                <w:szCs w:val="20"/>
              </w:rPr>
              <w:t xml:space="preserve">shelf </w:t>
            </w:r>
            <w:r w:rsidR="0008345D" w:rsidRPr="001F2CF9">
              <w:rPr>
                <w:rFonts w:cs="Arial"/>
                <w:sz w:val="20"/>
                <w:szCs w:val="20"/>
              </w:rPr>
              <w:t>,</w:t>
            </w:r>
            <w:proofErr w:type="gramEnd"/>
            <w:r w:rsidR="0008345D" w:rsidRPr="001F2CF9">
              <w:rPr>
                <w:rFonts w:cs="Arial"/>
                <w:sz w:val="20"/>
                <w:szCs w:val="20"/>
              </w:rPr>
              <w:t xml:space="preserve"> the impact on threatened ecological communities is considered to be low because gear is not dragged and the fishing footprint is considered insignificant relative to the size of the habitat area.</w:t>
            </w:r>
          </w:p>
          <w:p w14:paraId="4AA6CA1D" w14:textId="6BA37D4A" w:rsidR="00564BC9" w:rsidRPr="00F32842" w:rsidRDefault="00564BC9">
            <w:pPr>
              <w:spacing w:before="60" w:after="60" w:line="276" w:lineRule="auto"/>
              <w:contextualSpacing/>
              <w:rPr>
                <w:rFonts w:cs="Arial"/>
                <w:sz w:val="20"/>
                <w:szCs w:val="20"/>
              </w:rPr>
            </w:pPr>
          </w:p>
        </w:tc>
      </w:tr>
      <w:tr w:rsidR="00867590" w:rsidRPr="001F2CF9" w14:paraId="670EFB61" w14:textId="77777777" w:rsidTr="00117313">
        <w:trPr>
          <w:cantSplit/>
        </w:trPr>
        <w:tc>
          <w:tcPr>
            <w:tcW w:w="5000" w:type="pct"/>
            <w:gridSpan w:val="2"/>
            <w:shd w:val="clear" w:color="auto" w:fill="E5DFEC"/>
          </w:tcPr>
          <w:p w14:paraId="770A73F2" w14:textId="60B3086A"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 xml:space="preserve">Management responses </w:t>
            </w:r>
          </w:p>
        </w:tc>
      </w:tr>
      <w:tr w:rsidR="00867590" w:rsidRPr="001F2CF9" w14:paraId="754A20A5" w14:textId="77777777" w:rsidTr="00117313">
        <w:trPr>
          <w:cantSplit/>
        </w:trPr>
        <w:tc>
          <w:tcPr>
            <w:tcW w:w="1500" w:type="pct"/>
          </w:tcPr>
          <w:p w14:paraId="2EFFB35F"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2.2.4 </w:t>
            </w:r>
            <w:r w:rsidRPr="008201A1">
              <w:rPr>
                <w:rFonts w:cs="Arial"/>
                <w:sz w:val="20"/>
                <w:szCs w:val="20"/>
              </w:rPr>
              <w:t xml:space="preserve">There are measures in place to avoid capture and/or mortality of endangered, threatened or protected species. </w:t>
            </w:r>
          </w:p>
          <w:p w14:paraId="477B7043" w14:textId="23F8E0CD" w:rsidR="004649FA" w:rsidRPr="001F2CF9" w:rsidRDefault="004649FA" w:rsidP="008201A1">
            <w:pPr>
              <w:spacing w:before="60" w:after="60" w:line="276" w:lineRule="auto"/>
              <w:contextualSpacing/>
              <w:rPr>
                <w:rFonts w:cs="Arial"/>
                <w:sz w:val="20"/>
                <w:szCs w:val="20"/>
              </w:rPr>
            </w:pPr>
          </w:p>
        </w:tc>
        <w:tc>
          <w:tcPr>
            <w:tcW w:w="3500" w:type="pct"/>
            <w:shd w:val="clear" w:color="auto" w:fill="auto"/>
          </w:tcPr>
          <w:p w14:paraId="01D61483" w14:textId="03CFC6CE" w:rsidR="005806BB" w:rsidRPr="001F2CF9" w:rsidRDefault="00FF6BCA">
            <w:pPr>
              <w:spacing w:before="60" w:after="60" w:line="276" w:lineRule="auto"/>
              <w:contextualSpacing/>
              <w:rPr>
                <w:rFonts w:cs="Arial"/>
                <w:b/>
                <w:sz w:val="20"/>
                <w:szCs w:val="20"/>
                <w:highlight w:val="yellow"/>
              </w:rPr>
            </w:pPr>
            <w:r w:rsidRPr="001F2CF9">
              <w:rPr>
                <w:rFonts w:cs="Arial"/>
                <w:b/>
                <w:sz w:val="20"/>
                <w:szCs w:val="20"/>
              </w:rPr>
              <w:t>Not applicable</w:t>
            </w:r>
            <w:r w:rsidR="00DD2472" w:rsidRPr="001F2CF9">
              <w:rPr>
                <w:rFonts w:cs="Arial"/>
                <w:b/>
                <w:sz w:val="20"/>
                <w:szCs w:val="20"/>
              </w:rPr>
              <w:t>.</w:t>
            </w:r>
          </w:p>
          <w:p w14:paraId="0442854D" w14:textId="77777777" w:rsidR="006B791A" w:rsidRDefault="006B791A">
            <w:pPr>
              <w:spacing w:before="60" w:after="60" w:line="276" w:lineRule="auto"/>
              <w:contextualSpacing/>
              <w:rPr>
                <w:rFonts w:cs="Arial"/>
                <w:sz w:val="20"/>
                <w:szCs w:val="20"/>
              </w:rPr>
            </w:pPr>
          </w:p>
          <w:p w14:paraId="4BDBEB10" w14:textId="77777777" w:rsidR="00867590" w:rsidRDefault="00A87CA7">
            <w:pPr>
              <w:spacing w:before="60" w:after="60" w:line="276" w:lineRule="auto"/>
              <w:contextualSpacing/>
              <w:rPr>
                <w:rFonts w:cs="Arial"/>
                <w:sz w:val="20"/>
                <w:szCs w:val="20"/>
              </w:rPr>
            </w:pPr>
            <w:r w:rsidRPr="001F2CF9">
              <w:rPr>
                <w:rFonts w:cs="Arial"/>
                <w:sz w:val="20"/>
                <w:szCs w:val="20"/>
              </w:rPr>
              <w:t xml:space="preserve">No mitigation strategy in place to avoid interactions with protected species. </w:t>
            </w:r>
            <w:r w:rsidR="00FF6BCA" w:rsidRPr="001F2CF9">
              <w:rPr>
                <w:rFonts w:cs="Arial"/>
                <w:sz w:val="20"/>
                <w:szCs w:val="20"/>
              </w:rPr>
              <w:t>The type of gear used limits interactions with endangered, threatened or protected species and the potential capture and/or mortality risk for these species.</w:t>
            </w:r>
          </w:p>
          <w:p w14:paraId="21953CCC" w14:textId="5E7BFC06" w:rsidR="00564BC9" w:rsidRPr="00F32842" w:rsidRDefault="00564BC9">
            <w:pPr>
              <w:spacing w:before="60" w:after="60" w:line="276" w:lineRule="auto"/>
              <w:contextualSpacing/>
              <w:rPr>
                <w:rFonts w:cs="Arial"/>
                <w:sz w:val="20"/>
                <w:szCs w:val="20"/>
              </w:rPr>
            </w:pPr>
          </w:p>
        </w:tc>
      </w:tr>
      <w:tr w:rsidR="00867590" w:rsidRPr="001F2CF9" w14:paraId="23325650" w14:textId="77777777" w:rsidTr="00117313">
        <w:trPr>
          <w:cantSplit/>
        </w:trPr>
        <w:tc>
          <w:tcPr>
            <w:tcW w:w="1500" w:type="pct"/>
          </w:tcPr>
          <w:p w14:paraId="229107EC" w14:textId="77777777"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t xml:space="preserve">2.2.5 </w:t>
            </w:r>
            <w:r w:rsidRPr="008201A1">
              <w:rPr>
                <w:rFonts w:cs="Arial"/>
                <w:sz w:val="20"/>
                <w:szCs w:val="20"/>
              </w:rPr>
              <w:t>There are measures in place to avoid</w:t>
            </w:r>
            <w:r w:rsidRPr="001F2CF9">
              <w:rPr>
                <w:rFonts w:cs="Arial"/>
                <w:sz w:val="20"/>
                <w:szCs w:val="20"/>
              </w:rPr>
              <w:t xml:space="preserve"> impact on threatened ecological communities. </w:t>
            </w:r>
          </w:p>
          <w:p w14:paraId="3E2B3DBF" w14:textId="235D2D5F" w:rsidR="004649FA" w:rsidRPr="001F2CF9" w:rsidRDefault="004649FA" w:rsidP="008201A1">
            <w:pPr>
              <w:spacing w:before="60" w:after="60" w:line="276" w:lineRule="auto"/>
              <w:contextualSpacing/>
              <w:rPr>
                <w:rFonts w:cs="Arial"/>
                <w:sz w:val="20"/>
                <w:szCs w:val="20"/>
              </w:rPr>
            </w:pPr>
          </w:p>
        </w:tc>
        <w:tc>
          <w:tcPr>
            <w:tcW w:w="3500" w:type="pct"/>
            <w:shd w:val="clear" w:color="auto" w:fill="auto"/>
          </w:tcPr>
          <w:p w14:paraId="248D08E1" w14:textId="009ABEAA" w:rsidR="000E1415" w:rsidRPr="001F2CF9" w:rsidRDefault="000E1415">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6169AAFC" w14:textId="77777777" w:rsidR="006B791A" w:rsidRDefault="006B791A">
            <w:pPr>
              <w:spacing w:before="60" w:after="60" w:line="276" w:lineRule="auto"/>
              <w:contextualSpacing/>
              <w:rPr>
                <w:rFonts w:cs="Arial"/>
                <w:sz w:val="20"/>
                <w:szCs w:val="20"/>
              </w:rPr>
            </w:pPr>
          </w:p>
          <w:p w14:paraId="4ED59E34" w14:textId="77777777" w:rsidR="00867590" w:rsidRDefault="00837AC4">
            <w:pPr>
              <w:spacing w:before="60" w:after="60" w:line="276" w:lineRule="auto"/>
              <w:contextualSpacing/>
              <w:rPr>
                <w:rFonts w:cs="Arial"/>
                <w:sz w:val="20"/>
                <w:szCs w:val="20"/>
              </w:rPr>
            </w:pPr>
            <w:r w:rsidRPr="001F2CF9">
              <w:rPr>
                <w:rFonts w:cs="Arial"/>
                <w:sz w:val="20"/>
                <w:szCs w:val="20"/>
              </w:rPr>
              <w:t xml:space="preserve">No mitigation strategy has been developed nor implemented. </w:t>
            </w:r>
            <w:r w:rsidR="000E1415" w:rsidRPr="001F2CF9">
              <w:rPr>
                <w:rFonts w:cs="Arial"/>
                <w:sz w:val="20"/>
                <w:szCs w:val="20"/>
              </w:rPr>
              <w:t>The operation of the fishery is considered to have a low impact on threatened ecological communities</w:t>
            </w:r>
            <w:r w:rsidR="007C0F2C" w:rsidRPr="001F2CF9">
              <w:rPr>
                <w:rFonts w:cs="Arial"/>
                <w:sz w:val="20"/>
                <w:szCs w:val="20"/>
              </w:rPr>
              <w:t xml:space="preserve"> and no interaction on endangered, threatened or protected species has ever been recorded in the history of the fishery</w:t>
            </w:r>
            <w:r w:rsidRPr="001F2CF9">
              <w:rPr>
                <w:rFonts w:cs="Arial"/>
                <w:sz w:val="20"/>
                <w:szCs w:val="20"/>
              </w:rPr>
              <w:t>.</w:t>
            </w:r>
          </w:p>
          <w:p w14:paraId="3D633D45" w14:textId="0D4CE6F7" w:rsidR="00564BC9" w:rsidRPr="00F32842" w:rsidRDefault="00564BC9">
            <w:pPr>
              <w:spacing w:before="60" w:after="60" w:line="276" w:lineRule="auto"/>
              <w:contextualSpacing/>
              <w:rPr>
                <w:rFonts w:cs="Arial"/>
                <w:sz w:val="20"/>
                <w:szCs w:val="20"/>
              </w:rPr>
            </w:pPr>
          </w:p>
        </w:tc>
      </w:tr>
      <w:tr w:rsidR="00867590" w:rsidRPr="001F2CF9" w14:paraId="5D830546" w14:textId="77777777" w:rsidTr="00117313">
        <w:trPr>
          <w:cantSplit/>
        </w:trPr>
        <w:tc>
          <w:tcPr>
            <w:tcW w:w="1500" w:type="pct"/>
          </w:tcPr>
          <w:p w14:paraId="30E9BC5B"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2.2.6 </w:t>
            </w:r>
            <w:r w:rsidRPr="008201A1">
              <w:rPr>
                <w:rFonts w:cs="Arial"/>
                <w:sz w:val="20"/>
                <w:szCs w:val="20"/>
              </w:rPr>
              <w:t xml:space="preserve">The management response, considering uncertainties in the assessment and precautionary management actions, has a high chance of achieving the objective. </w:t>
            </w:r>
          </w:p>
          <w:p w14:paraId="13A19148" w14:textId="1EF3C52F"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298D4E71" w14:textId="29F13B5E" w:rsidR="005806BB" w:rsidRPr="001F2CF9" w:rsidRDefault="008C33F1">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700443" w:rsidRPr="001F2CF9">
              <w:rPr>
                <w:rFonts w:cs="Arial"/>
                <w:b/>
                <w:sz w:val="20"/>
                <w:szCs w:val="20"/>
              </w:rPr>
              <w:t>The management response is considered to have a high chance of meeting its objective</w:t>
            </w:r>
            <w:r w:rsidR="00163B9F" w:rsidRPr="001F2CF9">
              <w:rPr>
                <w:rFonts w:cs="Arial"/>
                <w:b/>
                <w:sz w:val="20"/>
                <w:szCs w:val="20"/>
              </w:rPr>
              <w:t>.</w:t>
            </w:r>
          </w:p>
          <w:p w14:paraId="1DB81907" w14:textId="77777777" w:rsidR="006B791A" w:rsidRDefault="006B791A">
            <w:pPr>
              <w:spacing w:before="60" w:after="60" w:line="276" w:lineRule="auto"/>
              <w:contextualSpacing/>
              <w:rPr>
                <w:rFonts w:cs="Arial"/>
                <w:sz w:val="20"/>
                <w:szCs w:val="20"/>
              </w:rPr>
            </w:pPr>
          </w:p>
          <w:p w14:paraId="5173AB64" w14:textId="605D4BAF" w:rsidR="00867590" w:rsidRPr="001F2CF9" w:rsidRDefault="00E1538B">
            <w:pPr>
              <w:spacing w:before="60" w:after="60" w:line="276" w:lineRule="auto"/>
              <w:contextualSpacing/>
              <w:rPr>
                <w:rFonts w:cs="Arial"/>
                <w:sz w:val="20"/>
                <w:szCs w:val="20"/>
              </w:rPr>
            </w:pPr>
            <w:r w:rsidRPr="001F2CF9">
              <w:rPr>
                <w:rFonts w:cs="Arial"/>
                <w:sz w:val="20"/>
                <w:szCs w:val="20"/>
              </w:rPr>
              <w:t xml:space="preserve">Management arrangements are considered likely to achieve the objective of the fishery being conducted </w:t>
            </w:r>
            <w:r w:rsidR="00D664CB" w:rsidRPr="001F2CF9">
              <w:rPr>
                <w:rFonts w:cs="Arial"/>
                <w:sz w:val="20"/>
                <w:szCs w:val="20"/>
              </w:rPr>
              <w:t>in a manner that avoids mortality of, or injuries to, endangered, threatened or protected species and avoids or minimises impacts on threatened ecological communities.</w:t>
            </w:r>
          </w:p>
        </w:tc>
      </w:tr>
      <w:tr w:rsidR="00867590" w:rsidRPr="001F2CF9" w14:paraId="4FDFB921" w14:textId="77777777" w:rsidTr="00117313">
        <w:trPr>
          <w:cantSplit/>
        </w:trPr>
        <w:tc>
          <w:tcPr>
            <w:tcW w:w="5000" w:type="pct"/>
            <w:gridSpan w:val="2"/>
            <w:shd w:val="clear" w:color="auto" w:fill="CCC0D9"/>
          </w:tcPr>
          <w:p w14:paraId="066E487E" w14:textId="0E286624" w:rsidR="00867590" w:rsidRPr="001F2CF9" w:rsidRDefault="00867590" w:rsidP="00F32842">
            <w:pPr>
              <w:spacing w:before="60" w:after="60" w:line="276" w:lineRule="auto"/>
              <w:contextualSpacing/>
              <w:rPr>
                <w:rFonts w:cs="Arial"/>
                <w:b/>
                <w:bCs/>
                <w:sz w:val="20"/>
                <w:szCs w:val="20"/>
              </w:rPr>
            </w:pPr>
            <w:r w:rsidRPr="00F32842">
              <w:rPr>
                <w:rFonts w:cs="Arial"/>
                <w:b/>
                <w:bCs/>
                <w:sz w:val="20"/>
                <w:szCs w:val="20"/>
              </w:rPr>
              <w:t xml:space="preserve">Objective 3 - </w:t>
            </w:r>
            <w:r w:rsidRPr="008201A1">
              <w:rPr>
                <w:rFonts w:cs="Arial"/>
                <w:sz w:val="20"/>
                <w:szCs w:val="20"/>
              </w:rPr>
              <w:t>The fishery is conducted, in a manner that minimises the impact of fishing operations on the ecosystem generally.</w:t>
            </w:r>
          </w:p>
        </w:tc>
      </w:tr>
      <w:tr w:rsidR="00867590" w:rsidRPr="001F2CF9" w14:paraId="7CD7A422" w14:textId="77777777" w:rsidTr="00117313">
        <w:trPr>
          <w:cantSplit/>
        </w:trPr>
        <w:tc>
          <w:tcPr>
            <w:tcW w:w="5000" w:type="pct"/>
            <w:gridSpan w:val="2"/>
            <w:shd w:val="clear" w:color="auto" w:fill="E5DFEC"/>
          </w:tcPr>
          <w:p w14:paraId="54CDF909" w14:textId="77777777"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 xml:space="preserve">Information requirements </w:t>
            </w:r>
          </w:p>
        </w:tc>
      </w:tr>
      <w:tr w:rsidR="00867590" w:rsidRPr="001F2CF9" w14:paraId="4AA6925D" w14:textId="77777777" w:rsidTr="00065F38">
        <w:trPr>
          <w:cantSplit/>
        </w:trPr>
        <w:tc>
          <w:tcPr>
            <w:tcW w:w="1500" w:type="pct"/>
            <w:shd w:val="clear" w:color="auto" w:fill="auto"/>
          </w:tcPr>
          <w:p w14:paraId="36944ABB" w14:textId="4274AC4A" w:rsidR="006937C2" w:rsidRPr="001F2CF9" w:rsidRDefault="00867590" w:rsidP="00F32842">
            <w:pPr>
              <w:spacing w:before="60" w:after="60" w:line="276" w:lineRule="auto"/>
              <w:contextualSpacing/>
              <w:rPr>
                <w:rFonts w:cs="Arial"/>
                <w:sz w:val="20"/>
                <w:szCs w:val="20"/>
              </w:rPr>
            </w:pPr>
            <w:r w:rsidRPr="00F32842">
              <w:rPr>
                <w:rFonts w:cs="Arial"/>
                <w:b/>
                <w:bCs/>
                <w:iCs/>
                <w:sz w:val="20"/>
                <w:szCs w:val="20"/>
              </w:rPr>
              <w:lastRenderedPageBreak/>
              <w:t xml:space="preserve">2.3.1 </w:t>
            </w:r>
            <w:r w:rsidRPr="008201A1">
              <w:rPr>
                <w:rFonts w:cs="Arial"/>
                <w:sz w:val="20"/>
                <w:szCs w:val="20"/>
              </w:rPr>
              <w:t>Information appropriate for the analysis in 2.3.2 is collated and/or collected covering the fishe</w:t>
            </w:r>
            <w:r w:rsidR="009257AD" w:rsidRPr="001F2CF9">
              <w:rPr>
                <w:rFonts w:cs="Arial"/>
                <w:sz w:val="20"/>
                <w:szCs w:val="20"/>
              </w:rPr>
              <w:t>ry’s</w:t>
            </w:r>
            <w:r w:rsidRPr="001F2CF9">
              <w:rPr>
                <w:rFonts w:cs="Arial"/>
                <w:sz w:val="20"/>
                <w:szCs w:val="20"/>
              </w:rPr>
              <w:t xml:space="preserve"> impact on the ecosystem and environment generally. </w:t>
            </w:r>
          </w:p>
          <w:p w14:paraId="6BB0B5E2" w14:textId="77777777" w:rsidR="006937C2" w:rsidRPr="001F2CF9" w:rsidRDefault="006937C2" w:rsidP="0072610E">
            <w:pPr>
              <w:spacing w:line="276" w:lineRule="auto"/>
              <w:rPr>
                <w:rFonts w:cs="Arial"/>
                <w:sz w:val="20"/>
                <w:szCs w:val="20"/>
              </w:rPr>
            </w:pPr>
          </w:p>
          <w:p w14:paraId="11025905" w14:textId="753E7DE2" w:rsidR="006937C2" w:rsidRPr="001F2CF9" w:rsidRDefault="006937C2" w:rsidP="0072610E">
            <w:pPr>
              <w:spacing w:line="276" w:lineRule="auto"/>
              <w:rPr>
                <w:rFonts w:cs="Arial"/>
                <w:sz w:val="20"/>
                <w:szCs w:val="20"/>
              </w:rPr>
            </w:pPr>
          </w:p>
          <w:p w14:paraId="79703EC2" w14:textId="77777777" w:rsidR="004649FA" w:rsidRPr="001F2CF9" w:rsidRDefault="004649FA" w:rsidP="0072610E">
            <w:pPr>
              <w:spacing w:line="276" w:lineRule="auto"/>
              <w:jc w:val="center"/>
              <w:rPr>
                <w:rFonts w:cs="Arial"/>
                <w:sz w:val="20"/>
                <w:szCs w:val="20"/>
              </w:rPr>
            </w:pPr>
          </w:p>
        </w:tc>
        <w:tc>
          <w:tcPr>
            <w:tcW w:w="3500" w:type="pct"/>
            <w:shd w:val="clear" w:color="auto" w:fill="FFC000"/>
          </w:tcPr>
          <w:p w14:paraId="4B67EF6F" w14:textId="0E6888F0" w:rsidR="00851D34" w:rsidRDefault="007129BB" w:rsidP="00F32842">
            <w:pPr>
              <w:spacing w:before="60" w:after="60" w:line="276" w:lineRule="auto"/>
              <w:ind w:left="1644" w:hanging="1644"/>
              <w:contextualSpacing/>
              <w:rPr>
                <w:rFonts w:cs="Arial"/>
                <w:b/>
                <w:sz w:val="20"/>
                <w:szCs w:val="20"/>
              </w:rPr>
            </w:pPr>
            <w:r w:rsidRPr="001F2CF9">
              <w:rPr>
                <w:rFonts w:cs="Arial"/>
                <w:b/>
                <w:sz w:val="20"/>
                <w:szCs w:val="20"/>
              </w:rPr>
              <w:t>Partially meets</w:t>
            </w:r>
            <w:r w:rsidR="00065F38" w:rsidRPr="001F2CF9">
              <w:rPr>
                <w:rFonts w:cs="Arial"/>
                <w:b/>
                <w:sz w:val="20"/>
                <w:szCs w:val="20"/>
              </w:rPr>
              <w:t xml:space="preserve"> – </w:t>
            </w:r>
            <w:r w:rsidR="005E0D8C">
              <w:rPr>
                <w:rFonts w:cs="Arial"/>
                <w:b/>
                <w:sz w:val="20"/>
                <w:szCs w:val="20"/>
              </w:rPr>
              <w:tab/>
            </w:r>
            <w:r w:rsidR="005E0D8C">
              <w:rPr>
                <w:rFonts w:cs="Arial"/>
                <w:b/>
                <w:sz w:val="20"/>
                <w:szCs w:val="20"/>
              </w:rPr>
              <w:tab/>
            </w:r>
            <w:r w:rsidR="00655393" w:rsidRPr="001F2CF9">
              <w:rPr>
                <w:rFonts w:cs="Arial"/>
                <w:b/>
                <w:sz w:val="20"/>
                <w:szCs w:val="20"/>
              </w:rPr>
              <w:t xml:space="preserve">Methods of data collection </w:t>
            </w:r>
            <w:r w:rsidR="00147307" w:rsidRPr="001F2CF9">
              <w:rPr>
                <w:rFonts w:cs="Arial"/>
                <w:b/>
                <w:sz w:val="20"/>
                <w:szCs w:val="20"/>
              </w:rPr>
              <w:t>and a proxy Ecological Risk Assessment (ERA)</w:t>
            </w:r>
            <w:r w:rsidR="00655393" w:rsidRPr="001F2CF9">
              <w:rPr>
                <w:rFonts w:cs="Arial"/>
                <w:b/>
                <w:sz w:val="20"/>
                <w:szCs w:val="20"/>
              </w:rPr>
              <w:t xml:space="preserve"> </w:t>
            </w:r>
            <w:r w:rsidR="00147307" w:rsidRPr="001F2CF9">
              <w:rPr>
                <w:rFonts w:cs="Arial"/>
                <w:b/>
                <w:sz w:val="20"/>
                <w:szCs w:val="20"/>
              </w:rPr>
              <w:t xml:space="preserve">are in </w:t>
            </w:r>
            <w:r w:rsidR="005E0D8C">
              <w:rPr>
                <w:rFonts w:cs="Arial"/>
                <w:b/>
                <w:sz w:val="20"/>
                <w:szCs w:val="20"/>
              </w:rPr>
              <w:tab/>
            </w:r>
            <w:r w:rsidR="00147307" w:rsidRPr="001F2CF9">
              <w:rPr>
                <w:rFonts w:cs="Arial"/>
                <w:b/>
                <w:sz w:val="20"/>
                <w:szCs w:val="20"/>
              </w:rPr>
              <w:t xml:space="preserve">place </w:t>
            </w:r>
            <w:r w:rsidR="00655393" w:rsidRPr="001F2CF9">
              <w:rPr>
                <w:rFonts w:cs="Arial"/>
                <w:b/>
                <w:sz w:val="20"/>
                <w:szCs w:val="20"/>
              </w:rPr>
              <w:t>but do not result in the a</w:t>
            </w:r>
            <w:r w:rsidR="000A7B1D" w:rsidRPr="001F2CF9">
              <w:rPr>
                <w:rFonts w:cs="Arial"/>
                <w:b/>
                <w:sz w:val="20"/>
                <w:szCs w:val="20"/>
              </w:rPr>
              <w:t>dequate collection of data.</w:t>
            </w:r>
          </w:p>
          <w:p w14:paraId="0A4183C3" w14:textId="45F20534" w:rsidR="005E0D8C" w:rsidRPr="001F2CF9" w:rsidRDefault="005E0D8C" w:rsidP="00F32842">
            <w:pPr>
              <w:spacing w:before="60" w:after="60" w:line="276" w:lineRule="auto"/>
              <w:ind w:left="1644" w:hanging="1644"/>
              <w:contextualSpacing/>
              <w:rPr>
                <w:rFonts w:cs="Arial"/>
                <w:b/>
                <w:sz w:val="20"/>
                <w:szCs w:val="20"/>
              </w:rPr>
            </w:pPr>
            <w:r>
              <w:rPr>
                <w:rFonts w:cs="Arial"/>
                <w:b/>
                <w:sz w:val="20"/>
                <w:szCs w:val="20"/>
              </w:rPr>
              <w:tab/>
            </w:r>
            <w:r>
              <w:rPr>
                <w:rFonts w:cs="Arial"/>
                <w:b/>
                <w:sz w:val="20"/>
                <w:szCs w:val="20"/>
              </w:rPr>
              <w:tab/>
              <w:t>[Recommendation 1 at section 4 of this report addresses improved data collection]</w:t>
            </w:r>
          </w:p>
          <w:p w14:paraId="35C8E01B" w14:textId="77777777" w:rsidR="006B791A" w:rsidRDefault="006B791A" w:rsidP="008201A1">
            <w:pPr>
              <w:spacing w:before="60" w:after="60" w:line="276" w:lineRule="auto"/>
              <w:contextualSpacing/>
              <w:rPr>
                <w:rFonts w:cs="Arial"/>
                <w:sz w:val="20"/>
                <w:szCs w:val="20"/>
              </w:rPr>
            </w:pPr>
          </w:p>
          <w:p w14:paraId="7422FF1D" w14:textId="1EF18204" w:rsidR="00867590" w:rsidRDefault="00851D34" w:rsidP="008201A1">
            <w:pPr>
              <w:spacing w:before="60" w:after="60" w:line="276" w:lineRule="auto"/>
              <w:contextualSpacing/>
              <w:rPr>
                <w:rFonts w:cs="Arial"/>
                <w:sz w:val="20"/>
                <w:szCs w:val="20"/>
              </w:rPr>
            </w:pPr>
            <w:r w:rsidRPr="001F2CF9">
              <w:rPr>
                <w:rFonts w:cs="Arial"/>
                <w:sz w:val="20"/>
                <w:szCs w:val="20"/>
              </w:rPr>
              <w:t>No specific Ecological Risk Assessment (ERA) of the impact of the TGCF on ecological communities or on food chains has been undertaken. Impact on the ecosystem and the environment generally is considered low in the fishery due to the nature of the fishing gear (trap pots). The rock lobster pot fishery ERA was used by DPIPWE as a substitute for a giant crab ERA in relation to impact on marine mammals due to the similar nature of the fishing gear between the two fisheries.</w:t>
            </w:r>
            <w:r w:rsidRPr="001F2CF9">
              <w:rPr>
                <w:rFonts w:cs="Arial"/>
                <w:i/>
                <w:sz w:val="20"/>
                <w:szCs w:val="20"/>
              </w:rPr>
              <w:t xml:space="preserve"> </w:t>
            </w:r>
            <w:r w:rsidR="0047291A" w:rsidRPr="001F2CF9">
              <w:rPr>
                <w:rFonts w:cs="Arial"/>
                <w:sz w:val="20"/>
                <w:szCs w:val="20"/>
              </w:rPr>
              <w:t xml:space="preserve">The fishery operates mainly on </w:t>
            </w:r>
            <w:r w:rsidR="00ED47B9" w:rsidRPr="001F2CF9">
              <w:rPr>
                <w:rFonts w:cs="Arial"/>
                <w:sz w:val="20"/>
                <w:szCs w:val="20"/>
              </w:rPr>
              <w:t>bryozoan</w:t>
            </w:r>
            <w:r w:rsidR="0047291A" w:rsidRPr="001F2CF9">
              <w:rPr>
                <w:rFonts w:cs="Arial"/>
                <w:sz w:val="20"/>
                <w:szCs w:val="20"/>
              </w:rPr>
              <w:t xml:space="preserve"> turf habitat (which grows on sand and mud sediments) along the edge of the continental shelf</w:t>
            </w:r>
            <w:r w:rsidR="003A5462" w:rsidRPr="001F2CF9">
              <w:rPr>
                <w:rFonts w:cs="Arial"/>
                <w:sz w:val="20"/>
                <w:szCs w:val="20"/>
              </w:rPr>
              <w:t>. T</w:t>
            </w:r>
            <w:r w:rsidR="0047291A" w:rsidRPr="001F2CF9">
              <w:rPr>
                <w:rFonts w:cs="Arial"/>
                <w:sz w:val="20"/>
                <w:szCs w:val="20"/>
              </w:rPr>
              <w:t>he impact on ha</w:t>
            </w:r>
            <w:r w:rsidR="003A5462" w:rsidRPr="001F2CF9">
              <w:rPr>
                <w:rFonts w:cs="Arial"/>
                <w:sz w:val="20"/>
                <w:szCs w:val="20"/>
              </w:rPr>
              <w:t xml:space="preserve">bitat and </w:t>
            </w:r>
            <w:r w:rsidR="0047291A" w:rsidRPr="001F2CF9">
              <w:rPr>
                <w:rFonts w:cs="Arial"/>
                <w:sz w:val="20"/>
                <w:szCs w:val="20"/>
              </w:rPr>
              <w:t>ecosystem</w:t>
            </w:r>
            <w:r w:rsidR="00322236" w:rsidRPr="001F2CF9">
              <w:rPr>
                <w:rFonts w:cs="Arial"/>
                <w:sz w:val="20"/>
                <w:szCs w:val="20"/>
              </w:rPr>
              <w:t xml:space="preserve"> </w:t>
            </w:r>
            <w:r w:rsidR="003A5462" w:rsidRPr="001F2CF9">
              <w:rPr>
                <w:rFonts w:cs="Arial"/>
                <w:sz w:val="20"/>
                <w:szCs w:val="20"/>
              </w:rPr>
              <w:t xml:space="preserve">is considered </w:t>
            </w:r>
            <w:r w:rsidR="0047291A" w:rsidRPr="001F2CF9">
              <w:rPr>
                <w:rFonts w:cs="Arial"/>
                <w:sz w:val="20"/>
                <w:szCs w:val="20"/>
              </w:rPr>
              <w:t>low because gear is not dragged and the fishing footprint is considered insignificant relative to the size of the habitat area.</w:t>
            </w:r>
          </w:p>
          <w:p w14:paraId="23E606FB" w14:textId="7E11D2A2" w:rsidR="00564BC9" w:rsidRPr="00F32842" w:rsidRDefault="00564BC9">
            <w:pPr>
              <w:spacing w:before="60" w:after="60" w:line="276" w:lineRule="auto"/>
              <w:contextualSpacing/>
              <w:rPr>
                <w:rFonts w:cs="Arial"/>
                <w:sz w:val="20"/>
                <w:szCs w:val="20"/>
              </w:rPr>
            </w:pPr>
          </w:p>
        </w:tc>
      </w:tr>
      <w:tr w:rsidR="00867590" w:rsidRPr="001F2CF9" w14:paraId="3C4BC27D" w14:textId="77777777" w:rsidTr="00117313">
        <w:trPr>
          <w:cantSplit/>
        </w:trPr>
        <w:tc>
          <w:tcPr>
            <w:tcW w:w="5000" w:type="pct"/>
            <w:gridSpan w:val="2"/>
            <w:shd w:val="clear" w:color="auto" w:fill="E5DFEC"/>
          </w:tcPr>
          <w:p w14:paraId="20035E77" w14:textId="557732B3"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Assessment</w:t>
            </w:r>
          </w:p>
        </w:tc>
      </w:tr>
      <w:tr w:rsidR="00867590" w:rsidRPr="001F2CF9" w14:paraId="608A294E" w14:textId="77777777" w:rsidTr="00EA3FE8">
        <w:trPr>
          <w:cantSplit/>
        </w:trPr>
        <w:tc>
          <w:tcPr>
            <w:tcW w:w="1500" w:type="pct"/>
            <w:shd w:val="clear" w:color="auto" w:fill="auto"/>
          </w:tcPr>
          <w:p w14:paraId="41710549" w14:textId="2EFA9223" w:rsidR="00867590" w:rsidRPr="001F2CF9" w:rsidRDefault="00867590" w:rsidP="00F32842">
            <w:pPr>
              <w:spacing w:before="60" w:after="60" w:line="276" w:lineRule="auto"/>
              <w:contextualSpacing/>
              <w:rPr>
                <w:rFonts w:cs="Arial"/>
                <w:sz w:val="20"/>
                <w:szCs w:val="20"/>
              </w:rPr>
            </w:pPr>
            <w:r w:rsidRPr="00F32842">
              <w:rPr>
                <w:rFonts w:cs="Arial"/>
                <w:b/>
                <w:bCs/>
                <w:sz w:val="20"/>
                <w:szCs w:val="20"/>
              </w:rPr>
              <w:t xml:space="preserve">2.3.2 </w:t>
            </w:r>
            <w:r w:rsidRPr="008201A1">
              <w:rPr>
                <w:rFonts w:cs="Arial"/>
                <w:sz w:val="20"/>
                <w:szCs w:val="20"/>
              </w:rPr>
              <w:t>Information is collected and a risk analysis, appropriate to the scale of the fishery and its potential impacts, is conducted into the s</w:t>
            </w:r>
            <w:r w:rsidRPr="001F2CF9">
              <w:rPr>
                <w:rFonts w:cs="Arial"/>
                <w:sz w:val="20"/>
                <w:szCs w:val="20"/>
              </w:rPr>
              <w:t>usceptibility of each of the following ecosystem components to the fishery.</w:t>
            </w:r>
          </w:p>
          <w:p w14:paraId="27E48D20" w14:textId="77777777" w:rsidR="00867590" w:rsidRPr="001F2CF9" w:rsidRDefault="00867590" w:rsidP="008201A1">
            <w:pPr>
              <w:spacing w:before="60" w:after="60" w:line="276" w:lineRule="auto"/>
              <w:contextualSpacing/>
              <w:rPr>
                <w:rFonts w:cs="Arial"/>
                <w:sz w:val="20"/>
                <w:szCs w:val="20"/>
              </w:rPr>
            </w:pPr>
            <w:r w:rsidRPr="001F2CF9">
              <w:rPr>
                <w:rFonts w:cs="Arial"/>
                <w:sz w:val="20"/>
                <w:szCs w:val="20"/>
              </w:rPr>
              <w:t>1. Impacts on ecological communities</w:t>
            </w:r>
          </w:p>
          <w:p w14:paraId="0606C2AB" w14:textId="77777777" w:rsidR="00867590" w:rsidRPr="001F2CF9" w:rsidRDefault="00867590">
            <w:pPr>
              <w:spacing w:before="60" w:after="60" w:line="276" w:lineRule="auto"/>
              <w:contextualSpacing/>
              <w:rPr>
                <w:rFonts w:cs="Arial"/>
                <w:sz w:val="20"/>
                <w:szCs w:val="20"/>
              </w:rPr>
            </w:pPr>
            <w:r w:rsidRPr="001F2CF9">
              <w:rPr>
                <w:rFonts w:cs="Arial"/>
                <w:sz w:val="20"/>
                <w:szCs w:val="20"/>
              </w:rPr>
              <w:t>• Benthic communities</w:t>
            </w:r>
          </w:p>
          <w:p w14:paraId="4C66DCE2" w14:textId="77777777" w:rsidR="00867590" w:rsidRPr="001F2CF9" w:rsidRDefault="00867590">
            <w:pPr>
              <w:spacing w:before="60" w:after="60" w:line="276" w:lineRule="auto"/>
              <w:contextualSpacing/>
              <w:rPr>
                <w:rFonts w:cs="Arial"/>
                <w:sz w:val="20"/>
                <w:szCs w:val="20"/>
              </w:rPr>
            </w:pPr>
            <w:r w:rsidRPr="001F2CF9">
              <w:rPr>
                <w:rFonts w:cs="Arial"/>
                <w:sz w:val="20"/>
                <w:szCs w:val="20"/>
              </w:rPr>
              <w:t>• Ecologically related, associated or dependent species</w:t>
            </w:r>
          </w:p>
          <w:p w14:paraId="21349DE0" w14:textId="77777777" w:rsidR="00867590" w:rsidRPr="001F2CF9" w:rsidRDefault="00867590">
            <w:pPr>
              <w:spacing w:before="60" w:after="60" w:line="276" w:lineRule="auto"/>
              <w:contextualSpacing/>
              <w:rPr>
                <w:rFonts w:cs="Arial"/>
                <w:sz w:val="20"/>
                <w:szCs w:val="20"/>
              </w:rPr>
            </w:pPr>
            <w:r w:rsidRPr="001F2CF9">
              <w:rPr>
                <w:rFonts w:cs="Arial"/>
                <w:sz w:val="20"/>
                <w:szCs w:val="20"/>
              </w:rPr>
              <w:t>• Water column communities</w:t>
            </w:r>
          </w:p>
          <w:p w14:paraId="7A9950B2" w14:textId="77777777" w:rsidR="00867590" w:rsidRPr="001F2CF9" w:rsidRDefault="00867590">
            <w:pPr>
              <w:spacing w:before="60" w:after="60" w:line="276" w:lineRule="auto"/>
              <w:contextualSpacing/>
              <w:rPr>
                <w:rFonts w:cs="Arial"/>
                <w:sz w:val="20"/>
                <w:szCs w:val="20"/>
              </w:rPr>
            </w:pPr>
            <w:r w:rsidRPr="001F2CF9">
              <w:rPr>
                <w:rFonts w:cs="Arial"/>
                <w:sz w:val="20"/>
                <w:szCs w:val="20"/>
              </w:rPr>
              <w:t>2. Impacts on food chains</w:t>
            </w:r>
          </w:p>
          <w:p w14:paraId="66B9B0F3" w14:textId="77777777" w:rsidR="00867590" w:rsidRPr="001F2CF9" w:rsidRDefault="00867590">
            <w:pPr>
              <w:spacing w:before="60" w:after="60" w:line="276" w:lineRule="auto"/>
              <w:contextualSpacing/>
              <w:rPr>
                <w:rFonts w:cs="Arial"/>
                <w:sz w:val="20"/>
                <w:szCs w:val="20"/>
              </w:rPr>
            </w:pPr>
            <w:r w:rsidRPr="001F2CF9">
              <w:rPr>
                <w:rFonts w:cs="Arial"/>
                <w:sz w:val="20"/>
                <w:szCs w:val="20"/>
              </w:rPr>
              <w:t>• Structure</w:t>
            </w:r>
          </w:p>
          <w:p w14:paraId="7CC656E1" w14:textId="77777777" w:rsidR="00867590" w:rsidRPr="001F2CF9" w:rsidRDefault="00867590">
            <w:pPr>
              <w:spacing w:before="60" w:after="60" w:line="276" w:lineRule="auto"/>
              <w:contextualSpacing/>
              <w:rPr>
                <w:rFonts w:cs="Arial"/>
                <w:sz w:val="20"/>
                <w:szCs w:val="20"/>
              </w:rPr>
            </w:pPr>
            <w:r w:rsidRPr="001F2CF9">
              <w:rPr>
                <w:rFonts w:cs="Arial"/>
                <w:sz w:val="20"/>
                <w:szCs w:val="20"/>
              </w:rPr>
              <w:t>• Productivity/flows</w:t>
            </w:r>
          </w:p>
          <w:p w14:paraId="5FFFF890" w14:textId="77777777" w:rsidR="00867590" w:rsidRPr="001F2CF9" w:rsidRDefault="00867590">
            <w:pPr>
              <w:spacing w:before="60" w:after="60" w:line="276" w:lineRule="auto"/>
              <w:contextualSpacing/>
              <w:rPr>
                <w:rFonts w:cs="Arial"/>
                <w:sz w:val="20"/>
                <w:szCs w:val="20"/>
              </w:rPr>
            </w:pPr>
            <w:r w:rsidRPr="001F2CF9">
              <w:rPr>
                <w:rFonts w:cs="Arial"/>
                <w:sz w:val="20"/>
                <w:szCs w:val="20"/>
              </w:rPr>
              <w:t>3. Impacts on the physical environment</w:t>
            </w:r>
          </w:p>
          <w:p w14:paraId="79EF8BD8" w14:textId="77777777" w:rsidR="00867590" w:rsidRPr="001F2CF9" w:rsidRDefault="00867590">
            <w:pPr>
              <w:spacing w:before="60" w:after="60" w:line="276" w:lineRule="auto"/>
              <w:contextualSpacing/>
              <w:rPr>
                <w:rFonts w:cs="Arial"/>
                <w:sz w:val="20"/>
                <w:szCs w:val="20"/>
              </w:rPr>
            </w:pPr>
            <w:r w:rsidRPr="001F2CF9">
              <w:rPr>
                <w:rFonts w:cs="Arial"/>
                <w:sz w:val="20"/>
                <w:szCs w:val="20"/>
              </w:rPr>
              <w:t>• Physical habitat</w:t>
            </w:r>
          </w:p>
          <w:p w14:paraId="1BDD845F" w14:textId="77777777" w:rsidR="00867590" w:rsidRPr="001F2CF9" w:rsidRDefault="00867590">
            <w:pPr>
              <w:spacing w:before="60" w:after="60" w:line="276" w:lineRule="auto"/>
              <w:contextualSpacing/>
              <w:rPr>
                <w:rFonts w:cs="Arial"/>
                <w:sz w:val="20"/>
                <w:szCs w:val="20"/>
              </w:rPr>
            </w:pPr>
            <w:r w:rsidRPr="001F2CF9">
              <w:rPr>
                <w:rFonts w:cs="Arial"/>
                <w:sz w:val="20"/>
                <w:szCs w:val="20"/>
              </w:rPr>
              <w:t>• Water quality</w:t>
            </w:r>
          </w:p>
          <w:p w14:paraId="75D4CE02" w14:textId="47BD9FE2" w:rsidR="004649FA" w:rsidRPr="001F2CF9" w:rsidRDefault="004649FA">
            <w:pPr>
              <w:spacing w:before="60" w:after="60" w:line="276" w:lineRule="auto"/>
              <w:contextualSpacing/>
              <w:rPr>
                <w:rFonts w:cs="Arial"/>
                <w:b/>
                <w:i/>
                <w:sz w:val="20"/>
                <w:szCs w:val="20"/>
              </w:rPr>
            </w:pPr>
          </w:p>
        </w:tc>
        <w:tc>
          <w:tcPr>
            <w:tcW w:w="3500" w:type="pct"/>
            <w:shd w:val="clear" w:color="auto" w:fill="FFC000"/>
          </w:tcPr>
          <w:p w14:paraId="19909207" w14:textId="53199FEF" w:rsidR="005806BB" w:rsidRPr="001F2CF9" w:rsidRDefault="005806BB">
            <w:pPr>
              <w:spacing w:before="60" w:after="60" w:line="276" w:lineRule="auto"/>
              <w:contextualSpacing/>
              <w:rPr>
                <w:rFonts w:cs="Arial"/>
                <w:b/>
                <w:sz w:val="20"/>
                <w:szCs w:val="20"/>
              </w:rPr>
            </w:pPr>
            <w:r w:rsidRPr="001F2CF9">
              <w:rPr>
                <w:rFonts w:cs="Arial"/>
                <w:b/>
                <w:sz w:val="20"/>
                <w:szCs w:val="20"/>
              </w:rPr>
              <w:t xml:space="preserve">Partially meets – </w:t>
            </w:r>
            <w:r w:rsidR="00A43FF4" w:rsidRPr="001F2CF9">
              <w:rPr>
                <w:rFonts w:cs="Arial"/>
                <w:b/>
                <w:sz w:val="20"/>
                <w:szCs w:val="20"/>
              </w:rPr>
              <w:t xml:space="preserve">An </w:t>
            </w:r>
            <w:r w:rsidRPr="001F2CF9">
              <w:rPr>
                <w:rFonts w:cs="Arial"/>
                <w:b/>
                <w:sz w:val="20"/>
                <w:szCs w:val="20"/>
              </w:rPr>
              <w:t xml:space="preserve">ERA </w:t>
            </w:r>
            <w:r w:rsidR="00A43FF4" w:rsidRPr="001F2CF9">
              <w:rPr>
                <w:rFonts w:cs="Arial"/>
                <w:b/>
                <w:sz w:val="20"/>
                <w:szCs w:val="20"/>
              </w:rPr>
              <w:t xml:space="preserve">is </w:t>
            </w:r>
            <w:r w:rsidRPr="001F2CF9">
              <w:rPr>
                <w:rFonts w:cs="Arial"/>
                <w:b/>
                <w:sz w:val="20"/>
                <w:szCs w:val="20"/>
              </w:rPr>
              <w:t>not considered necessary for the scale of the fishery</w:t>
            </w:r>
            <w:r w:rsidR="00A43FF4" w:rsidRPr="001F2CF9">
              <w:rPr>
                <w:rFonts w:cs="Arial"/>
                <w:b/>
                <w:sz w:val="20"/>
                <w:szCs w:val="20"/>
              </w:rPr>
              <w:t xml:space="preserve"> but a proxy ERA is used</w:t>
            </w:r>
            <w:r w:rsidRPr="001F2CF9">
              <w:rPr>
                <w:rFonts w:cs="Arial"/>
                <w:b/>
                <w:sz w:val="20"/>
                <w:szCs w:val="20"/>
              </w:rPr>
              <w:t>.</w:t>
            </w:r>
          </w:p>
          <w:p w14:paraId="442D97EA" w14:textId="77777777" w:rsidR="006B791A" w:rsidRDefault="006B791A">
            <w:pPr>
              <w:spacing w:before="60" w:after="60" w:line="276" w:lineRule="auto"/>
              <w:contextualSpacing/>
              <w:rPr>
                <w:rFonts w:cs="Arial"/>
                <w:sz w:val="20"/>
                <w:szCs w:val="20"/>
              </w:rPr>
            </w:pPr>
          </w:p>
          <w:p w14:paraId="397BE197" w14:textId="0FCDB984" w:rsidR="005806BB" w:rsidRPr="001F2CF9" w:rsidRDefault="00A30087">
            <w:pPr>
              <w:spacing w:before="60" w:after="60" w:line="276" w:lineRule="auto"/>
              <w:contextualSpacing/>
              <w:rPr>
                <w:rFonts w:cs="Arial"/>
                <w:sz w:val="20"/>
                <w:szCs w:val="20"/>
              </w:rPr>
            </w:pPr>
            <w:r w:rsidRPr="001F2CF9">
              <w:rPr>
                <w:rFonts w:cs="Arial"/>
                <w:sz w:val="20"/>
                <w:szCs w:val="20"/>
              </w:rPr>
              <w:t xml:space="preserve">Ecosystem components 1 and 3 </w:t>
            </w:r>
            <w:r w:rsidR="00EC16DE">
              <w:rPr>
                <w:rFonts w:cs="Arial"/>
                <w:sz w:val="20"/>
                <w:szCs w:val="20"/>
              </w:rPr>
              <w:t xml:space="preserve">are </w:t>
            </w:r>
            <w:r w:rsidRPr="008201A1">
              <w:rPr>
                <w:rFonts w:cs="Arial"/>
                <w:sz w:val="20"/>
                <w:szCs w:val="20"/>
              </w:rPr>
              <w:t>not applicable to the nature and scale of the fishery for the reasons mentioned in 2.3.1.</w:t>
            </w:r>
            <w:r w:rsidR="00A74D55" w:rsidRPr="001F2CF9">
              <w:rPr>
                <w:rFonts w:cs="Arial"/>
                <w:sz w:val="20"/>
                <w:szCs w:val="20"/>
              </w:rPr>
              <w:t xml:space="preserve"> </w:t>
            </w:r>
            <w:r w:rsidRPr="001F2CF9">
              <w:rPr>
                <w:rFonts w:cs="Arial"/>
                <w:sz w:val="20"/>
                <w:szCs w:val="20"/>
              </w:rPr>
              <w:t>No information has been collated and/or collected regarding component 2 and therefore, an analysis on the potential risk and impact on food chains has not been conducted in the fishery.</w:t>
            </w:r>
            <w:r w:rsidR="004044FC" w:rsidRPr="001F2CF9">
              <w:rPr>
                <w:rFonts w:cs="Arial"/>
                <w:sz w:val="20"/>
                <w:szCs w:val="20"/>
              </w:rPr>
              <w:t xml:space="preserve"> The rock lobster pot fishery ERA was used as a substitute for a giant crab ERA in relation to marine </w:t>
            </w:r>
            <w:proofErr w:type="gramStart"/>
            <w:r w:rsidR="004044FC" w:rsidRPr="001F2CF9">
              <w:rPr>
                <w:rFonts w:cs="Arial"/>
                <w:sz w:val="20"/>
                <w:szCs w:val="20"/>
              </w:rPr>
              <w:t>mammals</w:t>
            </w:r>
            <w:proofErr w:type="gramEnd"/>
            <w:r w:rsidR="004044FC" w:rsidRPr="001F2CF9">
              <w:rPr>
                <w:rFonts w:cs="Arial"/>
                <w:sz w:val="20"/>
                <w:szCs w:val="20"/>
              </w:rPr>
              <w:t xml:space="preserve"> impact. </w:t>
            </w:r>
            <w:r w:rsidR="002874EA" w:rsidRPr="001F2CF9">
              <w:rPr>
                <w:rFonts w:cs="Arial"/>
                <w:sz w:val="20"/>
                <w:szCs w:val="20"/>
              </w:rPr>
              <w:t>T</w:t>
            </w:r>
            <w:r w:rsidR="004044FC" w:rsidRPr="001F2CF9">
              <w:rPr>
                <w:rFonts w:cs="Arial"/>
                <w:sz w:val="20"/>
                <w:szCs w:val="20"/>
              </w:rPr>
              <w:t>he</w:t>
            </w:r>
            <w:r w:rsidR="009A221F" w:rsidRPr="001F2CF9">
              <w:rPr>
                <w:rFonts w:cs="Arial"/>
                <w:sz w:val="20"/>
                <w:szCs w:val="20"/>
              </w:rPr>
              <w:t xml:space="preserve"> operation</w:t>
            </w:r>
            <w:r w:rsidR="002874EA" w:rsidRPr="001F2CF9">
              <w:rPr>
                <w:rFonts w:cs="Arial"/>
                <w:sz w:val="20"/>
                <w:szCs w:val="20"/>
              </w:rPr>
              <w:t xml:space="preserve"> of the</w:t>
            </w:r>
            <w:r w:rsidR="004044FC" w:rsidRPr="001F2CF9">
              <w:rPr>
                <w:rFonts w:cs="Arial"/>
                <w:sz w:val="20"/>
                <w:szCs w:val="20"/>
              </w:rPr>
              <w:t xml:space="preserve"> fisher</w:t>
            </w:r>
            <w:r w:rsidR="009A221F" w:rsidRPr="001F2CF9">
              <w:rPr>
                <w:rFonts w:cs="Arial"/>
                <w:sz w:val="20"/>
                <w:szCs w:val="20"/>
              </w:rPr>
              <w:t>y is</w:t>
            </w:r>
            <w:r w:rsidR="002874EA" w:rsidRPr="001F2CF9">
              <w:rPr>
                <w:rFonts w:cs="Arial"/>
                <w:sz w:val="20"/>
                <w:szCs w:val="20"/>
              </w:rPr>
              <w:t xml:space="preserve"> considered to have a </w:t>
            </w:r>
            <w:r w:rsidR="004044FC" w:rsidRPr="001F2CF9">
              <w:rPr>
                <w:rFonts w:cs="Arial"/>
                <w:sz w:val="20"/>
                <w:szCs w:val="20"/>
              </w:rPr>
              <w:t>low impact on the ecosystem and environment generally.</w:t>
            </w:r>
          </w:p>
        </w:tc>
      </w:tr>
      <w:tr w:rsidR="00867590" w:rsidRPr="001F2CF9" w14:paraId="007746A1" w14:textId="77777777" w:rsidTr="00117313">
        <w:trPr>
          <w:cantSplit/>
          <w:trHeight w:val="77"/>
        </w:trPr>
        <w:tc>
          <w:tcPr>
            <w:tcW w:w="5000" w:type="pct"/>
            <w:gridSpan w:val="2"/>
            <w:shd w:val="clear" w:color="auto" w:fill="E5DFEC"/>
          </w:tcPr>
          <w:p w14:paraId="2F5F922B" w14:textId="77777777" w:rsidR="00867590" w:rsidRPr="00F32842" w:rsidRDefault="00867590" w:rsidP="00F32842">
            <w:pPr>
              <w:spacing w:before="60" w:after="60" w:line="276" w:lineRule="auto"/>
              <w:contextualSpacing/>
              <w:rPr>
                <w:rFonts w:cs="Arial"/>
                <w:b/>
                <w:bCs/>
                <w:i/>
                <w:iCs/>
                <w:sz w:val="20"/>
                <w:szCs w:val="20"/>
              </w:rPr>
            </w:pPr>
            <w:r w:rsidRPr="00F32842">
              <w:rPr>
                <w:rFonts w:cs="Arial"/>
                <w:b/>
                <w:bCs/>
                <w:i/>
                <w:iCs/>
                <w:sz w:val="20"/>
                <w:szCs w:val="20"/>
              </w:rPr>
              <w:t>Management responses</w:t>
            </w:r>
          </w:p>
        </w:tc>
      </w:tr>
      <w:tr w:rsidR="00867590" w:rsidRPr="001F2CF9" w14:paraId="405718D3" w14:textId="77777777" w:rsidTr="00117313">
        <w:trPr>
          <w:cantSplit/>
          <w:trHeight w:val="77"/>
        </w:trPr>
        <w:tc>
          <w:tcPr>
            <w:tcW w:w="1500" w:type="pct"/>
          </w:tcPr>
          <w:p w14:paraId="1C2BDFA5"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lastRenderedPageBreak/>
              <w:t xml:space="preserve">2.3.3 </w:t>
            </w:r>
            <w:r w:rsidRPr="008201A1">
              <w:rPr>
                <w:rFonts w:cs="Arial"/>
                <w:sz w:val="20"/>
                <w:szCs w:val="20"/>
              </w:rPr>
              <w:t>Management actions are in place to ensure significant damage to ecosystems does not arise from the impacts described in 2.3.1.</w:t>
            </w:r>
          </w:p>
          <w:p w14:paraId="1432DE2D" w14:textId="50AB7AB7" w:rsidR="004649FA" w:rsidRPr="008201A1" w:rsidRDefault="004649FA" w:rsidP="008201A1">
            <w:pPr>
              <w:spacing w:before="60" w:after="60" w:line="276" w:lineRule="auto"/>
              <w:contextualSpacing/>
              <w:rPr>
                <w:rFonts w:cs="Arial"/>
                <w:b/>
                <w:i/>
                <w:sz w:val="20"/>
                <w:szCs w:val="20"/>
              </w:rPr>
            </w:pPr>
          </w:p>
        </w:tc>
        <w:tc>
          <w:tcPr>
            <w:tcW w:w="3500" w:type="pct"/>
            <w:shd w:val="clear" w:color="auto" w:fill="auto"/>
          </w:tcPr>
          <w:p w14:paraId="7D5EEDC7" w14:textId="65A0CD79" w:rsidR="005806BB" w:rsidRPr="001F2CF9" w:rsidRDefault="00CF1886">
            <w:pPr>
              <w:spacing w:before="60" w:after="60" w:line="276" w:lineRule="auto"/>
              <w:contextualSpacing/>
              <w:rPr>
                <w:rFonts w:cs="Arial"/>
                <w:sz w:val="20"/>
                <w:szCs w:val="20"/>
              </w:rPr>
            </w:pPr>
            <w:r w:rsidRPr="001F2CF9">
              <w:rPr>
                <w:rFonts w:cs="Arial"/>
                <w:b/>
                <w:sz w:val="20"/>
                <w:szCs w:val="20"/>
              </w:rPr>
              <w:t>Not applicable</w:t>
            </w:r>
            <w:r w:rsidR="00DD2472" w:rsidRPr="001F2CF9">
              <w:rPr>
                <w:rFonts w:cs="Arial"/>
                <w:b/>
                <w:sz w:val="20"/>
                <w:szCs w:val="20"/>
              </w:rPr>
              <w:t>.</w:t>
            </w:r>
          </w:p>
          <w:p w14:paraId="249655C6" w14:textId="77777777" w:rsidR="006B791A" w:rsidRDefault="006B791A">
            <w:pPr>
              <w:spacing w:before="60" w:after="60" w:line="276" w:lineRule="auto"/>
              <w:contextualSpacing/>
              <w:rPr>
                <w:rFonts w:cs="Arial"/>
                <w:sz w:val="20"/>
                <w:szCs w:val="20"/>
              </w:rPr>
            </w:pPr>
          </w:p>
          <w:p w14:paraId="7DA1EDA6" w14:textId="77777777" w:rsidR="00867590" w:rsidRDefault="007C5E6B">
            <w:pPr>
              <w:spacing w:before="60" w:after="60" w:line="276" w:lineRule="auto"/>
              <w:contextualSpacing/>
              <w:rPr>
                <w:rFonts w:cs="Arial"/>
                <w:sz w:val="20"/>
                <w:szCs w:val="20"/>
              </w:rPr>
            </w:pPr>
            <w:r w:rsidRPr="001F2CF9">
              <w:rPr>
                <w:rFonts w:cs="Arial"/>
                <w:sz w:val="20"/>
                <w:szCs w:val="20"/>
              </w:rPr>
              <w:t xml:space="preserve">No specific management actions to mitigate potential damage to ecosystems arising from described impacts in 2.3.1 is in place. </w:t>
            </w:r>
            <w:r w:rsidR="00CF1886" w:rsidRPr="001F2CF9">
              <w:rPr>
                <w:rFonts w:cs="Arial"/>
                <w:sz w:val="20"/>
                <w:szCs w:val="20"/>
              </w:rPr>
              <w:t>The impact on habitat and ecosystems is considered low because fishing gear is not dragged. The fishing footprint is considered insignificant relative to the size of the habitat area.</w:t>
            </w:r>
          </w:p>
          <w:p w14:paraId="603A86ED" w14:textId="243C4AEB" w:rsidR="00564BC9" w:rsidRPr="00F32842" w:rsidRDefault="00564BC9">
            <w:pPr>
              <w:spacing w:before="60" w:after="60" w:line="276" w:lineRule="auto"/>
              <w:contextualSpacing/>
              <w:rPr>
                <w:rFonts w:cs="Arial"/>
                <w:b/>
                <w:sz w:val="20"/>
                <w:szCs w:val="20"/>
              </w:rPr>
            </w:pPr>
          </w:p>
        </w:tc>
      </w:tr>
      <w:tr w:rsidR="00867590" w:rsidRPr="001F2CF9" w14:paraId="0C8B361A" w14:textId="77777777" w:rsidTr="00EA3FE8">
        <w:trPr>
          <w:cantSplit/>
        </w:trPr>
        <w:tc>
          <w:tcPr>
            <w:tcW w:w="1500" w:type="pct"/>
            <w:shd w:val="clear" w:color="auto" w:fill="auto"/>
          </w:tcPr>
          <w:p w14:paraId="5A2F7A15" w14:textId="77777777" w:rsidR="00867590" w:rsidRPr="008201A1" w:rsidRDefault="00867590" w:rsidP="00F32842">
            <w:pPr>
              <w:spacing w:before="60" w:after="60" w:line="276" w:lineRule="auto"/>
              <w:contextualSpacing/>
              <w:rPr>
                <w:rFonts w:cs="Arial"/>
                <w:sz w:val="20"/>
                <w:szCs w:val="20"/>
              </w:rPr>
            </w:pPr>
            <w:r w:rsidRPr="00F32842">
              <w:rPr>
                <w:rFonts w:cs="Arial"/>
                <w:b/>
                <w:bCs/>
                <w:i/>
                <w:iCs/>
                <w:sz w:val="20"/>
                <w:szCs w:val="20"/>
              </w:rPr>
              <w:t xml:space="preserve">2.3.4 </w:t>
            </w:r>
            <w:r w:rsidRPr="008201A1">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4649FA" w:rsidRPr="008201A1" w:rsidRDefault="004649FA" w:rsidP="008201A1">
            <w:pPr>
              <w:spacing w:before="60" w:after="60" w:line="276" w:lineRule="auto"/>
              <w:contextualSpacing/>
              <w:rPr>
                <w:rFonts w:cs="Arial"/>
                <w:sz w:val="20"/>
                <w:szCs w:val="20"/>
              </w:rPr>
            </w:pPr>
          </w:p>
        </w:tc>
        <w:tc>
          <w:tcPr>
            <w:tcW w:w="3500" w:type="pct"/>
            <w:shd w:val="clear" w:color="auto" w:fill="auto"/>
          </w:tcPr>
          <w:p w14:paraId="55B3B957" w14:textId="7361A657" w:rsidR="005806BB" w:rsidRPr="001F2CF9" w:rsidRDefault="00153752">
            <w:pPr>
              <w:spacing w:before="60" w:after="60" w:line="276" w:lineRule="auto"/>
              <w:contextualSpacing/>
              <w:rPr>
                <w:rFonts w:cs="Arial"/>
                <w:b/>
                <w:sz w:val="20"/>
                <w:szCs w:val="20"/>
              </w:rPr>
            </w:pPr>
            <w:r w:rsidRPr="001F2CF9">
              <w:rPr>
                <w:rFonts w:cs="Arial"/>
                <w:b/>
                <w:sz w:val="20"/>
                <w:szCs w:val="20"/>
              </w:rPr>
              <w:t>Not applicable</w:t>
            </w:r>
            <w:r w:rsidR="00DD2472" w:rsidRPr="001F2CF9">
              <w:rPr>
                <w:rFonts w:cs="Arial"/>
                <w:b/>
                <w:sz w:val="20"/>
                <w:szCs w:val="20"/>
              </w:rPr>
              <w:t>.</w:t>
            </w:r>
          </w:p>
          <w:p w14:paraId="11235EDF" w14:textId="77777777" w:rsidR="006B791A" w:rsidRDefault="006B791A">
            <w:pPr>
              <w:spacing w:before="60" w:after="60" w:line="276" w:lineRule="auto"/>
              <w:contextualSpacing/>
              <w:rPr>
                <w:rFonts w:cs="Arial"/>
                <w:sz w:val="20"/>
                <w:szCs w:val="20"/>
              </w:rPr>
            </w:pPr>
          </w:p>
          <w:p w14:paraId="1743511B" w14:textId="7FEB201C" w:rsidR="00153752" w:rsidRPr="001F2CF9" w:rsidRDefault="00153752">
            <w:pPr>
              <w:spacing w:before="60" w:after="60" w:line="276" w:lineRule="auto"/>
              <w:contextualSpacing/>
              <w:rPr>
                <w:rFonts w:cs="Arial"/>
                <w:sz w:val="20"/>
                <w:szCs w:val="20"/>
              </w:rPr>
            </w:pPr>
            <w:r w:rsidRPr="001F2CF9">
              <w:rPr>
                <w:rFonts w:cs="Arial"/>
                <w:sz w:val="20"/>
                <w:szCs w:val="20"/>
              </w:rPr>
              <w:t>No performance measures are implemented and no decision rules are in place for the ecosystem generally because the level of risk is considered negligible to low.</w:t>
            </w:r>
          </w:p>
        </w:tc>
      </w:tr>
      <w:tr w:rsidR="00867590" w:rsidRPr="001F2CF9" w14:paraId="22F6BF5A" w14:textId="77777777" w:rsidTr="00117313">
        <w:trPr>
          <w:cantSplit/>
        </w:trPr>
        <w:tc>
          <w:tcPr>
            <w:tcW w:w="1500" w:type="pct"/>
          </w:tcPr>
          <w:p w14:paraId="6A6B59DC" w14:textId="77777777" w:rsidR="00867590" w:rsidRPr="001F2CF9" w:rsidRDefault="00867590" w:rsidP="00F32842">
            <w:pPr>
              <w:spacing w:before="60" w:after="60" w:line="276" w:lineRule="auto"/>
              <w:contextualSpacing/>
              <w:rPr>
                <w:rFonts w:cs="Arial"/>
                <w:sz w:val="20"/>
                <w:szCs w:val="20"/>
              </w:rPr>
            </w:pPr>
            <w:r w:rsidRPr="00F32842">
              <w:rPr>
                <w:rFonts w:cs="Arial"/>
                <w:b/>
                <w:bCs/>
                <w:i/>
                <w:iCs/>
                <w:sz w:val="20"/>
                <w:szCs w:val="20"/>
              </w:rPr>
              <w:t>2.3.5</w:t>
            </w:r>
            <w:r w:rsidRPr="008201A1">
              <w:rPr>
                <w:rFonts w:cs="Arial"/>
                <w:sz w:val="20"/>
                <w:szCs w:val="20"/>
              </w:rPr>
              <w:t xml:space="preserve"> The management response, considering uncertainties in the assessment and pre</w:t>
            </w:r>
            <w:r w:rsidRPr="001F2CF9">
              <w:rPr>
                <w:rFonts w:cs="Arial"/>
                <w:sz w:val="20"/>
                <w:szCs w:val="20"/>
              </w:rPr>
              <w:t>cautionary management actions, has a high chance of achieving the objective.</w:t>
            </w:r>
          </w:p>
          <w:p w14:paraId="544B66DE" w14:textId="780674B5" w:rsidR="004649FA" w:rsidRPr="001F2CF9" w:rsidRDefault="004649FA" w:rsidP="008201A1">
            <w:pPr>
              <w:spacing w:before="60" w:after="60" w:line="276" w:lineRule="auto"/>
              <w:contextualSpacing/>
              <w:rPr>
                <w:rFonts w:cs="Arial"/>
                <w:sz w:val="20"/>
                <w:szCs w:val="20"/>
              </w:rPr>
            </w:pPr>
          </w:p>
        </w:tc>
        <w:tc>
          <w:tcPr>
            <w:tcW w:w="3500" w:type="pct"/>
            <w:shd w:val="clear" w:color="auto" w:fill="92D050"/>
          </w:tcPr>
          <w:p w14:paraId="1CB63940" w14:textId="5D1058AE" w:rsidR="00636969" w:rsidRPr="001F2CF9" w:rsidRDefault="00636969">
            <w:pPr>
              <w:spacing w:before="60" w:after="60" w:line="276" w:lineRule="auto"/>
              <w:contextualSpacing/>
              <w:rPr>
                <w:rFonts w:cs="Arial"/>
                <w:b/>
                <w:sz w:val="20"/>
                <w:szCs w:val="20"/>
              </w:rPr>
            </w:pPr>
            <w:r w:rsidRPr="001F2CF9">
              <w:rPr>
                <w:rFonts w:cs="Arial"/>
                <w:b/>
                <w:sz w:val="20"/>
                <w:szCs w:val="20"/>
              </w:rPr>
              <w:t xml:space="preserve">Meets – </w:t>
            </w:r>
            <w:r w:rsidR="005E0D8C">
              <w:rPr>
                <w:rFonts w:cs="Arial"/>
                <w:b/>
                <w:sz w:val="20"/>
                <w:szCs w:val="20"/>
              </w:rPr>
              <w:tab/>
            </w:r>
            <w:r w:rsidR="007129BB" w:rsidRPr="001F2CF9">
              <w:rPr>
                <w:rFonts w:cs="Arial"/>
                <w:b/>
                <w:sz w:val="20"/>
                <w:szCs w:val="20"/>
              </w:rPr>
              <w:t xml:space="preserve">The management arrangements are considered to have a high chance of meeting their </w:t>
            </w:r>
            <w:r w:rsidR="005E0D8C">
              <w:rPr>
                <w:rFonts w:cs="Arial"/>
                <w:b/>
                <w:sz w:val="20"/>
                <w:szCs w:val="20"/>
              </w:rPr>
              <w:tab/>
            </w:r>
            <w:r w:rsidR="005E0D8C">
              <w:rPr>
                <w:rFonts w:cs="Arial"/>
                <w:b/>
                <w:sz w:val="20"/>
                <w:szCs w:val="20"/>
              </w:rPr>
              <w:tab/>
            </w:r>
            <w:r w:rsidR="005E0D8C">
              <w:rPr>
                <w:rFonts w:cs="Arial"/>
                <w:b/>
                <w:sz w:val="20"/>
                <w:szCs w:val="20"/>
              </w:rPr>
              <w:tab/>
            </w:r>
            <w:r w:rsidR="007129BB" w:rsidRPr="001F2CF9">
              <w:rPr>
                <w:rFonts w:cs="Arial"/>
                <w:b/>
                <w:sz w:val="20"/>
                <w:szCs w:val="20"/>
              </w:rPr>
              <w:t>objective</w:t>
            </w:r>
          </w:p>
          <w:p w14:paraId="001B4B6A" w14:textId="77777777" w:rsidR="006B791A" w:rsidRDefault="006B791A">
            <w:pPr>
              <w:spacing w:before="60" w:after="60" w:line="276" w:lineRule="auto"/>
              <w:contextualSpacing/>
              <w:rPr>
                <w:rFonts w:cs="Arial"/>
                <w:sz w:val="20"/>
                <w:szCs w:val="20"/>
              </w:rPr>
            </w:pPr>
          </w:p>
          <w:p w14:paraId="5DABCD7B" w14:textId="6F48BDF4" w:rsidR="00867590" w:rsidRPr="001F2CF9" w:rsidRDefault="004F33D4">
            <w:pPr>
              <w:spacing w:before="60" w:after="60" w:line="276" w:lineRule="auto"/>
              <w:contextualSpacing/>
              <w:rPr>
                <w:rFonts w:cs="Arial"/>
                <w:sz w:val="20"/>
                <w:szCs w:val="20"/>
              </w:rPr>
            </w:pPr>
            <w:r w:rsidRPr="001F2CF9">
              <w:rPr>
                <w:rFonts w:cs="Arial"/>
                <w:sz w:val="20"/>
                <w:szCs w:val="20"/>
              </w:rPr>
              <w:t xml:space="preserve">Management arrangements are considered likely to achieve the objective of the </w:t>
            </w:r>
            <w:r w:rsidR="00E14AF9" w:rsidRPr="001F2CF9">
              <w:rPr>
                <w:rFonts w:cs="Arial"/>
                <w:sz w:val="20"/>
                <w:szCs w:val="20"/>
              </w:rPr>
              <w:t>fishery being conducted, in a manner that minimises the impact of fishing operations on the ecosystem generally</w:t>
            </w:r>
            <w:r w:rsidR="007129BB" w:rsidRPr="001F2CF9">
              <w:rPr>
                <w:rFonts w:cs="Arial"/>
                <w:sz w:val="20"/>
                <w:szCs w:val="20"/>
              </w:rPr>
              <w:t>.</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0BC9E283" w:rsidR="006B6EF9" w:rsidRPr="004F5EA4" w:rsidRDefault="006B6EF9" w:rsidP="00EF2FE1">
      <w:pPr>
        <w:pStyle w:val="Heading1"/>
        <w:rPr>
          <w:rFonts w:ascii="Arial" w:hAnsi="Arial"/>
          <w:sz w:val="32"/>
          <w:szCs w:val="32"/>
        </w:rPr>
      </w:pPr>
      <w:bookmarkStart w:id="9" w:name="_Toc25824106"/>
      <w:r w:rsidRPr="004F5EA4">
        <w:rPr>
          <w:rFonts w:ascii="Arial" w:hAnsi="Arial"/>
          <w:sz w:val="32"/>
          <w:szCs w:val="32"/>
        </w:rPr>
        <w:lastRenderedPageBreak/>
        <w:t>Section</w:t>
      </w:r>
      <w:r w:rsidR="0027138D" w:rsidRPr="004F5EA4">
        <w:rPr>
          <w:rFonts w:ascii="Arial" w:hAnsi="Arial"/>
          <w:sz w:val="32"/>
          <w:szCs w:val="32"/>
        </w:rPr>
        <w:t xml:space="preserve"> 3</w:t>
      </w:r>
      <w:r w:rsidR="00223C3E" w:rsidRPr="004F5EA4">
        <w:rPr>
          <w:rFonts w:ascii="Arial" w:hAnsi="Arial"/>
          <w:sz w:val="32"/>
          <w:szCs w:val="32"/>
        </w:rPr>
        <w:t xml:space="preserve">: </w:t>
      </w:r>
      <w:r w:rsidRPr="004F5EA4">
        <w:rPr>
          <w:rFonts w:ascii="Arial" w:hAnsi="Arial"/>
          <w:sz w:val="32"/>
          <w:szCs w:val="32"/>
        </w:rPr>
        <w:t xml:space="preserve">Assessment of the </w:t>
      </w:r>
      <w:r w:rsidR="007129BB" w:rsidRPr="004F5EA4">
        <w:rPr>
          <w:rFonts w:ascii="Arial" w:hAnsi="Arial"/>
          <w:sz w:val="32"/>
          <w:szCs w:val="32"/>
        </w:rPr>
        <w:t>FISHERY</w:t>
      </w:r>
      <w:r w:rsidRPr="004F5EA4">
        <w:rPr>
          <w:rFonts w:ascii="Arial" w:hAnsi="Arial"/>
          <w:sz w:val="32"/>
          <w:szCs w:val="32"/>
        </w:rPr>
        <w:t xml:space="preserve"> Against the Requirements of the EPBC Act</w:t>
      </w:r>
      <w:bookmarkEnd w:id="9"/>
    </w:p>
    <w:p w14:paraId="27E63B07" w14:textId="11ADA9C1" w:rsidR="00F73C73" w:rsidRPr="001F4207" w:rsidRDefault="009F053A" w:rsidP="00824478">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advice on the fishery in relation to decisions under Part 13 and Part 13A.</w:t>
      </w:r>
    </w:p>
    <w:p w14:paraId="690C012B" w14:textId="179B8EB0" w:rsidR="00F73C73" w:rsidRPr="001F4207" w:rsidRDefault="00F73C73" w:rsidP="001F4207"/>
    <w:p w14:paraId="63A4FE7E" w14:textId="4BABCD6D" w:rsidR="009F053A" w:rsidRPr="00EF2FE1" w:rsidRDefault="009F053A" w:rsidP="00CC1027">
      <w:pPr>
        <w:pStyle w:val="Heading2"/>
      </w:pPr>
      <w:bookmarkStart w:id="10" w:name="_Toc25824107"/>
      <w:r w:rsidRPr="00EF2FE1">
        <w:t xml:space="preserve">Part 12 </w:t>
      </w:r>
      <w:r w:rsidR="00F73C73">
        <w:t>– Identifying and monitoring biodiversity and making bioregional plans</w:t>
      </w:r>
      <w:bookmarkEnd w:id="10"/>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A3FE8">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EF2FE1" w:rsidRDefault="00557756" w:rsidP="00FC2EBF">
            <w:pPr>
              <w:pStyle w:val="ListNumber"/>
            </w:pPr>
            <w:r>
              <w:t>(5)</w:t>
            </w:r>
            <w:r w:rsidRPr="00F73C73">
              <w:tab/>
            </w:r>
            <w:r w:rsidR="009F053A" w:rsidRPr="00EF2FE1">
              <w:t>Minister must have regard to relevant bioregional plans</w:t>
            </w:r>
          </w:p>
          <w:p w14:paraId="2F4C8136" w14:textId="77777777" w:rsidR="00D40B13" w:rsidRPr="00EF2FE1" w:rsidRDefault="00D40B13" w:rsidP="00FC2EBF">
            <w:pPr>
              <w:spacing w:before="60" w:after="60" w:line="276" w:lineRule="auto"/>
              <w:ind w:left="426" w:hanging="426"/>
              <w:contextualSpacing/>
              <w:rPr>
                <w:rFonts w:cs="Arial"/>
                <w:sz w:val="20"/>
                <w:szCs w:val="20"/>
              </w:rPr>
            </w:pPr>
          </w:p>
        </w:tc>
        <w:tc>
          <w:tcPr>
            <w:tcW w:w="2500" w:type="pct"/>
            <w:shd w:val="clear" w:color="auto" w:fill="92D050"/>
          </w:tcPr>
          <w:p w14:paraId="1D600EEE" w14:textId="7CAE73EE" w:rsidR="002F564A" w:rsidRPr="00824478" w:rsidRDefault="004F43E3" w:rsidP="00FC2EBF">
            <w:pPr>
              <w:spacing w:before="60" w:after="60" w:line="276" w:lineRule="auto"/>
              <w:contextualSpacing/>
              <w:rPr>
                <w:rFonts w:cs="Arial"/>
                <w:b/>
                <w:sz w:val="20"/>
                <w:szCs w:val="20"/>
              </w:rPr>
            </w:pPr>
            <w:r w:rsidRPr="00824478">
              <w:rPr>
                <w:rFonts w:cs="Arial"/>
                <w:b/>
                <w:sz w:val="20"/>
                <w:szCs w:val="20"/>
              </w:rPr>
              <w:t>Meets</w:t>
            </w:r>
          </w:p>
          <w:p w14:paraId="598C48DB" w14:textId="4BA2E0E3" w:rsidR="00317609" w:rsidRPr="003B6202" w:rsidRDefault="00317609" w:rsidP="00FC2EBF">
            <w:pPr>
              <w:spacing w:before="60" w:after="60" w:line="276" w:lineRule="auto"/>
              <w:contextualSpacing/>
              <w:rPr>
                <w:rFonts w:cs="Arial"/>
                <w:sz w:val="20"/>
                <w:szCs w:val="20"/>
              </w:rPr>
            </w:pPr>
            <w:r w:rsidRPr="00824478">
              <w:rPr>
                <w:rFonts w:cs="Arial"/>
                <w:sz w:val="20"/>
                <w:szCs w:val="20"/>
              </w:rPr>
              <w:t xml:space="preserve">The Marine Bioregional Plan </w:t>
            </w:r>
            <w:r w:rsidR="00F828A0">
              <w:rPr>
                <w:rFonts w:cs="Arial"/>
                <w:sz w:val="20"/>
                <w:szCs w:val="20"/>
              </w:rPr>
              <w:t xml:space="preserve">(the Plan) </w:t>
            </w:r>
            <w:r w:rsidRPr="00824478">
              <w:rPr>
                <w:rFonts w:cs="Arial"/>
                <w:sz w:val="20"/>
                <w:szCs w:val="20"/>
              </w:rPr>
              <w:t xml:space="preserve">for the </w:t>
            </w:r>
            <w:r w:rsidR="00642EE6" w:rsidRPr="003B6202">
              <w:rPr>
                <w:rFonts w:cs="Arial"/>
                <w:sz w:val="20"/>
                <w:szCs w:val="20"/>
              </w:rPr>
              <w:t>South-East Marine</w:t>
            </w:r>
            <w:r w:rsidRPr="00824478">
              <w:rPr>
                <w:rFonts w:cs="Arial"/>
                <w:sz w:val="20"/>
                <w:szCs w:val="20"/>
              </w:rPr>
              <w:t xml:space="preserve"> Region</w:t>
            </w:r>
            <w:r w:rsidR="00642EE6" w:rsidRPr="00824478">
              <w:rPr>
                <w:rFonts w:cs="Arial"/>
                <w:sz w:val="20"/>
                <w:szCs w:val="20"/>
              </w:rPr>
              <w:t xml:space="preserve"> 2015</w:t>
            </w:r>
            <w:r w:rsidRPr="00824478">
              <w:rPr>
                <w:rFonts w:cs="Arial"/>
                <w:sz w:val="20"/>
                <w:szCs w:val="20"/>
              </w:rPr>
              <w:t xml:space="preserve"> </w:t>
            </w:r>
            <w:r w:rsidR="00B120AD" w:rsidRPr="00824478">
              <w:rPr>
                <w:rFonts w:cs="Arial"/>
                <w:sz w:val="20"/>
                <w:szCs w:val="20"/>
              </w:rPr>
              <w:t>identifies</w:t>
            </w:r>
            <w:r w:rsidRPr="00824478">
              <w:rPr>
                <w:rFonts w:cs="Arial"/>
                <w:sz w:val="20"/>
                <w:szCs w:val="20"/>
              </w:rPr>
              <w:t xml:space="preserve"> a number of key ecological features present in the area of the</w:t>
            </w:r>
            <w:r w:rsidR="00642EE6" w:rsidRPr="00824478">
              <w:rPr>
                <w:rFonts w:cs="Arial"/>
                <w:sz w:val="20"/>
                <w:szCs w:val="20"/>
              </w:rPr>
              <w:t xml:space="preserve"> Tasmanian Giant Crab Fishery</w:t>
            </w:r>
            <w:r w:rsidR="00C54C25">
              <w:rPr>
                <w:rFonts w:cs="Arial"/>
                <w:sz w:val="20"/>
                <w:szCs w:val="20"/>
              </w:rPr>
              <w:t xml:space="preserve"> (TGCF)</w:t>
            </w:r>
            <w:r w:rsidR="00B120AD" w:rsidRPr="00824478">
              <w:rPr>
                <w:rFonts w:cs="Arial"/>
                <w:sz w:val="20"/>
                <w:szCs w:val="20"/>
              </w:rPr>
              <w:t>, includin</w:t>
            </w:r>
            <w:r w:rsidR="000F5AED" w:rsidRPr="00824478">
              <w:rPr>
                <w:rFonts w:cs="Arial"/>
                <w:sz w:val="20"/>
                <w:szCs w:val="20"/>
              </w:rPr>
              <w:t xml:space="preserve">g; the </w:t>
            </w:r>
            <w:r w:rsidR="00372C39" w:rsidRPr="00824478">
              <w:rPr>
                <w:rFonts w:cs="Arial"/>
                <w:sz w:val="20"/>
                <w:szCs w:val="20"/>
              </w:rPr>
              <w:t xml:space="preserve">east Tasmania subtropical convergence zone, </w:t>
            </w:r>
            <w:r w:rsidR="000F5AED" w:rsidRPr="00824478">
              <w:rPr>
                <w:rFonts w:cs="Arial"/>
                <w:sz w:val="20"/>
                <w:szCs w:val="20"/>
              </w:rPr>
              <w:t xml:space="preserve">the </w:t>
            </w:r>
            <w:r w:rsidR="00372C39" w:rsidRPr="00824478">
              <w:rPr>
                <w:rFonts w:cs="Arial"/>
                <w:sz w:val="20"/>
                <w:szCs w:val="20"/>
              </w:rPr>
              <w:t xml:space="preserve">west Tasmania canyons, </w:t>
            </w:r>
            <w:r w:rsidR="000F5AED" w:rsidRPr="00824478">
              <w:rPr>
                <w:rFonts w:cs="Arial"/>
                <w:sz w:val="20"/>
                <w:szCs w:val="20"/>
              </w:rPr>
              <w:t xml:space="preserve">and the </w:t>
            </w:r>
            <w:r w:rsidR="00372C39" w:rsidRPr="00824478">
              <w:rPr>
                <w:rFonts w:cs="Arial"/>
                <w:sz w:val="20"/>
                <w:szCs w:val="20"/>
              </w:rPr>
              <w:t>seamoun</w:t>
            </w:r>
            <w:r w:rsidR="000F5AED" w:rsidRPr="00824478">
              <w:rPr>
                <w:rFonts w:cs="Arial"/>
                <w:sz w:val="20"/>
                <w:szCs w:val="20"/>
              </w:rPr>
              <w:t>ts south and east of Tasmania. The Plan lists these key ecological features as having a high productivity and high aggregations of marine life.</w:t>
            </w:r>
            <w:r w:rsidRPr="00824478">
              <w:rPr>
                <w:rFonts w:cs="Arial"/>
                <w:sz w:val="20"/>
                <w:szCs w:val="20"/>
              </w:rPr>
              <w:t xml:space="preserve"> However, there is no evidence to suggest any systematic change to species diversity or richness caused by th</w:t>
            </w:r>
            <w:r w:rsidR="00642EE6" w:rsidRPr="00824478">
              <w:rPr>
                <w:rFonts w:cs="Arial"/>
                <w:sz w:val="20"/>
                <w:szCs w:val="20"/>
              </w:rPr>
              <w:t>is</w:t>
            </w:r>
            <w:r w:rsidRPr="00824478">
              <w:rPr>
                <w:rFonts w:cs="Arial"/>
                <w:sz w:val="20"/>
                <w:szCs w:val="20"/>
              </w:rPr>
              <w:t xml:space="preserve"> fisher</w:t>
            </w:r>
            <w:r w:rsidR="00642EE6" w:rsidRPr="00824478">
              <w:rPr>
                <w:rFonts w:cs="Arial"/>
                <w:sz w:val="20"/>
                <w:szCs w:val="20"/>
              </w:rPr>
              <w:t>y</w:t>
            </w:r>
            <w:r w:rsidRPr="00824478">
              <w:rPr>
                <w:rFonts w:cs="Arial"/>
                <w:sz w:val="20"/>
                <w:szCs w:val="20"/>
              </w:rPr>
              <w:t>, indicating fishing effort is not having a material impact on the food chain or trophic structure. Given the low impact</w:t>
            </w:r>
            <w:r w:rsidR="000B620C">
              <w:rPr>
                <w:rFonts w:cs="Arial"/>
                <w:sz w:val="20"/>
                <w:szCs w:val="20"/>
              </w:rPr>
              <w:t xml:space="preserve"> of</w:t>
            </w:r>
            <w:r w:rsidRPr="00824478">
              <w:rPr>
                <w:rFonts w:cs="Arial"/>
                <w:sz w:val="20"/>
                <w:szCs w:val="20"/>
              </w:rPr>
              <w:t xml:space="preserve"> fishing methods used in the fishery, impact to key ecological features is considered low.</w:t>
            </w:r>
          </w:p>
          <w:p w14:paraId="6852ECC1" w14:textId="77777777" w:rsidR="009F053A" w:rsidRPr="00EF2FE1" w:rsidRDefault="009F053A" w:rsidP="00FC2EBF">
            <w:pPr>
              <w:spacing w:before="60" w:after="60" w:line="276" w:lineRule="auto"/>
              <w:contextualSpacing/>
              <w:rPr>
                <w:rFonts w:cs="Arial"/>
                <w:sz w:val="20"/>
                <w:szCs w:val="20"/>
              </w:rPr>
            </w:pPr>
          </w:p>
        </w:tc>
      </w:tr>
    </w:tbl>
    <w:p w14:paraId="66236F12" w14:textId="77777777" w:rsidR="009F053A" w:rsidRPr="001F4207" w:rsidRDefault="009F053A" w:rsidP="001F4207"/>
    <w:p w14:paraId="6F9840FF" w14:textId="7038ACD1" w:rsidR="009F053A" w:rsidRPr="00EF2FE1" w:rsidRDefault="009F053A" w:rsidP="00CC1027">
      <w:pPr>
        <w:pStyle w:val="Heading2"/>
      </w:pPr>
      <w:bookmarkStart w:id="11" w:name="_Toc25824108"/>
      <w:r w:rsidRPr="00EF2FE1">
        <w:t>Part 13</w:t>
      </w:r>
      <w:r w:rsidR="00C83B59" w:rsidRPr="00EF2FE1">
        <w:t xml:space="preserve"> </w:t>
      </w:r>
      <w:r w:rsidR="00F73C73">
        <w:t>– Species and communities</w:t>
      </w:r>
      <w:bookmarkEnd w:id="11"/>
    </w:p>
    <w:tbl>
      <w:tblPr>
        <w:tblStyle w:val="TableGrid"/>
        <w:tblW w:w="5000" w:type="pct"/>
        <w:tblLook w:val="04A0" w:firstRow="1" w:lastRow="0" w:firstColumn="1" w:lastColumn="0" w:noHBand="0" w:noVBand="1"/>
      </w:tblPr>
      <w:tblGrid>
        <w:gridCol w:w="7393"/>
        <w:gridCol w:w="7393"/>
      </w:tblGrid>
      <w:tr w:rsidR="00400844" w:rsidRPr="008E2BC5"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EBFA111" w:rsidR="00400844" w:rsidRPr="008201A1" w:rsidRDefault="00400844" w:rsidP="00F32842">
            <w:pPr>
              <w:spacing w:before="60" w:after="60" w:line="276" w:lineRule="auto"/>
              <w:ind w:left="426" w:hanging="426"/>
              <w:contextualSpacing/>
              <w:jc w:val="center"/>
              <w:rPr>
                <w:rFonts w:cs="Arial"/>
                <w:b/>
                <w:sz w:val="20"/>
                <w:szCs w:val="20"/>
              </w:rPr>
            </w:pPr>
            <w:proofErr w:type="spellStart"/>
            <w:r w:rsidRPr="00F32842">
              <w:rPr>
                <w:rFonts w:cs="Arial"/>
                <w:b/>
                <w:sz w:val="20"/>
                <w:szCs w:val="20"/>
              </w:rPr>
              <w:t>Accreditable</w:t>
            </w:r>
            <w:proofErr w:type="spellEnd"/>
            <w:r w:rsidRPr="00F32842">
              <w:rPr>
                <w:rFonts w:cs="Arial"/>
                <w:b/>
                <w:sz w:val="20"/>
                <w:szCs w:val="20"/>
              </w:rPr>
              <w:t xml:space="preserve"> plan, regime or policy  (Division 1, Division 2, Division 3, Division 4)</w:t>
            </w:r>
          </w:p>
        </w:tc>
        <w:tc>
          <w:tcPr>
            <w:tcW w:w="2500" w:type="pct"/>
            <w:shd w:val="clear" w:color="auto" w:fill="D9D9D9" w:themeFill="background1" w:themeFillShade="D9"/>
            <w:vAlign w:val="center"/>
          </w:tcPr>
          <w:p w14:paraId="7594BA70" w14:textId="77777777" w:rsidR="00400844" w:rsidRPr="008201A1" w:rsidRDefault="00400844" w:rsidP="008201A1">
            <w:pPr>
              <w:spacing w:before="60" w:after="60" w:line="276" w:lineRule="auto"/>
              <w:contextualSpacing/>
              <w:jc w:val="center"/>
              <w:rPr>
                <w:rFonts w:cs="Arial"/>
                <w:b/>
                <w:sz w:val="20"/>
                <w:szCs w:val="20"/>
              </w:rPr>
            </w:pPr>
            <w:r w:rsidRPr="008201A1">
              <w:rPr>
                <w:rFonts w:cs="Arial"/>
                <w:b/>
                <w:sz w:val="20"/>
                <w:szCs w:val="20"/>
              </w:rPr>
              <w:t>Comment</w:t>
            </w:r>
          </w:p>
        </w:tc>
      </w:tr>
      <w:tr w:rsidR="009F053A" w:rsidRPr="008E2BC5" w14:paraId="3F60E2B3" w14:textId="77777777" w:rsidTr="00EA3FE8">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8201A1" w:rsidRDefault="009F053A" w:rsidP="00F32842">
            <w:pPr>
              <w:pStyle w:val="ListNumber2"/>
            </w:pPr>
            <w:r w:rsidRPr="00F32842">
              <w:t>s. 208A (1) (a-e) , s.222A (1) (a-e), s.245 (1) (a-e),  s.265 (1) (a-e)</w:t>
            </w:r>
            <w:r w:rsidR="00F9004A" w:rsidRPr="008201A1">
              <w:t xml:space="preserve"> </w:t>
            </w:r>
            <w:r w:rsidR="00F9004A" w:rsidRPr="008201A1">
              <w:tab/>
            </w:r>
          </w:p>
          <w:p w14:paraId="10E1301B" w14:textId="2AB9B0D3" w:rsidR="00D40B13" w:rsidRPr="008E2BC5" w:rsidRDefault="009F053A" w:rsidP="008201A1">
            <w:pPr>
              <w:pStyle w:val="ListNumber2"/>
            </w:pPr>
            <w:r w:rsidRPr="008E2BC5">
              <w:t xml:space="preserve">Does the fishery have an accreditable plan of management, </w:t>
            </w:r>
            <w:r w:rsidR="00C40AD0" w:rsidRPr="008E2BC5">
              <w:t>regime</w:t>
            </w:r>
            <w:r w:rsidRPr="008E2BC5">
              <w:t xml:space="preserve"> or policy? </w:t>
            </w:r>
          </w:p>
        </w:tc>
        <w:tc>
          <w:tcPr>
            <w:tcW w:w="2500" w:type="pct"/>
            <w:shd w:val="clear" w:color="auto" w:fill="92D050"/>
          </w:tcPr>
          <w:p w14:paraId="65BF3569" w14:textId="77777777" w:rsidR="002F564A" w:rsidRPr="008E2BC5" w:rsidRDefault="002F564A">
            <w:pPr>
              <w:spacing w:before="60" w:after="60" w:line="276" w:lineRule="auto"/>
              <w:contextualSpacing/>
              <w:rPr>
                <w:rFonts w:cs="Arial"/>
                <w:b/>
                <w:sz w:val="20"/>
                <w:szCs w:val="20"/>
              </w:rPr>
            </w:pPr>
            <w:r w:rsidRPr="008E2BC5">
              <w:rPr>
                <w:rFonts w:cs="Arial"/>
                <w:b/>
                <w:sz w:val="20"/>
                <w:szCs w:val="20"/>
              </w:rPr>
              <w:t>Meets</w:t>
            </w:r>
          </w:p>
          <w:p w14:paraId="13CCB88F" w14:textId="6252C3C2" w:rsidR="00546023" w:rsidRPr="008E2BC5" w:rsidRDefault="00F661BB">
            <w:pPr>
              <w:spacing w:before="60" w:after="60" w:line="276" w:lineRule="auto"/>
              <w:contextualSpacing/>
              <w:rPr>
                <w:rFonts w:cs="Arial"/>
                <w:sz w:val="20"/>
                <w:szCs w:val="20"/>
              </w:rPr>
            </w:pPr>
            <w:r w:rsidRPr="008E2BC5">
              <w:rPr>
                <w:rFonts w:cs="Arial"/>
                <w:sz w:val="20"/>
                <w:szCs w:val="20"/>
              </w:rPr>
              <w:t>T</w:t>
            </w:r>
            <w:r w:rsidR="004F43E3" w:rsidRPr="008E2BC5">
              <w:rPr>
                <w:rFonts w:cs="Arial"/>
                <w:sz w:val="20"/>
                <w:szCs w:val="20"/>
              </w:rPr>
              <w:t xml:space="preserve">here </w:t>
            </w:r>
            <w:r w:rsidR="00317609" w:rsidRPr="008E2BC5">
              <w:rPr>
                <w:rFonts w:cs="Arial"/>
                <w:sz w:val="20"/>
                <w:szCs w:val="20"/>
              </w:rPr>
              <w:t xml:space="preserve">is an </w:t>
            </w:r>
            <w:proofErr w:type="spellStart"/>
            <w:r w:rsidR="00317609" w:rsidRPr="008E2BC5">
              <w:rPr>
                <w:rFonts w:cs="Arial"/>
                <w:sz w:val="20"/>
                <w:szCs w:val="20"/>
              </w:rPr>
              <w:t>accreditable</w:t>
            </w:r>
            <w:proofErr w:type="spellEnd"/>
            <w:r w:rsidR="00317609" w:rsidRPr="008E2BC5">
              <w:rPr>
                <w:rFonts w:cs="Arial"/>
                <w:sz w:val="20"/>
                <w:szCs w:val="20"/>
              </w:rPr>
              <w:t xml:space="preserve"> management regime.</w:t>
            </w:r>
            <w:r w:rsidR="001C70CA" w:rsidRPr="008E2BC5">
              <w:rPr>
                <w:rFonts w:cs="Arial"/>
                <w:sz w:val="20"/>
                <w:szCs w:val="20"/>
              </w:rPr>
              <w:t xml:space="preserve"> </w:t>
            </w:r>
            <w:r w:rsidR="00E64B17" w:rsidRPr="008E2BC5">
              <w:rPr>
                <w:rFonts w:cs="Arial"/>
                <w:sz w:val="20"/>
                <w:szCs w:val="20"/>
              </w:rPr>
              <w:t>The</w:t>
            </w:r>
            <w:r w:rsidR="006D4BEA" w:rsidRPr="008E2BC5">
              <w:rPr>
                <w:rFonts w:cs="Arial"/>
                <w:sz w:val="20"/>
                <w:szCs w:val="20"/>
              </w:rPr>
              <w:t xml:space="preserve"> </w:t>
            </w:r>
            <w:r w:rsidR="00C54C25" w:rsidRPr="008E2BC5">
              <w:rPr>
                <w:rFonts w:cs="Arial"/>
                <w:sz w:val="20"/>
                <w:szCs w:val="20"/>
              </w:rPr>
              <w:t>TGCF</w:t>
            </w:r>
            <w:r w:rsidR="00546023" w:rsidRPr="008E2BC5">
              <w:rPr>
                <w:rFonts w:cs="Arial"/>
                <w:sz w:val="20"/>
                <w:szCs w:val="20"/>
              </w:rPr>
              <w:t xml:space="preserve"> </w:t>
            </w:r>
            <w:r w:rsidR="004F58F9" w:rsidRPr="008E2BC5">
              <w:rPr>
                <w:rFonts w:cs="Arial"/>
                <w:sz w:val="20"/>
                <w:szCs w:val="20"/>
              </w:rPr>
              <w:t>is</w:t>
            </w:r>
            <w:r w:rsidR="00546023" w:rsidRPr="008E2BC5">
              <w:rPr>
                <w:rFonts w:cs="Arial"/>
                <w:sz w:val="20"/>
                <w:szCs w:val="20"/>
              </w:rPr>
              <w:t xml:space="preserve"> managed </w:t>
            </w:r>
            <w:r w:rsidR="004F58F9" w:rsidRPr="008E2BC5">
              <w:rPr>
                <w:rFonts w:cs="Arial"/>
                <w:sz w:val="20"/>
                <w:szCs w:val="20"/>
              </w:rPr>
              <w:t xml:space="preserve">in accordance with </w:t>
            </w:r>
            <w:r w:rsidR="00546023" w:rsidRPr="008E2BC5">
              <w:rPr>
                <w:rFonts w:cs="Arial"/>
                <w:sz w:val="20"/>
                <w:szCs w:val="20"/>
              </w:rPr>
              <w:t xml:space="preserve">the </w:t>
            </w:r>
            <w:r w:rsidR="00605F5E" w:rsidRPr="008E2BC5">
              <w:rPr>
                <w:rFonts w:cs="Arial"/>
                <w:i/>
                <w:sz w:val="20"/>
                <w:szCs w:val="20"/>
              </w:rPr>
              <w:t>Fisheries (Giant Crab) Rules 2013</w:t>
            </w:r>
            <w:r w:rsidR="00605F5E" w:rsidRPr="008E2BC5">
              <w:rPr>
                <w:rFonts w:cs="Arial"/>
                <w:sz w:val="20"/>
                <w:szCs w:val="20"/>
              </w:rPr>
              <w:t xml:space="preserve"> in force under the </w:t>
            </w:r>
            <w:r w:rsidR="009F48C8" w:rsidRPr="008E2BC5">
              <w:rPr>
                <w:rFonts w:cs="Arial"/>
                <w:i/>
                <w:sz w:val="20"/>
                <w:szCs w:val="20"/>
              </w:rPr>
              <w:t>Living Marine Resources Management Act 1995</w:t>
            </w:r>
            <w:r w:rsidR="004F58F9" w:rsidRPr="008E2BC5">
              <w:rPr>
                <w:rFonts w:cs="Arial"/>
                <w:sz w:val="20"/>
                <w:szCs w:val="20"/>
              </w:rPr>
              <w:t>, and arrangements established under this legislation</w:t>
            </w:r>
            <w:r w:rsidR="00546023" w:rsidRPr="008E2BC5">
              <w:rPr>
                <w:rFonts w:cs="Arial"/>
                <w:sz w:val="20"/>
                <w:szCs w:val="20"/>
              </w:rPr>
              <w:t>.</w:t>
            </w:r>
          </w:p>
          <w:p w14:paraId="29FF3A00" w14:textId="0EB0A5C9" w:rsidR="00546023" w:rsidRPr="008E2BC5" w:rsidRDefault="00546023">
            <w:pPr>
              <w:spacing w:before="60" w:after="60" w:line="276" w:lineRule="auto"/>
              <w:contextualSpacing/>
              <w:rPr>
                <w:rFonts w:cs="Arial"/>
                <w:sz w:val="20"/>
                <w:szCs w:val="20"/>
              </w:rPr>
            </w:pPr>
          </w:p>
        </w:tc>
      </w:tr>
      <w:tr w:rsidR="00400844" w:rsidRPr="008E2BC5"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47A73FF1" w:rsidR="00400844" w:rsidRPr="00F32842" w:rsidRDefault="00400844" w:rsidP="0072610E">
            <w:pPr>
              <w:pageBreakBefore/>
              <w:spacing w:before="60" w:after="60" w:line="276" w:lineRule="auto"/>
              <w:ind w:left="426" w:hanging="426"/>
              <w:contextualSpacing/>
              <w:jc w:val="center"/>
              <w:rPr>
                <w:rFonts w:cs="Arial"/>
                <w:b/>
                <w:sz w:val="20"/>
                <w:szCs w:val="20"/>
              </w:rPr>
            </w:pPr>
            <w:r w:rsidRPr="00F32842">
              <w:rPr>
                <w:rFonts w:cs="Arial"/>
                <w:b/>
                <w:sz w:val="20"/>
                <w:szCs w:val="20"/>
              </w:rPr>
              <w:lastRenderedPageBreak/>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8201A1" w:rsidRDefault="00400844" w:rsidP="0072610E">
            <w:pPr>
              <w:pageBreakBefore/>
              <w:spacing w:before="60" w:after="60" w:line="276" w:lineRule="auto"/>
              <w:contextualSpacing/>
              <w:jc w:val="center"/>
              <w:rPr>
                <w:rFonts w:cs="Arial"/>
                <w:b/>
                <w:sz w:val="20"/>
                <w:szCs w:val="20"/>
              </w:rPr>
            </w:pPr>
            <w:r w:rsidRPr="008201A1">
              <w:rPr>
                <w:rFonts w:cs="Arial"/>
                <w:b/>
                <w:sz w:val="20"/>
                <w:szCs w:val="20"/>
              </w:rPr>
              <w:t>Comment</w:t>
            </w:r>
          </w:p>
        </w:tc>
      </w:tr>
      <w:tr w:rsidR="009A1276" w:rsidRPr="008E2BC5" w14:paraId="38239CBE" w14:textId="77777777" w:rsidTr="00EA3FE8">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8E2BC5" w:rsidRDefault="009A1276" w:rsidP="00F32842">
            <w:pPr>
              <w:pStyle w:val="ListNumber2"/>
            </w:pPr>
            <w:r w:rsidRPr="00F32842">
              <w:t>(f)</w:t>
            </w:r>
            <w:r w:rsidRPr="00F32842">
              <w:tab/>
              <w:t>Will the plan, regime or policy require fishers to take all reasonable steps to en</w:t>
            </w:r>
            <w:r w:rsidRPr="008201A1">
              <w:t>sure that members of listed threatened species (other than conservation dependent species) are not killed or injur</w:t>
            </w:r>
            <w:r w:rsidRPr="008E2BC5">
              <w:t>ed as a result of the fishing?</w:t>
            </w:r>
          </w:p>
        </w:tc>
        <w:tc>
          <w:tcPr>
            <w:tcW w:w="2500" w:type="pct"/>
            <w:shd w:val="clear" w:color="auto" w:fill="92D050"/>
          </w:tcPr>
          <w:p w14:paraId="3C47A6A1" w14:textId="77777777" w:rsidR="002F564A" w:rsidRPr="008E2BC5" w:rsidRDefault="002F564A" w:rsidP="008201A1">
            <w:pPr>
              <w:spacing w:before="60" w:after="60" w:line="276" w:lineRule="auto"/>
              <w:contextualSpacing/>
              <w:rPr>
                <w:rFonts w:cs="Arial"/>
                <w:b/>
                <w:sz w:val="20"/>
                <w:szCs w:val="20"/>
              </w:rPr>
            </w:pPr>
            <w:r w:rsidRPr="008E2BC5">
              <w:rPr>
                <w:rFonts w:cs="Arial"/>
                <w:b/>
                <w:sz w:val="20"/>
                <w:szCs w:val="20"/>
              </w:rPr>
              <w:t>Meets</w:t>
            </w:r>
          </w:p>
          <w:p w14:paraId="23550EEA" w14:textId="01C43D26" w:rsidR="009A1276" w:rsidRPr="00F32842" w:rsidRDefault="00D97D6A" w:rsidP="008201A1">
            <w:pPr>
              <w:spacing w:before="60" w:after="60" w:line="276" w:lineRule="auto"/>
              <w:contextualSpacing/>
              <w:rPr>
                <w:rFonts w:cs="Arial"/>
                <w:sz w:val="20"/>
                <w:szCs w:val="20"/>
              </w:rPr>
            </w:pPr>
            <w:r w:rsidRPr="0072610E">
              <w:rPr>
                <w:rFonts w:cs="Arial"/>
                <w:sz w:val="20"/>
                <w:szCs w:val="20"/>
              </w:rPr>
              <w:t xml:space="preserve">Listed threatened species that may interact with the fishery due to geographic overlap include some large whale species and some seabird species. The management regime for the </w:t>
            </w:r>
            <w:r w:rsidR="00D76822" w:rsidRPr="00F32842">
              <w:rPr>
                <w:rFonts w:cs="Arial"/>
                <w:sz w:val="20"/>
                <w:szCs w:val="20"/>
              </w:rPr>
              <w:t>TGCF</w:t>
            </w:r>
            <w:r w:rsidRPr="0072610E">
              <w:rPr>
                <w:rFonts w:cs="Arial"/>
                <w:sz w:val="20"/>
                <w:szCs w:val="20"/>
              </w:rPr>
              <w:t xml:space="preserve"> prescribes limits and restrictions on fishing gear used in the fishery, as described in Section 2. Given these limits and restrictions, that keep fishing effort constrained enough that the risk of whale entanglements is low, coupled with the relatively benign fishing methods that do not pose a risk to seabirds, the Department</w:t>
            </w:r>
            <w:r w:rsidR="00D76822" w:rsidRPr="00F32842">
              <w:rPr>
                <w:rFonts w:cs="Arial"/>
                <w:sz w:val="20"/>
                <w:szCs w:val="20"/>
              </w:rPr>
              <w:t xml:space="preserve"> of the Environment and Energy (the Department)</w:t>
            </w:r>
            <w:r w:rsidRPr="0072610E">
              <w:rPr>
                <w:rFonts w:cs="Arial"/>
                <w:sz w:val="20"/>
                <w:szCs w:val="20"/>
              </w:rPr>
              <w:t xml:space="preserve"> considers that the management regime for the </w:t>
            </w:r>
            <w:r w:rsidR="00D76822" w:rsidRPr="00F32842">
              <w:rPr>
                <w:rFonts w:cs="Arial"/>
                <w:sz w:val="20"/>
                <w:szCs w:val="20"/>
              </w:rPr>
              <w:t>TGCF</w:t>
            </w:r>
            <w:r w:rsidRPr="0072610E">
              <w:rPr>
                <w:rFonts w:cs="Arial"/>
                <w:sz w:val="20"/>
                <w:szCs w:val="20"/>
              </w:rPr>
              <w:t xml:space="preserve"> still requires operator</w:t>
            </w:r>
            <w:r w:rsidR="00C54C25" w:rsidRPr="0072610E">
              <w:rPr>
                <w:rFonts w:cs="Arial"/>
                <w:sz w:val="20"/>
                <w:szCs w:val="20"/>
              </w:rPr>
              <w:t>s</w:t>
            </w:r>
            <w:r w:rsidRPr="0072610E">
              <w:rPr>
                <w:rFonts w:cs="Arial"/>
                <w:sz w:val="20"/>
                <w:szCs w:val="20"/>
              </w:rPr>
              <w:t xml:space="preserve"> to take all reasonable steps to ensure that members of listed threatened species are not killed or injured in Commonwealth waters as a result of the fishing</w:t>
            </w:r>
            <w:r w:rsidR="0047331D" w:rsidRPr="0072610E">
              <w:rPr>
                <w:rFonts w:cs="Arial"/>
                <w:sz w:val="20"/>
                <w:szCs w:val="20"/>
              </w:rPr>
              <w:t>.</w:t>
            </w:r>
          </w:p>
          <w:p w14:paraId="05DF3EA0" w14:textId="77777777" w:rsidR="001E1C92" w:rsidRPr="008201A1" w:rsidRDefault="001E1C92">
            <w:pPr>
              <w:spacing w:before="60" w:after="60" w:line="276" w:lineRule="auto"/>
              <w:contextualSpacing/>
              <w:rPr>
                <w:rFonts w:cs="Arial"/>
                <w:sz w:val="20"/>
                <w:szCs w:val="20"/>
                <w:highlight w:val="cyan"/>
              </w:rPr>
            </w:pPr>
          </w:p>
          <w:p w14:paraId="1129EC8B" w14:textId="70CA89E2" w:rsidR="00546023" w:rsidRPr="008E2BC5" w:rsidRDefault="00546023">
            <w:pPr>
              <w:spacing w:before="60" w:after="60" w:line="276" w:lineRule="auto"/>
              <w:contextualSpacing/>
              <w:rPr>
                <w:rFonts w:cs="Arial"/>
                <w:sz w:val="20"/>
                <w:szCs w:val="20"/>
              </w:rPr>
            </w:pPr>
            <w:r w:rsidRPr="008E2BC5">
              <w:rPr>
                <w:rFonts w:cs="Arial"/>
                <w:sz w:val="20"/>
                <w:szCs w:val="20"/>
              </w:rPr>
              <w:t xml:space="preserve">The </w:t>
            </w:r>
            <w:r w:rsidR="004D4C85" w:rsidRPr="008E2BC5">
              <w:rPr>
                <w:rFonts w:cs="Arial"/>
                <w:sz w:val="20"/>
                <w:szCs w:val="20"/>
              </w:rPr>
              <w:t>m</w:t>
            </w:r>
            <w:r w:rsidRPr="008E2BC5">
              <w:rPr>
                <w:rFonts w:cs="Arial"/>
                <w:sz w:val="20"/>
                <w:szCs w:val="20"/>
              </w:rPr>
              <w:t xml:space="preserve">anagement regime for the </w:t>
            </w:r>
            <w:r w:rsidR="00D76822" w:rsidRPr="008E2BC5">
              <w:rPr>
                <w:rFonts w:cs="Arial"/>
                <w:sz w:val="20"/>
                <w:szCs w:val="20"/>
              </w:rPr>
              <w:t>TGCF</w:t>
            </w:r>
            <w:r w:rsidR="004D4C85" w:rsidRPr="008E2BC5">
              <w:rPr>
                <w:rFonts w:cs="Arial"/>
                <w:sz w:val="20"/>
                <w:szCs w:val="20"/>
              </w:rPr>
              <w:t xml:space="preserve"> </w:t>
            </w:r>
            <w:r w:rsidRPr="008E2BC5">
              <w:rPr>
                <w:rFonts w:cs="Arial"/>
                <w:sz w:val="20"/>
                <w:szCs w:val="20"/>
              </w:rPr>
              <w:t>was accredited</w:t>
            </w:r>
            <w:r w:rsidR="0043021B" w:rsidRPr="008E2BC5">
              <w:rPr>
                <w:rFonts w:cs="Arial"/>
                <w:sz w:val="20"/>
                <w:szCs w:val="20"/>
              </w:rPr>
              <w:t xml:space="preserve"> under section 20</w:t>
            </w:r>
            <w:r w:rsidR="00414296" w:rsidRPr="008E2BC5">
              <w:rPr>
                <w:rFonts w:cs="Arial"/>
                <w:sz w:val="20"/>
                <w:szCs w:val="20"/>
              </w:rPr>
              <w:t>8A (Part 13) of the EPBC Act</w:t>
            </w:r>
            <w:r w:rsidRPr="008E2BC5">
              <w:rPr>
                <w:rFonts w:cs="Arial"/>
                <w:sz w:val="20"/>
                <w:szCs w:val="20"/>
              </w:rPr>
              <w:t xml:space="preserve"> in </w:t>
            </w:r>
            <w:r w:rsidR="00094268" w:rsidRPr="008E2BC5">
              <w:rPr>
                <w:rFonts w:cs="Arial"/>
                <w:sz w:val="20"/>
                <w:szCs w:val="20"/>
              </w:rPr>
              <w:t>July 2014</w:t>
            </w:r>
            <w:r w:rsidRPr="008E2BC5">
              <w:rPr>
                <w:rFonts w:cs="Arial"/>
                <w:sz w:val="20"/>
                <w:szCs w:val="20"/>
              </w:rPr>
              <w:t xml:space="preserve">. The management arrangements for the </w:t>
            </w:r>
            <w:r w:rsidR="006B3573" w:rsidRPr="008E2BC5">
              <w:rPr>
                <w:rFonts w:cs="Arial"/>
                <w:sz w:val="20"/>
                <w:szCs w:val="20"/>
              </w:rPr>
              <w:t>TGCF</w:t>
            </w:r>
            <w:r w:rsidR="009020BA" w:rsidRPr="008E2BC5" w:rsidDel="00DF21C1">
              <w:rPr>
                <w:rFonts w:cs="Arial"/>
                <w:sz w:val="20"/>
                <w:szCs w:val="20"/>
              </w:rPr>
              <w:t xml:space="preserve"> </w:t>
            </w:r>
            <w:r w:rsidRPr="008E2BC5">
              <w:rPr>
                <w:rFonts w:cs="Arial"/>
                <w:sz w:val="20"/>
                <w:szCs w:val="20"/>
              </w:rPr>
              <w:t xml:space="preserve">have not significantly changed since this accreditation was granted. Consequently, a new Part 13 declaration is not needed at this time. </w:t>
            </w:r>
          </w:p>
          <w:p w14:paraId="29478770" w14:textId="26C0EC5B" w:rsidR="00E57AB7" w:rsidRPr="008E2BC5" w:rsidRDefault="00E57AB7">
            <w:pPr>
              <w:spacing w:before="60" w:after="60" w:line="276" w:lineRule="auto"/>
              <w:contextualSpacing/>
              <w:rPr>
                <w:rFonts w:cs="Arial"/>
                <w:b/>
                <w:sz w:val="20"/>
                <w:szCs w:val="20"/>
                <w:highlight w:val="yellow"/>
              </w:rPr>
            </w:pPr>
          </w:p>
        </w:tc>
      </w:tr>
      <w:tr w:rsidR="009A1276" w:rsidRPr="008E2BC5" w14:paraId="19444D6C" w14:textId="77777777" w:rsidTr="00EA3FE8">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F32842" w:rsidRDefault="009A1276" w:rsidP="00F32842">
            <w:pPr>
              <w:pStyle w:val="ListNumber2"/>
            </w:pPr>
            <w:r w:rsidRPr="00F32842">
              <w:t>(g)</w:t>
            </w:r>
            <w:r w:rsidRPr="00F32842">
              <w:tab/>
              <w:t>And, is the fishery likely to adversely affect the survival or recovery in nature of the species?</w:t>
            </w:r>
          </w:p>
        </w:tc>
        <w:tc>
          <w:tcPr>
            <w:tcW w:w="2500" w:type="pct"/>
            <w:shd w:val="clear" w:color="auto" w:fill="92D050"/>
          </w:tcPr>
          <w:p w14:paraId="5172DF99" w14:textId="77777777" w:rsidR="002F564A" w:rsidRPr="008201A1" w:rsidRDefault="002F564A" w:rsidP="008201A1">
            <w:pPr>
              <w:spacing w:before="60" w:after="60" w:line="276" w:lineRule="auto"/>
              <w:contextualSpacing/>
              <w:rPr>
                <w:rFonts w:cs="Arial"/>
                <w:b/>
                <w:sz w:val="20"/>
                <w:szCs w:val="20"/>
              </w:rPr>
            </w:pPr>
            <w:r w:rsidRPr="008201A1">
              <w:rPr>
                <w:rFonts w:cs="Arial"/>
                <w:b/>
                <w:sz w:val="20"/>
                <w:szCs w:val="20"/>
              </w:rPr>
              <w:t>Meets</w:t>
            </w:r>
          </w:p>
          <w:p w14:paraId="61344C0D" w14:textId="3AC275BD" w:rsidR="00546023" w:rsidRPr="008201A1" w:rsidRDefault="002C3A77" w:rsidP="008201A1">
            <w:pPr>
              <w:spacing w:before="60" w:after="60" w:line="276" w:lineRule="auto"/>
              <w:contextualSpacing/>
              <w:rPr>
                <w:rFonts w:cs="Arial"/>
                <w:sz w:val="20"/>
                <w:szCs w:val="20"/>
              </w:rPr>
            </w:pPr>
            <w:r w:rsidRPr="008201A1">
              <w:rPr>
                <w:rFonts w:cs="Arial"/>
                <w:sz w:val="20"/>
                <w:szCs w:val="20"/>
              </w:rPr>
              <w:t>R</w:t>
            </w:r>
            <w:r w:rsidR="00546023" w:rsidRPr="008201A1">
              <w:rPr>
                <w:rFonts w:cs="Arial"/>
                <w:sz w:val="20"/>
                <w:szCs w:val="20"/>
              </w:rPr>
              <w:t>eport</w:t>
            </w:r>
            <w:r w:rsidR="00513414" w:rsidRPr="008E2BC5">
              <w:rPr>
                <w:rFonts w:cs="Arial"/>
                <w:sz w:val="20"/>
                <w:szCs w:val="20"/>
              </w:rPr>
              <w:t>s</w:t>
            </w:r>
            <w:r w:rsidR="00546023" w:rsidRPr="008E2BC5">
              <w:rPr>
                <w:rFonts w:cs="Arial"/>
                <w:sz w:val="20"/>
                <w:szCs w:val="20"/>
              </w:rPr>
              <w:t xml:space="preserve"> provided by </w:t>
            </w:r>
            <w:r w:rsidR="00513414" w:rsidRPr="008E2BC5">
              <w:rPr>
                <w:rFonts w:cs="Arial"/>
                <w:sz w:val="20"/>
                <w:szCs w:val="20"/>
              </w:rPr>
              <w:t xml:space="preserve">the </w:t>
            </w:r>
            <w:r w:rsidR="00A54180" w:rsidRPr="008E2BC5">
              <w:rPr>
                <w:rFonts w:cs="Arial"/>
                <w:sz w:val="20"/>
                <w:szCs w:val="20"/>
              </w:rPr>
              <w:t xml:space="preserve">Tasmanian </w:t>
            </w:r>
            <w:r w:rsidR="00513414" w:rsidRPr="008E2BC5">
              <w:rPr>
                <w:rFonts w:cs="Arial"/>
                <w:sz w:val="20"/>
                <w:szCs w:val="20"/>
              </w:rPr>
              <w:t>Department of Primary Industries, Parks, Water and Environment</w:t>
            </w:r>
            <w:r w:rsidR="002A501A" w:rsidRPr="008E2BC5">
              <w:rPr>
                <w:rFonts w:cs="Arial"/>
                <w:sz w:val="20"/>
                <w:szCs w:val="20"/>
              </w:rPr>
              <w:t xml:space="preserve"> </w:t>
            </w:r>
            <w:r w:rsidR="00A54180" w:rsidRPr="008E2BC5">
              <w:rPr>
                <w:rFonts w:cs="Arial"/>
                <w:sz w:val="20"/>
                <w:szCs w:val="20"/>
              </w:rPr>
              <w:t xml:space="preserve">(DPIPWE) </w:t>
            </w:r>
            <w:r w:rsidR="00546023" w:rsidRPr="008E2BC5">
              <w:rPr>
                <w:rFonts w:cs="Arial"/>
                <w:sz w:val="20"/>
                <w:szCs w:val="20"/>
              </w:rPr>
              <w:t xml:space="preserve">indicate that there has been </w:t>
            </w:r>
            <w:r w:rsidR="00513414" w:rsidRPr="008E2BC5">
              <w:rPr>
                <w:rFonts w:cs="Arial"/>
                <w:sz w:val="20"/>
                <w:szCs w:val="20"/>
              </w:rPr>
              <w:t xml:space="preserve">no </w:t>
            </w:r>
            <w:r w:rsidR="00287748" w:rsidRPr="008E2BC5">
              <w:rPr>
                <w:rFonts w:cs="Arial"/>
                <w:sz w:val="20"/>
                <w:szCs w:val="20"/>
              </w:rPr>
              <w:t>interactio</w:t>
            </w:r>
            <w:r w:rsidR="00287748">
              <w:rPr>
                <w:rFonts w:cs="Arial"/>
                <w:sz w:val="20"/>
                <w:szCs w:val="20"/>
              </w:rPr>
              <w:t>ns</w:t>
            </w:r>
            <w:r w:rsidR="00287748" w:rsidRPr="008201A1">
              <w:rPr>
                <w:rFonts w:cs="Arial"/>
                <w:sz w:val="20"/>
                <w:szCs w:val="20"/>
              </w:rPr>
              <w:t xml:space="preserve"> </w:t>
            </w:r>
            <w:r w:rsidR="00546023" w:rsidRPr="008201A1">
              <w:rPr>
                <w:rFonts w:cs="Arial"/>
                <w:sz w:val="20"/>
                <w:szCs w:val="20"/>
              </w:rPr>
              <w:t xml:space="preserve">with </w:t>
            </w:r>
            <w:r w:rsidR="00C4618F" w:rsidRPr="0072610E">
              <w:rPr>
                <w:rFonts w:cs="Arial"/>
                <w:sz w:val="20"/>
                <w:szCs w:val="20"/>
              </w:rPr>
              <w:t>listed</w:t>
            </w:r>
            <w:r w:rsidR="00513414" w:rsidRPr="0072610E">
              <w:rPr>
                <w:rFonts w:cs="Arial"/>
                <w:sz w:val="20"/>
                <w:szCs w:val="20"/>
              </w:rPr>
              <w:t xml:space="preserve"> </w:t>
            </w:r>
            <w:r w:rsidR="00C4618F" w:rsidRPr="0072610E">
              <w:rPr>
                <w:rFonts w:cs="Arial"/>
                <w:sz w:val="20"/>
                <w:szCs w:val="20"/>
              </w:rPr>
              <w:t xml:space="preserve">threatened </w:t>
            </w:r>
            <w:r w:rsidR="00513414" w:rsidRPr="0072610E">
              <w:rPr>
                <w:rFonts w:cs="Arial"/>
                <w:sz w:val="20"/>
                <w:szCs w:val="20"/>
              </w:rPr>
              <w:t>species</w:t>
            </w:r>
            <w:r w:rsidR="00C92195" w:rsidRPr="00F32842">
              <w:rPr>
                <w:rFonts w:cs="Arial"/>
                <w:sz w:val="20"/>
                <w:szCs w:val="20"/>
              </w:rPr>
              <w:t xml:space="preserve"> </w:t>
            </w:r>
            <w:r w:rsidR="00546023" w:rsidRPr="008201A1">
              <w:rPr>
                <w:rFonts w:cs="Arial"/>
                <w:sz w:val="20"/>
                <w:szCs w:val="20"/>
              </w:rPr>
              <w:t xml:space="preserve">in the </w:t>
            </w:r>
            <w:r w:rsidR="003440A6" w:rsidRPr="008201A1">
              <w:rPr>
                <w:rFonts w:cs="Arial"/>
                <w:sz w:val="20"/>
                <w:szCs w:val="20"/>
              </w:rPr>
              <w:t>f</w:t>
            </w:r>
            <w:r w:rsidR="00546023" w:rsidRPr="008E2BC5">
              <w:rPr>
                <w:rFonts w:cs="Arial"/>
                <w:sz w:val="20"/>
                <w:szCs w:val="20"/>
              </w:rPr>
              <w:t>ishery</w:t>
            </w:r>
            <w:r w:rsidRPr="008E2BC5">
              <w:rPr>
                <w:rFonts w:cs="Arial"/>
                <w:sz w:val="20"/>
                <w:szCs w:val="20"/>
              </w:rPr>
              <w:t xml:space="preserve"> in 2014/2019</w:t>
            </w:r>
            <w:r w:rsidR="00546023" w:rsidRPr="008E2BC5">
              <w:rPr>
                <w:rFonts w:cs="Arial"/>
                <w:sz w:val="20"/>
                <w:szCs w:val="20"/>
              </w:rPr>
              <w:t xml:space="preserve">. Therefore, the Department considers the current operation of the </w:t>
            </w:r>
            <w:r w:rsidR="003440A6" w:rsidRPr="008E2BC5">
              <w:rPr>
                <w:rFonts w:cs="Arial"/>
                <w:sz w:val="20"/>
                <w:szCs w:val="20"/>
              </w:rPr>
              <w:t>f</w:t>
            </w:r>
            <w:r w:rsidR="00546023" w:rsidRPr="008E2BC5">
              <w:rPr>
                <w:rFonts w:cs="Arial"/>
                <w:sz w:val="20"/>
                <w:szCs w:val="20"/>
              </w:rPr>
              <w:t xml:space="preserve">ishery is not likely to adversely affect </w:t>
            </w:r>
            <w:r w:rsidR="003440A6" w:rsidRPr="008E2BC5">
              <w:rPr>
                <w:rFonts w:cs="Arial"/>
                <w:sz w:val="20"/>
                <w:szCs w:val="20"/>
              </w:rPr>
              <w:t>the survival or recovery in nature of the species</w:t>
            </w:r>
            <w:r w:rsidR="00546023" w:rsidRPr="008E2BC5">
              <w:rPr>
                <w:rFonts w:cs="Arial"/>
                <w:sz w:val="20"/>
                <w:szCs w:val="20"/>
              </w:rPr>
              <w:t>.</w:t>
            </w:r>
          </w:p>
          <w:p w14:paraId="64AE9984" w14:textId="3EFC698C" w:rsidR="00E57AB7" w:rsidRPr="008E2BC5" w:rsidRDefault="00E57AB7">
            <w:pPr>
              <w:spacing w:before="60" w:after="60" w:line="276" w:lineRule="auto"/>
              <w:contextualSpacing/>
              <w:rPr>
                <w:rFonts w:cs="Arial"/>
                <w:b/>
                <w:sz w:val="20"/>
                <w:szCs w:val="20"/>
                <w:highlight w:val="yellow"/>
              </w:rPr>
            </w:pPr>
          </w:p>
        </w:tc>
      </w:tr>
      <w:tr w:rsidR="00400844" w:rsidRPr="008E2BC5"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5D5966F1" w:rsidR="00400844" w:rsidRPr="00F32842" w:rsidRDefault="00400844" w:rsidP="00F32842">
            <w:pPr>
              <w:spacing w:before="60" w:after="60" w:line="276" w:lineRule="auto"/>
              <w:ind w:left="426" w:hanging="426"/>
              <w:contextualSpacing/>
              <w:jc w:val="center"/>
              <w:rPr>
                <w:rFonts w:cs="Arial"/>
                <w:b/>
                <w:sz w:val="20"/>
                <w:szCs w:val="20"/>
              </w:rPr>
            </w:pPr>
            <w:r w:rsidRPr="00F32842">
              <w:rPr>
                <w:rFonts w:cs="Arial"/>
                <w:b/>
                <w:sz w:val="20"/>
                <w:szCs w:val="20"/>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8201A1" w:rsidRDefault="00400844" w:rsidP="008201A1">
            <w:pPr>
              <w:spacing w:before="60" w:after="60" w:line="276" w:lineRule="auto"/>
              <w:contextualSpacing/>
              <w:jc w:val="center"/>
              <w:rPr>
                <w:rFonts w:cs="Arial"/>
                <w:b/>
                <w:sz w:val="20"/>
                <w:szCs w:val="20"/>
              </w:rPr>
            </w:pPr>
            <w:r w:rsidRPr="008201A1">
              <w:rPr>
                <w:rFonts w:cs="Arial"/>
                <w:b/>
                <w:sz w:val="20"/>
                <w:szCs w:val="20"/>
              </w:rPr>
              <w:t>Comment</w:t>
            </w:r>
          </w:p>
        </w:tc>
      </w:tr>
      <w:tr w:rsidR="009A1276" w:rsidRPr="008E2BC5" w14:paraId="54E5AB0F" w14:textId="77777777" w:rsidTr="00824478">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8201A1" w:rsidRDefault="009A1276" w:rsidP="00F32842">
            <w:pPr>
              <w:pStyle w:val="ListNumber2"/>
            </w:pPr>
            <w:r w:rsidRPr="00F32842">
              <w:t>(f)</w:t>
            </w:r>
            <w:r w:rsidRPr="00F32842">
              <w:tab/>
              <w:t>Will the plan, regime or policy require fishers to take all reasonable steps to ensure that members of listed migratory species ar</w:t>
            </w:r>
            <w:r w:rsidRPr="008201A1">
              <w:t>e not killed or injured as a result of the fishing?</w:t>
            </w:r>
          </w:p>
        </w:tc>
        <w:tc>
          <w:tcPr>
            <w:tcW w:w="2500" w:type="pct"/>
            <w:shd w:val="clear" w:color="auto" w:fill="92D050"/>
          </w:tcPr>
          <w:p w14:paraId="0B996606" w14:textId="77777777" w:rsidR="002F564A" w:rsidRPr="008201A1" w:rsidRDefault="002F564A" w:rsidP="008201A1">
            <w:pPr>
              <w:spacing w:before="60" w:after="60" w:line="276" w:lineRule="auto"/>
              <w:contextualSpacing/>
              <w:rPr>
                <w:rFonts w:cs="Arial"/>
                <w:b/>
                <w:sz w:val="20"/>
                <w:szCs w:val="20"/>
              </w:rPr>
            </w:pPr>
            <w:r w:rsidRPr="008201A1">
              <w:rPr>
                <w:rFonts w:cs="Arial"/>
                <w:b/>
                <w:sz w:val="20"/>
                <w:szCs w:val="20"/>
              </w:rPr>
              <w:t>Meets</w:t>
            </w:r>
          </w:p>
          <w:p w14:paraId="68793C47" w14:textId="1432F319" w:rsidR="009A1276" w:rsidRPr="0072610E" w:rsidRDefault="008C5CEE" w:rsidP="008201A1">
            <w:pPr>
              <w:spacing w:before="60" w:after="60" w:line="276" w:lineRule="auto"/>
              <w:contextualSpacing/>
              <w:rPr>
                <w:rFonts w:cs="Arial"/>
                <w:sz w:val="20"/>
                <w:szCs w:val="20"/>
              </w:rPr>
            </w:pPr>
            <w:r w:rsidRPr="0072610E">
              <w:rPr>
                <w:rFonts w:cs="Arial"/>
                <w:sz w:val="20"/>
                <w:szCs w:val="20"/>
              </w:rPr>
              <w:t xml:space="preserve">Listed migratory species that may interact with the fishery due to geographic overlap include large whale species and some seabird species. The management regime for the </w:t>
            </w:r>
            <w:r w:rsidR="00A54180" w:rsidRPr="00F32842">
              <w:rPr>
                <w:rFonts w:cs="Arial"/>
                <w:sz w:val="20"/>
                <w:szCs w:val="20"/>
              </w:rPr>
              <w:t>TGCF</w:t>
            </w:r>
            <w:r w:rsidRPr="0072610E">
              <w:rPr>
                <w:rFonts w:cs="Arial"/>
                <w:sz w:val="20"/>
                <w:szCs w:val="20"/>
              </w:rPr>
              <w:t xml:space="preserve"> prescribes limits and restrictions on fishing gear used in the fishery, as described in Section 2. Given these limits and restrictions, that keep fishing effort constrained enough that the risk of whale </w:t>
            </w:r>
            <w:r w:rsidRPr="0072610E">
              <w:rPr>
                <w:rFonts w:cs="Arial"/>
                <w:sz w:val="20"/>
                <w:szCs w:val="20"/>
              </w:rPr>
              <w:lastRenderedPageBreak/>
              <w:t xml:space="preserve">entanglements is low, coupled with the relatively benign fishing methods that do not pose a risk to seabirds, the Department considers that the management regime for the </w:t>
            </w:r>
            <w:r w:rsidR="00A54180" w:rsidRPr="00F32842">
              <w:rPr>
                <w:rFonts w:cs="Arial"/>
                <w:sz w:val="20"/>
                <w:szCs w:val="20"/>
              </w:rPr>
              <w:t>TGCF</w:t>
            </w:r>
            <w:r w:rsidRPr="0072610E">
              <w:rPr>
                <w:rFonts w:cs="Arial"/>
                <w:sz w:val="20"/>
                <w:szCs w:val="20"/>
              </w:rPr>
              <w:t xml:space="preserve"> still requires </w:t>
            </w:r>
            <w:r w:rsidR="0043021B" w:rsidRPr="0072610E">
              <w:rPr>
                <w:rFonts w:cs="Arial"/>
                <w:sz w:val="20"/>
                <w:szCs w:val="20"/>
              </w:rPr>
              <w:t>operators</w:t>
            </w:r>
            <w:r w:rsidRPr="0072610E">
              <w:rPr>
                <w:rFonts w:cs="Arial"/>
                <w:sz w:val="20"/>
                <w:szCs w:val="20"/>
              </w:rPr>
              <w:t xml:space="preserve"> to take all reasonable </w:t>
            </w:r>
            <w:r w:rsidR="0043021B" w:rsidRPr="0072610E">
              <w:rPr>
                <w:rFonts w:cs="Arial"/>
                <w:sz w:val="20"/>
                <w:szCs w:val="20"/>
              </w:rPr>
              <w:t>steps to ensure that mem</w:t>
            </w:r>
            <w:r w:rsidRPr="0072610E">
              <w:rPr>
                <w:rFonts w:cs="Arial"/>
                <w:sz w:val="20"/>
                <w:szCs w:val="20"/>
              </w:rPr>
              <w:t>bers of listed migratory species are not killed or injured in Commonwealth waters as a result of the fishing.</w:t>
            </w:r>
          </w:p>
          <w:p w14:paraId="547772ED" w14:textId="77777777" w:rsidR="0043021B" w:rsidRPr="00F32842" w:rsidRDefault="0043021B">
            <w:pPr>
              <w:spacing w:before="60" w:after="60" w:line="276" w:lineRule="auto"/>
              <w:contextualSpacing/>
              <w:rPr>
                <w:rFonts w:cs="Arial"/>
                <w:sz w:val="20"/>
                <w:szCs w:val="20"/>
              </w:rPr>
            </w:pPr>
          </w:p>
          <w:p w14:paraId="0E0A4D3B" w14:textId="1F52FE8B" w:rsidR="00546023" w:rsidRPr="008E2BC5" w:rsidRDefault="00546023">
            <w:pPr>
              <w:spacing w:before="60" w:after="60" w:line="276" w:lineRule="auto"/>
              <w:contextualSpacing/>
              <w:rPr>
                <w:rFonts w:cs="Arial"/>
                <w:sz w:val="20"/>
                <w:szCs w:val="20"/>
              </w:rPr>
            </w:pPr>
            <w:r w:rsidRPr="008201A1">
              <w:rPr>
                <w:rFonts w:cs="Arial"/>
                <w:sz w:val="20"/>
                <w:szCs w:val="20"/>
              </w:rPr>
              <w:t xml:space="preserve">The </w:t>
            </w:r>
            <w:r w:rsidR="004D4C85" w:rsidRPr="008201A1">
              <w:rPr>
                <w:rFonts w:cs="Arial"/>
                <w:sz w:val="20"/>
                <w:szCs w:val="20"/>
              </w:rPr>
              <w:t>m</w:t>
            </w:r>
            <w:r w:rsidRPr="008E2BC5">
              <w:rPr>
                <w:rFonts w:cs="Arial"/>
                <w:sz w:val="20"/>
                <w:szCs w:val="20"/>
              </w:rPr>
              <w:t xml:space="preserve">anagement regime for the </w:t>
            </w:r>
            <w:r w:rsidR="00A54180" w:rsidRPr="008E2BC5">
              <w:rPr>
                <w:rFonts w:cs="Arial"/>
                <w:sz w:val="20"/>
                <w:szCs w:val="20"/>
              </w:rPr>
              <w:t>TGCF</w:t>
            </w:r>
            <w:r w:rsidR="0043021B" w:rsidRPr="008E2BC5">
              <w:rPr>
                <w:rFonts w:cs="Arial"/>
                <w:sz w:val="20"/>
                <w:szCs w:val="20"/>
              </w:rPr>
              <w:t xml:space="preserve"> </w:t>
            </w:r>
            <w:r w:rsidRPr="008E2BC5">
              <w:rPr>
                <w:rFonts w:cs="Arial"/>
                <w:sz w:val="20"/>
                <w:szCs w:val="20"/>
              </w:rPr>
              <w:t>was accredited</w:t>
            </w:r>
            <w:r w:rsidR="00DE3826" w:rsidRPr="008E2BC5">
              <w:rPr>
                <w:rFonts w:cs="Arial"/>
                <w:sz w:val="20"/>
                <w:szCs w:val="20"/>
              </w:rPr>
              <w:t xml:space="preserve"> under section 222A (Part 13) of the EPBC Act</w:t>
            </w:r>
            <w:r w:rsidRPr="008E2BC5">
              <w:rPr>
                <w:rFonts w:cs="Arial"/>
                <w:sz w:val="20"/>
                <w:szCs w:val="20"/>
              </w:rPr>
              <w:t xml:space="preserve"> </w:t>
            </w:r>
            <w:r w:rsidR="003440A6" w:rsidRPr="008E2BC5">
              <w:rPr>
                <w:rFonts w:cs="Arial"/>
                <w:sz w:val="20"/>
                <w:szCs w:val="20"/>
              </w:rPr>
              <w:t xml:space="preserve">in </w:t>
            </w:r>
            <w:r w:rsidR="0043021B" w:rsidRPr="008E2BC5">
              <w:rPr>
                <w:rFonts w:cs="Arial"/>
                <w:sz w:val="20"/>
                <w:szCs w:val="20"/>
              </w:rPr>
              <w:t>July 2014</w:t>
            </w:r>
            <w:r w:rsidR="003440A6" w:rsidRPr="008E2BC5">
              <w:rPr>
                <w:rFonts w:cs="Arial"/>
                <w:sz w:val="20"/>
                <w:szCs w:val="20"/>
              </w:rPr>
              <w:t xml:space="preserve">. </w:t>
            </w:r>
            <w:r w:rsidRPr="008E2BC5">
              <w:rPr>
                <w:rFonts w:cs="Arial"/>
                <w:sz w:val="20"/>
                <w:szCs w:val="20"/>
              </w:rPr>
              <w:t xml:space="preserve">The management arrangements for the </w:t>
            </w:r>
            <w:r w:rsidR="00A54180" w:rsidRPr="008E2BC5">
              <w:rPr>
                <w:rFonts w:cs="Arial"/>
                <w:sz w:val="20"/>
                <w:szCs w:val="20"/>
              </w:rPr>
              <w:t>TGCF</w:t>
            </w:r>
            <w:r w:rsidR="004D4C85" w:rsidRPr="008E2BC5">
              <w:rPr>
                <w:rFonts w:cs="Arial"/>
                <w:sz w:val="20"/>
                <w:szCs w:val="20"/>
              </w:rPr>
              <w:t xml:space="preserve"> </w:t>
            </w:r>
            <w:r w:rsidRPr="008E2BC5">
              <w:rPr>
                <w:rFonts w:cs="Arial"/>
                <w:sz w:val="20"/>
                <w:szCs w:val="20"/>
              </w:rPr>
              <w:t xml:space="preserve">have not significantly changed since this accreditation was granted. Consequently, a new Part 13 declaration is not needed at this time. </w:t>
            </w:r>
          </w:p>
          <w:p w14:paraId="18C19108" w14:textId="7C3B977A" w:rsidR="00E57AB7" w:rsidRPr="008E2BC5" w:rsidRDefault="00E57AB7">
            <w:pPr>
              <w:spacing w:before="60" w:after="60" w:line="276" w:lineRule="auto"/>
              <w:contextualSpacing/>
              <w:rPr>
                <w:rFonts w:cs="Arial"/>
                <w:b/>
                <w:sz w:val="20"/>
                <w:szCs w:val="20"/>
                <w:highlight w:val="yellow"/>
              </w:rPr>
            </w:pPr>
          </w:p>
        </w:tc>
      </w:tr>
      <w:tr w:rsidR="009A1276" w:rsidRPr="008E2BC5" w14:paraId="49D7E84F" w14:textId="77777777" w:rsidTr="00824478">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9A1276" w:rsidRPr="008201A1" w:rsidRDefault="009A1276" w:rsidP="00F32842">
            <w:pPr>
              <w:pStyle w:val="ListNumber2"/>
            </w:pPr>
            <w:r w:rsidRPr="00F32842">
              <w:lastRenderedPageBreak/>
              <w:t>(g)</w:t>
            </w:r>
            <w:r w:rsidRPr="00F32842">
              <w:tab/>
              <w:t>And, is the fishery likely to adversely affect the conservation status of a lis</w:t>
            </w:r>
            <w:r w:rsidRPr="008201A1">
              <w:t>ted migratory species or a population of that species?</w:t>
            </w:r>
          </w:p>
        </w:tc>
        <w:tc>
          <w:tcPr>
            <w:tcW w:w="2500" w:type="pct"/>
            <w:shd w:val="clear" w:color="auto" w:fill="92D050"/>
          </w:tcPr>
          <w:p w14:paraId="300551B9" w14:textId="77777777" w:rsidR="0013538D" w:rsidRPr="008201A1" w:rsidRDefault="0013538D" w:rsidP="008201A1">
            <w:pPr>
              <w:spacing w:before="60" w:after="60" w:line="276" w:lineRule="auto"/>
              <w:contextualSpacing/>
              <w:rPr>
                <w:rFonts w:cs="Arial"/>
                <w:b/>
                <w:sz w:val="20"/>
                <w:szCs w:val="20"/>
              </w:rPr>
            </w:pPr>
            <w:r w:rsidRPr="008201A1">
              <w:rPr>
                <w:rFonts w:cs="Arial"/>
                <w:b/>
                <w:sz w:val="20"/>
                <w:szCs w:val="20"/>
              </w:rPr>
              <w:t>Meets</w:t>
            </w:r>
          </w:p>
          <w:p w14:paraId="571CF914" w14:textId="24292679" w:rsidR="0013538D" w:rsidRPr="008201A1" w:rsidRDefault="0013538D" w:rsidP="008201A1">
            <w:pPr>
              <w:spacing w:before="60" w:after="60" w:line="276" w:lineRule="auto"/>
              <w:contextualSpacing/>
              <w:rPr>
                <w:rFonts w:cs="Arial"/>
                <w:sz w:val="20"/>
                <w:szCs w:val="20"/>
              </w:rPr>
            </w:pPr>
            <w:r w:rsidRPr="008201A1">
              <w:rPr>
                <w:rFonts w:cs="Arial"/>
                <w:sz w:val="20"/>
                <w:szCs w:val="20"/>
              </w:rPr>
              <w:t xml:space="preserve">Reports provided by the </w:t>
            </w:r>
            <w:r w:rsidR="007923DF" w:rsidRPr="008E2BC5">
              <w:rPr>
                <w:rFonts w:cs="Arial"/>
                <w:sz w:val="20"/>
                <w:szCs w:val="20"/>
              </w:rPr>
              <w:t>DPIPWE</w:t>
            </w:r>
            <w:r w:rsidRPr="008E2BC5">
              <w:rPr>
                <w:rFonts w:cs="Arial"/>
                <w:sz w:val="20"/>
                <w:szCs w:val="20"/>
              </w:rPr>
              <w:t xml:space="preserve"> indicate that there has been no interaction</w:t>
            </w:r>
            <w:r w:rsidR="00287748">
              <w:rPr>
                <w:rFonts w:cs="Arial"/>
                <w:sz w:val="20"/>
                <w:szCs w:val="20"/>
              </w:rPr>
              <w:t>s</w:t>
            </w:r>
            <w:r w:rsidRPr="008201A1">
              <w:rPr>
                <w:rFonts w:cs="Arial"/>
                <w:sz w:val="20"/>
                <w:szCs w:val="20"/>
              </w:rPr>
              <w:t xml:space="preserve"> with</w:t>
            </w:r>
            <w:r w:rsidR="007923DF" w:rsidRPr="008201A1">
              <w:rPr>
                <w:rFonts w:cs="Arial"/>
                <w:sz w:val="20"/>
                <w:szCs w:val="20"/>
              </w:rPr>
              <w:t xml:space="preserve"> listed</w:t>
            </w:r>
            <w:r w:rsidRPr="008E2BC5">
              <w:rPr>
                <w:rFonts w:cs="Arial"/>
                <w:sz w:val="20"/>
                <w:szCs w:val="20"/>
              </w:rPr>
              <w:t xml:space="preserve"> </w:t>
            </w:r>
            <w:r w:rsidRPr="0072610E">
              <w:rPr>
                <w:rFonts w:cs="Arial"/>
                <w:sz w:val="20"/>
                <w:szCs w:val="20"/>
              </w:rPr>
              <w:t>migratory species</w:t>
            </w:r>
            <w:r w:rsidRPr="00F32842">
              <w:rPr>
                <w:rFonts w:cs="Arial"/>
                <w:sz w:val="20"/>
                <w:szCs w:val="20"/>
              </w:rPr>
              <w:t xml:space="preserve"> in the fishery in 2014/2019</w:t>
            </w:r>
            <w:r w:rsidRPr="008201A1">
              <w:rPr>
                <w:rFonts w:cs="Arial"/>
                <w:sz w:val="20"/>
                <w:szCs w:val="20"/>
              </w:rPr>
              <w:t>. Therefore, the Department considers the current operation of the fishery is not likely to adversely affect the conservation status of a listed migratory species or a population of that species.</w:t>
            </w:r>
          </w:p>
          <w:p w14:paraId="7DC6AC96" w14:textId="4402037B" w:rsidR="00E57AB7" w:rsidRPr="008E2BC5" w:rsidRDefault="00E57AB7">
            <w:pPr>
              <w:spacing w:before="60" w:after="60" w:line="276" w:lineRule="auto"/>
              <w:contextualSpacing/>
              <w:rPr>
                <w:rFonts w:cs="Arial"/>
                <w:b/>
                <w:sz w:val="20"/>
                <w:szCs w:val="20"/>
                <w:highlight w:val="yellow"/>
              </w:rPr>
            </w:pPr>
          </w:p>
        </w:tc>
      </w:tr>
      <w:tr w:rsidR="009A1276" w:rsidRPr="008E2BC5"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8201A1" w:rsidRDefault="009A1276" w:rsidP="00F32842">
            <w:pPr>
              <w:spacing w:before="60" w:after="60" w:line="276" w:lineRule="auto"/>
              <w:ind w:left="426" w:hanging="426"/>
              <w:contextualSpacing/>
              <w:jc w:val="center"/>
              <w:rPr>
                <w:rFonts w:cs="Arial"/>
                <w:b/>
                <w:sz w:val="20"/>
                <w:szCs w:val="20"/>
              </w:rPr>
            </w:pPr>
            <w:r w:rsidRPr="00F32842">
              <w:rPr>
                <w:rFonts w:cs="Arial"/>
                <w:b/>
                <w:sz w:val="20"/>
                <w:szCs w:val="20"/>
              </w:rPr>
              <w:t>Division 3 Whales and other cetaceans, Section 245 Ministe</w:t>
            </w:r>
            <w:r w:rsidRPr="008201A1">
              <w:rPr>
                <w:rFonts w:cs="Arial"/>
                <w:b/>
                <w:sz w:val="20"/>
                <w:szCs w:val="20"/>
              </w:rPr>
              <w:t>r may accredit plans or regimes</w:t>
            </w:r>
          </w:p>
        </w:tc>
        <w:tc>
          <w:tcPr>
            <w:tcW w:w="2500" w:type="pct"/>
            <w:shd w:val="clear" w:color="auto" w:fill="D9D9D9" w:themeFill="background1" w:themeFillShade="D9"/>
            <w:vAlign w:val="center"/>
          </w:tcPr>
          <w:p w14:paraId="73860A53" w14:textId="77777777" w:rsidR="009A1276" w:rsidRPr="008201A1" w:rsidRDefault="009A1276" w:rsidP="008201A1">
            <w:pPr>
              <w:spacing w:before="60" w:after="60" w:line="276" w:lineRule="auto"/>
              <w:contextualSpacing/>
              <w:jc w:val="center"/>
              <w:rPr>
                <w:rFonts w:cs="Arial"/>
                <w:b/>
                <w:sz w:val="20"/>
                <w:szCs w:val="20"/>
              </w:rPr>
            </w:pPr>
            <w:r w:rsidRPr="008201A1">
              <w:rPr>
                <w:rFonts w:cs="Arial"/>
                <w:b/>
                <w:sz w:val="20"/>
                <w:szCs w:val="20"/>
              </w:rPr>
              <w:t>Comment</w:t>
            </w:r>
          </w:p>
        </w:tc>
      </w:tr>
      <w:tr w:rsidR="009A1276" w:rsidRPr="008E2BC5" w14:paraId="4A23A01E" w14:textId="77777777" w:rsidTr="00824478">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9A1276" w:rsidRPr="008E2BC5" w:rsidRDefault="009A1276" w:rsidP="00F32842">
            <w:pPr>
              <w:pStyle w:val="ListNumber2"/>
            </w:pPr>
            <w:r w:rsidRPr="00F32842">
              <w:t>(f)</w:t>
            </w:r>
            <w:r w:rsidRPr="00F32842">
              <w:tab/>
              <w:t xml:space="preserve">Will </w:t>
            </w:r>
            <w:r w:rsidR="00215FE3" w:rsidRPr="008201A1">
              <w:t>the plan, regime or policy require fishers to take all reasonable steps to ensure that cetaceans are not killed or injured as a result of the fishing</w:t>
            </w:r>
            <w:r w:rsidRPr="008E2BC5">
              <w:t>?</w:t>
            </w:r>
          </w:p>
        </w:tc>
        <w:tc>
          <w:tcPr>
            <w:tcW w:w="2500" w:type="pct"/>
            <w:shd w:val="clear" w:color="auto" w:fill="92D050"/>
          </w:tcPr>
          <w:p w14:paraId="0FBF9408" w14:textId="77777777" w:rsidR="002F564A" w:rsidRPr="008E2BC5" w:rsidRDefault="002F564A" w:rsidP="008201A1">
            <w:pPr>
              <w:spacing w:before="60" w:after="60" w:line="276" w:lineRule="auto"/>
              <w:contextualSpacing/>
              <w:rPr>
                <w:rFonts w:cs="Arial"/>
                <w:b/>
                <w:sz w:val="20"/>
                <w:szCs w:val="20"/>
              </w:rPr>
            </w:pPr>
            <w:r w:rsidRPr="008E2BC5">
              <w:rPr>
                <w:rFonts w:cs="Arial"/>
                <w:b/>
                <w:sz w:val="20"/>
                <w:szCs w:val="20"/>
              </w:rPr>
              <w:t>Meets</w:t>
            </w:r>
          </w:p>
          <w:p w14:paraId="5F5D4915" w14:textId="49392313" w:rsidR="00654950" w:rsidRPr="0072610E" w:rsidRDefault="00654950" w:rsidP="008201A1">
            <w:pPr>
              <w:spacing w:before="60" w:after="60" w:line="276" w:lineRule="auto"/>
              <w:contextualSpacing/>
              <w:rPr>
                <w:rFonts w:cs="Arial"/>
                <w:sz w:val="20"/>
                <w:szCs w:val="20"/>
              </w:rPr>
            </w:pPr>
            <w:r w:rsidRPr="0072610E">
              <w:rPr>
                <w:rFonts w:cs="Arial"/>
                <w:sz w:val="20"/>
                <w:szCs w:val="20"/>
              </w:rPr>
              <w:t xml:space="preserve">There are a number of cetacean species that may interact with the fishery due to </w:t>
            </w:r>
            <w:r w:rsidR="00925A4A" w:rsidRPr="0072610E">
              <w:rPr>
                <w:rFonts w:cs="Arial"/>
                <w:sz w:val="20"/>
                <w:szCs w:val="20"/>
              </w:rPr>
              <w:t>geographic</w:t>
            </w:r>
            <w:r w:rsidRPr="0072610E">
              <w:rPr>
                <w:rFonts w:cs="Arial"/>
                <w:sz w:val="20"/>
                <w:szCs w:val="20"/>
              </w:rPr>
              <w:t xml:space="preserve"> overlap of fishing effort with migration routes, particularly for humpback whales and southern right whales, although there have been no reported interactions </w:t>
            </w:r>
            <w:r w:rsidR="00D6413F" w:rsidRPr="00F32842">
              <w:rPr>
                <w:rFonts w:cs="Arial"/>
                <w:sz w:val="20"/>
                <w:szCs w:val="20"/>
              </w:rPr>
              <w:t>in the history of the fishery</w:t>
            </w:r>
            <w:r w:rsidRPr="0072610E">
              <w:rPr>
                <w:rFonts w:cs="Arial"/>
                <w:sz w:val="20"/>
                <w:szCs w:val="20"/>
              </w:rPr>
              <w:t xml:space="preserve">. The management regime of the </w:t>
            </w:r>
            <w:r w:rsidR="00D6413F" w:rsidRPr="00F32842">
              <w:rPr>
                <w:rFonts w:cs="Arial"/>
                <w:sz w:val="20"/>
                <w:szCs w:val="20"/>
              </w:rPr>
              <w:t>TGCF</w:t>
            </w:r>
            <w:r w:rsidRPr="0072610E">
              <w:rPr>
                <w:rFonts w:cs="Arial"/>
                <w:sz w:val="20"/>
                <w:szCs w:val="20"/>
              </w:rPr>
              <w:t xml:space="preserve"> prescribes limits and restrictions on </w:t>
            </w:r>
            <w:r w:rsidR="00925A4A" w:rsidRPr="0072610E">
              <w:rPr>
                <w:rFonts w:cs="Arial"/>
                <w:sz w:val="20"/>
                <w:szCs w:val="20"/>
              </w:rPr>
              <w:t>fishing</w:t>
            </w:r>
            <w:r w:rsidRPr="0072610E">
              <w:rPr>
                <w:rFonts w:cs="Arial"/>
                <w:sz w:val="20"/>
                <w:szCs w:val="20"/>
              </w:rPr>
              <w:t xml:space="preserve"> gear used in the fishery, as </w:t>
            </w:r>
            <w:r w:rsidR="00925A4A" w:rsidRPr="0072610E">
              <w:rPr>
                <w:rFonts w:cs="Arial"/>
                <w:sz w:val="20"/>
                <w:szCs w:val="20"/>
              </w:rPr>
              <w:t>described</w:t>
            </w:r>
            <w:r w:rsidRPr="0072610E">
              <w:rPr>
                <w:rFonts w:cs="Arial"/>
                <w:sz w:val="20"/>
                <w:szCs w:val="20"/>
              </w:rPr>
              <w:t xml:space="preserve"> in Section 2. Given these limits and restrictions keep fishing effort constrained enough that the risk of </w:t>
            </w:r>
            <w:r w:rsidR="00925A4A" w:rsidRPr="0072610E">
              <w:rPr>
                <w:rFonts w:cs="Arial"/>
                <w:sz w:val="20"/>
                <w:szCs w:val="20"/>
              </w:rPr>
              <w:t>whale</w:t>
            </w:r>
            <w:r w:rsidRPr="0072610E">
              <w:rPr>
                <w:rFonts w:cs="Arial"/>
                <w:sz w:val="20"/>
                <w:szCs w:val="20"/>
              </w:rPr>
              <w:t xml:space="preserve"> </w:t>
            </w:r>
            <w:r w:rsidR="00925A4A" w:rsidRPr="0072610E">
              <w:rPr>
                <w:rFonts w:cs="Arial"/>
                <w:sz w:val="20"/>
                <w:szCs w:val="20"/>
              </w:rPr>
              <w:t>entanglements</w:t>
            </w:r>
            <w:r w:rsidRPr="0072610E">
              <w:rPr>
                <w:rFonts w:cs="Arial"/>
                <w:sz w:val="20"/>
                <w:szCs w:val="20"/>
              </w:rPr>
              <w:t xml:space="preserve"> is lo</w:t>
            </w:r>
            <w:r w:rsidR="00D6413F" w:rsidRPr="00F32842">
              <w:rPr>
                <w:rFonts w:cs="Arial"/>
                <w:sz w:val="20"/>
                <w:szCs w:val="20"/>
              </w:rPr>
              <w:t>w</w:t>
            </w:r>
            <w:r w:rsidRPr="0072610E">
              <w:rPr>
                <w:rFonts w:cs="Arial"/>
                <w:sz w:val="20"/>
                <w:szCs w:val="20"/>
              </w:rPr>
              <w:t xml:space="preserve">, particularly over the winter whale migration season, the Department considers that the management regime for the </w:t>
            </w:r>
            <w:r w:rsidR="00D6413F" w:rsidRPr="00F32842">
              <w:rPr>
                <w:rFonts w:cs="Arial"/>
                <w:sz w:val="20"/>
                <w:szCs w:val="20"/>
              </w:rPr>
              <w:t>TGCF</w:t>
            </w:r>
            <w:r w:rsidRPr="0072610E">
              <w:rPr>
                <w:rFonts w:cs="Arial"/>
                <w:sz w:val="20"/>
                <w:szCs w:val="20"/>
              </w:rPr>
              <w:t xml:space="preserve"> still requires </w:t>
            </w:r>
            <w:r w:rsidR="00925A4A" w:rsidRPr="0072610E">
              <w:rPr>
                <w:rFonts w:cs="Arial"/>
                <w:sz w:val="20"/>
                <w:szCs w:val="20"/>
              </w:rPr>
              <w:t>operators</w:t>
            </w:r>
            <w:r w:rsidRPr="0072610E">
              <w:rPr>
                <w:rFonts w:cs="Arial"/>
                <w:sz w:val="20"/>
                <w:szCs w:val="20"/>
              </w:rPr>
              <w:t xml:space="preserve"> to take all reasonable steps to ensure </w:t>
            </w:r>
            <w:r w:rsidR="00925A4A" w:rsidRPr="0072610E">
              <w:rPr>
                <w:rFonts w:cs="Arial"/>
                <w:sz w:val="20"/>
                <w:szCs w:val="20"/>
              </w:rPr>
              <w:t>cetaceans are not killed or inju</w:t>
            </w:r>
            <w:r w:rsidRPr="0072610E">
              <w:rPr>
                <w:rFonts w:cs="Arial"/>
                <w:sz w:val="20"/>
                <w:szCs w:val="20"/>
              </w:rPr>
              <w:t xml:space="preserve">red in Commonwealth waters as a result of the fishing. </w:t>
            </w:r>
          </w:p>
          <w:p w14:paraId="2B65B10B" w14:textId="77777777" w:rsidR="00FA008C" w:rsidRPr="00F32842" w:rsidRDefault="00FA008C">
            <w:pPr>
              <w:spacing w:before="60" w:after="60" w:line="276" w:lineRule="auto"/>
              <w:contextualSpacing/>
              <w:rPr>
                <w:rFonts w:cs="Arial"/>
                <w:i/>
                <w:sz w:val="20"/>
                <w:szCs w:val="20"/>
              </w:rPr>
            </w:pPr>
          </w:p>
          <w:p w14:paraId="5C6A0FE4" w14:textId="0BE5C7C1" w:rsidR="00546023" w:rsidRPr="008E2BC5" w:rsidRDefault="00546023">
            <w:pPr>
              <w:spacing w:before="60" w:after="60" w:line="276" w:lineRule="auto"/>
              <w:contextualSpacing/>
              <w:rPr>
                <w:rFonts w:cs="Arial"/>
                <w:sz w:val="20"/>
                <w:szCs w:val="20"/>
              </w:rPr>
            </w:pPr>
            <w:r w:rsidRPr="008201A1">
              <w:rPr>
                <w:rFonts w:cs="Arial"/>
                <w:sz w:val="20"/>
                <w:szCs w:val="20"/>
              </w:rPr>
              <w:t xml:space="preserve">The </w:t>
            </w:r>
            <w:r w:rsidR="003440A6" w:rsidRPr="008201A1">
              <w:rPr>
                <w:rFonts w:cs="Arial"/>
                <w:sz w:val="20"/>
                <w:szCs w:val="20"/>
              </w:rPr>
              <w:t>m</w:t>
            </w:r>
            <w:r w:rsidRPr="008E2BC5">
              <w:rPr>
                <w:rFonts w:cs="Arial"/>
                <w:sz w:val="20"/>
                <w:szCs w:val="20"/>
              </w:rPr>
              <w:t xml:space="preserve">anagement regime for the </w:t>
            </w:r>
            <w:r w:rsidR="00D6413F" w:rsidRPr="008E2BC5">
              <w:rPr>
                <w:rFonts w:cs="Arial"/>
                <w:sz w:val="20"/>
                <w:szCs w:val="20"/>
              </w:rPr>
              <w:t>TGCF</w:t>
            </w:r>
            <w:r w:rsidRPr="008E2BC5">
              <w:rPr>
                <w:rFonts w:cs="Arial"/>
                <w:sz w:val="20"/>
                <w:szCs w:val="20"/>
              </w:rPr>
              <w:t xml:space="preserve"> was accredited </w:t>
            </w:r>
            <w:r w:rsidR="00AE25E6" w:rsidRPr="008E2BC5">
              <w:rPr>
                <w:rFonts w:cs="Arial"/>
                <w:sz w:val="20"/>
                <w:szCs w:val="20"/>
              </w:rPr>
              <w:t>under section 24</w:t>
            </w:r>
            <w:r w:rsidR="00FA008C" w:rsidRPr="008E2BC5">
              <w:rPr>
                <w:rFonts w:cs="Arial"/>
                <w:sz w:val="20"/>
                <w:szCs w:val="20"/>
              </w:rPr>
              <w:t xml:space="preserve">5 (Part 13) of the EPBC Act </w:t>
            </w:r>
            <w:r w:rsidRPr="008E2BC5">
              <w:rPr>
                <w:rFonts w:cs="Arial"/>
                <w:sz w:val="20"/>
                <w:szCs w:val="20"/>
              </w:rPr>
              <w:t xml:space="preserve">in </w:t>
            </w:r>
            <w:r w:rsidR="00FA008C" w:rsidRPr="008E2BC5">
              <w:rPr>
                <w:rFonts w:cs="Arial"/>
                <w:sz w:val="20"/>
                <w:szCs w:val="20"/>
              </w:rPr>
              <w:t>July 2014</w:t>
            </w:r>
            <w:r w:rsidRPr="008E2BC5">
              <w:rPr>
                <w:rFonts w:cs="Arial"/>
                <w:sz w:val="20"/>
                <w:szCs w:val="20"/>
              </w:rPr>
              <w:t>. The management arrangements for the</w:t>
            </w:r>
            <w:r w:rsidR="00782FDE" w:rsidRPr="008E2BC5">
              <w:rPr>
                <w:rFonts w:cs="Arial"/>
                <w:sz w:val="20"/>
                <w:szCs w:val="20"/>
              </w:rPr>
              <w:t xml:space="preserve"> </w:t>
            </w:r>
            <w:r w:rsidR="00D6413F" w:rsidRPr="008E2BC5">
              <w:rPr>
                <w:rFonts w:cs="Arial"/>
                <w:sz w:val="20"/>
                <w:szCs w:val="20"/>
              </w:rPr>
              <w:t>TGCF</w:t>
            </w:r>
            <w:r w:rsidR="00C92195" w:rsidRPr="008E2BC5">
              <w:rPr>
                <w:rFonts w:cs="Arial"/>
                <w:sz w:val="20"/>
                <w:szCs w:val="20"/>
              </w:rPr>
              <w:t xml:space="preserve"> </w:t>
            </w:r>
            <w:r w:rsidRPr="008E2BC5">
              <w:rPr>
                <w:rFonts w:cs="Arial"/>
                <w:sz w:val="20"/>
                <w:szCs w:val="20"/>
              </w:rPr>
              <w:lastRenderedPageBreak/>
              <w:t xml:space="preserve">have not significantly changed since this accreditation was granted. Consequently, a new Part 13 declaration is not needed at this time. </w:t>
            </w:r>
          </w:p>
          <w:p w14:paraId="35CE65C9" w14:textId="34EB17CF" w:rsidR="00E57AB7" w:rsidRPr="008E2BC5" w:rsidRDefault="00E57AB7">
            <w:pPr>
              <w:spacing w:before="60" w:after="60" w:line="276" w:lineRule="auto"/>
              <w:contextualSpacing/>
              <w:rPr>
                <w:rFonts w:cs="Arial"/>
                <w:b/>
                <w:sz w:val="20"/>
                <w:szCs w:val="20"/>
                <w:highlight w:val="yellow"/>
              </w:rPr>
            </w:pPr>
          </w:p>
        </w:tc>
      </w:tr>
      <w:tr w:rsidR="009A1276" w:rsidRPr="008E2BC5" w14:paraId="6C9C2156" w14:textId="77777777" w:rsidTr="00824478">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9A1276" w:rsidRPr="008E2BC5" w:rsidRDefault="009A1276" w:rsidP="00F32842">
            <w:pPr>
              <w:pStyle w:val="ListNumber2"/>
            </w:pPr>
            <w:r w:rsidRPr="00F32842">
              <w:lastRenderedPageBreak/>
              <w:t>(g)</w:t>
            </w:r>
            <w:r w:rsidRPr="00F32842">
              <w:tab/>
              <w:t xml:space="preserve">And, </w:t>
            </w:r>
            <w:r w:rsidR="00215FE3" w:rsidRPr="008201A1">
              <w:t>is the fishery likely to adversely affect the conservation status of a species of cetacean or a population of that species</w:t>
            </w:r>
            <w:r w:rsidRPr="008E2BC5">
              <w:t>?</w:t>
            </w:r>
          </w:p>
        </w:tc>
        <w:tc>
          <w:tcPr>
            <w:tcW w:w="2500" w:type="pct"/>
            <w:shd w:val="clear" w:color="auto" w:fill="92D050"/>
          </w:tcPr>
          <w:p w14:paraId="7B1D5257" w14:textId="7FF2EFA3" w:rsidR="00211D1E" w:rsidRPr="008E2BC5" w:rsidRDefault="00211D1E" w:rsidP="008201A1">
            <w:pPr>
              <w:spacing w:before="60" w:after="60" w:line="276" w:lineRule="auto"/>
              <w:contextualSpacing/>
              <w:rPr>
                <w:rFonts w:cs="Arial"/>
                <w:sz w:val="20"/>
                <w:szCs w:val="20"/>
              </w:rPr>
            </w:pPr>
            <w:r w:rsidRPr="008E2BC5">
              <w:rPr>
                <w:rFonts w:cs="Arial"/>
                <w:b/>
                <w:sz w:val="20"/>
                <w:szCs w:val="20"/>
              </w:rPr>
              <w:t>Meets</w:t>
            </w:r>
          </w:p>
          <w:p w14:paraId="0512F0F3" w14:textId="488C9A2E" w:rsidR="00FC0271" w:rsidRPr="008201A1" w:rsidRDefault="00211D1E" w:rsidP="008201A1">
            <w:pPr>
              <w:spacing w:before="60" w:after="60" w:line="276" w:lineRule="auto"/>
              <w:contextualSpacing/>
              <w:rPr>
                <w:rFonts w:cs="Arial"/>
                <w:sz w:val="20"/>
                <w:szCs w:val="20"/>
              </w:rPr>
            </w:pPr>
            <w:r w:rsidRPr="008201A1">
              <w:rPr>
                <w:rFonts w:cs="Arial"/>
                <w:sz w:val="20"/>
                <w:szCs w:val="20"/>
              </w:rPr>
              <w:t xml:space="preserve">Reports provided by the </w:t>
            </w:r>
            <w:r w:rsidR="00D6413F" w:rsidRPr="008E2BC5">
              <w:rPr>
                <w:rFonts w:cs="Arial"/>
                <w:sz w:val="20"/>
                <w:szCs w:val="20"/>
              </w:rPr>
              <w:t>DPIPWE</w:t>
            </w:r>
            <w:r w:rsidRPr="008E2BC5">
              <w:rPr>
                <w:rFonts w:cs="Arial"/>
                <w:sz w:val="20"/>
                <w:szCs w:val="20"/>
              </w:rPr>
              <w:t xml:space="preserve"> indicate that there has been no </w:t>
            </w:r>
            <w:r w:rsidR="00514C5D" w:rsidRPr="008E2BC5">
              <w:rPr>
                <w:rFonts w:cs="Arial"/>
                <w:sz w:val="20"/>
                <w:szCs w:val="20"/>
              </w:rPr>
              <w:t>interaction</w:t>
            </w:r>
            <w:r w:rsidR="00287748">
              <w:rPr>
                <w:rFonts w:cs="Arial"/>
                <w:sz w:val="20"/>
                <w:szCs w:val="20"/>
              </w:rPr>
              <w:t>s</w:t>
            </w:r>
            <w:r w:rsidR="00514C5D" w:rsidRPr="008201A1">
              <w:rPr>
                <w:rFonts w:cs="Arial"/>
                <w:sz w:val="20"/>
                <w:szCs w:val="20"/>
              </w:rPr>
              <w:t xml:space="preserve"> with </w:t>
            </w:r>
            <w:r w:rsidR="004F6F4B" w:rsidRPr="0072610E">
              <w:rPr>
                <w:rFonts w:cs="Arial"/>
                <w:sz w:val="20"/>
                <w:szCs w:val="20"/>
              </w:rPr>
              <w:t>cetacean</w:t>
            </w:r>
            <w:r w:rsidRPr="0072610E">
              <w:rPr>
                <w:rFonts w:cs="Arial"/>
                <w:sz w:val="20"/>
                <w:szCs w:val="20"/>
              </w:rPr>
              <w:t xml:space="preserve"> species</w:t>
            </w:r>
            <w:r w:rsidRPr="00F32842">
              <w:rPr>
                <w:rFonts w:cs="Arial"/>
                <w:sz w:val="20"/>
                <w:szCs w:val="20"/>
              </w:rPr>
              <w:t xml:space="preserve"> </w:t>
            </w:r>
            <w:r w:rsidR="00AD788A" w:rsidRPr="008201A1">
              <w:rPr>
                <w:rFonts w:cs="Arial"/>
                <w:sz w:val="20"/>
                <w:szCs w:val="20"/>
              </w:rPr>
              <w:t xml:space="preserve">or a population of that species </w:t>
            </w:r>
            <w:r w:rsidRPr="008201A1">
              <w:rPr>
                <w:rFonts w:cs="Arial"/>
                <w:sz w:val="20"/>
                <w:szCs w:val="20"/>
              </w:rPr>
              <w:t>in the fishery in 2014/2019. Therefore, the Department considers the current operation of the fishery is not likely to adversely a</w:t>
            </w:r>
            <w:r w:rsidRPr="008E2BC5">
              <w:rPr>
                <w:rFonts w:cs="Arial"/>
                <w:sz w:val="20"/>
                <w:szCs w:val="20"/>
              </w:rPr>
              <w:t xml:space="preserve">ffect the conservation status of a </w:t>
            </w:r>
            <w:r w:rsidR="00FC0271" w:rsidRPr="008E2BC5">
              <w:rPr>
                <w:rFonts w:cs="Arial"/>
                <w:sz w:val="20"/>
                <w:szCs w:val="20"/>
              </w:rPr>
              <w:t>species of cetacean or a population of that species.</w:t>
            </w:r>
          </w:p>
          <w:p w14:paraId="4926B28A" w14:textId="59E4FD75" w:rsidR="00E57AB7" w:rsidRPr="008E2BC5" w:rsidRDefault="00E57AB7">
            <w:pPr>
              <w:spacing w:before="60" w:after="60" w:line="276" w:lineRule="auto"/>
              <w:contextualSpacing/>
              <w:rPr>
                <w:rFonts w:cs="Arial"/>
                <w:b/>
                <w:sz w:val="20"/>
                <w:szCs w:val="20"/>
                <w:highlight w:val="yellow"/>
              </w:rPr>
            </w:pPr>
          </w:p>
        </w:tc>
      </w:tr>
      <w:tr w:rsidR="009A1276" w:rsidRPr="008E2BC5"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8201A1" w:rsidRDefault="009A1276" w:rsidP="00F32842">
            <w:pPr>
              <w:spacing w:before="60" w:after="60" w:line="276" w:lineRule="auto"/>
              <w:ind w:left="426" w:hanging="426"/>
              <w:contextualSpacing/>
              <w:jc w:val="center"/>
              <w:rPr>
                <w:rFonts w:cs="Arial"/>
                <w:b/>
                <w:sz w:val="20"/>
                <w:szCs w:val="20"/>
              </w:rPr>
            </w:pPr>
            <w:r w:rsidRPr="00F32842">
              <w:rPr>
                <w:rFonts w:cs="Arial"/>
                <w:b/>
                <w:sz w:val="20"/>
                <w:szCs w:val="20"/>
              </w:rPr>
              <w:t>Division 4 Listed marine species, Section 265 Minist</w:t>
            </w:r>
            <w:r w:rsidRPr="008201A1">
              <w:rPr>
                <w:rFonts w:cs="Arial"/>
                <w:b/>
                <w:sz w:val="20"/>
                <w:szCs w:val="20"/>
              </w:rPr>
              <w:t>er may accredit plans or regimes</w:t>
            </w:r>
          </w:p>
        </w:tc>
        <w:tc>
          <w:tcPr>
            <w:tcW w:w="2500" w:type="pct"/>
            <w:shd w:val="clear" w:color="auto" w:fill="D9D9D9" w:themeFill="background1" w:themeFillShade="D9"/>
            <w:vAlign w:val="center"/>
          </w:tcPr>
          <w:p w14:paraId="6904F40C" w14:textId="36F8E2FF" w:rsidR="009A1276" w:rsidRPr="008201A1" w:rsidRDefault="009A1276" w:rsidP="008201A1">
            <w:pPr>
              <w:spacing w:before="60" w:after="60" w:line="276" w:lineRule="auto"/>
              <w:contextualSpacing/>
              <w:jc w:val="center"/>
              <w:rPr>
                <w:rFonts w:cs="Arial"/>
                <w:b/>
                <w:sz w:val="20"/>
                <w:szCs w:val="20"/>
              </w:rPr>
            </w:pPr>
            <w:r w:rsidRPr="008201A1">
              <w:rPr>
                <w:rFonts w:cs="Arial"/>
                <w:b/>
                <w:sz w:val="20"/>
                <w:szCs w:val="20"/>
              </w:rPr>
              <w:t>Comment</w:t>
            </w:r>
          </w:p>
        </w:tc>
      </w:tr>
      <w:tr w:rsidR="00215FE3" w:rsidRPr="008E2BC5" w14:paraId="6A03A730" w14:textId="77777777" w:rsidTr="00824478">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215FE3" w:rsidRPr="00F32842" w:rsidRDefault="00215FE3" w:rsidP="00F32842">
            <w:pPr>
              <w:pStyle w:val="ListNumber2"/>
            </w:pPr>
            <w:r w:rsidRPr="00F32842">
              <w:t>(f)</w:t>
            </w:r>
            <w:r w:rsidRPr="00F32842">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7F7A1188" w14:textId="77777777" w:rsidR="002F564A" w:rsidRPr="008201A1" w:rsidRDefault="002F564A" w:rsidP="008201A1">
            <w:pPr>
              <w:spacing w:before="60" w:after="60" w:line="276" w:lineRule="auto"/>
              <w:contextualSpacing/>
              <w:rPr>
                <w:rFonts w:cs="Arial"/>
                <w:b/>
                <w:sz w:val="20"/>
                <w:szCs w:val="20"/>
              </w:rPr>
            </w:pPr>
            <w:r w:rsidRPr="008201A1">
              <w:rPr>
                <w:rFonts w:cs="Arial"/>
                <w:b/>
                <w:sz w:val="20"/>
                <w:szCs w:val="20"/>
              </w:rPr>
              <w:t>Meets</w:t>
            </w:r>
          </w:p>
          <w:p w14:paraId="207FAC63" w14:textId="1B75D84C" w:rsidR="00215FE3" w:rsidRPr="0072610E" w:rsidRDefault="0037385A" w:rsidP="008201A1">
            <w:pPr>
              <w:spacing w:before="60" w:after="60" w:line="276" w:lineRule="auto"/>
              <w:contextualSpacing/>
              <w:rPr>
                <w:rFonts w:cs="Arial"/>
                <w:sz w:val="20"/>
                <w:szCs w:val="20"/>
              </w:rPr>
            </w:pPr>
            <w:r w:rsidRPr="0072610E">
              <w:rPr>
                <w:rFonts w:cs="Arial"/>
                <w:sz w:val="20"/>
                <w:szCs w:val="20"/>
              </w:rPr>
              <w:t xml:space="preserve">Listed marine species that may interact with the fishery due to geographic overlap include pinniped species and seabird species. The management regime for the </w:t>
            </w:r>
            <w:r w:rsidR="006756DE" w:rsidRPr="00F32842">
              <w:rPr>
                <w:rFonts w:cs="Arial"/>
                <w:sz w:val="20"/>
                <w:szCs w:val="20"/>
              </w:rPr>
              <w:t>TGCF</w:t>
            </w:r>
            <w:r w:rsidRPr="0072610E">
              <w:rPr>
                <w:rFonts w:cs="Arial"/>
                <w:sz w:val="20"/>
                <w:szCs w:val="20"/>
              </w:rPr>
              <w:t xml:space="preserve"> prescribes limits and restrictions on fishing gear used in the fishery, as described in Section 2. Given </w:t>
            </w:r>
            <w:r w:rsidR="00287748">
              <w:rPr>
                <w:rFonts w:cs="Arial"/>
                <w:sz w:val="20"/>
                <w:szCs w:val="20"/>
              </w:rPr>
              <w:t>t</w:t>
            </w:r>
            <w:r w:rsidRPr="0072610E">
              <w:rPr>
                <w:rFonts w:cs="Arial"/>
                <w:sz w:val="20"/>
                <w:szCs w:val="20"/>
              </w:rPr>
              <w:t xml:space="preserve">he relatively benign fishing methods that do not pose a risk to seabirds and the distance of fishing effort from coastal pinniped colonies, the Department considers that the management regime for the </w:t>
            </w:r>
            <w:r w:rsidR="006756DE" w:rsidRPr="00F32842">
              <w:rPr>
                <w:rFonts w:cs="Arial"/>
                <w:sz w:val="20"/>
                <w:szCs w:val="20"/>
              </w:rPr>
              <w:t>TGCF</w:t>
            </w:r>
            <w:r w:rsidRPr="0072610E">
              <w:rPr>
                <w:rFonts w:cs="Arial"/>
                <w:sz w:val="20"/>
                <w:szCs w:val="20"/>
              </w:rPr>
              <w:t xml:space="preserve"> still requires operators to take all reasonable steps to ensure that members of listed marine species are not killed or injured in Commonwealth waters as a result of the fishing.</w:t>
            </w:r>
          </w:p>
          <w:p w14:paraId="19A1BC63" w14:textId="77777777" w:rsidR="0037385A" w:rsidRPr="00F32842" w:rsidRDefault="0037385A">
            <w:pPr>
              <w:spacing w:before="60" w:after="60" w:line="276" w:lineRule="auto"/>
              <w:contextualSpacing/>
              <w:rPr>
                <w:rFonts w:cs="Arial"/>
                <w:color w:val="3366FF"/>
                <w:sz w:val="20"/>
                <w:szCs w:val="20"/>
                <w:highlight w:val="yellow"/>
              </w:rPr>
            </w:pPr>
          </w:p>
          <w:p w14:paraId="5D050703" w14:textId="40893606" w:rsidR="00546023" w:rsidRPr="008E2BC5" w:rsidRDefault="00546023">
            <w:pPr>
              <w:spacing w:before="60" w:after="60" w:line="276" w:lineRule="auto"/>
              <w:contextualSpacing/>
              <w:rPr>
                <w:rFonts w:cs="Arial"/>
                <w:sz w:val="20"/>
                <w:szCs w:val="20"/>
              </w:rPr>
            </w:pPr>
            <w:r w:rsidRPr="008201A1">
              <w:rPr>
                <w:rFonts w:cs="Arial"/>
                <w:sz w:val="20"/>
                <w:szCs w:val="20"/>
              </w:rPr>
              <w:t xml:space="preserve">The </w:t>
            </w:r>
            <w:r w:rsidR="00C92195" w:rsidRPr="008201A1">
              <w:rPr>
                <w:rFonts w:cs="Arial"/>
                <w:sz w:val="20"/>
                <w:szCs w:val="20"/>
              </w:rPr>
              <w:t>m</w:t>
            </w:r>
            <w:r w:rsidRPr="008E2BC5">
              <w:rPr>
                <w:rFonts w:cs="Arial"/>
                <w:sz w:val="20"/>
                <w:szCs w:val="20"/>
              </w:rPr>
              <w:t xml:space="preserve">anagement regime for the </w:t>
            </w:r>
            <w:r w:rsidR="00354031" w:rsidRPr="008E2BC5">
              <w:rPr>
                <w:rFonts w:cs="Arial"/>
                <w:sz w:val="20"/>
                <w:szCs w:val="20"/>
              </w:rPr>
              <w:t>TGCF</w:t>
            </w:r>
            <w:r w:rsidRPr="008E2BC5">
              <w:rPr>
                <w:rFonts w:cs="Arial"/>
                <w:sz w:val="20"/>
                <w:szCs w:val="20"/>
              </w:rPr>
              <w:t xml:space="preserve"> was accredited </w:t>
            </w:r>
            <w:r w:rsidR="00552BB3" w:rsidRPr="008E2BC5">
              <w:rPr>
                <w:rFonts w:cs="Arial"/>
                <w:sz w:val="20"/>
                <w:szCs w:val="20"/>
              </w:rPr>
              <w:t xml:space="preserve">under section 265 (Part 13) of the EPBC Act </w:t>
            </w:r>
            <w:r w:rsidRPr="008E2BC5">
              <w:rPr>
                <w:rFonts w:cs="Arial"/>
                <w:sz w:val="20"/>
                <w:szCs w:val="20"/>
              </w:rPr>
              <w:t xml:space="preserve">in </w:t>
            </w:r>
            <w:r w:rsidR="00552BB3" w:rsidRPr="008E2BC5">
              <w:rPr>
                <w:rFonts w:cs="Arial"/>
                <w:sz w:val="20"/>
                <w:szCs w:val="20"/>
              </w:rPr>
              <w:t>July 2014</w:t>
            </w:r>
            <w:r w:rsidRPr="008E2BC5">
              <w:rPr>
                <w:rFonts w:cs="Arial"/>
                <w:sz w:val="20"/>
                <w:szCs w:val="20"/>
              </w:rPr>
              <w:t xml:space="preserve">. The management arrangements for the </w:t>
            </w:r>
            <w:r w:rsidR="00354031" w:rsidRPr="008E2BC5">
              <w:rPr>
                <w:rFonts w:cs="Arial"/>
                <w:sz w:val="20"/>
                <w:szCs w:val="20"/>
              </w:rPr>
              <w:t>TGCF</w:t>
            </w:r>
            <w:r w:rsidRPr="008E2BC5">
              <w:rPr>
                <w:rFonts w:cs="Arial"/>
                <w:sz w:val="20"/>
                <w:szCs w:val="20"/>
              </w:rPr>
              <w:t xml:space="preserve"> have not significantly changed since this accreditation was granted. Consequently, a new Part 13 declaration is not needed at this time. </w:t>
            </w:r>
          </w:p>
          <w:p w14:paraId="7A09EE30" w14:textId="1973E42E" w:rsidR="00E57AB7" w:rsidRPr="008E2BC5" w:rsidRDefault="00E57AB7">
            <w:pPr>
              <w:spacing w:before="60" w:after="60" w:line="276" w:lineRule="auto"/>
              <w:contextualSpacing/>
              <w:rPr>
                <w:rFonts w:cs="Arial"/>
                <w:b/>
                <w:sz w:val="20"/>
                <w:szCs w:val="20"/>
                <w:highlight w:val="yellow"/>
              </w:rPr>
            </w:pPr>
          </w:p>
        </w:tc>
      </w:tr>
      <w:tr w:rsidR="00215FE3" w:rsidRPr="008E2BC5" w14:paraId="27CA6BA7" w14:textId="77777777" w:rsidTr="00824478">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215FE3" w:rsidRPr="00F32842" w:rsidRDefault="00215FE3" w:rsidP="00F32842">
            <w:pPr>
              <w:pStyle w:val="ListNumber2"/>
            </w:pPr>
            <w:r w:rsidRPr="00F32842">
              <w:t>(g)</w:t>
            </w:r>
            <w:r w:rsidRPr="00F32842">
              <w:tab/>
              <w:t>And, is the fishery likely to adversely affect the conservation status of a listed marine species or a population of that species?</w:t>
            </w:r>
          </w:p>
        </w:tc>
        <w:tc>
          <w:tcPr>
            <w:tcW w:w="2500" w:type="pct"/>
            <w:shd w:val="clear" w:color="auto" w:fill="92D050"/>
          </w:tcPr>
          <w:p w14:paraId="5A35F98F" w14:textId="77777777" w:rsidR="002F564A" w:rsidRPr="008201A1" w:rsidRDefault="002F564A" w:rsidP="008201A1">
            <w:pPr>
              <w:spacing w:before="60" w:after="60" w:line="276" w:lineRule="auto"/>
              <w:contextualSpacing/>
              <w:rPr>
                <w:rFonts w:cs="Arial"/>
                <w:b/>
                <w:sz w:val="20"/>
                <w:szCs w:val="20"/>
              </w:rPr>
            </w:pPr>
            <w:r w:rsidRPr="008201A1">
              <w:rPr>
                <w:rFonts w:cs="Arial"/>
                <w:b/>
                <w:sz w:val="20"/>
                <w:szCs w:val="20"/>
              </w:rPr>
              <w:t>Meets</w:t>
            </w:r>
          </w:p>
          <w:p w14:paraId="0DA0C7AE" w14:textId="3B56C0CD" w:rsidR="00341086" w:rsidRPr="008201A1" w:rsidRDefault="00341086" w:rsidP="008201A1">
            <w:pPr>
              <w:spacing w:before="60" w:after="60" w:line="276" w:lineRule="auto"/>
              <w:contextualSpacing/>
              <w:rPr>
                <w:rFonts w:cs="Arial"/>
                <w:sz w:val="20"/>
                <w:szCs w:val="20"/>
              </w:rPr>
            </w:pPr>
            <w:r w:rsidRPr="008201A1">
              <w:rPr>
                <w:rFonts w:cs="Arial"/>
                <w:sz w:val="20"/>
                <w:szCs w:val="20"/>
              </w:rPr>
              <w:t xml:space="preserve">Reports provided by the </w:t>
            </w:r>
            <w:r w:rsidR="00F934DC" w:rsidRPr="008E2BC5">
              <w:rPr>
                <w:rFonts w:cs="Arial"/>
                <w:sz w:val="20"/>
                <w:szCs w:val="20"/>
              </w:rPr>
              <w:t>DPIPWE</w:t>
            </w:r>
            <w:r w:rsidRPr="008E2BC5">
              <w:rPr>
                <w:rFonts w:cs="Arial"/>
                <w:sz w:val="20"/>
                <w:szCs w:val="20"/>
              </w:rPr>
              <w:t xml:space="preserve"> indicate that there has been no interaction</w:t>
            </w:r>
            <w:r w:rsidR="00287748">
              <w:rPr>
                <w:rFonts w:cs="Arial"/>
                <w:sz w:val="20"/>
                <w:szCs w:val="20"/>
              </w:rPr>
              <w:t>s</w:t>
            </w:r>
            <w:r w:rsidRPr="008201A1">
              <w:rPr>
                <w:rFonts w:cs="Arial"/>
                <w:sz w:val="20"/>
                <w:szCs w:val="20"/>
              </w:rPr>
              <w:t xml:space="preserve"> with </w:t>
            </w:r>
            <w:r w:rsidRPr="0072610E">
              <w:rPr>
                <w:rFonts w:cs="Arial"/>
                <w:sz w:val="20"/>
                <w:szCs w:val="20"/>
              </w:rPr>
              <w:t>listed marine species</w:t>
            </w:r>
            <w:r w:rsidRPr="00F32842">
              <w:rPr>
                <w:rFonts w:cs="Arial"/>
                <w:sz w:val="20"/>
                <w:szCs w:val="20"/>
              </w:rPr>
              <w:t xml:space="preserve"> </w:t>
            </w:r>
            <w:r w:rsidR="00F934DC" w:rsidRPr="008201A1">
              <w:rPr>
                <w:rFonts w:cs="Arial"/>
                <w:sz w:val="20"/>
                <w:szCs w:val="20"/>
              </w:rPr>
              <w:t xml:space="preserve">or a population of that species </w:t>
            </w:r>
            <w:r w:rsidRPr="008201A1">
              <w:rPr>
                <w:rFonts w:cs="Arial"/>
                <w:sz w:val="20"/>
                <w:szCs w:val="20"/>
              </w:rPr>
              <w:t>in the fishery in 2014/20</w:t>
            </w:r>
            <w:r w:rsidRPr="008E2BC5">
              <w:rPr>
                <w:rFonts w:cs="Arial"/>
                <w:sz w:val="20"/>
                <w:szCs w:val="20"/>
              </w:rPr>
              <w:t>19. Therefore, the Department considers the current operation of the fishery is not likely to adversely affect the conservation status of a listed marine species or a population of that species.</w:t>
            </w:r>
          </w:p>
          <w:p w14:paraId="79E02A79" w14:textId="52E0BDAA" w:rsidR="00E57AB7" w:rsidRPr="008E2BC5" w:rsidRDefault="00E57AB7">
            <w:pPr>
              <w:spacing w:before="60" w:after="60" w:line="276" w:lineRule="auto"/>
              <w:contextualSpacing/>
              <w:rPr>
                <w:rFonts w:cs="Arial"/>
                <w:b/>
                <w:sz w:val="20"/>
                <w:szCs w:val="20"/>
                <w:highlight w:val="yellow"/>
              </w:rPr>
            </w:pPr>
          </w:p>
        </w:tc>
      </w:tr>
      <w:tr w:rsidR="00215FE3" w:rsidRPr="008E2BC5" w14:paraId="0B2284B3"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3DCAD06" w14:textId="35C736D3" w:rsidR="00215FE3" w:rsidRPr="00F32842" w:rsidRDefault="00215FE3" w:rsidP="00F32842">
            <w:pPr>
              <w:spacing w:before="60" w:after="60" w:line="276" w:lineRule="auto"/>
              <w:ind w:left="426" w:hanging="426"/>
              <w:contextualSpacing/>
              <w:jc w:val="center"/>
              <w:rPr>
                <w:rFonts w:cs="Arial"/>
                <w:b/>
                <w:sz w:val="20"/>
                <w:szCs w:val="20"/>
              </w:rPr>
            </w:pPr>
            <w:r w:rsidRPr="00F32842">
              <w:rPr>
                <w:rFonts w:cs="Arial"/>
                <w:b/>
                <w:sz w:val="20"/>
                <w:szCs w:val="20"/>
              </w:rPr>
              <w:lastRenderedPageBreak/>
              <w:t>Section 303AA Conditions relating to accreditation of plans, regimes and policies</w:t>
            </w:r>
          </w:p>
        </w:tc>
        <w:tc>
          <w:tcPr>
            <w:tcW w:w="2500" w:type="pct"/>
            <w:shd w:val="clear" w:color="auto" w:fill="D9D9D9" w:themeFill="background1" w:themeFillShade="D9"/>
            <w:vAlign w:val="center"/>
          </w:tcPr>
          <w:p w14:paraId="13E674FB" w14:textId="6C6D3CED" w:rsidR="00215FE3" w:rsidRPr="008201A1" w:rsidRDefault="00215FE3" w:rsidP="008201A1">
            <w:pPr>
              <w:spacing w:before="60" w:after="60" w:line="276" w:lineRule="auto"/>
              <w:contextualSpacing/>
              <w:jc w:val="center"/>
              <w:rPr>
                <w:rFonts w:cs="Arial"/>
                <w:b/>
                <w:sz w:val="20"/>
                <w:szCs w:val="20"/>
              </w:rPr>
            </w:pPr>
            <w:r w:rsidRPr="008201A1">
              <w:rPr>
                <w:rFonts w:cs="Arial"/>
                <w:b/>
                <w:sz w:val="20"/>
                <w:szCs w:val="20"/>
              </w:rPr>
              <w:t>Comment</w:t>
            </w:r>
          </w:p>
        </w:tc>
      </w:tr>
      <w:tr w:rsidR="00215FE3" w:rsidRPr="008E2BC5" w14:paraId="498EBC31" w14:textId="77777777" w:rsidTr="00824478">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215FE3" w:rsidRPr="008201A1" w:rsidRDefault="00215FE3" w:rsidP="00F32842">
            <w:pPr>
              <w:pStyle w:val="ListNumber"/>
            </w:pPr>
            <w:r w:rsidRPr="00F32842">
              <w:t>(1)</w:t>
            </w:r>
            <w:r w:rsidRPr="00F32842">
              <w:tab/>
              <w:t>This section applies to an accreditation of a plan, regime or policy under section 208A, 222A, 245 or 265.</w:t>
            </w:r>
          </w:p>
        </w:tc>
        <w:tc>
          <w:tcPr>
            <w:tcW w:w="2500" w:type="pct"/>
            <w:shd w:val="clear" w:color="auto" w:fill="92D050"/>
          </w:tcPr>
          <w:p w14:paraId="36817B13" w14:textId="77777777" w:rsidR="00215FE3" w:rsidRPr="008E2BC5" w:rsidRDefault="00215FE3" w:rsidP="008201A1">
            <w:pPr>
              <w:spacing w:before="60" w:after="60" w:line="276" w:lineRule="auto"/>
              <w:contextualSpacing/>
              <w:rPr>
                <w:rFonts w:cs="Arial"/>
                <w:sz w:val="20"/>
                <w:szCs w:val="20"/>
              </w:rPr>
            </w:pPr>
            <w:r w:rsidRPr="008201A1">
              <w:rPr>
                <w:rFonts w:cs="Arial"/>
                <w:b/>
                <w:sz w:val="20"/>
                <w:szCs w:val="20"/>
              </w:rPr>
              <w:t>Recommend accreditation under sections 208A, 222A, 245 and 265</w:t>
            </w:r>
            <w:r w:rsidRPr="008E2BC5">
              <w:rPr>
                <w:rFonts w:cs="Arial"/>
                <w:sz w:val="20"/>
                <w:szCs w:val="20"/>
              </w:rPr>
              <w:t>.</w:t>
            </w:r>
          </w:p>
          <w:p w14:paraId="195F81A7" w14:textId="52E32AD7" w:rsidR="00546023" w:rsidRPr="008E2BC5" w:rsidRDefault="00546023">
            <w:pPr>
              <w:spacing w:before="60" w:after="60" w:line="276" w:lineRule="auto"/>
              <w:contextualSpacing/>
              <w:rPr>
                <w:rFonts w:cs="Arial"/>
                <w:sz w:val="20"/>
                <w:szCs w:val="20"/>
              </w:rPr>
            </w:pPr>
            <w:r w:rsidRPr="008E2BC5">
              <w:rPr>
                <w:rFonts w:cs="Arial"/>
                <w:sz w:val="20"/>
                <w:szCs w:val="20"/>
              </w:rPr>
              <w:t xml:space="preserve">The Department considers that the accreditation of the </w:t>
            </w:r>
            <w:r w:rsidR="002C6276" w:rsidRPr="008E2BC5">
              <w:rPr>
                <w:rFonts w:cs="Arial"/>
                <w:sz w:val="20"/>
                <w:szCs w:val="20"/>
              </w:rPr>
              <w:t>T</w:t>
            </w:r>
            <w:r w:rsidR="0068744F" w:rsidRPr="008E2BC5">
              <w:rPr>
                <w:rFonts w:cs="Arial"/>
                <w:sz w:val="20"/>
                <w:szCs w:val="20"/>
              </w:rPr>
              <w:t>GC</w:t>
            </w:r>
            <w:r w:rsidR="002C6276" w:rsidRPr="008E2BC5">
              <w:rPr>
                <w:rFonts w:cs="Arial"/>
                <w:sz w:val="20"/>
                <w:szCs w:val="20"/>
              </w:rPr>
              <w:t xml:space="preserve">F’s </w:t>
            </w:r>
            <w:r w:rsidRPr="008E2BC5">
              <w:rPr>
                <w:rFonts w:cs="Arial"/>
                <w:sz w:val="20"/>
                <w:szCs w:val="20"/>
              </w:rPr>
              <w:t>management regime remains valid under sections 208A, 222A, 245 and 265.</w:t>
            </w:r>
          </w:p>
          <w:p w14:paraId="37977C77" w14:textId="7786584C" w:rsidR="00E57AB7" w:rsidRPr="008E2BC5" w:rsidRDefault="00E57AB7">
            <w:pPr>
              <w:spacing w:before="60" w:after="60" w:line="276" w:lineRule="auto"/>
              <w:contextualSpacing/>
              <w:rPr>
                <w:rFonts w:cs="Arial"/>
                <w:sz w:val="20"/>
                <w:szCs w:val="20"/>
              </w:rPr>
            </w:pPr>
          </w:p>
        </w:tc>
      </w:tr>
      <w:tr w:rsidR="00215FE3" w:rsidRPr="008E2BC5" w14:paraId="066B2084" w14:textId="77777777" w:rsidTr="0082447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306B34" w:rsidRPr="008E2BC5" w:rsidRDefault="00306B34" w:rsidP="00F32842">
            <w:pPr>
              <w:pStyle w:val="ListNumber"/>
            </w:pPr>
            <w:r w:rsidRPr="00F32842">
              <w:t>(2)</w:t>
            </w:r>
            <w:r w:rsidRPr="00F32842">
              <w:tab/>
              <w:t>The Minister may accredit</w:t>
            </w:r>
            <w:r w:rsidRPr="008201A1">
              <w:t xml:space="preserve"> a plan, regime or policy under that section even though he or she considers that the plan, regime or policy shoul</w:t>
            </w:r>
            <w:r w:rsidRPr="008E2BC5">
              <w:t>d be accredited only:</w:t>
            </w:r>
          </w:p>
          <w:p w14:paraId="74D47C40" w14:textId="1AA4A31E" w:rsidR="00306B34" w:rsidRPr="008E2BC5" w:rsidRDefault="00306B34" w:rsidP="008201A1">
            <w:pPr>
              <w:pStyle w:val="ListNumber2"/>
            </w:pPr>
            <w:r w:rsidRPr="008E2BC5">
              <w:t>(a)</w:t>
            </w:r>
            <w:r w:rsidRPr="008E2BC5">
              <w:tab/>
              <w:t>during a particular period; or</w:t>
            </w:r>
          </w:p>
          <w:p w14:paraId="16AF89E8" w14:textId="391274C4" w:rsidR="00306B34" w:rsidRPr="008E2BC5" w:rsidRDefault="00306B34">
            <w:pPr>
              <w:pStyle w:val="ListNumber2"/>
            </w:pPr>
            <w:r w:rsidRPr="008E2BC5">
              <w:t>(b)</w:t>
            </w:r>
            <w:r w:rsidRPr="008E2BC5">
              <w:tab/>
              <w:t>while certain circumstances exist; or</w:t>
            </w:r>
          </w:p>
          <w:p w14:paraId="674A4DFD" w14:textId="141645E4" w:rsidR="00306B34" w:rsidRPr="008E2BC5" w:rsidRDefault="00306B34">
            <w:pPr>
              <w:pStyle w:val="ListNumber2"/>
            </w:pPr>
            <w:r w:rsidRPr="008E2BC5">
              <w:t>(c)</w:t>
            </w:r>
            <w:r w:rsidRPr="008E2BC5">
              <w:tab/>
              <w:t>while a certain condition is complied with.</w:t>
            </w:r>
          </w:p>
          <w:p w14:paraId="56296A80" w14:textId="37F3B420" w:rsidR="00215FE3" w:rsidRPr="008E2BC5" w:rsidRDefault="00306B34">
            <w:pPr>
              <w:spacing w:before="60" w:after="60" w:line="276" w:lineRule="auto"/>
              <w:contextualSpacing/>
              <w:rPr>
                <w:rFonts w:cs="Arial"/>
                <w:sz w:val="20"/>
                <w:szCs w:val="20"/>
              </w:rPr>
            </w:pPr>
            <w:r w:rsidRPr="008E2BC5">
              <w:rPr>
                <w:rFonts w:cs="Arial"/>
                <w:sz w:val="20"/>
                <w:szCs w:val="20"/>
              </w:rPr>
              <w:t>In such a case, the instrument of accreditation is to specify the period, circumstances or condition.</w:t>
            </w:r>
          </w:p>
        </w:tc>
        <w:tc>
          <w:tcPr>
            <w:tcW w:w="2500" w:type="pct"/>
            <w:shd w:val="clear" w:color="auto" w:fill="92D050"/>
          </w:tcPr>
          <w:p w14:paraId="6AD65FAB" w14:textId="77777777" w:rsidR="00215FE3" w:rsidRPr="008E2BC5" w:rsidRDefault="00215FE3">
            <w:pPr>
              <w:spacing w:before="60" w:after="60" w:line="276" w:lineRule="auto"/>
              <w:contextualSpacing/>
              <w:rPr>
                <w:rFonts w:cs="Arial"/>
                <w:b/>
                <w:sz w:val="20"/>
                <w:szCs w:val="20"/>
              </w:rPr>
            </w:pPr>
            <w:r w:rsidRPr="008E2BC5">
              <w:rPr>
                <w:rFonts w:cs="Arial"/>
                <w:b/>
                <w:sz w:val="20"/>
                <w:szCs w:val="20"/>
              </w:rPr>
              <w:t>No conditions required.</w:t>
            </w:r>
          </w:p>
          <w:p w14:paraId="7FFDB3B0" w14:textId="4B9C7AC6" w:rsidR="00546023" w:rsidRPr="008E2BC5" w:rsidRDefault="00546023">
            <w:pPr>
              <w:spacing w:before="60" w:after="60" w:line="276" w:lineRule="auto"/>
              <w:contextualSpacing/>
              <w:rPr>
                <w:rFonts w:cs="Arial"/>
                <w:sz w:val="20"/>
                <w:szCs w:val="20"/>
              </w:rPr>
            </w:pPr>
            <w:r w:rsidRPr="008E2BC5">
              <w:rPr>
                <w:rFonts w:cs="Arial"/>
                <w:sz w:val="20"/>
                <w:szCs w:val="20"/>
              </w:rPr>
              <w:t xml:space="preserve">The Department considers that no conditions are required for the accreditation of the management regime for the </w:t>
            </w:r>
            <w:r w:rsidR="0068744F" w:rsidRPr="008E2BC5">
              <w:rPr>
                <w:rFonts w:cs="Arial"/>
                <w:sz w:val="20"/>
                <w:szCs w:val="20"/>
              </w:rPr>
              <w:t>TGCF</w:t>
            </w:r>
            <w:r w:rsidRPr="008E2BC5">
              <w:rPr>
                <w:rFonts w:cs="Arial"/>
                <w:sz w:val="20"/>
                <w:szCs w:val="20"/>
              </w:rPr>
              <w:t xml:space="preserve"> under Part 13.</w:t>
            </w:r>
          </w:p>
          <w:p w14:paraId="0DE78878" w14:textId="03F509FA" w:rsidR="00E57AB7" w:rsidRPr="008E2BC5" w:rsidRDefault="00E57AB7">
            <w:pPr>
              <w:spacing w:before="60" w:after="60" w:line="276" w:lineRule="auto"/>
              <w:contextualSpacing/>
              <w:rPr>
                <w:rFonts w:cs="Arial"/>
                <w:sz w:val="20"/>
                <w:szCs w:val="20"/>
              </w:rPr>
            </w:pPr>
          </w:p>
        </w:tc>
      </w:tr>
      <w:tr w:rsidR="00215FE3" w:rsidRPr="008E2BC5" w14:paraId="16BB58E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34D95E33" w:rsidR="00215FE3" w:rsidRPr="008201A1" w:rsidRDefault="00306B34" w:rsidP="00F32842">
            <w:pPr>
              <w:pStyle w:val="ListNumber"/>
            </w:pPr>
            <w:r w:rsidRPr="00F32842">
              <w:t>(7)</w:t>
            </w:r>
            <w:r w:rsidRPr="00F32842">
              <w:tab/>
              <w:t>The Minister must, in writing, revoke an accreditation if he or she is satisfied that a condition of the accreditation has been contravened.</w:t>
            </w:r>
          </w:p>
        </w:tc>
        <w:tc>
          <w:tcPr>
            <w:tcW w:w="2500" w:type="pct"/>
            <w:shd w:val="clear" w:color="auto" w:fill="auto"/>
          </w:tcPr>
          <w:p w14:paraId="76B9A7BE" w14:textId="77777777" w:rsidR="00215FE3" w:rsidRPr="008E2BC5" w:rsidRDefault="00306B34" w:rsidP="008201A1">
            <w:pPr>
              <w:spacing w:before="60" w:after="60" w:line="276" w:lineRule="auto"/>
              <w:contextualSpacing/>
              <w:rPr>
                <w:rFonts w:cs="Arial"/>
                <w:b/>
                <w:sz w:val="20"/>
                <w:szCs w:val="20"/>
              </w:rPr>
            </w:pPr>
            <w:r w:rsidRPr="008201A1">
              <w:rPr>
                <w:rFonts w:cs="Arial"/>
                <w:b/>
                <w:sz w:val="20"/>
                <w:szCs w:val="20"/>
              </w:rPr>
              <w:t>Not applicable.</w:t>
            </w:r>
          </w:p>
          <w:p w14:paraId="78B36F22" w14:textId="73A257F9" w:rsidR="00EF2FE1" w:rsidRPr="008E2BC5" w:rsidRDefault="00EF2FE1">
            <w:pPr>
              <w:spacing w:before="60" w:after="60" w:line="276" w:lineRule="auto"/>
              <w:contextualSpacing/>
              <w:rPr>
                <w:rFonts w:cs="Arial"/>
                <w:sz w:val="20"/>
                <w:szCs w:val="20"/>
              </w:rPr>
            </w:pPr>
          </w:p>
        </w:tc>
      </w:tr>
    </w:tbl>
    <w:p w14:paraId="3C1550C8" w14:textId="77777777" w:rsidR="009F053A" w:rsidRPr="001F4207" w:rsidRDefault="009F053A" w:rsidP="001F4207"/>
    <w:p w14:paraId="7CF63A23" w14:textId="3C59189E" w:rsidR="009D5019" w:rsidRPr="00EF2FE1" w:rsidRDefault="009D5019" w:rsidP="001F4207">
      <w:pPr>
        <w:pStyle w:val="Heading2"/>
      </w:pPr>
      <w:bookmarkStart w:id="12" w:name="_Toc25824109"/>
      <w:r w:rsidRPr="00EF2FE1">
        <w:t>Part 13A</w:t>
      </w:r>
      <w:r w:rsidR="007F1ABC" w:rsidRPr="00EF2FE1">
        <w:t xml:space="preserve"> </w:t>
      </w:r>
      <w:r w:rsidR="00F73C73">
        <w:t>– International movement of wildlife specimens</w:t>
      </w:r>
      <w:bookmarkEnd w:id="12"/>
    </w:p>
    <w:tbl>
      <w:tblPr>
        <w:tblStyle w:val="TableGrid1"/>
        <w:tblW w:w="5000" w:type="pct"/>
        <w:tblLook w:val="04A0" w:firstRow="1" w:lastRow="0" w:firstColumn="1" w:lastColumn="0" w:noHBand="0" w:noVBand="1"/>
      </w:tblPr>
      <w:tblGrid>
        <w:gridCol w:w="7393"/>
        <w:gridCol w:w="7393"/>
      </w:tblGrid>
      <w:tr w:rsidR="00D40B13" w:rsidRPr="001F4207"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1F4207" w:rsidRDefault="00D40B13" w:rsidP="00FC2EBF">
            <w:pPr>
              <w:spacing w:before="60" w:after="60" w:line="276" w:lineRule="auto"/>
              <w:contextualSpacing/>
              <w:jc w:val="center"/>
              <w:rPr>
                <w:rFonts w:cs="Arial"/>
                <w:b/>
                <w:sz w:val="20"/>
                <w:szCs w:val="20"/>
              </w:rPr>
            </w:pPr>
            <w:r w:rsidRPr="001F4207">
              <w:rPr>
                <w:rFonts w:cs="Arial"/>
                <w:b/>
                <w:bCs/>
                <w:noProof/>
                <w:sz w:val="20"/>
                <w:szCs w:val="20"/>
              </w:rPr>
              <w:t>Section 303BA Objects of Part 13A</w:t>
            </w:r>
          </w:p>
        </w:tc>
      </w:tr>
      <w:tr w:rsidR="001C70CA" w:rsidRPr="001F4207" w14:paraId="2C296CF2" w14:textId="77777777" w:rsidTr="00C9768B">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1C70CA" w:rsidRPr="001F4207" w:rsidRDefault="001C70CA" w:rsidP="00FC2EBF">
            <w:pPr>
              <w:pStyle w:val="ListNumber"/>
              <w:rPr>
                <w:noProof/>
              </w:rPr>
            </w:pPr>
            <w:r w:rsidRPr="001F4207">
              <w:t>(1)</w:t>
            </w:r>
            <w:r w:rsidRPr="001F4207">
              <w:tab/>
              <w:t xml:space="preserve">The </w:t>
            </w:r>
            <w:r w:rsidRPr="001F4207">
              <w:rPr>
                <w:noProof/>
              </w:rPr>
              <w:t>objects of this Part are as follows</w:t>
            </w:r>
            <w:r w:rsidRPr="001F4207">
              <w:t>:</w:t>
            </w:r>
          </w:p>
          <w:p w14:paraId="53F2A16D" w14:textId="7F2BF5AB" w:rsidR="001C70CA" w:rsidRPr="001F4207" w:rsidRDefault="001C70CA" w:rsidP="00FC2EBF">
            <w:pPr>
              <w:pStyle w:val="ListNumber2"/>
            </w:pPr>
            <w:r w:rsidRPr="001F4207">
              <w:t>(a)</w:t>
            </w:r>
            <w:r w:rsidRPr="001F4207">
              <w:tab/>
              <w:t>to ensure that Australia complies with its obligations under CITES and the Biodiversity Convention;</w:t>
            </w:r>
          </w:p>
          <w:p w14:paraId="1E27B80E" w14:textId="1B22B1A9" w:rsidR="001C70CA" w:rsidRPr="001F4207" w:rsidRDefault="001C70CA" w:rsidP="00FC2EBF">
            <w:pPr>
              <w:pStyle w:val="ListNumber2"/>
            </w:pPr>
            <w:r w:rsidRPr="001F4207">
              <w:t>(b)</w:t>
            </w:r>
            <w:r w:rsidRPr="001F4207">
              <w:tab/>
              <w:t>to protect wildlife that may be adversely affected by trade;</w:t>
            </w:r>
          </w:p>
          <w:p w14:paraId="0BD3A59F" w14:textId="77777777" w:rsidR="001C70CA" w:rsidRPr="001F4207" w:rsidRDefault="001C70CA" w:rsidP="00FC2EBF">
            <w:pPr>
              <w:pStyle w:val="ListNumber2"/>
            </w:pPr>
            <w:r w:rsidRPr="001F4207">
              <w:t>(c)</w:t>
            </w:r>
            <w:r w:rsidRPr="001F4207">
              <w:tab/>
              <w:t>to promote the conservation of biodiversity in Australia and other countries;</w:t>
            </w:r>
          </w:p>
          <w:p w14:paraId="51856DBF" w14:textId="77777777" w:rsidR="001C70CA" w:rsidRPr="001F4207" w:rsidRDefault="001C70CA" w:rsidP="00FC2EBF">
            <w:pPr>
              <w:pStyle w:val="ListNumber2"/>
            </w:pPr>
            <w:r w:rsidRPr="001F4207">
              <w:t>(d)</w:t>
            </w:r>
            <w:r w:rsidRPr="001F4207">
              <w:tab/>
              <w:t>to ensure that any commercial utilisation of Australian native wildlife for the purposes of export is managed in an ecologically sustainable way;</w:t>
            </w:r>
          </w:p>
          <w:p w14:paraId="06D01FF1" w14:textId="77777777" w:rsidR="001C70CA" w:rsidRPr="001F4207" w:rsidRDefault="001C70CA" w:rsidP="00FC2EBF">
            <w:pPr>
              <w:pStyle w:val="ListNumber2"/>
            </w:pPr>
            <w:r w:rsidRPr="001F4207">
              <w:t>(e)</w:t>
            </w:r>
            <w:r w:rsidRPr="001F4207">
              <w:tab/>
              <w:t>to promote the humane treatment of wildlife;</w:t>
            </w:r>
          </w:p>
          <w:p w14:paraId="79661513" w14:textId="77777777" w:rsidR="001C70CA" w:rsidRPr="001F4207" w:rsidRDefault="001C70CA" w:rsidP="00FC2EBF">
            <w:pPr>
              <w:pStyle w:val="ListNumber2"/>
            </w:pPr>
            <w:r w:rsidRPr="001F4207">
              <w:t>(f)</w:t>
            </w:r>
            <w:r w:rsidRPr="001F4207">
              <w:tab/>
              <w:t>to ensure ethical conduct during any research associated with the utilisation of wildlife; and</w:t>
            </w:r>
          </w:p>
          <w:p w14:paraId="4E62EAB3" w14:textId="5C436067" w:rsidR="001C70CA" w:rsidRPr="001F4207" w:rsidRDefault="001C70CA" w:rsidP="00FC2EBF">
            <w:pPr>
              <w:pStyle w:val="ListNumber2"/>
            </w:pPr>
            <w:r w:rsidRPr="001F4207">
              <w:t>(h)</w:t>
            </w:r>
            <w:r w:rsidRPr="001F4207">
              <w:tab/>
              <w:t>to ensure the precautionary principle is taken into account in making decisions relating to the utilisation of wildlife.</w:t>
            </w:r>
          </w:p>
        </w:tc>
        <w:tc>
          <w:tcPr>
            <w:tcW w:w="2500" w:type="pct"/>
            <w:shd w:val="clear" w:color="auto" w:fill="92D050"/>
          </w:tcPr>
          <w:p w14:paraId="63AE0F15" w14:textId="4D1EEA5A" w:rsidR="001C70CA" w:rsidRPr="00824478" w:rsidRDefault="001C70CA" w:rsidP="00FC2EBF">
            <w:pPr>
              <w:spacing w:before="60" w:after="60" w:line="276" w:lineRule="auto"/>
              <w:contextualSpacing/>
              <w:rPr>
                <w:rFonts w:cs="Arial"/>
                <w:iCs/>
                <w:sz w:val="20"/>
                <w:szCs w:val="20"/>
              </w:rPr>
            </w:pPr>
            <w:r w:rsidRPr="00824478">
              <w:rPr>
                <w:rFonts w:cs="Arial"/>
                <w:noProof/>
                <w:sz w:val="20"/>
                <w:szCs w:val="20"/>
              </w:rPr>
              <w:t xml:space="preserve">The management arrangements for the </w:t>
            </w:r>
            <w:r w:rsidR="00F97616">
              <w:rPr>
                <w:rFonts w:cs="Arial"/>
                <w:noProof/>
                <w:sz w:val="20"/>
                <w:szCs w:val="20"/>
              </w:rPr>
              <w:t>TGCF</w:t>
            </w:r>
            <w:r w:rsidRPr="00824478">
              <w:rPr>
                <w:rFonts w:cs="Arial"/>
                <w:noProof/>
                <w:sz w:val="20"/>
                <w:szCs w:val="20"/>
              </w:rPr>
              <w:t xml:space="preserve"> have been assessed as consistent with the general guidance provided in the objects of Part 13A </w:t>
            </w:r>
            <w:r w:rsidRPr="00824478">
              <w:rPr>
                <w:rFonts w:cs="Arial"/>
                <w:iCs/>
                <w:sz w:val="20"/>
                <w:szCs w:val="20"/>
              </w:rPr>
              <w:t>as:</w:t>
            </w:r>
          </w:p>
          <w:p w14:paraId="278579AA" w14:textId="77777777" w:rsidR="001C70CA" w:rsidRPr="00824478" w:rsidRDefault="001C70CA" w:rsidP="00FC2EBF">
            <w:pPr>
              <w:pStyle w:val="ListBullet"/>
              <w:rPr>
                <w:szCs w:val="20"/>
              </w:rPr>
            </w:pPr>
            <w:r w:rsidRPr="00824478">
              <w:rPr>
                <w:szCs w:val="20"/>
              </w:rPr>
              <w:t>the fishery will not harvest any Convention on International Trade in Endangered Species of Wild Fauna and Flora (CITES) listed species</w:t>
            </w:r>
          </w:p>
          <w:p w14:paraId="46992ADA" w14:textId="74680104" w:rsidR="001C70CA" w:rsidRPr="00824478" w:rsidRDefault="001C70CA" w:rsidP="00FC2EBF">
            <w:pPr>
              <w:pStyle w:val="ListBullet"/>
              <w:rPr>
                <w:szCs w:val="20"/>
              </w:rPr>
            </w:pPr>
            <w:r w:rsidRPr="00824478">
              <w:rPr>
                <w:szCs w:val="20"/>
              </w:rPr>
              <w:t>there are management arrangements in place to ensure that the resource is being managed in an ecologically sustainable way (see </w:t>
            </w:r>
            <w:r w:rsidR="00826520" w:rsidRPr="00824478">
              <w:rPr>
                <w:szCs w:val="20"/>
              </w:rPr>
              <w:t>Section 2</w:t>
            </w:r>
            <w:r w:rsidRPr="00824478">
              <w:rPr>
                <w:szCs w:val="20"/>
              </w:rPr>
              <w:t>)</w:t>
            </w:r>
          </w:p>
          <w:p w14:paraId="7D0DBA98" w14:textId="3611522B" w:rsidR="001C70CA" w:rsidRPr="00824478" w:rsidRDefault="001C70CA" w:rsidP="00FC2EBF">
            <w:pPr>
              <w:pStyle w:val="ListBullet"/>
              <w:rPr>
                <w:szCs w:val="20"/>
              </w:rPr>
            </w:pPr>
            <w:r w:rsidRPr="00824478">
              <w:rPr>
                <w:szCs w:val="20"/>
              </w:rPr>
              <w:t xml:space="preserve">the operation of the </w:t>
            </w:r>
            <w:r w:rsidR="00826520" w:rsidRPr="00824478">
              <w:rPr>
                <w:szCs w:val="20"/>
              </w:rPr>
              <w:t>T</w:t>
            </w:r>
            <w:r w:rsidR="00F97616">
              <w:rPr>
                <w:szCs w:val="20"/>
              </w:rPr>
              <w:t>GCF</w:t>
            </w:r>
            <w:r w:rsidRPr="00824478">
              <w:rPr>
                <w:szCs w:val="20"/>
              </w:rPr>
              <w:t xml:space="preserve"> is unlikely to be unsustainable and threaten biodiversity within the next </w:t>
            </w:r>
            <w:r w:rsidRPr="00C9768B">
              <w:rPr>
                <w:szCs w:val="20"/>
              </w:rPr>
              <w:t>five</w:t>
            </w:r>
            <w:r w:rsidRPr="00824478">
              <w:rPr>
                <w:szCs w:val="20"/>
              </w:rPr>
              <w:t xml:space="preserve"> years, and </w:t>
            </w:r>
          </w:p>
          <w:p w14:paraId="12BC4B6A" w14:textId="77777777" w:rsidR="001C70CA" w:rsidRPr="00824478" w:rsidRDefault="001C70CA" w:rsidP="00FC2EBF">
            <w:pPr>
              <w:pStyle w:val="ListBullet"/>
              <w:rPr>
                <w:szCs w:val="20"/>
              </w:rPr>
            </w:pPr>
            <w:proofErr w:type="gramStart"/>
            <w:r w:rsidRPr="00824478">
              <w:rPr>
                <w:szCs w:val="20"/>
              </w:rPr>
              <w:t>the</w:t>
            </w:r>
            <w:proofErr w:type="gramEnd"/>
            <w:r w:rsidRPr="00824478">
              <w:rPr>
                <w:szCs w:val="20"/>
              </w:rPr>
              <w:t xml:space="preserve"> Environment Protection and Biodiversity Conservation Regulations 2000 do not specify fish as a class of animal in relation to the welfare of live specimens.</w:t>
            </w:r>
          </w:p>
          <w:p w14:paraId="0FEDAD98" w14:textId="07AE58A6" w:rsidR="001C70CA" w:rsidRPr="001F4207" w:rsidRDefault="001C70CA" w:rsidP="00FC2EBF">
            <w:pPr>
              <w:pStyle w:val="ListNumber2"/>
            </w:pPr>
            <w:r w:rsidRPr="001F4207" w:rsidDel="001C70CA">
              <w:t xml:space="preserve"> </w:t>
            </w:r>
          </w:p>
        </w:tc>
      </w:tr>
      <w:tr w:rsidR="00D40B13" w:rsidRPr="001F4207"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1F4207" w:rsidRDefault="00D40B13" w:rsidP="0072610E">
            <w:pPr>
              <w:pageBreakBefore/>
              <w:spacing w:before="60" w:after="60" w:line="276" w:lineRule="auto"/>
              <w:ind w:left="426" w:hanging="426"/>
              <w:contextualSpacing/>
              <w:jc w:val="center"/>
              <w:rPr>
                <w:rFonts w:cs="Arial"/>
                <w:b/>
                <w:sz w:val="20"/>
                <w:szCs w:val="20"/>
              </w:rPr>
            </w:pPr>
            <w:r w:rsidRPr="001F4207">
              <w:rPr>
                <w:rFonts w:cs="Arial"/>
                <w:b/>
                <w:sz w:val="20"/>
                <w:szCs w:val="20"/>
              </w:rPr>
              <w:lastRenderedPageBreak/>
              <w:t>Section 303 CG Minister may issue permits (CITES species)</w:t>
            </w:r>
          </w:p>
        </w:tc>
        <w:tc>
          <w:tcPr>
            <w:tcW w:w="2500" w:type="pct"/>
            <w:shd w:val="clear" w:color="auto" w:fill="D9D9D9" w:themeFill="background1" w:themeFillShade="D9"/>
            <w:vAlign w:val="center"/>
          </w:tcPr>
          <w:p w14:paraId="1B527A26" w14:textId="1573575D" w:rsidR="00D40B13" w:rsidRPr="001F4207" w:rsidRDefault="00D40B13" w:rsidP="0072610E">
            <w:pPr>
              <w:pageBreakBefore/>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1F4207" w:rsidRDefault="00D40B13" w:rsidP="00FC2EBF">
            <w:pPr>
              <w:pStyle w:val="ListNumber"/>
            </w:pPr>
            <w:r w:rsidRPr="001F4207">
              <w:t>(3)</w:t>
            </w:r>
            <w:r w:rsidR="00A961C6" w:rsidRPr="001F4207">
              <w:tab/>
            </w:r>
            <w:r w:rsidRPr="001F4207">
              <w:t>The Minister must not issue a permit unless the Minister is satisfied that:</w:t>
            </w:r>
          </w:p>
          <w:p w14:paraId="415815ED" w14:textId="3C4D10A3" w:rsidR="00D40B13" w:rsidRPr="001F4207" w:rsidRDefault="00A961C6" w:rsidP="00FC2EBF">
            <w:pPr>
              <w:pStyle w:val="ListNumber2"/>
            </w:pPr>
            <w:r w:rsidRPr="001F4207">
              <w:t>(a)</w:t>
            </w:r>
            <w:r w:rsidR="00D40B13" w:rsidRPr="001F4207">
              <w:tab/>
              <w:t>the action or actions specified in the permit will not be detrimental to, or contribute to trade which is detrimental to:</w:t>
            </w:r>
          </w:p>
          <w:p w14:paraId="706F1B7A" w14:textId="4E5EC525" w:rsidR="00111796" w:rsidRPr="001F4207" w:rsidRDefault="00111796" w:rsidP="00FC2EBF">
            <w:pPr>
              <w:pStyle w:val="ListNumber3"/>
              <w:spacing w:line="276" w:lineRule="auto"/>
            </w:pPr>
            <w:r w:rsidRPr="001F4207">
              <w:t>(</w:t>
            </w:r>
            <w:proofErr w:type="spellStart"/>
            <w:r w:rsidRPr="001F4207">
              <w:t>i</w:t>
            </w:r>
            <w:proofErr w:type="spellEnd"/>
            <w:r w:rsidRPr="001F4207">
              <w:t>)</w:t>
            </w:r>
            <w:r w:rsidRPr="001F4207">
              <w:tab/>
              <w:t>the survival of any taxon to which the specimen belongs; or</w:t>
            </w:r>
          </w:p>
          <w:p w14:paraId="5A0FB4C6" w14:textId="129D3190" w:rsidR="00807BB8" w:rsidRPr="001F4207" w:rsidRDefault="00807BB8" w:rsidP="00FC2EBF">
            <w:pPr>
              <w:pStyle w:val="ListNumber3"/>
              <w:spacing w:line="276" w:lineRule="auto"/>
            </w:pPr>
          </w:p>
        </w:tc>
        <w:tc>
          <w:tcPr>
            <w:tcW w:w="2500" w:type="pct"/>
          </w:tcPr>
          <w:p w14:paraId="3CCE82B2" w14:textId="77777777" w:rsidR="00D24D14" w:rsidRDefault="00056E19" w:rsidP="00FC2EBF">
            <w:pPr>
              <w:spacing w:before="60" w:after="60" w:line="276" w:lineRule="auto"/>
              <w:contextualSpacing/>
              <w:rPr>
                <w:rFonts w:cs="Arial"/>
                <w:sz w:val="20"/>
                <w:szCs w:val="20"/>
              </w:rPr>
            </w:pPr>
            <w:r w:rsidRPr="0072610E">
              <w:rPr>
                <w:rFonts w:cs="Arial"/>
                <w:b/>
                <w:sz w:val="20"/>
                <w:szCs w:val="20"/>
              </w:rPr>
              <w:t>Not applicable</w:t>
            </w:r>
            <w:r w:rsidR="00D24D14">
              <w:rPr>
                <w:rFonts w:cs="Arial"/>
                <w:sz w:val="20"/>
                <w:szCs w:val="20"/>
              </w:rPr>
              <w:t>.</w:t>
            </w:r>
          </w:p>
          <w:p w14:paraId="49DEEA3C" w14:textId="35A60CBC" w:rsidR="00056E19" w:rsidRPr="00824478" w:rsidRDefault="00056E19" w:rsidP="00FC2EBF">
            <w:pPr>
              <w:spacing w:before="60" w:after="60" w:line="276" w:lineRule="auto"/>
              <w:contextualSpacing/>
              <w:rPr>
                <w:rFonts w:cs="Arial"/>
                <w:sz w:val="20"/>
                <w:szCs w:val="20"/>
              </w:rPr>
            </w:pPr>
            <w:r w:rsidRPr="0071537C">
              <w:rPr>
                <w:rFonts w:cs="Arial"/>
                <w:sz w:val="20"/>
                <w:szCs w:val="20"/>
              </w:rPr>
              <w:t>The fishery does not harvest species listed under</w:t>
            </w:r>
            <w:r w:rsidR="002D58F2" w:rsidRPr="0071537C">
              <w:rPr>
                <w:rFonts w:cs="Arial"/>
                <w:sz w:val="20"/>
                <w:szCs w:val="20"/>
              </w:rPr>
              <w:t xml:space="preserve"> CITES.</w:t>
            </w:r>
          </w:p>
          <w:p w14:paraId="2796FC47" w14:textId="2832B227" w:rsidR="00056E19" w:rsidRPr="00824478" w:rsidRDefault="00056E19" w:rsidP="00FC2EBF">
            <w:pPr>
              <w:spacing w:before="60" w:after="60" w:line="276" w:lineRule="auto"/>
              <w:contextualSpacing/>
              <w:rPr>
                <w:rFonts w:cs="Arial"/>
                <w:b/>
                <w:sz w:val="20"/>
                <w:szCs w:val="20"/>
              </w:rPr>
            </w:pPr>
          </w:p>
        </w:tc>
      </w:tr>
      <w:tr w:rsidR="00D40B13" w:rsidRPr="001F4207" w14:paraId="10EE98F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5978C54C" w:rsidR="00111796" w:rsidRPr="001F4207" w:rsidRDefault="00111796" w:rsidP="00FC2EBF">
            <w:pPr>
              <w:pStyle w:val="ListNumber3"/>
              <w:spacing w:line="276" w:lineRule="auto"/>
            </w:pPr>
            <w:r w:rsidRPr="001F4207">
              <w:t>(ii)</w:t>
            </w:r>
            <w:r w:rsidRPr="001F4207">
              <w:tab/>
              <w:t>the recovery in nature of any taxon to which the specimen belongs; or</w:t>
            </w:r>
          </w:p>
          <w:p w14:paraId="47C6F1FD" w14:textId="36D27C91" w:rsidR="00807BB8" w:rsidRPr="001F4207" w:rsidRDefault="00807BB8" w:rsidP="00FC2EBF">
            <w:pPr>
              <w:pStyle w:val="ListNumber3"/>
              <w:spacing w:line="276" w:lineRule="auto"/>
            </w:pPr>
          </w:p>
        </w:tc>
        <w:tc>
          <w:tcPr>
            <w:tcW w:w="2500" w:type="pct"/>
          </w:tcPr>
          <w:p w14:paraId="7554D318" w14:textId="77777777" w:rsidR="00D24D14" w:rsidRDefault="002D58F2" w:rsidP="00FC2EBF">
            <w:pPr>
              <w:spacing w:before="60" w:after="60" w:line="276" w:lineRule="auto"/>
              <w:contextualSpacing/>
              <w:rPr>
                <w:rFonts w:cs="Arial"/>
                <w:sz w:val="20"/>
                <w:szCs w:val="20"/>
              </w:rPr>
            </w:pPr>
            <w:r w:rsidRPr="0072610E">
              <w:rPr>
                <w:rFonts w:cs="Arial"/>
                <w:b/>
                <w:sz w:val="20"/>
                <w:szCs w:val="20"/>
              </w:rPr>
              <w:t>Not applicable</w:t>
            </w:r>
            <w:r w:rsidR="00D24D14">
              <w:rPr>
                <w:rFonts w:cs="Arial"/>
                <w:sz w:val="20"/>
                <w:szCs w:val="20"/>
              </w:rPr>
              <w:t>.</w:t>
            </w:r>
          </w:p>
          <w:p w14:paraId="070BE0CE" w14:textId="3E435D0B" w:rsidR="002D58F2" w:rsidRPr="00824478" w:rsidRDefault="002D58F2" w:rsidP="00FC2EBF">
            <w:pPr>
              <w:spacing w:before="60" w:after="60" w:line="276" w:lineRule="auto"/>
              <w:contextualSpacing/>
              <w:rPr>
                <w:rFonts w:cs="Arial"/>
                <w:sz w:val="20"/>
                <w:szCs w:val="20"/>
              </w:rPr>
            </w:pPr>
            <w:r w:rsidRPr="0071537C">
              <w:rPr>
                <w:rFonts w:cs="Arial"/>
                <w:sz w:val="20"/>
                <w:szCs w:val="20"/>
              </w:rPr>
              <w:t>The fishery does not harvest species listed under CITES.</w:t>
            </w:r>
          </w:p>
          <w:p w14:paraId="363E5924" w14:textId="7F97D90F" w:rsidR="00056E19" w:rsidRPr="00824478" w:rsidRDefault="00056E19" w:rsidP="00FC2EBF">
            <w:pPr>
              <w:spacing w:before="60" w:after="60" w:line="276" w:lineRule="auto"/>
              <w:contextualSpacing/>
              <w:rPr>
                <w:rFonts w:cs="Arial"/>
                <w:b/>
                <w:sz w:val="20"/>
                <w:szCs w:val="20"/>
              </w:rPr>
            </w:pPr>
          </w:p>
        </w:tc>
      </w:tr>
      <w:tr w:rsidR="00D40B13" w:rsidRPr="001F4207" w14:paraId="7AC271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523336A1" w:rsidR="00111796" w:rsidRPr="001F4207" w:rsidRDefault="00111796" w:rsidP="00FC2EBF">
            <w:pPr>
              <w:pStyle w:val="ListNumber3"/>
              <w:spacing w:line="276" w:lineRule="auto"/>
            </w:pPr>
            <w:r w:rsidRPr="001F4207">
              <w:t>(iii)</w:t>
            </w:r>
            <w:r w:rsidRPr="001F4207">
              <w:tab/>
              <w:t>any relevant ecosystem (for example, detriment to habitat or biodiversity); and</w:t>
            </w:r>
          </w:p>
          <w:p w14:paraId="1D292992" w14:textId="7C2DCE45" w:rsidR="00807BB8" w:rsidRPr="001F4207" w:rsidRDefault="00807BB8" w:rsidP="00FC2EBF">
            <w:pPr>
              <w:pStyle w:val="ListNumber3"/>
              <w:spacing w:line="276" w:lineRule="auto"/>
            </w:pPr>
          </w:p>
        </w:tc>
        <w:tc>
          <w:tcPr>
            <w:tcW w:w="2500" w:type="pct"/>
          </w:tcPr>
          <w:p w14:paraId="0FF16BF6" w14:textId="77777777" w:rsidR="00D24D14" w:rsidRDefault="002D58F2" w:rsidP="00FC2EBF">
            <w:pPr>
              <w:spacing w:before="60" w:after="60" w:line="276" w:lineRule="auto"/>
              <w:contextualSpacing/>
              <w:rPr>
                <w:rFonts w:cs="Arial"/>
                <w:sz w:val="20"/>
                <w:szCs w:val="20"/>
              </w:rPr>
            </w:pPr>
            <w:r w:rsidRPr="0072610E">
              <w:rPr>
                <w:rFonts w:cs="Arial"/>
                <w:b/>
                <w:sz w:val="20"/>
                <w:szCs w:val="20"/>
              </w:rPr>
              <w:t>Not applicable</w:t>
            </w:r>
            <w:r w:rsidR="00D24D14">
              <w:rPr>
                <w:rFonts w:cs="Arial"/>
                <w:sz w:val="20"/>
                <w:szCs w:val="20"/>
              </w:rPr>
              <w:t>.</w:t>
            </w:r>
          </w:p>
          <w:p w14:paraId="36EA70A3" w14:textId="3955332E" w:rsidR="002D58F2" w:rsidRPr="00824478" w:rsidRDefault="002D58F2" w:rsidP="00FC2EBF">
            <w:pPr>
              <w:spacing w:before="60" w:after="60" w:line="276" w:lineRule="auto"/>
              <w:contextualSpacing/>
              <w:rPr>
                <w:rFonts w:cs="Arial"/>
                <w:sz w:val="20"/>
                <w:szCs w:val="20"/>
              </w:rPr>
            </w:pPr>
            <w:r w:rsidRPr="0071537C">
              <w:rPr>
                <w:rFonts w:cs="Arial"/>
                <w:sz w:val="20"/>
                <w:szCs w:val="20"/>
              </w:rPr>
              <w:t>The fishery does not harvest species listed under CITES.</w:t>
            </w:r>
          </w:p>
          <w:p w14:paraId="4F2C8A4C" w14:textId="68559964" w:rsidR="00056E19" w:rsidRPr="00824478" w:rsidRDefault="00056E19" w:rsidP="00FC2EBF">
            <w:pPr>
              <w:spacing w:before="60" w:after="60" w:line="276" w:lineRule="auto"/>
              <w:contextualSpacing/>
              <w:rPr>
                <w:rFonts w:cs="Arial"/>
                <w:b/>
                <w:sz w:val="20"/>
                <w:szCs w:val="20"/>
              </w:rPr>
            </w:pPr>
          </w:p>
        </w:tc>
      </w:tr>
      <w:tr w:rsidR="00400844" w:rsidRPr="001F4207"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3BC770D1"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Section 303DC Minister may amend list (non CITES species)</w:t>
            </w:r>
          </w:p>
        </w:tc>
        <w:tc>
          <w:tcPr>
            <w:tcW w:w="2500" w:type="pct"/>
            <w:shd w:val="clear" w:color="auto" w:fill="D9D9D9" w:themeFill="background1" w:themeFillShade="D9"/>
            <w:vAlign w:val="center"/>
          </w:tcPr>
          <w:p w14:paraId="0426C78B" w14:textId="352AD0C9"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2F4AE07E" w14:textId="77777777" w:rsidTr="0071537C">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1F4207" w:rsidRDefault="00D40B13" w:rsidP="00FC2EBF">
            <w:pPr>
              <w:pStyle w:val="ListNumber"/>
            </w:pPr>
            <w:r w:rsidRPr="001F4207">
              <w:t>(1)</w:t>
            </w:r>
            <w:r w:rsidR="00A961C6" w:rsidRPr="001F4207">
              <w:tab/>
            </w:r>
            <w:r w:rsidRPr="001F4207">
              <w:tab/>
              <w:t>The Minister may, by legislative instrument, amend the list referred to in section 303DB [list of exempt native specimens] by:</w:t>
            </w:r>
          </w:p>
          <w:p w14:paraId="5BD6692C" w14:textId="77777777" w:rsidR="00D40B13" w:rsidRPr="001F4207" w:rsidRDefault="00D40B13" w:rsidP="00FC2EBF">
            <w:pPr>
              <w:pStyle w:val="ListNumber2"/>
            </w:pPr>
            <w:r w:rsidRPr="001F4207">
              <w:t>(a)</w:t>
            </w:r>
            <w:r w:rsidRPr="001F4207">
              <w:tab/>
              <w:t>doing any of the following:</w:t>
            </w:r>
          </w:p>
          <w:p w14:paraId="37F3AF82" w14:textId="77777777" w:rsidR="00807BB8" w:rsidRPr="001F4207" w:rsidRDefault="00807BB8" w:rsidP="00FC2EBF">
            <w:pPr>
              <w:pStyle w:val="ListNumber3"/>
              <w:spacing w:line="276" w:lineRule="auto"/>
            </w:pPr>
            <w:r w:rsidRPr="001F4207">
              <w:t>(</w:t>
            </w:r>
            <w:proofErr w:type="spellStart"/>
            <w:r w:rsidRPr="001F4207">
              <w:t>i</w:t>
            </w:r>
            <w:proofErr w:type="spellEnd"/>
            <w:r w:rsidRPr="001F4207">
              <w:t>)</w:t>
            </w:r>
            <w:r w:rsidRPr="001F4207">
              <w:tab/>
              <w:t>including items in the list;</w:t>
            </w:r>
          </w:p>
          <w:p w14:paraId="076142CE" w14:textId="77777777" w:rsidR="00807BB8" w:rsidRPr="001F4207" w:rsidRDefault="00807BB8" w:rsidP="00FC2EBF">
            <w:pPr>
              <w:pStyle w:val="ListNumber3"/>
              <w:spacing w:line="276" w:lineRule="auto"/>
            </w:pPr>
            <w:r w:rsidRPr="001F4207">
              <w:t>(ii)</w:t>
            </w:r>
            <w:r w:rsidRPr="001F4207">
              <w:tab/>
              <w:t>deleting items from the list;</w:t>
            </w:r>
          </w:p>
          <w:p w14:paraId="718D1923" w14:textId="77777777" w:rsidR="00807BB8" w:rsidRPr="001F4207" w:rsidRDefault="00807BB8" w:rsidP="00FC2EBF">
            <w:pPr>
              <w:pStyle w:val="ListNumber3"/>
              <w:spacing w:line="276" w:lineRule="auto"/>
            </w:pPr>
            <w:r w:rsidRPr="001F4207">
              <w:t>(iii)</w:t>
            </w:r>
            <w:r w:rsidRPr="001F4207">
              <w:tab/>
              <w:t>imposing a condition or restriction to which the inclusion of a specimen in the list is subject;</w:t>
            </w:r>
          </w:p>
          <w:p w14:paraId="0B90D3C4" w14:textId="77777777" w:rsidR="00807BB8" w:rsidRPr="001F4207" w:rsidRDefault="00807BB8" w:rsidP="00FC2EBF">
            <w:pPr>
              <w:pStyle w:val="ListNumber3"/>
              <w:spacing w:line="276" w:lineRule="auto"/>
            </w:pPr>
            <w:r w:rsidRPr="001F4207">
              <w:t>(iv)</w:t>
            </w:r>
            <w:r w:rsidRPr="001F4207">
              <w:tab/>
              <w:t>varying or revoking a condition or restriction to which the inclusion of a specimen in the list is subject; or</w:t>
            </w:r>
          </w:p>
          <w:p w14:paraId="3928EB02" w14:textId="04728374" w:rsidR="00807BB8" w:rsidRPr="001F4207" w:rsidRDefault="00807BB8" w:rsidP="00FC2EBF">
            <w:pPr>
              <w:pStyle w:val="ListNumber2"/>
            </w:pPr>
            <w:r w:rsidRPr="001F4207">
              <w:t>(b)</w:t>
            </w:r>
            <w:r w:rsidRPr="001F4207">
              <w:tab/>
              <w:t>correcting an inaccuracy or updating the name of a species.</w:t>
            </w:r>
          </w:p>
          <w:p w14:paraId="4E0E7799" w14:textId="32BBB077" w:rsidR="00807BB8" w:rsidRPr="001F4207" w:rsidRDefault="00807BB8" w:rsidP="00FC2EBF">
            <w:pPr>
              <w:pStyle w:val="ListNumber2"/>
            </w:pPr>
          </w:p>
        </w:tc>
        <w:tc>
          <w:tcPr>
            <w:tcW w:w="2500" w:type="pct"/>
            <w:shd w:val="clear" w:color="auto" w:fill="92D050"/>
          </w:tcPr>
          <w:p w14:paraId="0155953C" w14:textId="07850283" w:rsidR="00372FF4" w:rsidRPr="0071537C" w:rsidRDefault="006855D5" w:rsidP="00372FF4">
            <w:pPr>
              <w:pStyle w:val="ListBullet2"/>
              <w:numPr>
                <w:ilvl w:val="0"/>
                <w:numId w:val="0"/>
              </w:numPr>
              <w:rPr>
                <w:rFonts w:cs="Arial"/>
                <w:snapToGrid w:val="0"/>
                <w:sz w:val="22"/>
                <w:szCs w:val="20"/>
              </w:rPr>
            </w:pPr>
            <w:r w:rsidRPr="0071537C">
              <w:rPr>
                <w:rFonts w:cs="Arial"/>
                <w:szCs w:val="20"/>
              </w:rPr>
              <w:t xml:space="preserve">The Department recommends that </w:t>
            </w:r>
            <w:r w:rsidR="00372FF4" w:rsidRPr="0071537C">
              <w:rPr>
                <w:rFonts w:cs="Arial"/>
                <w:szCs w:val="20"/>
              </w:rPr>
              <w:t xml:space="preserve">specimens </w:t>
            </w:r>
            <w:r w:rsidR="00372FF4" w:rsidRPr="0071537C">
              <w:rPr>
                <w:rFonts w:cs="Arial"/>
                <w:snapToGrid w:val="0"/>
                <w:szCs w:val="20"/>
              </w:rPr>
              <w:t>that are or are derived from fish or invertebrates, other than specimens that belong to species listed under Part 13 of the EPBC Act, taken</w:t>
            </w:r>
            <w:r w:rsidR="00372FF4" w:rsidRPr="0071537C">
              <w:rPr>
                <w:snapToGrid w:val="0"/>
                <w:szCs w:val="20"/>
              </w:rPr>
              <w:t xml:space="preserve"> </w:t>
            </w:r>
            <w:r w:rsidR="00372FF4" w:rsidRPr="0071537C">
              <w:rPr>
                <w:rFonts w:cs="Arial"/>
                <w:szCs w:val="20"/>
              </w:rPr>
              <w:t xml:space="preserve">in the </w:t>
            </w:r>
            <w:r w:rsidR="000E4ED2">
              <w:rPr>
                <w:rFonts w:cs="Arial"/>
                <w:szCs w:val="20"/>
              </w:rPr>
              <w:t>TGCF</w:t>
            </w:r>
            <w:r w:rsidR="00372FF4" w:rsidRPr="0071537C">
              <w:rPr>
                <w:rFonts w:cs="Arial"/>
                <w:szCs w:val="20"/>
              </w:rPr>
              <w:t xml:space="preserve">, </w:t>
            </w:r>
            <w:r w:rsidR="00372FF4" w:rsidRPr="0071537C">
              <w:rPr>
                <w:rFonts w:cs="Arial"/>
                <w:snapToGrid w:val="0"/>
                <w:szCs w:val="20"/>
              </w:rPr>
              <w:t xml:space="preserve">as defined in the Tasmanian </w:t>
            </w:r>
            <w:r w:rsidR="00372FF4" w:rsidRPr="0071537C">
              <w:rPr>
                <w:rFonts w:cs="Arial"/>
                <w:i/>
                <w:szCs w:val="20"/>
              </w:rPr>
              <w:t>Fisheries (Giant Crab) Rules 2013</w:t>
            </w:r>
            <w:r w:rsidR="00372FF4" w:rsidRPr="0071537C">
              <w:rPr>
                <w:rFonts w:cs="Arial"/>
                <w:szCs w:val="20"/>
              </w:rPr>
              <w:t xml:space="preserve"> in force under the Tasmanian </w:t>
            </w:r>
            <w:r w:rsidR="00372FF4" w:rsidRPr="0071537C">
              <w:rPr>
                <w:rFonts w:cs="Arial"/>
                <w:i/>
                <w:szCs w:val="20"/>
              </w:rPr>
              <w:t>Living Marine Resources Management Act 1995</w:t>
            </w:r>
            <w:r w:rsidR="00372FF4" w:rsidRPr="0071537C">
              <w:rPr>
                <w:i/>
                <w:szCs w:val="20"/>
              </w:rPr>
              <w:t xml:space="preserve"> </w:t>
            </w:r>
            <w:r w:rsidR="00372FF4" w:rsidRPr="0071537C">
              <w:rPr>
                <w:rFonts w:cs="Arial"/>
                <w:szCs w:val="20"/>
              </w:rPr>
              <w:t xml:space="preserve">be included in the list of exempt native specimens </w:t>
            </w:r>
            <w:r w:rsidR="00372FF4" w:rsidRPr="0071537C">
              <w:rPr>
                <w:rFonts w:cs="Arial"/>
                <w:snapToGrid w:val="0"/>
                <w:szCs w:val="20"/>
              </w:rPr>
              <w:t xml:space="preserve">until </w:t>
            </w:r>
            <w:r w:rsidR="00F713F6">
              <w:rPr>
                <w:rFonts w:cs="Arial"/>
                <w:snapToGrid w:val="0"/>
                <w:szCs w:val="20"/>
              </w:rPr>
              <w:br/>
            </w:r>
            <w:r w:rsidR="00F713F6" w:rsidRPr="004F5EA4">
              <w:rPr>
                <w:rFonts w:cs="Arial"/>
                <w:snapToGrid w:val="0"/>
                <w:szCs w:val="20"/>
              </w:rPr>
              <w:t>10 January 2025</w:t>
            </w:r>
            <w:r w:rsidR="00372FF4" w:rsidRPr="0071537C">
              <w:rPr>
                <w:rFonts w:cs="Arial"/>
                <w:snapToGrid w:val="0"/>
                <w:szCs w:val="20"/>
              </w:rPr>
              <w:t>.</w:t>
            </w:r>
          </w:p>
          <w:p w14:paraId="53BB02E9" w14:textId="78339208" w:rsidR="005C0537" w:rsidRPr="0071537C" w:rsidRDefault="005C0537" w:rsidP="00FC2EBF">
            <w:pPr>
              <w:pStyle w:val="Default"/>
              <w:spacing w:before="60" w:after="60" w:line="276" w:lineRule="auto"/>
              <w:contextualSpacing/>
              <w:rPr>
                <w:rFonts w:ascii="Arial" w:hAnsi="Arial" w:cs="Arial"/>
                <w:color w:val="auto"/>
                <w:sz w:val="20"/>
                <w:szCs w:val="20"/>
              </w:rPr>
            </w:pPr>
          </w:p>
          <w:p w14:paraId="093E1F7E" w14:textId="3D054E3F" w:rsidR="00A26482" w:rsidRPr="0071537C" w:rsidRDefault="00372FF4" w:rsidP="0071537C">
            <w:pPr>
              <w:pStyle w:val="ListBullet2"/>
              <w:numPr>
                <w:ilvl w:val="0"/>
                <w:numId w:val="0"/>
              </w:numPr>
              <w:rPr>
                <w:rFonts w:cs="Arial"/>
                <w:szCs w:val="18"/>
              </w:rPr>
            </w:pPr>
            <w:r w:rsidRPr="0071537C" w:rsidDel="00372FF4">
              <w:rPr>
                <w:szCs w:val="20"/>
              </w:rPr>
              <w:t xml:space="preserve"> </w:t>
            </w:r>
          </w:p>
        </w:tc>
      </w:tr>
      <w:tr w:rsidR="00D40B13" w:rsidRPr="001F4207"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CDFB265" w14:textId="77FD6D99" w:rsidR="00807BB8" w:rsidRPr="001F4207" w:rsidRDefault="00D40B13" w:rsidP="00FC2EBF">
            <w:pPr>
              <w:pStyle w:val="ListNumber"/>
            </w:pPr>
            <w:r w:rsidRPr="001F4207">
              <w:t>(1A)</w:t>
            </w:r>
            <w:r w:rsidR="00A961C6" w:rsidRPr="001F4207">
              <w:tab/>
            </w:r>
            <w:r w:rsidRPr="001F4207">
              <w:t xml:space="preserve">In deciding to amend the LENS, the Minister must rely primarily on outcomes </w:t>
            </w:r>
            <w:r w:rsidR="008E3115" w:rsidRPr="001F4207">
              <w:t xml:space="preserve">an assessment under </w:t>
            </w:r>
            <w:r w:rsidRPr="001F4207">
              <w:t>Part 10, Div</w:t>
            </w:r>
            <w:r w:rsidR="008E3115" w:rsidRPr="001F4207">
              <w:t>isions</w:t>
            </w:r>
            <w:r w:rsidRPr="001F4207">
              <w:t xml:space="preserve"> 1 or 2 </w:t>
            </w:r>
          </w:p>
          <w:p w14:paraId="669312B2" w14:textId="7CCB8509" w:rsidR="00227603" w:rsidRPr="001F4207" w:rsidRDefault="00227603" w:rsidP="00FC2EBF">
            <w:pPr>
              <w:pStyle w:val="ListNumber"/>
            </w:pPr>
          </w:p>
        </w:tc>
        <w:tc>
          <w:tcPr>
            <w:tcW w:w="2500" w:type="pct"/>
            <w:shd w:val="clear" w:color="auto" w:fill="auto"/>
          </w:tcPr>
          <w:p w14:paraId="28711AC3" w14:textId="77777777" w:rsidR="000E4ED2" w:rsidRDefault="00FB656E">
            <w:pPr>
              <w:spacing w:before="60" w:after="60" w:line="276" w:lineRule="auto"/>
              <w:contextualSpacing/>
              <w:rPr>
                <w:rFonts w:cs="Arial"/>
                <w:sz w:val="20"/>
                <w:szCs w:val="20"/>
              </w:rPr>
            </w:pPr>
            <w:r w:rsidRPr="0072610E">
              <w:rPr>
                <w:rFonts w:cs="Arial"/>
                <w:b/>
                <w:sz w:val="20"/>
                <w:szCs w:val="20"/>
              </w:rPr>
              <w:t>Not applicable</w:t>
            </w:r>
            <w:r w:rsidR="000E4ED2">
              <w:rPr>
                <w:rFonts w:cs="Arial"/>
                <w:b/>
                <w:sz w:val="20"/>
                <w:szCs w:val="20"/>
              </w:rPr>
              <w:t>.</w:t>
            </w:r>
            <w:r w:rsidR="00D114A1" w:rsidRPr="00824478">
              <w:rPr>
                <w:rFonts w:cs="Arial"/>
                <w:sz w:val="20"/>
                <w:szCs w:val="20"/>
              </w:rPr>
              <w:t xml:space="preserve"> </w:t>
            </w:r>
          </w:p>
          <w:p w14:paraId="631FEB27" w14:textId="39D9067C" w:rsidR="00E57AB7" w:rsidRPr="00824478" w:rsidRDefault="00FB656E">
            <w:pPr>
              <w:spacing w:before="60" w:after="60" w:line="276" w:lineRule="auto"/>
              <w:contextualSpacing/>
              <w:rPr>
                <w:rFonts w:cs="Arial"/>
                <w:sz w:val="20"/>
                <w:szCs w:val="20"/>
              </w:rPr>
            </w:pPr>
            <w:r w:rsidRPr="00824478">
              <w:rPr>
                <w:rFonts w:cs="Arial"/>
                <w:sz w:val="20"/>
                <w:szCs w:val="20"/>
              </w:rPr>
              <w:t>The fishery is not managed by the Commonwealth.</w:t>
            </w:r>
          </w:p>
        </w:tc>
      </w:tr>
      <w:tr w:rsidR="00D40B13" w:rsidRPr="001F4207" w14:paraId="38C0624F" w14:textId="77777777" w:rsidTr="0071537C">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4DEA95BE" w:rsidR="00807BB8" w:rsidRPr="001F4207" w:rsidRDefault="00D40B13" w:rsidP="00FC2EBF">
            <w:pPr>
              <w:pStyle w:val="ListNumber"/>
            </w:pPr>
            <w:r w:rsidRPr="001F4207">
              <w:t>(1C)</w:t>
            </w:r>
            <w:r w:rsidR="00A961C6" w:rsidRPr="001F4207">
              <w:tab/>
            </w:r>
            <w:proofErr w:type="gramStart"/>
            <w:r w:rsidRPr="001F4207">
              <w:t>The</w:t>
            </w:r>
            <w:proofErr w:type="gramEnd"/>
            <w:r w:rsidRPr="001F4207">
              <w:t xml:space="preserve"> above does not limit matters that may be considered when deciding to amend LENS.</w:t>
            </w:r>
          </w:p>
          <w:p w14:paraId="73E5E7F6" w14:textId="7040175C" w:rsidR="00227603" w:rsidRPr="001F4207" w:rsidRDefault="00227603" w:rsidP="00FC2EBF">
            <w:pPr>
              <w:pStyle w:val="ListNumber"/>
            </w:pPr>
          </w:p>
        </w:tc>
        <w:tc>
          <w:tcPr>
            <w:tcW w:w="2500" w:type="pct"/>
            <w:shd w:val="clear" w:color="auto" w:fill="92D050"/>
          </w:tcPr>
          <w:p w14:paraId="7BC65A21" w14:textId="77777777" w:rsidR="002F564A" w:rsidRPr="0071537C" w:rsidRDefault="002F564A" w:rsidP="00FC2EBF">
            <w:pPr>
              <w:spacing w:before="60" w:after="60" w:line="276" w:lineRule="auto"/>
              <w:contextualSpacing/>
              <w:rPr>
                <w:rFonts w:cs="Arial"/>
                <w:b/>
                <w:sz w:val="20"/>
                <w:szCs w:val="20"/>
              </w:rPr>
            </w:pPr>
            <w:r w:rsidRPr="0071537C">
              <w:rPr>
                <w:rFonts w:cs="Arial"/>
                <w:b/>
                <w:sz w:val="20"/>
                <w:szCs w:val="20"/>
              </w:rPr>
              <w:t>Meets</w:t>
            </w:r>
          </w:p>
          <w:p w14:paraId="3E1ABF46" w14:textId="77777777" w:rsidR="00FB656E" w:rsidRPr="00824478" w:rsidRDefault="00FB656E" w:rsidP="00FC2EBF">
            <w:pPr>
              <w:spacing w:before="60" w:after="60" w:line="276" w:lineRule="auto"/>
              <w:contextualSpacing/>
              <w:rPr>
                <w:rFonts w:cs="Arial"/>
                <w:sz w:val="20"/>
                <w:szCs w:val="20"/>
              </w:rPr>
            </w:pPr>
            <w:r w:rsidRPr="00824478">
              <w:rPr>
                <w:rFonts w:cs="Arial"/>
                <w:sz w:val="20"/>
                <w:szCs w:val="20"/>
              </w:rPr>
              <w:t>The Department considers that it has taken into account all matters relevant to making an informed decision to amend the list of exempt native specimens to include product taken in this fishery.</w:t>
            </w:r>
          </w:p>
          <w:p w14:paraId="748BF845" w14:textId="1A43C823" w:rsidR="00E57AB7" w:rsidRPr="00824478" w:rsidRDefault="00E57AB7" w:rsidP="00FC2EBF">
            <w:pPr>
              <w:spacing w:before="60" w:after="60" w:line="276" w:lineRule="auto"/>
              <w:contextualSpacing/>
              <w:rPr>
                <w:rFonts w:cs="Arial"/>
                <w:sz w:val="20"/>
                <w:szCs w:val="20"/>
              </w:rPr>
            </w:pPr>
          </w:p>
        </w:tc>
      </w:tr>
      <w:tr w:rsidR="00D40B13" w:rsidRPr="001F4207" w14:paraId="50241D9F" w14:textId="77777777" w:rsidTr="0071537C">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1F4207" w:rsidRDefault="00D40B13" w:rsidP="00FC2EBF">
            <w:pPr>
              <w:pStyle w:val="ListNumber"/>
            </w:pPr>
            <w:r w:rsidRPr="001F4207">
              <w:lastRenderedPageBreak/>
              <w:t>(3)</w:t>
            </w:r>
            <w:r w:rsidR="00A961C6" w:rsidRPr="001F4207">
              <w:tab/>
            </w:r>
            <w:r w:rsidRPr="001F4207">
              <w:t>Before amending the LENS, the Minister must consult:</w:t>
            </w:r>
          </w:p>
          <w:p w14:paraId="72317F56" w14:textId="7F20C045" w:rsidR="00807BB8" w:rsidRPr="001F4207" w:rsidRDefault="00807BB8" w:rsidP="00FC2EBF">
            <w:pPr>
              <w:pStyle w:val="ListNumber2"/>
            </w:pPr>
            <w:r w:rsidRPr="001F4207">
              <w:t>(a)</w:t>
            </w:r>
            <w:r w:rsidRPr="001F4207">
              <w:tab/>
              <w:t>other Minister or Ministers as appropriate; and</w:t>
            </w:r>
          </w:p>
          <w:p w14:paraId="6FEF0265" w14:textId="7EB32D86" w:rsidR="00807BB8" w:rsidRPr="001F4207" w:rsidRDefault="00807BB8" w:rsidP="00FC2EBF">
            <w:pPr>
              <w:pStyle w:val="ListNumber2"/>
            </w:pPr>
            <w:r w:rsidRPr="001F4207">
              <w:t>(b)</w:t>
            </w:r>
            <w:r w:rsidRPr="001F4207">
              <w:tab/>
              <w:t>other Minister or Ministers of each State and self-governing Territory as appropriate; and</w:t>
            </w:r>
          </w:p>
          <w:p w14:paraId="3F3BDC25" w14:textId="6D9D6A74" w:rsidR="00807BB8" w:rsidRPr="001F4207" w:rsidRDefault="00807BB8" w:rsidP="00FC2EBF">
            <w:pPr>
              <w:pStyle w:val="ListNumber2"/>
            </w:pPr>
            <w:r w:rsidRPr="001F4207">
              <w:t>(c)</w:t>
            </w:r>
            <w:r w:rsidRPr="001F4207">
              <w:tab/>
              <w:t>other persons and organisations as appropriate.</w:t>
            </w:r>
          </w:p>
          <w:p w14:paraId="713AFE99" w14:textId="4B09E16C" w:rsidR="00227603" w:rsidRPr="001F4207" w:rsidRDefault="00227603" w:rsidP="00FC2EBF">
            <w:pPr>
              <w:pStyle w:val="ListNumber2"/>
            </w:pPr>
          </w:p>
        </w:tc>
        <w:tc>
          <w:tcPr>
            <w:tcW w:w="2500" w:type="pct"/>
            <w:shd w:val="clear" w:color="auto" w:fill="92D050"/>
          </w:tcPr>
          <w:p w14:paraId="66DBCCC8" w14:textId="77777777" w:rsidR="001C70CA" w:rsidRPr="0071537C" w:rsidRDefault="001C70CA" w:rsidP="00FC2EBF">
            <w:pPr>
              <w:spacing w:before="60" w:after="60" w:line="276" w:lineRule="auto"/>
              <w:contextualSpacing/>
              <w:rPr>
                <w:rFonts w:cs="Arial"/>
                <w:b/>
                <w:sz w:val="20"/>
                <w:szCs w:val="20"/>
              </w:rPr>
            </w:pPr>
            <w:r w:rsidRPr="0071537C">
              <w:rPr>
                <w:rFonts w:cs="Arial"/>
                <w:b/>
                <w:sz w:val="20"/>
                <w:szCs w:val="20"/>
              </w:rPr>
              <w:t>Meets</w:t>
            </w:r>
          </w:p>
          <w:p w14:paraId="405086F3" w14:textId="77777777" w:rsidR="00EE6A50" w:rsidRPr="00824478" w:rsidRDefault="002B618A" w:rsidP="00FC2EBF">
            <w:pPr>
              <w:spacing w:before="60" w:after="60" w:line="276" w:lineRule="auto"/>
              <w:contextualSpacing/>
              <w:rPr>
                <w:rFonts w:cs="Arial"/>
                <w:sz w:val="20"/>
                <w:szCs w:val="20"/>
              </w:rPr>
            </w:pPr>
            <w:r w:rsidRPr="0071537C">
              <w:rPr>
                <w:rFonts w:cs="Arial"/>
                <w:sz w:val="20"/>
                <w:szCs w:val="20"/>
              </w:rPr>
              <w:t>T</w:t>
            </w:r>
            <w:r w:rsidRPr="00824478">
              <w:rPr>
                <w:rFonts w:cs="Arial"/>
                <w:sz w:val="20"/>
                <w:szCs w:val="20"/>
              </w:rPr>
              <w:t>he D</w:t>
            </w:r>
            <w:r w:rsidRPr="0071537C">
              <w:rPr>
                <w:rFonts w:cs="Arial"/>
                <w:sz w:val="20"/>
                <w:szCs w:val="20"/>
              </w:rPr>
              <w:t>epar</w:t>
            </w:r>
            <w:r w:rsidRPr="00824478">
              <w:rPr>
                <w:rFonts w:cs="Arial"/>
                <w:sz w:val="20"/>
                <w:szCs w:val="20"/>
              </w:rPr>
              <w:t>t</w:t>
            </w:r>
            <w:r w:rsidR="00EE6A50" w:rsidRPr="00824478">
              <w:rPr>
                <w:rFonts w:cs="Arial"/>
                <w:sz w:val="20"/>
                <w:szCs w:val="20"/>
              </w:rPr>
              <w:t>ment considers that the consultation requirements have been met.</w:t>
            </w:r>
          </w:p>
          <w:p w14:paraId="3689EDD7" w14:textId="77777777" w:rsidR="00EE6A50" w:rsidRPr="0071537C" w:rsidRDefault="00EE6A50" w:rsidP="00FC2EBF">
            <w:pPr>
              <w:spacing w:before="60" w:after="60" w:line="276" w:lineRule="auto"/>
              <w:contextualSpacing/>
              <w:rPr>
                <w:rFonts w:cs="Arial"/>
                <w:sz w:val="20"/>
                <w:szCs w:val="20"/>
              </w:rPr>
            </w:pPr>
          </w:p>
          <w:p w14:paraId="2328C164" w14:textId="3F1D7E00" w:rsidR="00D40B13" w:rsidRPr="0071537C" w:rsidRDefault="006F60BC" w:rsidP="00FC2EBF">
            <w:pPr>
              <w:spacing w:before="60" w:after="60" w:line="276" w:lineRule="auto"/>
              <w:contextualSpacing/>
              <w:rPr>
                <w:rFonts w:cs="Arial"/>
                <w:sz w:val="20"/>
                <w:szCs w:val="20"/>
              </w:rPr>
            </w:pPr>
            <w:r w:rsidRPr="0071537C">
              <w:rPr>
                <w:rFonts w:cs="Arial"/>
                <w:sz w:val="20"/>
                <w:szCs w:val="20"/>
              </w:rPr>
              <w:t>T</w:t>
            </w:r>
            <w:r w:rsidR="00111796" w:rsidRPr="0071537C">
              <w:rPr>
                <w:rFonts w:cs="Arial"/>
                <w:sz w:val="20"/>
                <w:szCs w:val="20"/>
              </w:rPr>
              <w:t xml:space="preserve">he </w:t>
            </w:r>
            <w:r w:rsidR="00D40B13" w:rsidRPr="0071537C">
              <w:rPr>
                <w:rFonts w:cs="Arial"/>
                <w:sz w:val="20"/>
                <w:szCs w:val="20"/>
              </w:rPr>
              <w:t xml:space="preserve">submission </w:t>
            </w:r>
            <w:r w:rsidR="00111796" w:rsidRPr="0071537C">
              <w:rPr>
                <w:rFonts w:cs="Arial"/>
                <w:sz w:val="20"/>
                <w:szCs w:val="20"/>
              </w:rPr>
              <w:t xml:space="preserve">from </w:t>
            </w:r>
            <w:r w:rsidR="008364B9" w:rsidRPr="0071537C">
              <w:rPr>
                <w:rFonts w:cs="Arial"/>
                <w:sz w:val="20"/>
                <w:szCs w:val="20"/>
              </w:rPr>
              <w:t xml:space="preserve">the </w:t>
            </w:r>
            <w:r w:rsidR="000E4ED2">
              <w:rPr>
                <w:rFonts w:cs="Arial"/>
                <w:sz w:val="20"/>
                <w:szCs w:val="20"/>
              </w:rPr>
              <w:t>DPIPWE</w:t>
            </w:r>
            <w:r w:rsidR="0014730A" w:rsidRPr="0071537C">
              <w:rPr>
                <w:rFonts w:cs="Arial"/>
                <w:sz w:val="20"/>
                <w:szCs w:val="20"/>
              </w:rPr>
              <w:t xml:space="preserve"> </w:t>
            </w:r>
            <w:r w:rsidR="001B5AA8" w:rsidRPr="0071537C">
              <w:rPr>
                <w:rFonts w:cs="Arial"/>
                <w:sz w:val="20"/>
                <w:szCs w:val="20"/>
              </w:rPr>
              <w:t>was made</w:t>
            </w:r>
            <w:r w:rsidR="00111796" w:rsidRPr="0071537C">
              <w:rPr>
                <w:rFonts w:cs="Arial"/>
                <w:sz w:val="20"/>
                <w:szCs w:val="20"/>
              </w:rPr>
              <w:t xml:space="preserve"> </w:t>
            </w:r>
            <w:r w:rsidR="00D40B13" w:rsidRPr="0071537C">
              <w:rPr>
                <w:rFonts w:cs="Arial"/>
                <w:sz w:val="20"/>
                <w:szCs w:val="20"/>
              </w:rPr>
              <w:t xml:space="preserve">available on </w:t>
            </w:r>
            <w:r w:rsidR="00F839FE" w:rsidRPr="0071537C">
              <w:rPr>
                <w:rFonts w:cs="Arial"/>
                <w:sz w:val="20"/>
                <w:szCs w:val="20"/>
              </w:rPr>
              <w:t>the Department’s</w:t>
            </w:r>
            <w:r w:rsidR="00D40B13" w:rsidRPr="0071537C">
              <w:rPr>
                <w:rFonts w:cs="Arial"/>
                <w:sz w:val="20"/>
                <w:szCs w:val="20"/>
              </w:rPr>
              <w:t xml:space="preserve"> website from </w:t>
            </w:r>
            <w:r w:rsidR="006B2841" w:rsidRPr="0071537C">
              <w:rPr>
                <w:rFonts w:cs="Arial"/>
                <w:sz w:val="20"/>
                <w:szCs w:val="20"/>
              </w:rPr>
              <w:t>27 June 2019</w:t>
            </w:r>
            <w:r w:rsidR="00D40B13" w:rsidRPr="0071537C">
              <w:rPr>
                <w:rFonts w:cs="Arial"/>
                <w:sz w:val="20"/>
                <w:szCs w:val="20"/>
              </w:rPr>
              <w:t xml:space="preserve"> </w:t>
            </w:r>
            <w:r w:rsidR="00287748">
              <w:rPr>
                <w:rFonts w:cs="Arial"/>
                <w:sz w:val="20"/>
                <w:szCs w:val="20"/>
              </w:rPr>
              <w:t>to</w:t>
            </w:r>
            <w:r w:rsidR="00D40B13" w:rsidRPr="0071537C">
              <w:rPr>
                <w:rFonts w:cs="Arial"/>
                <w:sz w:val="20"/>
                <w:szCs w:val="20"/>
              </w:rPr>
              <w:t xml:space="preserve"> </w:t>
            </w:r>
            <w:r w:rsidR="006B2841" w:rsidRPr="0071537C">
              <w:rPr>
                <w:rFonts w:cs="Arial"/>
                <w:sz w:val="20"/>
                <w:szCs w:val="20"/>
              </w:rPr>
              <w:t>31 July 2019</w:t>
            </w:r>
            <w:r w:rsidR="00D40B13" w:rsidRPr="0071537C">
              <w:rPr>
                <w:rFonts w:cs="Arial"/>
                <w:sz w:val="20"/>
                <w:szCs w:val="20"/>
              </w:rPr>
              <w:t>. No</w:t>
            </w:r>
            <w:r w:rsidR="00111796" w:rsidRPr="0071537C">
              <w:rPr>
                <w:rFonts w:cs="Arial"/>
                <w:sz w:val="20"/>
                <w:szCs w:val="20"/>
              </w:rPr>
              <w:t xml:space="preserve"> </w:t>
            </w:r>
            <w:r w:rsidR="00D40B13" w:rsidRPr="0071537C">
              <w:rPr>
                <w:rFonts w:cs="Arial"/>
                <w:sz w:val="20"/>
                <w:szCs w:val="20"/>
              </w:rPr>
              <w:t>comments</w:t>
            </w:r>
            <w:r w:rsidR="00EE6A50" w:rsidRPr="0071537C">
              <w:rPr>
                <w:rFonts w:cs="Arial"/>
                <w:sz w:val="20"/>
                <w:szCs w:val="20"/>
              </w:rPr>
              <w:t xml:space="preserve"> were</w:t>
            </w:r>
            <w:r w:rsidR="00D40B13" w:rsidRPr="0071537C">
              <w:rPr>
                <w:rFonts w:cs="Arial"/>
                <w:sz w:val="20"/>
                <w:szCs w:val="20"/>
              </w:rPr>
              <w:t xml:space="preserve"> received.</w:t>
            </w:r>
          </w:p>
          <w:p w14:paraId="3FA5A127" w14:textId="58C547AA" w:rsidR="00E57AB7" w:rsidRPr="00824478" w:rsidRDefault="00E57AB7">
            <w:pPr>
              <w:spacing w:before="60" w:after="60" w:line="276" w:lineRule="auto"/>
              <w:contextualSpacing/>
              <w:rPr>
                <w:rFonts w:cs="Arial"/>
                <w:sz w:val="20"/>
                <w:szCs w:val="20"/>
              </w:rPr>
            </w:pPr>
          </w:p>
        </w:tc>
      </w:tr>
      <w:tr w:rsidR="00DF3B87" w:rsidRPr="001F4207" w14:paraId="51809B97" w14:textId="77777777" w:rsidTr="0071537C">
        <w:trPr>
          <w:cnfStyle w:val="000000100000" w:firstRow="0" w:lastRow="0" w:firstColumn="0" w:lastColumn="0" w:oddVBand="0" w:evenVBand="0" w:oddHBand="1" w:evenHBand="0" w:firstRowFirstColumn="0" w:firstRowLastColumn="0" w:lastRowFirstColumn="0" w:lastRowLastColumn="0"/>
        </w:trPr>
        <w:tc>
          <w:tcPr>
            <w:tcW w:w="2500" w:type="pct"/>
          </w:tcPr>
          <w:p w14:paraId="51DC50B4" w14:textId="065712B9" w:rsidR="00DF3B87" w:rsidRPr="001F4207" w:rsidRDefault="00DF3B87" w:rsidP="00FC2EBF">
            <w:pPr>
              <w:pStyle w:val="ListNumber"/>
            </w:pPr>
            <w:r w:rsidRPr="001F4207">
              <w:t>(5)</w:t>
            </w:r>
            <w:r w:rsidRPr="001F4207">
              <w:tab/>
              <w:t>A copy of an instrument made under section 303DC is to be made available for inspection on the internet.</w:t>
            </w:r>
          </w:p>
          <w:p w14:paraId="3531B96F" w14:textId="4ED80FA0" w:rsidR="00DF3B87" w:rsidRPr="001F4207" w:rsidRDefault="00DF3B87" w:rsidP="00FC2EBF">
            <w:pPr>
              <w:pStyle w:val="ListNumber"/>
            </w:pPr>
          </w:p>
        </w:tc>
        <w:tc>
          <w:tcPr>
            <w:tcW w:w="2500" w:type="pct"/>
            <w:shd w:val="clear" w:color="auto" w:fill="92D050"/>
          </w:tcPr>
          <w:p w14:paraId="01376599" w14:textId="6429B741" w:rsidR="00DF3B87" w:rsidRPr="0071537C" w:rsidRDefault="00DF3B87" w:rsidP="00FC2EBF">
            <w:pPr>
              <w:pStyle w:val="PlainText"/>
              <w:spacing w:before="60" w:after="60" w:line="276" w:lineRule="auto"/>
              <w:rPr>
                <w:rFonts w:cs="Arial"/>
                <w:szCs w:val="20"/>
              </w:rPr>
            </w:pPr>
            <w:r w:rsidRPr="0071537C">
              <w:rPr>
                <w:rFonts w:cs="Arial"/>
                <w:szCs w:val="20"/>
              </w:rPr>
              <w:t xml:space="preserve">Yes, the instrument made under section </w:t>
            </w:r>
            <w:proofErr w:type="gramStart"/>
            <w:r w:rsidRPr="0071537C">
              <w:rPr>
                <w:rFonts w:cs="Arial"/>
                <w:szCs w:val="20"/>
              </w:rPr>
              <w:t>303DC(</w:t>
            </w:r>
            <w:proofErr w:type="gramEnd"/>
            <w:r w:rsidRPr="0071537C">
              <w:rPr>
                <w:rFonts w:cs="Arial"/>
                <w:szCs w:val="20"/>
              </w:rPr>
              <w:t>1)</w:t>
            </w:r>
            <w:r w:rsidR="00F839FE" w:rsidRPr="0071537C">
              <w:rPr>
                <w:rFonts w:cs="Arial"/>
                <w:szCs w:val="20"/>
              </w:rPr>
              <w:t>(a)</w:t>
            </w:r>
            <w:r w:rsidRPr="0071537C">
              <w:rPr>
                <w:rFonts w:cs="Arial"/>
                <w:szCs w:val="20"/>
              </w:rPr>
              <w:t xml:space="preserve"> for the fishery will be registered on the Federal Register of Legislation</w:t>
            </w:r>
            <w:r w:rsidR="00287748">
              <w:rPr>
                <w:rFonts w:cs="Arial"/>
                <w:szCs w:val="20"/>
              </w:rPr>
              <w:t xml:space="preserve"> (FRL)</w:t>
            </w:r>
            <w:r w:rsidRPr="0071537C">
              <w:rPr>
                <w:rFonts w:cs="Arial"/>
                <w:szCs w:val="20"/>
              </w:rPr>
              <w:t xml:space="preserve">, and a link to the instrument made available through the </w:t>
            </w:r>
            <w:r w:rsidRPr="0071537C">
              <w:rPr>
                <w:rFonts w:cs="Arial"/>
                <w:iCs/>
                <w:szCs w:val="20"/>
              </w:rPr>
              <w:t xml:space="preserve">Department’s </w:t>
            </w:r>
            <w:r w:rsidRPr="0071537C">
              <w:rPr>
                <w:rFonts w:cs="Arial"/>
                <w:szCs w:val="20"/>
              </w:rPr>
              <w:t>website.</w:t>
            </w:r>
          </w:p>
          <w:p w14:paraId="454150C9" w14:textId="77777777" w:rsidR="00DF3B87" w:rsidRPr="0071537C" w:rsidRDefault="00DF3B87" w:rsidP="00FC2EBF">
            <w:pPr>
              <w:pStyle w:val="PlainText"/>
              <w:spacing w:before="60" w:after="60" w:line="276" w:lineRule="auto"/>
              <w:rPr>
                <w:rFonts w:cs="Arial"/>
                <w:szCs w:val="20"/>
              </w:rPr>
            </w:pPr>
            <w:r w:rsidRPr="0071537C">
              <w:rPr>
                <w:rFonts w:cs="Arial"/>
                <w:szCs w:val="20"/>
              </w:rPr>
              <w:t xml:space="preserve">Under subsection 56(1) of the </w:t>
            </w:r>
            <w:r w:rsidRPr="0071537C">
              <w:rPr>
                <w:rFonts w:cs="Arial"/>
                <w:i/>
                <w:szCs w:val="20"/>
              </w:rPr>
              <w:t>Legislation Act 2003</w:t>
            </w:r>
            <w:r w:rsidRPr="0071537C">
              <w:rPr>
                <w:rFonts w:cs="Arial"/>
                <w:szCs w:val="20"/>
              </w:rPr>
              <w:t xml:space="preserve"> (CTH), registration on the FRL meets the requirements for gazettal.</w:t>
            </w:r>
          </w:p>
          <w:p w14:paraId="4FA39464" w14:textId="38D9607B" w:rsidR="00DF3B87" w:rsidRPr="00824478" w:rsidRDefault="00DF3B87" w:rsidP="00FC2EBF">
            <w:pPr>
              <w:spacing w:before="60" w:after="60" w:line="276" w:lineRule="auto"/>
              <w:contextualSpacing/>
              <w:rPr>
                <w:rFonts w:cs="Arial"/>
                <w:b/>
                <w:sz w:val="20"/>
                <w:szCs w:val="20"/>
                <w:highlight w:val="yellow"/>
              </w:rPr>
            </w:pP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13" w:name="_Toc25824110"/>
      <w:r w:rsidRPr="00FC2EBF">
        <w:t>Part 16</w:t>
      </w:r>
      <w:r w:rsidR="007F1ABC" w:rsidRPr="00FC2EBF">
        <w:t xml:space="preserve"> </w:t>
      </w:r>
      <w:r w:rsidR="00F73C73" w:rsidRPr="00FC2EBF">
        <w:t>– Precautionary principle and other considerations in making decisions</w:t>
      </w:r>
      <w:bookmarkEnd w:id="13"/>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71537C">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CC77AB" w:rsidRDefault="00A961C6" w:rsidP="00FC2EBF">
            <w:pPr>
              <w:pStyle w:val="ListNumber"/>
            </w:pPr>
            <w:r w:rsidRPr="00CC77AB">
              <w:t>(1)</w:t>
            </w:r>
            <w:r w:rsidRPr="00CC77AB">
              <w:tab/>
            </w:r>
            <w:r w:rsidR="00227603" w:rsidRPr="00CC77AB">
              <w:t xml:space="preserve">Minister must take account of </w:t>
            </w:r>
            <w:r w:rsidR="00403196" w:rsidRPr="00CC77AB">
              <w:t xml:space="preserve">the </w:t>
            </w:r>
            <w:r w:rsidR="00227603" w:rsidRPr="00CC77AB">
              <w:t>precautionary principle</w:t>
            </w:r>
            <w:r w:rsidR="00403196" w:rsidRPr="00CC77AB">
              <w:t xml:space="preserve"> in making a decision, to the extent that the decision is consistent with other provisions under this Act</w:t>
            </w:r>
            <w:r w:rsidR="00287189" w:rsidRPr="00CC77AB">
              <w:t>.</w:t>
            </w:r>
          </w:p>
          <w:p w14:paraId="1E662D78" w14:textId="77777777" w:rsidR="00227603" w:rsidRPr="00CC77AB" w:rsidRDefault="00287189" w:rsidP="00FC2EBF">
            <w:pPr>
              <w:pStyle w:val="ListNumber"/>
            </w:pPr>
            <w:r w:rsidRPr="00CC77AB">
              <w:t>(2)</w:t>
            </w:r>
            <w:r w:rsidR="00A961C6" w:rsidRPr="00CC77AB">
              <w:tab/>
            </w:r>
            <w:r w:rsidRPr="00CC77AB">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FC2EBF">
            <w:pPr>
              <w:pStyle w:val="ListNumber"/>
            </w:pPr>
          </w:p>
        </w:tc>
        <w:tc>
          <w:tcPr>
            <w:tcW w:w="2500" w:type="pct"/>
            <w:shd w:val="clear" w:color="auto" w:fill="92D050"/>
          </w:tcPr>
          <w:p w14:paraId="3505A899" w14:textId="77777777" w:rsidR="001C70CA" w:rsidRPr="0071537C" w:rsidRDefault="001C70CA" w:rsidP="00FC2EBF">
            <w:pPr>
              <w:spacing w:before="60" w:after="60" w:line="276" w:lineRule="auto"/>
              <w:contextualSpacing/>
              <w:rPr>
                <w:rFonts w:cs="Arial"/>
                <w:b/>
                <w:sz w:val="20"/>
                <w:szCs w:val="20"/>
              </w:rPr>
            </w:pPr>
            <w:r w:rsidRPr="0071537C">
              <w:rPr>
                <w:rFonts w:cs="Arial"/>
                <w:b/>
                <w:sz w:val="20"/>
                <w:szCs w:val="20"/>
              </w:rPr>
              <w:t>Meets</w:t>
            </w:r>
          </w:p>
          <w:p w14:paraId="544D15F6" w14:textId="3F617F3B" w:rsidR="00227603" w:rsidRPr="00824478" w:rsidRDefault="00FF0D7F">
            <w:pPr>
              <w:spacing w:before="60" w:after="60" w:line="276" w:lineRule="auto"/>
              <w:contextualSpacing/>
              <w:rPr>
                <w:rFonts w:cs="Arial"/>
                <w:sz w:val="20"/>
                <w:szCs w:val="20"/>
              </w:rPr>
            </w:pPr>
            <w:r w:rsidRPr="00824478">
              <w:rPr>
                <w:rFonts w:cs="Arial"/>
                <w:sz w:val="20"/>
                <w:szCs w:val="20"/>
              </w:rPr>
              <w:t>Having regard to the precautionary management measures in place in the fishery, summarised in Section 2, and g</w:t>
            </w:r>
            <w:r w:rsidR="00287189" w:rsidRPr="00824478">
              <w:rPr>
                <w:rFonts w:cs="Arial"/>
                <w:sz w:val="20"/>
                <w:szCs w:val="20"/>
              </w:rPr>
              <w:t>iven</w:t>
            </w:r>
            <w:r w:rsidRPr="00824478">
              <w:rPr>
                <w:rFonts w:cs="Arial"/>
                <w:sz w:val="20"/>
                <w:szCs w:val="20"/>
              </w:rPr>
              <w:t xml:space="preserve"> </w:t>
            </w:r>
            <w:r w:rsidR="00403196" w:rsidRPr="0071537C">
              <w:rPr>
                <w:rFonts w:cs="Arial"/>
                <w:sz w:val="20"/>
                <w:szCs w:val="20"/>
              </w:rPr>
              <w:t xml:space="preserve">the </w:t>
            </w:r>
            <w:r w:rsidR="00287189" w:rsidRPr="0071537C">
              <w:rPr>
                <w:rFonts w:cs="Arial"/>
                <w:sz w:val="20"/>
                <w:szCs w:val="20"/>
              </w:rPr>
              <w:t>annual monitoring of stocks against prescribed performance measures</w:t>
            </w:r>
            <w:r w:rsidRPr="0071537C">
              <w:rPr>
                <w:rFonts w:cs="Arial"/>
                <w:sz w:val="20"/>
                <w:szCs w:val="20"/>
              </w:rPr>
              <w:t xml:space="preserve"> and </w:t>
            </w:r>
            <w:r w:rsidR="00287189" w:rsidRPr="0071537C">
              <w:rPr>
                <w:rFonts w:cs="Arial"/>
                <w:sz w:val="20"/>
                <w:szCs w:val="20"/>
              </w:rPr>
              <w:t>the used of selective low impact fishing gear</w:t>
            </w:r>
            <w:r w:rsidR="00287189" w:rsidRPr="00824478">
              <w:rPr>
                <w:rFonts w:cs="Arial"/>
                <w:sz w:val="20"/>
                <w:szCs w:val="20"/>
              </w:rPr>
              <w:t xml:space="preserve">, </w:t>
            </w:r>
            <w:r w:rsidRPr="00824478">
              <w:rPr>
                <w:rFonts w:cs="Arial"/>
                <w:sz w:val="20"/>
                <w:szCs w:val="20"/>
              </w:rPr>
              <w:t xml:space="preserve">the Department considers that </w:t>
            </w:r>
            <w:r w:rsidR="00287189" w:rsidRPr="00824478">
              <w:rPr>
                <w:rFonts w:cs="Arial"/>
                <w:sz w:val="20"/>
                <w:szCs w:val="20"/>
              </w:rPr>
              <w:t xml:space="preserve">precautionary measures </w:t>
            </w:r>
            <w:r w:rsidRPr="00824478">
              <w:rPr>
                <w:rFonts w:cs="Arial"/>
                <w:sz w:val="20"/>
                <w:szCs w:val="20"/>
              </w:rPr>
              <w:t>are</w:t>
            </w:r>
            <w:r w:rsidR="00287189" w:rsidRPr="00824478">
              <w:rPr>
                <w:rFonts w:cs="Arial"/>
                <w:sz w:val="20"/>
                <w:szCs w:val="20"/>
              </w:rPr>
              <w:t xml:space="preserve"> in place to prevent serious or irreversible environmental damage being caused by this fishery.</w:t>
            </w:r>
          </w:p>
        </w:tc>
      </w:tr>
    </w:tbl>
    <w:p w14:paraId="2F7BEF3D" w14:textId="77777777" w:rsidR="009F053A" w:rsidRPr="00A23801" w:rsidRDefault="009F053A" w:rsidP="00A23801"/>
    <w:p w14:paraId="6BC095C5" w14:textId="7C3B2BF4" w:rsidR="00ED0F91" w:rsidRPr="00A23801" w:rsidRDefault="00ED0F91" w:rsidP="00A23801"/>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14" w:name="_Toc316301052"/>
      <w:bookmarkEnd w:id="3"/>
    </w:p>
    <w:p w14:paraId="27F60467" w14:textId="4BB65F8D" w:rsidR="00B6012C" w:rsidRPr="004F5EA4" w:rsidRDefault="00ED0F91" w:rsidP="004F5EA4">
      <w:pPr>
        <w:pStyle w:val="Heading1"/>
        <w:jc w:val="center"/>
        <w:rPr>
          <w:rFonts w:ascii="Arial" w:hAnsi="Arial"/>
          <w:sz w:val="32"/>
          <w:szCs w:val="32"/>
        </w:rPr>
      </w:pPr>
      <w:bookmarkStart w:id="15" w:name="_Toc25824111"/>
      <w:r w:rsidRPr="004F5EA4">
        <w:rPr>
          <w:rFonts w:ascii="Arial" w:hAnsi="Arial"/>
          <w:sz w:val="32"/>
          <w:szCs w:val="32"/>
        </w:rPr>
        <w:lastRenderedPageBreak/>
        <w:t>Section</w:t>
      </w:r>
      <w:r w:rsidR="00223C3E" w:rsidRPr="004F5EA4">
        <w:rPr>
          <w:rFonts w:ascii="Arial" w:hAnsi="Arial"/>
          <w:sz w:val="32"/>
          <w:szCs w:val="32"/>
        </w:rPr>
        <w:t xml:space="preserve"> </w:t>
      </w:r>
      <w:r w:rsidR="0027138D" w:rsidRPr="004F5EA4">
        <w:rPr>
          <w:rFonts w:ascii="Arial" w:hAnsi="Arial"/>
          <w:sz w:val="32"/>
          <w:szCs w:val="32"/>
        </w:rPr>
        <w:t>4</w:t>
      </w:r>
      <w:r w:rsidR="00223C3E" w:rsidRPr="004F5EA4">
        <w:rPr>
          <w:rFonts w:ascii="Arial" w:hAnsi="Arial"/>
          <w:sz w:val="32"/>
          <w:szCs w:val="32"/>
        </w:rPr>
        <w:t>:</w:t>
      </w:r>
      <w:r w:rsidR="00B6012C" w:rsidRPr="004F5EA4">
        <w:rPr>
          <w:rFonts w:ascii="Arial" w:hAnsi="Arial"/>
          <w:sz w:val="32"/>
          <w:szCs w:val="32"/>
        </w:rPr>
        <w:t xml:space="preserve"> </w:t>
      </w:r>
      <w:r w:rsidRPr="004F5EA4">
        <w:rPr>
          <w:rFonts w:ascii="Arial" w:hAnsi="Arial"/>
          <w:sz w:val="32"/>
          <w:szCs w:val="32"/>
        </w:rPr>
        <w:t xml:space="preserve">Summary of Issues Requiring </w:t>
      </w:r>
      <w:r w:rsidR="00856377" w:rsidRPr="004F5EA4">
        <w:rPr>
          <w:rFonts w:ascii="Arial" w:hAnsi="Arial"/>
          <w:sz w:val="32"/>
          <w:szCs w:val="32"/>
        </w:rPr>
        <w:t xml:space="preserve">conditions and </w:t>
      </w:r>
      <w:r w:rsidR="0093589F" w:rsidRPr="004F5EA4">
        <w:rPr>
          <w:rFonts w:ascii="Arial" w:hAnsi="Arial"/>
          <w:sz w:val="32"/>
          <w:szCs w:val="32"/>
        </w:rPr>
        <w:t>Recommendations</w:t>
      </w:r>
      <w:bookmarkEnd w:id="14"/>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E2BC5" w14:paraId="1A1EAFD4" w14:textId="77777777" w:rsidTr="00ED0F91">
        <w:trPr>
          <w:tblHeader/>
          <w:jc w:val="center"/>
        </w:trPr>
        <w:tc>
          <w:tcPr>
            <w:tcW w:w="2500" w:type="pct"/>
            <w:shd w:val="clear" w:color="auto" w:fill="D9D9D9"/>
          </w:tcPr>
          <w:p w14:paraId="76FE4FE4" w14:textId="77777777" w:rsidR="00B6012C" w:rsidRPr="00F32842" w:rsidRDefault="00B6012C" w:rsidP="00F32842">
            <w:pPr>
              <w:spacing w:before="60" w:after="60" w:line="276" w:lineRule="auto"/>
              <w:contextualSpacing/>
              <w:jc w:val="center"/>
              <w:rPr>
                <w:rFonts w:cs="Arial"/>
                <w:b/>
                <w:sz w:val="20"/>
                <w:szCs w:val="20"/>
              </w:rPr>
            </w:pPr>
            <w:r w:rsidRPr="00F32842">
              <w:rPr>
                <w:rFonts w:cs="Arial"/>
                <w:b/>
                <w:sz w:val="20"/>
                <w:szCs w:val="20"/>
              </w:rPr>
              <w:t>Issue</w:t>
            </w:r>
          </w:p>
        </w:tc>
        <w:tc>
          <w:tcPr>
            <w:tcW w:w="2500" w:type="pct"/>
            <w:shd w:val="clear" w:color="auto" w:fill="D9D9D9"/>
          </w:tcPr>
          <w:p w14:paraId="154BDB09" w14:textId="269B085E" w:rsidR="00B6012C" w:rsidRPr="008201A1" w:rsidRDefault="00856377" w:rsidP="008201A1">
            <w:pPr>
              <w:spacing w:before="60" w:after="60" w:line="276" w:lineRule="auto"/>
              <w:contextualSpacing/>
              <w:jc w:val="center"/>
              <w:rPr>
                <w:rFonts w:cs="Arial"/>
                <w:b/>
                <w:sz w:val="20"/>
                <w:szCs w:val="20"/>
              </w:rPr>
            </w:pPr>
            <w:r>
              <w:rPr>
                <w:rFonts w:cs="Arial"/>
                <w:b/>
                <w:sz w:val="20"/>
                <w:szCs w:val="20"/>
              </w:rPr>
              <w:t>Conditions and r</w:t>
            </w:r>
            <w:r w:rsidR="00B6012C" w:rsidRPr="008201A1">
              <w:rPr>
                <w:rFonts w:cs="Arial"/>
                <w:b/>
                <w:sz w:val="20"/>
                <w:szCs w:val="20"/>
              </w:rPr>
              <w:t>ecommendation</w:t>
            </w:r>
            <w:r>
              <w:rPr>
                <w:rFonts w:cs="Arial"/>
                <w:b/>
                <w:sz w:val="20"/>
                <w:szCs w:val="20"/>
              </w:rPr>
              <w:t>s</w:t>
            </w:r>
          </w:p>
        </w:tc>
      </w:tr>
      <w:tr w:rsidR="00B6012C" w:rsidRPr="008E2BC5" w14:paraId="7B71AC34" w14:textId="77777777" w:rsidTr="00ED0F91">
        <w:trPr>
          <w:jc w:val="center"/>
        </w:trPr>
        <w:tc>
          <w:tcPr>
            <w:tcW w:w="2500" w:type="pct"/>
          </w:tcPr>
          <w:p w14:paraId="264C1D67" w14:textId="77777777" w:rsidR="00B6012C" w:rsidRPr="008201A1" w:rsidRDefault="00B6012C" w:rsidP="00F32842">
            <w:pPr>
              <w:spacing w:before="60" w:after="60" w:line="276" w:lineRule="auto"/>
              <w:contextualSpacing/>
              <w:rPr>
                <w:rFonts w:cs="Arial"/>
                <w:b/>
                <w:sz w:val="20"/>
                <w:szCs w:val="20"/>
                <w:u w:val="single"/>
              </w:rPr>
            </w:pPr>
            <w:r w:rsidRPr="00F32842">
              <w:rPr>
                <w:rFonts w:cs="Arial"/>
                <w:b/>
                <w:sz w:val="20"/>
                <w:szCs w:val="20"/>
                <w:u w:val="single"/>
              </w:rPr>
              <w:t>General M</w:t>
            </w:r>
            <w:r w:rsidRPr="008201A1">
              <w:rPr>
                <w:rFonts w:cs="Arial"/>
                <w:b/>
                <w:sz w:val="20"/>
                <w:szCs w:val="20"/>
                <w:u w:val="single"/>
              </w:rPr>
              <w:t>anagement</w:t>
            </w:r>
          </w:p>
          <w:p w14:paraId="2B6A4EB3" w14:textId="77777777" w:rsidR="00CB4FF3" w:rsidRPr="008E2BC5" w:rsidRDefault="00CB4FF3" w:rsidP="008201A1">
            <w:pPr>
              <w:spacing w:before="60" w:after="60" w:line="276" w:lineRule="auto"/>
              <w:contextualSpacing/>
              <w:rPr>
                <w:rFonts w:cs="Arial"/>
                <w:b/>
                <w:sz w:val="20"/>
                <w:szCs w:val="20"/>
                <w:u w:val="single"/>
              </w:rPr>
            </w:pPr>
          </w:p>
          <w:p w14:paraId="3980DB06" w14:textId="77777777" w:rsidR="00CB4FF3" w:rsidRPr="008E2BC5" w:rsidRDefault="00CB4FF3">
            <w:pPr>
              <w:spacing w:before="60" w:after="60" w:line="276" w:lineRule="auto"/>
              <w:contextualSpacing/>
              <w:rPr>
                <w:rFonts w:cs="Arial"/>
                <w:sz w:val="20"/>
                <w:szCs w:val="20"/>
              </w:rPr>
            </w:pPr>
            <w:r w:rsidRPr="008E2BC5">
              <w:rPr>
                <w:rFonts w:cs="Arial"/>
                <w:sz w:val="20"/>
                <w:szCs w:val="20"/>
              </w:rPr>
              <w:t xml:space="preserve">The export of Australian native flora and fauna is regulated by the Department of the Environment and Energy (the Department) under the </w:t>
            </w:r>
            <w:r w:rsidRPr="008E2BC5">
              <w:rPr>
                <w:rFonts w:cs="Arial"/>
                <w:i/>
                <w:iCs/>
                <w:sz w:val="20"/>
                <w:szCs w:val="20"/>
              </w:rPr>
              <w:t>Environment Protection and Biodiversity Conservation Act 1999</w:t>
            </w:r>
            <w:r w:rsidRPr="008E2BC5">
              <w:rPr>
                <w:rFonts w:cs="Arial"/>
                <w:sz w:val="20"/>
                <w:szCs w:val="20"/>
              </w:rPr>
              <w:t xml:space="preserve"> (EPBC Act). The EPBC Act export approval process is based on an assessment of the fishery’s management arrangements that are in force at the time of the decision. </w:t>
            </w:r>
          </w:p>
          <w:p w14:paraId="31EC2A2B" w14:textId="77777777" w:rsidR="00AA4C14" w:rsidRPr="008E2BC5" w:rsidRDefault="00AA4C14">
            <w:pPr>
              <w:spacing w:before="60" w:after="60" w:line="276" w:lineRule="auto"/>
              <w:contextualSpacing/>
              <w:rPr>
                <w:rFonts w:cs="Arial"/>
                <w:sz w:val="20"/>
                <w:szCs w:val="20"/>
              </w:rPr>
            </w:pPr>
          </w:p>
          <w:p w14:paraId="1F5F58C3" w14:textId="77777777" w:rsidR="00CB4FF3" w:rsidRPr="008E2BC5" w:rsidRDefault="00CB4FF3">
            <w:pPr>
              <w:spacing w:before="60" w:after="60" w:line="276" w:lineRule="auto"/>
              <w:contextualSpacing/>
              <w:rPr>
                <w:rFonts w:cs="Arial"/>
                <w:sz w:val="20"/>
                <w:szCs w:val="20"/>
              </w:rPr>
            </w:pPr>
            <w:r w:rsidRPr="008E2BC5">
              <w:rPr>
                <w:rFonts w:cs="Arial"/>
                <w:sz w:val="20"/>
                <w:szCs w:val="20"/>
              </w:rPr>
              <w:t xml:space="preserve">Any reference to the Tasmanian legislation can only be incorporated in the Commonwealth instruments as point-in-time references (that is, the fishery’s management arrangements at the time the Commonwealth instrument commences). Therefore, any changes that are made to Tasmanian legislation (including changes to Acts, regulations or management plans) after the Commonwealth instruments commence may not be covered by the export approval. </w:t>
            </w:r>
          </w:p>
          <w:p w14:paraId="7F03E5ED" w14:textId="77777777" w:rsidR="00AA4C14" w:rsidRPr="008E2BC5" w:rsidRDefault="00AA4C14">
            <w:pPr>
              <w:spacing w:before="60" w:after="60" w:line="276" w:lineRule="auto"/>
              <w:contextualSpacing/>
              <w:rPr>
                <w:rFonts w:cs="Arial"/>
                <w:sz w:val="20"/>
                <w:szCs w:val="20"/>
              </w:rPr>
            </w:pPr>
          </w:p>
          <w:p w14:paraId="5E6E7B4B" w14:textId="77777777" w:rsidR="00AA4C14" w:rsidRPr="008E2BC5" w:rsidRDefault="00CB4FF3">
            <w:pPr>
              <w:spacing w:before="60" w:after="60" w:line="276" w:lineRule="auto"/>
              <w:contextualSpacing/>
              <w:rPr>
                <w:rFonts w:cs="Arial"/>
                <w:sz w:val="20"/>
                <w:szCs w:val="20"/>
              </w:rPr>
            </w:pPr>
            <w:r w:rsidRPr="008E2BC5">
              <w:rPr>
                <w:rFonts w:cs="Arial"/>
                <w:sz w:val="20"/>
                <w:szCs w:val="20"/>
              </w:rPr>
              <w:t xml:space="preserve">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8E2BC5">
              <w:rPr>
                <w:rFonts w:cs="Arial"/>
                <w:sz w:val="20"/>
                <w:szCs w:val="20"/>
              </w:rPr>
              <w:t>byproduct</w:t>
            </w:r>
            <w:proofErr w:type="spellEnd"/>
            <w:r w:rsidRPr="008E2BC5">
              <w:rPr>
                <w:rFonts w:cs="Arial"/>
                <w:sz w:val="20"/>
                <w:szCs w:val="20"/>
              </w:rPr>
              <w:t>, bycatch, protected species or the ecosystem.</w:t>
            </w:r>
          </w:p>
          <w:p w14:paraId="5110B389" w14:textId="7D6FDDE4" w:rsidR="00B6012C" w:rsidRPr="008E2BC5" w:rsidRDefault="00B6012C">
            <w:pPr>
              <w:spacing w:before="60" w:after="60" w:line="276" w:lineRule="auto"/>
              <w:contextualSpacing/>
              <w:rPr>
                <w:rFonts w:cs="Arial"/>
                <w:sz w:val="20"/>
                <w:szCs w:val="20"/>
              </w:rPr>
            </w:pPr>
          </w:p>
        </w:tc>
        <w:tc>
          <w:tcPr>
            <w:tcW w:w="2500" w:type="pct"/>
          </w:tcPr>
          <w:p w14:paraId="08C474AD" w14:textId="6E5FCD61" w:rsidR="00B6012C" w:rsidRPr="008E2BC5" w:rsidRDefault="00F713F6">
            <w:pPr>
              <w:spacing w:before="60" w:after="60" w:line="276" w:lineRule="auto"/>
              <w:contextualSpacing/>
              <w:rPr>
                <w:rFonts w:cs="Arial"/>
                <w:b/>
                <w:sz w:val="20"/>
                <w:szCs w:val="20"/>
              </w:rPr>
            </w:pPr>
            <w:r>
              <w:rPr>
                <w:rFonts w:cs="Arial"/>
                <w:b/>
                <w:sz w:val="20"/>
                <w:szCs w:val="20"/>
              </w:rPr>
              <w:t>Condition</w:t>
            </w:r>
            <w:r w:rsidRPr="008E2BC5">
              <w:rPr>
                <w:rFonts w:cs="Arial"/>
                <w:b/>
                <w:sz w:val="20"/>
                <w:szCs w:val="20"/>
              </w:rPr>
              <w:t xml:space="preserve"> </w:t>
            </w:r>
            <w:r w:rsidR="00B6012C" w:rsidRPr="008E2BC5">
              <w:rPr>
                <w:rFonts w:cs="Arial"/>
                <w:b/>
                <w:sz w:val="20"/>
                <w:szCs w:val="20"/>
              </w:rPr>
              <w:t>1:</w:t>
            </w:r>
          </w:p>
          <w:p w14:paraId="35C08E69" w14:textId="77777777" w:rsidR="00CB4FF3" w:rsidRPr="008E2BC5" w:rsidRDefault="00CB4FF3">
            <w:pPr>
              <w:spacing w:before="60" w:after="60" w:line="276" w:lineRule="auto"/>
              <w:contextualSpacing/>
              <w:rPr>
                <w:rFonts w:cs="Arial"/>
                <w:b/>
                <w:sz w:val="20"/>
                <w:szCs w:val="20"/>
              </w:rPr>
            </w:pPr>
          </w:p>
          <w:p w14:paraId="4391DD70" w14:textId="77777777" w:rsidR="00CB4FF3" w:rsidRPr="008E2BC5" w:rsidRDefault="00CB4FF3">
            <w:pPr>
              <w:spacing w:before="60" w:after="60" w:line="276" w:lineRule="auto"/>
              <w:contextualSpacing/>
              <w:rPr>
                <w:rFonts w:cs="Arial"/>
                <w:sz w:val="20"/>
                <w:szCs w:val="20"/>
              </w:rPr>
            </w:pPr>
            <w:r w:rsidRPr="008E2BC5">
              <w:rPr>
                <w:rFonts w:cs="Arial"/>
                <w:sz w:val="20"/>
                <w:szCs w:val="20"/>
              </w:rPr>
              <w:t xml:space="preserve">Operation of the fishery will be carried out in accordance with the Tasmanian </w:t>
            </w:r>
            <w:r w:rsidRPr="008E2BC5">
              <w:rPr>
                <w:rFonts w:cs="Arial"/>
                <w:i/>
                <w:sz w:val="20"/>
                <w:szCs w:val="20"/>
              </w:rPr>
              <w:t>Fisheries (Giant Crab) Rules 2013</w:t>
            </w:r>
            <w:r w:rsidRPr="008E2BC5">
              <w:rPr>
                <w:rFonts w:cs="Arial"/>
                <w:sz w:val="20"/>
                <w:szCs w:val="20"/>
              </w:rPr>
              <w:t xml:space="preserve"> in force under the Tasmanian </w:t>
            </w:r>
            <w:r w:rsidRPr="008E2BC5">
              <w:rPr>
                <w:rFonts w:cs="Arial"/>
                <w:i/>
                <w:sz w:val="20"/>
                <w:szCs w:val="20"/>
              </w:rPr>
              <w:t>Living Marine Resources Management Act 1995</w:t>
            </w:r>
            <w:r w:rsidRPr="008E2BC5">
              <w:rPr>
                <w:rFonts w:cs="Arial"/>
                <w:sz w:val="20"/>
                <w:szCs w:val="20"/>
              </w:rPr>
              <w:t>.</w:t>
            </w:r>
          </w:p>
          <w:p w14:paraId="385E4396" w14:textId="77777777" w:rsidR="00CC77AB" w:rsidRPr="008E2BC5" w:rsidRDefault="00CC77AB">
            <w:pPr>
              <w:spacing w:before="60" w:after="60" w:line="276" w:lineRule="auto"/>
              <w:contextualSpacing/>
              <w:rPr>
                <w:rFonts w:cs="Arial"/>
                <w:color w:val="548DD4"/>
                <w:sz w:val="20"/>
                <w:szCs w:val="20"/>
              </w:rPr>
            </w:pPr>
          </w:p>
          <w:p w14:paraId="36A5B863" w14:textId="6ECB110D" w:rsidR="00CB4FF3" w:rsidRPr="008E2BC5" w:rsidRDefault="00F713F6">
            <w:pPr>
              <w:spacing w:before="60" w:after="60" w:line="276" w:lineRule="auto"/>
              <w:contextualSpacing/>
              <w:rPr>
                <w:rFonts w:cs="Arial"/>
                <w:sz w:val="20"/>
                <w:szCs w:val="20"/>
              </w:rPr>
            </w:pPr>
            <w:r>
              <w:rPr>
                <w:rFonts w:cs="Arial"/>
                <w:b/>
                <w:sz w:val="20"/>
                <w:szCs w:val="20"/>
              </w:rPr>
              <w:t>Condition</w:t>
            </w:r>
            <w:r w:rsidRPr="008E2BC5">
              <w:rPr>
                <w:rFonts w:cs="Arial"/>
                <w:b/>
                <w:sz w:val="20"/>
                <w:szCs w:val="20"/>
              </w:rPr>
              <w:t xml:space="preserve"> </w:t>
            </w:r>
            <w:r w:rsidR="00B6012C" w:rsidRPr="008E2BC5">
              <w:rPr>
                <w:rFonts w:cs="Arial"/>
                <w:b/>
                <w:sz w:val="20"/>
                <w:szCs w:val="20"/>
              </w:rPr>
              <w:t>2:</w:t>
            </w:r>
          </w:p>
          <w:p w14:paraId="6CEE9BC3" w14:textId="77777777" w:rsidR="00CB4FF3" w:rsidRPr="008E2BC5" w:rsidRDefault="00CB4FF3">
            <w:pPr>
              <w:spacing w:before="60" w:after="60" w:line="276" w:lineRule="auto"/>
              <w:contextualSpacing/>
              <w:rPr>
                <w:rFonts w:cs="Arial"/>
                <w:sz w:val="20"/>
                <w:szCs w:val="20"/>
              </w:rPr>
            </w:pPr>
          </w:p>
          <w:p w14:paraId="7B3B979C" w14:textId="5FCEBDF6" w:rsidR="00CB4FF3" w:rsidRPr="0072610E" w:rsidRDefault="00CB4FF3">
            <w:pPr>
              <w:spacing w:before="60" w:after="60" w:line="276" w:lineRule="auto"/>
              <w:contextualSpacing/>
              <w:rPr>
                <w:rFonts w:cs="Arial"/>
                <w:sz w:val="20"/>
                <w:szCs w:val="20"/>
              </w:rPr>
            </w:pPr>
            <w:r w:rsidRPr="0072610E">
              <w:rPr>
                <w:rFonts w:cs="Arial"/>
                <w:sz w:val="20"/>
                <w:szCs w:val="20"/>
              </w:rPr>
              <w:t xml:space="preserve">The Tasmanian </w:t>
            </w:r>
            <w:r w:rsidRPr="0072610E">
              <w:rPr>
                <w:rFonts w:cs="Arial"/>
                <w:bCs/>
                <w:sz w:val="20"/>
                <w:szCs w:val="20"/>
              </w:rPr>
              <w:t>Department of Primary Industries, Parks, Water and Environment</w:t>
            </w:r>
            <w:r w:rsidRPr="0072610E">
              <w:rPr>
                <w:rFonts w:cs="Arial"/>
                <w:sz w:val="20"/>
                <w:szCs w:val="20"/>
              </w:rPr>
              <w:t xml:space="preserve"> (DPIPWE) to inform the Department of any intended material changes to the Tasmanian Giant Crab Fishery (TGCF) management arrangements that may affect the assessment against which </w:t>
            </w:r>
            <w:r w:rsidRPr="0072610E">
              <w:rPr>
                <w:rFonts w:cs="Arial"/>
                <w:i/>
                <w:iCs/>
                <w:sz w:val="20"/>
                <w:szCs w:val="20"/>
              </w:rPr>
              <w:t>Environment Protection and Biodiversity Conservation Act 1999</w:t>
            </w:r>
            <w:r w:rsidRPr="0072610E">
              <w:rPr>
                <w:rFonts w:cs="Arial"/>
                <w:sz w:val="20"/>
                <w:szCs w:val="20"/>
              </w:rPr>
              <w:t xml:space="preserve"> decisions are made.</w:t>
            </w:r>
          </w:p>
          <w:p w14:paraId="0F4F9772" w14:textId="20BC0E64" w:rsidR="00B6012C" w:rsidRPr="008E2BC5" w:rsidRDefault="00B6012C">
            <w:pPr>
              <w:spacing w:before="60" w:after="60" w:line="276" w:lineRule="auto"/>
              <w:contextualSpacing/>
              <w:rPr>
                <w:rFonts w:cs="Arial"/>
                <w:b/>
                <w:color w:val="3366FF"/>
                <w:sz w:val="20"/>
                <w:szCs w:val="20"/>
              </w:rPr>
            </w:pPr>
          </w:p>
        </w:tc>
      </w:tr>
      <w:tr w:rsidR="00B6012C" w:rsidRPr="008E2BC5" w14:paraId="49297206" w14:textId="77777777" w:rsidTr="00ED0F91">
        <w:trPr>
          <w:jc w:val="center"/>
        </w:trPr>
        <w:tc>
          <w:tcPr>
            <w:tcW w:w="2500" w:type="pct"/>
          </w:tcPr>
          <w:p w14:paraId="52E84525" w14:textId="77777777" w:rsidR="00B6012C" w:rsidRPr="008201A1" w:rsidRDefault="00B6012C" w:rsidP="00F32842">
            <w:pPr>
              <w:spacing w:before="60" w:after="60" w:line="276" w:lineRule="auto"/>
              <w:contextualSpacing/>
              <w:rPr>
                <w:rFonts w:cs="Arial"/>
                <w:b/>
                <w:sz w:val="20"/>
                <w:szCs w:val="20"/>
              </w:rPr>
            </w:pPr>
            <w:r w:rsidRPr="00F32842">
              <w:rPr>
                <w:rFonts w:cs="Arial"/>
                <w:b/>
                <w:sz w:val="20"/>
                <w:szCs w:val="20"/>
                <w:u w:val="single"/>
              </w:rPr>
              <w:t>Annual Reporting</w:t>
            </w:r>
            <w:r w:rsidRPr="008201A1">
              <w:rPr>
                <w:rFonts w:cs="Arial"/>
                <w:b/>
                <w:sz w:val="20"/>
                <w:szCs w:val="20"/>
              </w:rPr>
              <w:t xml:space="preserve"> </w:t>
            </w:r>
          </w:p>
          <w:p w14:paraId="16E5B7CA" w14:textId="77777777" w:rsidR="00AA4C14" w:rsidRPr="008201A1" w:rsidRDefault="00AA4C14" w:rsidP="008201A1">
            <w:pPr>
              <w:spacing w:before="60" w:after="60" w:line="276" w:lineRule="auto"/>
              <w:contextualSpacing/>
              <w:rPr>
                <w:rFonts w:cs="Arial"/>
                <w:sz w:val="20"/>
                <w:szCs w:val="20"/>
              </w:rPr>
            </w:pPr>
          </w:p>
          <w:p w14:paraId="2E86D327" w14:textId="51943689" w:rsidR="00AA4C14" w:rsidRPr="008201A1" w:rsidRDefault="00AA4C14">
            <w:pPr>
              <w:spacing w:before="60" w:after="60" w:line="276" w:lineRule="auto"/>
              <w:contextualSpacing/>
              <w:rPr>
                <w:rFonts w:cs="Arial"/>
                <w:i/>
                <w:sz w:val="20"/>
                <w:szCs w:val="20"/>
              </w:rPr>
            </w:pPr>
            <w:r w:rsidRPr="008E2BC5">
              <w:rPr>
                <w:rFonts w:cs="Arial"/>
                <w:sz w:val="20"/>
                <w:szCs w:val="20"/>
              </w:rPr>
              <w:t>DPIPWE provided annual reports for 2015-16, 2016-17 and 2017-18. The annual report for 2018-19 has not been finalised yet and is expected to be provided to the Department early 2020.</w:t>
            </w:r>
            <w:r w:rsidRPr="008E2BC5">
              <w:rPr>
                <w:rFonts w:cs="Arial"/>
                <w:i/>
                <w:sz w:val="20"/>
                <w:szCs w:val="20"/>
              </w:rPr>
              <w:t xml:space="preserve"> </w:t>
            </w:r>
            <w:r w:rsidRPr="008E2BC5">
              <w:rPr>
                <w:rFonts w:cs="Arial"/>
                <w:sz w:val="20"/>
                <w:szCs w:val="20"/>
              </w:rPr>
              <w:t xml:space="preserve">It is important that reports be produced and presented to the Department annually in order for the performance of the fishery and progress in implementing the </w:t>
            </w:r>
            <w:r w:rsidR="00857067">
              <w:rPr>
                <w:rFonts w:cs="Arial"/>
                <w:sz w:val="20"/>
                <w:szCs w:val="20"/>
              </w:rPr>
              <w:t xml:space="preserve">conditions and </w:t>
            </w:r>
            <w:r w:rsidRPr="008E2BC5">
              <w:rPr>
                <w:rFonts w:cs="Arial"/>
                <w:sz w:val="20"/>
                <w:szCs w:val="20"/>
              </w:rPr>
              <w:t xml:space="preserve">recommendations in this report and other managerial commitments to be monitored and assessed throughout </w:t>
            </w:r>
            <w:r w:rsidRPr="008E2BC5">
              <w:rPr>
                <w:rFonts w:cs="Arial"/>
                <w:sz w:val="20"/>
                <w:szCs w:val="20"/>
              </w:rPr>
              <w:lastRenderedPageBreak/>
              <w:t xml:space="preserve">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recommendations identified in the previous assessment report. Electronic copies of the guidelines are available from the Department of the Environment and Energy’s website at </w:t>
            </w:r>
            <w:hyperlink r:id="rId27" w:history="1">
              <w:r w:rsidRPr="008201A1">
                <w:rPr>
                  <w:rStyle w:val="Hyperlink"/>
                  <w:rFonts w:cs="Arial"/>
                  <w:sz w:val="20"/>
                  <w:szCs w:val="20"/>
                </w:rPr>
                <w:t>http://www.environment.gov.au/resource/guidelines-ecologically-sustainable-management-fisheries</w:t>
              </w:r>
            </w:hyperlink>
            <w:r w:rsidRPr="00F32842">
              <w:rPr>
                <w:rFonts w:cs="Arial"/>
                <w:sz w:val="20"/>
                <w:szCs w:val="20"/>
              </w:rPr>
              <w:t>.</w:t>
            </w:r>
          </w:p>
          <w:p w14:paraId="33B178D4" w14:textId="3017F338" w:rsidR="00B6012C" w:rsidRPr="008E2BC5" w:rsidRDefault="00B6012C">
            <w:pPr>
              <w:spacing w:before="60" w:after="60" w:line="276" w:lineRule="auto"/>
              <w:contextualSpacing/>
              <w:rPr>
                <w:rFonts w:cs="Arial"/>
                <w:sz w:val="20"/>
                <w:szCs w:val="20"/>
                <w:highlight w:val="yellow"/>
              </w:rPr>
            </w:pPr>
          </w:p>
        </w:tc>
        <w:tc>
          <w:tcPr>
            <w:tcW w:w="2500" w:type="pct"/>
          </w:tcPr>
          <w:p w14:paraId="3A75356F" w14:textId="21DA7A18" w:rsidR="004E7333" w:rsidRPr="008E2BC5" w:rsidRDefault="00F713F6">
            <w:pPr>
              <w:spacing w:before="60" w:after="60" w:line="276" w:lineRule="auto"/>
              <w:contextualSpacing/>
              <w:rPr>
                <w:rFonts w:cs="Arial"/>
                <w:b/>
                <w:sz w:val="20"/>
                <w:szCs w:val="20"/>
              </w:rPr>
            </w:pPr>
            <w:r>
              <w:rPr>
                <w:rFonts w:cs="Arial"/>
                <w:b/>
                <w:bCs/>
                <w:sz w:val="20"/>
                <w:szCs w:val="20"/>
              </w:rPr>
              <w:lastRenderedPageBreak/>
              <w:t>Condition</w:t>
            </w:r>
            <w:r w:rsidRPr="008E2BC5">
              <w:rPr>
                <w:rFonts w:cs="Arial"/>
                <w:b/>
                <w:bCs/>
                <w:sz w:val="20"/>
                <w:szCs w:val="20"/>
              </w:rPr>
              <w:t xml:space="preserve"> </w:t>
            </w:r>
            <w:r w:rsidR="004E7333" w:rsidRPr="008E2BC5">
              <w:rPr>
                <w:rFonts w:cs="Arial"/>
                <w:b/>
                <w:bCs/>
                <w:sz w:val="20"/>
                <w:szCs w:val="20"/>
              </w:rPr>
              <w:t>3</w:t>
            </w:r>
            <w:r w:rsidR="004E7333" w:rsidRPr="008E2BC5">
              <w:rPr>
                <w:rFonts w:cs="Arial"/>
                <w:b/>
                <w:sz w:val="20"/>
                <w:szCs w:val="20"/>
              </w:rPr>
              <w:t>:</w:t>
            </w:r>
          </w:p>
          <w:p w14:paraId="5C8A6B75" w14:textId="77777777" w:rsidR="00B6012C" w:rsidRPr="008E2BC5" w:rsidRDefault="00B6012C">
            <w:pPr>
              <w:spacing w:before="60" w:after="60" w:line="276" w:lineRule="auto"/>
              <w:contextualSpacing/>
              <w:rPr>
                <w:rFonts w:cs="Arial"/>
                <w:sz w:val="20"/>
                <w:szCs w:val="20"/>
              </w:rPr>
            </w:pPr>
          </w:p>
          <w:p w14:paraId="4A8771E6" w14:textId="03C829AC" w:rsidR="00AF3899" w:rsidRPr="0072610E" w:rsidRDefault="001958AA">
            <w:pPr>
              <w:spacing w:before="60" w:after="60" w:line="276" w:lineRule="auto"/>
              <w:contextualSpacing/>
              <w:rPr>
                <w:rFonts w:cs="Arial"/>
                <w:i/>
                <w:iCs/>
                <w:sz w:val="20"/>
                <w:szCs w:val="20"/>
              </w:rPr>
            </w:pPr>
            <w:r w:rsidRPr="008E2BC5">
              <w:rPr>
                <w:rFonts w:cs="Arial"/>
                <w:iCs/>
                <w:sz w:val="20"/>
                <w:szCs w:val="20"/>
              </w:rPr>
              <w:t>DPIPWE to produce and present reports to the Department annually as per Appendix B of the ‘Guidelines for the Ecologically Sustainable Management of Fisheries - 2nd Edition’.</w:t>
            </w:r>
          </w:p>
        </w:tc>
      </w:tr>
      <w:tr w:rsidR="00702EB1" w:rsidRPr="008E2BC5" w14:paraId="61A5353C" w14:textId="77777777" w:rsidTr="00ED0F91">
        <w:trPr>
          <w:jc w:val="center"/>
        </w:trPr>
        <w:tc>
          <w:tcPr>
            <w:tcW w:w="2500" w:type="pct"/>
          </w:tcPr>
          <w:p w14:paraId="2B119AAB" w14:textId="373F49E7" w:rsidR="00702EB1" w:rsidRPr="008E2BC5" w:rsidRDefault="00702EB1" w:rsidP="00F32842">
            <w:pPr>
              <w:pageBreakBefore/>
              <w:spacing w:before="60" w:after="60" w:line="276" w:lineRule="auto"/>
              <w:contextualSpacing/>
              <w:rPr>
                <w:rFonts w:cs="Arial"/>
                <w:sz w:val="20"/>
                <w:szCs w:val="20"/>
              </w:rPr>
            </w:pPr>
            <w:r w:rsidRPr="00F32842">
              <w:rPr>
                <w:rFonts w:cs="Arial"/>
                <w:b/>
                <w:sz w:val="20"/>
                <w:szCs w:val="20"/>
                <w:u w:val="single"/>
              </w:rPr>
              <w:lastRenderedPageBreak/>
              <w:t>Data Col</w:t>
            </w:r>
            <w:r w:rsidRPr="008201A1">
              <w:rPr>
                <w:rFonts w:cs="Arial"/>
                <w:b/>
                <w:sz w:val="20"/>
                <w:szCs w:val="20"/>
                <w:u w:val="single"/>
              </w:rPr>
              <w:t>lection</w:t>
            </w:r>
          </w:p>
          <w:p w14:paraId="0DF1A451" w14:textId="77777777" w:rsidR="00F8318C" w:rsidRPr="008E2BC5" w:rsidRDefault="00F8318C" w:rsidP="008201A1">
            <w:pPr>
              <w:pageBreakBefore/>
              <w:spacing w:before="60" w:after="60" w:line="276" w:lineRule="auto"/>
              <w:contextualSpacing/>
              <w:rPr>
                <w:rFonts w:cs="Arial"/>
                <w:sz w:val="20"/>
                <w:szCs w:val="20"/>
              </w:rPr>
            </w:pPr>
          </w:p>
          <w:p w14:paraId="7C04AD1B" w14:textId="0A395ED8" w:rsidR="00F8318C" w:rsidRPr="008E2BC5" w:rsidRDefault="00F8318C">
            <w:pPr>
              <w:pageBreakBefore/>
              <w:spacing w:before="60" w:after="60" w:line="276" w:lineRule="auto"/>
              <w:contextualSpacing/>
              <w:rPr>
                <w:rFonts w:cs="Arial"/>
                <w:sz w:val="20"/>
                <w:szCs w:val="20"/>
              </w:rPr>
            </w:pPr>
            <w:r w:rsidRPr="008E2BC5">
              <w:rPr>
                <w:rFonts w:cs="Arial"/>
                <w:sz w:val="20"/>
                <w:szCs w:val="20"/>
              </w:rPr>
              <w:t xml:space="preserve">The Department notes that improved data collection remains a high priority for DPIPWE. Over the 2019 season DPIPWE continued to work with fishers to improve data collection in the fishery however, as with previous initiatives to improve data collection, progress has been limited due to the difficulty for fishers to record relevant data and measurements considering the inherent difficulties and time constraints in handling giant crabs. The </w:t>
            </w:r>
            <w:r w:rsidRPr="0072610E">
              <w:rPr>
                <w:rStyle w:val="Emphasis"/>
              </w:rPr>
              <w:t>Institute for Marine and Antarctic Studies (IMAS)</w:t>
            </w:r>
            <w:r w:rsidRPr="00F32842">
              <w:rPr>
                <w:rFonts w:cs="Arial"/>
                <w:sz w:val="20"/>
                <w:szCs w:val="20"/>
              </w:rPr>
              <w:t xml:space="preserve"> distribute</w:t>
            </w:r>
            <w:r w:rsidRPr="008201A1">
              <w:rPr>
                <w:rFonts w:cs="Arial"/>
                <w:sz w:val="20"/>
                <w:szCs w:val="20"/>
              </w:rPr>
              <w:t>d data collection kits to fishers and the Department will be expecting an update once IMAS has foll</w:t>
            </w:r>
            <w:r w:rsidRPr="008E2BC5">
              <w:rPr>
                <w:rFonts w:cs="Arial"/>
                <w:sz w:val="20"/>
                <w:szCs w:val="20"/>
              </w:rPr>
              <w:t>owed up with fishers.</w:t>
            </w:r>
          </w:p>
          <w:p w14:paraId="537E9F92" w14:textId="77777777" w:rsidR="00F8318C" w:rsidRPr="008E2BC5" w:rsidRDefault="00F8318C">
            <w:pPr>
              <w:spacing w:before="60" w:after="60" w:line="276" w:lineRule="auto"/>
              <w:contextualSpacing/>
              <w:rPr>
                <w:rFonts w:cs="Arial"/>
                <w:sz w:val="20"/>
                <w:szCs w:val="20"/>
              </w:rPr>
            </w:pPr>
          </w:p>
          <w:p w14:paraId="65C7FB09" w14:textId="3E37730E" w:rsidR="00702EB1" w:rsidRPr="008E2BC5" w:rsidRDefault="00F8318C">
            <w:pPr>
              <w:pageBreakBefore/>
              <w:spacing w:before="60" w:after="60" w:line="276" w:lineRule="auto"/>
              <w:contextualSpacing/>
              <w:rPr>
                <w:rFonts w:cs="Arial"/>
                <w:b/>
                <w:sz w:val="20"/>
                <w:szCs w:val="20"/>
                <w:u w:val="single"/>
              </w:rPr>
            </w:pPr>
            <w:r w:rsidRPr="008E2BC5">
              <w:rPr>
                <w:rFonts w:cs="Arial"/>
                <w:sz w:val="20"/>
                <w:szCs w:val="20"/>
              </w:rPr>
              <w:t>In its submission, DPPIWE informed the Department of the cross-jurisdictional Fisheries Research and Development Corporation (FRDC) project “</w:t>
            </w:r>
            <w:r w:rsidRPr="008E2BC5">
              <w:rPr>
                <w:rFonts w:cs="Arial"/>
                <w:i/>
                <w:sz w:val="20"/>
                <w:szCs w:val="20"/>
              </w:rPr>
              <w:t xml:space="preserve">Giant Crab Enhanced Data Collection” </w:t>
            </w:r>
            <w:r w:rsidRPr="008E2BC5">
              <w:rPr>
                <w:rFonts w:cs="Arial"/>
                <w:sz w:val="20"/>
                <w:szCs w:val="20"/>
              </w:rPr>
              <w:t>that is underway with the other two South Australian and Victorian and giant crab fisheries and IMAS scientists. Following its 2019 application submission, DPIPWE provided on request the finalised application of the expression of interest for the FRDC project 2019-114.</w:t>
            </w:r>
          </w:p>
        </w:tc>
        <w:tc>
          <w:tcPr>
            <w:tcW w:w="2500" w:type="pct"/>
          </w:tcPr>
          <w:p w14:paraId="41298907" w14:textId="2DD5E295" w:rsidR="002A1844" w:rsidRPr="008E2BC5" w:rsidRDefault="00702EB1">
            <w:pPr>
              <w:pageBreakBefore/>
              <w:spacing w:before="60" w:after="60" w:line="276" w:lineRule="auto"/>
              <w:contextualSpacing/>
              <w:rPr>
                <w:rFonts w:cs="Arial"/>
                <w:b/>
                <w:bCs/>
                <w:sz w:val="20"/>
                <w:szCs w:val="20"/>
              </w:rPr>
            </w:pPr>
            <w:r w:rsidRPr="008E2BC5">
              <w:rPr>
                <w:rFonts w:cs="Arial"/>
                <w:b/>
                <w:bCs/>
                <w:sz w:val="20"/>
                <w:szCs w:val="20"/>
              </w:rPr>
              <w:t xml:space="preserve">Recommendation </w:t>
            </w:r>
            <w:r w:rsidR="00D724FD">
              <w:rPr>
                <w:rFonts w:cs="Arial"/>
                <w:b/>
                <w:bCs/>
                <w:sz w:val="20"/>
                <w:szCs w:val="20"/>
              </w:rPr>
              <w:t>1</w:t>
            </w:r>
            <w:r w:rsidRPr="008E2BC5">
              <w:rPr>
                <w:rFonts w:cs="Arial"/>
                <w:b/>
                <w:bCs/>
                <w:sz w:val="20"/>
                <w:szCs w:val="20"/>
              </w:rPr>
              <w:t>:</w:t>
            </w:r>
          </w:p>
          <w:p w14:paraId="5AFAE6EC" w14:textId="77777777" w:rsidR="002A1844" w:rsidRPr="008E2BC5" w:rsidRDefault="002A1844">
            <w:pPr>
              <w:pageBreakBefore/>
              <w:spacing w:before="60" w:after="60" w:line="276" w:lineRule="auto"/>
              <w:contextualSpacing/>
              <w:rPr>
                <w:rFonts w:cs="Arial"/>
                <w:b/>
                <w:bCs/>
                <w:sz w:val="20"/>
                <w:szCs w:val="20"/>
              </w:rPr>
            </w:pPr>
          </w:p>
          <w:p w14:paraId="3AC79D6D" w14:textId="77777777" w:rsidR="00F8318C" w:rsidRPr="008E2BC5" w:rsidRDefault="00F8318C">
            <w:pPr>
              <w:pageBreakBefore/>
              <w:numPr>
                <w:ilvl w:val="0"/>
                <w:numId w:val="56"/>
              </w:numPr>
              <w:spacing w:before="60" w:after="60" w:line="276" w:lineRule="auto"/>
              <w:contextualSpacing/>
              <w:rPr>
                <w:rFonts w:cs="Arial"/>
                <w:bCs/>
                <w:sz w:val="20"/>
                <w:szCs w:val="20"/>
              </w:rPr>
            </w:pPr>
            <w:r w:rsidRPr="008E2BC5">
              <w:rPr>
                <w:rFonts w:cs="Arial"/>
                <w:bCs/>
                <w:sz w:val="20"/>
                <w:szCs w:val="20"/>
              </w:rPr>
              <w:t>DPIPWE to continue working with fishers to improve data collection in the fishery and to keep contributing to the development and implementation of the FRDC enhanced data collection project for the giant crab in south east Australia.</w:t>
            </w:r>
          </w:p>
          <w:p w14:paraId="16EF34D8" w14:textId="3D048BD2" w:rsidR="00F8318C" w:rsidRPr="008E2BC5" w:rsidRDefault="00F8318C" w:rsidP="0072610E">
            <w:pPr>
              <w:pageBreakBefore/>
              <w:spacing w:before="60" w:after="60" w:line="276" w:lineRule="auto"/>
              <w:ind w:left="369"/>
              <w:contextualSpacing/>
              <w:rPr>
                <w:rFonts w:cs="Arial"/>
                <w:bCs/>
                <w:sz w:val="20"/>
                <w:szCs w:val="20"/>
              </w:rPr>
            </w:pPr>
          </w:p>
          <w:p w14:paraId="16212A5C" w14:textId="3AE20B50" w:rsidR="00F8318C" w:rsidRPr="008E2BC5" w:rsidRDefault="00F8318C" w:rsidP="0072610E">
            <w:pPr>
              <w:pageBreakBefore/>
              <w:numPr>
                <w:ilvl w:val="0"/>
                <w:numId w:val="56"/>
              </w:numPr>
              <w:spacing w:before="60" w:after="60" w:line="276" w:lineRule="auto"/>
              <w:contextualSpacing/>
              <w:rPr>
                <w:rFonts w:cs="Arial"/>
                <w:bCs/>
                <w:sz w:val="20"/>
                <w:szCs w:val="20"/>
              </w:rPr>
            </w:pPr>
            <w:r w:rsidRPr="008E2BC5">
              <w:rPr>
                <w:rFonts w:cs="Arial"/>
                <w:bCs/>
                <w:sz w:val="20"/>
                <w:szCs w:val="20"/>
              </w:rPr>
              <w:t xml:space="preserve">DPIPWE to provide the Department with regular updates on the progress of: </w:t>
            </w:r>
          </w:p>
          <w:p w14:paraId="34B704F5" w14:textId="77777777" w:rsidR="00F8318C" w:rsidRPr="008E2BC5" w:rsidRDefault="00F8318C" w:rsidP="0072610E">
            <w:pPr>
              <w:pageBreakBefore/>
              <w:numPr>
                <w:ilvl w:val="0"/>
                <w:numId w:val="57"/>
              </w:numPr>
              <w:spacing w:before="60" w:after="60" w:line="276" w:lineRule="auto"/>
              <w:contextualSpacing/>
              <w:rPr>
                <w:rFonts w:cs="Arial"/>
                <w:bCs/>
                <w:sz w:val="20"/>
                <w:szCs w:val="20"/>
              </w:rPr>
            </w:pPr>
            <w:r w:rsidRPr="008E2BC5">
              <w:rPr>
                <w:rFonts w:cs="Arial"/>
                <w:bCs/>
                <w:sz w:val="20"/>
                <w:szCs w:val="20"/>
              </w:rPr>
              <w:t xml:space="preserve">data collection with fishers; </w:t>
            </w:r>
          </w:p>
          <w:p w14:paraId="43F679A3" w14:textId="38254115" w:rsidR="00702EB1" w:rsidRPr="0072610E" w:rsidRDefault="00F8318C" w:rsidP="0072610E">
            <w:pPr>
              <w:pageBreakBefore/>
              <w:numPr>
                <w:ilvl w:val="0"/>
                <w:numId w:val="57"/>
              </w:numPr>
              <w:spacing w:before="60" w:after="60" w:line="276" w:lineRule="auto"/>
              <w:contextualSpacing/>
              <w:rPr>
                <w:rFonts w:cs="Arial"/>
                <w:bCs/>
                <w:sz w:val="20"/>
                <w:szCs w:val="20"/>
              </w:rPr>
            </w:pPr>
            <w:proofErr w:type="gramStart"/>
            <w:r w:rsidRPr="008E2BC5">
              <w:rPr>
                <w:rFonts w:cs="Arial"/>
                <w:bCs/>
                <w:sz w:val="20"/>
                <w:szCs w:val="20"/>
              </w:rPr>
              <w:t>the</w:t>
            </w:r>
            <w:proofErr w:type="gramEnd"/>
            <w:r w:rsidRPr="008E2BC5">
              <w:rPr>
                <w:rFonts w:cs="Arial"/>
                <w:bCs/>
                <w:sz w:val="20"/>
                <w:szCs w:val="20"/>
              </w:rPr>
              <w:t xml:space="preserve"> development and outcomes from the cross-jurisdictional project via annual </w:t>
            </w:r>
            <w:r w:rsidR="00857067">
              <w:rPr>
                <w:rFonts w:cs="Arial"/>
                <w:bCs/>
                <w:sz w:val="20"/>
                <w:szCs w:val="20"/>
              </w:rPr>
              <w:t>reporting (as per Condition</w:t>
            </w:r>
            <w:r w:rsidRPr="008E2BC5">
              <w:rPr>
                <w:rFonts w:cs="Arial"/>
                <w:bCs/>
                <w:sz w:val="20"/>
                <w:szCs w:val="20"/>
              </w:rPr>
              <w:t xml:space="preserve"> 3).</w:t>
            </w:r>
          </w:p>
        </w:tc>
      </w:tr>
      <w:tr w:rsidR="00922BD0" w:rsidRPr="008E2BC5" w14:paraId="02E4201E" w14:textId="77777777" w:rsidTr="00ED0F91">
        <w:trPr>
          <w:jc w:val="center"/>
        </w:trPr>
        <w:tc>
          <w:tcPr>
            <w:tcW w:w="2500" w:type="pct"/>
          </w:tcPr>
          <w:p w14:paraId="55A219C1" w14:textId="77777777" w:rsidR="00702EB1" w:rsidRPr="008201A1" w:rsidRDefault="00702EB1" w:rsidP="00F32842">
            <w:pPr>
              <w:spacing w:before="60" w:after="60" w:line="276" w:lineRule="auto"/>
              <w:contextualSpacing/>
              <w:rPr>
                <w:rFonts w:cs="Arial"/>
                <w:sz w:val="20"/>
                <w:szCs w:val="20"/>
              </w:rPr>
            </w:pPr>
            <w:r w:rsidRPr="00F32842">
              <w:rPr>
                <w:rFonts w:cs="Arial"/>
                <w:b/>
                <w:sz w:val="20"/>
                <w:szCs w:val="20"/>
                <w:u w:val="single"/>
              </w:rPr>
              <w:t>Harvest Strategy</w:t>
            </w:r>
          </w:p>
          <w:p w14:paraId="52BBF1A9" w14:textId="77777777" w:rsidR="002A1844" w:rsidRPr="008E2BC5" w:rsidRDefault="002A1844" w:rsidP="008201A1">
            <w:pPr>
              <w:spacing w:before="60" w:after="60" w:line="276" w:lineRule="auto"/>
              <w:contextualSpacing/>
              <w:rPr>
                <w:rFonts w:cs="Arial"/>
                <w:sz w:val="20"/>
                <w:szCs w:val="20"/>
              </w:rPr>
            </w:pPr>
          </w:p>
          <w:p w14:paraId="77CB338B" w14:textId="77777777" w:rsidR="002A1844" w:rsidRPr="008E2BC5" w:rsidRDefault="002A1844">
            <w:pPr>
              <w:spacing w:before="60" w:after="60" w:line="276" w:lineRule="auto"/>
              <w:contextualSpacing/>
              <w:rPr>
                <w:rFonts w:cs="Arial"/>
                <w:sz w:val="20"/>
                <w:szCs w:val="20"/>
              </w:rPr>
            </w:pPr>
            <w:r w:rsidRPr="008E2BC5">
              <w:rPr>
                <w:rFonts w:cs="Arial"/>
                <w:sz w:val="20"/>
                <w:szCs w:val="20"/>
              </w:rPr>
              <w:t>In its 2019 submission to the Department, DPIPWE advised that the draft harvest strategy presented in the 2014 fishery assessment had not progressed due to: the lack of giant crab data and biomass estimates required to run a stock assessment model; and the contraction of spatial coverage of catch and effort data since the reduction in the Tasmanian giant crab fleet influenced by significant reductions in total allowable catch (TAC) over time.</w:t>
            </w:r>
          </w:p>
          <w:p w14:paraId="4985461E" w14:textId="77777777" w:rsidR="002A1844" w:rsidRPr="008E2BC5" w:rsidRDefault="002A1844">
            <w:pPr>
              <w:spacing w:before="60" w:after="60" w:line="276" w:lineRule="auto"/>
              <w:contextualSpacing/>
              <w:rPr>
                <w:rFonts w:cs="Arial"/>
                <w:sz w:val="20"/>
                <w:szCs w:val="20"/>
              </w:rPr>
            </w:pPr>
          </w:p>
          <w:p w14:paraId="26D2B613" w14:textId="77777777" w:rsidR="002A1844" w:rsidRPr="008E2BC5" w:rsidRDefault="002A1844">
            <w:pPr>
              <w:spacing w:before="60" w:after="60" w:line="276" w:lineRule="auto"/>
              <w:contextualSpacing/>
              <w:rPr>
                <w:rFonts w:cs="Arial"/>
                <w:sz w:val="20"/>
                <w:szCs w:val="20"/>
              </w:rPr>
            </w:pPr>
            <w:r w:rsidRPr="008E2BC5">
              <w:rPr>
                <w:rFonts w:cs="Arial"/>
                <w:sz w:val="20"/>
                <w:szCs w:val="20"/>
              </w:rPr>
              <w:t>The Department notes that the Tasmanian Giant Crab fishery has taken an alternative approach to respond to declining giant crab catch rates by reducing TAC to reverse the declining catch rate trends. DPIPWE is yet to see the response of the giant crab catch rate to reduced annual TAC and advised that IMAS will be providing an update of the fishery catch rate data from the 2018-19 quota year towards the end of 2019.</w:t>
            </w:r>
          </w:p>
          <w:p w14:paraId="6A5879F8" w14:textId="17B2E788" w:rsidR="00922BD0" w:rsidRPr="008E2BC5" w:rsidRDefault="00922BD0" w:rsidP="00F32842">
            <w:pPr>
              <w:spacing w:before="60" w:after="60" w:line="276" w:lineRule="auto"/>
              <w:contextualSpacing/>
              <w:rPr>
                <w:rFonts w:cs="Arial"/>
                <w:sz w:val="20"/>
                <w:szCs w:val="20"/>
              </w:rPr>
            </w:pPr>
          </w:p>
        </w:tc>
        <w:tc>
          <w:tcPr>
            <w:tcW w:w="2500" w:type="pct"/>
          </w:tcPr>
          <w:p w14:paraId="0FB303DD" w14:textId="317361E5" w:rsidR="002A1844" w:rsidRPr="008E2BC5" w:rsidRDefault="00702EB1" w:rsidP="0072610E">
            <w:pPr>
              <w:spacing w:before="60" w:after="0" w:line="276" w:lineRule="auto"/>
              <w:contextualSpacing/>
              <w:rPr>
                <w:rFonts w:cs="Arial"/>
                <w:b/>
                <w:bCs/>
                <w:sz w:val="20"/>
                <w:szCs w:val="20"/>
              </w:rPr>
            </w:pPr>
            <w:r w:rsidRPr="008E2BC5">
              <w:rPr>
                <w:rFonts w:cs="Arial"/>
                <w:b/>
                <w:bCs/>
                <w:sz w:val="20"/>
                <w:szCs w:val="20"/>
              </w:rPr>
              <w:t xml:space="preserve">Recommendation </w:t>
            </w:r>
            <w:r w:rsidR="00D724FD">
              <w:rPr>
                <w:rFonts w:cs="Arial"/>
                <w:b/>
                <w:bCs/>
                <w:sz w:val="20"/>
                <w:szCs w:val="20"/>
              </w:rPr>
              <w:t>2</w:t>
            </w:r>
            <w:r w:rsidRPr="008E2BC5">
              <w:rPr>
                <w:rFonts w:cs="Arial"/>
                <w:b/>
                <w:bCs/>
                <w:sz w:val="20"/>
                <w:szCs w:val="20"/>
              </w:rPr>
              <w:t>:</w:t>
            </w:r>
          </w:p>
          <w:p w14:paraId="2693799B" w14:textId="03A1FE32" w:rsidR="002A1844" w:rsidRPr="008E2BC5" w:rsidRDefault="002A1844" w:rsidP="00F32842">
            <w:pPr>
              <w:spacing w:before="60" w:after="60" w:line="276" w:lineRule="auto"/>
              <w:contextualSpacing/>
              <w:rPr>
                <w:rFonts w:cs="Arial"/>
                <w:b/>
                <w:bCs/>
                <w:sz w:val="20"/>
                <w:szCs w:val="20"/>
              </w:rPr>
            </w:pPr>
          </w:p>
          <w:p w14:paraId="492771BF" w14:textId="77777777" w:rsidR="002A1844" w:rsidRPr="00F32842" w:rsidRDefault="002A1844" w:rsidP="0072610E">
            <w:pPr>
              <w:pStyle w:val="ListParagraph"/>
              <w:numPr>
                <w:ilvl w:val="0"/>
                <w:numId w:val="59"/>
              </w:numPr>
              <w:spacing w:before="60" w:after="60" w:line="276" w:lineRule="auto"/>
              <w:ind w:left="357" w:hanging="357"/>
              <w:contextualSpacing/>
              <w:rPr>
                <w:rFonts w:cs="Arial"/>
                <w:bCs/>
                <w:sz w:val="20"/>
                <w:szCs w:val="20"/>
              </w:rPr>
            </w:pPr>
            <w:r w:rsidRPr="0072610E">
              <w:rPr>
                <w:rFonts w:cs="Arial"/>
                <w:bCs/>
                <w:sz w:val="20"/>
                <w:szCs w:val="20"/>
              </w:rPr>
              <w:t xml:space="preserve">DPIPWE to provide the IMAS report on the analysis of the fishery catch rate data for the 2018-19 quota year to the Department, and to take the appropriate management response measures to reported trends of giant crab rates accordingly to IMAS assessment report. DPIPWE to provide the scientific fishery assessment report for the TGCF every couple of years. </w:t>
            </w:r>
          </w:p>
          <w:p w14:paraId="38C9AE01" w14:textId="77777777" w:rsidR="0066578E" w:rsidRPr="008201A1" w:rsidRDefault="0066578E" w:rsidP="0072610E">
            <w:pPr>
              <w:pStyle w:val="ListParagraph"/>
              <w:numPr>
                <w:ilvl w:val="0"/>
                <w:numId w:val="0"/>
              </w:numPr>
              <w:spacing w:before="60" w:after="60" w:line="276" w:lineRule="auto"/>
              <w:ind w:left="357"/>
              <w:contextualSpacing/>
              <w:rPr>
                <w:rFonts w:cs="Arial"/>
                <w:bCs/>
                <w:sz w:val="20"/>
                <w:szCs w:val="20"/>
              </w:rPr>
            </w:pPr>
          </w:p>
          <w:p w14:paraId="5F4C0837" w14:textId="7D5106E9" w:rsidR="00E21F4A" w:rsidRPr="0072610E" w:rsidRDefault="002A1844" w:rsidP="0072610E">
            <w:pPr>
              <w:pStyle w:val="ListParagraph"/>
              <w:numPr>
                <w:ilvl w:val="0"/>
                <w:numId w:val="59"/>
              </w:numPr>
              <w:spacing w:before="60" w:after="60" w:line="276" w:lineRule="auto"/>
              <w:ind w:left="357" w:hanging="357"/>
              <w:contextualSpacing/>
              <w:rPr>
                <w:rFonts w:cs="Arial"/>
                <w:sz w:val="20"/>
                <w:szCs w:val="20"/>
              </w:rPr>
            </w:pPr>
            <w:r w:rsidRPr="0072610E">
              <w:rPr>
                <w:rFonts w:cs="Arial"/>
                <w:bCs/>
                <w:sz w:val="20"/>
                <w:szCs w:val="20"/>
              </w:rPr>
              <w:t xml:space="preserve">DPIPWE to </w:t>
            </w:r>
            <w:r w:rsidR="00CE5261" w:rsidRPr="00F32842">
              <w:rPr>
                <w:rFonts w:cs="Arial"/>
                <w:bCs/>
                <w:sz w:val="20"/>
                <w:szCs w:val="20"/>
              </w:rPr>
              <w:t>assess</w:t>
            </w:r>
            <w:r w:rsidRPr="0072610E">
              <w:rPr>
                <w:rFonts w:cs="Arial"/>
                <w:bCs/>
                <w:sz w:val="20"/>
                <w:szCs w:val="20"/>
              </w:rPr>
              <w:t xml:space="preserve"> alternative assessment methods to determine biomass estimates to assist scientific research to develop a new giant crab stock assessment model that will be used to draft and finalise a harvest strategy for the TGCF.</w:t>
            </w:r>
          </w:p>
        </w:tc>
      </w:tr>
      <w:tr w:rsidR="00DA693C" w:rsidRPr="008E2BC5" w14:paraId="21E6B88C" w14:textId="77777777" w:rsidTr="00ED0F91">
        <w:trPr>
          <w:jc w:val="center"/>
        </w:trPr>
        <w:tc>
          <w:tcPr>
            <w:tcW w:w="2500" w:type="pct"/>
          </w:tcPr>
          <w:p w14:paraId="15600D4A" w14:textId="77777777" w:rsidR="00DA693C" w:rsidRPr="008E2BC5" w:rsidRDefault="00DA693C" w:rsidP="00F32842">
            <w:pPr>
              <w:pageBreakBefore/>
              <w:spacing w:before="60" w:after="60" w:line="276" w:lineRule="auto"/>
              <w:contextualSpacing/>
              <w:rPr>
                <w:rFonts w:cs="Arial"/>
                <w:sz w:val="20"/>
                <w:szCs w:val="20"/>
              </w:rPr>
            </w:pPr>
            <w:r w:rsidRPr="00F32842">
              <w:rPr>
                <w:rFonts w:cs="Arial"/>
                <w:b/>
                <w:sz w:val="20"/>
                <w:szCs w:val="20"/>
                <w:u w:val="single"/>
              </w:rPr>
              <w:lastRenderedPageBreak/>
              <w:t>Cross-jurisdictional</w:t>
            </w:r>
            <w:r w:rsidRPr="008201A1">
              <w:rPr>
                <w:rFonts w:cs="Arial"/>
                <w:b/>
                <w:sz w:val="20"/>
                <w:szCs w:val="20"/>
                <w:u w:val="single"/>
              </w:rPr>
              <w:t xml:space="preserve"> management</w:t>
            </w:r>
          </w:p>
          <w:p w14:paraId="0C84F2D6" w14:textId="77777777" w:rsidR="009E1EA9" w:rsidRPr="008E2BC5" w:rsidRDefault="009E1EA9" w:rsidP="008201A1">
            <w:pPr>
              <w:pageBreakBefore/>
              <w:spacing w:before="60" w:after="60" w:line="276" w:lineRule="auto"/>
              <w:contextualSpacing/>
              <w:rPr>
                <w:rFonts w:cs="Arial"/>
                <w:sz w:val="20"/>
                <w:szCs w:val="20"/>
              </w:rPr>
            </w:pPr>
          </w:p>
          <w:p w14:paraId="6EC8C7A4" w14:textId="77777777" w:rsidR="009E1EA9" w:rsidRPr="008E2BC5" w:rsidRDefault="009E1EA9">
            <w:pPr>
              <w:pageBreakBefore/>
              <w:spacing w:before="60" w:after="60" w:line="276" w:lineRule="auto"/>
              <w:contextualSpacing/>
              <w:rPr>
                <w:rFonts w:cs="Arial"/>
                <w:sz w:val="20"/>
                <w:szCs w:val="20"/>
              </w:rPr>
            </w:pPr>
            <w:r w:rsidRPr="008E2BC5">
              <w:rPr>
                <w:rFonts w:cs="Arial"/>
                <w:sz w:val="20"/>
                <w:szCs w:val="20"/>
              </w:rPr>
              <w:t xml:space="preserve">The Department notes the collaborative work undertaken between DPIPWE and the Australian Fisheries Management Authority (AFMA) to investigate the impacts of bottom trawling on the Tasmanian giant crab stock and the TGCF. DPIPWE shared with the Department the outcomes from the research undertaken by IMAS on </w:t>
            </w:r>
            <w:hyperlink r:id="rId28" w:history="1">
              <w:r w:rsidRPr="008201A1">
                <w:rPr>
                  <w:rStyle w:val="Hyperlink"/>
                  <w:rFonts w:cs="Arial"/>
                  <w:sz w:val="20"/>
                  <w:szCs w:val="20"/>
                </w:rPr>
                <w:t>the interactions between the TGCF and the south east benthic trawl fisheries</w:t>
              </w:r>
            </w:hyperlink>
            <w:r w:rsidRPr="00F32842">
              <w:rPr>
                <w:rFonts w:cs="Arial"/>
                <w:sz w:val="20"/>
                <w:szCs w:val="20"/>
              </w:rPr>
              <w:t>. The research report showed the high potential for interactions between fishing gear and that trawl effort tended to be concentrated in grounds used for giant crab fishing and on bryozoan habitat. The report also demonstrated that voluntary exclusio</w:t>
            </w:r>
            <w:r w:rsidRPr="008201A1">
              <w:rPr>
                <w:rFonts w:cs="Arial"/>
                <w:sz w:val="20"/>
                <w:szCs w:val="20"/>
              </w:rPr>
              <w:t>n zones were not adhered to by the trawl sector of the overlapping Commonwealth Southern and Easter</w:t>
            </w:r>
            <w:r w:rsidRPr="008E2BC5">
              <w:rPr>
                <w:rFonts w:cs="Arial"/>
                <w:sz w:val="20"/>
                <w:szCs w:val="20"/>
              </w:rPr>
              <w:t xml:space="preserve">n </w:t>
            </w:r>
            <w:proofErr w:type="spellStart"/>
            <w:r w:rsidRPr="008E2BC5">
              <w:rPr>
                <w:rFonts w:cs="Arial"/>
                <w:sz w:val="20"/>
                <w:szCs w:val="20"/>
              </w:rPr>
              <w:t>Scalefish</w:t>
            </w:r>
            <w:proofErr w:type="spellEnd"/>
            <w:r w:rsidRPr="008E2BC5">
              <w:rPr>
                <w:rFonts w:cs="Arial"/>
                <w:sz w:val="20"/>
                <w:szCs w:val="20"/>
              </w:rPr>
              <w:t xml:space="preserve"> and Shark Fishery (SESSF). This recent IMAS study seems to concur with past research on the impact of bottom trawling on giant crab habitat around Tasmania and suggests that further detailed analysis is required of waters adjacent to Tasmania. The Department notes that DPIPWE is seeking a coordinated and targeted management response limiting bottom trawl activities by deploying appropriate spatial management arrangements around Tasmania to mitigate potential damage to the TGCF and the bryozoan habitat. The Department also notes that the mortality of non-retained crabs coming in contact with trawl gear is unknown; has not been addressed in any research; and represents an important research need for the TGCF due to the impact such contact could have on the ability of giant crab stock to recover. </w:t>
            </w:r>
          </w:p>
          <w:p w14:paraId="148A5DCF" w14:textId="460169BD" w:rsidR="00DA693C" w:rsidRPr="008E2BC5" w:rsidRDefault="00DA693C">
            <w:pPr>
              <w:pageBreakBefore/>
              <w:spacing w:before="60" w:after="60" w:line="276" w:lineRule="auto"/>
              <w:contextualSpacing/>
              <w:rPr>
                <w:rFonts w:cs="Arial"/>
                <w:sz w:val="20"/>
                <w:szCs w:val="20"/>
              </w:rPr>
            </w:pPr>
          </w:p>
        </w:tc>
        <w:tc>
          <w:tcPr>
            <w:tcW w:w="2500" w:type="pct"/>
          </w:tcPr>
          <w:p w14:paraId="4C5CA788" w14:textId="4BBBE902" w:rsidR="009E1EA9" w:rsidRDefault="001A4BDE">
            <w:pPr>
              <w:pageBreakBefore/>
              <w:spacing w:before="60" w:after="60" w:line="276" w:lineRule="auto"/>
              <w:contextualSpacing/>
              <w:rPr>
                <w:rFonts w:cs="Arial"/>
                <w:b/>
                <w:sz w:val="20"/>
                <w:szCs w:val="20"/>
              </w:rPr>
            </w:pPr>
            <w:r w:rsidRPr="008E2BC5">
              <w:rPr>
                <w:rFonts w:cs="Arial"/>
                <w:b/>
                <w:sz w:val="20"/>
                <w:szCs w:val="20"/>
              </w:rPr>
              <w:t xml:space="preserve">Recommendation </w:t>
            </w:r>
            <w:r w:rsidR="00D724FD">
              <w:rPr>
                <w:rFonts w:cs="Arial"/>
                <w:b/>
                <w:sz w:val="20"/>
                <w:szCs w:val="20"/>
              </w:rPr>
              <w:t>3</w:t>
            </w:r>
            <w:r w:rsidRPr="008E2BC5">
              <w:rPr>
                <w:rFonts w:cs="Arial"/>
                <w:b/>
                <w:sz w:val="20"/>
                <w:szCs w:val="20"/>
              </w:rPr>
              <w:t>:</w:t>
            </w:r>
          </w:p>
          <w:p w14:paraId="2A47A2AE" w14:textId="77777777" w:rsidR="004D6958" w:rsidRPr="008E2BC5" w:rsidRDefault="004D6958">
            <w:pPr>
              <w:pageBreakBefore/>
              <w:spacing w:before="60" w:after="60" w:line="276" w:lineRule="auto"/>
              <w:contextualSpacing/>
              <w:rPr>
                <w:rFonts w:cs="Arial"/>
                <w:b/>
                <w:sz w:val="20"/>
                <w:szCs w:val="20"/>
              </w:rPr>
            </w:pPr>
          </w:p>
          <w:p w14:paraId="1993DA56" w14:textId="77777777" w:rsidR="009E1EA9" w:rsidRPr="0072610E" w:rsidRDefault="009E1EA9">
            <w:pPr>
              <w:pageBreakBefore/>
              <w:spacing w:before="60" w:after="60" w:line="276" w:lineRule="auto"/>
              <w:contextualSpacing/>
              <w:rPr>
                <w:rFonts w:cs="Arial"/>
                <w:sz w:val="20"/>
                <w:szCs w:val="20"/>
              </w:rPr>
            </w:pPr>
            <w:r w:rsidRPr="0072610E">
              <w:rPr>
                <w:rFonts w:cs="Arial"/>
                <w:sz w:val="20"/>
                <w:szCs w:val="20"/>
              </w:rPr>
              <w:t xml:space="preserve">DPIPWE to continue collaborative work with AFMA in relation to: </w:t>
            </w:r>
          </w:p>
          <w:p w14:paraId="582BC51F" w14:textId="77777777" w:rsidR="009E1EA9" w:rsidRPr="0072610E" w:rsidRDefault="009E1EA9">
            <w:pPr>
              <w:pageBreakBefore/>
              <w:spacing w:before="60" w:after="60" w:line="276" w:lineRule="auto"/>
              <w:contextualSpacing/>
              <w:rPr>
                <w:rFonts w:cs="Arial"/>
                <w:sz w:val="20"/>
                <w:szCs w:val="20"/>
              </w:rPr>
            </w:pPr>
          </w:p>
          <w:p w14:paraId="68BBF62D" w14:textId="77777777" w:rsidR="009E1EA9" w:rsidRPr="00F32842" w:rsidRDefault="009E1EA9" w:rsidP="0072610E">
            <w:pPr>
              <w:pageBreakBefore/>
              <w:numPr>
                <w:ilvl w:val="0"/>
                <w:numId w:val="60"/>
              </w:numPr>
              <w:spacing w:before="60" w:after="60" w:line="276" w:lineRule="auto"/>
              <w:contextualSpacing/>
              <w:rPr>
                <w:rFonts w:cs="Arial"/>
                <w:sz w:val="20"/>
                <w:szCs w:val="20"/>
              </w:rPr>
            </w:pPr>
            <w:r w:rsidRPr="0072610E">
              <w:rPr>
                <w:rFonts w:cs="Arial"/>
                <w:sz w:val="20"/>
                <w:szCs w:val="20"/>
              </w:rPr>
              <w:t xml:space="preserve">developing coordinated management responses to the potential impact of trawl activities on the TGCF; </w:t>
            </w:r>
          </w:p>
          <w:p w14:paraId="18C282A4" w14:textId="77777777" w:rsidR="009E1EA9" w:rsidRPr="008201A1" w:rsidRDefault="009E1EA9" w:rsidP="0072610E">
            <w:pPr>
              <w:pageBreakBefore/>
              <w:spacing w:before="60" w:after="60" w:line="276" w:lineRule="auto"/>
              <w:ind w:left="720"/>
              <w:contextualSpacing/>
              <w:rPr>
                <w:rFonts w:cs="Arial"/>
                <w:sz w:val="20"/>
                <w:szCs w:val="20"/>
              </w:rPr>
            </w:pPr>
          </w:p>
          <w:p w14:paraId="1B3D8367" w14:textId="73713E54" w:rsidR="00DA693C" w:rsidRPr="0072610E" w:rsidRDefault="009E1EA9" w:rsidP="0072610E">
            <w:pPr>
              <w:pageBreakBefore/>
              <w:numPr>
                <w:ilvl w:val="0"/>
                <w:numId w:val="60"/>
              </w:numPr>
              <w:spacing w:before="60" w:after="60" w:line="276" w:lineRule="auto"/>
              <w:contextualSpacing/>
              <w:rPr>
                <w:rFonts w:cs="Arial"/>
                <w:sz w:val="20"/>
                <w:szCs w:val="20"/>
              </w:rPr>
            </w:pPr>
            <w:proofErr w:type="gramStart"/>
            <w:r w:rsidRPr="0072610E">
              <w:rPr>
                <w:rFonts w:cs="Arial"/>
                <w:sz w:val="20"/>
                <w:szCs w:val="20"/>
              </w:rPr>
              <w:t>investigating</w:t>
            </w:r>
            <w:proofErr w:type="gramEnd"/>
            <w:r w:rsidRPr="0072610E">
              <w:rPr>
                <w:rFonts w:cs="Arial"/>
                <w:sz w:val="20"/>
                <w:szCs w:val="20"/>
              </w:rPr>
              <w:t xml:space="preserve"> further waters adjacent to Tasmania to progress with the fisheries interaction issue.</w:t>
            </w:r>
          </w:p>
        </w:tc>
      </w:tr>
    </w:tbl>
    <w:p w14:paraId="4AAFF166" w14:textId="77777777" w:rsidR="00A23801" w:rsidRPr="00A23801" w:rsidRDefault="00A23801" w:rsidP="0072610E">
      <w:pPr>
        <w:spacing w:line="276" w:lineRule="auto"/>
        <w:sectPr w:rsidR="00A23801" w:rsidRPr="00A23801" w:rsidSect="001955CD">
          <w:pgSz w:w="16838" w:h="11906" w:orient="landscape"/>
          <w:pgMar w:top="1021" w:right="1021" w:bottom="1021" w:left="1021" w:header="709" w:footer="709" w:gutter="0"/>
          <w:cols w:space="708"/>
          <w:docGrid w:linePitch="360"/>
        </w:sectPr>
      </w:pPr>
    </w:p>
    <w:p w14:paraId="3FD16CD5" w14:textId="77777777" w:rsidR="00B6012C" w:rsidRPr="0072610E" w:rsidRDefault="00B6012C" w:rsidP="006E4EA3">
      <w:pPr>
        <w:pStyle w:val="Heading1"/>
        <w:rPr>
          <w:rFonts w:ascii="Arial" w:hAnsi="Arial"/>
          <w:szCs w:val="24"/>
        </w:rPr>
      </w:pPr>
      <w:bookmarkStart w:id="16" w:name="_Toc316301053"/>
      <w:bookmarkStart w:id="17" w:name="_Toc25824112"/>
      <w:r w:rsidRPr="0072610E">
        <w:rPr>
          <w:rFonts w:ascii="Arial" w:hAnsi="Arial"/>
          <w:szCs w:val="24"/>
        </w:rPr>
        <w:lastRenderedPageBreak/>
        <w:t>References</w:t>
      </w:r>
      <w:bookmarkEnd w:id="16"/>
      <w:bookmarkEnd w:id="17"/>
    </w:p>
    <w:p w14:paraId="6F248018" w14:textId="0B2B07F2" w:rsidR="00ED2FF7" w:rsidRDefault="00F5750E" w:rsidP="008A3989">
      <w:r>
        <w:t>Commonwealth of Australia</w:t>
      </w:r>
      <w:r w:rsidR="00B6012C" w:rsidRPr="0072610E">
        <w:t xml:space="preserve"> 201</w:t>
      </w:r>
      <w:r>
        <w:t>5</w:t>
      </w:r>
      <w:r w:rsidR="00C530F4">
        <w:t>,</w:t>
      </w:r>
      <w:r w:rsidR="00B6012C" w:rsidRPr="0072610E">
        <w:t xml:space="preserve"> </w:t>
      </w:r>
      <w:r>
        <w:rPr>
          <w:i/>
        </w:rPr>
        <w:t>South-e</w:t>
      </w:r>
      <w:r w:rsidR="00B6012C" w:rsidRPr="0072610E">
        <w:rPr>
          <w:i/>
        </w:rPr>
        <w:t xml:space="preserve">ast </w:t>
      </w:r>
      <w:r>
        <w:rPr>
          <w:i/>
        </w:rPr>
        <w:t>m</w:t>
      </w:r>
      <w:r w:rsidR="00B6012C" w:rsidRPr="0072610E">
        <w:rPr>
          <w:i/>
        </w:rPr>
        <w:t xml:space="preserve">arine </w:t>
      </w:r>
      <w:r>
        <w:rPr>
          <w:i/>
        </w:rPr>
        <w:t>r</w:t>
      </w:r>
      <w:r w:rsidR="00B6012C" w:rsidRPr="0072610E">
        <w:rPr>
          <w:i/>
        </w:rPr>
        <w:t>egion</w:t>
      </w:r>
      <w:r>
        <w:rPr>
          <w:i/>
        </w:rPr>
        <w:t xml:space="preserve"> profile: a description of the ecosystems, conservation values and uses of the South-east Marine Region</w:t>
      </w:r>
      <w:r w:rsidR="00812A19">
        <w:t>,</w:t>
      </w:r>
      <w:r>
        <w:t xml:space="preserve"> </w:t>
      </w:r>
      <w:r w:rsidRPr="000C44D1">
        <w:t>Department of the Environment</w:t>
      </w:r>
      <w:r w:rsidR="00F761AF">
        <w:t>, Canberra. A</w:t>
      </w:r>
      <w:r>
        <w:t>vailable at &lt;</w:t>
      </w:r>
      <w:hyperlink r:id="rId29" w:history="1">
        <w:r>
          <w:rPr>
            <w:rStyle w:val="Hyperlink"/>
          </w:rPr>
          <w:t>http://www.environment.gov.au/marine/publications/south-east-marine-region-profile</w:t>
        </w:r>
      </w:hyperlink>
      <w:r>
        <w:t>&gt;.</w:t>
      </w:r>
    </w:p>
    <w:p w14:paraId="13572B81" w14:textId="0CDC888A" w:rsidR="008A3989" w:rsidRDefault="00C9040C" w:rsidP="008A3989">
      <w:r>
        <w:t>Department of Primary Industries, Parks, Water and Environment</w:t>
      </w:r>
      <w:r w:rsidDel="00F761AF">
        <w:t xml:space="preserve"> </w:t>
      </w:r>
      <w:r>
        <w:t xml:space="preserve">2019, </w:t>
      </w:r>
      <w:r w:rsidRPr="00945619">
        <w:rPr>
          <w:i/>
        </w:rPr>
        <w:t>Application to the Department of Environment on the Tasmanian Giant Crab Fishery</w:t>
      </w:r>
      <w:r>
        <w:t>, Wild Fisheries Management Branch, DPIPWE, available at &lt;</w:t>
      </w:r>
      <w:hyperlink r:id="rId30" w:history="1">
        <w:r>
          <w:rPr>
            <w:rStyle w:val="Hyperlink"/>
          </w:rPr>
          <w:t>http://www.environment.gov.au/system/files/consultations/a48beeb9-9e52-4b43-8377-b5211c85fb04/files/tas-giant-crab-application-2019.pdf</w:t>
        </w:r>
      </w:hyperlink>
      <w:r>
        <w:t>&gt;.</w:t>
      </w:r>
    </w:p>
    <w:p w14:paraId="51EEFF52" w14:textId="71E690AD" w:rsidR="00BB38E7" w:rsidRDefault="008A3989" w:rsidP="008A3989">
      <w:pPr>
        <w:rPr>
          <w:rStyle w:val="Hyperlink"/>
        </w:rPr>
      </w:pPr>
      <w:r>
        <w:t xml:space="preserve">Emery, T, Hartmann, K </w:t>
      </w:r>
      <w:r w:rsidR="00F5750E">
        <w:t xml:space="preserve">&amp; </w:t>
      </w:r>
      <w:r>
        <w:t>Gardner, C 2015</w:t>
      </w:r>
      <w:r w:rsidR="00C075DB">
        <w:t>,</w:t>
      </w:r>
      <w:r>
        <w:t xml:space="preserve"> </w:t>
      </w:r>
      <w:r w:rsidR="00812A19">
        <w:t>‘</w:t>
      </w:r>
      <w:r w:rsidRPr="0072610E">
        <w:t>Tasmanian Giant Crab Fishery – 13/14</w:t>
      </w:r>
      <w:r w:rsidR="00812A19">
        <w:t>’</w:t>
      </w:r>
      <w:r>
        <w:t>, Institute for Marine and Antarctic Studies,</w:t>
      </w:r>
      <w:r w:rsidR="00F5750E">
        <w:t xml:space="preserve"> available at &lt;</w:t>
      </w:r>
      <w:hyperlink r:id="rId31" w:history="1">
        <w:r w:rsidR="002E13CE">
          <w:rPr>
            <w:rStyle w:val="Hyperlink"/>
          </w:rPr>
          <w:t>http://www.imas.utas.edu.au/__data/assets/pdf_file/0003/743106/Giant-Crab_2013-14.pdf</w:t>
        </w:r>
      </w:hyperlink>
      <w:r w:rsidR="002E13CE">
        <w:t>&gt;.</w:t>
      </w:r>
    </w:p>
    <w:p w14:paraId="2D848BDD" w14:textId="45390823" w:rsidR="00A43C1E" w:rsidRDefault="00A43C1E" w:rsidP="008A3989">
      <w:pPr>
        <w:rPr>
          <w:rStyle w:val="Hyperlink"/>
        </w:rPr>
      </w:pPr>
      <w:r>
        <w:t xml:space="preserve">Hartmann, K, Reilly, D, How, J </w:t>
      </w:r>
      <w:r w:rsidR="00F5750E">
        <w:t>&amp;</w:t>
      </w:r>
      <w:r>
        <w:t xml:space="preserve"> McLeay, L 2018</w:t>
      </w:r>
      <w:r w:rsidR="00C075DB">
        <w:t>,</w:t>
      </w:r>
      <w:r>
        <w:t xml:space="preserve"> </w:t>
      </w:r>
      <w:r w:rsidR="00F5750E">
        <w:t>‘</w:t>
      </w:r>
      <w:r w:rsidRPr="0072610E">
        <w:t xml:space="preserve">Giant Crab (2018) </w:t>
      </w:r>
      <w:proofErr w:type="spellStart"/>
      <w:r w:rsidRPr="00C075DB">
        <w:rPr>
          <w:i/>
        </w:rPr>
        <w:t>Pseudocarcinus</w:t>
      </w:r>
      <w:proofErr w:type="spellEnd"/>
      <w:r w:rsidRPr="00C075DB">
        <w:rPr>
          <w:i/>
        </w:rPr>
        <w:t xml:space="preserve"> </w:t>
      </w:r>
      <w:proofErr w:type="spellStart"/>
      <w:r w:rsidRPr="00C075DB">
        <w:rPr>
          <w:i/>
        </w:rPr>
        <w:t>gigas</w:t>
      </w:r>
      <w:proofErr w:type="spellEnd"/>
      <w:r w:rsidR="00F5750E">
        <w:t>’</w:t>
      </w:r>
      <w:r>
        <w:t xml:space="preserve">, </w:t>
      </w:r>
      <w:r w:rsidRPr="0072610E">
        <w:rPr>
          <w:i/>
          <w:iCs/>
        </w:rPr>
        <w:t>Status of Australian Fish Stocks Reports</w:t>
      </w:r>
      <w:r>
        <w:rPr>
          <w:iCs/>
        </w:rPr>
        <w:t>, Fisheries Research and Development Corporation,</w:t>
      </w:r>
      <w:r w:rsidR="002E13CE">
        <w:rPr>
          <w:iCs/>
        </w:rPr>
        <w:t xml:space="preserve"> available at &lt;</w:t>
      </w:r>
      <w:hyperlink r:id="rId32" w:history="1">
        <w:r w:rsidR="002E13CE">
          <w:rPr>
            <w:rStyle w:val="Hyperlink"/>
          </w:rPr>
          <w:t>https://www.fish.gov.au/report/180-Giant-Crab-2018</w:t>
        </w:r>
      </w:hyperlink>
      <w:r w:rsidR="002E13CE">
        <w:t>&gt;.</w:t>
      </w:r>
    </w:p>
    <w:p w14:paraId="228CDC20" w14:textId="57311DB5" w:rsidR="00A43C1E" w:rsidRPr="00A43C1E" w:rsidRDefault="00A43C1E" w:rsidP="008A3989">
      <w:r>
        <w:t xml:space="preserve">Leon, R, Gardner, C </w:t>
      </w:r>
      <w:r w:rsidR="00F5750E">
        <w:t>&amp;</w:t>
      </w:r>
      <w:r>
        <w:t xml:space="preserve"> Hartmann, K 2017</w:t>
      </w:r>
      <w:r w:rsidR="00C075DB">
        <w:t>,</w:t>
      </w:r>
      <w:r>
        <w:t xml:space="preserve"> </w:t>
      </w:r>
      <w:r w:rsidR="00F5750E">
        <w:t>‘</w:t>
      </w:r>
      <w:r w:rsidRPr="0072610E">
        <w:t>Assessment of interaction between giant crab trap and benthic trawl fisheries</w:t>
      </w:r>
      <w:r w:rsidR="00F5750E" w:rsidRPr="0072610E">
        <w:t>’</w:t>
      </w:r>
      <w:r>
        <w:t xml:space="preserve">, </w:t>
      </w:r>
      <w:r w:rsidR="00BB38E7">
        <w:t>Institute for Marine and Antarctic Studies, University of Tasmania</w:t>
      </w:r>
      <w:r w:rsidR="00A46723">
        <w:t>, available at &lt;</w:t>
      </w:r>
      <w:hyperlink r:id="rId33" w:history="1">
        <w:r w:rsidR="00A46723">
          <w:rPr>
            <w:rStyle w:val="Hyperlink"/>
          </w:rPr>
          <w:t>https://www.imas.utas.edu.au/__data/assets/pdf_file/0010/1056466/SMRCA_GC-Trawl_fisheries_final_dec17.pdf</w:t>
        </w:r>
      </w:hyperlink>
      <w:r w:rsidR="00A46723">
        <w:t>&gt;.</w:t>
      </w:r>
    </w:p>
    <w:p w14:paraId="59575EED" w14:textId="1FE2E9D3" w:rsidR="00ED2FF7" w:rsidRDefault="00A43C1E">
      <w:r>
        <w:t>O’Byrne, D 2013</w:t>
      </w:r>
      <w:r w:rsidR="00C530F4">
        <w:t>,</w:t>
      </w:r>
      <w:r>
        <w:t xml:space="preserve"> </w:t>
      </w:r>
      <w:r>
        <w:rPr>
          <w:i/>
        </w:rPr>
        <w:t>Fisheries (Giant Crab) Rules 2013</w:t>
      </w:r>
      <w:r>
        <w:t xml:space="preserve">, </w:t>
      </w:r>
      <w:r w:rsidR="00C530F4">
        <w:t xml:space="preserve">Department of Primary Industries and Water, </w:t>
      </w:r>
      <w:r>
        <w:t>Tasmanian Legislation</w:t>
      </w:r>
      <w:r w:rsidR="000D6E0D">
        <w:t>, a</w:t>
      </w:r>
      <w:r w:rsidR="0051157D">
        <w:t>vailable at &lt;</w:t>
      </w:r>
      <w:hyperlink r:id="rId34" w:history="1">
        <w:r w:rsidR="0051157D">
          <w:rPr>
            <w:rStyle w:val="Hyperlink"/>
          </w:rPr>
          <w:t>https://www.legislation.tas.gov.au/view/whole/html/inforce/current/sr-2013-002</w:t>
        </w:r>
      </w:hyperlink>
      <w:r w:rsidR="0051157D">
        <w:t>&gt;.</w:t>
      </w:r>
    </w:p>
    <w:p w14:paraId="59779B41" w14:textId="114C4CF2" w:rsidR="00481F4F" w:rsidRDefault="00481F4F">
      <w:r>
        <w:t>Pitcher, CR, Rochester, W, Dunning, M</w:t>
      </w:r>
      <w:r w:rsidR="007C5183">
        <w:t xml:space="preserve">, Courtney, T, </w:t>
      </w:r>
      <w:proofErr w:type="spellStart"/>
      <w:r w:rsidR="007C5183">
        <w:t>Broadhurst</w:t>
      </w:r>
      <w:proofErr w:type="spellEnd"/>
      <w:r w:rsidR="007C5183">
        <w:t xml:space="preserve">, M, </w:t>
      </w:r>
      <w:proofErr w:type="spellStart"/>
      <w:r w:rsidR="007C5183">
        <w:t>Noell</w:t>
      </w:r>
      <w:proofErr w:type="spellEnd"/>
      <w:r w:rsidR="007C5183">
        <w:t xml:space="preserve">, C, Tanner, J, </w:t>
      </w:r>
      <w:proofErr w:type="spellStart"/>
      <w:r w:rsidR="007C5183">
        <w:t>Kangas</w:t>
      </w:r>
      <w:proofErr w:type="spellEnd"/>
      <w:r w:rsidR="007C5183">
        <w:t xml:space="preserve">, M, Newman, S, Semmens, J, Rigby, C, Saunders, T, Martin, J &amp; </w:t>
      </w:r>
      <w:proofErr w:type="spellStart"/>
      <w:r w:rsidR="007C5183">
        <w:t>Lussier</w:t>
      </w:r>
      <w:proofErr w:type="spellEnd"/>
      <w:r w:rsidR="007C5183">
        <w:t>, W 2018, ‘Putting potential environmental risk of Australia’s trawl fisheries in landscape perspective: exposure of seabed assemblages to trawling, and inclusion in closures and reserves, Final Report FRDC Project No. 2016-039, CSIRO Oceans &amp; Atmosphere, Brisbane. Available at &lt;</w:t>
      </w:r>
      <w:r w:rsidR="007C5183" w:rsidRPr="007C5183">
        <w:t xml:space="preserve"> </w:t>
      </w:r>
      <w:hyperlink r:id="rId35" w:history="1">
        <w:r w:rsidR="007C5183">
          <w:rPr>
            <w:rStyle w:val="Hyperlink"/>
          </w:rPr>
          <w:t>https://www.frdc.com.au/Archived-Reports/FRDC%20Projects/2016-039-DLD.pdf</w:t>
        </w:r>
      </w:hyperlink>
      <w:r w:rsidR="007C5183">
        <w:t xml:space="preserve">&gt;. </w:t>
      </w:r>
    </w:p>
    <w:p w14:paraId="622123BE" w14:textId="5047113A" w:rsidR="00FB7D7D" w:rsidRPr="00A23801" w:rsidRDefault="00ED2FF7">
      <w:r>
        <w:t xml:space="preserve">Williams, A, Gardner, C, </w:t>
      </w:r>
      <w:proofErr w:type="spellStart"/>
      <w:r>
        <w:t>Althaus</w:t>
      </w:r>
      <w:proofErr w:type="spellEnd"/>
      <w:r>
        <w:t>, F, Barker, B &amp; Mills, D 2009, ‘Understanding shelf-</w:t>
      </w:r>
      <w:r w:rsidR="001D63C2">
        <w:t>break habitat for sustainable management of fisheries with spatial overlap’</w:t>
      </w:r>
      <w:r w:rsidR="007C5183">
        <w:t>, Final Report Project No. 2004-</w:t>
      </w:r>
      <w:r w:rsidR="001D63C2">
        <w:t>066, the Fisheries Research and Development Corporation, available at &lt;</w:t>
      </w:r>
      <w:r w:rsidR="001D63C2" w:rsidRPr="001D63C2">
        <w:t xml:space="preserve"> </w:t>
      </w:r>
      <w:hyperlink r:id="rId36" w:history="1">
        <w:r w:rsidR="001D63C2">
          <w:rPr>
            <w:rStyle w:val="Hyperlink"/>
          </w:rPr>
          <w:t>https://www.frdc.com.au/Archived-Reports/FRDC%20Projects/2004-066-DLD.pdf</w:t>
        </w:r>
      </w:hyperlink>
      <w:r w:rsidR="001D63C2">
        <w:t>&gt;.</w:t>
      </w:r>
    </w:p>
    <w:sectPr w:rsidR="00FB7D7D" w:rsidRPr="00A23801" w:rsidSect="00231C67">
      <w:headerReference w:type="even" r:id="rId37"/>
      <w:headerReference w:type="default" r:id="rId38"/>
      <w:footerReference w:type="even" r:id="rId39"/>
      <w:footerReference w:type="default" r:id="rId40"/>
      <w:headerReference w:type="first" r:id="rId41"/>
      <w:footerReference w:type="first" r:id="rId4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1DF41" w14:textId="77777777" w:rsidR="00086BA9" w:rsidRDefault="00086BA9" w:rsidP="00A60185">
      <w:pPr>
        <w:spacing w:after="0"/>
      </w:pPr>
      <w:r>
        <w:separator/>
      </w:r>
    </w:p>
  </w:endnote>
  <w:endnote w:type="continuationSeparator" w:id="0">
    <w:p w14:paraId="5E3E8D71" w14:textId="77777777" w:rsidR="00086BA9" w:rsidRDefault="00086BA9" w:rsidP="00A60185">
      <w:pPr>
        <w:spacing w:after="0"/>
      </w:pPr>
      <w:r>
        <w:continuationSeparator/>
      </w:r>
    </w:p>
  </w:endnote>
  <w:endnote w:type="continuationNotice" w:id="1">
    <w:p w14:paraId="42C663E7" w14:textId="77777777" w:rsidR="00086BA9" w:rsidRDefault="00086B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9F6A5" w14:textId="77777777" w:rsidR="00A23586" w:rsidRDefault="00A235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086BA9" w:rsidRDefault="00086BA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086BA9" w:rsidRDefault="00086BA9">
    <w:pPr>
      <w:pStyle w:val="Footer"/>
      <w:jc w:val="right"/>
    </w:pPr>
  </w:p>
  <w:p w14:paraId="6627FCF2" w14:textId="77777777" w:rsidR="00086BA9" w:rsidRDefault="00086B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086BA9" w:rsidRPr="008676DA" w:rsidRDefault="00086BA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A23586">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086BA9" w:rsidRPr="00E5103E" w:rsidRDefault="00086BA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086BA9" w:rsidRDefault="00086BA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086BA9" w:rsidRDefault="00086BA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086BA9" w:rsidRDefault="00086B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086BA9" w:rsidRDefault="00086B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F3671" w14:textId="77777777" w:rsidR="00086BA9" w:rsidRDefault="00086BA9" w:rsidP="00A60185">
      <w:pPr>
        <w:spacing w:after="0"/>
      </w:pPr>
      <w:r>
        <w:separator/>
      </w:r>
    </w:p>
  </w:footnote>
  <w:footnote w:type="continuationSeparator" w:id="0">
    <w:p w14:paraId="0C1DBBD1" w14:textId="77777777" w:rsidR="00086BA9" w:rsidRDefault="00086BA9" w:rsidP="00A60185">
      <w:pPr>
        <w:spacing w:after="0"/>
      </w:pPr>
      <w:r>
        <w:continuationSeparator/>
      </w:r>
    </w:p>
  </w:footnote>
  <w:footnote w:type="continuationNotice" w:id="1">
    <w:p w14:paraId="7F727740" w14:textId="77777777" w:rsidR="00086BA9" w:rsidRDefault="00086BA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373B9" w14:textId="77777777" w:rsidR="00A23586" w:rsidRDefault="00A235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611BA" w14:textId="77777777" w:rsidR="00A23586" w:rsidRDefault="00A235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967F1" w14:textId="77777777" w:rsidR="00A23586" w:rsidRDefault="00A235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086BA9" w:rsidRDefault="00086BA9" w:rsidP="00E45765">
    <w:pPr>
      <w:pStyle w:val="Classification"/>
    </w:pPr>
    <w:r>
      <w:fldChar w:fldCharType="begin"/>
    </w:r>
    <w:r>
      <w:instrText xml:space="preserve"> DOCPROPERTY SecurityClassification \* MERGEFORMAT </w:instrText>
    </w:r>
    <w:r>
      <w:fldChar w:fldCharType="separate"/>
    </w:r>
    <w:r w:rsidR="004D6649">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086BA9" w:rsidRDefault="00086BA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086BA9" w:rsidRDefault="00086B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7C78E6"/>
    <w:multiLevelType w:val="hybridMultilevel"/>
    <w:tmpl w:val="C0BC6FA0"/>
    <w:lvl w:ilvl="0" w:tplc="CFB03056">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0CB47C21"/>
    <w:multiLevelType w:val="hybridMultilevel"/>
    <w:tmpl w:val="1B025B0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1" w15:restartNumberingAfterBreak="0">
    <w:nsid w:val="137774FF"/>
    <w:multiLevelType w:val="hybridMultilevel"/>
    <w:tmpl w:val="784EBB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8674F12"/>
    <w:multiLevelType w:val="hybridMultilevel"/>
    <w:tmpl w:val="DC321DF6"/>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87A4783"/>
    <w:multiLevelType w:val="hybridMultilevel"/>
    <w:tmpl w:val="1F5A1512"/>
    <w:lvl w:ilvl="0" w:tplc="A4AE3AEE">
      <w:start w:val="1"/>
      <w:numFmt w:val="lowerLetter"/>
      <w:lvlText w:val="%1)"/>
      <w:lvlJc w:val="left"/>
      <w:pPr>
        <w:ind w:left="360" w:hanging="36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1B955914"/>
    <w:multiLevelType w:val="hybridMultilevel"/>
    <w:tmpl w:val="ABFC8A92"/>
    <w:lvl w:ilvl="0" w:tplc="0C090017">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DE932E0"/>
    <w:multiLevelType w:val="hybridMultilevel"/>
    <w:tmpl w:val="F91A117E"/>
    <w:lvl w:ilvl="0" w:tplc="6EA297AA">
      <w:numFmt w:val="bullet"/>
      <w:lvlText w:val=""/>
      <w:lvlJc w:val="left"/>
      <w:pPr>
        <w:ind w:left="720" w:hanging="360"/>
      </w:pPr>
      <w:rPr>
        <w:rFonts w:ascii="Wingdings" w:eastAsia="Calibri"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F745BC2"/>
    <w:multiLevelType w:val="multilevel"/>
    <w:tmpl w:val="029217B8"/>
    <w:numStyleLink w:val="BulletList"/>
  </w:abstractNum>
  <w:abstractNum w:abstractNumId="20"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098052F"/>
    <w:multiLevelType w:val="multilevel"/>
    <w:tmpl w:val="D48A7330"/>
    <w:lvl w:ilvl="0">
      <w:start w:val="1"/>
      <w:numFmt w:val="bullet"/>
      <w:pStyle w:val="ListParagraph"/>
      <w:lvlText w:val=""/>
      <w:lvlJc w:val="left"/>
      <w:pPr>
        <w:ind w:left="369" w:hanging="369"/>
      </w:pPr>
      <w:rPr>
        <w:rFonts w:ascii="Symbol" w:hAnsi="Symbol" w:hint="default"/>
        <w:color w:val="auto"/>
        <w:sz w:val="20"/>
        <w:szCs w:val="20"/>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7F7108E"/>
    <w:multiLevelType w:val="hybridMultilevel"/>
    <w:tmpl w:val="CDDADE30"/>
    <w:lvl w:ilvl="0" w:tplc="6E8667F0">
      <w:start w:val="1"/>
      <w:numFmt w:val="bullet"/>
      <w:lvlText w:val="-"/>
      <w:lvlJc w:val="left"/>
      <w:pPr>
        <w:ind w:left="360" w:hanging="36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497D1316"/>
    <w:multiLevelType w:val="hybridMultilevel"/>
    <w:tmpl w:val="62EA07AC"/>
    <w:lvl w:ilvl="0" w:tplc="31C0F7A6">
      <w:start w:val="6"/>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3AD5FCE"/>
    <w:multiLevelType w:val="hybridMultilevel"/>
    <w:tmpl w:val="69C66F3A"/>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576B5A83"/>
    <w:multiLevelType w:val="hybridMultilevel"/>
    <w:tmpl w:val="E45A0C58"/>
    <w:lvl w:ilvl="0" w:tplc="E2BE4A0A">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10671B6"/>
    <w:multiLevelType w:val="hybridMultilevel"/>
    <w:tmpl w:val="78FCC372"/>
    <w:lvl w:ilvl="0" w:tplc="8D242770">
      <w:start w:val="44"/>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5456429"/>
    <w:multiLevelType w:val="multilevel"/>
    <w:tmpl w:val="E898CC72"/>
    <w:numStyleLink w:val="KeyPoints"/>
  </w:abstractNum>
  <w:abstractNum w:abstractNumId="45"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7E20636"/>
    <w:multiLevelType w:val="hybridMultilevel"/>
    <w:tmpl w:val="AD587C32"/>
    <w:lvl w:ilvl="0" w:tplc="EABCC1FE">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1" w15:restartNumberingAfterBreak="0">
    <w:nsid w:val="6A4F1AD9"/>
    <w:multiLevelType w:val="hybridMultilevel"/>
    <w:tmpl w:val="20B6357C"/>
    <w:lvl w:ilvl="0" w:tplc="6340E87A">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3" w15:restartNumberingAfterBreak="0">
    <w:nsid w:val="786E6382"/>
    <w:multiLevelType w:val="hybridMultilevel"/>
    <w:tmpl w:val="79CC2764"/>
    <w:lvl w:ilvl="0" w:tplc="7B5276DA">
      <w:numFmt w:val="bullet"/>
      <w:lvlText w:val=""/>
      <w:lvlJc w:val="left"/>
      <w:pPr>
        <w:ind w:left="360" w:hanging="360"/>
      </w:pPr>
      <w:rPr>
        <w:rFonts w:ascii="Symbol" w:eastAsia="Calibri" w:hAnsi="Symbol" w:cs="Arial" w:hint="default"/>
        <w:i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55"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5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7"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F0C33DA"/>
    <w:multiLevelType w:val="hybridMultilevel"/>
    <w:tmpl w:val="A38012A8"/>
    <w:lvl w:ilvl="0" w:tplc="A37680FC">
      <w:numFmt w:val="bullet"/>
      <w:lvlText w:val="-"/>
      <w:lvlJc w:val="left"/>
      <w:pPr>
        <w:ind w:left="360" w:hanging="36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7F634D4D"/>
    <w:multiLevelType w:val="hybridMultilevel"/>
    <w:tmpl w:val="5EAE920E"/>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7FEC5A1B"/>
    <w:multiLevelType w:val="hybridMultilevel"/>
    <w:tmpl w:val="7460F61C"/>
    <w:lvl w:ilvl="0" w:tplc="0310D8F4">
      <w:start w:val="2"/>
      <w:numFmt w:val="bullet"/>
      <w:lvlText w:val="-"/>
      <w:lvlJc w:val="left"/>
      <w:pPr>
        <w:ind w:left="720" w:hanging="360"/>
      </w:pPr>
      <w:rPr>
        <w:rFonts w:ascii="Arial" w:eastAsia="Calibri" w:hAnsi="Arial" w:cs="Arial"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28"/>
  </w:num>
  <w:num w:numId="4">
    <w:abstractNumId w:val="0"/>
  </w:num>
  <w:num w:numId="5">
    <w:abstractNumId w:val="27"/>
  </w:num>
  <w:num w:numId="6">
    <w:abstractNumId w:val="44"/>
  </w:num>
  <w:num w:numId="7">
    <w:abstractNumId w:val="19"/>
  </w:num>
  <w:num w:numId="8">
    <w:abstractNumId w:val="7"/>
  </w:num>
  <w:num w:numId="9">
    <w:abstractNumId w:val="31"/>
  </w:num>
  <w:num w:numId="10">
    <w:abstractNumId w:val="48"/>
  </w:num>
  <w:num w:numId="11">
    <w:abstractNumId w:val="37"/>
  </w:num>
  <w:num w:numId="12">
    <w:abstractNumId w:val="9"/>
  </w:num>
  <w:num w:numId="13">
    <w:abstractNumId w:val="24"/>
  </w:num>
  <w:num w:numId="14">
    <w:abstractNumId w:val="49"/>
  </w:num>
  <w:num w:numId="15">
    <w:abstractNumId w:val="39"/>
  </w:num>
  <w:num w:numId="16">
    <w:abstractNumId w:val="2"/>
  </w:num>
  <w:num w:numId="17">
    <w:abstractNumId w:val="25"/>
  </w:num>
  <w:num w:numId="18">
    <w:abstractNumId w:val="21"/>
  </w:num>
  <w:num w:numId="19">
    <w:abstractNumId w:val="36"/>
  </w:num>
  <w:num w:numId="20">
    <w:abstractNumId w:val="23"/>
  </w:num>
  <w:num w:numId="21">
    <w:abstractNumId w:val="15"/>
  </w:num>
  <w:num w:numId="22">
    <w:abstractNumId w:val="22"/>
  </w:num>
  <w:num w:numId="23">
    <w:abstractNumId w:val="32"/>
  </w:num>
  <w:num w:numId="24">
    <w:abstractNumId w:val="43"/>
  </w:num>
  <w:num w:numId="25">
    <w:abstractNumId w:val="29"/>
  </w:num>
  <w:num w:numId="26">
    <w:abstractNumId w:val="10"/>
  </w:num>
  <w:num w:numId="27">
    <w:abstractNumId w:val="13"/>
  </w:num>
  <w:num w:numId="28">
    <w:abstractNumId w:val="41"/>
  </w:num>
  <w:num w:numId="29">
    <w:abstractNumId w:val="50"/>
  </w:num>
  <w:num w:numId="30">
    <w:abstractNumId w:val="56"/>
  </w:num>
  <w:num w:numId="31">
    <w:abstractNumId w:val="46"/>
  </w:num>
  <w:num w:numId="32">
    <w:abstractNumId w:val="0"/>
    <w:lvlOverride w:ilvl="0">
      <w:startOverride w:val="1"/>
    </w:lvlOverride>
  </w:num>
  <w:num w:numId="33">
    <w:abstractNumId w:val="3"/>
  </w:num>
  <w:num w:numId="34">
    <w:abstractNumId w:val="4"/>
  </w:num>
  <w:num w:numId="35">
    <w:abstractNumId w:val="20"/>
  </w:num>
  <w:num w:numId="36">
    <w:abstractNumId w:val="57"/>
  </w:num>
  <w:num w:numId="37">
    <w:abstractNumId w:val="19"/>
    <w:lvlOverride w:ilvl="0">
      <w:lvl w:ilvl="0">
        <w:start w:val="1"/>
        <w:numFmt w:val="bullet"/>
        <w:lvlText w:val=""/>
        <w:lvlJc w:val="left"/>
        <w:pPr>
          <w:ind w:left="369" w:hanging="369"/>
        </w:pPr>
        <w:rPr>
          <w:rFonts w:ascii="Symbol" w:hAnsi="Symbol" w:hint="default"/>
        </w:rPr>
      </w:lvl>
    </w:lvlOverride>
  </w:num>
  <w:num w:numId="38">
    <w:abstractNumId w:val="40"/>
  </w:num>
  <w:num w:numId="39">
    <w:abstractNumId w:val="30"/>
  </w:num>
  <w:num w:numId="40">
    <w:abstractNumId w:val="26"/>
  </w:num>
  <w:num w:numId="41">
    <w:abstractNumId w:val="6"/>
  </w:num>
  <w:num w:numId="42">
    <w:abstractNumId w:val="45"/>
  </w:num>
  <w:num w:numId="43">
    <w:abstractNumId w:val="17"/>
  </w:num>
  <w:num w:numId="44">
    <w:abstractNumId w:val="54"/>
  </w:num>
  <w:num w:numId="45">
    <w:abstractNumId w:val="12"/>
  </w:num>
  <w:num w:numId="46">
    <w:abstractNumId w:val="55"/>
  </w:num>
  <w:num w:numId="47">
    <w:abstractNumId w:val="5"/>
  </w:num>
  <w:num w:numId="48">
    <w:abstractNumId w:val="38"/>
  </w:num>
  <w:num w:numId="49">
    <w:abstractNumId w:val="58"/>
  </w:num>
  <w:num w:numId="50">
    <w:abstractNumId w:val="51"/>
  </w:num>
  <w:num w:numId="51">
    <w:abstractNumId w:val="18"/>
  </w:num>
  <w:num w:numId="52">
    <w:abstractNumId w:val="53"/>
  </w:num>
  <w:num w:numId="53">
    <w:abstractNumId w:val="11"/>
  </w:num>
  <w:num w:numId="54">
    <w:abstractNumId w:val="42"/>
  </w:num>
  <w:num w:numId="55">
    <w:abstractNumId w:val="47"/>
  </w:num>
  <w:num w:numId="56">
    <w:abstractNumId w:val="16"/>
  </w:num>
  <w:num w:numId="57">
    <w:abstractNumId w:val="60"/>
  </w:num>
  <w:num w:numId="58">
    <w:abstractNumId w:val="14"/>
  </w:num>
  <w:num w:numId="59">
    <w:abstractNumId w:val="35"/>
  </w:num>
  <w:num w:numId="60">
    <w:abstractNumId w:val="59"/>
  </w:num>
  <w:num w:numId="61">
    <w:abstractNumId w:val="8"/>
  </w:num>
  <w:num w:numId="62">
    <w:abstractNumId w:val="33"/>
  </w:num>
  <w:num w:numId="63">
    <w:abstractNumId w:val="3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D11"/>
    <w:rsid w:val="00001017"/>
    <w:rsid w:val="00004AEE"/>
    <w:rsid w:val="000057E6"/>
    <w:rsid w:val="00005CAA"/>
    <w:rsid w:val="00006DF7"/>
    <w:rsid w:val="00010210"/>
    <w:rsid w:val="00012D66"/>
    <w:rsid w:val="0001423D"/>
    <w:rsid w:val="000145E1"/>
    <w:rsid w:val="000154DB"/>
    <w:rsid w:val="0001595B"/>
    <w:rsid w:val="00015ADA"/>
    <w:rsid w:val="00015CFC"/>
    <w:rsid w:val="00020C40"/>
    <w:rsid w:val="00020C99"/>
    <w:rsid w:val="00022496"/>
    <w:rsid w:val="00023D76"/>
    <w:rsid w:val="00023ED4"/>
    <w:rsid w:val="000256D1"/>
    <w:rsid w:val="0002700E"/>
    <w:rsid w:val="0002707B"/>
    <w:rsid w:val="00030981"/>
    <w:rsid w:val="00035054"/>
    <w:rsid w:val="00035181"/>
    <w:rsid w:val="00035910"/>
    <w:rsid w:val="00035CE9"/>
    <w:rsid w:val="00035DDB"/>
    <w:rsid w:val="000363D9"/>
    <w:rsid w:val="0004003F"/>
    <w:rsid w:val="00041514"/>
    <w:rsid w:val="000448AD"/>
    <w:rsid w:val="00047F11"/>
    <w:rsid w:val="00050E12"/>
    <w:rsid w:val="0005148E"/>
    <w:rsid w:val="0005188A"/>
    <w:rsid w:val="00052147"/>
    <w:rsid w:val="0005272D"/>
    <w:rsid w:val="00055551"/>
    <w:rsid w:val="00056E19"/>
    <w:rsid w:val="00057560"/>
    <w:rsid w:val="00060995"/>
    <w:rsid w:val="00065F38"/>
    <w:rsid w:val="00067631"/>
    <w:rsid w:val="00072389"/>
    <w:rsid w:val="00072C5A"/>
    <w:rsid w:val="000759E5"/>
    <w:rsid w:val="0007700D"/>
    <w:rsid w:val="00077E0E"/>
    <w:rsid w:val="000825CC"/>
    <w:rsid w:val="0008345D"/>
    <w:rsid w:val="00084AC6"/>
    <w:rsid w:val="000857D2"/>
    <w:rsid w:val="00086B56"/>
    <w:rsid w:val="00086BA9"/>
    <w:rsid w:val="00086D87"/>
    <w:rsid w:val="000903F5"/>
    <w:rsid w:val="00091608"/>
    <w:rsid w:val="000924F0"/>
    <w:rsid w:val="0009333C"/>
    <w:rsid w:val="00094268"/>
    <w:rsid w:val="00094745"/>
    <w:rsid w:val="000955F1"/>
    <w:rsid w:val="00095EBB"/>
    <w:rsid w:val="0009704F"/>
    <w:rsid w:val="000976FD"/>
    <w:rsid w:val="000A0F11"/>
    <w:rsid w:val="000A125A"/>
    <w:rsid w:val="000A2AF0"/>
    <w:rsid w:val="000A57CD"/>
    <w:rsid w:val="000A589E"/>
    <w:rsid w:val="000A7B1D"/>
    <w:rsid w:val="000B2634"/>
    <w:rsid w:val="000B3758"/>
    <w:rsid w:val="000B3BD8"/>
    <w:rsid w:val="000B407B"/>
    <w:rsid w:val="000B43D5"/>
    <w:rsid w:val="000B554D"/>
    <w:rsid w:val="000B620C"/>
    <w:rsid w:val="000B639B"/>
    <w:rsid w:val="000B7340"/>
    <w:rsid w:val="000B7681"/>
    <w:rsid w:val="000B7B42"/>
    <w:rsid w:val="000C02B7"/>
    <w:rsid w:val="000C1336"/>
    <w:rsid w:val="000C162F"/>
    <w:rsid w:val="000C178D"/>
    <w:rsid w:val="000C188F"/>
    <w:rsid w:val="000C3717"/>
    <w:rsid w:val="000C3A68"/>
    <w:rsid w:val="000C4EF8"/>
    <w:rsid w:val="000C5100"/>
    <w:rsid w:val="000C5342"/>
    <w:rsid w:val="000C54EB"/>
    <w:rsid w:val="000C62E7"/>
    <w:rsid w:val="000C638B"/>
    <w:rsid w:val="000C706A"/>
    <w:rsid w:val="000D0A53"/>
    <w:rsid w:val="000D2887"/>
    <w:rsid w:val="000D5CB2"/>
    <w:rsid w:val="000D6D63"/>
    <w:rsid w:val="000D6E0D"/>
    <w:rsid w:val="000E0081"/>
    <w:rsid w:val="000E07CF"/>
    <w:rsid w:val="000E1415"/>
    <w:rsid w:val="000E31C1"/>
    <w:rsid w:val="000E4B8D"/>
    <w:rsid w:val="000E4C8A"/>
    <w:rsid w:val="000E4ED2"/>
    <w:rsid w:val="000E6268"/>
    <w:rsid w:val="000E73E1"/>
    <w:rsid w:val="000F2CF2"/>
    <w:rsid w:val="000F463E"/>
    <w:rsid w:val="000F486F"/>
    <w:rsid w:val="000F4BEA"/>
    <w:rsid w:val="000F5105"/>
    <w:rsid w:val="000F57D7"/>
    <w:rsid w:val="000F5AED"/>
    <w:rsid w:val="000F5FC8"/>
    <w:rsid w:val="000F790B"/>
    <w:rsid w:val="000F7DB8"/>
    <w:rsid w:val="00100BEF"/>
    <w:rsid w:val="00101CDF"/>
    <w:rsid w:val="00102CFA"/>
    <w:rsid w:val="00104974"/>
    <w:rsid w:val="00104EF9"/>
    <w:rsid w:val="001053EE"/>
    <w:rsid w:val="00105722"/>
    <w:rsid w:val="00107546"/>
    <w:rsid w:val="00110500"/>
    <w:rsid w:val="00111326"/>
    <w:rsid w:val="00111796"/>
    <w:rsid w:val="001119D7"/>
    <w:rsid w:val="001131BA"/>
    <w:rsid w:val="00113FEF"/>
    <w:rsid w:val="0011498E"/>
    <w:rsid w:val="00114B53"/>
    <w:rsid w:val="00114DB0"/>
    <w:rsid w:val="00116A3D"/>
    <w:rsid w:val="00117313"/>
    <w:rsid w:val="001173AA"/>
    <w:rsid w:val="00117A45"/>
    <w:rsid w:val="00120152"/>
    <w:rsid w:val="00120D57"/>
    <w:rsid w:val="00120F41"/>
    <w:rsid w:val="0012131D"/>
    <w:rsid w:val="001224AE"/>
    <w:rsid w:val="00124121"/>
    <w:rsid w:val="00124950"/>
    <w:rsid w:val="001255B0"/>
    <w:rsid w:val="00127133"/>
    <w:rsid w:val="00130017"/>
    <w:rsid w:val="001315C8"/>
    <w:rsid w:val="001337D4"/>
    <w:rsid w:val="00134108"/>
    <w:rsid w:val="00134C7B"/>
    <w:rsid w:val="00134CD3"/>
    <w:rsid w:val="00135004"/>
    <w:rsid w:val="0013538D"/>
    <w:rsid w:val="001368FF"/>
    <w:rsid w:val="001373BB"/>
    <w:rsid w:val="00140A1D"/>
    <w:rsid w:val="001424C1"/>
    <w:rsid w:val="00142C28"/>
    <w:rsid w:val="00143AC9"/>
    <w:rsid w:val="0014633B"/>
    <w:rsid w:val="00147307"/>
    <w:rsid w:val="0014730A"/>
    <w:rsid w:val="00147C12"/>
    <w:rsid w:val="00150A04"/>
    <w:rsid w:val="001527A1"/>
    <w:rsid w:val="001527D3"/>
    <w:rsid w:val="001530DC"/>
    <w:rsid w:val="00153752"/>
    <w:rsid w:val="0015385B"/>
    <w:rsid w:val="00153A65"/>
    <w:rsid w:val="00154989"/>
    <w:rsid w:val="00155A9F"/>
    <w:rsid w:val="0015659C"/>
    <w:rsid w:val="00157139"/>
    <w:rsid w:val="00160262"/>
    <w:rsid w:val="00163B9F"/>
    <w:rsid w:val="001670F1"/>
    <w:rsid w:val="0016780A"/>
    <w:rsid w:val="001713FA"/>
    <w:rsid w:val="00173704"/>
    <w:rsid w:val="00173CFF"/>
    <w:rsid w:val="00173EBF"/>
    <w:rsid w:val="00173F04"/>
    <w:rsid w:val="00174A81"/>
    <w:rsid w:val="00175ED3"/>
    <w:rsid w:val="0017665F"/>
    <w:rsid w:val="0018058B"/>
    <w:rsid w:val="001805C6"/>
    <w:rsid w:val="001842A2"/>
    <w:rsid w:val="001843CC"/>
    <w:rsid w:val="00184E85"/>
    <w:rsid w:val="00186C6A"/>
    <w:rsid w:val="00187707"/>
    <w:rsid w:val="00187FA8"/>
    <w:rsid w:val="001919F0"/>
    <w:rsid w:val="00192F5E"/>
    <w:rsid w:val="001946E6"/>
    <w:rsid w:val="001955CD"/>
    <w:rsid w:val="00195635"/>
    <w:rsid w:val="001958AA"/>
    <w:rsid w:val="00197645"/>
    <w:rsid w:val="00197772"/>
    <w:rsid w:val="001A34A7"/>
    <w:rsid w:val="001A4BDE"/>
    <w:rsid w:val="001A4CEA"/>
    <w:rsid w:val="001A51C8"/>
    <w:rsid w:val="001B007B"/>
    <w:rsid w:val="001B1011"/>
    <w:rsid w:val="001B340C"/>
    <w:rsid w:val="001B3A80"/>
    <w:rsid w:val="001B4CA8"/>
    <w:rsid w:val="001B53F5"/>
    <w:rsid w:val="001B5AA8"/>
    <w:rsid w:val="001B5EA1"/>
    <w:rsid w:val="001B5EDC"/>
    <w:rsid w:val="001B7E4F"/>
    <w:rsid w:val="001C4F3D"/>
    <w:rsid w:val="001C603C"/>
    <w:rsid w:val="001C68E7"/>
    <w:rsid w:val="001C6C25"/>
    <w:rsid w:val="001C6ECC"/>
    <w:rsid w:val="001C70CA"/>
    <w:rsid w:val="001D0CDC"/>
    <w:rsid w:val="001D0FE1"/>
    <w:rsid w:val="001D1D82"/>
    <w:rsid w:val="001D63C2"/>
    <w:rsid w:val="001D7DA8"/>
    <w:rsid w:val="001E1182"/>
    <w:rsid w:val="001E1C92"/>
    <w:rsid w:val="001F0991"/>
    <w:rsid w:val="001F2CA0"/>
    <w:rsid w:val="001F2CF9"/>
    <w:rsid w:val="001F2DD5"/>
    <w:rsid w:val="001F4207"/>
    <w:rsid w:val="001F4CAA"/>
    <w:rsid w:val="001F5589"/>
    <w:rsid w:val="001F7577"/>
    <w:rsid w:val="001F7CF3"/>
    <w:rsid w:val="0020149F"/>
    <w:rsid w:val="00202C90"/>
    <w:rsid w:val="0020409C"/>
    <w:rsid w:val="00204D44"/>
    <w:rsid w:val="002066CC"/>
    <w:rsid w:val="0020776E"/>
    <w:rsid w:val="00210E6E"/>
    <w:rsid w:val="00211D1E"/>
    <w:rsid w:val="002133EE"/>
    <w:rsid w:val="00213DE8"/>
    <w:rsid w:val="00214327"/>
    <w:rsid w:val="00215128"/>
    <w:rsid w:val="00215FE3"/>
    <w:rsid w:val="00216118"/>
    <w:rsid w:val="00216DC7"/>
    <w:rsid w:val="00217369"/>
    <w:rsid w:val="0021756E"/>
    <w:rsid w:val="00220161"/>
    <w:rsid w:val="002209AB"/>
    <w:rsid w:val="00221009"/>
    <w:rsid w:val="00223C3E"/>
    <w:rsid w:val="00224D67"/>
    <w:rsid w:val="002251E3"/>
    <w:rsid w:val="002257CB"/>
    <w:rsid w:val="002266E5"/>
    <w:rsid w:val="00227603"/>
    <w:rsid w:val="00227A95"/>
    <w:rsid w:val="00227D4A"/>
    <w:rsid w:val="002316BD"/>
    <w:rsid w:val="00231903"/>
    <w:rsid w:val="00231C67"/>
    <w:rsid w:val="0023366D"/>
    <w:rsid w:val="00237D40"/>
    <w:rsid w:val="00242C26"/>
    <w:rsid w:val="00244621"/>
    <w:rsid w:val="00246FA7"/>
    <w:rsid w:val="00246FC1"/>
    <w:rsid w:val="002473FC"/>
    <w:rsid w:val="002517B4"/>
    <w:rsid w:val="002517E3"/>
    <w:rsid w:val="00252E3C"/>
    <w:rsid w:val="00252EF5"/>
    <w:rsid w:val="002559FD"/>
    <w:rsid w:val="00256A47"/>
    <w:rsid w:val="00257D91"/>
    <w:rsid w:val="00261448"/>
    <w:rsid w:val="00262198"/>
    <w:rsid w:val="002633F0"/>
    <w:rsid w:val="00264D56"/>
    <w:rsid w:val="00264E2C"/>
    <w:rsid w:val="00265044"/>
    <w:rsid w:val="002671BC"/>
    <w:rsid w:val="0027138D"/>
    <w:rsid w:val="00271572"/>
    <w:rsid w:val="002725F9"/>
    <w:rsid w:val="0027415B"/>
    <w:rsid w:val="002746B4"/>
    <w:rsid w:val="00274B3E"/>
    <w:rsid w:val="002755C8"/>
    <w:rsid w:val="0027622F"/>
    <w:rsid w:val="00276C80"/>
    <w:rsid w:val="00277F9E"/>
    <w:rsid w:val="00282293"/>
    <w:rsid w:val="00282958"/>
    <w:rsid w:val="00282A97"/>
    <w:rsid w:val="00285F1B"/>
    <w:rsid w:val="00286583"/>
    <w:rsid w:val="00287189"/>
    <w:rsid w:val="002874EA"/>
    <w:rsid w:val="00287748"/>
    <w:rsid w:val="00291560"/>
    <w:rsid w:val="00291DA7"/>
    <w:rsid w:val="00292B81"/>
    <w:rsid w:val="0029307F"/>
    <w:rsid w:val="002936BC"/>
    <w:rsid w:val="0029425E"/>
    <w:rsid w:val="00294966"/>
    <w:rsid w:val="002962EF"/>
    <w:rsid w:val="0029751A"/>
    <w:rsid w:val="002A1844"/>
    <w:rsid w:val="002A2502"/>
    <w:rsid w:val="002A32E4"/>
    <w:rsid w:val="002A4A18"/>
    <w:rsid w:val="002A4F1A"/>
    <w:rsid w:val="002A501A"/>
    <w:rsid w:val="002A6ED2"/>
    <w:rsid w:val="002B18AE"/>
    <w:rsid w:val="002B1EC7"/>
    <w:rsid w:val="002B2105"/>
    <w:rsid w:val="002B2AF9"/>
    <w:rsid w:val="002B5638"/>
    <w:rsid w:val="002B5AC1"/>
    <w:rsid w:val="002B5FC0"/>
    <w:rsid w:val="002B618A"/>
    <w:rsid w:val="002B656C"/>
    <w:rsid w:val="002B79B0"/>
    <w:rsid w:val="002C070F"/>
    <w:rsid w:val="002C1A02"/>
    <w:rsid w:val="002C1C93"/>
    <w:rsid w:val="002C3A77"/>
    <w:rsid w:val="002C3F79"/>
    <w:rsid w:val="002C5066"/>
    <w:rsid w:val="002C51E9"/>
    <w:rsid w:val="002C5813"/>
    <w:rsid w:val="002C6276"/>
    <w:rsid w:val="002C679A"/>
    <w:rsid w:val="002D172C"/>
    <w:rsid w:val="002D1B00"/>
    <w:rsid w:val="002D2153"/>
    <w:rsid w:val="002D39A0"/>
    <w:rsid w:val="002D4AAC"/>
    <w:rsid w:val="002D58F2"/>
    <w:rsid w:val="002D66DB"/>
    <w:rsid w:val="002D77DE"/>
    <w:rsid w:val="002E1189"/>
    <w:rsid w:val="002E13CE"/>
    <w:rsid w:val="002E215E"/>
    <w:rsid w:val="002E5E0F"/>
    <w:rsid w:val="002F045A"/>
    <w:rsid w:val="002F0B87"/>
    <w:rsid w:val="002F0C8B"/>
    <w:rsid w:val="002F19E5"/>
    <w:rsid w:val="002F4326"/>
    <w:rsid w:val="002F46C2"/>
    <w:rsid w:val="002F564A"/>
    <w:rsid w:val="002F5A1E"/>
    <w:rsid w:val="002F6755"/>
    <w:rsid w:val="002F712A"/>
    <w:rsid w:val="003001F0"/>
    <w:rsid w:val="0030039D"/>
    <w:rsid w:val="0030326F"/>
    <w:rsid w:val="00304481"/>
    <w:rsid w:val="003065E2"/>
    <w:rsid w:val="00306B34"/>
    <w:rsid w:val="00310701"/>
    <w:rsid w:val="00310C57"/>
    <w:rsid w:val="00310F46"/>
    <w:rsid w:val="003156EF"/>
    <w:rsid w:val="00315980"/>
    <w:rsid w:val="00316F7F"/>
    <w:rsid w:val="00317609"/>
    <w:rsid w:val="003216FA"/>
    <w:rsid w:val="003218E8"/>
    <w:rsid w:val="00322236"/>
    <w:rsid w:val="0032244A"/>
    <w:rsid w:val="003227AD"/>
    <w:rsid w:val="00323965"/>
    <w:rsid w:val="00323CA8"/>
    <w:rsid w:val="00325A2F"/>
    <w:rsid w:val="00325E34"/>
    <w:rsid w:val="00326146"/>
    <w:rsid w:val="00326536"/>
    <w:rsid w:val="00330DCE"/>
    <w:rsid w:val="00331E11"/>
    <w:rsid w:val="00332E40"/>
    <w:rsid w:val="00332F90"/>
    <w:rsid w:val="00334761"/>
    <w:rsid w:val="003360C2"/>
    <w:rsid w:val="00337EBC"/>
    <w:rsid w:val="00341086"/>
    <w:rsid w:val="00341DCD"/>
    <w:rsid w:val="00342383"/>
    <w:rsid w:val="003425DD"/>
    <w:rsid w:val="003440A6"/>
    <w:rsid w:val="00344E46"/>
    <w:rsid w:val="0034563E"/>
    <w:rsid w:val="003461FF"/>
    <w:rsid w:val="00347E84"/>
    <w:rsid w:val="003503DF"/>
    <w:rsid w:val="003518D6"/>
    <w:rsid w:val="0035342F"/>
    <w:rsid w:val="00354031"/>
    <w:rsid w:val="0035460C"/>
    <w:rsid w:val="003546E9"/>
    <w:rsid w:val="003556BD"/>
    <w:rsid w:val="00356E9C"/>
    <w:rsid w:val="00356F32"/>
    <w:rsid w:val="00360D05"/>
    <w:rsid w:val="003618D3"/>
    <w:rsid w:val="00361E02"/>
    <w:rsid w:val="00365147"/>
    <w:rsid w:val="00365F93"/>
    <w:rsid w:val="0037016E"/>
    <w:rsid w:val="0037071C"/>
    <w:rsid w:val="00371F13"/>
    <w:rsid w:val="0037277F"/>
    <w:rsid w:val="00372908"/>
    <w:rsid w:val="00372C39"/>
    <w:rsid w:val="00372FF4"/>
    <w:rsid w:val="0037385A"/>
    <w:rsid w:val="00375DF7"/>
    <w:rsid w:val="00376B57"/>
    <w:rsid w:val="00380432"/>
    <w:rsid w:val="00381C3D"/>
    <w:rsid w:val="00383020"/>
    <w:rsid w:val="00383C95"/>
    <w:rsid w:val="003849BC"/>
    <w:rsid w:val="0038555B"/>
    <w:rsid w:val="00387CED"/>
    <w:rsid w:val="00387D68"/>
    <w:rsid w:val="00387ECB"/>
    <w:rsid w:val="00387F45"/>
    <w:rsid w:val="00394D7E"/>
    <w:rsid w:val="003975FD"/>
    <w:rsid w:val="003A15C6"/>
    <w:rsid w:val="003A1B86"/>
    <w:rsid w:val="003A3096"/>
    <w:rsid w:val="003A3317"/>
    <w:rsid w:val="003A41AF"/>
    <w:rsid w:val="003A5462"/>
    <w:rsid w:val="003A7E3F"/>
    <w:rsid w:val="003B057D"/>
    <w:rsid w:val="003B0C9C"/>
    <w:rsid w:val="003B227D"/>
    <w:rsid w:val="003B2978"/>
    <w:rsid w:val="003B4168"/>
    <w:rsid w:val="003B4A72"/>
    <w:rsid w:val="003B4C9B"/>
    <w:rsid w:val="003B550C"/>
    <w:rsid w:val="003B5945"/>
    <w:rsid w:val="003B60CC"/>
    <w:rsid w:val="003B6202"/>
    <w:rsid w:val="003B6284"/>
    <w:rsid w:val="003C1546"/>
    <w:rsid w:val="003C1B25"/>
    <w:rsid w:val="003C2443"/>
    <w:rsid w:val="003C285B"/>
    <w:rsid w:val="003C2AD2"/>
    <w:rsid w:val="003C2FC6"/>
    <w:rsid w:val="003C4E96"/>
    <w:rsid w:val="003C56AB"/>
    <w:rsid w:val="003C5770"/>
    <w:rsid w:val="003C5DA3"/>
    <w:rsid w:val="003C6AC7"/>
    <w:rsid w:val="003D06EE"/>
    <w:rsid w:val="003D18E5"/>
    <w:rsid w:val="003D3277"/>
    <w:rsid w:val="003D41BE"/>
    <w:rsid w:val="003D4BCD"/>
    <w:rsid w:val="003D6C2B"/>
    <w:rsid w:val="003E01D8"/>
    <w:rsid w:val="003E1E91"/>
    <w:rsid w:val="003E2100"/>
    <w:rsid w:val="003E3C88"/>
    <w:rsid w:val="003E4571"/>
    <w:rsid w:val="003E54CA"/>
    <w:rsid w:val="003E6E49"/>
    <w:rsid w:val="003E722E"/>
    <w:rsid w:val="003F22B4"/>
    <w:rsid w:val="003F5CCD"/>
    <w:rsid w:val="003F6F5B"/>
    <w:rsid w:val="003F7903"/>
    <w:rsid w:val="00400625"/>
    <w:rsid w:val="00400844"/>
    <w:rsid w:val="0040210C"/>
    <w:rsid w:val="004024F6"/>
    <w:rsid w:val="00402720"/>
    <w:rsid w:val="00403196"/>
    <w:rsid w:val="0040342D"/>
    <w:rsid w:val="00403D84"/>
    <w:rsid w:val="00403FA2"/>
    <w:rsid w:val="004044FC"/>
    <w:rsid w:val="00405920"/>
    <w:rsid w:val="00407F97"/>
    <w:rsid w:val="00411823"/>
    <w:rsid w:val="0041192D"/>
    <w:rsid w:val="00411D58"/>
    <w:rsid w:val="00412B70"/>
    <w:rsid w:val="00413EE1"/>
    <w:rsid w:val="00414296"/>
    <w:rsid w:val="00415D92"/>
    <w:rsid w:val="00417C27"/>
    <w:rsid w:val="0042128E"/>
    <w:rsid w:val="00423A0F"/>
    <w:rsid w:val="004269C2"/>
    <w:rsid w:val="0043021B"/>
    <w:rsid w:val="00431E2E"/>
    <w:rsid w:val="00432B60"/>
    <w:rsid w:val="00433369"/>
    <w:rsid w:val="004400B9"/>
    <w:rsid w:val="00440698"/>
    <w:rsid w:val="004406A4"/>
    <w:rsid w:val="00440D80"/>
    <w:rsid w:val="00444568"/>
    <w:rsid w:val="00444626"/>
    <w:rsid w:val="00445D77"/>
    <w:rsid w:val="00446EEE"/>
    <w:rsid w:val="004479E5"/>
    <w:rsid w:val="00450D98"/>
    <w:rsid w:val="00450F8B"/>
    <w:rsid w:val="004537C6"/>
    <w:rsid w:val="004540E2"/>
    <w:rsid w:val="00454454"/>
    <w:rsid w:val="004606C9"/>
    <w:rsid w:val="00462145"/>
    <w:rsid w:val="004631C2"/>
    <w:rsid w:val="00463A45"/>
    <w:rsid w:val="004649FA"/>
    <w:rsid w:val="00464BC3"/>
    <w:rsid w:val="00467924"/>
    <w:rsid w:val="004712A5"/>
    <w:rsid w:val="0047266F"/>
    <w:rsid w:val="0047291A"/>
    <w:rsid w:val="00472974"/>
    <w:rsid w:val="00473186"/>
    <w:rsid w:val="0047331D"/>
    <w:rsid w:val="00473E5D"/>
    <w:rsid w:val="00474749"/>
    <w:rsid w:val="004758B2"/>
    <w:rsid w:val="004758E1"/>
    <w:rsid w:val="00475CED"/>
    <w:rsid w:val="0047635B"/>
    <w:rsid w:val="00476D6B"/>
    <w:rsid w:val="004819FB"/>
    <w:rsid w:val="00481F4F"/>
    <w:rsid w:val="00482AC4"/>
    <w:rsid w:val="004834A6"/>
    <w:rsid w:val="00484710"/>
    <w:rsid w:val="00484C62"/>
    <w:rsid w:val="00486475"/>
    <w:rsid w:val="00486C71"/>
    <w:rsid w:val="00486C85"/>
    <w:rsid w:val="00492C16"/>
    <w:rsid w:val="004948BF"/>
    <w:rsid w:val="00494EF5"/>
    <w:rsid w:val="00497159"/>
    <w:rsid w:val="00497540"/>
    <w:rsid w:val="004A0678"/>
    <w:rsid w:val="004A2F45"/>
    <w:rsid w:val="004A48A3"/>
    <w:rsid w:val="004A4CB8"/>
    <w:rsid w:val="004A71A5"/>
    <w:rsid w:val="004A7B9D"/>
    <w:rsid w:val="004A7C56"/>
    <w:rsid w:val="004B0B40"/>
    <w:rsid w:val="004B0D92"/>
    <w:rsid w:val="004B0EC0"/>
    <w:rsid w:val="004B165F"/>
    <w:rsid w:val="004B260B"/>
    <w:rsid w:val="004B4277"/>
    <w:rsid w:val="004B6201"/>
    <w:rsid w:val="004B66F1"/>
    <w:rsid w:val="004C29A0"/>
    <w:rsid w:val="004C3C0B"/>
    <w:rsid w:val="004C3EA0"/>
    <w:rsid w:val="004C4525"/>
    <w:rsid w:val="004C6CCE"/>
    <w:rsid w:val="004D0C99"/>
    <w:rsid w:val="004D0E9E"/>
    <w:rsid w:val="004D0F2F"/>
    <w:rsid w:val="004D3706"/>
    <w:rsid w:val="004D4C85"/>
    <w:rsid w:val="004D6649"/>
    <w:rsid w:val="004D665B"/>
    <w:rsid w:val="004D6958"/>
    <w:rsid w:val="004D73B6"/>
    <w:rsid w:val="004D7D28"/>
    <w:rsid w:val="004E0008"/>
    <w:rsid w:val="004E6C95"/>
    <w:rsid w:val="004E7333"/>
    <w:rsid w:val="004E73F1"/>
    <w:rsid w:val="004E7A5A"/>
    <w:rsid w:val="004F190F"/>
    <w:rsid w:val="004F33D4"/>
    <w:rsid w:val="004F43E3"/>
    <w:rsid w:val="004F44CD"/>
    <w:rsid w:val="004F4A6F"/>
    <w:rsid w:val="004F4AF0"/>
    <w:rsid w:val="004F58F9"/>
    <w:rsid w:val="004F5EA4"/>
    <w:rsid w:val="004F6243"/>
    <w:rsid w:val="004F6B53"/>
    <w:rsid w:val="004F6F4B"/>
    <w:rsid w:val="004F7169"/>
    <w:rsid w:val="00500D66"/>
    <w:rsid w:val="005037E3"/>
    <w:rsid w:val="00503A8B"/>
    <w:rsid w:val="00503B43"/>
    <w:rsid w:val="00503C84"/>
    <w:rsid w:val="00506175"/>
    <w:rsid w:val="005069B4"/>
    <w:rsid w:val="00506FD0"/>
    <w:rsid w:val="00510B98"/>
    <w:rsid w:val="0051157D"/>
    <w:rsid w:val="005131BF"/>
    <w:rsid w:val="00513414"/>
    <w:rsid w:val="0051347A"/>
    <w:rsid w:val="00514C5D"/>
    <w:rsid w:val="00514C8E"/>
    <w:rsid w:val="005169AF"/>
    <w:rsid w:val="00522354"/>
    <w:rsid w:val="00524058"/>
    <w:rsid w:val="00524D63"/>
    <w:rsid w:val="00531DBF"/>
    <w:rsid w:val="005330E9"/>
    <w:rsid w:val="005332A6"/>
    <w:rsid w:val="005344FD"/>
    <w:rsid w:val="00534701"/>
    <w:rsid w:val="00537B5C"/>
    <w:rsid w:val="00540AAF"/>
    <w:rsid w:val="00545759"/>
    <w:rsid w:val="00545BE0"/>
    <w:rsid w:val="00546023"/>
    <w:rsid w:val="00546930"/>
    <w:rsid w:val="00552BB3"/>
    <w:rsid w:val="00554C6A"/>
    <w:rsid w:val="005555CB"/>
    <w:rsid w:val="00555BBB"/>
    <w:rsid w:val="00557756"/>
    <w:rsid w:val="00562BBF"/>
    <w:rsid w:val="00562E85"/>
    <w:rsid w:val="0056332F"/>
    <w:rsid w:val="00563534"/>
    <w:rsid w:val="00564BC9"/>
    <w:rsid w:val="00566137"/>
    <w:rsid w:val="00566EE0"/>
    <w:rsid w:val="00567933"/>
    <w:rsid w:val="005719B3"/>
    <w:rsid w:val="00571C1A"/>
    <w:rsid w:val="005724BC"/>
    <w:rsid w:val="005726FB"/>
    <w:rsid w:val="0057295E"/>
    <w:rsid w:val="00572F54"/>
    <w:rsid w:val="005731D6"/>
    <w:rsid w:val="00573A00"/>
    <w:rsid w:val="00574DD7"/>
    <w:rsid w:val="005751AC"/>
    <w:rsid w:val="005758F6"/>
    <w:rsid w:val="005772A8"/>
    <w:rsid w:val="005806BB"/>
    <w:rsid w:val="00581C39"/>
    <w:rsid w:val="00582C66"/>
    <w:rsid w:val="0058373E"/>
    <w:rsid w:val="00583889"/>
    <w:rsid w:val="00585C24"/>
    <w:rsid w:val="00586908"/>
    <w:rsid w:val="005869AD"/>
    <w:rsid w:val="00586EBF"/>
    <w:rsid w:val="00587915"/>
    <w:rsid w:val="005903B6"/>
    <w:rsid w:val="0059154C"/>
    <w:rsid w:val="0059621B"/>
    <w:rsid w:val="005975C2"/>
    <w:rsid w:val="005A0247"/>
    <w:rsid w:val="005A126E"/>
    <w:rsid w:val="005A15A5"/>
    <w:rsid w:val="005A452F"/>
    <w:rsid w:val="005A4E9D"/>
    <w:rsid w:val="005A4F71"/>
    <w:rsid w:val="005A59BB"/>
    <w:rsid w:val="005A5C95"/>
    <w:rsid w:val="005A5FEE"/>
    <w:rsid w:val="005A680D"/>
    <w:rsid w:val="005A75CC"/>
    <w:rsid w:val="005A7864"/>
    <w:rsid w:val="005B00B5"/>
    <w:rsid w:val="005B140D"/>
    <w:rsid w:val="005B30D9"/>
    <w:rsid w:val="005B40EC"/>
    <w:rsid w:val="005B66D8"/>
    <w:rsid w:val="005B6751"/>
    <w:rsid w:val="005C0537"/>
    <w:rsid w:val="005C1FEA"/>
    <w:rsid w:val="005C284C"/>
    <w:rsid w:val="005C3495"/>
    <w:rsid w:val="005C70E5"/>
    <w:rsid w:val="005C7899"/>
    <w:rsid w:val="005C7DA2"/>
    <w:rsid w:val="005D1583"/>
    <w:rsid w:val="005D2413"/>
    <w:rsid w:val="005D602A"/>
    <w:rsid w:val="005E0C70"/>
    <w:rsid w:val="005E0D8C"/>
    <w:rsid w:val="005E3B65"/>
    <w:rsid w:val="005E3DFC"/>
    <w:rsid w:val="005E4163"/>
    <w:rsid w:val="005E5942"/>
    <w:rsid w:val="005E5C09"/>
    <w:rsid w:val="005E60AF"/>
    <w:rsid w:val="005E629D"/>
    <w:rsid w:val="005F0371"/>
    <w:rsid w:val="005F1BCF"/>
    <w:rsid w:val="005F1DEA"/>
    <w:rsid w:val="005F39B1"/>
    <w:rsid w:val="00600F31"/>
    <w:rsid w:val="00605F5E"/>
    <w:rsid w:val="006066A5"/>
    <w:rsid w:val="00607157"/>
    <w:rsid w:val="00607FC9"/>
    <w:rsid w:val="00611557"/>
    <w:rsid w:val="006130C3"/>
    <w:rsid w:val="00613A65"/>
    <w:rsid w:val="00615A8E"/>
    <w:rsid w:val="0061793F"/>
    <w:rsid w:val="0061796B"/>
    <w:rsid w:val="00622AAC"/>
    <w:rsid w:val="00622C8C"/>
    <w:rsid w:val="00622FE1"/>
    <w:rsid w:val="00623088"/>
    <w:rsid w:val="0062521C"/>
    <w:rsid w:val="00625229"/>
    <w:rsid w:val="006263EC"/>
    <w:rsid w:val="00627E54"/>
    <w:rsid w:val="00630A2B"/>
    <w:rsid w:val="00630C0F"/>
    <w:rsid w:val="00632DC7"/>
    <w:rsid w:val="00633EF7"/>
    <w:rsid w:val="00633F59"/>
    <w:rsid w:val="006357FB"/>
    <w:rsid w:val="00635FB9"/>
    <w:rsid w:val="00636969"/>
    <w:rsid w:val="00636DD8"/>
    <w:rsid w:val="006406FC"/>
    <w:rsid w:val="00640E57"/>
    <w:rsid w:val="0064227F"/>
    <w:rsid w:val="00642EE6"/>
    <w:rsid w:val="0064476B"/>
    <w:rsid w:val="00645C89"/>
    <w:rsid w:val="00646122"/>
    <w:rsid w:val="00650654"/>
    <w:rsid w:val="00652425"/>
    <w:rsid w:val="00653E16"/>
    <w:rsid w:val="0065452B"/>
    <w:rsid w:val="00654950"/>
    <w:rsid w:val="00655393"/>
    <w:rsid w:val="00657220"/>
    <w:rsid w:val="00657362"/>
    <w:rsid w:val="0066104B"/>
    <w:rsid w:val="006613B8"/>
    <w:rsid w:val="00661EA7"/>
    <w:rsid w:val="0066200B"/>
    <w:rsid w:val="00664039"/>
    <w:rsid w:val="00664450"/>
    <w:rsid w:val="00665358"/>
    <w:rsid w:val="006655EE"/>
    <w:rsid w:val="0066578E"/>
    <w:rsid w:val="00665D7E"/>
    <w:rsid w:val="006661FB"/>
    <w:rsid w:val="00667C10"/>
    <w:rsid w:val="00667EF4"/>
    <w:rsid w:val="00670550"/>
    <w:rsid w:val="00672D05"/>
    <w:rsid w:val="006733AC"/>
    <w:rsid w:val="006756DE"/>
    <w:rsid w:val="00676FCA"/>
    <w:rsid w:val="00677177"/>
    <w:rsid w:val="0068054E"/>
    <w:rsid w:val="00682381"/>
    <w:rsid w:val="00684996"/>
    <w:rsid w:val="00684D88"/>
    <w:rsid w:val="006855D5"/>
    <w:rsid w:val="0068612E"/>
    <w:rsid w:val="0068744F"/>
    <w:rsid w:val="006875D9"/>
    <w:rsid w:val="00687C92"/>
    <w:rsid w:val="00691D1E"/>
    <w:rsid w:val="006937C2"/>
    <w:rsid w:val="0069534E"/>
    <w:rsid w:val="00695D55"/>
    <w:rsid w:val="0069669C"/>
    <w:rsid w:val="006A06C2"/>
    <w:rsid w:val="006A09E5"/>
    <w:rsid w:val="006A1200"/>
    <w:rsid w:val="006A15E8"/>
    <w:rsid w:val="006A1EF5"/>
    <w:rsid w:val="006A2725"/>
    <w:rsid w:val="006A32D6"/>
    <w:rsid w:val="006A3607"/>
    <w:rsid w:val="006A4215"/>
    <w:rsid w:val="006A452D"/>
    <w:rsid w:val="006A4F4E"/>
    <w:rsid w:val="006A576E"/>
    <w:rsid w:val="006A58D7"/>
    <w:rsid w:val="006A657B"/>
    <w:rsid w:val="006A6C23"/>
    <w:rsid w:val="006A7307"/>
    <w:rsid w:val="006B14DB"/>
    <w:rsid w:val="006B21C4"/>
    <w:rsid w:val="006B2841"/>
    <w:rsid w:val="006B3573"/>
    <w:rsid w:val="006B383C"/>
    <w:rsid w:val="006B6EF9"/>
    <w:rsid w:val="006B6F62"/>
    <w:rsid w:val="006B7644"/>
    <w:rsid w:val="006B791A"/>
    <w:rsid w:val="006C03B6"/>
    <w:rsid w:val="006C03C6"/>
    <w:rsid w:val="006C28AA"/>
    <w:rsid w:val="006C2A0F"/>
    <w:rsid w:val="006C4A1A"/>
    <w:rsid w:val="006C502D"/>
    <w:rsid w:val="006D0393"/>
    <w:rsid w:val="006D1A83"/>
    <w:rsid w:val="006D3BC9"/>
    <w:rsid w:val="006D4BEA"/>
    <w:rsid w:val="006D76A6"/>
    <w:rsid w:val="006D7FF0"/>
    <w:rsid w:val="006E0F01"/>
    <w:rsid w:val="006E1CFE"/>
    <w:rsid w:val="006E342E"/>
    <w:rsid w:val="006E47F9"/>
    <w:rsid w:val="006E4AB6"/>
    <w:rsid w:val="006E4D85"/>
    <w:rsid w:val="006E4EA3"/>
    <w:rsid w:val="006E549D"/>
    <w:rsid w:val="006E5DFE"/>
    <w:rsid w:val="006E6E14"/>
    <w:rsid w:val="006F10C4"/>
    <w:rsid w:val="006F172A"/>
    <w:rsid w:val="006F3912"/>
    <w:rsid w:val="006F40E9"/>
    <w:rsid w:val="006F5603"/>
    <w:rsid w:val="006F60BC"/>
    <w:rsid w:val="006F65B1"/>
    <w:rsid w:val="006F7B87"/>
    <w:rsid w:val="00700443"/>
    <w:rsid w:val="0070086B"/>
    <w:rsid w:val="00701400"/>
    <w:rsid w:val="00701E70"/>
    <w:rsid w:val="00702EB1"/>
    <w:rsid w:val="0070373D"/>
    <w:rsid w:val="007037CF"/>
    <w:rsid w:val="00703954"/>
    <w:rsid w:val="00706C10"/>
    <w:rsid w:val="00707DD3"/>
    <w:rsid w:val="00710186"/>
    <w:rsid w:val="00711B47"/>
    <w:rsid w:val="00712801"/>
    <w:rsid w:val="007129BB"/>
    <w:rsid w:val="0071537C"/>
    <w:rsid w:val="007153C9"/>
    <w:rsid w:val="007160EC"/>
    <w:rsid w:val="007167C0"/>
    <w:rsid w:val="00717A2A"/>
    <w:rsid w:val="00720481"/>
    <w:rsid w:val="00721AB5"/>
    <w:rsid w:val="00721BDB"/>
    <w:rsid w:val="00723425"/>
    <w:rsid w:val="0072610E"/>
    <w:rsid w:val="007312BE"/>
    <w:rsid w:val="00731B12"/>
    <w:rsid w:val="00732B28"/>
    <w:rsid w:val="00732C1F"/>
    <w:rsid w:val="00733193"/>
    <w:rsid w:val="00734A2C"/>
    <w:rsid w:val="00735AB7"/>
    <w:rsid w:val="00735ABB"/>
    <w:rsid w:val="007361FC"/>
    <w:rsid w:val="0073732F"/>
    <w:rsid w:val="00741C7D"/>
    <w:rsid w:val="00742761"/>
    <w:rsid w:val="007430E0"/>
    <w:rsid w:val="00744DDA"/>
    <w:rsid w:val="00745E03"/>
    <w:rsid w:val="007461F2"/>
    <w:rsid w:val="007467D3"/>
    <w:rsid w:val="00746852"/>
    <w:rsid w:val="00746C63"/>
    <w:rsid w:val="00751899"/>
    <w:rsid w:val="00751D5E"/>
    <w:rsid w:val="007537F4"/>
    <w:rsid w:val="00753BA3"/>
    <w:rsid w:val="0075732A"/>
    <w:rsid w:val="00757F64"/>
    <w:rsid w:val="007600F8"/>
    <w:rsid w:val="00760262"/>
    <w:rsid w:val="00760EC2"/>
    <w:rsid w:val="0076310C"/>
    <w:rsid w:val="00764463"/>
    <w:rsid w:val="0076744F"/>
    <w:rsid w:val="00767BCE"/>
    <w:rsid w:val="00767EFC"/>
    <w:rsid w:val="00770447"/>
    <w:rsid w:val="0077050E"/>
    <w:rsid w:val="007707DE"/>
    <w:rsid w:val="00770B5D"/>
    <w:rsid w:val="007752F1"/>
    <w:rsid w:val="00776768"/>
    <w:rsid w:val="007777A6"/>
    <w:rsid w:val="00780C66"/>
    <w:rsid w:val="00780C96"/>
    <w:rsid w:val="00780D80"/>
    <w:rsid w:val="0078187A"/>
    <w:rsid w:val="00782043"/>
    <w:rsid w:val="007820E9"/>
    <w:rsid w:val="00782FDE"/>
    <w:rsid w:val="00783ABD"/>
    <w:rsid w:val="00785DCC"/>
    <w:rsid w:val="00785FDD"/>
    <w:rsid w:val="0078623F"/>
    <w:rsid w:val="007908C3"/>
    <w:rsid w:val="00791095"/>
    <w:rsid w:val="0079110C"/>
    <w:rsid w:val="007923DF"/>
    <w:rsid w:val="007946F0"/>
    <w:rsid w:val="00794855"/>
    <w:rsid w:val="00794ED8"/>
    <w:rsid w:val="00796A9B"/>
    <w:rsid w:val="00796D89"/>
    <w:rsid w:val="007A0AAC"/>
    <w:rsid w:val="007A0ED7"/>
    <w:rsid w:val="007A1A4B"/>
    <w:rsid w:val="007A2573"/>
    <w:rsid w:val="007A3A3C"/>
    <w:rsid w:val="007A48D6"/>
    <w:rsid w:val="007A5746"/>
    <w:rsid w:val="007A713D"/>
    <w:rsid w:val="007A71A4"/>
    <w:rsid w:val="007B106C"/>
    <w:rsid w:val="007B11A3"/>
    <w:rsid w:val="007B1A4E"/>
    <w:rsid w:val="007B3D05"/>
    <w:rsid w:val="007B3FFA"/>
    <w:rsid w:val="007B45E1"/>
    <w:rsid w:val="007B5503"/>
    <w:rsid w:val="007B7011"/>
    <w:rsid w:val="007C0F2C"/>
    <w:rsid w:val="007C179C"/>
    <w:rsid w:val="007C21E3"/>
    <w:rsid w:val="007C3326"/>
    <w:rsid w:val="007C4D1B"/>
    <w:rsid w:val="007C5183"/>
    <w:rsid w:val="007C5E6B"/>
    <w:rsid w:val="007C6BB3"/>
    <w:rsid w:val="007C6F81"/>
    <w:rsid w:val="007D079E"/>
    <w:rsid w:val="007D0B98"/>
    <w:rsid w:val="007D14B4"/>
    <w:rsid w:val="007D209F"/>
    <w:rsid w:val="007D2C77"/>
    <w:rsid w:val="007D398C"/>
    <w:rsid w:val="007D3A12"/>
    <w:rsid w:val="007D3AD7"/>
    <w:rsid w:val="007D3FC8"/>
    <w:rsid w:val="007D44E5"/>
    <w:rsid w:val="007D52FC"/>
    <w:rsid w:val="007E24F6"/>
    <w:rsid w:val="007E33AD"/>
    <w:rsid w:val="007E3D05"/>
    <w:rsid w:val="007E6086"/>
    <w:rsid w:val="007E6254"/>
    <w:rsid w:val="007F100F"/>
    <w:rsid w:val="007F1ABC"/>
    <w:rsid w:val="007F4930"/>
    <w:rsid w:val="007F64E9"/>
    <w:rsid w:val="00800F64"/>
    <w:rsid w:val="00801050"/>
    <w:rsid w:val="00801733"/>
    <w:rsid w:val="00802278"/>
    <w:rsid w:val="00802F0B"/>
    <w:rsid w:val="0080387F"/>
    <w:rsid w:val="00803C19"/>
    <w:rsid w:val="0080417B"/>
    <w:rsid w:val="0080622B"/>
    <w:rsid w:val="00807BB8"/>
    <w:rsid w:val="008100C2"/>
    <w:rsid w:val="0081083E"/>
    <w:rsid w:val="00810A67"/>
    <w:rsid w:val="00812A19"/>
    <w:rsid w:val="00813112"/>
    <w:rsid w:val="00814BB0"/>
    <w:rsid w:val="00815B57"/>
    <w:rsid w:val="00820158"/>
    <w:rsid w:val="008201A1"/>
    <w:rsid w:val="00820BD3"/>
    <w:rsid w:val="00824478"/>
    <w:rsid w:val="00826520"/>
    <w:rsid w:val="00833CF7"/>
    <w:rsid w:val="0083443D"/>
    <w:rsid w:val="00834CDE"/>
    <w:rsid w:val="008364B9"/>
    <w:rsid w:val="0083760F"/>
    <w:rsid w:val="00837AC4"/>
    <w:rsid w:val="0084029E"/>
    <w:rsid w:val="00842128"/>
    <w:rsid w:val="00842464"/>
    <w:rsid w:val="0084355A"/>
    <w:rsid w:val="00843581"/>
    <w:rsid w:val="0084431D"/>
    <w:rsid w:val="00845601"/>
    <w:rsid w:val="00845C93"/>
    <w:rsid w:val="00850519"/>
    <w:rsid w:val="00850B60"/>
    <w:rsid w:val="008518A7"/>
    <w:rsid w:val="00851D34"/>
    <w:rsid w:val="0085252A"/>
    <w:rsid w:val="00855A7F"/>
    <w:rsid w:val="00855C5C"/>
    <w:rsid w:val="00856377"/>
    <w:rsid w:val="00857067"/>
    <w:rsid w:val="008609EB"/>
    <w:rsid w:val="00865A2F"/>
    <w:rsid w:val="00866AF9"/>
    <w:rsid w:val="00867590"/>
    <w:rsid w:val="008679B5"/>
    <w:rsid w:val="0087295F"/>
    <w:rsid w:val="00872E87"/>
    <w:rsid w:val="00872FA3"/>
    <w:rsid w:val="00874E3F"/>
    <w:rsid w:val="00876600"/>
    <w:rsid w:val="0088035E"/>
    <w:rsid w:val="00880BC9"/>
    <w:rsid w:val="008823E8"/>
    <w:rsid w:val="00885298"/>
    <w:rsid w:val="008866EF"/>
    <w:rsid w:val="00886E69"/>
    <w:rsid w:val="00886EBD"/>
    <w:rsid w:val="00887241"/>
    <w:rsid w:val="00890D1F"/>
    <w:rsid w:val="008911EC"/>
    <w:rsid w:val="008918E8"/>
    <w:rsid w:val="00891A31"/>
    <w:rsid w:val="00893305"/>
    <w:rsid w:val="0089486F"/>
    <w:rsid w:val="008971AC"/>
    <w:rsid w:val="00897628"/>
    <w:rsid w:val="00897DE4"/>
    <w:rsid w:val="008A13DF"/>
    <w:rsid w:val="008A16B4"/>
    <w:rsid w:val="008A2023"/>
    <w:rsid w:val="008A28AD"/>
    <w:rsid w:val="008A3989"/>
    <w:rsid w:val="008A3C96"/>
    <w:rsid w:val="008A78FB"/>
    <w:rsid w:val="008B24EF"/>
    <w:rsid w:val="008B4019"/>
    <w:rsid w:val="008B5365"/>
    <w:rsid w:val="008B65C9"/>
    <w:rsid w:val="008C2D4A"/>
    <w:rsid w:val="008C33F1"/>
    <w:rsid w:val="008C3AD7"/>
    <w:rsid w:val="008C5CEE"/>
    <w:rsid w:val="008C6E20"/>
    <w:rsid w:val="008C6F2B"/>
    <w:rsid w:val="008D0225"/>
    <w:rsid w:val="008D2FD2"/>
    <w:rsid w:val="008D388B"/>
    <w:rsid w:val="008D3900"/>
    <w:rsid w:val="008D402D"/>
    <w:rsid w:val="008D4674"/>
    <w:rsid w:val="008D546B"/>
    <w:rsid w:val="008D6E1D"/>
    <w:rsid w:val="008E2BC5"/>
    <w:rsid w:val="008E3115"/>
    <w:rsid w:val="008E5C09"/>
    <w:rsid w:val="008E72A1"/>
    <w:rsid w:val="008F3739"/>
    <w:rsid w:val="008F39B4"/>
    <w:rsid w:val="008F4162"/>
    <w:rsid w:val="008F496E"/>
    <w:rsid w:val="009006F0"/>
    <w:rsid w:val="009013A8"/>
    <w:rsid w:val="00901FF8"/>
    <w:rsid w:val="009020BA"/>
    <w:rsid w:val="00903E02"/>
    <w:rsid w:val="00904AB9"/>
    <w:rsid w:val="0090783E"/>
    <w:rsid w:val="00913175"/>
    <w:rsid w:val="00914151"/>
    <w:rsid w:val="009155DA"/>
    <w:rsid w:val="0091578C"/>
    <w:rsid w:val="00915F5B"/>
    <w:rsid w:val="00916EDB"/>
    <w:rsid w:val="0092000C"/>
    <w:rsid w:val="00920861"/>
    <w:rsid w:val="00920F8D"/>
    <w:rsid w:val="00922193"/>
    <w:rsid w:val="00922B13"/>
    <w:rsid w:val="00922BD0"/>
    <w:rsid w:val="009242EF"/>
    <w:rsid w:val="009257AD"/>
    <w:rsid w:val="00925A4A"/>
    <w:rsid w:val="00926F65"/>
    <w:rsid w:val="0092755D"/>
    <w:rsid w:val="009304AC"/>
    <w:rsid w:val="0093152B"/>
    <w:rsid w:val="00932291"/>
    <w:rsid w:val="00932861"/>
    <w:rsid w:val="00933B8C"/>
    <w:rsid w:val="0093408E"/>
    <w:rsid w:val="0093589F"/>
    <w:rsid w:val="00935906"/>
    <w:rsid w:val="00936D79"/>
    <w:rsid w:val="00937DA0"/>
    <w:rsid w:val="00943483"/>
    <w:rsid w:val="0094527B"/>
    <w:rsid w:val="009456F4"/>
    <w:rsid w:val="009468BC"/>
    <w:rsid w:val="00951B38"/>
    <w:rsid w:val="00952DDF"/>
    <w:rsid w:val="00953DD6"/>
    <w:rsid w:val="00953FA5"/>
    <w:rsid w:val="00954343"/>
    <w:rsid w:val="009546C6"/>
    <w:rsid w:val="009546FA"/>
    <w:rsid w:val="00957643"/>
    <w:rsid w:val="0096004A"/>
    <w:rsid w:val="009610A3"/>
    <w:rsid w:val="0096116A"/>
    <w:rsid w:val="00963B6A"/>
    <w:rsid w:val="00964A47"/>
    <w:rsid w:val="009650F1"/>
    <w:rsid w:val="00965501"/>
    <w:rsid w:val="00967945"/>
    <w:rsid w:val="00970950"/>
    <w:rsid w:val="00970F1E"/>
    <w:rsid w:val="00971AD8"/>
    <w:rsid w:val="00971EF4"/>
    <w:rsid w:val="009736E6"/>
    <w:rsid w:val="009741DA"/>
    <w:rsid w:val="00976D9A"/>
    <w:rsid w:val="00977BF3"/>
    <w:rsid w:val="00981182"/>
    <w:rsid w:val="009812D4"/>
    <w:rsid w:val="00983951"/>
    <w:rsid w:val="00985213"/>
    <w:rsid w:val="00986025"/>
    <w:rsid w:val="00990E93"/>
    <w:rsid w:val="009920D8"/>
    <w:rsid w:val="009922FC"/>
    <w:rsid w:val="009952F5"/>
    <w:rsid w:val="009A00CB"/>
    <w:rsid w:val="009A0BD8"/>
    <w:rsid w:val="009A1276"/>
    <w:rsid w:val="009A1626"/>
    <w:rsid w:val="009A1B47"/>
    <w:rsid w:val="009A221F"/>
    <w:rsid w:val="009A4046"/>
    <w:rsid w:val="009A4268"/>
    <w:rsid w:val="009A600E"/>
    <w:rsid w:val="009B1DA5"/>
    <w:rsid w:val="009B1F22"/>
    <w:rsid w:val="009B38BE"/>
    <w:rsid w:val="009B57B1"/>
    <w:rsid w:val="009B60F5"/>
    <w:rsid w:val="009B77C1"/>
    <w:rsid w:val="009C1C41"/>
    <w:rsid w:val="009C1C9D"/>
    <w:rsid w:val="009C1E75"/>
    <w:rsid w:val="009C3D0F"/>
    <w:rsid w:val="009C6A7A"/>
    <w:rsid w:val="009D09D1"/>
    <w:rsid w:val="009D1A9D"/>
    <w:rsid w:val="009D2E57"/>
    <w:rsid w:val="009D5019"/>
    <w:rsid w:val="009D5C11"/>
    <w:rsid w:val="009D5F3E"/>
    <w:rsid w:val="009D7531"/>
    <w:rsid w:val="009E1B19"/>
    <w:rsid w:val="009E1EA9"/>
    <w:rsid w:val="009E2A5F"/>
    <w:rsid w:val="009E3F0F"/>
    <w:rsid w:val="009E6DDB"/>
    <w:rsid w:val="009F053A"/>
    <w:rsid w:val="009F19C1"/>
    <w:rsid w:val="009F27C0"/>
    <w:rsid w:val="009F323A"/>
    <w:rsid w:val="009F35E2"/>
    <w:rsid w:val="009F48C8"/>
    <w:rsid w:val="009F4F4D"/>
    <w:rsid w:val="009F56CD"/>
    <w:rsid w:val="009F65F9"/>
    <w:rsid w:val="009F68BA"/>
    <w:rsid w:val="009F6ED2"/>
    <w:rsid w:val="009F7397"/>
    <w:rsid w:val="00A0129B"/>
    <w:rsid w:val="00A0414A"/>
    <w:rsid w:val="00A047AE"/>
    <w:rsid w:val="00A048EA"/>
    <w:rsid w:val="00A06277"/>
    <w:rsid w:val="00A06960"/>
    <w:rsid w:val="00A079DC"/>
    <w:rsid w:val="00A10ED4"/>
    <w:rsid w:val="00A111C2"/>
    <w:rsid w:val="00A12BD7"/>
    <w:rsid w:val="00A13842"/>
    <w:rsid w:val="00A140EC"/>
    <w:rsid w:val="00A1570B"/>
    <w:rsid w:val="00A171DE"/>
    <w:rsid w:val="00A20134"/>
    <w:rsid w:val="00A2046D"/>
    <w:rsid w:val="00A20B30"/>
    <w:rsid w:val="00A21EB8"/>
    <w:rsid w:val="00A23405"/>
    <w:rsid w:val="00A23586"/>
    <w:rsid w:val="00A23801"/>
    <w:rsid w:val="00A24810"/>
    <w:rsid w:val="00A26482"/>
    <w:rsid w:val="00A30087"/>
    <w:rsid w:val="00A338E7"/>
    <w:rsid w:val="00A35CAA"/>
    <w:rsid w:val="00A36E7F"/>
    <w:rsid w:val="00A3713B"/>
    <w:rsid w:val="00A40A62"/>
    <w:rsid w:val="00A411F4"/>
    <w:rsid w:val="00A413BC"/>
    <w:rsid w:val="00A41E65"/>
    <w:rsid w:val="00A42545"/>
    <w:rsid w:val="00A43C1E"/>
    <w:rsid w:val="00A43E0A"/>
    <w:rsid w:val="00A43FF4"/>
    <w:rsid w:val="00A44C99"/>
    <w:rsid w:val="00A465CB"/>
    <w:rsid w:val="00A46723"/>
    <w:rsid w:val="00A47E57"/>
    <w:rsid w:val="00A507C6"/>
    <w:rsid w:val="00A50909"/>
    <w:rsid w:val="00A52653"/>
    <w:rsid w:val="00A52841"/>
    <w:rsid w:val="00A530C7"/>
    <w:rsid w:val="00A53591"/>
    <w:rsid w:val="00A54180"/>
    <w:rsid w:val="00A54B36"/>
    <w:rsid w:val="00A55F5B"/>
    <w:rsid w:val="00A57B02"/>
    <w:rsid w:val="00A57C8D"/>
    <w:rsid w:val="00A60072"/>
    <w:rsid w:val="00A60185"/>
    <w:rsid w:val="00A6060C"/>
    <w:rsid w:val="00A621F7"/>
    <w:rsid w:val="00A644F8"/>
    <w:rsid w:val="00A661EA"/>
    <w:rsid w:val="00A72AB6"/>
    <w:rsid w:val="00A74D3B"/>
    <w:rsid w:val="00A74D55"/>
    <w:rsid w:val="00A74EDE"/>
    <w:rsid w:val="00A74EF3"/>
    <w:rsid w:val="00A7524F"/>
    <w:rsid w:val="00A7732E"/>
    <w:rsid w:val="00A7740B"/>
    <w:rsid w:val="00A7754F"/>
    <w:rsid w:val="00A80743"/>
    <w:rsid w:val="00A816A9"/>
    <w:rsid w:val="00A830E5"/>
    <w:rsid w:val="00A86C50"/>
    <w:rsid w:val="00A87135"/>
    <w:rsid w:val="00A8777B"/>
    <w:rsid w:val="00A87CA7"/>
    <w:rsid w:val="00A93280"/>
    <w:rsid w:val="00A938E0"/>
    <w:rsid w:val="00A951EA"/>
    <w:rsid w:val="00A961C6"/>
    <w:rsid w:val="00AA1E34"/>
    <w:rsid w:val="00AA2548"/>
    <w:rsid w:val="00AA31F4"/>
    <w:rsid w:val="00AA32D8"/>
    <w:rsid w:val="00AA4A3B"/>
    <w:rsid w:val="00AA4C14"/>
    <w:rsid w:val="00AA58C4"/>
    <w:rsid w:val="00AA6D65"/>
    <w:rsid w:val="00AA7003"/>
    <w:rsid w:val="00AB0ED9"/>
    <w:rsid w:val="00AB11C8"/>
    <w:rsid w:val="00AB194A"/>
    <w:rsid w:val="00AB1A92"/>
    <w:rsid w:val="00AB2E22"/>
    <w:rsid w:val="00AB607B"/>
    <w:rsid w:val="00AB6AD7"/>
    <w:rsid w:val="00AB756B"/>
    <w:rsid w:val="00AB7ABF"/>
    <w:rsid w:val="00AC08A8"/>
    <w:rsid w:val="00AC1932"/>
    <w:rsid w:val="00AC4974"/>
    <w:rsid w:val="00AC7B20"/>
    <w:rsid w:val="00AC7B3E"/>
    <w:rsid w:val="00AC7C12"/>
    <w:rsid w:val="00AD2B17"/>
    <w:rsid w:val="00AD316A"/>
    <w:rsid w:val="00AD356C"/>
    <w:rsid w:val="00AD3DB3"/>
    <w:rsid w:val="00AD46C5"/>
    <w:rsid w:val="00AD56C8"/>
    <w:rsid w:val="00AD58F2"/>
    <w:rsid w:val="00AD6EB2"/>
    <w:rsid w:val="00AD788A"/>
    <w:rsid w:val="00AD7B61"/>
    <w:rsid w:val="00AE0631"/>
    <w:rsid w:val="00AE0C16"/>
    <w:rsid w:val="00AE1623"/>
    <w:rsid w:val="00AE1A40"/>
    <w:rsid w:val="00AE25E6"/>
    <w:rsid w:val="00AE2DED"/>
    <w:rsid w:val="00AE4836"/>
    <w:rsid w:val="00AE4E23"/>
    <w:rsid w:val="00AF1FA1"/>
    <w:rsid w:val="00AF23B5"/>
    <w:rsid w:val="00AF3051"/>
    <w:rsid w:val="00AF35FB"/>
    <w:rsid w:val="00AF3899"/>
    <w:rsid w:val="00AF48DD"/>
    <w:rsid w:val="00AF4D30"/>
    <w:rsid w:val="00AF6581"/>
    <w:rsid w:val="00AF79AC"/>
    <w:rsid w:val="00B0034D"/>
    <w:rsid w:val="00B0512A"/>
    <w:rsid w:val="00B0529F"/>
    <w:rsid w:val="00B05CDE"/>
    <w:rsid w:val="00B0632E"/>
    <w:rsid w:val="00B077B7"/>
    <w:rsid w:val="00B11317"/>
    <w:rsid w:val="00B114BE"/>
    <w:rsid w:val="00B120AD"/>
    <w:rsid w:val="00B1418B"/>
    <w:rsid w:val="00B21195"/>
    <w:rsid w:val="00B22A69"/>
    <w:rsid w:val="00B23A93"/>
    <w:rsid w:val="00B24B22"/>
    <w:rsid w:val="00B24E97"/>
    <w:rsid w:val="00B25310"/>
    <w:rsid w:val="00B2553E"/>
    <w:rsid w:val="00B256A3"/>
    <w:rsid w:val="00B30BBF"/>
    <w:rsid w:val="00B325AB"/>
    <w:rsid w:val="00B32CF0"/>
    <w:rsid w:val="00B32F8F"/>
    <w:rsid w:val="00B3492A"/>
    <w:rsid w:val="00B34FD2"/>
    <w:rsid w:val="00B36C38"/>
    <w:rsid w:val="00B401E1"/>
    <w:rsid w:val="00B44388"/>
    <w:rsid w:val="00B44735"/>
    <w:rsid w:val="00B44BAB"/>
    <w:rsid w:val="00B45089"/>
    <w:rsid w:val="00B45BD9"/>
    <w:rsid w:val="00B45FB5"/>
    <w:rsid w:val="00B51861"/>
    <w:rsid w:val="00B51F69"/>
    <w:rsid w:val="00B5309A"/>
    <w:rsid w:val="00B53225"/>
    <w:rsid w:val="00B54137"/>
    <w:rsid w:val="00B54723"/>
    <w:rsid w:val="00B54DE9"/>
    <w:rsid w:val="00B553EC"/>
    <w:rsid w:val="00B55E3F"/>
    <w:rsid w:val="00B6012C"/>
    <w:rsid w:val="00B611AD"/>
    <w:rsid w:val="00B62E1B"/>
    <w:rsid w:val="00B63C1E"/>
    <w:rsid w:val="00B66224"/>
    <w:rsid w:val="00B703E3"/>
    <w:rsid w:val="00B71366"/>
    <w:rsid w:val="00B71EE2"/>
    <w:rsid w:val="00B7599E"/>
    <w:rsid w:val="00B81921"/>
    <w:rsid w:val="00B82576"/>
    <w:rsid w:val="00B833B6"/>
    <w:rsid w:val="00B835E2"/>
    <w:rsid w:val="00B85464"/>
    <w:rsid w:val="00B8629A"/>
    <w:rsid w:val="00B9247D"/>
    <w:rsid w:val="00B935DB"/>
    <w:rsid w:val="00B93CA3"/>
    <w:rsid w:val="00B93DD0"/>
    <w:rsid w:val="00B94A58"/>
    <w:rsid w:val="00B95101"/>
    <w:rsid w:val="00B95490"/>
    <w:rsid w:val="00B972C4"/>
    <w:rsid w:val="00B97732"/>
    <w:rsid w:val="00B97B40"/>
    <w:rsid w:val="00B97C52"/>
    <w:rsid w:val="00BA09B7"/>
    <w:rsid w:val="00BA4918"/>
    <w:rsid w:val="00BA5567"/>
    <w:rsid w:val="00BA5FA6"/>
    <w:rsid w:val="00BA65A8"/>
    <w:rsid w:val="00BA6D19"/>
    <w:rsid w:val="00BA71A2"/>
    <w:rsid w:val="00BA7461"/>
    <w:rsid w:val="00BA7A53"/>
    <w:rsid w:val="00BA7DA9"/>
    <w:rsid w:val="00BB1DC9"/>
    <w:rsid w:val="00BB2D8E"/>
    <w:rsid w:val="00BB38E7"/>
    <w:rsid w:val="00BB514C"/>
    <w:rsid w:val="00BB7810"/>
    <w:rsid w:val="00BC3072"/>
    <w:rsid w:val="00BC4215"/>
    <w:rsid w:val="00BC5432"/>
    <w:rsid w:val="00BC783B"/>
    <w:rsid w:val="00BD1A6F"/>
    <w:rsid w:val="00BD27D0"/>
    <w:rsid w:val="00BD31A9"/>
    <w:rsid w:val="00BD474D"/>
    <w:rsid w:val="00BE0F48"/>
    <w:rsid w:val="00BE1684"/>
    <w:rsid w:val="00BE379F"/>
    <w:rsid w:val="00BE40B4"/>
    <w:rsid w:val="00BE557B"/>
    <w:rsid w:val="00BE5676"/>
    <w:rsid w:val="00BE68A0"/>
    <w:rsid w:val="00BE6C27"/>
    <w:rsid w:val="00BE6D3C"/>
    <w:rsid w:val="00BE7400"/>
    <w:rsid w:val="00BE7852"/>
    <w:rsid w:val="00BF2B2C"/>
    <w:rsid w:val="00BF7B2D"/>
    <w:rsid w:val="00BF7CEE"/>
    <w:rsid w:val="00C009BA"/>
    <w:rsid w:val="00C02863"/>
    <w:rsid w:val="00C03880"/>
    <w:rsid w:val="00C03E8E"/>
    <w:rsid w:val="00C07384"/>
    <w:rsid w:val="00C075DB"/>
    <w:rsid w:val="00C10568"/>
    <w:rsid w:val="00C135CF"/>
    <w:rsid w:val="00C14C77"/>
    <w:rsid w:val="00C15B4B"/>
    <w:rsid w:val="00C16319"/>
    <w:rsid w:val="00C21269"/>
    <w:rsid w:val="00C23495"/>
    <w:rsid w:val="00C267E7"/>
    <w:rsid w:val="00C2683F"/>
    <w:rsid w:val="00C26D49"/>
    <w:rsid w:val="00C3184D"/>
    <w:rsid w:val="00C31947"/>
    <w:rsid w:val="00C32CEB"/>
    <w:rsid w:val="00C32D04"/>
    <w:rsid w:val="00C35CE8"/>
    <w:rsid w:val="00C36425"/>
    <w:rsid w:val="00C40155"/>
    <w:rsid w:val="00C40AD0"/>
    <w:rsid w:val="00C40BED"/>
    <w:rsid w:val="00C41EF9"/>
    <w:rsid w:val="00C449F8"/>
    <w:rsid w:val="00C44D37"/>
    <w:rsid w:val="00C4618F"/>
    <w:rsid w:val="00C47030"/>
    <w:rsid w:val="00C4714E"/>
    <w:rsid w:val="00C47ED8"/>
    <w:rsid w:val="00C50CA0"/>
    <w:rsid w:val="00C5163B"/>
    <w:rsid w:val="00C51A96"/>
    <w:rsid w:val="00C51CCA"/>
    <w:rsid w:val="00C52A6F"/>
    <w:rsid w:val="00C530F4"/>
    <w:rsid w:val="00C53280"/>
    <w:rsid w:val="00C54BA8"/>
    <w:rsid w:val="00C54C25"/>
    <w:rsid w:val="00C5504F"/>
    <w:rsid w:val="00C551E3"/>
    <w:rsid w:val="00C5555C"/>
    <w:rsid w:val="00C55C3C"/>
    <w:rsid w:val="00C5695A"/>
    <w:rsid w:val="00C57B55"/>
    <w:rsid w:val="00C60014"/>
    <w:rsid w:val="00C60293"/>
    <w:rsid w:val="00C6051C"/>
    <w:rsid w:val="00C61F76"/>
    <w:rsid w:val="00C6305A"/>
    <w:rsid w:val="00C63376"/>
    <w:rsid w:val="00C6503E"/>
    <w:rsid w:val="00C70417"/>
    <w:rsid w:val="00C70A58"/>
    <w:rsid w:val="00C718F6"/>
    <w:rsid w:val="00C743A7"/>
    <w:rsid w:val="00C74B33"/>
    <w:rsid w:val="00C74F97"/>
    <w:rsid w:val="00C7504B"/>
    <w:rsid w:val="00C80B34"/>
    <w:rsid w:val="00C80FBF"/>
    <w:rsid w:val="00C8225A"/>
    <w:rsid w:val="00C8276E"/>
    <w:rsid w:val="00C83B59"/>
    <w:rsid w:val="00C842AC"/>
    <w:rsid w:val="00C87353"/>
    <w:rsid w:val="00C87A3D"/>
    <w:rsid w:val="00C9040C"/>
    <w:rsid w:val="00C904CC"/>
    <w:rsid w:val="00C90D66"/>
    <w:rsid w:val="00C91086"/>
    <w:rsid w:val="00C911F1"/>
    <w:rsid w:val="00C92195"/>
    <w:rsid w:val="00C93B12"/>
    <w:rsid w:val="00C95293"/>
    <w:rsid w:val="00C9643F"/>
    <w:rsid w:val="00C96688"/>
    <w:rsid w:val="00C9768B"/>
    <w:rsid w:val="00C97995"/>
    <w:rsid w:val="00CA0723"/>
    <w:rsid w:val="00CA0DF1"/>
    <w:rsid w:val="00CA5BD9"/>
    <w:rsid w:val="00CA6DB9"/>
    <w:rsid w:val="00CB0823"/>
    <w:rsid w:val="00CB0D83"/>
    <w:rsid w:val="00CB1690"/>
    <w:rsid w:val="00CB2289"/>
    <w:rsid w:val="00CB4FF3"/>
    <w:rsid w:val="00CC0205"/>
    <w:rsid w:val="00CC0EA4"/>
    <w:rsid w:val="00CC0FF4"/>
    <w:rsid w:val="00CC1027"/>
    <w:rsid w:val="00CC1A7A"/>
    <w:rsid w:val="00CC3146"/>
    <w:rsid w:val="00CC4365"/>
    <w:rsid w:val="00CC4D16"/>
    <w:rsid w:val="00CC619F"/>
    <w:rsid w:val="00CC7135"/>
    <w:rsid w:val="00CC77AB"/>
    <w:rsid w:val="00CD0543"/>
    <w:rsid w:val="00CD11B0"/>
    <w:rsid w:val="00CD5544"/>
    <w:rsid w:val="00CE2030"/>
    <w:rsid w:val="00CE42D0"/>
    <w:rsid w:val="00CE5261"/>
    <w:rsid w:val="00CE5662"/>
    <w:rsid w:val="00CE5C2A"/>
    <w:rsid w:val="00CE71C2"/>
    <w:rsid w:val="00CE7F4E"/>
    <w:rsid w:val="00CF000E"/>
    <w:rsid w:val="00CF07E4"/>
    <w:rsid w:val="00CF1886"/>
    <w:rsid w:val="00CF1DE5"/>
    <w:rsid w:val="00CF34E9"/>
    <w:rsid w:val="00CF42D5"/>
    <w:rsid w:val="00CF4EDA"/>
    <w:rsid w:val="00CF6540"/>
    <w:rsid w:val="00CF783A"/>
    <w:rsid w:val="00CF7D7F"/>
    <w:rsid w:val="00D021CB"/>
    <w:rsid w:val="00D038BA"/>
    <w:rsid w:val="00D057D0"/>
    <w:rsid w:val="00D0755A"/>
    <w:rsid w:val="00D10553"/>
    <w:rsid w:val="00D105F7"/>
    <w:rsid w:val="00D10CFB"/>
    <w:rsid w:val="00D10F1A"/>
    <w:rsid w:val="00D114A1"/>
    <w:rsid w:val="00D116F8"/>
    <w:rsid w:val="00D133C2"/>
    <w:rsid w:val="00D15182"/>
    <w:rsid w:val="00D15A1A"/>
    <w:rsid w:val="00D16C5F"/>
    <w:rsid w:val="00D17596"/>
    <w:rsid w:val="00D17F0A"/>
    <w:rsid w:val="00D21D54"/>
    <w:rsid w:val="00D22640"/>
    <w:rsid w:val="00D243F5"/>
    <w:rsid w:val="00D2475A"/>
    <w:rsid w:val="00D24D14"/>
    <w:rsid w:val="00D24E51"/>
    <w:rsid w:val="00D25497"/>
    <w:rsid w:val="00D262E4"/>
    <w:rsid w:val="00D26D3A"/>
    <w:rsid w:val="00D312D2"/>
    <w:rsid w:val="00D34F10"/>
    <w:rsid w:val="00D3581F"/>
    <w:rsid w:val="00D40B13"/>
    <w:rsid w:val="00D4173A"/>
    <w:rsid w:val="00D42604"/>
    <w:rsid w:val="00D4296B"/>
    <w:rsid w:val="00D42A2C"/>
    <w:rsid w:val="00D42B91"/>
    <w:rsid w:val="00D445DC"/>
    <w:rsid w:val="00D45203"/>
    <w:rsid w:val="00D45EE3"/>
    <w:rsid w:val="00D50618"/>
    <w:rsid w:val="00D509E9"/>
    <w:rsid w:val="00D5146D"/>
    <w:rsid w:val="00D53A6E"/>
    <w:rsid w:val="00D53B1C"/>
    <w:rsid w:val="00D6184A"/>
    <w:rsid w:val="00D61CBE"/>
    <w:rsid w:val="00D63066"/>
    <w:rsid w:val="00D6335C"/>
    <w:rsid w:val="00D6413F"/>
    <w:rsid w:val="00D664CB"/>
    <w:rsid w:val="00D66F47"/>
    <w:rsid w:val="00D67A84"/>
    <w:rsid w:val="00D724FD"/>
    <w:rsid w:val="00D72E67"/>
    <w:rsid w:val="00D7416C"/>
    <w:rsid w:val="00D741FA"/>
    <w:rsid w:val="00D74F13"/>
    <w:rsid w:val="00D76822"/>
    <w:rsid w:val="00D90316"/>
    <w:rsid w:val="00D9446F"/>
    <w:rsid w:val="00D95E5E"/>
    <w:rsid w:val="00D975F0"/>
    <w:rsid w:val="00D97756"/>
    <w:rsid w:val="00D97CBC"/>
    <w:rsid w:val="00D97D6A"/>
    <w:rsid w:val="00DA1B12"/>
    <w:rsid w:val="00DA34F5"/>
    <w:rsid w:val="00DA4113"/>
    <w:rsid w:val="00DA54C9"/>
    <w:rsid w:val="00DA6739"/>
    <w:rsid w:val="00DA693C"/>
    <w:rsid w:val="00DA6CAE"/>
    <w:rsid w:val="00DA7A45"/>
    <w:rsid w:val="00DA7EFC"/>
    <w:rsid w:val="00DB1A9E"/>
    <w:rsid w:val="00DB29C8"/>
    <w:rsid w:val="00DB31D6"/>
    <w:rsid w:val="00DB342C"/>
    <w:rsid w:val="00DB3AC2"/>
    <w:rsid w:val="00DB4005"/>
    <w:rsid w:val="00DB4D33"/>
    <w:rsid w:val="00DB58C1"/>
    <w:rsid w:val="00DC03D4"/>
    <w:rsid w:val="00DC0695"/>
    <w:rsid w:val="00DC34EB"/>
    <w:rsid w:val="00DC3F55"/>
    <w:rsid w:val="00DC73B9"/>
    <w:rsid w:val="00DD1783"/>
    <w:rsid w:val="00DD2472"/>
    <w:rsid w:val="00DD6730"/>
    <w:rsid w:val="00DD7A6B"/>
    <w:rsid w:val="00DE054B"/>
    <w:rsid w:val="00DE3826"/>
    <w:rsid w:val="00DF00FF"/>
    <w:rsid w:val="00DF17DA"/>
    <w:rsid w:val="00DF1D9A"/>
    <w:rsid w:val="00DF1E5B"/>
    <w:rsid w:val="00DF21C1"/>
    <w:rsid w:val="00DF2275"/>
    <w:rsid w:val="00DF25A8"/>
    <w:rsid w:val="00DF27FA"/>
    <w:rsid w:val="00DF2B4E"/>
    <w:rsid w:val="00DF2BDF"/>
    <w:rsid w:val="00DF3B87"/>
    <w:rsid w:val="00DF3F5E"/>
    <w:rsid w:val="00DF4FB0"/>
    <w:rsid w:val="00DF543A"/>
    <w:rsid w:val="00DF5653"/>
    <w:rsid w:val="00DF6859"/>
    <w:rsid w:val="00DF71EB"/>
    <w:rsid w:val="00DF78CD"/>
    <w:rsid w:val="00E0046F"/>
    <w:rsid w:val="00E038B2"/>
    <w:rsid w:val="00E03D6A"/>
    <w:rsid w:val="00E0596E"/>
    <w:rsid w:val="00E06F66"/>
    <w:rsid w:val="00E07E88"/>
    <w:rsid w:val="00E10DAD"/>
    <w:rsid w:val="00E11443"/>
    <w:rsid w:val="00E13E37"/>
    <w:rsid w:val="00E14AF9"/>
    <w:rsid w:val="00E1538B"/>
    <w:rsid w:val="00E15A30"/>
    <w:rsid w:val="00E173F8"/>
    <w:rsid w:val="00E17B59"/>
    <w:rsid w:val="00E21F4A"/>
    <w:rsid w:val="00E24247"/>
    <w:rsid w:val="00E26170"/>
    <w:rsid w:val="00E34C39"/>
    <w:rsid w:val="00E356E5"/>
    <w:rsid w:val="00E357E4"/>
    <w:rsid w:val="00E35930"/>
    <w:rsid w:val="00E36F81"/>
    <w:rsid w:val="00E3768F"/>
    <w:rsid w:val="00E40A6F"/>
    <w:rsid w:val="00E4123B"/>
    <w:rsid w:val="00E41555"/>
    <w:rsid w:val="00E4347A"/>
    <w:rsid w:val="00E445BD"/>
    <w:rsid w:val="00E44814"/>
    <w:rsid w:val="00E45765"/>
    <w:rsid w:val="00E50335"/>
    <w:rsid w:val="00E5098C"/>
    <w:rsid w:val="00E552F9"/>
    <w:rsid w:val="00E57AB7"/>
    <w:rsid w:val="00E60213"/>
    <w:rsid w:val="00E60C2C"/>
    <w:rsid w:val="00E61929"/>
    <w:rsid w:val="00E62DE3"/>
    <w:rsid w:val="00E63E19"/>
    <w:rsid w:val="00E64B17"/>
    <w:rsid w:val="00E661B2"/>
    <w:rsid w:val="00E7054C"/>
    <w:rsid w:val="00E7196B"/>
    <w:rsid w:val="00E71995"/>
    <w:rsid w:val="00E72376"/>
    <w:rsid w:val="00E72ABF"/>
    <w:rsid w:val="00E74D29"/>
    <w:rsid w:val="00E752CA"/>
    <w:rsid w:val="00E757BD"/>
    <w:rsid w:val="00E77469"/>
    <w:rsid w:val="00E815F0"/>
    <w:rsid w:val="00E817F0"/>
    <w:rsid w:val="00E83C74"/>
    <w:rsid w:val="00E83CEE"/>
    <w:rsid w:val="00E85EB3"/>
    <w:rsid w:val="00E866F1"/>
    <w:rsid w:val="00E86A35"/>
    <w:rsid w:val="00E91B0F"/>
    <w:rsid w:val="00E91F18"/>
    <w:rsid w:val="00E9226D"/>
    <w:rsid w:val="00E92652"/>
    <w:rsid w:val="00E9304F"/>
    <w:rsid w:val="00E943AB"/>
    <w:rsid w:val="00EA3FE8"/>
    <w:rsid w:val="00EA4157"/>
    <w:rsid w:val="00EA416C"/>
    <w:rsid w:val="00EA48C9"/>
    <w:rsid w:val="00EA5941"/>
    <w:rsid w:val="00EA5F73"/>
    <w:rsid w:val="00EA6DB3"/>
    <w:rsid w:val="00EA6DC3"/>
    <w:rsid w:val="00EA7BF3"/>
    <w:rsid w:val="00EB1365"/>
    <w:rsid w:val="00EB23A7"/>
    <w:rsid w:val="00EB2AFF"/>
    <w:rsid w:val="00EB2B17"/>
    <w:rsid w:val="00EB2F6D"/>
    <w:rsid w:val="00EB363D"/>
    <w:rsid w:val="00EB52B1"/>
    <w:rsid w:val="00EB5A03"/>
    <w:rsid w:val="00EB60CE"/>
    <w:rsid w:val="00EB7D53"/>
    <w:rsid w:val="00EC04B8"/>
    <w:rsid w:val="00EC148B"/>
    <w:rsid w:val="00EC16DE"/>
    <w:rsid w:val="00EC4249"/>
    <w:rsid w:val="00EC65EA"/>
    <w:rsid w:val="00ED0F91"/>
    <w:rsid w:val="00ED118C"/>
    <w:rsid w:val="00ED1866"/>
    <w:rsid w:val="00ED1A7D"/>
    <w:rsid w:val="00ED2862"/>
    <w:rsid w:val="00ED2FF7"/>
    <w:rsid w:val="00ED331E"/>
    <w:rsid w:val="00ED406E"/>
    <w:rsid w:val="00ED47B9"/>
    <w:rsid w:val="00EE3146"/>
    <w:rsid w:val="00EE6A50"/>
    <w:rsid w:val="00EE73C9"/>
    <w:rsid w:val="00EE79B1"/>
    <w:rsid w:val="00EF0AC1"/>
    <w:rsid w:val="00EF2C79"/>
    <w:rsid w:val="00EF2E43"/>
    <w:rsid w:val="00EF2FE1"/>
    <w:rsid w:val="00EF39A6"/>
    <w:rsid w:val="00EF3E89"/>
    <w:rsid w:val="00EF50BB"/>
    <w:rsid w:val="00EF52FB"/>
    <w:rsid w:val="00EF53FF"/>
    <w:rsid w:val="00EF6A50"/>
    <w:rsid w:val="00F00192"/>
    <w:rsid w:val="00F006A2"/>
    <w:rsid w:val="00F01DF6"/>
    <w:rsid w:val="00F02CAD"/>
    <w:rsid w:val="00F0340D"/>
    <w:rsid w:val="00F059A6"/>
    <w:rsid w:val="00F07540"/>
    <w:rsid w:val="00F07DAC"/>
    <w:rsid w:val="00F17517"/>
    <w:rsid w:val="00F2127D"/>
    <w:rsid w:val="00F23756"/>
    <w:rsid w:val="00F2523A"/>
    <w:rsid w:val="00F25FFA"/>
    <w:rsid w:val="00F2714E"/>
    <w:rsid w:val="00F310D2"/>
    <w:rsid w:val="00F32842"/>
    <w:rsid w:val="00F36F3D"/>
    <w:rsid w:val="00F372F3"/>
    <w:rsid w:val="00F378F0"/>
    <w:rsid w:val="00F37CB3"/>
    <w:rsid w:val="00F4085F"/>
    <w:rsid w:val="00F41CA3"/>
    <w:rsid w:val="00F42FB6"/>
    <w:rsid w:val="00F44BD5"/>
    <w:rsid w:val="00F44DB8"/>
    <w:rsid w:val="00F45F0F"/>
    <w:rsid w:val="00F464EE"/>
    <w:rsid w:val="00F477BD"/>
    <w:rsid w:val="00F5232A"/>
    <w:rsid w:val="00F52A86"/>
    <w:rsid w:val="00F530B6"/>
    <w:rsid w:val="00F53491"/>
    <w:rsid w:val="00F53EFB"/>
    <w:rsid w:val="00F540E3"/>
    <w:rsid w:val="00F54B0D"/>
    <w:rsid w:val="00F55CF6"/>
    <w:rsid w:val="00F5750E"/>
    <w:rsid w:val="00F60C1A"/>
    <w:rsid w:val="00F61405"/>
    <w:rsid w:val="00F62258"/>
    <w:rsid w:val="00F62416"/>
    <w:rsid w:val="00F63254"/>
    <w:rsid w:val="00F64F59"/>
    <w:rsid w:val="00F652CA"/>
    <w:rsid w:val="00F65A1C"/>
    <w:rsid w:val="00F661BB"/>
    <w:rsid w:val="00F66F50"/>
    <w:rsid w:val="00F66F59"/>
    <w:rsid w:val="00F713F6"/>
    <w:rsid w:val="00F72302"/>
    <w:rsid w:val="00F72A07"/>
    <w:rsid w:val="00F72DCB"/>
    <w:rsid w:val="00F7370F"/>
    <w:rsid w:val="00F73C73"/>
    <w:rsid w:val="00F74FEC"/>
    <w:rsid w:val="00F761AF"/>
    <w:rsid w:val="00F768C4"/>
    <w:rsid w:val="00F76AE0"/>
    <w:rsid w:val="00F804A5"/>
    <w:rsid w:val="00F811C4"/>
    <w:rsid w:val="00F828A0"/>
    <w:rsid w:val="00F82FF8"/>
    <w:rsid w:val="00F8318C"/>
    <w:rsid w:val="00F8330D"/>
    <w:rsid w:val="00F839FE"/>
    <w:rsid w:val="00F84305"/>
    <w:rsid w:val="00F8472A"/>
    <w:rsid w:val="00F8485C"/>
    <w:rsid w:val="00F8613A"/>
    <w:rsid w:val="00F87149"/>
    <w:rsid w:val="00F876B7"/>
    <w:rsid w:val="00F87FFE"/>
    <w:rsid w:val="00F9004A"/>
    <w:rsid w:val="00F92301"/>
    <w:rsid w:val="00F92BDE"/>
    <w:rsid w:val="00F93026"/>
    <w:rsid w:val="00F934DC"/>
    <w:rsid w:val="00F94F52"/>
    <w:rsid w:val="00F954C9"/>
    <w:rsid w:val="00F96556"/>
    <w:rsid w:val="00F96621"/>
    <w:rsid w:val="00F967E8"/>
    <w:rsid w:val="00F97616"/>
    <w:rsid w:val="00F97A8E"/>
    <w:rsid w:val="00FA008C"/>
    <w:rsid w:val="00FA01ED"/>
    <w:rsid w:val="00FA1587"/>
    <w:rsid w:val="00FA236D"/>
    <w:rsid w:val="00FA36DC"/>
    <w:rsid w:val="00FA4CF0"/>
    <w:rsid w:val="00FA59D2"/>
    <w:rsid w:val="00FA61AA"/>
    <w:rsid w:val="00FA69A4"/>
    <w:rsid w:val="00FA796C"/>
    <w:rsid w:val="00FB1279"/>
    <w:rsid w:val="00FB1495"/>
    <w:rsid w:val="00FB150A"/>
    <w:rsid w:val="00FB5764"/>
    <w:rsid w:val="00FB656E"/>
    <w:rsid w:val="00FB7D7D"/>
    <w:rsid w:val="00FB7DFE"/>
    <w:rsid w:val="00FB7F0F"/>
    <w:rsid w:val="00FC0271"/>
    <w:rsid w:val="00FC0D42"/>
    <w:rsid w:val="00FC1FDF"/>
    <w:rsid w:val="00FC2156"/>
    <w:rsid w:val="00FC2EBF"/>
    <w:rsid w:val="00FC55DE"/>
    <w:rsid w:val="00FC5C86"/>
    <w:rsid w:val="00FC6249"/>
    <w:rsid w:val="00FC6BB5"/>
    <w:rsid w:val="00FD1694"/>
    <w:rsid w:val="00FD1A8A"/>
    <w:rsid w:val="00FD1E37"/>
    <w:rsid w:val="00FD3C9C"/>
    <w:rsid w:val="00FD3E19"/>
    <w:rsid w:val="00FD6082"/>
    <w:rsid w:val="00FD6893"/>
    <w:rsid w:val="00FD7636"/>
    <w:rsid w:val="00FE102C"/>
    <w:rsid w:val="00FE2E48"/>
    <w:rsid w:val="00FE3229"/>
    <w:rsid w:val="00FE66DD"/>
    <w:rsid w:val="00FE74C3"/>
    <w:rsid w:val="00FF0D7F"/>
    <w:rsid w:val="00FF123B"/>
    <w:rsid w:val="00FF215C"/>
    <w:rsid w:val="00FF4282"/>
    <w:rsid w:val="00FF44FA"/>
    <w:rsid w:val="00FF49E8"/>
    <w:rsid w:val="00FF560F"/>
    <w:rsid w:val="00FF5F36"/>
    <w:rsid w:val="00FF672F"/>
    <w:rsid w:val="00FF6BCA"/>
    <w:rsid w:val="00FF6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39238333-7186-4A1D-B432-F3A42163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27"/>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46"/>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71537C"/>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C6051C"/>
    <w:pPr>
      <w:tabs>
        <w:tab w:val="right" w:leader="dot" w:pos="9202"/>
      </w:tabs>
      <w:spacing w:before="0" w:after="200" w:line="276" w:lineRule="auto"/>
      <w:ind w:left="221"/>
    </w:pPr>
    <w:rPr>
      <w:rFonts w:eastAsiaTheme="minorEastAsia" w:cs="Arial"/>
      <w:noProof/>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642E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987250086">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202059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pipwe.tas.gov.au/sea-fishing-aquaculture/commercial-fishing/giant-crab-fishery" TargetMode="External"/><Relationship Id="rId26" Type="http://schemas.openxmlformats.org/officeDocument/2006/relationships/hyperlink" Target="https://www.fish.gov.au/report/180-Giant-Crab-2018" TargetMode="External"/><Relationship Id="rId39"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yperlink" Target="https://dpipwe.tas.gov.au/sea-fishing-aquaculture/commercial-fishing/giant-crab-fishery/giant-crab-catch" TargetMode="External"/><Relationship Id="rId34" Type="http://schemas.openxmlformats.org/officeDocument/2006/relationships/hyperlink" Target="https://www.legislation.tas.gov.au/view/whole/html/inforce/current/sr-2013-002" TargetMode="External"/><Relationship Id="rId42" Type="http://schemas.openxmlformats.org/officeDocument/2006/relationships/footer" Target="footer8.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marine/fisheries/tas/giant-crab" TargetMode="External"/><Relationship Id="rId25" Type="http://schemas.openxmlformats.org/officeDocument/2006/relationships/hyperlink" Target="https://www.imas.utas.edu.au/research/fisheries-and-aquaculture/publications-and-resources" TargetMode="External"/><Relationship Id="rId33" Type="http://schemas.openxmlformats.org/officeDocument/2006/relationships/hyperlink" Target="https://www.imas.utas.edu.au/__data/assets/pdf_file/0010/1056466/SMRCA_GC-Trawl_fisheries_final_dec17.pdf" TargetMode="External"/><Relationship Id="rId38"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imas.utas.edu.au/partnerships-projects-and-collaborations/sustainable-marine-research-collaboration-agreement" TargetMode="External"/><Relationship Id="rId29" Type="http://schemas.openxmlformats.org/officeDocument/2006/relationships/hyperlink" Target="http://www.environment.gov.au/marine/publications/south-east-marine-region-profile" TargetMode="External"/><Relationship Id="rId41"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imas.utas.edu.au/__data/assets/pdf_file/0003/743106/Giant-Crab_2013-14.pdf" TargetMode="External"/><Relationship Id="rId32" Type="http://schemas.openxmlformats.org/officeDocument/2006/relationships/hyperlink" Target="https://www.fish.gov.au/report/180-Giant-Crab-2018" TargetMode="External"/><Relationship Id="rId37" Type="http://schemas.openxmlformats.org/officeDocument/2006/relationships/header" Target="header4.xml"/><Relationship Id="rId40"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tas.gov.au/view/whole/html/inforce/current/act-1995-025" TargetMode="External"/><Relationship Id="rId28" Type="http://schemas.openxmlformats.org/officeDocument/2006/relationships/hyperlink" Target="http://www.imas.utas.edu.au/__data/assets/pdf_file/0010/1056466/SMRCA_GC-Trawl_fisheries_final_dec17.pdf" TargetMode="External"/><Relationship Id="rId36" Type="http://schemas.openxmlformats.org/officeDocument/2006/relationships/hyperlink" Target="https://www.frdc.com.au/Archived-Reports/FRDC%20Projects/2004-066-DLD.pdf" TargetMode="External"/><Relationship Id="rId10" Type="http://schemas.openxmlformats.org/officeDocument/2006/relationships/footer" Target="footer1.xml"/><Relationship Id="rId19" Type="http://schemas.openxmlformats.org/officeDocument/2006/relationships/hyperlink" Target="https://dpipwe.tas.gov.au/sea-fishing-aquaculture/sustainable-fisheries-management/fishery-advisory-committees/crustacean-fisheries-advisory-committee" TargetMode="External"/><Relationship Id="rId31" Type="http://schemas.openxmlformats.org/officeDocument/2006/relationships/hyperlink" Target="http://www.imas.utas.edu.au/__data/assets/pdf_file/0003/743106/Giant-Crab_2013-14.pd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tas.gov.au/view/html/inforce/current/sr-2013-002" TargetMode="External"/><Relationship Id="rId27" Type="http://schemas.openxmlformats.org/officeDocument/2006/relationships/hyperlink" Target="http://www.environment.gov.au/resource/guidelines-ecologically-sustainable-management-fisheries" TargetMode="External"/><Relationship Id="rId30" Type="http://schemas.openxmlformats.org/officeDocument/2006/relationships/hyperlink" Target="http://www.environment.gov.au/system/files/consultations/a48beeb9-9e52-4b43-8377-b5211c85fb04/files/tas-giant-crab-application-2019.pdf" TargetMode="External"/><Relationship Id="rId35" Type="http://schemas.openxmlformats.org/officeDocument/2006/relationships/hyperlink" Target="https://www.frdc.com.au/Archived-Reports/FRDC%20Projects/2016-039-DLD.pdf"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F563F250.dotm</Template>
  <TotalTime>0</TotalTime>
  <Pages>37</Pages>
  <Words>12335</Words>
  <Characters>70313</Characters>
  <Application>Microsoft Office Word</Application>
  <DocSecurity>4</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Tasmanian Giant Crab Fishery</dc:title>
  <dc:subject/>
  <dc:creator>Department of the Environment and Energy</dc:creator>
  <cp:keywords/>
  <dc:description/>
  <cp:lastModifiedBy>Durack, Bec</cp:lastModifiedBy>
  <cp:revision>2</cp:revision>
  <dcterms:created xsi:type="dcterms:W3CDTF">2020-01-16T23:59:00Z</dcterms:created>
  <dcterms:modified xsi:type="dcterms:W3CDTF">2020-01-16T23:59:00Z</dcterms:modified>
</cp:coreProperties>
</file>