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2C" w:rsidRPr="00F6308F" w:rsidRDefault="007430E0" w:rsidP="001955CD">
      <w:pPr>
        <w:widowControl w:val="0"/>
        <w:tabs>
          <w:tab w:val="left" w:pos="6700"/>
        </w:tabs>
        <w:spacing w:after="120"/>
        <w:jc w:val="center"/>
        <w:rPr>
          <w:rFonts w:cs="Arial"/>
          <w:b/>
          <w:sz w:val="48"/>
        </w:rPr>
      </w:pPr>
      <w:r>
        <w:rPr>
          <w:rFonts w:cs="Arial"/>
          <w:b/>
          <w:noProof/>
          <w:sz w:val="48"/>
          <w:lang w:eastAsia="en-AU"/>
        </w:rPr>
        <w:drawing>
          <wp:inline distT="0" distB="0" distL="0" distR="0">
            <wp:extent cx="3648075" cy="23622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3648075" cy="236220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6012C" w:rsidRPr="00F6308F" w:rsidRDefault="007063E1" w:rsidP="001955CD">
      <w:pPr>
        <w:pStyle w:val="Heading6"/>
        <w:spacing w:after="120"/>
        <w:jc w:val="center"/>
        <w:rPr>
          <w:rFonts w:ascii="Arial" w:hAnsi="Arial" w:cs="Arial"/>
          <w:b w:val="0"/>
          <w:i/>
          <w:sz w:val="36"/>
        </w:rPr>
      </w:pPr>
      <w:r>
        <w:rPr>
          <w:rFonts w:ascii="Arial" w:hAnsi="Arial" w:cs="Arial"/>
          <w:sz w:val="36"/>
        </w:rPr>
        <w:t>QUEENSLAND EEL 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6E58D0" w:rsidP="001955CD">
      <w:pPr>
        <w:pStyle w:val="Heading7"/>
        <w:rPr>
          <w:rFonts w:ascii="Arial" w:hAnsi="Arial" w:cs="Arial"/>
          <w:lang w:val="en-AU"/>
        </w:rPr>
      </w:pPr>
      <w:r>
        <w:rPr>
          <w:rFonts w:ascii="Arial" w:hAnsi="Arial" w:cs="Arial"/>
          <w:lang w:val="en-AU"/>
        </w:rPr>
        <w:t>April</w:t>
      </w:r>
      <w:r w:rsidR="007063E1">
        <w:rPr>
          <w:rFonts w:ascii="Arial" w:hAnsi="Arial" w:cs="Arial"/>
          <w:lang w:val="en-AU"/>
        </w:rPr>
        <w:t xml:space="preserve"> 2014</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7E6086">
        <w:rPr>
          <w:rFonts w:ascii="Arial" w:hAnsi="Arial" w:cs="Arial"/>
          <w:sz w:val="16"/>
          <w:szCs w:val="16"/>
        </w:rPr>
        <w:t xml:space="preserve"> Commonwealth of Australia, 2014</w:t>
      </w:r>
      <w:r w:rsidRPr="00480A40">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extent cx="1809750" cy="457200"/>
            <wp:effectExtent l="19050" t="0" r="0" b="0"/>
            <wp:docPr id="2"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3"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480A40" w:rsidRDefault="007C21E3" w:rsidP="007C21E3">
      <w:pPr>
        <w:pStyle w:val="NormalWeb"/>
        <w:rPr>
          <w:rFonts w:ascii="Arial" w:hAnsi="Arial" w:cs="Arial"/>
          <w:sz w:val="16"/>
          <w:szCs w:val="16"/>
        </w:rPr>
      </w:pPr>
      <w:r w:rsidRPr="00A863EC">
        <w:rPr>
          <w:rFonts w:ascii="Arial" w:hAnsi="Arial" w:cs="Arial"/>
          <w:i/>
          <w:sz w:val="16"/>
          <w:szCs w:val="16"/>
        </w:rPr>
        <w:t xml:space="preserve">Assessment of the </w:t>
      </w:r>
      <w:r w:rsidR="007063E1" w:rsidRPr="00A863EC">
        <w:rPr>
          <w:rFonts w:ascii="Arial" w:hAnsi="Arial" w:cs="Arial"/>
          <w:i/>
          <w:sz w:val="16"/>
          <w:szCs w:val="16"/>
        </w:rPr>
        <w:t>Queensland Eel</w:t>
      </w:r>
      <w:r w:rsidRPr="00A863EC">
        <w:rPr>
          <w:rFonts w:ascii="Arial" w:hAnsi="Arial" w:cs="Arial"/>
          <w:i/>
          <w:sz w:val="16"/>
          <w:szCs w:val="16"/>
        </w:rPr>
        <w:t xml:space="preserve"> Fishery </w:t>
      </w:r>
      <w:r w:rsidR="007063E1" w:rsidRPr="00A863EC">
        <w:rPr>
          <w:rFonts w:ascii="Arial" w:hAnsi="Arial" w:cs="Arial"/>
          <w:i/>
          <w:sz w:val="16"/>
          <w:szCs w:val="16"/>
        </w:rPr>
        <w:t>April</w:t>
      </w:r>
      <w:r w:rsidRPr="00A863EC">
        <w:rPr>
          <w:rFonts w:ascii="Arial" w:hAnsi="Arial" w:cs="Arial"/>
          <w:i/>
          <w:sz w:val="16"/>
          <w:szCs w:val="16"/>
        </w:rPr>
        <w:t xml:space="preserve"> 201</w:t>
      </w:r>
      <w:r w:rsidR="007063E1" w:rsidRPr="00A863EC">
        <w:rPr>
          <w:rFonts w:ascii="Arial" w:hAnsi="Arial" w:cs="Arial"/>
          <w:i/>
          <w:sz w:val="16"/>
          <w:szCs w:val="16"/>
        </w:rPr>
        <w:t>4</w:t>
      </w:r>
      <w:r w:rsidRPr="00480A40">
        <w:rPr>
          <w:rFonts w:ascii="Arial" w:hAnsi="Arial" w:cs="Arial"/>
          <w:sz w:val="16"/>
          <w:szCs w:val="16"/>
        </w:rPr>
        <w:t xml:space="preserve"> is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This report should be attributed as ‘</w:t>
      </w:r>
      <w:r w:rsidRPr="00A863EC">
        <w:rPr>
          <w:rFonts w:ascii="Arial" w:hAnsi="Arial" w:cs="Arial"/>
          <w:i/>
          <w:sz w:val="16"/>
          <w:szCs w:val="16"/>
        </w:rPr>
        <w:t xml:space="preserve">Assessment of the </w:t>
      </w:r>
      <w:r w:rsidR="007063E1" w:rsidRPr="00A863EC">
        <w:rPr>
          <w:rFonts w:ascii="Arial" w:hAnsi="Arial" w:cs="Arial"/>
          <w:i/>
          <w:sz w:val="16"/>
          <w:szCs w:val="16"/>
        </w:rPr>
        <w:t>Queensland Eel</w:t>
      </w:r>
      <w:r w:rsidRPr="00A863EC">
        <w:rPr>
          <w:rFonts w:ascii="Arial" w:hAnsi="Arial" w:cs="Arial"/>
          <w:i/>
          <w:sz w:val="16"/>
          <w:szCs w:val="16"/>
        </w:rPr>
        <w:t xml:space="preserve"> Fishery </w:t>
      </w:r>
      <w:r w:rsidR="007063E1" w:rsidRPr="00A863EC">
        <w:rPr>
          <w:rFonts w:ascii="Arial" w:hAnsi="Arial" w:cs="Arial"/>
          <w:i/>
          <w:sz w:val="16"/>
          <w:szCs w:val="16"/>
        </w:rPr>
        <w:t>April 2014</w:t>
      </w:r>
      <w:r w:rsidRPr="00480A40">
        <w:rPr>
          <w:rFonts w:ascii="Arial" w:hAnsi="Arial" w:cs="Arial"/>
          <w:sz w:val="16"/>
          <w:szCs w:val="16"/>
        </w:rPr>
        <w:t xml:space="preserve">, Commonwealth of Australia </w:t>
      </w:r>
      <w:r w:rsidR="007E6086">
        <w:rPr>
          <w:rFonts w:ascii="Arial" w:hAnsi="Arial" w:cs="Arial"/>
          <w:sz w:val="16"/>
          <w:szCs w:val="16"/>
        </w:rPr>
        <w:t>2014</w:t>
      </w:r>
      <w:r w:rsidRPr="000400C3">
        <w:rPr>
          <w:rFonts w:ascii="Arial" w:hAnsi="Arial" w:cs="Arial"/>
          <w:sz w:val="16"/>
          <w:szCs w:val="16"/>
        </w:rPr>
        <w:t>’</w:t>
      </w:r>
      <w:r w:rsidRPr="00480A40">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Pr="00F6308F">
        <w:rPr>
          <w:rFonts w:ascii="Arial" w:hAnsi="Arial" w:cs="Arial"/>
          <w:sz w:val="16"/>
          <w:szCs w:val="16"/>
          <w:lang w:val="en-AU"/>
        </w:rPr>
        <w:t xml:space="preserve">on the fishery in relation to decisions under </w:t>
      </w:r>
      <w:r w:rsidR="00A863EC">
        <w:rPr>
          <w:rFonts w:ascii="Arial" w:hAnsi="Arial" w:cs="Arial"/>
          <w:sz w:val="16"/>
          <w:szCs w:val="16"/>
          <w:lang w:val="en-AU"/>
        </w:rPr>
        <w:t>Part</w:t>
      </w:r>
      <w:r w:rsidRPr="008E55E3">
        <w:rPr>
          <w:rFonts w:ascii="Arial" w:hAnsi="Arial" w:cs="Arial"/>
          <w:sz w:val="16"/>
          <w:szCs w:val="16"/>
          <w:lang w:val="en-AU"/>
        </w:rPr>
        <w:t>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781C46" w:rsidRDefault="00B6012C" w:rsidP="00781C46">
      <w:pPr>
        <w:pStyle w:val="Heading1"/>
        <w:spacing w:after="0"/>
        <w:jc w:val="center"/>
      </w:pPr>
      <w:r w:rsidRPr="00F6308F">
        <w:rPr>
          <w:sz w:val="24"/>
        </w:rPr>
        <w:br w:type="page"/>
      </w:r>
    </w:p>
    <w:p w:rsidR="00B6012C" w:rsidRPr="00F6308F" w:rsidRDefault="00B6012C" w:rsidP="001955CD">
      <w:pPr>
        <w:pStyle w:val="Heading1"/>
        <w:spacing w:after="0"/>
        <w:jc w:val="center"/>
      </w:pPr>
      <w:r w:rsidRPr="00F6308F">
        <w:lastRenderedPageBreak/>
        <w:t>Contents</w:t>
      </w:r>
    </w:p>
    <w:p w:rsidR="00B6012C" w:rsidRDefault="00B6012C" w:rsidP="001955CD">
      <w:pPr>
        <w:rPr>
          <w:rFonts w:cs="Arial"/>
          <w:b/>
        </w:rPr>
      </w:pP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186642">
        <w:rPr>
          <w:rFonts w:cs="Arial"/>
          <w:b/>
          <w:noProof/>
        </w:rPr>
        <w:t>Queensland Eel Fishery</w:t>
      </w:r>
      <w:r w:rsidRPr="00FF44D5">
        <w:rPr>
          <w:rFonts w:cs="Arial"/>
          <w:b/>
          <w:noProof/>
          <w:webHidden/>
        </w:rPr>
        <w:tab/>
      </w:r>
      <w:r w:rsidR="00B73BB4" w:rsidRPr="00FF44D5">
        <w:rPr>
          <w:rFonts w:cs="Arial"/>
          <w:b/>
          <w:noProof/>
          <w:webHidden/>
        </w:rPr>
        <w:fldChar w:fldCharType="begin"/>
      </w:r>
      <w:r w:rsidRPr="00FF44D5">
        <w:rPr>
          <w:rFonts w:cs="Arial"/>
          <w:b/>
          <w:noProof/>
          <w:webHidden/>
        </w:rPr>
        <w:instrText xml:space="preserve"> PAGEREF </w:instrText>
      </w:r>
      <w:r w:rsidRPr="00415E03">
        <w:rPr>
          <w:rFonts w:cs="Arial"/>
          <w:b/>
          <w:noProof/>
        </w:rPr>
        <w:instrText>_Toc316301048</w:instrText>
      </w:r>
      <w:r w:rsidRPr="00FF44D5">
        <w:rPr>
          <w:rFonts w:cs="Arial"/>
          <w:b/>
          <w:noProof/>
          <w:webHidden/>
        </w:rPr>
        <w:instrText xml:space="preserve"> \h </w:instrText>
      </w:r>
      <w:r w:rsidR="00B73BB4" w:rsidRPr="00FF44D5">
        <w:rPr>
          <w:rFonts w:cs="Arial"/>
          <w:b/>
          <w:noProof/>
          <w:webHidden/>
        </w:rPr>
      </w:r>
      <w:r w:rsidR="00B73BB4" w:rsidRPr="00FF44D5">
        <w:rPr>
          <w:rFonts w:cs="Arial"/>
          <w:b/>
          <w:noProof/>
          <w:webHidden/>
        </w:rPr>
        <w:fldChar w:fldCharType="separate"/>
      </w:r>
      <w:r w:rsidR="00356DE8">
        <w:rPr>
          <w:rFonts w:cs="Arial"/>
          <w:b/>
          <w:noProof/>
          <w:webHidden/>
        </w:rPr>
        <w:t>1</w:t>
      </w:r>
      <w:r w:rsidR="00B73BB4"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w:t>
      </w:r>
      <w:r w:rsidRPr="00186642">
        <w:rPr>
          <w:rFonts w:cs="Arial"/>
          <w:b/>
          <w:noProof/>
        </w:rPr>
        <w:t>of recommendations made in the 20</w:t>
      </w:r>
      <w:r w:rsidR="00186642" w:rsidRPr="00186642">
        <w:rPr>
          <w:rFonts w:cs="Arial"/>
          <w:b/>
          <w:noProof/>
        </w:rPr>
        <w:t>09</w:t>
      </w:r>
      <w:r w:rsidR="002C6824">
        <w:rPr>
          <w:rFonts w:cs="Arial"/>
          <w:b/>
          <w:noProof/>
        </w:rPr>
        <w:t xml:space="preserve"> </w:t>
      </w:r>
      <w:r w:rsidRPr="00186642">
        <w:rPr>
          <w:rFonts w:cs="Arial"/>
          <w:b/>
          <w:noProof/>
        </w:rPr>
        <w:t>assessment of the</w:t>
      </w:r>
      <w:r w:rsidRPr="00186642">
        <w:t xml:space="preserve"> </w:t>
      </w:r>
      <w:r w:rsidR="00186642" w:rsidRPr="00186642">
        <w:rPr>
          <w:rFonts w:cs="Arial"/>
          <w:b/>
          <w:noProof/>
        </w:rPr>
        <w:t>Queensland</w:t>
      </w:r>
      <w:r w:rsidR="00186642">
        <w:rPr>
          <w:rFonts w:cs="Arial"/>
          <w:b/>
          <w:noProof/>
        </w:rPr>
        <w:t xml:space="preserve"> Eel Fishery</w:t>
      </w:r>
      <w:r w:rsidRPr="00FF44D5">
        <w:rPr>
          <w:rFonts w:cs="Arial"/>
          <w:b/>
          <w:noProof/>
          <w:webHidden/>
        </w:rPr>
        <w:tab/>
      </w:r>
      <w:r w:rsidR="00B73BB4"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B73BB4" w:rsidRPr="00FF44D5">
        <w:rPr>
          <w:rFonts w:cs="Arial"/>
          <w:b/>
          <w:noProof/>
          <w:webHidden/>
        </w:rPr>
      </w:r>
      <w:r w:rsidR="00B73BB4" w:rsidRPr="00FF44D5">
        <w:rPr>
          <w:rFonts w:cs="Arial"/>
          <w:b/>
          <w:noProof/>
          <w:webHidden/>
        </w:rPr>
        <w:fldChar w:fldCharType="separate"/>
      </w:r>
      <w:r w:rsidR="00356DE8">
        <w:rPr>
          <w:rFonts w:cs="Arial"/>
          <w:b/>
          <w:noProof/>
          <w:webHidden/>
        </w:rPr>
        <w:t>6</w:t>
      </w:r>
      <w:r w:rsidR="00B73BB4"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 xml:space="preserve">Table 2 contains an update on the progress that has been made by the </w:t>
      </w:r>
      <w:r w:rsidR="00186642" w:rsidRPr="00186642">
        <w:rPr>
          <w:rFonts w:cs="Arial"/>
          <w:noProof/>
        </w:rPr>
        <w:t xml:space="preserve">Queensland Department of Agriculture, Fisheries and Forestry </w:t>
      </w:r>
      <w:r w:rsidRPr="00186642">
        <w:rPr>
          <w:rFonts w:cs="Arial"/>
          <w:noProof/>
        </w:rPr>
        <w:t>in</w:t>
      </w:r>
      <w:r w:rsidRPr="00FF44D5">
        <w:rPr>
          <w:rFonts w:cs="Arial"/>
          <w:noProof/>
        </w:rPr>
        <w:t xml:space="preserve"> implementing </w:t>
      </w:r>
      <w:r w:rsidRPr="00186642">
        <w:rPr>
          <w:rFonts w:cs="Arial"/>
          <w:noProof/>
        </w:rPr>
        <w:t xml:space="preserve">the recommendations made in the </w:t>
      </w:r>
      <w:r w:rsidR="00186642" w:rsidRPr="00186642">
        <w:rPr>
          <w:rFonts w:cs="Arial"/>
          <w:noProof/>
        </w:rPr>
        <w:t>2009</w:t>
      </w:r>
      <w:r w:rsidRPr="00186642">
        <w:rPr>
          <w:rFonts w:cs="Arial"/>
          <w:noProof/>
        </w:rPr>
        <w:t> assessment</w:t>
      </w:r>
      <w:r w:rsidRPr="00FF44D5">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 xml:space="preserve">Table 3: </w:t>
      </w:r>
      <w:r w:rsidRPr="00FF44D5">
        <w:rPr>
          <w:rFonts w:cs="Arial"/>
          <w:b/>
          <w:noProof/>
        </w:rPr>
        <w:tab/>
        <w:t>The Department o</w:t>
      </w:r>
      <w:r>
        <w:rPr>
          <w:rFonts w:cs="Arial"/>
          <w:b/>
          <w:noProof/>
        </w:rPr>
        <w:t>f the Environment’s</w:t>
      </w:r>
      <w:r w:rsidRPr="00FF44D5">
        <w:rPr>
          <w:rFonts w:cs="Arial"/>
          <w:b/>
          <w:noProof/>
        </w:rPr>
        <w:t xml:space="preserve"> assessment of the </w:t>
      </w:r>
      <w:r w:rsidR="00186642">
        <w:rPr>
          <w:rFonts w:cs="Arial"/>
          <w:b/>
          <w:noProof/>
        </w:rPr>
        <w:t>Queensland Eel Fishery</w:t>
      </w:r>
      <w:r w:rsidR="00186642" w:rsidRPr="00FF44D5">
        <w:rPr>
          <w:rFonts w:cs="Arial"/>
          <w:b/>
          <w:noProof/>
        </w:rPr>
        <w:t xml:space="preserve"> </w:t>
      </w:r>
      <w:r w:rsidRPr="00FF44D5">
        <w:rPr>
          <w:rFonts w:cs="Arial"/>
          <w:b/>
          <w:noProof/>
        </w:rPr>
        <w:t>against the requirements of the EPBC Act related to decisions made under Part 13A.</w:t>
      </w:r>
      <w:r w:rsidRPr="00FF44D5">
        <w:rPr>
          <w:rFonts w:cs="Arial"/>
          <w:b/>
          <w:noProof/>
          <w:webHidden/>
        </w:rPr>
        <w:tab/>
      </w:r>
      <w:r w:rsidR="00B73BB4" w:rsidRPr="00FF44D5">
        <w:rPr>
          <w:rFonts w:cs="Arial"/>
          <w:b/>
          <w:noProof/>
          <w:webHidden/>
        </w:rPr>
        <w:fldChar w:fldCharType="begin"/>
      </w:r>
      <w:r w:rsidRPr="00FF44D5">
        <w:rPr>
          <w:rFonts w:cs="Arial"/>
          <w:b/>
          <w:noProof/>
          <w:webHidden/>
        </w:rPr>
        <w:instrText xml:space="preserve"> PAGEREF </w:instrText>
      </w:r>
      <w:r w:rsidRPr="00360DE1">
        <w:rPr>
          <w:rFonts w:cs="Arial"/>
          <w:b/>
          <w:noProof/>
        </w:rPr>
        <w:instrText>_Toc316301050</w:instrText>
      </w:r>
      <w:r w:rsidRPr="00FF44D5">
        <w:rPr>
          <w:rFonts w:cs="Arial"/>
          <w:b/>
          <w:noProof/>
          <w:webHidden/>
        </w:rPr>
        <w:instrText xml:space="preserve"> \h </w:instrText>
      </w:r>
      <w:r w:rsidR="00B73BB4" w:rsidRPr="00FF44D5">
        <w:rPr>
          <w:rFonts w:cs="Arial"/>
          <w:b/>
          <w:noProof/>
          <w:webHidden/>
        </w:rPr>
      </w:r>
      <w:r w:rsidR="00B73BB4" w:rsidRPr="00FF44D5">
        <w:rPr>
          <w:rFonts w:cs="Arial"/>
          <w:b/>
          <w:noProof/>
          <w:webHidden/>
        </w:rPr>
        <w:fldChar w:fldCharType="separate"/>
      </w:r>
      <w:r w:rsidR="00356DE8">
        <w:rPr>
          <w:rFonts w:cs="Arial"/>
          <w:b/>
          <w:noProof/>
          <w:webHidden/>
        </w:rPr>
        <w:t>9</w:t>
      </w:r>
      <w:r w:rsidR="00B73BB4"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Table 3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FF44D5">
        <w:rPr>
          <w:rFonts w:cs="Arial"/>
          <w:i/>
          <w:noProof/>
        </w:rPr>
        <w:t>Environment Protection and Biodiversity Conservation Act 1999</w:t>
      </w:r>
      <w:r w:rsidRPr="00FF44D5">
        <w:rPr>
          <w:rFonts w:cs="Arial"/>
          <w:noProof/>
        </w:rPr>
        <w:t xml:space="preserve"> that the </w:t>
      </w:r>
      <w:r w:rsidRPr="00186642">
        <w:rPr>
          <w:rFonts w:cs="Arial"/>
          <w:noProof/>
        </w:rPr>
        <w:t>delegate</w:t>
      </w:r>
      <w:r>
        <w:rPr>
          <w:rFonts w:cs="Arial"/>
          <w:noProof/>
        </w:rPr>
        <w:t xml:space="preserve"> </w:t>
      </w:r>
      <w:r w:rsidRPr="00FF44D5">
        <w:rPr>
          <w:rFonts w:cs="Arial"/>
          <w:noProof/>
        </w:rPr>
        <w:t>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w:t>
      </w:r>
      <w:r>
        <w:rPr>
          <w:rFonts w:cs="Arial"/>
          <w:b/>
          <w:noProof/>
        </w:rPr>
        <w:t>he Department of the</w:t>
      </w:r>
      <w:r w:rsidRPr="00FF44D5">
        <w:rPr>
          <w:rFonts w:cs="Arial"/>
          <w:b/>
          <w:noProof/>
        </w:rPr>
        <w:t xml:space="preserve"> Environment</w:t>
      </w:r>
      <w:r>
        <w:rPr>
          <w:rFonts w:cs="Arial"/>
          <w:b/>
          <w:noProof/>
        </w:rPr>
        <w:t>’s</w:t>
      </w:r>
      <w:r w:rsidRPr="00FF44D5">
        <w:rPr>
          <w:rFonts w:cs="Arial"/>
          <w:b/>
          <w:noProof/>
        </w:rPr>
        <w:t xml:space="preserve"> final</w:t>
      </w:r>
      <w:r>
        <w:rPr>
          <w:rFonts w:cs="Arial"/>
          <w:b/>
          <w:noProof/>
        </w:rPr>
        <w:t xml:space="preserve"> </w:t>
      </w:r>
      <w:r w:rsidRPr="00FF44D5">
        <w:rPr>
          <w:rFonts w:cs="Arial"/>
          <w:b/>
          <w:noProof/>
        </w:rPr>
        <w:t>re</w:t>
      </w:r>
      <w:r>
        <w:rPr>
          <w:rFonts w:cs="Arial"/>
          <w:b/>
          <w:noProof/>
        </w:rPr>
        <w:t xml:space="preserve">commendations to the </w:t>
      </w:r>
      <w:r w:rsidR="00186642">
        <w:rPr>
          <w:rFonts w:cs="Arial"/>
          <w:b/>
          <w:noProof/>
        </w:rPr>
        <w:t xml:space="preserve">Queensland Department of Agriculture, Fisheries and Forestry </w:t>
      </w:r>
      <w:r w:rsidRPr="00FF44D5">
        <w:rPr>
          <w:rFonts w:cs="Arial"/>
          <w:b/>
          <w:noProof/>
        </w:rPr>
        <w:t xml:space="preserve">for the </w:t>
      </w:r>
      <w:r w:rsidR="00186642">
        <w:rPr>
          <w:rFonts w:cs="Arial"/>
          <w:b/>
          <w:noProof/>
        </w:rPr>
        <w:t>Queensland Eel Fishery</w:t>
      </w:r>
      <w:r w:rsidRPr="00FF44D5">
        <w:rPr>
          <w:rFonts w:cs="Arial"/>
          <w:b/>
          <w:noProof/>
          <w:webHidden/>
        </w:rPr>
        <w:tab/>
      </w:r>
      <w:r w:rsidR="00B73BB4" w:rsidRPr="00FF44D5">
        <w:rPr>
          <w:rFonts w:cs="Arial"/>
          <w:b/>
          <w:noProof/>
          <w:webHidden/>
        </w:rPr>
        <w:fldChar w:fldCharType="begin"/>
      </w:r>
      <w:r w:rsidRPr="00FF44D5">
        <w:rPr>
          <w:rFonts w:cs="Arial"/>
          <w:b/>
          <w:noProof/>
          <w:webHidden/>
        </w:rPr>
        <w:instrText xml:space="preserve"> PAGEREF </w:instrText>
      </w:r>
      <w:r w:rsidRPr="00077375">
        <w:rPr>
          <w:rFonts w:cs="Arial"/>
          <w:b/>
          <w:noProof/>
        </w:rPr>
        <w:instrText>_Toc316301051</w:instrText>
      </w:r>
      <w:r w:rsidRPr="00FF44D5">
        <w:rPr>
          <w:rFonts w:cs="Arial"/>
          <w:b/>
          <w:noProof/>
          <w:webHidden/>
        </w:rPr>
        <w:instrText xml:space="preserve"> \h </w:instrText>
      </w:r>
      <w:r w:rsidR="00B73BB4" w:rsidRPr="00FF44D5">
        <w:rPr>
          <w:rFonts w:cs="Arial"/>
          <w:b/>
          <w:noProof/>
          <w:webHidden/>
        </w:rPr>
      </w:r>
      <w:r w:rsidR="00B73BB4" w:rsidRPr="00FF44D5">
        <w:rPr>
          <w:rFonts w:cs="Arial"/>
          <w:b/>
          <w:noProof/>
          <w:webHidden/>
        </w:rPr>
        <w:fldChar w:fldCharType="separate"/>
      </w:r>
      <w:r w:rsidR="00356DE8">
        <w:rPr>
          <w:rFonts w:cs="Arial"/>
          <w:b/>
          <w:noProof/>
          <w:webHidden/>
        </w:rPr>
        <w:t>13</w:t>
      </w:r>
      <w:r w:rsidR="00B73BB4"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Pr>
          <w:rFonts w:cs="Arial"/>
          <w:noProof/>
        </w:rPr>
        <w:t>This section contains the D</w:t>
      </w:r>
      <w:r w:rsidRPr="00FF44D5">
        <w:rPr>
          <w:rFonts w:cs="Arial"/>
          <w:noProof/>
        </w:rPr>
        <w:t>epartme</w:t>
      </w:r>
      <w:r>
        <w:rPr>
          <w:rFonts w:cs="Arial"/>
          <w:noProof/>
        </w:rPr>
        <w:t>nt’s assessment of the fishery</w:t>
      </w:r>
      <w:r w:rsidRPr="00FF44D5">
        <w:rPr>
          <w:rFonts w:cs="Arial"/>
          <w:noProof/>
        </w:rPr>
        <w:t>’</w:t>
      </w:r>
      <w:r>
        <w:rPr>
          <w:rFonts w:cs="Arial"/>
          <w:noProof/>
        </w:rPr>
        <w:t>s</w:t>
      </w:r>
      <w:r w:rsidRPr="00FF44D5">
        <w:rPr>
          <w:rFonts w:cs="Arial"/>
          <w:b/>
          <w:noProof/>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the reasons the D</w:t>
      </w:r>
      <w:r w:rsidRPr="00092CE3">
        <w:rPr>
          <w:rFonts w:cs="Arial"/>
          <w:noProof/>
        </w:rPr>
        <w:t xml:space="preserve">epartment recommends </w:t>
      </w:r>
      <w:r>
        <w:rPr>
          <w:rFonts w:cs="Arial"/>
          <w:noProof/>
        </w:rPr>
        <w:t xml:space="preserve">that </w:t>
      </w:r>
      <w:r w:rsidR="00781C46">
        <w:rPr>
          <w:rFonts w:cs="Arial"/>
          <w:noProof/>
        </w:rPr>
        <w:t xml:space="preserve">product from </w:t>
      </w:r>
      <w:r>
        <w:rPr>
          <w:rFonts w:cs="Arial"/>
          <w:noProof/>
        </w:rPr>
        <w:t xml:space="preserve">the fishery </w:t>
      </w:r>
      <w:r w:rsidRPr="00A14FF4">
        <w:rPr>
          <w:rFonts w:cs="Arial"/>
        </w:rPr>
        <w:t xml:space="preserve">be </w:t>
      </w:r>
      <w:r w:rsidR="00781C46" w:rsidRPr="00781C46">
        <w:rPr>
          <w:rFonts w:cs="Arial"/>
        </w:rPr>
        <w:t xml:space="preserve">included </w:t>
      </w:r>
      <w:r w:rsidRPr="00781C46">
        <w:rPr>
          <w:rFonts w:cs="Arial"/>
        </w:rPr>
        <w:t>in the list of exempt native specimens</w:t>
      </w:r>
      <w:r w:rsidRPr="00781C46">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186642">
        <w:rPr>
          <w:rFonts w:cs="Arial"/>
          <w:b/>
          <w:noProof/>
        </w:rPr>
        <w:t>Queensland Eel Fishery</w:t>
      </w:r>
      <w:r w:rsidR="00186642" w:rsidRPr="00FF44D5">
        <w:rPr>
          <w:rFonts w:cs="Arial"/>
          <w:b/>
          <w:noProof/>
        </w:rPr>
        <w:t xml:space="preserve"> </w:t>
      </w:r>
      <w:r w:rsidR="00186642">
        <w:rPr>
          <w:rFonts w:cs="Arial"/>
          <w:b/>
          <w:noProof/>
        </w:rPr>
        <w:t xml:space="preserve">Assessment – Summary of Issues </w:t>
      </w:r>
      <w:r w:rsidRPr="00FF44D5">
        <w:rPr>
          <w:rFonts w:cs="Arial"/>
          <w:b/>
          <w:noProof/>
        </w:rPr>
        <w:t xml:space="preserve">and Recommendations, </w:t>
      </w:r>
      <w:r w:rsidR="00186642">
        <w:rPr>
          <w:rFonts w:cs="Arial"/>
          <w:b/>
          <w:noProof/>
        </w:rPr>
        <w:t>April 2014</w:t>
      </w:r>
      <w:r w:rsidRPr="00FF44D5">
        <w:rPr>
          <w:rFonts w:cs="Arial"/>
          <w:b/>
          <w:noProof/>
          <w:webHidden/>
        </w:rPr>
        <w:tab/>
      </w:r>
      <w:r w:rsidR="00B73BB4"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B73BB4" w:rsidRPr="00FF44D5">
        <w:rPr>
          <w:rFonts w:cs="Arial"/>
          <w:b/>
          <w:noProof/>
          <w:webHidden/>
        </w:rPr>
      </w:r>
      <w:r w:rsidR="00B73BB4" w:rsidRPr="00FF44D5">
        <w:rPr>
          <w:rFonts w:cs="Arial"/>
          <w:b/>
          <w:noProof/>
          <w:webHidden/>
        </w:rPr>
        <w:fldChar w:fldCharType="separate"/>
      </w:r>
      <w:r w:rsidR="00356DE8">
        <w:rPr>
          <w:rFonts w:cs="Arial"/>
          <w:b/>
          <w:noProof/>
          <w:webHidden/>
        </w:rPr>
        <w:t>14</w:t>
      </w:r>
      <w:r w:rsidR="00B73BB4" w:rsidRPr="00FF44D5">
        <w:rPr>
          <w:rFonts w:cs="Arial"/>
          <w:b/>
          <w:noProof/>
          <w:webHidden/>
        </w:rPr>
        <w:fldChar w:fldCharType="end"/>
      </w:r>
    </w:p>
    <w:p w:rsidR="00B6012C" w:rsidRPr="00FF44D5" w:rsidRDefault="00B6012C" w:rsidP="001955CD">
      <w:pPr>
        <w:tabs>
          <w:tab w:val="right" w:leader="dot" w:pos="8302"/>
        </w:tabs>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recommendations that would form part of </w:t>
      </w:r>
      <w:r w:rsidRPr="00781C46">
        <w:rPr>
          <w:rFonts w:cs="Arial"/>
          <w:noProof/>
        </w:rPr>
        <w:t xml:space="preserve">the delegate’s decision to </w:t>
      </w:r>
      <w:r w:rsidRPr="00781C46">
        <w:rPr>
          <w:rFonts w:cs="Arial"/>
        </w:rPr>
        <w:t>include product derived from the fishery in the list of exempt native specimens.</w:t>
      </w:r>
    </w:p>
    <w:p w:rsidR="00B6012C" w:rsidRPr="00A14FF4" w:rsidRDefault="00B6012C" w:rsidP="001955CD">
      <w:pPr>
        <w:rPr>
          <w:rFonts w:cs="Arial"/>
          <w:b/>
        </w:rPr>
      </w:pPr>
    </w:p>
    <w:p w:rsidR="00B6012C" w:rsidRPr="00F6308F" w:rsidRDefault="00B6012C" w:rsidP="001955CD">
      <w:pPr>
        <w:pStyle w:val="Heading1"/>
        <w:spacing w:after="120"/>
        <w:ind w:left="-709"/>
        <w:rPr>
          <w:sz w:val="24"/>
          <w:szCs w:val="24"/>
        </w:rPr>
        <w:sectPr w:rsidR="00B6012C" w:rsidRPr="00F6308F"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rsidR="00B6012C" w:rsidRPr="00F6308F" w:rsidRDefault="00B6012C" w:rsidP="00DF2B4E">
      <w:pPr>
        <w:pStyle w:val="Heading1"/>
        <w:spacing w:after="120"/>
        <w:rPr>
          <w:szCs w:val="24"/>
        </w:rPr>
      </w:pPr>
      <w:bookmarkStart w:id="0" w:name="_Toc316301048"/>
      <w:r w:rsidRPr="00F6308F">
        <w:rPr>
          <w:szCs w:val="24"/>
        </w:rPr>
        <w:lastRenderedPageBreak/>
        <w:t xml:space="preserve">Table 1: Summary of the </w:t>
      </w:r>
      <w:bookmarkEnd w:id="0"/>
      <w:r w:rsidR="007063E1">
        <w:rPr>
          <w:szCs w:val="24"/>
        </w:rPr>
        <w:t>queenland eel fishery</w:t>
      </w:r>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B6012C" w:rsidRPr="007843C2" w:rsidRDefault="002353DA" w:rsidP="001A1FAA">
            <w:pPr>
              <w:numPr>
                <w:ilvl w:val="0"/>
                <w:numId w:val="33"/>
              </w:numPr>
              <w:tabs>
                <w:tab w:val="clear" w:pos="1080"/>
              </w:tabs>
              <w:adjustRightInd w:val="0"/>
              <w:spacing w:before="240" w:after="0"/>
              <w:ind w:left="288" w:hanging="288"/>
              <w:rPr>
                <w:rFonts w:cs="Arial"/>
              </w:rPr>
            </w:pPr>
            <w:r w:rsidRPr="007843C2">
              <w:rPr>
                <w:rFonts w:cs="Arial"/>
              </w:rPr>
              <w:t>Queensland</w:t>
            </w:r>
            <w:r w:rsidR="00B6012C" w:rsidRPr="007843C2">
              <w:rPr>
                <w:rFonts w:cs="Arial"/>
              </w:rPr>
              <w:t xml:space="preserve"> </w:t>
            </w:r>
            <w:r w:rsidR="00B6012C" w:rsidRPr="007843C2">
              <w:rPr>
                <w:rFonts w:cs="Arial"/>
                <w:i/>
              </w:rPr>
              <w:t>Fisheries Act 1994</w:t>
            </w:r>
          </w:p>
          <w:p w:rsidR="00B6012C" w:rsidRPr="007843C2" w:rsidRDefault="002353DA" w:rsidP="001A1FAA">
            <w:pPr>
              <w:numPr>
                <w:ilvl w:val="0"/>
                <w:numId w:val="33"/>
              </w:numPr>
              <w:tabs>
                <w:tab w:val="clear" w:pos="1080"/>
              </w:tabs>
              <w:adjustRightInd w:val="0"/>
              <w:spacing w:before="240" w:after="0"/>
              <w:ind w:left="288" w:hanging="288"/>
              <w:rPr>
                <w:rFonts w:cs="Arial"/>
              </w:rPr>
            </w:pPr>
            <w:r w:rsidRPr="007843C2">
              <w:rPr>
                <w:rFonts w:cs="Arial"/>
              </w:rPr>
              <w:t>Queensland</w:t>
            </w:r>
            <w:r w:rsidR="00B6012C" w:rsidRPr="007843C2">
              <w:rPr>
                <w:rFonts w:cs="Arial"/>
              </w:rPr>
              <w:t xml:space="preserve"> Fisheries Regulation </w:t>
            </w:r>
            <w:r w:rsidRPr="007843C2">
              <w:rPr>
                <w:rFonts w:cs="Arial"/>
              </w:rPr>
              <w:t>2008</w:t>
            </w:r>
          </w:p>
          <w:p w:rsidR="00B6012C" w:rsidRPr="00E75C2A" w:rsidRDefault="00FB03D6" w:rsidP="001A1FAA">
            <w:pPr>
              <w:numPr>
                <w:ilvl w:val="0"/>
                <w:numId w:val="33"/>
              </w:numPr>
              <w:tabs>
                <w:tab w:val="clear" w:pos="1080"/>
              </w:tabs>
              <w:adjustRightInd w:val="0"/>
              <w:spacing w:before="240" w:after="0"/>
              <w:ind w:left="288" w:hanging="288"/>
              <w:rPr>
                <w:rFonts w:cs="Arial"/>
                <w:i/>
              </w:rPr>
            </w:pPr>
            <w:r w:rsidRPr="00E75C2A">
              <w:rPr>
                <w:rFonts w:cs="Arial"/>
                <w:i/>
              </w:rPr>
              <w:t>Stock status of Queensland's fisheries resources 2012</w:t>
            </w:r>
          </w:p>
          <w:p w:rsidR="00B6012C" w:rsidRPr="007843C2" w:rsidRDefault="00FB03D6" w:rsidP="001A1FAA">
            <w:pPr>
              <w:numPr>
                <w:ilvl w:val="0"/>
                <w:numId w:val="33"/>
              </w:numPr>
              <w:tabs>
                <w:tab w:val="clear" w:pos="1080"/>
              </w:tabs>
              <w:adjustRightInd w:val="0"/>
              <w:spacing w:before="240" w:after="0"/>
              <w:ind w:left="288" w:hanging="288"/>
              <w:rPr>
                <w:rFonts w:cs="Arial"/>
              </w:rPr>
            </w:pPr>
            <w:r w:rsidRPr="007843C2">
              <w:rPr>
                <w:rFonts w:cs="Arial"/>
              </w:rPr>
              <w:t>Queensland Eel Fishery, Annua</w:t>
            </w:r>
            <w:r w:rsidR="00A75905">
              <w:rPr>
                <w:rFonts w:cs="Arial"/>
              </w:rPr>
              <w:t>l fishery reports 2008</w:t>
            </w:r>
            <w:r w:rsidR="00A75905">
              <w:rPr>
                <w:rFonts w:cs="Arial"/>
              </w:rPr>
              <w:softHyphen/>
            </w:r>
            <w:r w:rsidR="00A75905">
              <w:rPr>
                <w:rFonts w:cs="Arial"/>
              </w:rPr>
              <w:softHyphen/>
            </w:r>
            <w:r w:rsidR="00A75905">
              <w:rPr>
                <w:rFonts w:cs="Arial"/>
              </w:rPr>
              <w:softHyphen/>
              <w:t xml:space="preserve"> - 2012</w:t>
            </w:r>
          </w:p>
          <w:p w:rsidR="007843C2" w:rsidRPr="00356DE8" w:rsidRDefault="00FB03D6" w:rsidP="001A1FAA">
            <w:pPr>
              <w:numPr>
                <w:ilvl w:val="0"/>
                <w:numId w:val="33"/>
              </w:numPr>
              <w:tabs>
                <w:tab w:val="clear" w:pos="1080"/>
              </w:tabs>
              <w:adjustRightInd w:val="0"/>
              <w:spacing w:before="240" w:after="0"/>
              <w:ind w:left="288" w:hanging="288"/>
              <w:rPr>
                <w:rFonts w:cs="Arial"/>
              </w:rPr>
            </w:pPr>
            <w:r w:rsidRPr="007843C2">
              <w:rPr>
                <w:rFonts w:cs="Arial"/>
              </w:rPr>
              <w:t>Policy for Management</w:t>
            </w:r>
            <w:r w:rsidR="007843C2" w:rsidRPr="007843C2">
              <w:rPr>
                <w:rFonts w:cs="Arial"/>
              </w:rPr>
              <w:t xml:space="preserve"> Arrangements for the Commercial Harvesting and Use of Juvenile Eels, February 2006</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rPr>
            </w:pPr>
            <w:r w:rsidRPr="009B3A55">
              <w:rPr>
                <w:rFonts w:cs="Arial"/>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520DED" w:rsidRPr="00CD2234" w:rsidRDefault="00520DED" w:rsidP="001A1FAA">
            <w:pPr>
              <w:adjustRightInd w:val="0"/>
              <w:spacing w:before="240"/>
              <w:rPr>
                <w:rFonts w:cs="Arial"/>
                <w:snapToGrid w:val="0"/>
              </w:rPr>
            </w:pPr>
            <w:r w:rsidRPr="00CD2234">
              <w:rPr>
                <w:rFonts w:cs="Arial"/>
                <w:snapToGrid w:val="0"/>
              </w:rPr>
              <w:t>All fishing occurs within Queensland state waters.</w:t>
            </w:r>
            <w:r w:rsidR="007A41ED" w:rsidRPr="00CD2234">
              <w:rPr>
                <w:rFonts w:cs="Arial"/>
                <w:snapToGrid w:val="0"/>
              </w:rPr>
              <w:t xml:space="preserve"> The fishery consists of two sectors, with different areas prescribed for each sector.</w:t>
            </w:r>
          </w:p>
          <w:p w:rsidR="00520DED" w:rsidRPr="00CD2234" w:rsidRDefault="00520DED" w:rsidP="001A1FAA">
            <w:pPr>
              <w:adjustRightInd w:val="0"/>
              <w:spacing w:before="240" w:after="0"/>
              <w:rPr>
                <w:rFonts w:cs="Arial"/>
                <w:snapToGrid w:val="0"/>
                <w:u w:val="single"/>
              </w:rPr>
            </w:pPr>
            <w:r w:rsidRPr="00CD2234">
              <w:rPr>
                <w:rFonts w:cs="Arial"/>
                <w:snapToGrid w:val="0"/>
                <w:u w:val="single"/>
              </w:rPr>
              <w:t>Adult eel sector</w:t>
            </w:r>
            <w:r w:rsidR="00030C2F">
              <w:rPr>
                <w:rFonts w:cs="Arial"/>
                <w:snapToGrid w:val="0"/>
                <w:u w:val="single"/>
              </w:rPr>
              <w:t xml:space="preserve"> - eels </w:t>
            </w:r>
            <w:r w:rsidR="00A863EC">
              <w:rPr>
                <w:rFonts w:cs="Arial"/>
                <w:snapToGrid w:val="0"/>
                <w:u w:val="single"/>
              </w:rPr>
              <w:t>greater than 30 cm</w:t>
            </w:r>
            <w:r w:rsidR="00030C2F">
              <w:rPr>
                <w:rFonts w:cs="Arial"/>
                <w:snapToGrid w:val="0"/>
                <w:u w:val="single"/>
              </w:rPr>
              <w:t xml:space="preserve"> in length</w:t>
            </w:r>
          </w:p>
          <w:p w:rsidR="007A41ED" w:rsidRPr="00CD2234" w:rsidRDefault="007A41ED" w:rsidP="001A1FAA">
            <w:pPr>
              <w:adjustRightInd w:val="0"/>
              <w:spacing w:before="240"/>
              <w:rPr>
                <w:rFonts w:cs="Arial"/>
                <w:snapToGrid w:val="0"/>
              </w:rPr>
            </w:pPr>
            <w:r w:rsidRPr="00CD2234">
              <w:rPr>
                <w:rFonts w:cs="Arial"/>
                <w:snapToGrid w:val="0"/>
              </w:rPr>
              <w:t xml:space="preserve">All Queensland East Coast Drainage Division catchments are open to adult eel trapping, except catchments on offshore islands. The adult eel fishery is restricted to either impoundments formed by dams, such as </w:t>
            </w:r>
            <w:proofErr w:type="spellStart"/>
            <w:r w:rsidRPr="00CD2234">
              <w:rPr>
                <w:rFonts w:cs="Arial"/>
                <w:snapToGrid w:val="0"/>
              </w:rPr>
              <w:t>Cressbrook</w:t>
            </w:r>
            <w:proofErr w:type="spellEnd"/>
            <w:r w:rsidRPr="00CD2234">
              <w:rPr>
                <w:rFonts w:cs="Arial"/>
                <w:snapToGrid w:val="0"/>
              </w:rPr>
              <w:t xml:space="preserve"> Dam (a public impoundment), or privately owned and artificially created impoundments, such as private farm dams. Most adult eel trapping occurs in privately owned farm dams rather than public waters.</w:t>
            </w:r>
          </w:p>
          <w:p w:rsidR="007A41ED" w:rsidRDefault="007A41ED" w:rsidP="001A1FAA">
            <w:pPr>
              <w:adjustRightInd w:val="0"/>
              <w:spacing w:before="240"/>
              <w:rPr>
                <w:rFonts w:cs="Arial"/>
                <w:snapToGrid w:val="0"/>
              </w:rPr>
            </w:pPr>
            <w:r w:rsidRPr="00CD2234">
              <w:rPr>
                <w:rFonts w:cs="Arial"/>
                <w:snapToGrid w:val="0"/>
              </w:rPr>
              <w:t xml:space="preserve">Natural freshwaters, such as rivers, streams, creeks, lagoons and natural swamps, and waters impounded by other structures, such as weirs, are not open to adult eel trapping. </w:t>
            </w:r>
          </w:p>
          <w:p w:rsidR="00CD2234" w:rsidRPr="00CD2234" w:rsidRDefault="007A41ED" w:rsidP="001A1FAA">
            <w:pPr>
              <w:adjustRightInd w:val="0"/>
              <w:spacing w:before="240" w:after="0"/>
              <w:rPr>
                <w:rFonts w:cs="Arial"/>
                <w:snapToGrid w:val="0"/>
                <w:u w:val="single"/>
              </w:rPr>
            </w:pPr>
            <w:r w:rsidRPr="00CD2234">
              <w:rPr>
                <w:rFonts w:cs="Arial"/>
                <w:snapToGrid w:val="0"/>
                <w:u w:val="single"/>
              </w:rPr>
              <w:t>Juvenile eel sector</w:t>
            </w:r>
            <w:r w:rsidR="00030C2F">
              <w:rPr>
                <w:rFonts w:cs="Arial"/>
                <w:snapToGrid w:val="0"/>
                <w:u w:val="single"/>
              </w:rPr>
              <w:t xml:space="preserve"> - eels less than 30 cm in length</w:t>
            </w:r>
          </w:p>
          <w:p w:rsidR="00E75C2A" w:rsidRDefault="00E75C2A" w:rsidP="00B05F5F">
            <w:pPr>
              <w:adjustRightInd w:val="0"/>
              <w:spacing w:before="240"/>
              <w:rPr>
                <w:rFonts w:cs="Arial"/>
                <w:snapToGrid w:val="0"/>
              </w:rPr>
            </w:pPr>
            <w:r>
              <w:rPr>
                <w:rFonts w:cs="Arial"/>
                <w:snapToGrid w:val="0"/>
              </w:rPr>
              <w:t>R</w:t>
            </w:r>
            <w:r w:rsidRPr="00CD2234">
              <w:rPr>
                <w:rFonts w:cs="Arial"/>
                <w:snapToGrid w:val="0"/>
              </w:rPr>
              <w:t>iv</w:t>
            </w:r>
            <w:r>
              <w:rPr>
                <w:rFonts w:cs="Arial"/>
                <w:snapToGrid w:val="0"/>
              </w:rPr>
              <w:t>ers in which collection of juvenile eels is permitted include the Albert, Barron</w:t>
            </w:r>
            <w:r w:rsidRPr="00CD2234">
              <w:rPr>
                <w:rFonts w:cs="Arial"/>
                <w:snapToGrid w:val="0"/>
              </w:rPr>
              <w:t xml:space="preserve">, Burdekin, Burnett, </w:t>
            </w:r>
            <w:proofErr w:type="spellStart"/>
            <w:r w:rsidRPr="00CD2234">
              <w:rPr>
                <w:rFonts w:cs="Arial"/>
                <w:snapToGrid w:val="0"/>
              </w:rPr>
              <w:t>Burrum</w:t>
            </w:r>
            <w:proofErr w:type="spellEnd"/>
            <w:r w:rsidRPr="00CD2234">
              <w:rPr>
                <w:rFonts w:cs="Arial"/>
                <w:snapToGrid w:val="0"/>
              </w:rPr>
              <w:t xml:space="preserve">, Caboolture, Coomera, Currumbin, Fitzroy, North and South Johnstone, </w:t>
            </w:r>
            <w:proofErr w:type="spellStart"/>
            <w:r w:rsidRPr="00CD2234">
              <w:rPr>
                <w:rFonts w:cs="Arial"/>
                <w:snapToGrid w:val="0"/>
              </w:rPr>
              <w:t>Kolan</w:t>
            </w:r>
            <w:proofErr w:type="spellEnd"/>
            <w:r w:rsidRPr="00CD2234">
              <w:rPr>
                <w:rFonts w:cs="Arial"/>
                <w:snapToGrid w:val="0"/>
              </w:rPr>
              <w:t>, Logan, Maroochy, Mary, Mooloolah, Mulgrave, Nerang, Noosa, North and South Pine and Tully Rivers.</w:t>
            </w:r>
          </w:p>
          <w:p w:rsidR="00B6012C" w:rsidRPr="00CD2234" w:rsidRDefault="00E75C2A" w:rsidP="00E75C2A">
            <w:pPr>
              <w:adjustRightInd w:val="0"/>
              <w:spacing w:before="240"/>
              <w:rPr>
                <w:rFonts w:cs="Arial"/>
                <w:snapToGrid w:val="0"/>
              </w:rPr>
            </w:pPr>
            <w:r>
              <w:rPr>
                <w:rFonts w:cs="Arial"/>
                <w:snapToGrid w:val="0"/>
              </w:rPr>
              <w:t>Within these rivers, j</w:t>
            </w:r>
            <w:r w:rsidR="00CD2234" w:rsidRPr="00CD2234">
              <w:rPr>
                <w:rFonts w:cs="Arial"/>
                <w:snapToGrid w:val="0"/>
              </w:rPr>
              <w:t>uvenile eels may be collected at</w:t>
            </w:r>
            <w:r w:rsidR="00B05F5F">
              <w:rPr>
                <w:rFonts w:cs="Arial"/>
                <w:snapToGrid w:val="0"/>
              </w:rPr>
              <w:t>,</w:t>
            </w:r>
            <w:r w:rsidR="00CD2234" w:rsidRPr="00CD2234">
              <w:rPr>
                <w:rFonts w:cs="Arial"/>
                <w:snapToGrid w:val="0"/>
              </w:rPr>
              <w:t xml:space="preserve"> or downstream of</w:t>
            </w:r>
            <w:r w:rsidR="00B05F5F">
              <w:rPr>
                <w:rFonts w:cs="Arial"/>
                <w:snapToGrid w:val="0"/>
              </w:rPr>
              <w:t>,</w:t>
            </w:r>
            <w:r w:rsidR="00CD2234" w:rsidRPr="00CD2234">
              <w:rPr>
                <w:rFonts w:cs="Arial"/>
                <w:snapToGrid w:val="0"/>
              </w:rPr>
              <w:t xml:space="preserve"> the most downstream dam or weir</w:t>
            </w:r>
            <w:r w:rsidR="00B05F5F" w:rsidRPr="00CD2234">
              <w:rPr>
                <w:rFonts w:cs="Arial"/>
                <w:snapToGrid w:val="0"/>
              </w:rPr>
              <w:t xml:space="preserve"> </w:t>
            </w:r>
            <w:r>
              <w:rPr>
                <w:rFonts w:cs="Arial"/>
                <w:snapToGrid w:val="0"/>
              </w:rPr>
              <w:t>in the river</w:t>
            </w:r>
            <w:r w:rsidR="00B05F5F">
              <w:rPr>
                <w:rFonts w:cs="Arial"/>
                <w:snapToGrid w:val="0"/>
              </w:rPr>
              <w:t>. Collection is also permitted</w:t>
            </w:r>
            <w:r w:rsidR="00CD2234" w:rsidRPr="00CD2234">
              <w:rPr>
                <w:rFonts w:cs="Arial"/>
                <w:snapToGrid w:val="0"/>
              </w:rPr>
              <w:t xml:space="preserve"> up to 200 m either side of the mouths</w:t>
            </w:r>
            <w:r w:rsidR="00B05F5F">
              <w:rPr>
                <w:rFonts w:cs="Arial"/>
                <w:snapToGrid w:val="0"/>
              </w:rPr>
              <w:t xml:space="preserve"> of these rivers</w:t>
            </w:r>
            <w:r w:rsidR="00CD2234" w:rsidRPr="00CD2234">
              <w:rPr>
                <w:rFonts w:cs="Arial"/>
                <w:snapToGrid w:val="0"/>
              </w:rPr>
              <w:t xml:space="preserve">. </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824A41" w:rsidRDefault="00CD2234" w:rsidP="001A1FAA">
            <w:pPr>
              <w:spacing w:before="240"/>
              <w:rPr>
                <w:rFonts w:cs="Arial"/>
                <w:snapToGrid w:val="0"/>
              </w:rPr>
            </w:pPr>
            <w:r w:rsidRPr="00A57853">
              <w:rPr>
                <w:rFonts w:cs="Arial"/>
                <w:snapToGrid w:val="0"/>
              </w:rPr>
              <w:t>The Queensland Eel Fishery targets the long-finned eel (</w:t>
            </w:r>
            <w:r w:rsidRPr="00A57853">
              <w:rPr>
                <w:rFonts w:cs="Arial"/>
                <w:i/>
                <w:snapToGrid w:val="0"/>
              </w:rPr>
              <w:t>Anguilla</w:t>
            </w:r>
            <w:r w:rsidR="00A57853" w:rsidRPr="00A57853">
              <w:rPr>
                <w:rFonts w:cs="Arial"/>
                <w:i/>
                <w:snapToGrid w:val="0"/>
              </w:rPr>
              <w:t> </w:t>
            </w:r>
            <w:proofErr w:type="spellStart"/>
            <w:r w:rsidRPr="00A57853">
              <w:rPr>
                <w:rFonts w:cs="Arial"/>
                <w:i/>
                <w:snapToGrid w:val="0"/>
              </w:rPr>
              <w:t>reinhardtii</w:t>
            </w:r>
            <w:proofErr w:type="spellEnd"/>
            <w:r w:rsidRPr="00A57853">
              <w:rPr>
                <w:rFonts w:cs="Arial"/>
                <w:snapToGrid w:val="0"/>
              </w:rPr>
              <w:t>) and the short-finned eel (</w:t>
            </w:r>
            <w:r w:rsidRPr="00A57853">
              <w:rPr>
                <w:rFonts w:cs="Arial"/>
                <w:i/>
                <w:snapToGrid w:val="0"/>
              </w:rPr>
              <w:t xml:space="preserve">A. </w:t>
            </w:r>
            <w:proofErr w:type="spellStart"/>
            <w:r w:rsidRPr="00A57853">
              <w:rPr>
                <w:rFonts w:cs="Arial"/>
                <w:i/>
                <w:snapToGrid w:val="0"/>
              </w:rPr>
              <w:t>australis</w:t>
            </w:r>
            <w:proofErr w:type="spellEnd"/>
            <w:r w:rsidRPr="00A57853">
              <w:rPr>
                <w:rFonts w:cs="Arial"/>
                <w:snapToGrid w:val="0"/>
              </w:rPr>
              <w:t>).</w:t>
            </w:r>
          </w:p>
          <w:p w:rsidR="00824A41" w:rsidRDefault="00824A41" w:rsidP="001A1FAA">
            <w:pPr>
              <w:spacing w:before="240"/>
              <w:rPr>
                <w:rFonts w:cs="Arial"/>
                <w:snapToGrid w:val="0"/>
              </w:rPr>
            </w:pPr>
            <w:r>
              <w:rPr>
                <w:rFonts w:cs="Arial"/>
                <w:snapToGrid w:val="0"/>
              </w:rPr>
              <w:t>Both species have similar life cycles,</w:t>
            </w:r>
            <w:r w:rsidR="00012021">
              <w:rPr>
                <w:rFonts w:cs="Arial"/>
                <w:snapToGrid w:val="0"/>
              </w:rPr>
              <w:t xml:space="preserve"> beginning with a</w:t>
            </w:r>
            <w:r>
              <w:rPr>
                <w:rFonts w:cs="Arial"/>
                <w:snapToGrid w:val="0"/>
              </w:rPr>
              <w:t xml:space="preserve"> spawning </w:t>
            </w:r>
            <w:r w:rsidR="00012021">
              <w:rPr>
                <w:rFonts w:cs="Arial"/>
                <w:snapToGrid w:val="0"/>
              </w:rPr>
              <w:t>migration from eastern Australian inland rivers to the</w:t>
            </w:r>
            <w:r w:rsidR="00D50688">
              <w:rPr>
                <w:rFonts w:cs="Arial"/>
                <w:snapToGrid w:val="0"/>
              </w:rPr>
              <w:t xml:space="preserve"> Coral Sea. Females produce 5-</w:t>
            </w:r>
            <w:r>
              <w:rPr>
                <w:rFonts w:cs="Arial"/>
                <w:snapToGrid w:val="0"/>
              </w:rPr>
              <w:t xml:space="preserve">10 million eggs which hatch into larvae </w:t>
            </w:r>
            <w:r w:rsidR="00012021">
              <w:rPr>
                <w:rFonts w:cs="Arial"/>
                <w:snapToGrid w:val="0"/>
              </w:rPr>
              <w:t>after</w:t>
            </w:r>
            <w:r w:rsidR="00E75C2A">
              <w:rPr>
                <w:rFonts w:cs="Arial"/>
                <w:snapToGrid w:val="0"/>
              </w:rPr>
              <w:br/>
            </w:r>
            <w:r w:rsidR="00D50688">
              <w:rPr>
                <w:rFonts w:cs="Arial"/>
                <w:snapToGrid w:val="0"/>
              </w:rPr>
              <w:t>2-</w:t>
            </w:r>
            <w:r>
              <w:rPr>
                <w:rFonts w:cs="Arial"/>
                <w:snapToGrid w:val="0"/>
              </w:rPr>
              <w:t xml:space="preserve">10 days. These larvae are carried to the continental shelf by ocean currents, where they </w:t>
            </w:r>
            <w:r w:rsidR="00E016C7">
              <w:rPr>
                <w:rFonts w:cs="Arial"/>
                <w:snapToGrid w:val="0"/>
              </w:rPr>
              <w:t>metamorphose</w:t>
            </w:r>
            <w:r>
              <w:rPr>
                <w:rFonts w:cs="Arial"/>
                <w:snapToGrid w:val="0"/>
              </w:rPr>
              <w:t xml:space="preserve"> into an </w:t>
            </w:r>
            <w:proofErr w:type="spellStart"/>
            <w:r>
              <w:rPr>
                <w:rFonts w:cs="Arial"/>
                <w:snapToGrid w:val="0"/>
              </w:rPr>
              <w:t>unpigmented</w:t>
            </w:r>
            <w:proofErr w:type="spellEnd"/>
            <w:r w:rsidR="00012021">
              <w:rPr>
                <w:rFonts w:cs="Arial"/>
                <w:snapToGrid w:val="0"/>
              </w:rPr>
              <w:t xml:space="preserve"> </w:t>
            </w:r>
            <w:r>
              <w:rPr>
                <w:rFonts w:cs="Arial"/>
                <w:snapToGrid w:val="0"/>
              </w:rPr>
              <w:t>juvenile stage known as 'glass eels'. Long-finned glass eels enter estuary systems</w:t>
            </w:r>
            <w:r w:rsidR="00012021">
              <w:rPr>
                <w:rFonts w:cs="Arial"/>
                <w:snapToGrid w:val="0"/>
              </w:rPr>
              <w:t xml:space="preserve"> in </w:t>
            </w:r>
            <w:r w:rsidR="00012021">
              <w:rPr>
                <w:rFonts w:cs="Arial"/>
                <w:snapToGrid w:val="0"/>
              </w:rPr>
              <w:lastRenderedPageBreak/>
              <w:t>summer and autumn, while short-finned</w:t>
            </w:r>
            <w:r w:rsidR="00E016C7">
              <w:rPr>
                <w:rFonts w:cs="Arial"/>
                <w:snapToGrid w:val="0"/>
              </w:rPr>
              <w:t xml:space="preserve"> glass eels move into estuaries in late autumn and spring.</w:t>
            </w:r>
          </w:p>
          <w:p w:rsidR="00E016C7" w:rsidRDefault="00E016C7" w:rsidP="001A1FAA">
            <w:pPr>
              <w:spacing w:before="240"/>
              <w:rPr>
                <w:rFonts w:cs="Arial"/>
                <w:snapToGrid w:val="0"/>
              </w:rPr>
            </w:pPr>
            <w:r>
              <w:rPr>
                <w:rFonts w:cs="Arial"/>
                <w:snapToGrid w:val="0"/>
              </w:rPr>
              <w:t>As glass eels develop pigment, they are described as '</w:t>
            </w:r>
            <w:proofErr w:type="spellStart"/>
            <w:r>
              <w:rPr>
                <w:rFonts w:cs="Arial"/>
                <w:snapToGrid w:val="0"/>
              </w:rPr>
              <w:t>elvers</w:t>
            </w:r>
            <w:proofErr w:type="spellEnd"/>
            <w:r>
              <w:rPr>
                <w:rFonts w:cs="Arial"/>
                <w:snapToGrid w:val="0"/>
              </w:rPr>
              <w:t xml:space="preserve">'. Both </w:t>
            </w:r>
            <w:proofErr w:type="spellStart"/>
            <w:r>
              <w:rPr>
                <w:rFonts w:cs="Arial"/>
                <w:snapToGrid w:val="0"/>
              </w:rPr>
              <w:t>elvers</w:t>
            </w:r>
            <w:proofErr w:type="spellEnd"/>
            <w:r>
              <w:rPr>
                <w:rFonts w:cs="Arial"/>
                <w:snapToGrid w:val="0"/>
              </w:rPr>
              <w:t xml:space="preserve"> and glass eels make up the juvenile eel sector of the Queensland Eel Fishery. Elvers move upstream into </w:t>
            </w:r>
            <w:r w:rsidR="0052142A">
              <w:rPr>
                <w:rFonts w:cs="Arial"/>
                <w:snapToGrid w:val="0"/>
              </w:rPr>
              <w:t xml:space="preserve">lakes, swamps, farm dams and the </w:t>
            </w:r>
            <w:r>
              <w:rPr>
                <w:rFonts w:cs="Arial"/>
                <w:snapToGrid w:val="0"/>
              </w:rPr>
              <w:t xml:space="preserve">freshwater </w:t>
            </w:r>
            <w:r w:rsidR="0052142A">
              <w:rPr>
                <w:rFonts w:cs="Arial"/>
                <w:snapToGrid w:val="0"/>
              </w:rPr>
              <w:t xml:space="preserve">reaches of rivers and creeks </w:t>
            </w:r>
            <w:r>
              <w:rPr>
                <w:rFonts w:cs="Arial"/>
                <w:snapToGrid w:val="0"/>
              </w:rPr>
              <w:t>to complete their juvenile migratio</w:t>
            </w:r>
            <w:r w:rsidR="0052142A">
              <w:rPr>
                <w:rFonts w:cs="Arial"/>
                <w:snapToGrid w:val="0"/>
              </w:rPr>
              <w:t>n. Long-finned eels usually move upstream in summer and spring, while short-finned eels migrate upstream in winter months. Male eels generally settle in the lower reaches of river systems while females are more often found further inland.</w:t>
            </w:r>
          </w:p>
          <w:p w:rsidR="0052142A" w:rsidRPr="00A57853" w:rsidRDefault="00D50688" w:rsidP="001A1FAA">
            <w:pPr>
              <w:spacing w:before="240"/>
              <w:rPr>
                <w:rFonts w:cs="Arial"/>
                <w:snapToGrid w:val="0"/>
              </w:rPr>
            </w:pPr>
            <w:r w:rsidRPr="0052142A">
              <w:rPr>
                <w:rFonts w:cs="Arial"/>
                <w:snapToGrid w:val="0"/>
              </w:rPr>
              <w:t xml:space="preserve">The age at maturity </w:t>
            </w:r>
            <w:r>
              <w:rPr>
                <w:rFonts w:cs="Arial"/>
                <w:snapToGrid w:val="0"/>
              </w:rPr>
              <w:t xml:space="preserve">of freshwater eels </w:t>
            </w:r>
            <w:r w:rsidRPr="0052142A">
              <w:rPr>
                <w:rFonts w:cs="Arial"/>
                <w:snapToGrid w:val="0"/>
              </w:rPr>
              <w:t>varies considerably in the wild, with estimates of 8-12 years for males and 10-30 years for females.</w:t>
            </w:r>
            <w:r w:rsidR="00472442">
              <w:rPr>
                <w:rFonts w:cs="Arial"/>
                <w:snapToGrid w:val="0"/>
              </w:rPr>
              <w:t xml:space="preserve"> </w:t>
            </w:r>
            <w:r w:rsidR="0052142A" w:rsidRPr="0052142A">
              <w:rPr>
                <w:rFonts w:cs="Arial"/>
                <w:snapToGrid w:val="0"/>
              </w:rPr>
              <w:t xml:space="preserve">When maturity </w:t>
            </w:r>
            <w:r>
              <w:rPr>
                <w:rFonts w:cs="Arial"/>
                <w:snapToGrid w:val="0"/>
              </w:rPr>
              <w:t>is reached, freshwater eels</w:t>
            </w:r>
            <w:r w:rsidR="0052142A" w:rsidRPr="0052142A">
              <w:rPr>
                <w:rFonts w:cs="Arial"/>
                <w:snapToGrid w:val="0"/>
              </w:rPr>
              <w:t xml:space="preserve"> move downstream to the entrances of rivers and creeks before </w:t>
            </w:r>
            <w:r w:rsidR="000A3336">
              <w:rPr>
                <w:rFonts w:cs="Arial"/>
                <w:snapToGrid w:val="0"/>
              </w:rPr>
              <w:t>returning</w:t>
            </w:r>
            <w:r w:rsidR="0052142A" w:rsidRPr="0052142A">
              <w:rPr>
                <w:rFonts w:cs="Arial"/>
                <w:snapToGrid w:val="0"/>
              </w:rPr>
              <w:t xml:space="preserve"> to the Coral Sea</w:t>
            </w:r>
            <w:r w:rsidR="000A3336">
              <w:rPr>
                <w:rFonts w:cs="Arial"/>
                <w:snapToGrid w:val="0"/>
              </w:rPr>
              <w:t xml:space="preserve"> to spawn</w:t>
            </w:r>
            <w:r w:rsidR="0052142A" w:rsidRPr="0052142A">
              <w:rPr>
                <w:rFonts w:cs="Arial"/>
                <w:snapToGrid w:val="0"/>
              </w:rPr>
              <w:t xml:space="preserve">. </w:t>
            </w:r>
            <w:r w:rsidR="000A3336">
              <w:rPr>
                <w:rFonts w:cs="Arial"/>
                <w:snapToGrid w:val="0"/>
              </w:rPr>
              <w:t xml:space="preserve">The eels </w:t>
            </w:r>
            <w:r w:rsidR="0052142A" w:rsidRPr="0052142A">
              <w:rPr>
                <w:rFonts w:cs="Arial"/>
                <w:snapToGrid w:val="0"/>
              </w:rPr>
              <w:t>undergo several physical and physiological changes</w:t>
            </w:r>
            <w:r w:rsidR="000A3336">
              <w:rPr>
                <w:rFonts w:cs="Arial"/>
                <w:snapToGrid w:val="0"/>
              </w:rPr>
              <w:t xml:space="preserve"> in preparation for this return migration, becoming silvery</w:t>
            </w:r>
            <w:r w:rsidR="0052142A" w:rsidRPr="0052142A">
              <w:rPr>
                <w:rFonts w:cs="Arial"/>
                <w:snapToGrid w:val="0"/>
              </w:rPr>
              <w:t xml:space="preserve"> </w:t>
            </w:r>
            <w:r w:rsidR="000A3336">
              <w:rPr>
                <w:rFonts w:cs="Arial"/>
                <w:snapToGrid w:val="0"/>
              </w:rPr>
              <w:t>with</w:t>
            </w:r>
            <w:r w:rsidR="0052142A" w:rsidRPr="0052142A">
              <w:rPr>
                <w:rFonts w:cs="Arial"/>
                <w:snapToGrid w:val="0"/>
              </w:rPr>
              <w:t xml:space="preserve"> </w:t>
            </w:r>
            <w:r w:rsidR="000A3336">
              <w:rPr>
                <w:rFonts w:cs="Arial"/>
                <w:snapToGrid w:val="0"/>
              </w:rPr>
              <w:t xml:space="preserve">enlarged </w:t>
            </w:r>
            <w:r w:rsidR="0052142A" w:rsidRPr="0052142A">
              <w:rPr>
                <w:rFonts w:cs="Arial"/>
                <w:snapToGrid w:val="0"/>
              </w:rPr>
              <w:t xml:space="preserve">eyes </w:t>
            </w:r>
            <w:r w:rsidR="000A3336">
              <w:rPr>
                <w:rFonts w:cs="Arial"/>
                <w:snapToGrid w:val="0"/>
              </w:rPr>
              <w:t>and gonads. The stomach</w:t>
            </w:r>
            <w:r w:rsidR="00150D89">
              <w:rPr>
                <w:rFonts w:cs="Arial"/>
                <w:snapToGrid w:val="0"/>
              </w:rPr>
              <w:t xml:space="preserve">s of these mature 'silver eels' </w:t>
            </w:r>
            <w:r w:rsidR="000A3336">
              <w:rPr>
                <w:rFonts w:cs="Arial"/>
                <w:snapToGrid w:val="0"/>
              </w:rPr>
              <w:t>degenerate and are absorbed and the eels cease feeding</w:t>
            </w:r>
            <w:r w:rsidR="0052142A" w:rsidRPr="0052142A">
              <w:rPr>
                <w:rFonts w:cs="Arial"/>
                <w:snapToGrid w:val="0"/>
              </w:rPr>
              <w:t xml:space="preserve">. </w:t>
            </w:r>
            <w:r w:rsidRPr="0052142A">
              <w:rPr>
                <w:rFonts w:cs="Arial"/>
                <w:snapToGrid w:val="0"/>
              </w:rPr>
              <w:t xml:space="preserve">It is </w:t>
            </w:r>
            <w:r>
              <w:rPr>
                <w:rFonts w:cs="Arial"/>
                <w:snapToGrid w:val="0"/>
              </w:rPr>
              <w:t>likely</w:t>
            </w:r>
            <w:r w:rsidRPr="0052142A">
              <w:rPr>
                <w:rFonts w:cs="Arial"/>
                <w:snapToGrid w:val="0"/>
              </w:rPr>
              <w:t xml:space="preserve"> that all mature eels die after spawning.</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B6012C" w:rsidRPr="00030C2F" w:rsidRDefault="00560375" w:rsidP="001A1FAA">
            <w:pPr>
              <w:adjustRightInd w:val="0"/>
              <w:spacing w:before="240"/>
              <w:rPr>
                <w:rFonts w:cs="Arial"/>
                <w:snapToGrid w:val="0"/>
              </w:rPr>
            </w:pPr>
            <w:r w:rsidRPr="00560375">
              <w:rPr>
                <w:rFonts w:cs="Arial"/>
                <w:snapToGrid w:val="0"/>
              </w:rPr>
              <w:t xml:space="preserve">The </w:t>
            </w:r>
            <w:r w:rsidRPr="00E75C2A">
              <w:rPr>
                <w:rFonts w:cs="Arial"/>
                <w:i/>
                <w:snapToGrid w:val="0"/>
              </w:rPr>
              <w:t>Stock status of Queensland's fisheries resources 2012</w:t>
            </w:r>
            <w:r>
              <w:rPr>
                <w:rFonts w:cs="Arial"/>
                <w:snapToGrid w:val="0"/>
              </w:rPr>
              <w:t xml:space="preserve"> assessed the Queensland </w:t>
            </w:r>
            <w:r w:rsidR="00150D89">
              <w:rPr>
                <w:rFonts w:cs="Arial"/>
                <w:snapToGrid w:val="0"/>
              </w:rPr>
              <w:t>Eel F</w:t>
            </w:r>
            <w:r w:rsidR="0008179E">
              <w:rPr>
                <w:rFonts w:cs="Arial"/>
                <w:snapToGrid w:val="0"/>
              </w:rPr>
              <w:t xml:space="preserve">ishery as 'sustainably fished', after adult and juvenile catch rate performance measures were not triggered in 2011. A healthy </w:t>
            </w:r>
            <w:r w:rsidR="00030C2F">
              <w:rPr>
                <w:rFonts w:cs="Arial"/>
                <w:snapToGrid w:val="0"/>
              </w:rPr>
              <w:t>distribution of length classes wa</w:t>
            </w:r>
            <w:r w:rsidR="0008179E">
              <w:rPr>
                <w:rFonts w:cs="Arial"/>
                <w:snapToGrid w:val="0"/>
              </w:rPr>
              <w:t>s app</w:t>
            </w:r>
            <w:r w:rsidR="0021269A">
              <w:rPr>
                <w:rFonts w:cs="Arial"/>
                <w:snapToGrid w:val="0"/>
              </w:rPr>
              <w:t>arent fr</w:t>
            </w:r>
            <w:r w:rsidR="00030C2F">
              <w:rPr>
                <w:rFonts w:cs="Arial"/>
                <w:snapToGrid w:val="0"/>
              </w:rPr>
              <w:t xml:space="preserve">om data from 1999-2007, despite </w:t>
            </w:r>
            <w:r w:rsidR="0021269A">
              <w:rPr>
                <w:rFonts w:cs="Arial"/>
                <w:snapToGrid w:val="0"/>
              </w:rPr>
              <w:t>fluctuating harvests over this period due to environmental factors and market driven effects.</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E75C2A">
            <w:pPr>
              <w:spacing w:before="240"/>
              <w:rPr>
                <w:rFonts w:cs="Arial"/>
                <w:snapToGrid w:val="0"/>
              </w:rPr>
            </w:pPr>
            <w:r w:rsidRPr="009B3A55">
              <w:rPr>
                <w:rFonts w:cs="Arial"/>
                <w:b/>
                <w:snapToGrid w:val="0"/>
              </w:rPr>
              <w:t>B</w:t>
            </w:r>
            <w:r w:rsidR="00E75C2A">
              <w:rPr>
                <w:rFonts w:cs="Arial"/>
                <w:b/>
                <w:snapToGrid w:val="0"/>
              </w:rPr>
              <w:t>y</w:t>
            </w:r>
            <w:r w:rsidRPr="009B3A55">
              <w:rPr>
                <w:rFonts w:cs="Arial"/>
                <w:b/>
                <w:snapToGrid w:val="0"/>
              </w:rPr>
              <w:t>product Species</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F87CB0" w:rsidP="001A1FAA">
            <w:pPr>
              <w:spacing w:before="240"/>
              <w:rPr>
                <w:rFonts w:cs="Arial"/>
                <w:snapToGrid w:val="0"/>
                <w:color w:val="3366FF"/>
              </w:rPr>
            </w:pPr>
            <w:r>
              <w:rPr>
                <w:rFonts w:cs="Arial"/>
                <w:snapToGrid w:val="0"/>
              </w:rPr>
              <w:t>None. Freshwater eels are the only species permitted to be taken for trade or commerce from fresh water in Queensland.</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lastRenderedPageBreak/>
              <w:t>Gear</w:t>
            </w:r>
          </w:p>
        </w:tc>
        <w:tc>
          <w:tcPr>
            <w:tcW w:w="7200" w:type="dxa"/>
            <w:tcBorders>
              <w:top w:val="single" w:sz="4" w:space="0" w:color="auto"/>
              <w:left w:val="single" w:sz="4" w:space="0" w:color="auto"/>
              <w:bottom w:val="single" w:sz="4" w:space="0" w:color="auto"/>
              <w:right w:val="single" w:sz="4" w:space="0" w:color="auto"/>
            </w:tcBorders>
          </w:tcPr>
          <w:p w:rsidR="00A622A3" w:rsidRPr="00E75C2A" w:rsidRDefault="00A622A3" w:rsidP="001A1FAA">
            <w:pPr>
              <w:spacing w:before="240" w:after="120"/>
              <w:rPr>
                <w:u w:val="single"/>
              </w:rPr>
            </w:pPr>
            <w:r>
              <w:rPr>
                <w:u w:val="single"/>
              </w:rPr>
              <w:t>Adult eel sector</w:t>
            </w:r>
            <w:proofErr w:type="gramStart"/>
            <w:r>
              <w:rPr>
                <w:u w:val="single"/>
              </w:rPr>
              <w:t>:</w:t>
            </w:r>
            <w:proofErr w:type="gramEnd"/>
            <w:r w:rsidR="00E75C2A">
              <w:rPr>
                <w:u w:val="single"/>
              </w:rPr>
              <w:br/>
            </w:r>
            <w:r>
              <w:t>Commercial harvest of adult eels is only permitted with baited eel traps or round traps</w:t>
            </w:r>
            <w:r w:rsidR="00683C8C">
              <w:t>. These</w:t>
            </w:r>
            <w:r>
              <w:t xml:space="preserve"> are usually set on the bottoms </w:t>
            </w:r>
            <w:r w:rsidR="00E75C2A">
              <w:t>of impoundments</w:t>
            </w:r>
            <w:r>
              <w:t xml:space="preserve"> </w:t>
            </w:r>
            <w:r w:rsidR="00683C8C">
              <w:t>and</w:t>
            </w:r>
            <w:r w:rsidR="009C2A57">
              <w:t xml:space="preserve"> </w:t>
            </w:r>
            <w:r>
              <w:t>baited with pilchards or mullet</w:t>
            </w:r>
            <w:r w:rsidR="00683C8C">
              <w:t>. All traps</w:t>
            </w:r>
            <w:r>
              <w:t xml:space="preserve"> are required to h</w:t>
            </w:r>
            <w:r w:rsidR="006E58D0">
              <w:t>ave a single point of entry and</w:t>
            </w:r>
            <w:r>
              <w:t xml:space="preserve"> floating cod-end, to provide a breathing space for </w:t>
            </w:r>
            <w:r w:rsidR="00944ACD">
              <w:t xml:space="preserve">accidentally </w:t>
            </w:r>
            <w:r>
              <w:t xml:space="preserve">trapped </w:t>
            </w:r>
            <w:r w:rsidR="00944ACD">
              <w:t>air-breathing animals, such as turtles</w:t>
            </w:r>
            <w:r>
              <w:t>.</w:t>
            </w:r>
          </w:p>
          <w:p w:rsidR="00A622A3" w:rsidRPr="00E75C2A" w:rsidRDefault="00A622A3" w:rsidP="00E75C2A">
            <w:pPr>
              <w:spacing w:before="240" w:after="120"/>
              <w:rPr>
                <w:u w:val="single"/>
              </w:rPr>
            </w:pPr>
            <w:r>
              <w:rPr>
                <w:u w:val="single"/>
              </w:rPr>
              <w:t>Juvenile eel sector</w:t>
            </w:r>
            <w:proofErr w:type="gramStart"/>
            <w:r>
              <w:rPr>
                <w:u w:val="single"/>
              </w:rPr>
              <w:t>:</w:t>
            </w:r>
            <w:proofErr w:type="gramEnd"/>
            <w:r w:rsidR="00E75C2A">
              <w:rPr>
                <w:u w:val="single"/>
              </w:rPr>
              <w:br/>
            </w:r>
            <w:r>
              <w:rPr>
                <w:snapToGrid w:val="0"/>
              </w:rPr>
              <w:t>Fyke nets</w:t>
            </w:r>
            <w:r w:rsidR="00944ACD">
              <w:rPr>
                <w:snapToGrid w:val="0"/>
              </w:rPr>
              <w:t xml:space="preserve"> (bag-shaped nets held open by hoops)</w:t>
            </w:r>
            <w:r w:rsidR="00683C8C">
              <w:rPr>
                <w:snapToGrid w:val="0"/>
              </w:rPr>
              <w:t xml:space="preserve"> with floating cod-ends</w:t>
            </w:r>
            <w:r>
              <w:rPr>
                <w:snapToGrid w:val="0"/>
              </w:rPr>
              <w:t>, dip nets and flow traps</w:t>
            </w:r>
            <w:r w:rsidR="00683C8C">
              <w:rPr>
                <w:snapToGrid w:val="0"/>
              </w:rPr>
              <w:t xml:space="preserve"> (with</w:t>
            </w:r>
            <w:r w:rsidR="00944ACD">
              <w:rPr>
                <w:snapToGrid w:val="0"/>
              </w:rPr>
              <w:t xml:space="preserve"> an approved bycatch excluder</w:t>
            </w:r>
            <w:r w:rsidR="00683C8C">
              <w:rPr>
                <w:snapToGrid w:val="0"/>
              </w:rPr>
              <w:t>)</w:t>
            </w:r>
            <w:r>
              <w:rPr>
                <w:snapToGrid w:val="0"/>
              </w:rPr>
              <w:t xml:space="preserve"> are </w:t>
            </w:r>
            <w:r w:rsidR="009C2A57">
              <w:rPr>
                <w:snapToGrid w:val="0"/>
              </w:rPr>
              <w:t>permitted</w:t>
            </w:r>
            <w:r>
              <w:rPr>
                <w:snapToGrid w:val="0"/>
              </w:rPr>
              <w:t xml:space="preserve"> in the juvenile eel sector of the fishery.</w:t>
            </w:r>
          </w:p>
          <w:p w:rsidR="00A622A3" w:rsidRPr="00683C8C" w:rsidRDefault="00683C8C" w:rsidP="001A1FAA">
            <w:pPr>
              <w:spacing w:before="240"/>
              <w:rPr>
                <w:rFonts w:cs="Arial"/>
              </w:rPr>
            </w:pPr>
            <w:r w:rsidRPr="00683C8C">
              <w:rPr>
                <w:rFonts w:cs="Arial"/>
              </w:rPr>
              <w:t xml:space="preserve">The number, dimensions and mesh sizes of gear used by all commercial fishers </w:t>
            </w:r>
            <w:r w:rsidR="00472442">
              <w:rPr>
                <w:rFonts w:cs="Arial"/>
              </w:rPr>
              <w:t>are</w:t>
            </w:r>
            <w:r w:rsidRPr="00683C8C">
              <w:rPr>
                <w:rFonts w:cs="Arial"/>
              </w:rPr>
              <w:t xml:space="preserve"> subject to restrictions.</w:t>
            </w:r>
          </w:p>
          <w:p w:rsidR="009C2A57" w:rsidRPr="00E75C2A" w:rsidRDefault="009C2A57" w:rsidP="00472442">
            <w:pPr>
              <w:spacing w:before="240"/>
              <w:rPr>
                <w:rFonts w:cs="Arial"/>
                <w:u w:val="single"/>
              </w:rPr>
            </w:pPr>
            <w:r w:rsidRPr="009C2A57">
              <w:rPr>
                <w:rFonts w:cs="Arial"/>
                <w:u w:val="single"/>
              </w:rPr>
              <w:t>Recreational</w:t>
            </w:r>
            <w:proofErr w:type="gramStart"/>
            <w:r w:rsidR="00E75C2A">
              <w:rPr>
                <w:rFonts w:cs="Arial"/>
                <w:u w:val="single"/>
              </w:rPr>
              <w:t>:</w:t>
            </w:r>
            <w:proofErr w:type="gramEnd"/>
            <w:r w:rsidR="00E75C2A">
              <w:rPr>
                <w:rFonts w:cs="Arial"/>
                <w:u w:val="single"/>
              </w:rPr>
              <w:br/>
            </w:r>
            <w:r>
              <w:rPr>
                <w:rFonts w:cs="Arial"/>
              </w:rPr>
              <w:t xml:space="preserve">Recreational fishing for eels is only permitted </w:t>
            </w:r>
            <w:r w:rsidR="00472442">
              <w:rPr>
                <w:rFonts w:cs="Arial"/>
              </w:rPr>
              <w:t>using</w:t>
            </w:r>
            <w:r>
              <w:rPr>
                <w:rFonts w:cs="Arial"/>
              </w:rPr>
              <w:t xml:space="preserve"> line</w:t>
            </w:r>
            <w:r w:rsidR="00472442">
              <w:rPr>
                <w:rFonts w:cs="Arial"/>
              </w:rPr>
              <w:t xml:space="preserve"> methods</w:t>
            </w:r>
            <w:r>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9C2A57" w:rsidP="00472442">
            <w:pPr>
              <w:spacing w:before="240"/>
              <w:rPr>
                <w:rFonts w:cs="Arial"/>
                <w:snapToGrid w:val="0"/>
                <w:color w:val="3366FF"/>
              </w:rPr>
            </w:pPr>
            <w:r>
              <w:rPr>
                <w:rFonts w:cs="Arial"/>
              </w:rPr>
              <w:t>The Queensland Eel Fishery is open year round, with the fishing year commencing on 1 January each year. There are no closed seasons, although effort in the juvenile eel sector is subject to fluctuation</w:t>
            </w:r>
            <w:r w:rsidR="00472442">
              <w:rPr>
                <w:rFonts w:cs="Arial"/>
              </w:rPr>
              <w:t xml:space="preserve"> due to environmental effects</w:t>
            </w:r>
            <w:r>
              <w:rPr>
                <w:rFonts w:cs="Arial"/>
              </w:rPr>
              <w: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905E5F" w:rsidRPr="006E52D0" w:rsidRDefault="00C93814" w:rsidP="001A1FAA">
            <w:pPr>
              <w:spacing w:before="240"/>
              <w:rPr>
                <w:rFonts w:cs="Arial"/>
              </w:rPr>
            </w:pPr>
            <w:r>
              <w:rPr>
                <w:rFonts w:cs="Arial"/>
                <w:snapToGrid w:val="0"/>
              </w:rPr>
              <w:t xml:space="preserve">The most recent full reporting period for commercial harvest is 2012. Harvest of eels has been </w:t>
            </w:r>
            <w:r w:rsidR="00472442">
              <w:rPr>
                <w:rFonts w:cs="Arial"/>
                <w:snapToGrid w:val="0"/>
              </w:rPr>
              <w:t>stable in the fishery over the p</w:t>
            </w:r>
            <w:r>
              <w:rPr>
                <w:rFonts w:cs="Arial"/>
                <w:snapToGrid w:val="0"/>
              </w:rPr>
              <w:t>ast five years.</w:t>
            </w:r>
          </w:p>
          <w:tbl>
            <w:tblPr>
              <w:tblStyle w:val="TableGrid"/>
              <w:tblW w:w="0" w:type="auto"/>
              <w:tblInd w:w="1169" w:type="dxa"/>
              <w:tblLayout w:type="fixed"/>
              <w:tblLook w:val="01E0"/>
            </w:tblPr>
            <w:tblGrid>
              <w:gridCol w:w="2323"/>
              <w:gridCol w:w="2323"/>
            </w:tblGrid>
            <w:tr w:rsidR="00905E5F" w:rsidRPr="006E52D0" w:rsidTr="00905E5F">
              <w:trPr>
                <w:cnfStyle w:val="100000000000"/>
              </w:trPr>
              <w:tc>
                <w:tcPr>
                  <w:tcW w:w="2323" w:type="dxa"/>
                </w:tcPr>
                <w:p w:rsidR="00905E5F" w:rsidRPr="006E52D0" w:rsidRDefault="00905E5F" w:rsidP="001A1FAA">
                  <w:pPr>
                    <w:spacing w:before="240" w:after="0"/>
                    <w:jc w:val="center"/>
                    <w:rPr>
                      <w:rFonts w:cs="Arial"/>
                      <w:b/>
                    </w:rPr>
                  </w:pPr>
                  <w:r w:rsidRPr="006E52D0">
                    <w:rPr>
                      <w:rFonts w:cs="Arial"/>
                      <w:b/>
                    </w:rPr>
                    <w:t>Year</w:t>
                  </w:r>
                </w:p>
              </w:tc>
              <w:tc>
                <w:tcPr>
                  <w:tcW w:w="2323" w:type="dxa"/>
                </w:tcPr>
                <w:p w:rsidR="00905E5F" w:rsidRPr="006E52D0" w:rsidRDefault="00905E5F" w:rsidP="001A1FAA">
                  <w:pPr>
                    <w:spacing w:before="240" w:after="0"/>
                    <w:jc w:val="center"/>
                    <w:rPr>
                      <w:rFonts w:cs="Arial"/>
                      <w:b/>
                    </w:rPr>
                  </w:pPr>
                  <w:r>
                    <w:rPr>
                      <w:rFonts w:cs="Arial"/>
                      <w:b/>
                    </w:rPr>
                    <w:t>Catch (tonnes</w:t>
                  </w:r>
                  <w:r w:rsidRPr="006E52D0">
                    <w:rPr>
                      <w:rFonts w:cs="Arial"/>
                      <w:b/>
                    </w:rPr>
                    <w:t>)</w:t>
                  </w:r>
                </w:p>
              </w:tc>
            </w:tr>
            <w:tr w:rsidR="00905E5F" w:rsidRPr="006E52D0" w:rsidTr="00905E5F">
              <w:trPr>
                <w:cnfStyle w:val="000000100000"/>
              </w:trPr>
              <w:tc>
                <w:tcPr>
                  <w:tcW w:w="2323" w:type="dxa"/>
                </w:tcPr>
                <w:p w:rsidR="00905E5F" w:rsidRPr="006E52D0" w:rsidRDefault="00905E5F" w:rsidP="001A1FAA">
                  <w:pPr>
                    <w:spacing w:before="240" w:after="0"/>
                    <w:jc w:val="center"/>
                    <w:rPr>
                      <w:rFonts w:cs="Arial"/>
                    </w:rPr>
                  </w:pPr>
                  <w:r w:rsidRPr="006E52D0">
                    <w:rPr>
                      <w:rFonts w:cs="Arial"/>
                    </w:rPr>
                    <w:t>2008</w:t>
                  </w:r>
                  <w:r w:rsidRPr="006E52D0">
                    <w:rPr>
                      <w:rFonts w:cs="Arial"/>
                    </w:rPr>
                    <w:softHyphen/>
                  </w:r>
                </w:p>
              </w:tc>
              <w:tc>
                <w:tcPr>
                  <w:tcW w:w="2323" w:type="dxa"/>
                </w:tcPr>
                <w:p w:rsidR="00905E5F" w:rsidRPr="006E52D0" w:rsidRDefault="00905E5F" w:rsidP="001A1FAA">
                  <w:pPr>
                    <w:spacing w:before="240" w:after="0"/>
                    <w:jc w:val="center"/>
                    <w:rPr>
                      <w:rFonts w:cs="Arial"/>
                    </w:rPr>
                  </w:pPr>
                  <w:r>
                    <w:rPr>
                      <w:sz w:val="24"/>
                      <w:szCs w:val="24"/>
                    </w:rPr>
                    <w:t>24.8</w:t>
                  </w:r>
                </w:p>
              </w:tc>
            </w:tr>
            <w:tr w:rsidR="00905E5F" w:rsidRPr="006E52D0" w:rsidTr="00905E5F">
              <w:trPr>
                <w:cnfStyle w:val="000000010000"/>
              </w:trPr>
              <w:tc>
                <w:tcPr>
                  <w:tcW w:w="2323" w:type="dxa"/>
                </w:tcPr>
                <w:p w:rsidR="00905E5F" w:rsidRPr="006E52D0" w:rsidRDefault="00905E5F" w:rsidP="001A1FAA">
                  <w:pPr>
                    <w:spacing w:before="240" w:after="0"/>
                    <w:jc w:val="center"/>
                    <w:rPr>
                      <w:rFonts w:cs="Arial"/>
                    </w:rPr>
                  </w:pPr>
                  <w:r w:rsidRPr="006E52D0">
                    <w:rPr>
                      <w:rFonts w:cs="Arial"/>
                    </w:rPr>
                    <w:t>2009</w:t>
                  </w:r>
                </w:p>
              </w:tc>
              <w:tc>
                <w:tcPr>
                  <w:tcW w:w="2323" w:type="dxa"/>
                </w:tcPr>
                <w:p w:rsidR="00905E5F" w:rsidRPr="006E52D0" w:rsidRDefault="00905E5F" w:rsidP="001A1FAA">
                  <w:pPr>
                    <w:spacing w:before="240" w:after="0"/>
                    <w:jc w:val="center"/>
                    <w:rPr>
                      <w:rFonts w:cs="Arial"/>
                    </w:rPr>
                  </w:pPr>
                  <w:r>
                    <w:rPr>
                      <w:sz w:val="24"/>
                      <w:szCs w:val="24"/>
                    </w:rPr>
                    <w:t>21.8</w:t>
                  </w:r>
                </w:p>
              </w:tc>
            </w:tr>
            <w:tr w:rsidR="00905E5F" w:rsidRPr="006E52D0" w:rsidTr="00905E5F">
              <w:trPr>
                <w:cnfStyle w:val="000000100000"/>
              </w:trPr>
              <w:tc>
                <w:tcPr>
                  <w:tcW w:w="2323" w:type="dxa"/>
                </w:tcPr>
                <w:p w:rsidR="00905E5F" w:rsidRPr="006E52D0" w:rsidRDefault="00905E5F" w:rsidP="001A1FAA">
                  <w:pPr>
                    <w:spacing w:before="240" w:after="0"/>
                    <w:jc w:val="center"/>
                    <w:rPr>
                      <w:rFonts w:cs="Arial"/>
                    </w:rPr>
                  </w:pPr>
                  <w:r w:rsidRPr="006E52D0">
                    <w:rPr>
                      <w:rFonts w:cs="Arial"/>
                    </w:rPr>
                    <w:t>2010</w:t>
                  </w:r>
                  <w:r w:rsidRPr="006E52D0">
                    <w:rPr>
                      <w:rFonts w:cs="Arial"/>
                    </w:rPr>
                    <w:softHyphen/>
                  </w:r>
                </w:p>
              </w:tc>
              <w:tc>
                <w:tcPr>
                  <w:tcW w:w="2323" w:type="dxa"/>
                </w:tcPr>
                <w:p w:rsidR="00905E5F" w:rsidRPr="006E52D0" w:rsidRDefault="00905E5F" w:rsidP="001A1FAA">
                  <w:pPr>
                    <w:spacing w:before="240" w:after="0"/>
                    <w:jc w:val="center"/>
                    <w:rPr>
                      <w:rFonts w:cs="Arial"/>
                    </w:rPr>
                  </w:pPr>
                  <w:r>
                    <w:rPr>
                      <w:sz w:val="24"/>
                      <w:szCs w:val="24"/>
                    </w:rPr>
                    <w:t>24.2</w:t>
                  </w:r>
                </w:p>
              </w:tc>
            </w:tr>
            <w:tr w:rsidR="00905E5F" w:rsidRPr="006E52D0" w:rsidTr="00905E5F">
              <w:trPr>
                <w:cnfStyle w:val="000000010000"/>
              </w:trPr>
              <w:tc>
                <w:tcPr>
                  <w:tcW w:w="2323" w:type="dxa"/>
                </w:tcPr>
                <w:p w:rsidR="00905E5F" w:rsidRPr="006E52D0" w:rsidRDefault="00905E5F" w:rsidP="001A1FAA">
                  <w:pPr>
                    <w:spacing w:before="240" w:after="0"/>
                    <w:jc w:val="center"/>
                    <w:rPr>
                      <w:rFonts w:cs="Arial"/>
                    </w:rPr>
                  </w:pPr>
                  <w:r w:rsidRPr="006E52D0">
                    <w:rPr>
                      <w:rFonts w:cs="Arial"/>
                    </w:rPr>
                    <w:t>2011</w:t>
                  </w:r>
                  <w:r w:rsidRPr="006E52D0">
                    <w:rPr>
                      <w:rFonts w:cs="Arial"/>
                    </w:rPr>
                    <w:softHyphen/>
                  </w:r>
                </w:p>
              </w:tc>
              <w:tc>
                <w:tcPr>
                  <w:tcW w:w="2323" w:type="dxa"/>
                </w:tcPr>
                <w:p w:rsidR="00905E5F" w:rsidRPr="006E52D0" w:rsidRDefault="00905E5F" w:rsidP="001A1FAA">
                  <w:pPr>
                    <w:spacing w:before="240" w:after="0"/>
                    <w:jc w:val="center"/>
                    <w:rPr>
                      <w:rFonts w:cs="Arial"/>
                    </w:rPr>
                  </w:pPr>
                  <w:r>
                    <w:rPr>
                      <w:sz w:val="24"/>
                      <w:szCs w:val="24"/>
                    </w:rPr>
                    <w:t>23.0</w:t>
                  </w:r>
                </w:p>
              </w:tc>
            </w:tr>
            <w:tr w:rsidR="00905E5F" w:rsidRPr="006E52D0" w:rsidTr="00905E5F">
              <w:trPr>
                <w:cnfStyle w:val="010000000000"/>
              </w:trPr>
              <w:tc>
                <w:tcPr>
                  <w:tcW w:w="2323" w:type="dxa"/>
                </w:tcPr>
                <w:p w:rsidR="00905E5F" w:rsidRPr="006E52D0" w:rsidRDefault="00905E5F" w:rsidP="001A1FAA">
                  <w:pPr>
                    <w:spacing w:before="240" w:after="0"/>
                    <w:jc w:val="center"/>
                    <w:rPr>
                      <w:rFonts w:cs="Arial"/>
                    </w:rPr>
                  </w:pPr>
                  <w:r w:rsidRPr="006E52D0">
                    <w:rPr>
                      <w:rFonts w:cs="Arial"/>
                    </w:rPr>
                    <w:t>2012</w:t>
                  </w:r>
                </w:p>
              </w:tc>
              <w:tc>
                <w:tcPr>
                  <w:tcW w:w="2323" w:type="dxa"/>
                </w:tcPr>
                <w:p w:rsidR="00905E5F" w:rsidRPr="006E52D0" w:rsidRDefault="00CD2CDD" w:rsidP="001A1FAA">
                  <w:pPr>
                    <w:spacing w:before="240" w:after="0"/>
                    <w:jc w:val="center"/>
                    <w:rPr>
                      <w:rFonts w:cs="Arial"/>
                    </w:rPr>
                  </w:pPr>
                  <w:r>
                    <w:rPr>
                      <w:rFonts w:cs="Arial"/>
                    </w:rPr>
                    <w:t>21.0</w:t>
                  </w:r>
                </w:p>
              </w:tc>
            </w:tr>
          </w:tbl>
          <w:p w:rsidR="00781C46" w:rsidRPr="00781C46" w:rsidRDefault="00781C46" w:rsidP="001A1FAA">
            <w:pPr>
              <w:spacing w:before="240"/>
              <w:rPr>
                <w:rFonts w:cs="Arial"/>
                <w:sz w:val="20"/>
                <w:szCs w:val="20"/>
              </w:rPr>
            </w:pPr>
            <w:r w:rsidRPr="00781C46">
              <w:rPr>
                <w:rFonts w:cs="Arial"/>
                <w:b/>
                <w:sz w:val="20"/>
                <w:szCs w:val="20"/>
              </w:rPr>
              <w:t>Figure 1. Catch of adult eels from Queensland waters (both species combined).</w:t>
            </w:r>
          </w:p>
          <w:p w:rsidR="00B6012C" w:rsidRPr="009B3A55" w:rsidRDefault="00C93814" w:rsidP="001A1FAA">
            <w:pPr>
              <w:spacing w:before="240"/>
              <w:rPr>
                <w:rFonts w:cs="Arial"/>
                <w:snapToGrid w:val="0"/>
                <w:color w:val="3366FF"/>
              </w:rPr>
            </w:pPr>
            <w:r>
              <w:rPr>
                <w:rFonts w:cs="Arial"/>
                <w:snapToGrid w:val="0"/>
              </w:rPr>
              <w:t xml:space="preserve">There are no harvest figures available for the juvenile eel sector due to confidentiality </w:t>
            </w:r>
            <w:proofErr w:type="gramStart"/>
            <w:r>
              <w:rPr>
                <w:rFonts w:cs="Arial"/>
                <w:snapToGrid w:val="0"/>
              </w:rPr>
              <w:t>reasons,</w:t>
            </w:r>
            <w:proofErr w:type="gramEnd"/>
            <w:r>
              <w:rPr>
                <w:rFonts w:cs="Arial"/>
                <w:snapToGrid w:val="0"/>
              </w:rPr>
              <w:t xml:space="preserve"> however, total harvest of juvenile eels in 2012 was less than 100 kg.</w:t>
            </w:r>
            <w:r w:rsidR="00B6012C" w:rsidRPr="009B3A55">
              <w:rPr>
                <w:rFonts w:cs="Arial"/>
                <w:snapToGrid w:val="0"/>
                <w:color w:val="3366FF"/>
              </w:rPr>
              <w:t xml:space="preserve"> </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B6012C" w:rsidRDefault="001A1FAA" w:rsidP="001A1FAA">
            <w:pPr>
              <w:spacing w:before="240"/>
              <w:rPr>
                <w:rFonts w:cs="Arial"/>
              </w:rPr>
            </w:pPr>
            <w:r>
              <w:rPr>
                <w:rFonts w:cs="Arial"/>
              </w:rPr>
              <w:t xml:space="preserve">The value of the adult eel harvest in 2012 was approximately $230 000. </w:t>
            </w:r>
          </w:p>
          <w:p w:rsidR="005918A7" w:rsidRPr="009B3A55" w:rsidRDefault="005918A7" w:rsidP="001A1FAA">
            <w:pPr>
              <w:spacing w:before="240"/>
              <w:rPr>
                <w:rFonts w:cs="Arial"/>
                <w:snapToGrid w:val="0"/>
                <w:color w:val="3366FF"/>
              </w:rPr>
            </w:pPr>
            <w:r>
              <w:rPr>
                <w:rFonts w:cs="Arial"/>
              </w:rPr>
              <w:t>The value of the juvenile harvest in 2012 is not available for confidentiality reasons, due to the low levels of harvest.</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1A1FAA" w:rsidP="001A1FAA">
            <w:pPr>
              <w:pStyle w:val="Header"/>
              <w:spacing w:before="240" w:after="200" w:line="276" w:lineRule="auto"/>
              <w:rPr>
                <w:rFonts w:cs="Arial"/>
                <w:color w:val="3366FF"/>
              </w:rPr>
            </w:pPr>
            <w:r>
              <w:rPr>
                <w:rFonts w:cs="Arial"/>
              </w:rPr>
              <w:t xml:space="preserve">Freshwater eels are not a popular recreational species in Queensland </w:t>
            </w:r>
            <w:r w:rsidR="00150D89">
              <w:rPr>
                <w:rFonts w:cs="Arial"/>
              </w:rPr>
              <w:t xml:space="preserve">and </w:t>
            </w:r>
            <w:r>
              <w:rPr>
                <w:rFonts w:cs="Arial"/>
              </w:rPr>
              <w:t xml:space="preserve">are mostly taken as bycatch by recreational fishers. A Queensland </w:t>
            </w:r>
            <w:proofErr w:type="spellStart"/>
            <w:r>
              <w:rPr>
                <w:rFonts w:cs="Arial"/>
              </w:rPr>
              <w:t>Statewide</w:t>
            </w:r>
            <w:proofErr w:type="spellEnd"/>
            <w:r>
              <w:rPr>
                <w:rFonts w:cs="Arial"/>
              </w:rPr>
              <w:t xml:space="preserve"> Recreational Fishing Survey undertaken in 2010 indicated that recreational take of ee</w:t>
            </w:r>
            <w:r w:rsidR="00150D89">
              <w:rPr>
                <w:rFonts w:cs="Arial"/>
              </w:rPr>
              <w:t>ls was approximately 2000 adult</w:t>
            </w:r>
            <w:r>
              <w:rPr>
                <w:rFonts w:cs="Arial"/>
              </w:rPr>
              <w:t xml:space="preserve"> eels per year.</w:t>
            </w:r>
          </w:p>
        </w:tc>
      </w:tr>
      <w:tr w:rsidR="00B6012C" w:rsidRPr="009B3A55" w:rsidTr="001955CD">
        <w:trPr>
          <w:cantSplit/>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A75905" w:rsidP="001A1FAA">
            <w:pPr>
              <w:spacing w:before="240"/>
              <w:rPr>
                <w:rFonts w:cs="Arial"/>
                <w:snapToGrid w:val="0"/>
                <w:color w:val="3366FF"/>
              </w:rPr>
            </w:pPr>
            <w:r>
              <w:rPr>
                <w:rFonts w:cs="Arial"/>
              </w:rPr>
              <w:t>In 2012, 19 licences were issued in the adult eel sector and 14 licences were issued in the juvenile eel sector.</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snapToGrid w:val="0"/>
              </w:rPr>
            </w:pPr>
            <w:r w:rsidRPr="009B3A55">
              <w:rPr>
                <w:rFonts w:cs="Arial"/>
                <w:b/>
                <w:snapToGrid w:val="0"/>
              </w:rPr>
              <w:t>Management arrangements</w:t>
            </w:r>
            <w:r w:rsidRPr="009B3A55">
              <w:rPr>
                <w:rFonts w:cs="Arial"/>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A75905" w:rsidRDefault="00A75905" w:rsidP="00A75905">
            <w:pPr>
              <w:spacing w:before="240"/>
              <w:rPr>
                <w:rFonts w:eastAsia="Arial Unicode MS"/>
                <w:iCs/>
                <w:color w:val="000000"/>
              </w:rPr>
            </w:pPr>
            <w:r>
              <w:rPr>
                <w:snapToGrid w:val="0"/>
              </w:rPr>
              <w:t>The fishery is managed under the Queensland</w:t>
            </w:r>
            <w:r>
              <w:rPr>
                <w:snapToGrid w:val="0"/>
                <w:color w:val="3366FF"/>
              </w:rPr>
              <w:t xml:space="preserve"> </w:t>
            </w:r>
            <w:r>
              <w:rPr>
                <w:i/>
                <w:iCs/>
              </w:rPr>
              <w:t xml:space="preserve">Fisheries Act 1994 </w:t>
            </w:r>
            <w:r>
              <w:t xml:space="preserve">and the Queensland </w:t>
            </w:r>
            <w:r>
              <w:rPr>
                <w:iCs/>
              </w:rPr>
              <w:t xml:space="preserve">Fisheries Regulations 2008, </w:t>
            </w:r>
            <w:r>
              <w:rPr>
                <w:rFonts w:eastAsia="Arial Unicode MS"/>
                <w:iCs/>
                <w:color w:val="000000"/>
              </w:rPr>
              <w:t>through input and output controls including:</w:t>
            </w:r>
          </w:p>
          <w:p w:rsidR="00A75905" w:rsidRDefault="00A75905" w:rsidP="00A75905">
            <w:pPr>
              <w:numPr>
                <w:ilvl w:val="0"/>
                <w:numId w:val="41"/>
              </w:numPr>
              <w:overflowPunct w:val="0"/>
              <w:autoSpaceDE w:val="0"/>
              <w:autoSpaceDN w:val="0"/>
              <w:adjustRightInd w:val="0"/>
              <w:spacing w:after="0" w:line="240" w:lineRule="auto"/>
              <w:jc w:val="both"/>
              <w:textAlignment w:val="baseline"/>
              <w:rPr>
                <w:iCs/>
                <w:snapToGrid w:val="0"/>
                <w:color w:val="000000"/>
              </w:rPr>
            </w:pPr>
            <w:r>
              <w:rPr>
                <w:iCs/>
                <w:snapToGrid w:val="0"/>
                <w:color w:val="000000"/>
              </w:rPr>
              <w:t>limited entry</w:t>
            </w:r>
          </w:p>
          <w:p w:rsidR="00A75905" w:rsidRDefault="00A75905" w:rsidP="00A75905">
            <w:pPr>
              <w:numPr>
                <w:ilvl w:val="0"/>
                <w:numId w:val="41"/>
              </w:numPr>
              <w:overflowPunct w:val="0"/>
              <w:autoSpaceDE w:val="0"/>
              <w:autoSpaceDN w:val="0"/>
              <w:adjustRightInd w:val="0"/>
              <w:spacing w:after="0" w:line="240" w:lineRule="auto"/>
              <w:jc w:val="both"/>
              <w:textAlignment w:val="baseline"/>
              <w:rPr>
                <w:iCs/>
                <w:snapToGrid w:val="0"/>
                <w:color w:val="000000"/>
              </w:rPr>
            </w:pPr>
            <w:r>
              <w:rPr>
                <w:iCs/>
                <w:snapToGrid w:val="0"/>
                <w:color w:val="000000"/>
              </w:rPr>
              <w:t>size limits</w:t>
            </w:r>
          </w:p>
          <w:p w:rsidR="00A75905" w:rsidRDefault="00A75905" w:rsidP="00A75905">
            <w:pPr>
              <w:numPr>
                <w:ilvl w:val="0"/>
                <w:numId w:val="41"/>
              </w:numPr>
              <w:overflowPunct w:val="0"/>
              <w:autoSpaceDE w:val="0"/>
              <w:autoSpaceDN w:val="0"/>
              <w:adjustRightInd w:val="0"/>
              <w:spacing w:after="0" w:line="240" w:lineRule="auto"/>
              <w:jc w:val="both"/>
              <w:textAlignment w:val="baseline"/>
              <w:rPr>
                <w:iCs/>
                <w:snapToGrid w:val="0"/>
                <w:color w:val="000000"/>
              </w:rPr>
            </w:pPr>
            <w:r>
              <w:rPr>
                <w:iCs/>
                <w:snapToGrid w:val="0"/>
                <w:color w:val="000000"/>
              </w:rPr>
              <w:t>gear restrictions, and</w:t>
            </w:r>
          </w:p>
          <w:p w:rsidR="00B6012C" w:rsidRDefault="00A75905" w:rsidP="00A75905">
            <w:pPr>
              <w:numPr>
                <w:ilvl w:val="0"/>
                <w:numId w:val="41"/>
              </w:numPr>
              <w:overflowPunct w:val="0"/>
              <w:autoSpaceDE w:val="0"/>
              <w:autoSpaceDN w:val="0"/>
              <w:adjustRightInd w:val="0"/>
              <w:spacing w:after="0" w:line="240" w:lineRule="auto"/>
              <w:jc w:val="both"/>
              <w:textAlignment w:val="baseline"/>
              <w:rPr>
                <w:iCs/>
                <w:snapToGrid w:val="0"/>
                <w:color w:val="000000"/>
              </w:rPr>
            </w:pPr>
            <w:proofErr w:type="gramStart"/>
            <w:r>
              <w:rPr>
                <w:iCs/>
                <w:snapToGrid w:val="0"/>
                <w:color w:val="000000"/>
              </w:rPr>
              <w:t>spatial</w:t>
            </w:r>
            <w:proofErr w:type="gramEnd"/>
            <w:r>
              <w:rPr>
                <w:iCs/>
                <w:snapToGrid w:val="0"/>
                <w:color w:val="000000"/>
              </w:rPr>
              <w:t xml:space="preserve"> closures. </w:t>
            </w:r>
          </w:p>
          <w:p w:rsidR="0003256C" w:rsidRPr="00A75905" w:rsidRDefault="0003256C" w:rsidP="0003256C">
            <w:pPr>
              <w:overflowPunct w:val="0"/>
              <w:autoSpaceDE w:val="0"/>
              <w:autoSpaceDN w:val="0"/>
              <w:adjustRightInd w:val="0"/>
              <w:spacing w:after="0" w:line="240" w:lineRule="auto"/>
              <w:ind w:left="1140"/>
              <w:jc w:val="both"/>
              <w:textAlignment w:val="baseline"/>
              <w:rPr>
                <w:iCs/>
                <w:snapToGrid w:val="0"/>
                <w:color w:val="000000"/>
              </w:rPr>
            </w:pP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B6012C" w:rsidRDefault="00B6012C" w:rsidP="001A1FAA">
            <w:pPr>
              <w:spacing w:before="240"/>
              <w:rPr>
                <w:rFonts w:cs="Arial"/>
              </w:rPr>
            </w:pPr>
            <w:r w:rsidRPr="00520DED">
              <w:rPr>
                <w:rFonts w:cs="Arial"/>
              </w:rPr>
              <w:t xml:space="preserve">The majority of </w:t>
            </w:r>
            <w:r w:rsidR="00520DED" w:rsidRPr="00520DED">
              <w:rPr>
                <w:rFonts w:cs="Arial"/>
              </w:rPr>
              <w:t>adult eels caught in the Queensland Eel Fishery are exported live to Asia, primarily Hong Kong, China and Taiwan.</w:t>
            </w:r>
            <w:r w:rsidRPr="00520DED">
              <w:rPr>
                <w:rFonts w:cs="Arial"/>
              </w:rPr>
              <w:t xml:space="preserve"> </w:t>
            </w:r>
          </w:p>
          <w:p w:rsidR="00F57A6E" w:rsidRPr="00520DED" w:rsidRDefault="00F57A6E" w:rsidP="001A1FAA">
            <w:pPr>
              <w:spacing w:before="240"/>
              <w:rPr>
                <w:rFonts w:cs="Arial"/>
                <w:snapToGrid w:val="0"/>
              </w:rPr>
            </w:pPr>
            <w:r>
              <w:rPr>
                <w:rFonts w:cs="Arial"/>
              </w:rPr>
              <w:t xml:space="preserve">The export of </w:t>
            </w:r>
            <w:r w:rsidR="00150D89">
              <w:rPr>
                <w:rFonts w:cs="Arial"/>
              </w:rPr>
              <w:t>juvenile eels is not permitted. J</w:t>
            </w:r>
            <w:r>
              <w:rPr>
                <w:rFonts w:cs="Arial"/>
              </w:rPr>
              <w:t>uveniles may only be sold to aquaculture operations within Australia for growing out.</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Bycatch</w:t>
            </w:r>
          </w:p>
        </w:tc>
        <w:tc>
          <w:tcPr>
            <w:tcW w:w="7200" w:type="dxa"/>
            <w:tcBorders>
              <w:top w:val="single" w:sz="4" w:space="0" w:color="auto"/>
              <w:left w:val="single" w:sz="4" w:space="0" w:color="auto"/>
              <w:bottom w:val="single" w:sz="4" w:space="0" w:color="auto"/>
              <w:right w:val="single" w:sz="4" w:space="0" w:color="auto"/>
            </w:tcBorders>
          </w:tcPr>
          <w:p w:rsidR="00B6012C" w:rsidRPr="009B3A55" w:rsidRDefault="00B9002A" w:rsidP="001A1FAA">
            <w:pPr>
              <w:spacing w:before="240"/>
              <w:rPr>
                <w:rFonts w:cs="Arial"/>
                <w:snapToGrid w:val="0"/>
                <w:color w:val="3366FF"/>
              </w:rPr>
            </w:pPr>
            <w:r>
              <w:rPr>
                <w:rFonts w:cs="Arial"/>
              </w:rPr>
              <w:t>Bycatch in the Queensland Eel Fishery is considered low, with most bycatch</w:t>
            </w:r>
            <w:r w:rsidR="00E228C4">
              <w:rPr>
                <w:rFonts w:cs="Arial"/>
              </w:rPr>
              <w:t xml:space="preserve"> animals being locally abundant </w:t>
            </w:r>
            <w:r>
              <w:rPr>
                <w:rFonts w:cs="Arial"/>
              </w:rPr>
              <w:t>species that are released alive.</w:t>
            </w:r>
          </w:p>
        </w:tc>
      </w:tr>
      <w:tr w:rsidR="00B6012C"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Interaction with Protected Species</w:t>
            </w:r>
            <w:r w:rsidRPr="009B3A55">
              <w:rPr>
                <w:rStyle w:val="FootnoteReference"/>
                <w:rFonts w:cs="Arial"/>
                <w:b/>
                <w:snapToGrid w:val="0"/>
              </w:rPr>
              <w:footnoteReference w:id="1"/>
            </w:r>
          </w:p>
        </w:tc>
        <w:tc>
          <w:tcPr>
            <w:tcW w:w="7200" w:type="dxa"/>
            <w:tcBorders>
              <w:top w:val="single" w:sz="4" w:space="0" w:color="auto"/>
              <w:left w:val="single" w:sz="4" w:space="0" w:color="auto"/>
              <w:bottom w:val="single" w:sz="4" w:space="0" w:color="auto"/>
              <w:right w:val="single" w:sz="4" w:space="0" w:color="auto"/>
            </w:tcBorders>
          </w:tcPr>
          <w:p w:rsidR="00D549C3" w:rsidRDefault="00181089" w:rsidP="001A1FAA">
            <w:pPr>
              <w:spacing w:before="240"/>
              <w:rPr>
                <w:rFonts w:cs="Arial"/>
              </w:rPr>
            </w:pPr>
            <w:r w:rsidRPr="00181089">
              <w:rPr>
                <w:rFonts w:cs="Arial"/>
              </w:rPr>
              <w:t>A total of 2479 interactions with</w:t>
            </w:r>
            <w:r w:rsidR="00E228C4">
              <w:rPr>
                <w:rFonts w:cs="Arial"/>
              </w:rPr>
              <w:t xml:space="preserve"> freshwater turtle</w:t>
            </w:r>
            <w:r w:rsidRPr="00181089">
              <w:rPr>
                <w:rFonts w:cs="Arial"/>
              </w:rPr>
              <w:t xml:space="preserve"> </w:t>
            </w:r>
            <w:r w:rsidRPr="00E228C4">
              <w:t xml:space="preserve">species </w:t>
            </w:r>
            <w:r w:rsidRPr="00181089">
              <w:rPr>
                <w:rFonts w:cs="Arial"/>
              </w:rPr>
              <w:t>were reported through S</w:t>
            </w:r>
            <w:r>
              <w:rPr>
                <w:rFonts w:cs="Arial"/>
              </w:rPr>
              <w:t xml:space="preserve">pecies </w:t>
            </w:r>
            <w:r w:rsidRPr="00181089">
              <w:rPr>
                <w:rFonts w:cs="Arial"/>
              </w:rPr>
              <w:t>O</w:t>
            </w:r>
            <w:r>
              <w:rPr>
                <w:rFonts w:cs="Arial"/>
              </w:rPr>
              <w:t xml:space="preserve">f </w:t>
            </w:r>
            <w:r w:rsidRPr="00181089">
              <w:rPr>
                <w:rFonts w:cs="Arial"/>
              </w:rPr>
              <w:t>C</w:t>
            </w:r>
            <w:r>
              <w:rPr>
                <w:rFonts w:cs="Arial"/>
              </w:rPr>
              <w:t xml:space="preserve">onservation </w:t>
            </w:r>
            <w:r w:rsidRPr="00181089">
              <w:rPr>
                <w:rFonts w:cs="Arial"/>
              </w:rPr>
              <w:t>I</w:t>
            </w:r>
            <w:r>
              <w:rPr>
                <w:rFonts w:cs="Arial"/>
              </w:rPr>
              <w:t>nterest (SOCI)</w:t>
            </w:r>
            <w:r w:rsidRPr="00181089">
              <w:rPr>
                <w:rFonts w:cs="Arial"/>
              </w:rPr>
              <w:t xml:space="preserve"> logbook</w:t>
            </w:r>
            <w:r w:rsidR="00E228C4">
              <w:rPr>
                <w:rFonts w:cs="Arial"/>
              </w:rPr>
              <w:t>s in 2012</w:t>
            </w:r>
            <w:r w:rsidRPr="00181089">
              <w:rPr>
                <w:rFonts w:cs="Arial"/>
              </w:rPr>
              <w:t>. More than 98% of those species interacted with were released alive. Operators reported that 3 of the animals released were injured.</w:t>
            </w:r>
            <w:r w:rsidR="00E228C4">
              <w:rPr>
                <w:rFonts w:cs="Arial"/>
              </w:rPr>
              <w:t xml:space="preserve"> </w:t>
            </w:r>
          </w:p>
          <w:p w:rsidR="00181089" w:rsidRDefault="00E228C4" w:rsidP="001A1FAA">
            <w:pPr>
              <w:spacing w:before="240"/>
              <w:rPr>
                <w:rFonts w:cs="Arial"/>
              </w:rPr>
            </w:pPr>
            <w:r>
              <w:rPr>
                <w:rFonts w:cs="Arial"/>
              </w:rPr>
              <w:t xml:space="preserve">All freshwater turtle species are protected in Queensland, </w:t>
            </w:r>
            <w:r w:rsidR="00D549C3">
              <w:rPr>
                <w:rFonts w:cs="Arial"/>
              </w:rPr>
              <w:t xml:space="preserve">however, only one of the species recorded as bycatch in the Queensland Eel Fishery is also </w:t>
            </w:r>
            <w:r w:rsidR="00150D89">
              <w:rPr>
                <w:rFonts w:cs="Arial"/>
              </w:rPr>
              <w:t>protected</w:t>
            </w:r>
            <w:r w:rsidR="00D549C3">
              <w:rPr>
                <w:rFonts w:cs="Arial"/>
              </w:rPr>
              <w:t xml:space="preserve"> under the EPBC Act</w:t>
            </w:r>
            <w:r w:rsidR="00AB7902">
              <w:rPr>
                <w:rFonts w:cs="Arial"/>
              </w:rPr>
              <w:t>, the saw-shelled turtle (</w:t>
            </w:r>
            <w:proofErr w:type="spellStart"/>
            <w:r w:rsidR="00AB7902" w:rsidRPr="00AB7902">
              <w:rPr>
                <w:rFonts w:cs="Arial"/>
                <w:i/>
              </w:rPr>
              <w:t>Wollumbinia</w:t>
            </w:r>
            <w:proofErr w:type="spellEnd"/>
            <w:r w:rsidR="00AB7902" w:rsidRPr="00AB7902">
              <w:rPr>
                <w:rFonts w:cs="Arial"/>
                <w:i/>
              </w:rPr>
              <w:t xml:space="preserve"> belli</w:t>
            </w:r>
            <w:r w:rsidR="005918A7">
              <w:rPr>
                <w:rFonts w:cs="Arial"/>
              </w:rPr>
              <w:t xml:space="preserve">), </w:t>
            </w:r>
            <w:r w:rsidR="00150D89">
              <w:rPr>
                <w:rFonts w:cs="Arial"/>
              </w:rPr>
              <w:t>listed as</w:t>
            </w:r>
            <w:r w:rsidR="00976F3F">
              <w:rPr>
                <w:rFonts w:cs="Arial"/>
              </w:rPr>
              <w:t xml:space="preserve"> vulnerable. I</w:t>
            </w:r>
            <w:r w:rsidR="00AB7902">
              <w:rPr>
                <w:rFonts w:cs="Arial"/>
              </w:rPr>
              <w:t xml:space="preserve">n 2012, 19 </w:t>
            </w:r>
            <w:r w:rsidR="00976F3F">
              <w:rPr>
                <w:rFonts w:cs="Arial"/>
              </w:rPr>
              <w:t xml:space="preserve">saw-shelled turtles </w:t>
            </w:r>
            <w:r w:rsidR="00AB7902">
              <w:rPr>
                <w:rFonts w:cs="Arial"/>
              </w:rPr>
              <w:t xml:space="preserve">were recorded as bycatch in the Queensland Eel Fishery, with </w:t>
            </w:r>
            <w:r w:rsidR="00472442">
              <w:rPr>
                <w:rFonts w:cs="Arial"/>
              </w:rPr>
              <w:br/>
            </w:r>
            <w:r w:rsidR="00AB7902">
              <w:rPr>
                <w:rFonts w:cs="Arial"/>
              </w:rPr>
              <w:t>17 released alive and 2 recorded as mortalities.</w:t>
            </w:r>
          </w:p>
          <w:p w:rsidR="00B6012C" w:rsidRPr="009B3A55" w:rsidRDefault="00AB7902" w:rsidP="00472442">
            <w:pPr>
              <w:spacing w:before="240"/>
              <w:rPr>
                <w:rFonts w:cs="Arial"/>
                <w:snapToGrid w:val="0"/>
                <w:color w:val="3366FF"/>
              </w:rPr>
            </w:pPr>
            <w:r w:rsidRPr="008C79C4">
              <w:rPr>
                <w:rFonts w:cs="Arial"/>
              </w:rPr>
              <w:t xml:space="preserve">In general the </w:t>
            </w:r>
            <w:r>
              <w:rPr>
                <w:rFonts w:cs="Arial"/>
              </w:rPr>
              <w:t>Queensland</w:t>
            </w:r>
            <w:r w:rsidRPr="008C79C4">
              <w:rPr>
                <w:rFonts w:cs="Arial"/>
              </w:rPr>
              <w:t xml:space="preserve"> Eel Fishery is regarded as a relatively benign fishery</w:t>
            </w:r>
            <w:r w:rsidR="00472442">
              <w:rPr>
                <w:rFonts w:cs="Arial"/>
              </w:rPr>
              <w:t>,</w:t>
            </w:r>
            <w:r w:rsidRPr="008C79C4">
              <w:rPr>
                <w:rFonts w:cs="Arial"/>
              </w:rPr>
              <w:t xml:space="preserve"> operators utilise low impact gear and are only active in selected waterways. Therefore, the Department considers that </w:t>
            </w:r>
            <w:r w:rsidR="00472442">
              <w:rPr>
                <w:rFonts w:cs="Arial"/>
              </w:rPr>
              <w:t xml:space="preserve">the </w:t>
            </w:r>
            <w:r w:rsidRPr="008C79C4">
              <w:rPr>
                <w:rFonts w:cs="Arial"/>
              </w:rPr>
              <w:t xml:space="preserve">potential impact of the fishery </w:t>
            </w:r>
            <w:r>
              <w:rPr>
                <w:rFonts w:cs="Arial"/>
              </w:rPr>
              <w:t xml:space="preserve">on EPBC Act protected species </w:t>
            </w:r>
            <w:r w:rsidRPr="008C79C4">
              <w:rPr>
                <w:rFonts w:cs="Arial"/>
              </w:rPr>
              <w:t>is likely to be low.</w:t>
            </w:r>
          </w:p>
        </w:tc>
      </w:tr>
      <w:tr w:rsidR="00B6012C" w:rsidRPr="00356DE8"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B6012C" w:rsidRPr="009B3A55" w:rsidRDefault="00B6012C" w:rsidP="001A1FAA">
            <w:pPr>
              <w:spacing w:before="240"/>
              <w:rPr>
                <w:rFonts w:cs="Arial"/>
                <w:b/>
                <w:snapToGrid w:val="0"/>
              </w:rPr>
            </w:pPr>
            <w:r w:rsidRPr="009B3A55">
              <w:rPr>
                <w:rFonts w:cs="Arial"/>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B6012C" w:rsidRPr="00356DE8" w:rsidRDefault="00AB7902" w:rsidP="00472442">
            <w:pPr>
              <w:spacing w:before="240"/>
              <w:rPr>
                <w:rFonts w:cs="Arial"/>
                <w:highlight w:val="yellow"/>
              </w:rPr>
            </w:pPr>
            <w:r w:rsidRPr="00356DE8">
              <w:t xml:space="preserve">Impacts on the ecosystem caused by the </w:t>
            </w:r>
            <w:r w:rsidR="00356DE8" w:rsidRPr="00356DE8">
              <w:t>Queensland Eel Fishery</w:t>
            </w:r>
            <w:r w:rsidRPr="00356DE8">
              <w:t xml:space="preserve"> are considered to be low.</w:t>
            </w:r>
            <w:r w:rsidR="00472442">
              <w:t xml:space="preserve"> The f</w:t>
            </w:r>
            <w:r w:rsidR="00356DE8" w:rsidRPr="00356DE8">
              <w:t>ishing gear</w:t>
            </w:r>
            <w:r w:rsidRPr="00356DE8">
              <w:t xml:space="preserve"> used has minimal impact on the physical environment and non-target species. There are also restrictions in place on the locations and number of traps that can be used </w:t>
            </w:r>
            <w:r w:rsidR="00976F3F">
              <w:t>to minimise any potential risks</w:t>
            </w:r>
            <w:r w:rsidR="00B6012C" w:rsidRPr="00356DE8">
              <w:rPr>
                <w:rFonts w:cs="Arial"/>
              </w:rPr>
              <w:t xml:space="preserve">. </w:t>
            </w:r>
          </w:p>
        </w:tc>
      </w:tr>
      <w:tr w:rsidR="009E1109" w:rsidRPr="009B3A55" w:rsidTr="001955CD">
        <w:trPr>
          <w:jc w:val="center"/>
        </w:trPr>
        <w:tc>
          <w:tcPr>
            <w:tcW w:w="2520" w:type="dxa"/>
            <w:tcBorders>
              <w:top w:val="single" w:sz="4" w:space="0" w:color="auto"/>
              <w:left w:val="single" w:sz="4" w:space="0" w:color="auto"/>
              <w:bottom w:val="single" w:sz="4" w:space="0" w:color="auto"/>
              <w:right w:val="single" w:sz="4" w:space="0" w:color="auto"/>
            </w:tcBorders>
          </w:tcPr>
          <w:p w:rsidR="009E1109" w:rsidRPr="00F64E0C" w:rsidRDefault="009E1109" w:rsidP="001A1FAA">
            <w:pPr>
              <w:spacing w:before="240"/>
              <w:rPr>
                <w:rFonts w:cs="Arial"/>
                <w:b/>
                <w:snapToGrid w:val="0"/>
              </w:rPr>
            </w:pPr>
            <w:r>
              <w:rPr>
                <w:rFonts w:cs="Arial"/>
                <w:b/>
                <w:snapToGrid w:val="0"/>
              </w:rPr>
              <w:t xml:space="preserve">Impacts on World Heritage </w:t>
            </w:r>
            <w:r w:rsidR="003B4751">
              <w:rPr>
                <w:rFonts w:cs="Arial"/>
                <w:b/>
                <w:snapToGrid w:val="0"/>
              </w:rPr>
              <w:t>property/</w:t>
            </w:r>
            <w:proofErr w:type="spellStart"/>
            <w:r w:rsidR="003B4751">
              <w:rPr>
                <w:rFonts w:cs="Arial"/>
                <w:b/>
                <w:snapToGrid w:val="0"/>
              </w:rPr>
              <w:t>Ramsar</w:t>
            </w:r>
            <w:proofErr w:type="spellEnd"/>
            <w:r w:rsidRPr="00146080">
              <w:rPr>
                <w:rFonts w:cs="Arial"/>
                <w:b/>
                <w:snapToGrid w:val="0"/>
              </w:rPr>
              <w:t xml:space="preserve"> site</w:t>
            </w:r>
          </w:p>
        </w:tc>
        <w:tc>
          <w:tcPr>
            <w:tcW w:w="7200" w:type="dxa"/>
            <w:tcBorders>
              <w:top w:val="single" w:sz="4" w:space="0" w:color="auto"/>
              <w:left w:val="single" w:sz="4" w:space="0" w:color="auto"/>
              <w:bottom w:val="single" w:sz="4" w:space="0" w:color="auto"/>
              <w:right w:val="single" w:sz="4" w:space="0" w:color="auto"/>
            </w:tcBorders>
          </w:tcPr>
          <w:p w:rsidR="00084351" w:rsidRDefault="003A6D7D" w:rsidP="001A1FAA">
            <w:pPr>
              <w:spacing w:before="240"/>
              <w:rPr>
                <w:rFonts w:cs="Arial"/>
              </w:rPr>
            </w:pPr>
            <w:r>
              <w:rPr>
                <w:rFonts w:cs="Arial"/>
              </w:rPr>
              <w:t>Waterways fished by</w:t>
            </w:r>
            <w:r w:rsidR="009E1109">
              <w:rPr>
                <w:rFonts w:cs="Arial"/>
              </w:rPr>
              <w:t xml:space="preserve"> </w:t>
            </w:r>
            <w:r w:rsidR="00984195">
              <w:rPr>
                <w:rFonts w:cs="Arial"/>
              </w:rPr>
              <w:t xml:space="preserve">the </w:t>
            </w:r>
            <w:r w:rsidR="009E1109">
              <w:rPr>
                <w:rFonts w:cs="Arial"/>
              </w:rPr>
              <w:t xml:space="preserve">Queensland Eel Fishery </w:t>
            </w:r>
            <w:r>
              <w:rPr>
                <w:rFonts w:cs="Arial"/>
              </w:rPr>
              <w:t>traverse, or are adjacent to,</w:t>
            </w:r>
            <w:r w:rsidR="009E1109">
              <w:rPr>
                <w:rFonts w:cs="Arial"/>
              </w:rPr>
              <w:t xml:space="preserve"> </w:t>
            </w:r>
            <w:r>
              <w:rPr>
                <w:rFonts w:cs="Arial"/>
              </w:rPr>
              <w:t>several</w:t>
            </w:r>
            <w:r w:rsidR="009E1109">
              <w:rPr>
                <w:rFonts w:cs="Arial"/>
              </w:rPr>
              <w:t xml:space="preserve"> </w:t>
            </w:r>
            <w:r>
              <w:rPr>
                <w:rFonts w:cs="Arial"/>
              </w:rPr>
              <w:t xml:space="preserve">World Heritage properties, including </w:t>
            </w:r>
            <w:proofErr w:type="spellStart"/>
            <w:r>
              <w:rPr>
                <w:rFonts w:cs="Arial"/>
              </w:rPr>
              <w:t>Gondwana</w:t>
            </w:r>
            <w:proofErr w:type="spellEnd"/>
            <w:r>
              <w:rPr>
                <w:rFonts w:cs="Arial"/>
              </w:rPr>
              <w:t xml:space="preserve"> Rainforest properties, the Great Barrier Reef and the Wet Tropics of Queensland.</w:t>
            </w:r>
            <w:r w:rsidR="00084351">
              <w:rPr>
                <w:rFonts w:cs="Arial"/>
              </w:rPr>
              <w:t xml:space="preserve"> The listed World Heritage values for these properties</w:t>
            </w:r>
            <w:r w:rsidR="00E607FE">
              <w:rPr>
                <w:rFonts w:cs="Arial"/>
              </w:rPr>
              <w:t xml:space="preserve"> focus on these areas being outstanding examples of Earth's evolutionary history, ongoing geological and biological processes, exceptional natural beauty and exceptional biological diversity.</w:t>
            </w:r>
          </w:p>
          <w:p w:rsidR="009E1109" w:rsidRDefault="00005239" w:rsidP="001A1FAA">
            <w:pPr>
              <w:spacing w:before="240"/>
              <w:rPr>
                <w:rFonts w:cs="Arial"/>
              </w:rPr>
            </w:pPr>
            <w:r>
              <w:rPr>
                <w:rFonts w:cs="Arial"/>
              </w:rPr>
              <w:t xml:space="preserve">The </w:t>
            </w:r>
            <w:r w:rsidR="00C96B38">
              <w:rPr>
                <w:rFonts w:cs="Arial"/>
              </w:rPr>
              <w:t>f</w:t>
            </w:r>
            <w:r>
              <w:rPr>
                <w:rFonts w:cs="Arial"/>
              </w:rPr>
              <w:t>ishery also operates in w</w:t>
            </w:r>
            <w:r w:rsidR="003B4751">
              <w:rPr>
                <w:rFonts w:cs="Arial"/>
              </w:rPr>
              <w:t xml:space="preserve">aterways connected to the </w:t>
            </w:r>
            <w:proofErr w:type="spellStart"/>
            <w:r w:rsidR="003B4751">
              <w:rPr>
                <w:rFonts w:cs="Arial"/>
              </w:rPr>
              <w:t>Ramsar</w:t>
            </w:r>
            <w:proofErr w:type="spellEnd"/>
            <w:r>
              <w:rPr>
                <w:rFonts w:cs="Arial"/>
              </w:rPr>
              <w:t xml:space="preserve"> listed wetlands of</w:t>
            </w:r>
            <w:r w:rsidR="003A6D7D">
              <w:rPr>
                <w:rFonts w:cs="Arial"/>
              </w:rPr>
              <w:t xml:space="preserve"> </w:t>
            </w:r>
            <w:r>
              <w:rPr>
                <w:rFonts w:cs="Arial"/>
              </w:rPr>
              <w:t>Moreton Bay, Bowling Green Bay, Shoalwater and Corio Bays and the Great Sandy Strait.</w:t>
            </w:r>
            <w:r w:rsidR="00F55F44">
              <w:rPr>
                <w:rFonts w:cs="Arial"/>
              </w:rPr>
              <w:t xml:space="preserve"> Key attributes of these sites</w:t>
            </w:r>
            <w:r w:rsidR="003B4751">
              <w:rPr>
                <w:rFonts w:cs="Arial"/>
              </w:rPr>
              <w:t xml:space="preserve"> that enable them to meet </w:t>
            </w:r>
            <w:proofErr w:type="spellStart"/>
            <w:r w:rsidR="003B4751">
              <w:rPr>
                <w:rFonts w:cs="Arial"/>
              </w:rPr>
              <w:t>Ramsar</w:t>
            </w:r>
            <w:proofErr w:type="spellEnd"/>
            <w:r w:rsidR="00F55F44">
              <w:rPr>
                <w:rFonts w:cs="Arial"/>
              </w:rPr>
              <w:t xml:space="preserve"> criteria include: providing key habitat for listed threatened species, supporting high biodiversity and </w:t>
            </w:r>
            <w:r w:rsidR="00D6512C">
              <w:rPr>
                <w:rFonts w:cs="Arial"/>
              </w:rPr>
              <w:t xml:space="preserve">supporting </w:t>
            </w:r>
            <w:r w:rsidR="00F55F44">
              <w:rPr>
                <w:rFonts w:cs="Arial"/>
              </w:rPr>
              <w:t>large biomass.</w:t>
            </w:r>
          </w:p>
          <w:p w:rsidR="009E1109" w:rsidRPr="00F0076F" w:rsidRDefault="00F55F44" w:rsidP="001A1FAA">
            <w:pPr>
              <w:spacing w:before="240" w:after="120"/>
              <w:rPr>
                <w:rFonts w:cs="Arial"/>
                <w:highlight w:val="yellow"/>
              </w:rPr>
            </w:pPr>
            <w:r>
              <w:rPr>
                <w:rFonts w:cs="Arial"/>
                <w:noProof/>
              </w:rPr>
              <w:t xml:space="preserve">Given the management arrangements for target species, the relatively benign fishing methods and the low impact on bycatch and protected species in this fishery, the Department considers </w:t>
            </w:r>
            <w:r w:rsidR="009E1109" w:rsidRPr="00095C2A">
              <w:rPr>
                <w:rFonts w:cs="Arial"/>
              </w:rPr>
              <w:t xml:space="preserve">that an action taken by an individual fisher, acting in accordance with the </w:t>
            </w:r>
            <w:r w:rsidR="00D6512C">
              <w:rPr>
                <w:rFonts w:cs="Arial"/>
              </w:rPr>
              <w:t>management regime for the Queensland Eel Fishery enforced under the Queensland</w:t>
            </w:r>
            <w:r w:rsidR="006E58D0">
              <w:rPr>
                <w:rFonts w:cs="Arial"/>
              </w:rPr>
              <w:t xml:space="preserve"> </w:t>
            </w:r>
            <w:r w:rsidR="00D6512C">
              <w:rPr>
                <w:rFonts w:cs="Arial"/>
                <w:i/>
              </w:rPr>
              <w:t>Fisheries Act 1994,</w:t>
            </w:r>
            <w:r w:rsidR="009E1109" w:rsidRPr="00095C2A">
              <w:rPr>
                <w:rFonts w:cs="Arial"/>
                <w:iCs/>
                <w:color w:val="000000"/>
              </w:rPr>
              <w:t xml:space="preserve"> </w:t>
            </w:r>
            <w:r w:rsidR="009E1109" w:rsidRPr="00095C2A">
              <w:rPr>
                <w:rFonts w:cs="Arial"/>
              </w:rPr>
              <w:t>would not be expected to have a significant impact on a matter protected under the EPBC Act.</w:t>
            </w:r>
          </w:p>
        </w:tc>
      </w:tr>
    </w:tbl>
    <w:p w:rsidR="00B6012C" w:rsidRPr="00F6308F" w:rsidRDefault="00B6012C" w:rsidP="001A1FAA">
      <w:pPr>
        <w:tabs>
          <w:tab w:val="left" w:pos="360"/>
        </w:tabs>
        <w:spacing w:before="240"/>
        <w:rPr>
          <w:rFonts w:cs="Arial"/>
        </w:rPr>
      </w:pPr>
    </w:p>
    <w:p w:rsidR="00B6012C" w:rsidRPr="00F6308F" w:rsidRDefault="00B6012C" w:rsidP="001955CD">
      <w:pPr>
        <w:rPr>
          <w:rFonts w:cs="Arial"/>
          <w:b/>
        </w:rPr>
        <w:sectPr w:rsidR="00B6012C" w:rsidRPr="00F6308F" w:rsidSect="001955CD">
          <w:footerReference w:type="default" r:id="rId16"/>
          <w:footerReference w:type="first" r:id="rId17"/>
          <w:pgSz w:w="11906" w:h="16838" w:code="9"/>
          <w:pgMar w:top="1134" w:right="1418" w:bottom="1134" w:left="1418" w:header="709" w:footer="709" w:gutter="0"/>
          <w:pgNumType w:start="1"/>
          <w:cols w:space="708"/>
          <w:docGrid w:linePitch="360"/>
        </w:sectPr>
      </w:pPr>
    </w:p>
    <w:p w:rsidR="00B6012C" w:rsidRPr="007430E0" w:rsidRDefault="00B6012C" w:rsidP="007430E0">
      <w:pPr>
        <w:pStyle w:val="Heading3"/>
        <w:rPr>
          <w:rStyle w:val="Emphasis"/>
        </w:rPr>
      </w:pPr>
      <w:bookmarkStart w:id="1" w:name="_Toc316301049"/>
      <w:r w:rsidRPr="007430E0">
        <w:rPr>
          <w:rStyle w:val="Emphasis"/>
        </w:rPr>
        <w:t xml:space="preserve">Table 2: Progress in implementation of recommendations made in previous assessment of the </w:t>
      </w:r>
      <w:bookmarkEnd w:id="1"/>
      <w:r w:rsidR="007063E1">
        <w:rPr>
          <w:rStyle w:val="Emphasis"/>
        </w:rPr>
        <w:t>Queensland Eel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B6012C" w:rsidRPr="00C956CD" w:rsidTr="001955CD">
        <w:trPr>
          <w:cantSplit/>
          <w:tblHeader/>
        </w:trPr>
        <w:tc>
          <w:tcPr>
            <w:tcW w:w="3528" w:type="dxa"/>
            <w:shd w:val="clear" w:color="auto" w:fill="D9D9D9"/>
            <w:tcMar>
              <w:top w:w="57" w:type="dxa"/>
            </w:tcMar>
          </w:tcPr>
          <w:p w:rsidR="00B6012C" w:rsidRPr="00C956CD" w:rsidRDefault="00B6012C" w:rsidP="001955CD">
            <w:pPr>
              <w:rPr>
                <w:rFonts w:cs="Arial"/>
              </w:rPr>
            </w:pPr>
            <w:r w:rsidRPr="00C956CD">
              <w:rPr>
                <w:rFonts w:cs="Arial"/>
                <w:b/>
              </w:rPr>
              <w:t>Recommendation</w:t>
            </w:r>
          </w:p>
        </w:tc>
        <w:tc>
          <w:tcPr>
            <w:tcW w:w="5040" w:type="dxa"/>
            <w:shd w:val="clear" w:color="auto" w:fill="D9D9D9"/>
            <w:tcMar>
              <w:top w:w="57" w:type="dxa"/>
            </w:tcMar>
          </w:tcPr>
          <w:p w:rsidR="00B6012C" w:rsidRPr="00C956CD" w:rsidRDefault="00B6012C" w:rsidP="001955CD">
            <w:pPr>
              <w:pStyle w:val="bodytext"/>
              <w:spacing w:after="0" w:line="276" w:lineRule="auto"/>
              <w:jc w:val="left"/>
              <w:rPr>
                <w:rFonts w:cs="Arial"/>
                <w:color w:val="3366FF"/>
                <w:szCs w:val="22"/>
                <w:lang w:eastAsia="en-AU"/>
              </w:rPr>
            </w:pPr>
            <w:r w:rsidRPr="00C956CD">
              <w:rPr>
                <w:rFonts w:cs="Arial"/>
                <w:b/>
                <w:szCs w:val="22"/>
              </w:rPr>
              <w:t>Progress</w:t>
            </w:r>
          </w:p>
        </w:tc>
        <w:tc>
          <w:tcPr>
            <w:tcW w:w="5760"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1955CD">
        <w:trPr>
          <w:cantSplit/>
        </w:trPr>
        <w:tc>
          <w:tcPr>
            <w:tcW w:w="3528" w:type="dxa"/>
            <w:tcMar>
              <w:top w:w="57" w:type="dxa"/>
            </w:tcMar>
          </w:tcPr>
          <w:p w:rsidR="00B6012C" w:rsidRPr="00C956CD" w:rsidRDefault="009F75FE" w:rsidP="00B6012C">
            <w:pPr>
              <w:pStyle w:val="ListNumber"/>
              <w:numPr>
                <w:ilvl w:val="0"/>
                <w:numId w:val="32"/>
              </w:numPr>
              <w:contextualSpacing/>
              <w:rPr>
                <w:rFonts w:cs="Arial"/>
              </w:rPr>
            </w:pPr>
            <w:r>
              <w:t xml:space="preserve">Operation of the fishery will be carried out in accordance with the </w:t>
            </w:r>
            <w:r>
              <w:rPr>
                <w:color w:val="000000"/>
              </w:rPr>
              <w:t>management regime</w:t>
            </w:r>
            <w:r>
              <w:t xml:space="preserve"> in force under </w:t>
            </w:r>
            <w:r>
              <w:rPr>
                <w:color w:val="000000"/>
              </w:rPr>
              <w:t>the</w:t>
            </w:r>
            <w:r>
              <w:rPr>
                <w:rFonts w:eastAsia="Arial Unicode MS"/>
                <w:iCs/>
                <w:color w:val="000000"/>
              </w:rPr>
              <w:t xml:space="preserve"> Queensland</w:t>
            </w:r>
            <w:r>
              <w:rPr>
                <w:rFonts w:eastAsia="Arial Unicode MS"/>
                <w:iCs/>
                <w:color w:val="99CC00"/>
              </w:rPr>
              <w:t xml:space="preserve"> </w:t>
            </w:r>
            <w:r>
              <w:rPr>
                <w:rFonts w:eastAsia="Arial Unicode MS"/>
                <w:i/>
                <w:iCs/>
                <w:color w:val="000000"/>
              </w:rPr>
              <w:t>Fisheries Act 1994,</w:t>
            </w:r>
            <w:r>
              <w:rPr>
                <w:rFonts w:eastAsia="Arial Unicode MS"/>
                <w:iCs/>
                <w:color w:val="000000"/>
              </w:rPr>
              <w:t xml:space="preserve"> the Queensland </w:t>
            </w:r>
            <w:r>
              <w:rPr>
                <w:rFonts w:eastAsia="Arial Unicode MS"/>
                <w:i/>
                <w:iCs/>
                <w:color w:val="000000"/>
              </w:rPr>
              <w:t xml:space="preserve">Fisheries Regulation 2008 </w:t>
            </w:r>
            <w:r>
              <w:rPr>
                <w:rFonts w:eastAsia="Arial Unicode MS"/>
                <w:iCs/>
                <w:color w:val="000000"/>
              </w:rPr>
              <w:t xml:space="preserve">and the </w:t>
            </w:r>
            <w:r>
              <w:rPr>
                <w:rFonts w:eastAsia="Arial Unicode MS"/>
                <w:i/>
                <w:iCs/>
                <w:color w:val="000000"/>
              </w:rPr>
              <w:t>Fisheries (Freshwater) Management Plan 1999</w:t>
            </w:r>
            <w:r>
              <w:rPr>
                <w:rFonts w:eastAsia="Arial Unicode MS"/>
                <w:iCs/>
                <w:color w:val="000000"/>
              </w:rPr>
              <w:t>.</w:t>
            </w:r>
          </w:p>
        </w:tc>
        <w:tc>
          <w:tcPr>
            <w:tcW w:w="5040" w:type="dxa"/>
            <w:tcMar>
              <w:top w:w="57" w:type="dxa"/>
            </w:tcMar>
          </w:tcPr>
          <w:p w:rsidR="00F645E6" w:rsidRPr="00915D47" w:rsidRDefault="00F645E6" w:rsidP="00F645E6">
            <w:pPr>
              <w:pStyle w:val="bodytext"/>
              <w:spacing w:after="200" w:line="276" w:lineRule="auto"/>
              <w:rPr>
                <w:rFonts w:cs="Arial"/>
                <w:lang w:eastAsia="en-AU"/>
              </w:rPr>
            </w:pPr>
            <w:r w:rsidRPr="00915D47">
              <w:rPr>
                <w:rFonts w:cs="Arial"/>
                <w:lang w:eastAsia="en-AU"/>
              </w:rPr>
              <w:t xml:space="preserve">The </w:t>
            </w:r>
            <w:r w:rsidRPr="00915D47">
              <w:rPr>
                <w:rFonts w:cs="Arial"/>
                <w:i/>
                <w:iCs/>
                <w:lang w:eastAsia="en-AU"/>
              </w:rPr>
              <w:t xml:space="preserve">Fisheries (Freshwater) Management Plan 1999 </w:t>
            </w:r>
            <w:r w:rsidR="005F3CC9" w:rsidRPr="00915D47">
              <w:rPr>
                <w:rFonts w:cs="Arial"/>
                <w:lang w:eastAsia="en-AU"/>
              </w:rPr>
              <w:t>(the Plan</w:t>
            </w:r>
            <w:r w:rsidRPr="00915D47">
              <w:rPr>
                <w:rFonts w:cs="Arial"/>
                <w:lang w:eastAsia="en-AU"/>
              </w:rPr>
              <w:t xml:space="preserve">) was repealed in March 2010. All relevant legislation from the Plan was moved into the </w:t>
            </w:r>
            <w:r w:rsidRPr="00915D47">
              <w:rPr>
                <w:rFonts w:cs="Arial"/>
                <w:i/>
                <w:iCs/>
                <w:lang w:eastAsia="en-AU"/>
              </w:rPr>
              <w:t>Fisheries Regulation 2008</w:t>
            </w:r>
            <w:r w:rsidR="005F3CC9" w:rsidRPr="00915D47">
              <w:rPr>
                <w:rFonts w:cs="Arial"/>
                <w:lang w:eastAsia="en-AU"/>
              </w:rPr>
              <w:t xml:space="preserve">, in force under the Queensland </w:t>
            </w:r>
            <w:r w:rsidR="005F3CC9" w:rsidRPr="00915D47">
              <w:rPr>
                <w:rFonts w:cs="Arial"/>
                <w:i/>
                <w:lang w:eastAsia="en-AU"/>
              </w:rPr>
              <w:t>Fisheries Act 1994</w:t>
            </w:r>
            <w:r w:rsidR="005F3CC9" w:rsidRPr="00915D47">
              <w:rPr>
                <w:rFonts w:cs="Arial"/>
                <w:lang w:eastAsia="en-AU"/>
              </w:rPr>
              <w:t>.</w:t>
            </w:r>
          </w:p>
          <w:p w:rsidR="00B6012C" w:rsidRPr="00C956CD" w:rsidRDefault="00F645E6" w:rsidP="005F3CC9">
            <w:pPr>
              <w:pStyle w:val="bodytext"/>
              <w:spacing w:after="200" w:line="276" w:lineRule="auto"/>
              <w:jc w:val="left"/>
              <w:rPr>
                <w:rFonts w:cs="Arial"/>
                <w:color w:val="3366FF"/>
                <w:szCs w:val="22"/>
                <w:lang w:eastAsia="en-AU"/>
              </w:rPr>
            </w:pPr>
            <w:r w:rsidRPr="00915D47">
              <w:rPr>
                <w:rFonts w:cs="Arial"/>
                <w:szCs w:val="22"/>
                <w:lang w:eastAsia="en-AU"/>
              </w:rPr>
              <w:t xml:space="preserve">All operations </w:t>
            </w:r>
            <w:r w:rsidR="005F3CC9" w:rsidRPr="00915D47">
              <w:rPr>
                <w:rFonts w:cs="Arial"/>
                <w:szCs w:val="22"/>
                <w:lang w:eastAsia="en-AU"/>
              </w:rPr>
              <w:t>in the Queensland Eel Fishery since the previous assessment</w:t>
            </w:r>
            <w:r w:rsidRPr="00915D47">
              <w:rPr>
                <w:rFonts w:cs="Arial"/>
                <w:szCs w:val="22"/>
                <w:lang w:eastAsia="en-AU"/>
              </w:rPr>
              <w:t xml:space="preserve"> were carried out </w:t>
            </w:r>
            <w:r w:rsidR="005F3CC9" w:rsidRPr="00915D47">
              <w:rPr>
                <w:rFonts w:cs="Arial"/>
                <w:szCs w:val="22"/>
                <w:lang w:eastAsia="en-AU"/>
              </w:rPr>
              <w:t>in accordance with</w:t>
            </w:r>
            <w:r w:rsidRPr="00915D47">
              <w:rPr>
                <w:rFonts w:cs="Arial"/>
                <w:szCs w:val="22"/>
                <w:lang w:eastAsia="en-AU"/>
              </w:rPr>
              <w:t xml:space="preserve"> the appropriate legislation.</w:t>
            </w:r>
          </w:p>
        </w:tc>
        <w:tc>
          <w:tcPr>
            <w:tcW w:w="5760" w:type="dxa"/>
            <w:tcMar>
              <w:top w:w="57" w:type="dxa"/>
            </w:tcMar>
          </w:tcPr>
          <w:p w:rsidR="00B6012C" w:rsidRPr="00C956CD" w:rsidRDefault="00B6012C" w:rsidP="001955CD">
            <w:pPr>
              <w:rPr>
                <w:rFonts w:cs="Arial"/>
                <w:highlight w:val="cyan"/>
              </w:rPr>
            </w:pPr>
            <w:r w:rsidRPr="00C956CD">
              <w:rPr>
                <w:rFonts w:cs="Arial"/>
              </w:rPr>
              <w:t xml:space="preserve">The Department of </w:t>
            </w:r>
            <w:r>
              <w:rPr>
                <w:rFonts w:cs="Arial"/>
              </w:rPr>
              <w:t xml:space="preserve">the Environment </w:t>
            </w:r>
            <w:r w:rsidR="00915D47">
              <w:rPr>
                <w:rFonts w:cs="Arial"/>
              </w:rPr>
              <w:t xml:space="preserve">(the Department) </w:t>
            </w:r>
            <w:r w:rsidRPr="00C956CD">
              <w:rPr>
                <w:rFonts w:cs="Arial"/>
              </w:rPr>
              <w:t>considers that this recommendation has been met.</w:t>
            </w:r>
          </w:p>
          <w:p w:rsidR="00B6012C" w:rsidRPr="00C956CD" w:rsidRDefault="00B6012C" w:rsidP="00472442">
            <w:pPr>
              <w:rPr>
                <w:rFonts w:cs="Arial"/>
              </w:rPr>
            </w:pPr>
            <w:r>
              <w:rPr>
                <w:rFonts w:cs="Arial"/>
              </w:rPr>
              <w:t>The D</w:t>
            </w:r>
            <w:r w:rsidRPr="00C956CD">
              <w:rPr>
                <w:rFonts w:cs="Arial"/>
              </w:rPr>
              <w:t xml:space="preserve">epartment </w:t>
            </w:r>
            <w:r w:rsidR="00472442">
              <w:rPr>
                <w:rFonts w:cs="Arial"/>
              </w:rPr>
              <w:t>proposes</w:t>
            </w:r>
            <w:r w:rsidRPr="00C956CD">
              <w:rPr>
                <w:rFonts w:cs="Arial"/>
              </w:rPr>
              <w:t xml:space="preserve"> that </w:t>
            </w:r>
            <w:r w:rsidR="00915D47">
              <w:rPr>
                <w:rFonts w:cs="Arial"/>
              </w:rPr>
              <w:t>this recommendation be continued</w:t>
            </w:r>
            <w:r w:rsidRPr="00C956CD">
              <w:rPr>
                <w:rFonts w:cs="Arial"/>
              </w:rPr>
              <w:t xml:space="preserve"> (see </w:t>
            </w:r>
            <w:r w:rsidRPr="00C956CD">
              <w:rPr>
                <w:rFonts w:cs="Arial"/>
                <w:b/>
              </w:rPr>
              <w:t xml:space="preserve">Recommendation </w:t>
            </w:r>
            <w:r w:rsidR="00915D47">
              <w:rPr>
                <w:rFonts w:cs="Arial"/>
                <w:b/>
              </w:rPr>
              <w:t>1,</w:t>
            </w:r>
            <w:r w:rsidRPr="00C956CD">
              <w:rPr>
                <w:rFonts w:cs="Arial"/>
                <w:b/>
              </w:rPr>
              <w:t xml:space="preserve"> Table 4</w:t>
            </w:r>
            <w:r w:rsidRPr="00C956CD">
              <w:rPr>
                <w:rFonts w:cs="Arial"/>
              </w:rPr>
              <w:t>).</w:t>
            </w:r>
          </w:p>
        </w:tc>
      </w:tr>
      <w:tr w:rsidR="00B6012C" w:rsidRPr="00C956CD" w:rsidTr="001955CD">
        <w:trPr>
          <w:cantSplit/>
        </w:trPr>
        <w:tc>
          <w:tcPr>
            <w:tcW w:w="3528" w:type="dxa"/>
            <w:tcMar>
              <w:top w:w="57" w:type="dxa"/>
            </w:tcMar>
          </w:tcPr>
          <w:p w:rsidR="00B6012C" w:rsidRPr="00C956CD" w:rsidRDefault="009F75FE" w:rsidP="00B6012C">
            <w:pPr>
              <w:pStyle w:val="ListNumber"/>
              <w:numPr>
                <w:ilvl w:val="0"/>
                <w:numId w:val="32"/>
              </w:numPr>
              <w:contextualSpacing/>
              <w:rPr>
                <w:rFonts w:cs="Arial"/>
              </w:rPr>
            </w:pPr>
            <w:r>
              <w:rPr>
                <w:rFonts w:eastAsia="Arial Unicode MS"/>
              </w:rPr>
              <w:t>QPIF</w:t>
            </w:r>
            <w:r>
              <w:t xml:space="preserve"> to inform </w:t>
            </w:r>
            <w:r>
              <w:rPr>
                <w:rStyle w:val="HTMLAcronym"/>
              </w:rPr>
              <w:t>DEWHA</w:t>
            </w:r>
            <w:r>
              <w:t xml:space="preserve"> of any intended amendments to the management arrangements that may affect the assessment of the QEF against the criteria on which </w:t>
            </w:r>
            <w:r>
              <w:rPr>
                <w:i/>
              </w:rPr>
              <w:t>Environment Protection and Biodiversity Conservation Act 1999</w:t>
            </w:r>
            <w:r>
              <w:t xml:space="preserve"> decisions are based.</w:t>
            </w:r>
          </w:p>
        </w:tc>
        <w:tc>
          <w:tcPr>
            <w:tcW w:w="5040" w:type="dxa"/>
            <w:tcMar>
              <w:top w:w="57" w:type="dxa"/>
            </w:tcMar>
          </w:tcPr>
          <w:p w:rsidR="00B6012C" w:rsidRPr="00492979" w:rsidRDefault="00492979" w:rsidP="00976F3F">
            <w:pPr>
              <w:pStyle w:val="bodytext"/>
              <w:spacing w:after="200" w:line="276" w:lineRule="auto"/>
              <w:jc w:val="left"/>
              <w:rPr>
                <w:rFonts w:cs="Arial"/>
                <w:szCs w:val="22"/>
                <w:lang w:eastAsia="en-AU"/>
              </w:rPr>
            </w:pPr>
            <w:r w:rsidRPr="00492979">
              <w:rPr>
                <w:rFonts w:cs="Arial"/>
                <w:szCs w:val="22"/>
                <w:lang w:eastAsia="en-AU"/>
              </w:rPr>
              <w:t>There have been no changes made to the management arrangements for the Queensland E</w:t>
            </w:r>
            <w:r w:rsidR="00976F3F">
              <w:rPr>
                <w:rFonts w:cs="Arial"/>
                <w:szCs w:val="22"/>
                <w:lang w:eastAsia="en-AU"/>
              </w:rPr>
              <w:t>el Fishery that would affect the EPBC Act decisions made following the</w:t>
            </w:r>
            <w:r w:rsidRPr="00492979">
              <w:rPr>
                <w:rFonts w:cs="Arial"/>
                <w:szCs w:val="22"/>
                <w:lang w:eastAsia="en-AU"/>
              </w:rPr>
              <w:t xml:space="preserve"> </w:t>
            </w:r>
            <w:r w:rsidR="00976F3F">
              <w:rPr>
                <w:rFonts w:cs="Arial"/>
                <w:szCs w:val="22"/>
                <w:lang w:eastAsia="en-AU"/>
              </w:rPr>
              <w:t>Department's</w:t>
            </w:r>
            <w:r w:rsidRPr="00492979">
              <w:rPr>
                <w:rFonts w:cs="Arial"/>
                <w:szCs w:val="22"/>
                <w:lang w:eastAsia="en-AU"/>
              </w:rPr>
              <w:t xml:space="preserve"> assessment of the fishery in 2009</w:t>
            </w:r>
            <w:r w:rsidR="00F645E6" w:rsidRPr="00492979">
              <w:rPr>
                <w:rFonts w:cs="Arial"/>
                <w:szCs w:val="22"/>
                <w:lang w:eastAsia="en-AU"/>
              </w:rPr>
              <w:t>.</w:t>
            </w:r>
          </w:p>
        </w:tc>
        <w:tc>
          <w:tcPr>
            <w:tcW w:w="5760" w:type="dxa"/>
            <w:tcMar>
              <w:top w:w="57" w:type="dxa"/>
            </w:tcMar>
          </w:tcPr>
          <w:p w:rsidR="00492979" w:rsidRPr="00C956CD" w:rsidRDefault="00492979" w:rsidP="00492979">
            <w:pPr>
              <w:rPr>
                <w:rFonts w:cs="Arial"/>
                <w:highlight w:val="cyan"/>
              </w:rPr>
            </w:pPr>
            <w:r w:rsidRPr="00C956CD">
              <w:rPr>
                <w:rFonts w:cs="Arial"/>
              </w:rPr>
              <w:t>The Department</w:t>
            </w:r>
            <w:r>
              <w:rPr>
                <w:rFonts w:cs="Arial"/>
              </w:rPr>
              <w:t xml:space="preserve"> </w:t>
            </w:r>
            <w:r w:rsidRPr="00C956CD">
              <w:rPr>
                <w:rFonts w:cs="Arial"/>
              </w:rPr>
              <w:t>considers that this recommendation has been met.</w:t>
            </w:r>
          </w:p>
          <w:p w:rsidR="00B6012C" w:rsidRPr="00C956CD" w:rsidRDefault="00492979" w:rsidP="00492979">
            <w:pPr>
              <w:rPr>
                <w:rFonts w:cs="Arial"/>
                <w:highlight w:val="cyan"/>
              </w:rPr>
            </w:pPr>
            <w:r>
              <w:rPr>
                <w:rFonts w:cs="Arial"/>
              </w:rPr>
              <w:t>The D</w:t>
            </w:r>
            <w:r w:rsidRPr="00C956CD">
              <w:rPr>
                <w:rFonts w:cs="Arial"/>
              </w:rPr>
              <w:t xml:space="preserve">epartment </w:t>
            </w:r>
            <w:r w:rsidR="00472442">
              <w:rPr>
                <w:rFonts w:cs="Arial"/>
              </w:rPr>
              <w:t>proposes</w:t>
            </w:r>
            <w:r w:rsidR="00472442" w:rsidRPr="00C956CD">
              <w:rPr>
                <w:rFonts w:cs="Arial"/>
              </w:rPr>
              <w:t xml:space="preserve"> </w:t>
            </w:r>
            <w:r w:rsidRPr="00C956CD">
              <w:rPr>
                <w:rFonts w:cs="Arial"/>
              </w:rPr>
              <w:t xml:space="preserve">that </w:t>
            </w:r>
            <w:r>
              <w:rPr>
                <w:rFonts w:cs="Arial"/>
              </w:rPr>
              <w:t>this recommendation be continued</w:t>
            </w:r>
            <w:r w:rsidRPr="00C956CD">
              <w:rPr>
                <w:rFonts w:cs="Arial"/>
              </w:rPr>
              <w:t xml:space="preserve"> (see </w:t>
            </w:r>
            <w:r w:rsidRPr="00C956CD">
              <w:rPr>
                <w:rFonts w:cs="Arial"/>
                <w:b/>
              </w:rPr>
              <w:t xml:space="preserve">Recommendation </w:t>
            </w:r>
            <w:r w:rsidR="008673DB">
              <w:rPr>
                <w:rFonts w:cs="Arial"/>
                <w:b/>
              </w:rPr>
              <w:t>2</w:t>
            </w:r>
            <w:r>
              <w:rPr>
                <w:rFonts w:cs="Arial"/>
                <w:b/>
              </w:rPr>
              <w:t>,</w:t>
            </w:r>
            <w:r w:rsidRPr="00C956CD">
              <w:rPr>
                <w:rFonts w:cs="Arial"/>
                <w:b/>
              </w:rPr>
              <w:t xml:space="preserve"> Table 4</w:t>
            </w:r>
            <w:r w:rsidRPr="00C956CD">
              <w:rPr>
                <w:rFonts w:cs="Arial"/>
              </w:rPr>
              <w:t>).</w:t>
            </w:r>
          </w:p>
        </w:tc>
      </w:tr>
      <w:tr w:rsidR="009F75FE" w:rsidRPr="00C956CD" w:rsidTr="001955CD">
        <w:trPr>
          <w:cantSplit/>
        </w:trPr>
        <w:tc>
          <w:tcPr>
            <w:tcW w:w="3528" w:type="dxa"/>
            <w:tcMar>
              <w:top w:w="57" w:type="dxa"/>
            </w:tcMar>
          </w:tcPr>
          <w:p w:rsidR="009F75FE" w:rsidRPr="00C956CD" w:rsidRDefault="009F75FE" w:rsidP="00B6012C">
            <w:pPr>
              <w:pStyle w:val="ListNumber"/>
              <w:numPr>
                <w:ilvl w:val="0"/>
                <w:numId w:val="32"/>
              </w:numPr>
              <w:contextualSpacing/>
              <w:rPr>
                <w:rFonts w:cs="Arial"/>
              </w:rPr>
            </w:pPr>
            <w:r w:rsidRPr="009F75FE">
              <w:rPr>
                <w:rFonts w:cs="Arial"/>
              </w:rPr>
              <w:t xml:space="preserve">QPIF to produce and present reports to DEWHA annually as per Appendix B to the </w:t>
            </w:r>
            <w:r w:rsidRPr="009F75FE">
              <w:rPr>
                <w:rFonts w:cs="Arial"/>
                <w:i/>
              </w:rPr>
              <w:t>Guidelines for the Ecologically Sustainable Management of Fisheries 2</w:t>
            </w:r>
            <w:r w:rsidRPr="009F75FE">
              <w:rPr>
                <w:rFonts w:cs="Arial"/>
                <w:i/>
                <w:vertAlign w:val="superscript"/>
              </w:rPr>
              <w:t>nd</w:t>
            </w:r>
            <w:r w:rsidRPr="009F75FE">
              <w:rPr>
                <w:rFonts w:cs="Arial"/>
                <w:i/>
              </w:rPr>
              <w:t xml:space="preserve"> Edition.</w:t>
            </w:r>
          </w:p>
        </w:tc>
        <w:tc>
          <w:tcPr>
            <w:tcW w:w="5040" w:type="dxa"/>
            <w:tcMar>
              <w:top w:w="57" w:type="dxa"/>
            </w:tcMar>
          </w:tcPr>
          <w:p w:rsidR="009F75FE" w:rsidRPr="003B4751" w:rsidRDefault="008673DB" w:rsidP="003B4751">
            <w:pPr>
              <w:pStyle w:val="bodytext"/>
              <w:spacing w:after="200" w:line="276" w:lineRule="auto"/>
              <w:jc w:val="left"/>
              <w:rPr>
                <w:rFonts w:cs="Arial"/>
                <w:szCs w:val="22"/>
                <w:lang w:eastAsia="en-AU"/>
              </w:rPr>
            </w:pPr>
            <w:r>
              <w:rPr>
                <w:rFonts w:cs="Arial"/>
                <w:szCs w:val="22"/>
                <w:lang w:eastAsia="en-AU"/>
              </w:rPr>
              <w:t>The</w:t>
            </w:r>
            <w:r w:rsidR="0053187A" w:rsidRPr="003B4751">
              <w:rPr>
                <w:rFonts w:cs="Arial"/>
                <w:szCs w:val="22"/>
                <w:lang w:eastAsia="en-AU"/>
              </w:rPr>
              <w:t xml:space="preserve"> Queensland</w:t>
            </w:r>
            <w:r>
              <w:rPr>
                <w:rFonts w:cs="Arial"/>
                <w:szCs w:val="22"/>
                <w:lang w:eastAsia="en-AU"/>
              </w:rPr>
              <w:t xml:space="preserve"> Department of Agriculture</w:t>
            </w:r>
            <w:r w:rsidR="00A60624">
              <w:rPr>
                <w:rFonts w:cs="Arial"/>
                <w:szCs w:val="22"/>
                <w:lang w:eastAsia="en-AU"/>
              </w:rPr>
              <w:t>, Fisheries and Forestry (DAFF)</w:t>
            </w:r>
            <w:r w:rsidR="0053187A" w:rsidRPr="003B4751">
              <w:rPr>
                <w:rFonts w:cs="Arial"/>
                <w:szCs w:val="22"/>
                <w:lang w:eastAsia="en-AU"/>
              </w:rPr>
              <w:t xml:space="preserve"> </w:t>
            </w:r>
            <w:proofErr w:type="gramStart"/>
            <w:r w:rsidR="003B4751">
              <w:rPr>
                <w:rFonts w:cs="Arial"/>
                <w:szCs w:val="22"/>
                <w:lang w:eastAsia="en-AU"/>
              </w:rPr>
              <w:t>has</w:t>
            </w:r>
            <w:proofErr w:type="gramEnd"/>
            <w:r w:rsidR="003B4751">
              <w:rPr>
                <w:rFonts w:cs="Arial"/>
                <w:szCs w:val="22"/>
                <w:lang w:eastAsia="en-AU"/>
              </w:rPr>
              <w:t xml:space="preserve"> </w:t>
            </w:r>
            <w:r w:rsidR="0053187A" w:rsidRPr="003B4751">
              <w:rPr>
                <w:rFonts w:cs="Arial"/>
                <w:szCs w:val="22"/>
                <w:lang w:eastAsia="en-AU"/>
              </w:rPr>
              <w:t>produce</w:t>
            </w:r>
            <w:r w:rsidR="003B4751">
              <w:rPr>
                <w:rFonts w:cs="Arial"/>
                <w:szCs w:val="22"/>
                <w:lang w:eastAsia="en-AU"/>
              </w:rPr>
              <w:t xml:space="preserve">d </w:t>
            </w:r>
            <w:r w:rsidR="00976F3F">
              <w:rPr>
                <w:rFonts w:cs="Arial"/>
                <w:szCs w:val="22"/>
                <w:lang w:eastAsia="en-AU"/>
              </w:rPr>
              <w:t>publicly available,</w:t>
            </w:r>
            <w:r w:rsidR="003B4751" w:rsidRPr="003B4751">
              <w:rPr>
                <w:rFonts w:cs="Arial"/>
                <w:szCs w:val="22"/>
                <w:lang w:eastAsia="en-AU"/>
              </w:rPr>
              <w:t xml:space="preserve"> fishery</w:t>
            </w:r>
            <w:r w:rsidR="0053187A" w:rsidRPr="003B4751">
              <w:rPr>
                <w:rFonts w:cs="Arial"/>
                <w:szCs w:val="22"/>
                <w:lang w:eastAsia="en-AU"/>
              </w:rPr>
              <w:t xml:space="preserve">-specific reports on an annual basis. The Queensland Eel Fishery 2012 fishing year report is the latest report to be </w:t>
            </w:r>
            <w:r w:rsidR="003B4751">
              <w:rPr>
                <w:rFonts w:cs="Arial"/>
                <w:szCs w:val="22"/>
                <w:lang w:eastAsia="en-AU"/>
              </w:rPr>
              <w:t>published</w:t>
            </w:r>
            <w:r w:rsidR="0053187A" w:rsidRPr="003B4751">
              <w:rPr>
                <w:rFonts w:cs="Arial"/>
                <w:szCs w:val="22"/>
                <w:lang w:eastAsia="en-AU"/>
              </w:rPr>
              <w:t>.</w:t>
            </w:r>
          </w:p>
        </w:tc>
        <w:tc>
          <w:tcPr>
            <w:tcW w:w="5760" w:type="dxa"/>
            <w:tcMar>
              <w:top w:w="57" w:type="dxa"/>
            </w:tcMar>
          </w:tcPr>
          <w:p w:rsidR="003B4751" w:rsidRPr="00C956CD" w:rsidRDefault="003B4751" w:rsidP="003B4751">
            <w:pPr>
              <w:rPr>
                <w:rFonts w:cs="Arial"/>
                <w:highlight w:val="cyan"/>
              </w:rPr>
            </w:pPr>
            <w:r w:rsidRPr="00C956CD">
              <w:rPr>
                <w:rFonts w:cs="Arial"/>
              </w:rPr>
              <w:t>The Department</w:t>
            </w:r>
            <w:r>
              <w:rPr>
                <w:rFonts w:cs="Arial"/>
              </w:rPr>
              <w:t xml:space="preserve"> </w:t>
            </w:r>
            <w:r w:rsidRPr="00C956CD">
              <w:rPr>
                <w:rFonts w:cs="Arial"/>
              </w:rPr>
              <w:t>considers that this recommendation has been met.</w:t>
            </w:r>
          </w:p>
          <w:p w:rsidR="009F75FE" w:rsidRPr="00C956CD" w:rsidRDefault="003B4751" w:rsidP="003B4751">
            <w:pPr>
              <w:rPr>
                <w:rFonts w:cs="Arial"/>
                <w:highlight w:val="cyan"/>
              </w:rPr>
            </w:pPr>
            <w:r>
              <w:rPr>
                <w:rFonts w:cs="Arial"/>
              </w:rPr>
              <w:t>The D</w:t>
            </w:r>
            <w:r w:rsidRPr="00C956CD">
              <w:rPr>
                <w:rFonts w:cs="Arial"/>
              </w:rPr>
              <w:t xml:space="preserve">epartment </w:t>
            </w:r>
            <w:r w:rsidR="00472442">
              <w:rPr>
                <w:rFonts w:cs="Arial"/>
              </w:rPr>
              <w:t>proposes</w:t>
            </w:r>
            <w:r w:rsidR="00472442" w:rsidRPr="00C956CD">
              <w:rPr>
                <w:rFonts w:cs="Arial"/>
              </w:rPr>
              <w:t xml:space="preserve"> </w:t>
            </w:r>
            <w:r w:rsidRPr="00C956CD">
              <w:rPr>
                <w:rFonts w:cs="Arial"/>
              </w:rPr>
              <w:t xml:space="preserve">that </w:t>
            </w:r>
            <w:r>
              <w:rPr>
                <w:rFonts w:cs="Arial"/>
              </w:rPr>
              <w:t>this recommendation be continued</w:t>
            </w:r>
            <w:r w:rsidRPr="00C956CD">
              <w:rPr>
                <w:rFonts w:cs="Arial"/>
              </w:rPr>
              <w:t xml:space="preserve"> (see </w:t>
            </w:r>
            <w:r w:rsidRPr="00C956CD">
              <w:rPr>
                <w:rFonts w:cs="Arial"/>
                <w:b/>
              </w:rPr>
              <w:t xml:space="preserve">Recommendation </w:t>
            </w:r>
            <w:r>
              <w:rPr>
                <w:rFonts w:cs="Arial"/>
                <w:b/>
              </w:rPr>
              <w:t>3,</w:t>
            </w:r>
            <w:r w:rsidRPr="00C956CD">
              <w:rPr>
                <w:rFonts w:cs="Arial"/>
                <w:b/>
              </w:rPr>
              <w:t xml:space="preserve"> Table 4</w:t>
            </w:r>
            <w:r w:rsidRPr="00C956CD">
              <w:rPr>
                <w:rFonts w:cs="Arial"/>
              </w:rPr>
              <w:t>).</w:t>
            </w:r>
          </w:p>
        </w:tc>
      </w:tr>
      <w:tr w:rsidR="009F75FE" w:rsidRPr="00C956CD" w:rsidTr="001955CD">
        <w:trPr>
          <w:cantSplit/>
        </w:trPr>
        <w:tc>
          <w:tcPr>
            <w:tcW w:w="3528" w:type="dxa"/>
            <w:tcMar>
              <w:top w:w="57" w:type="dxa"/>
            </w:tcMar>
          </w:tcPr>
          <w:p w:rsidR="009F75FE" w:rsidRPr="00C956CD" w:rsidRDefault="009F75FE" w:rsidP="00B6012C">
            <w:pPr>
              <w:pStyle w:val="ListNumber"/>
              <w:numPr>
                <w:ilvl w:val="0"/>
                <w:numId w:val="32"/>
              </w:numPr>
              <w:contextualSpacing/>
              <w:rPr>
                <w:rFonts w:cs="Arial"/>
              </w:rPr>
            </w:pPr>
            <w:r w:rsidRPr="009F75FE">
              <w:rPr>
                <w:rFonts w:cs="Arial"/>
              </w:rPr>
              <w:t>QPIF to collaborate with other jurisdictions in pursuing consistent and complementary research needs and management arrangements for target species.</w:t>
            </w:r>
          </w:p>
        </w:tc>
        <w:tc>
          <w:tcPr>
            <w:tcW w:w="5040" w:type="dxa"/>
            <w:tcMar>
              <w:top w:w="57" w:type="dxa"/>
            </w:tcMar>
          </w:tcPr>
          <w:p w:rsidR="0053187A" w:rsidRPr="0057698D" w:rsidRDefault="0053187A" w:rsidP="00D877F5">
            <w:pPr>
              <w:pStyle w:val="bodytext"/>
              <w:spacing w:after="200" w:line="276" w:lineRule="auto"/>
              <w:jc w:val="left"/>
              <w:rPr>
                <w:rFonts w:cs="Arial"/>
                <w:lang w:eastAsia="en-AU"/>
              </w:rPr>
            </w:pPr>
            <w:r w:rsidRPr="0057698D">
              <w:rPr>
                <w:rFonts w:cs="Arial"/>
                <w:lang w:eastAsia="en-AU"/>
              </w:rPr>
              <w:t xml:space="preserve">As part of the outcomes of the </w:t>
            </w:r>
            <w:r w:rsidR="008673DB" w:rsidRPr="0057698D">
              <w:rPr>
                <w:rFonts w:cs="Arial"/>
                <w:lang w:eastAsia="en-AU"/>
              </w:rPr>
              <w:t>fishery's</w:t>
            </w:r>
            <w:r w:rsidRPr="0057698D">
              <w:rPr>
                <w:rFonts w:cs="Arial"/>
                <w:lang w:eastAsia="en-AU"/>
              </w:rPr>
              <w:t xml:space="preserve"> Performance Measurement System review conducted in January 2010, </w:t>
            </w:r>
            <w:r w:rsidR="00D877F5" w:rsidRPr="0057698D">
              <w:rPr>
                <w:rFonts w:cs="Arial"/>
                <w:lang w:eastAsia="en-AU"/>
              </w:rPr>
              <w:t xml:space="preserve">the </w:t>
            </w:r>
            <w:r w:rsidRPr="0057698D">
              <w:rPr>
                <w:rFonts w:cs="Arial"/>
                <w:lang w:eastAsia="en-AU"/>
              </w:rPr>
              <w:t xml:space="preserve">Queensland </w:t>
            </w:r>
            <w:r w:rsidR="00D877F5" w:rsidRPr="0057698D">
              <w:rPr>
                <w:rFonts w:cs="Arial"/>
                <w:lang w:eastAsia="en-AU"/>
              </w:rPr>
              <w:t xml:space="preserve">DAFF </w:t>
            </w:r>
            <w:r w:rsidRPr="0057698D">
              <w:rPr>
                <w:rFonts w:cs="Arial"/>
                <w:lang w:eastAsia="en-AU"/>
              </w:rPr>
              <w:t xml:space="preserve">engaged in discussions with New South </w:t>
            </w:r>
            <w:r w:rsidR="00D877F5" w:rsidRPr="0057698D">
              <w:rPr>
                <w:rFonts w:cs="Arial"/>
                <w:lang w:eastAsia="en-AU"/>
              </w:rPr>
              <w:t>Wales, Victorian and Tasmanian f</w:t>
            </w:r>
            <w:r w:rsidRPr="0057698D">
              <w:rPr>
                <w:rFonts w:cs="Arial"/>
                <w:lang w:eastAsia="en-AU"/>
              </w:rPr>
              <w:t>i</w:t>
            </w:r>
            <w:r w:rsidR="00D877F5" w:rsidRPr="0057698D">
              <w:rPr>
                <w:rFonts w:cs="Arial"/>
                <w:lang w:eastAsia="en-AU"/>
              </w:rPr>
              <w:t>shery agency</w:t>
            </w:r>
            <w:r w:rsidRPr="0057698D">
              <w:rPr>
                <w:rFonts w:cs="Arial"/>
                <w:lang w:eastAsia="en-AU"/>
              </w:rPr>
              <w:t xml:space="preserve"> representatives</w:t>
            </w:r>
            <w:r w:rsidR="0057698D" w:rsidRPr="0057698D">
              <w:rPr>
                <w:rFonts w:cs="Arial"/>
                <w:lang w:eastAsia="en-AU"/>
              </w:rPr>
              <w:t xml:space="preserve"> regarding national take of freshwater eels</w:t>
            </w:r>
            <w:r w:rsidRPr="0057698D">
              <w:rPr>
                <w:rFonts w:cs="Arial"/>
                <w:lang w:eastAsia="en-AU"/>
              </w:rPr>
              <w:t xml:space="preserve">. </w:t>
            </w:r>
            <w:r w:rsidR="00D877F5" w:rsidRPr="0057698D">
              <w:rPr>
                <w:rFonts w:cs="Arial"/>
                <w:lang w:eastAsia="en-AU"/>
              </w:rPr>
              <w:t>To address</w:t>
            </w:r>
            <w:r w:rsidRPr="0057698D">
              <w:rPr>
                <w:rFonts w:cs="Arial"/>
                <w:lang w:eastAsia="en-AU"/>
              </w:rPr>
              <w:t xml:space="preserve"> the </w:t>
            </w:r>
            <w:proofErr w:type="spellStart"/>
            <w:r w:rsidRPr="0057698D">
              <w:rPr>
                <w:rFonts w:cs="Arial"/>
                <w:lang w:eastAsia="en-AU"/>
              </w:rPr>
              <w:t>panmictic</w:t>
            </w:r>
            <w:proofErr w:type="spellEnd"/>
            <w:r w:rsidRPr="0057698D">
              <w:rPr>
                <w:rFonts w:cs="Arial"/>
                <w:lang w:eastAsia="en-AU"/>
              </w:rPr>
              <w:t xml:space="preserve"> </w:t>
            </w:r>
            <w:r w:rsidR="00D877F5" w:rsidRPr="0057698D">
              <w:rPr>
                <w:rFonts w:cs="Arial"/>
                <w:lang w:eastAsia="en-AU"/>
              </w:rPr>
              <w:t>distribution</w:t>
            </w:r>
            <w:r w:rsidRPr="0057698D">
              <w:rPr>
                <w:rFonts w:cs="Arial"/>
                <w:lang w:eastAsia="en-AU"/>
              </w:rPr>
              <w:t xml:space="preserve"> </w:t>
            </w:r>
            <w:r w:rsidR="00472442">
              <w:rPr>
                <w:rFonts w:cs="Arial"/>
                <w:lang w:eastAsia="en-AU"/>
              </w:rPr>
              <w:t xml:space="preserve">(single stock, spread across multiple jurisdictions) </w:t>
            </w:r>
            <w:r w:rsidRPr="0057698D">
              <w:rPr>
                <w:rFonts w:cs="Arial"/>
                <w:lang w:eastAsia="en-AU"/>
              </w:rPr>
              <w:t xml:space="preserve">of </w:t>
            </w:r>
            <w:r w:rsidR="0057698D" w:rsidRPr="0057698D">
              <w:rPr>
                <w:rFonts w:cs="Arial"/>
                <w:lang w:eastAsia="en-AU"/>
              </w:rPr>
              <w:t>freshwater</w:t>
            </w:r>
            <w:r w:rsidRPr="0057698D">
              <w:rPr>
                <w:rFonts w:cs="Arial"/>
                <w:lang w:eastAsia="en-AU"/>
              </w:rPr>
              <w:t xml:space="preserve"> eel species into the performance of the </w:t>
            </w:r>
            <w:r w:rsidR="0057698D" w:rsidRPr="0057698D">
              <w:rPr>
                <w:rFonts w:cs="Arial"/>
                <w:lang w:eastAsia="en-AU"/>
              </w:rPr>
              <w:t>fishery</w:t>
            </w:r>
            <w:r w:rsidRPr="0057698D">
              <w:rPr>
                <w:rFonts w:cs="Arial"/>
                <w:lang w:eastAsia="en-AU"/>
              </w:rPr>
              <w:t>,</w:t>
            </w:r>
            <w:r w:rsidR="00D877F5" w:rsidRPr="0057698D">
              <w:rPr>
                <w:rFonts w:cs="Arial"/>
                <w:lang w:eastAsia="en-AU"/>
              </w:rPr>
              <w:t xml:space="preserve"> the</w:t>
            </w:r>
            <w:r w:rsidRPr="0057698D">
              <w:rPr>
                <w:rFonts w:cs="Arial"/>
                <w:lang w:eastAsia="en-AU"/>
              </w:rPr>
              <w:t xml:space="preserve"> Queensland </w:t>
            </w:r>
            <w:r w:rsidR="00D877F5" w:rsidRPr="0057698D">
              <w:rPr>
                <w:rFonts w:cs="Arial"/>
                <w:lang w:eastAsia="en-AU"/>
              </w:rPr>
              <w:t xml:space="preserve">DAFF </w:t>
            </w:r>
            <w:r w:rsidRPr="0057698D">
              <w:rPr>
                <w:rFonts w:cs="Arial"/>
                <w:lang w:eastAsia="en-AU"/>
              </w:rPr>
              <w:t xml:space="preserve">developed a performance measure </w:t>
            </w:r>
            <w:r w:rsidR="00A60624">
              <w:rPr>
                <w:rFonts w:cs="Arial"/>
                <w:lang w:eastAsia="en-AU"/>
              </w:rPr>
              <w:t>that</w:t>
            </w:r>
            <w:r w:rsidRPr="0057698D">
              <w:rPr>
                <w:rFonts w:cs="Arial"/>
                <w:lang w:eastAsia="en-AU"/>
              </w:rPr>
              <w:t xml:space="preserve"> </w:t>
            </w:r>
            <w:r w:rsidR="00D877F5" w:rsidRPr="0057698D">
              <w:rPr>
                <w:rFonts w:cs="Arial"/>
                <w:lang w:eastAsia="en-AU"/>
              </w:rPr>
              <w:t>considers</w:t>
            </w:r>
            <w:r w:rsidRPr="0057698D">
              <w:rPr>
                <w:rFonts w:cs="Arial"/>
                <w:lang w:eastAsia="en-AU"/>
              </w:rPr>
              <w:t xml:space="preserve"> the total harvest of eels in all four Australian east coast states. </w:t>
            </w:r>
            <w:r w:rsidR="00D877F5" w:rsidRPr="0057698D">
              <w:rPr>
                <w:rFonts w:cs="Arial"/>
                <w:lang w:eastAsia="en-AU"/>
              </w:rPr>
              <w:t xml:space="preserve">The Queensland DAFF </w:t>
            </w:r>
            <w:r w:rsidR="0057698D" w:rsidRPr="0057698D">
              <w:rPr>
                <w:rFonts w:cs="Arial"/>
                <w:lang w:eastAsia="en-AU"/>
              </w:rPr>
              <w:t>has subsequently engaged</w:t>
            </w:r>
            <w:r w:rsidRPr="0057698D">
              <w:rPr>
                <w:rFonts w:cs="Arial"/>
                <w:lang w:eastAsia="en-AU"/>
              </w:rPr>
              <w:t xml:space="preserve"> in regular cross-jurisdictional communication with </w:t>
            </w:r>
            <w:r w:rsidR="00D877F5" w:rsidRPr="0057698D">
              <w:rPr>
                <w:rFonts w:cs="Arial"/>
                <w:lang w:eastAsia="en-AU"/>
              </w:rPr>
              <w:t>relevant fishery agency representatives</w:t>
            </w:r>
            <w:r w:rsidRPr="0057698D">
              <w:rPr>
                <w:rFonts w:cs="Arial"/>
                <w:lang w:eastAsia="en-AU"/>
              </w:rPr>
              <w:t xml:space="preserve">, </w:t>
            </w:r>
            <w:r w:rsidR="0057698D" w:rsidRPr="0057698D">
              <w:rPr>
                <w:rFonts w:cs="Arial"/>
                <w:lang w:eastAsia="en-AU"/>
              </w:rPr>
              <w:t>to</w:t>
            </w:r>
            <w:r w:rsidRPr="0057698D">
              <w:rPr>
                <w:rFonts w:cs="Arial"/>
                <w:lang w:eastAsia="en-AU"/>
              </w:rPr>
              <w:t xml:space="preserve"> aid in the identification and mitigation of issues regarding the sustainability of eel stocks and </w:t>
            </w:r>
            <w:r w:rsidR="0057698D" w:rsidRPr="0057698D">
              <w:rPr>
                <w:rFonts w:cs="Arial"/>
                <w:lang w:eastAsia="en-AU"/>
              </w:rPr>
              <w:t xml:space="preserve">to </w:t>
            </w:r>
            <w:r w:rsidRPr="0057698D">
              <w:rPr>
                <w:rFonts w:cs="Arial"/>
                <w:lang w:eastAsia="en-AU"/>
              </w:rPr>
              <w:t xml:space="preserve">ensure that future management arrangements consider changes in the </w:t>
            </w:r>
            <w:r w:rsidR="0057698D" w:rsidRPr="0057698D">
              <w:rPr>
                <w:rFonts w:cs="Arial"/>
                <w:lang w:eastAsia="en-AU"/>
              </w:rPr>
              <w:t xml:space="preserve">whole </w:t>
            </w:r>
            <w:r w:rsidRPr="0057698D">
              <w:rPr>
                <w:rFonts w:cs="Arial"/>
                <w:lang w:eastAsia="en-AU"/>
              </w:rPr>
              <w:t>east coast eel population.</w:t>
            </w:r>
          </w:p>
          <w:p w:rsidR="009F75FE" w:rsidRPr="0057698D" w:rsidRDefault="0053187A" w:rsidP="0053187A">
            <w:pPr>
              <w:pStyle w:val="bodytext"/>
              <w:spacing w:after="200" w:line="276" w:lineRule="auto"/>
              <w:jc w:val="left"/>
              <w:rPr>
                <w:rFonts w:cs="Arial"/>
                <w:szCs w:val="22"/>
                <w:lang w:eastAsia="en-AU"/>
              </w:rPr>
            </w:pPr>
            <w:r w:rsidRPr="0057698D">
              <w:rPr>
                <w:rFonts w:cs="Arial"/>
                <w:szCs w:val="22"/>
                <w:lang w:eastAsia="en-AU"/>
              </w:rPr>
              <w:t>The most recent catch from other states is detailed in the latest Queensland Eel Fishery Annual Fishery Report (2012 Fishing Year Report).</w:t>
            </w:r>
          </w:p>
        </w:tc>
        <w:tc>
          <w:tcPr>
            <w:tcW w:w="5760" w:type="dxa"/>
            <w:tcMar>
              <w:top w:w="57" w:type="dxa"/>
            </w:tcMar>
          </w:tcPr>
          <w:p w:rsidR="008673DB" w:rsidRPr="00C956CD" w:rsidRDefault="008673DB" w:rsidP="008673DB">
            <w:pPr>
              <w:rPr>
                <w:rFonts w:cs="Arial"/>
                <w:highlight w:val="cyan"/>
              </w:rPr>
            </w:pPr>
            <w:r w:rsidRPr="00C956CD">
              <w:rPr>
                <w:rFonts w:cs="Arial"/>
              </w:rPr>
              <w:t>The Department</w:t>
            </w:r>
            <w:r>
              <w:rPr>
                <w:rFonts w:cs="Arial"/>
              </w:rPr>
              <w:t xml:space="preserve"> </w:t>
            </w:r>
            <w:r w:rsidRPr="00C956CD">
              <w:rPr>
                <w:rFonts w:cs="Arial"/>
              </w:rPr>
              <w:t>considers that this recommendation has been met.</w:t>
            </w:r>
          </w:p>
          <w:p w:rsidR="009F75FE" w:rsidRPr="00C956CD" w:rsidRDefault="008673DB" w:rsidP="008673DB">
            <w:pPr>
              <w:rPr>
                <w:rFonts w:cs="Arial"/>
                <w:highlight w:val="cyan"/>
              </w:rPr>
            </w:pPr>
            <w:r>
              <w:rPr>
                <w:rFonts w:cs="Arial"/>
              </w:rPr>
              <w:t>The D</w:t>
            </w:r>
            <w:r w:rsidRPr="00C956CD">
              <w:rPr>
                <w:rFonts w:cs="Arial"/>
              </w:rPr>
              <w:t xml:space="preserve">epartment </w:t>
            </w:r>
            <w:r w:rsidR="00472442">
              <w:rPr>
                <w:rFonts w:cs="Arial"/>
              </w:rPr>
              <w:t>proposes</w:t>
            </w:r>
            <w:r w:rsidR="00472442" w:rsidRPr="00C956CD">
              <w:rPr>
                <w:rFonts w:cs="Arial"/>
              </w:rPr>
              <w:t xml:space="preserve"> </w:t>
            </w:r>
            <w:r w:rsidRPr="00C956CD">
              <w:rPr>
                <w:rFonts w:cs="Arial"/>
              </w:rPr>
              <w:t xml:space="preserve">that </w:t>
            </w:r>
            <w:r>
              <w:rPr>
                <w:rFonts w:cs="Arial"/>
              </w:rPr>
              <w:t>this recommendation be continued</w:t>
            </w:r>
            <w:r w:rsidRPr="00C956CD">
              <w:rPr>
                <w:rFonts w:cs="Arial"/>
              </w:rPr>
              <w:t xml:space="preserve"> (see </w:t>
            </w:r>
            <w:r w:rsidRPr="00C956CD">
              <w:rPr>
                <w:rFonts w:cs="Arial"/>
                <w:b/>
              </w:rPr>
              <w:t xml:space="preserve">Recommendation </w:t>
            </w:r>
            <w:r>
              <w:rPr>
                <w:rFonts w:cs="Arial"/>
                <w:b/>
              </w:rPr>
              <w:t>4,</w:t>
            </w:r>
            <w:r w:rsidRPr="00C956CD">
              <w:rPr>
                <w:rFonts w:cs="Arial"/>
                <w:b/>
              </w:rPr>
              <w:t xml:space="preserve"> Table 4</w:t>
            </w:r>
            <w:r w:rsidRPr="00C956CD">
              <w:rPr>
                <w:rFonts w:cs="Arial"/>
              </w:rPr>
              <w:t>).</w:t>
            </w:r>
          </w:p>
        </w:tc>
      </w:tr>
      <w:tr w:rsidR="009F75FE" w:rsidRPr="00C956CD" w:rsidTr="001955CD">
        <w:trPr>
          <w:cantSplit/>
        </w:trPr>
        <w:tc>
          <w:tcPr>
            <w:tcW w:w="3528" w:type="dxa"/>
            <w:tcMar>
              <w:top w:w="57" w:type="dxa"/>
            </w:tcMar>
          </w:tcPr>
          <w:p w:rsidR="009F75FE" w:rsidRPr="009F75FE" w:rsidRDefault="009F75FE" w:rsidP="009F75FE">
            <w:pPr>
              <w:pStyle w:val="ListNumber"/>
              <w:numPr>
                <w:ilvl w:val="0"/>
                <w:numId w:val="32"/>
              </w:numPr>
              <w:spacing w:after="120"/>
              <w:contextualSpacing/>
              <w:rPr>
                <w:rFonts w:cs="Arial"/>
              </w:rPr>
            </w:pPr>
            <w:r>
              <w:t>By November 2010, QPIF to:</w:t>
            </w:r>
          </w:p>
          <w:p w:rsidR="009F75FE" w:rsidRPr="009F75FE" w:rsidRDefault="009F75FE" w:rsidP="009F75FE">
            <w:pPr>
              <w:pStyle w:val="ListNumber"/>
              <w:numPr>
                <w:ilvl w:val="0"/>
                <w:numId w:val="34"/>
              </w:numPr>
              <w:spacing w:after="120"/>
              <w:ind w:left="720"/>
              <w:contextualSpacing/>
              <w:rPr>
                <w:rFonts w:cs="Arial"/>
              </w:rPr>
            </w:pPr>
            <w:r>
              <w:t>develop and implement species specific reporting of interactions with protected species in the QEF, especially freshwater turtles; and</w:t>
            </w:r>
          </w:p>
          <w:p w:rsidR="009F75FE" w:rsidRPr="009F75FE" w:rsidRDefault="009F75FE" w:rsidP="009F75FE">
            <w:pPr>
              <w:pStyle w:val="ListNumber"/>
              <w:numPr>
                <w:ilvl w:val="0"/>
                <w:numId w:val="34"/>
              </w:numPr>
              <w:spacing w:after="120"/>
              <w:ind w:left="720"/>
              <w:contextualSpacing/>
            </w:pPr>
            <w:proofErr w:type="gramStart"/>
            <w:r>
              <w:t>in</w:t>
            </w:r>
            <w:proofErr w:type="gramEnd"/>
            <w:r>
              <w:t xml:space="preserve"> the event that a significant number of interactions with species protected under the EPBC Act becomes apparent, a clear timetable for the implementation of appropriate management responses to be made within 3 months.</w:t>
            </w:r>
          </w:p>
        </w:tc>
        <w:tc>
          <w:tcPr>
            <w:tcW w:w="5040" w:type="dxa"/>
            <w:tcMar>
              <w:top w:w="57" w:type="dxa"/>
            </w:tcMar>
          </w:tcPr>
          <w:p w:rsidR="005F3CC9" w:rsidRPr="00186642" w:rsidRDefault="005F3CC9" w:rsidP="00976F3F">
            <w:pPr>
              <w:pStyle w:val="bodytext"/>
              <w:spacing w:after="200" w:line="276" w:lineRule="auto"/>
              <w:jc w:val="left"/>
              <w:rPr>
                <w:rFonts w:cs="Arial"/>
                <w:lang w:eastAsia="en-AU"/>
              </w:rPr>
            </w:pPr>
            <w:r w:rsidRPr="00186642">
              <w:rPr>
                <w:rFonts w:cs="Arial"/>
                <w:lang w:eastAsia="en-AU"/>
              </w:rPr>
              <w:t xml:space="preserve">In February 2011, </w:t>
            </w:r>
            <w:r w:rsidR="0057698D" w:rsidRPr="00186642">
              <w:rPr>
                <w:rFonts w:cs="Arial"/>
                <w:lang w:eastAsia="en-AU"/>
              </w:rPr>
              <w:t>the</w:t>
            </w:r>
            <w:r w:rsidRPr="00186642">
              <w:rPr>
                <w:rFonts w:cs="Arial"/>
                <w:lang w:eastAsia="en-AU"/>
              </w:rPr>
              <w:t xml:space="preserve"> Queensland</w:t>
            </w:r>
            <w:r w:rsidR="0057698D" w:rsidRPr="00186642">
              <w:rPr>
                <w:rFonts w:cs="Arial"/>
                <w:lang w:eastAsia="en-AU"/>
              </w:rPr>
              <w:t xml:space="preserve"> DAFF</w:t>
            </w:r>
            <w:r w:rsidRPr="00186642">
              <w:rPr>
                <w:rFonts w:cs="Arial"/>
                <w:lang w:eastAsia="en-AU"/>
              </w:rPr>
              <w:t xml:space="preserve"> finalised a package for commercial fishers in the </w:t>
            </w:r>
            <w:r w:rsidR="0057698D" w:rsidRPr="00186642">
              <w:rPr>
                <w:rFonts w:cs="Arial"/>
                <w:lang w:eastAsia="en-AU"/>
              </w:rPr>
              <w:t>fishery</w:t>
            </w:r>
            <w:r w:rsidRPr="00186642">
              <w:rPr>
                <w:rFonts w:cs="Arial"/>
                <w:lang w:eastAsia="en-AU"/>
              </w:rPr>
              <w:t xml:space="preserve"> containing a new Queensland East Coast Freshwater Turtle Id</w:t>
            </w:r>
            <w:r w:rsidR="00EC546B">
              <w:rPr>
                <w:rFonts w:cs="Arial"/>
                <w:lang w:eastAsia="en-AU"/>
              </w:rPr>
              <w:t>entification Guide (</w:t>
            </w:r>
            <w:r w:rsidRPr="00186642">
              <w:rPr>
                <w:rFonts w:cs="Arial"/>
                <w:lang w:eastAsia="en-AU"/>
              </w:rPr>
              <w:t>the</w:t>
            </w:r>
            <w:r w:rsidR="00EC546B">
              <w:rPr>
                <w:rFonts w:cs="Arial"/>
                <w:lang w:eastAsia="en-AU"/>
              </w:rPr>
              <w:t xml:space="preserve"> guide</w:t>
            </w:r>
            <w:r w:rsidRPr="00186642">
              <w:rPr>
                <w:rFonts w:cs="Arial"/>
                <w:lang w:eastAsia="en-AU"/>
              </w:rPr>
              <w:t>), an updated Species of Conservation Interest (SOCI) Logbook and a red-eared slider turtle warning pamphlet.</w:t>
            </w:r>
          </w:p>
          <w:p w:rsidR="009F75FE" w:rsidRPr="00186642" w:rsidRDefault="005F3CC9" w:rsidP="005F3CC9">
            <w:pPr>
              <w:pStyle w:val="bodytext"/>
              <w:spacing w:after="200" w:line="276" w:lineRule="auto"/>
              <w:jc w:val="left"/>
              <w:rPr>
                <w:rFonts w:cs="Arial"/>
                <w:szCs w:val="22"/>
                <w:lang w:eastAsia="en-AU"/>
              </w:rPr>
            </w:pPr>
            <w:r w:rsidRPr="00186642">
              <w:rPr>
                <w:rFonts w:cs="Arial"/>
                <w:szCs w:val="22"/>
                <w:lang w:eastAsia="en-AU"/>
              </w:rPr>
              <w:t xml:space="preserve">The guide was developed in collaboration with turtle experts from the </w:t>
            </w:r>
            <w:r w:rsidR="0057698D" w:rsidRPr="00186642">
              <w:rPr>
                <w:rFonts w:cs="Arial"/>
                <w:szCs w:val="22"/>
                <w:lang w:eastAsia="en-AU"/>
              </w:rPr>
              <w:t xml:space="preserve">Queensland </w:t>
            </w:r>
            <w:r w:rsidRPr="00186642">
              <w:rPr>
                <w:rFonts w:cs="Arial"/>
                <w:szCs w:val="22"/>
                <w:lang w:eastAsia="en-AU"/>
              </w:rPr>
              <w:t xml:space="preserve">Department of Environment and Resource Management. The guide </w:t>
            </w:r>
            <w:r w:rsidR="0057698D" w:rsidRPr="00186642">
              <w:rPr>
                <w:rFonts w:cs="Arial"/>
                <w:szCs w:val="22"/>
                <w:lang w:eastAsia="en-AU"/>
              </w:rPr>
              <w:t>was</w:t>
            </w:r>
            <w:r w:rsidRPr="00186642">
              <w:rPr>
                <w:rFonts w:cs="Arial"/>
                <w:szCs w:val="22"/>
                <w:lang w:eastAsia="en-AU"/>
              </w:rPr>
              <w:t xml:space="preserve"> developed for use by commercial fishers operating in the </w:t>
            </w:r>
            <w:r w:rsidR="00EC546B">
              <w:rPr>
                <w:rFonts w:cs="Arial"/>
                <w:szCs w:val="22"/>
                <w:lang w:eastAsia="en-AU"/>
              </w:rPr>
              <w:t>Queensland Eel Fishery</w:t>
            </w:r>
            <w:r w:rsidRPr="00186642">
              <w:rPr>
                <w:rFonts w:cs="Arial"/>
                <w:szCs w:val="22"/>
                <w:lang w:eastAsia="en-AU"/>
              </w:rPr>
              <w:t xml:space="preserve"> and only contains those freshwater turtle species that inhabit the area covered by the </w:t>
            </w:r>
            <w:r w:rsidR="00EC546B">
              <w:rPr>
                <w:rFonts w:cs="Arial"/>
                <w:szCs w:val="22"/>
                <w:lang w:eastAsia="en-AU"/>
              </w:rPr>
              <w:t>fishery</w:t>
            </w:r>
            <w:r w:rsidRPr="00186642">
              <w:rPr>
                <w:rFonts w:cs="Arial"/>
                <w:szCs w:val="22"/>
                <w:lang w:eastAsia="en-AU"/>
              </w:rPr>
              <w:t>. The guide contains a shell anatomy tool that details the terminology used to describe components of the plastron and carapace of a freshwater turtle; a dichotomous key by catchment that includes diagrams and explanations (with terms from the shell anatomy key) and a photo identification key showing examples of freshwater turtles at genus and species levels.</w:t>
            </w:r>
          </w:p>
          <w:p w:rsidR="005F3CC9" w:rsidRPr="00186642" w:rsidRDefault="005F3CC9" w:rsidP="00186642">
            <w:pPr>
              <w:pStyle w:val="bodytext"/>
              <w:spacing w:after="200" w:line="276" w:lineRule="auto"/>
              <w:jc w:val="left"/>
              <w:rPr>
                <w:rFonts w:cs="Arial"/>
                <w:szCs w:val="22"/>
                <w:lang w:eastAsia="en-AU"/>
              </w:rPr>
            </w:pPr>
            <w:r w:rsidRPr="00186642">
              <w:rPr>
                <w:rFonts w:cs="Arial"/>
                <w:szCs w:val="22"/>
                <w:lang w:eastAsia="en-AU"/>
              </w:rPr>
              <w:t>The combined use of the guide and updated SOCI logbook has enabled fishers to report by species</w:t>
            </w:r>
            <w:r w:rsidR="00EC546B">
              <w:rPr>
                <w:rFonts w:cs="Arial"/>
                <w:szCs w:val="22"/>
                <w:lang w:eastAsia="en-AU"/>
              </w:rPr>
              <w:t>,</w:t>
            </w:r>
            <w:r w:rsidRPr="00186642">
              <w:rPr>
                <w:rFonts w:cs="Arial"/>
                <w:szCs w:val="22"/>
                <w:lang w:eastAsia="en-AU"/>
              </w:rPr>
              <w:t xml:space="preserve"> with more than 98% of turtles captured in 2012 being identified to species level. The </w:t>
            </w:r>
            <w:r w:rsidR="0057698D" w:rsidRPr="00186642">
              <w:rPr>
                <w:rFonts w:cs="Arial"/>
                <w:szCs w:val="22"/>
                <w:lang w:eastAsia="en-AU"/>
              </w:rPr>
              <w:t xml:space="preserve">Queensland DAFF considers that </w:t>
            </w:r>
            <w:r w:rsidRPr="00186642">
              <w:rPr>
                <w:rFonts w:cs="Arial"/>
                <w:szCs w:val="22"/>
                <w:lang w:eastAsia="en-AU"/>
              </w:rPr>
              <w:t>current level of turtle interactions and the high proporti</w:t>
            </w:r>
            <w:r w:rsidR="00186642" w:rsidRPr="00186642">
              <w:rPr>
                <w:rFonts w:cs="Arial"/>
                <w:szCs w:val="22"/>
                <w:lang w:eastAsia="en-AU"/>
              </w:rPr>
              <w:t>on of turtles released alive has not yet required</w:t>
            </w:r>
            <w:r w:rsidRPr="00186642">
              <w:rPr>
                <w:rFonts w:cs="Arial"/>
                <w:szCs w:val="22"/>
                <w:lang w:eastAsia="en-AU"/>
              </w:rPr>
              <w:t xml:space="preserve"> a management response.</w:t>
            </w:r>
          </w:p>
        </w:tc>
        <w:tc>
          <w:tcPr>
            <w:tcW w:w="5760" w:type="dxa"/>
            <w:tcMar>
              <w:top w:w="57" w:type="dxa"/>
            </w:tcMar>
          </w:tcPr>
          <w:p w:rsidR="0057698D" w:rsidRPr="00C956CD" w:rsidRDefault="0057698D" w:rsidP="0057698D">
            <w:pPr>
              <w:rPr>
                <w:rFonts w:cs="Arial"/>
                <w:highlight w:val="cyan"/>
              </w:rPr>
            </w:pPr>
            <w:r w:rsidRPr="00C956CD">
              <w:rPr>
                <w:rFonts w:cs="Arial"/>
              </w:rPr>
              <w:t>The Department</w:t>
            </w:r>
            <w:r>
              <w:rPr>
                <w:rFonts w:cs="Arial"/>
              </w:rPr>
              <w:t xml:space="preserve"> </w:t>
            </w:r>
            <w:r w:rsidRPr="00C956CD">
              <w:rPr>
                <w:rFonts w:cs="Arial"/>
              </w:rPr>
              <w:t>considers that this recommendation has been met.</w:t>
            </w:r>
          </w:p>
          <w:p w:rsidR="009F75FE" w:rsidRPr="00C956CD" w:rsidRDefault="009F75FE" w:rsidP="0057698D">
            <w:pPr>
              <w:rPr>
                <w:rFonts w:cs="Arial"/>
                <w:highlight w:val="cyan"/>
              </w:rPr>
            </w:pPr>
          </w:p>
        </w:tc>
      </w:tr>
    </w:tbl>
    <w:p w:rsidR="00B6012C" w:rsidRPr="007430E0" w:rsidRDefault="00B6012C" w:rsidP="007430E0">
      <w:pPr>
        <w:pStyle w:val="Heading6"/>
        <w:rPr>
          <w:rStyle w:val="Emphasis"/>
          <w:rFonts w:ascii="Arial" w:hAnsi="Arial" w:cs="Arial"/>
          <w:i w:val="0"/>
          <w:iCs w:val="0"/>
        </w:rPr>
      </w:pPr>
      <w:bookmarkStart w:id="2" w:name="_Toc316301050"/>
      <w:r w:rsidRPr="007430E0">
        <w:rPr>
          <w:rStyle w:val="Emphasis"/>
          <w:rFonts w:ascii="Arial" w:hAnsi="Arial" w:cs="Arial"/>
          <w:i w:val="0"/>
          <w:iCs w:val="0"/>
        </w:rPr>
        <w:t xml:space="preserve">Table 3: The Department of the Environment’s assessment of the </w:t>
      </w:r>
      <w:r w:rsidR="000D12C6">
        <w:rPr>
          <w:rStyle w:val="Emphasis"/>
          <w:rFonts w:ascii="Arial" w:hAnsi="Arial" w:cs="Arial"/>
          <w:i w:val="0"/>
          <w:iCs w:val="0"/>
        </w:rPr>
        <w:t>Queensland Eel Fishery</w:t>
      </w:r>
      <w:r w:rsidRPr="007430E0">
        <w:rPr>
          <w:rStyle w:val="Emphasis"/>
          <w:rFonts w:ascii="Arial" w:hAnsi="Arial" w:cs="Arial"/>
          <w:i w:val="0"/>
          <w:iCs w:val="0"/>
        </w:rPr>
        <w:t xml:space="preserve"> against the requirements of the EPBC Act related to decisions made under Part 13A.</w:t>
      </w:r>
      <w:bookmarkEnd w:id="2"/>
    </w:p>
    <w:p w:rsidR="00A77DAC" w:rsidRDefault="00A77DAC" w:rsidP="00A77DAC">
      <w:pPr>
        <w:rPr>
          <w:rFonts w:cs="Arial"/>
          <w:b/>
        </w:rPr>
      </w:pPr>
    </w:p>
    <w:p w:rsidR="00A77DAC" w:rsidRPr="00A77DAC" w:rsidRDefault="00A77DAC" w:rsidP="001955CD">
      <w:pPr>
        <w:rPr>
          <w:rFonts w:cs="Arial"/>
        </w:rPr>
      </w:pPr>
      <w:r w:rsidRPr="00F6308F">
        <w:rPr>
          <w:rFonts w:cs="Arial"/>
          <w:b/>
        </w:rPr>
        <w:t xml:space="preserve">Please Note </w:t>
      </w:r>
      <w:r w:rsidRPr="00F6308F">
        <w:rPr>
          <w:rFonts w:cs="Arial"/>
        </w:rPr>
        <w:t>– the table below is not a complete or exact representation of the EPBC</w:t>
      </w:r>
      <w:r>
        <w:rPr>
          <w:rFonts w:cs="Arial"/>
        </w:rPr>
        <w:t> </w:t>
      </w:r>
      <w:r w:rsidRPr="00F6308F">
        <w:rPr>
          <w:rFonts w:cs="Arial"/>
        </w:rPr>
        <w:t xml:space="preserve">Act. It is intended as a summary of relevant sections and components of the EPBC Act to provide advice on the fishery in relation to decisions under </w:t>
      </w:r>
      <w:r w:rsidRPr="0075739B">
        <w:rPr>
          <w:rFonts w:cs="Arial"/>
        </w:rPr>
        <w:t>Part 13A</w:t>
      </w:r>
      <w:r w:rsidRPr="00F6308F">
        <w:rPr>
          <w:rFonts w:cs="Arial"/>
        </w:rPr>
        <w:t>.</w:t>
      </w:r>
      <w:r>
        <w:rPr>
          <w:rFonts w:cs="Arial"/>
        </w:rPr>
        <w:t xml:space="preserve"> A complete version of the EPBC </w:t>
      </w:r>
      <w:r w:rsidRPr="00F6308F">
        <w:rPr>
          <w:rFonts w:cs="Arial"/>
        </w:rPr>
        <w:t>Act can be found</w:t>
      </w:r>
      <w:r w:rsidRPr="00B70BCE">
        <w:rPr>
          <w:rFonts w:cs="Arial"/>
        </w:rPr>
        <w:t xml:space="preserve"> at http://www.comlaw.gov.au/</w:t>
      </w:r>
      <w:r w:rsidRPr="00F6308F">
        <w:rPr>
          <w:rFonts w:cs="Arial"/>
        </w:rPr>
        <w:t>.</w:t>
      </w:r>
    </w:p>
    <w:p w:rsidR="00B6012C" w:rsidRPr="00F6308F" w:rsidRDefault="00B6012C" w:rsidP="001955CD">
      <w:pPr>
        <w:rPr>
          <w:rFonts w:cs="Arial"/>
          <w:b/>
        </w:rPr>
      </w:pPr>
      <w:r w:rsidRPr="00F6308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B6012C" w:rsidRPr="00F6308F" w:rsidTr="001955CD">
        <w:tc>
          <w:tcPr>
            <w:tcW w:w="14332"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1955CD">
        <w:tc>
          <w:tcPr>
            <w:tcW w:w="14332" w:type="dxa"/>
          </w:tcPr>
          <w:p w:rsidR="00B6012C" w:rsidRPr="00F6308F" w:rsidRDefault="00B6012C" w:rsidP="00B6012C">
            <w:pPr>
              <w:numPr>
                <w:ilvl w:val="0"/>
                <w:numId w:val="29"/>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Australia complies with its obligations under CITES</w:t>
            </w:r>
            <w:r w:rsidRPr="00F6308F">
              <w:rPr>
                <w:rStyle w:val="FootnoteReference"/>
                <w:rFonts w:cs="Arial"/>
                <w:noProof/>
              </w:rPr>
              <w:footnoteReference w:id="2"/>
            </w:r>
            <w:r w:rsidRPr="00F6308F">
              <w:rPr>
                <w:rFonts w:cs="Arial"/>
                <w:noProof/>
              </w:rPr>
              <w:t xml:space="preserve"> and the Biodiversity Convention;</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protect wildlife that may be adversely affected by trade;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conservation of biodiversity in Australia and other countries;</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that any commercial utilisation of Australian native wildlife for the purposes of export is managed in an ecologically sustainable way;</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promote the humane treatment of wildlife;</w:t>
            </w:r>
          </w:p>
          <w:p w:rsidR="00B6012C" w:rsidRPr="00F6308F" w:rsidRDefault="00B6012C" w:rsidP="00B6012C">
            <w:pPr>
              <w:numPr>
                <w:ilvl w:val="0"/>
                <w:numId w:val="30"/>
              </w:numPr>
              <w:tabs>
                <w:tab w:val="left" w:pos="360"/>
              </w:tabs>
              <w:spacing w:line="240" w:lineRule="auto"/>
              <w:ind w:left="1077"/>
              <w:rPr>
                <w:rFonts w:cs="Arial"/>
                <w:noProof/>
              </w:rPr>
            </w:pPr>
            <w:r w:rsidRPr="00F6308F">
              <w:rPr>
                <w:rFonts w:cs="Arial"/>
                <w:noProof/>
              </w:rPr>
              <w:t>to ensure ethical conduct during any research associated with the utilisation of wildlife; and</w:t>
            </w:r>
          </w:p>
          <w:p w:rsidR="00B6012C" w:rsidRPr="00F6308F" w:rsidRDefault="00B6012C" w:rsidP="00B6012C">
            <w:pPr>
              <w:numPr>
                <w:ilvl w:val="0"/>
                <w:numId w:val="31"/>
              </w:numPr>
              <w:tabs>
                <w:tab w:val="left" w:pos="360"/>
              </w:tabs>
              <w:spacing w:line="240" w:lineRule="auto"/>
              <w:ind w:left="1077"/>
              <w:rPr>
                <w:rFonts w:cs="Arial"/>
                <w:noProof/>
              </w:rPr>
            </w:pPr>
            <w:r w:rsidRPr="00F6308F">
              <w:rPr>
                <w:rFonts w:cs="Arial"/>
                <w:noProof/>
              </w:rPr>
              <w:t>to ensure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A77DAC" w:rsidRPr="001E361F" w:rsidRDefault="00A77DAC" w:rsidP="00A77DAC">
      <w:pPr>
        <w:rPr>
          <w:rFonts w:cs="Arial"/>
          <w:b/>
        </w:rPr>
      </w:pPr>
      <w:r w:rsidRPr="001E361F">
        <w:rPr>
          <w:rFonts w:cs="Arial"/>
          <w:b/>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77DAC" w:rsidRPr="00F6308F" w:rsidTr="00A77DAC">
        <w:tc>
          <w:tcPr>
            <w:tcW w:w="7087" w:type="dxa"/>
          </w:tcPr>
          <w:p w:rsidR="00A77DAC" w:rsidRPr="00F6308F" w:rsidRDefault="00A77DAC" w:rsidP="00A77DAC">
            <w:pPr>
              <w:rPr>
                <w:rFonts w:cs="Arial"/>
                <w:b/>
              </w:rPr>
            </w:pPr>
            <w:r w:rsidRPr="00F6308F">
              <w:rPr>
                <w:rFonts w:cs="Arial"/>
                <w:b/>
              </w:rPr>
              <w:t>Section 303DC Minister may amend list</w:t>
            </w:r>
          </w:p>
        </w:tc>
        <w:tc>
          <w:tcPr>
            <w:tcW w:w="7087" w:type="dxa"/>
          </w:tcPr>
          <w:p w:rsidR="00A77DAC" w:rsidRPr="00F6308F" w:rsidRDefault="00A77DAC" w:rsidP="00A77DAC">
            <w:pPr>
              <w:rPr>
                <w:rFonts w:cs="Arial"/>
                <w:b/>
              </w:rPr>
            </w:pPr>
            <w:r>
              <w:rPr>
                <w:rFonts w:cs="Arial"/>
                <w:b/>
              </w:rPr>
              <w:t>The D</w:t>
            </w:r>
            <w:r w:rsidRPr="00F6308F">
              <w:rPr>
                <w:rFonts w:cs="Arial"/>
                <w:b/>
              </w:rPr>
              <w:t xml:space="preserve">epartment’s assessment of the </w:t>
            </w:r>
            <w:r>
              <w:rPr>
                <w:rFonts w:cs="Arial"/>
                <w:b/>
                <w:iCs/>
              </w:rPr>
              <w:t>Queensland</w:t>
            </w:r>
            <w:r w:rsidRPr="00EC5EF2">
              <w:rPr>
                <w:rFonts w:cs="Arial"/>
                <w:b/>
                <w:iCs/>
              </w:rPr>
              <w:t xml:space="preserve"> Eel Fishery</w:t>
            </w:r>
          </w:p>
        </w:tc>
      </w:tr>
      <w:tr w:rsidR="00A77DAC" w:rsidRPr="00F6308F" w:rsidTr="00A77DAC">
        <w:tc>
          <w:tcPr>
            <w:tcW w:w="7087" w:type="dxa"/>
            <w:tcMar>
              <w:top w:w="57" w:type="dxa"/>
              <w:bottom w:w="57" w:type="dxa"/>
            </w:tcMar>
          </w:tcPr>
          <w:p w:rsidR="00A77DAC" w:rsidRPr="002A476F" w:rsidRDefault="00A77DAC" w:rsidP="002A49AF">
            <w:pPr>
              <w:spacing w:line="240" w:lineRule="auto"/>
              <w:ind w:left="360" w:hanging="360"/>
              <w:rPr>
                <w:rFonts w:cs="Arial"/>
              </w:rPr>
            </w:pPr>
            <w:r w:rsidRPr="002A476F">
              <w:rPr>
                <w:rFonts w:cs="Arial"/>
              </w:rPr>
              <w:t>(1)</w:t>
            </w:r>
            <w:r w:rsidRPr="002A476F">
              <w:rPr>
                <w:rFonts w:cs="Arial"/>
              </w:rPr>
              <w:tab/>
              <w:t>Minister may, by instrument published in the Gazette, amend the list referred to in section 303DB (list of exempt native specimens) by:</w:t>
            </w:r>
          </w:p>
          <w:p w:rsidR="00A77DAC" w:rsidRPr="002A476F" w:rsidRDefault="00A77DAC" w:rsidP="002A49AF">
            <w:pPr>
              <w:numPr>
                <w:ilvl w:val="0"/>
                <w:numId w:val="16"/>
              </w:numPr>
              <w:tabs>
                <w:tab w:val="clear" w:pos="1080"/>
                <w:tab w:val="num" w:pos="900"/>
              </w:tabs>
              <w:spacing w:after="0" w:line="240" w:lineRule="auto"/>
              <w:ind w:left="900" w:hanging="540"/>
              <w:rPr>
                <w:rFonts w:cs="Arial"/>
              </w:rPr>
            </w:pPr>
            <w:r w:rsidRPr="002A476F">
              <w:rPr>
                <w:rFonts w:cs="Arial"/>
              </w:rPr>
              <w:t xml:space="preserve">including items in the list; </w:t>
            </w:r>
          </w:p>
          <w:p w:rsidR="00A77DAC" w:rsidRPr="002A476F" w:rsidRDefault="00A77DAC" w:rsidP="002A49AF">
            <w:pPr>
              <w:numPr>
                <w:ilvl w:val="0"/>
                <w:numId w:val="16"/>
              </w:numPr>
              <w:tabs>
                <w:tab w:val="clear" w:pos="1080"/>
                <w:tab w:val="num" w:pos="900"/>
              </w:tabs>
              <w:spacing w:after="0" w:line="240" w:lineRule="auto"/>
              <w:ind w:left="900" w:hanging="540"/>
              <w:rPr>
                <w:rFonts w:cs="Arial"/>
              </w:rPr>
            </w:pPr>
            <w:r w:rsidRPr="002A476F">
              <w:rPr>
                <w:rFonts w:cs="Arial"/>
              </w:rPr>
              <w:t>deleting items from the list; or</w:t>
            </w:r>
          </w:p>
          <w:p w:rsidR="00A77DAC" w:rsidRPr="002A476F" w:rsidRDefault="00A77DAC" w:rsidP="002A49AF">
            <w:pPr>
              <w:numPr>
                <w:ilvl w:val="0"/>
                <w:numId w:val="16"/>
              </w:numPr>
              <w:tabs>
                <w:tab w:val="clear" w:pos="1080"/>
                <w:tab w:val="num" w:pos="900"/>
              </w:tabs>
              <w:spacing w:after="0" w:line="240" w:lineRule="auto"/>
              <w:ind w:left="900" w:hanging="540"/>
              <w:rPr>
                <w:rFonts w:cs="Arial"/>
              </w:rPr>
            </w:pPr>
            <w:r w:rsidRPr="002A476F">
              <w:rPr>
                <w:rFonts w:cs="Arial"/>
              </w:rPr>
              <w:t>imposing a condition or restriction to which the inclusion of a specimen in the list is subject; or</w:t>
            </w:r>
          </w:p>
          <w:p w:rsidR="00A77DAC" w:rsidRPr="002A476F" w:rsidRDefault="00A77DAC" w:rsidP="002A49AF">
            <w:pPr>
              <w:numPr>
                <w:ilvl w:val="0"/>
                <w:numId w:val="16"/>
              </w:numPr>
              <w:tabs>
                <w:tab w:val="clear" w:pos="1080"/>
                <w:tab w:val="num" w:pos="900"/>
              </w:tabs>
              <w:spacing w:after="0" w:line="240" w:lineRule="auto"/>
              <w:ind w:left="900" w:hanging="540"/>
              <w:rPr>
                <w:rFonts w:cs="Arial"/>
              </w:rPr>
            </w:pPr>
            <w:r w:rsidRPr="002A476F">
              <w:rPr>
                <w:rFonts w:cs="Arial"/>
              </w:rPr>
              <w:t>varying o</w:t>
            </w:r>
            <w:r>
              <w:rPr>
                <w:rFonts w:cs="Arial"/>
              </w:rPr>
              <w:t>r</w:t>
            </w:r>
            <w:r w:rsidRPr="002A476F">
              <w:rPr>
                <w:rFonts w:cs="Arial"/>
              </w:rPr>
              <w:t xml:space="preserve"> revoking a condition or restriction to which the inclusion of a specimen in the list is subject; or</w:t>
            </w:r>
          </w:p>
          <w:p w:rsidR="00A77DAC" w:rsidRPr="002A476F" w:rsidRDefault="00A77DAC" w:rsidP="002A49AF">
            <w:pPr>
              <w:numPr>
                <w:ilvl w:val="0"/>
                <w:numId w:val="16"/>
              </w:numPr>
              <w:tabs>
                <w:tab w:val="clear" w:pos="1080"/>
                <w:tab w:val="num" w:pos="900"/>
              </w:tabs>
              <w:spacing w:after="0" w:line="240" w:lineRule="auto"/>
              <w:ind w:left="900" w:hanging="540"/>
              <w:rPr>
                <w:rFonts w:cs="Arial"/>
              </w:rPr>
            </w:pPr>
            <w:proofErr w:type="gramStart"/>
            <w:r w:rsidRPr="002A476F">
              <w:rPr>
                <w:rFonts w:cs="Arial"/>
              </w:rPr>
              <w:t>correcting</w:t>
            </w:r>
            <w:proofErr w:type="gramEnd"/>
            <w:r w:rsidRPr="002A476F">
              <w:rPr>
                <w:rFonts w:cs="Arial"/>
              </w:rPr>
              <w:t xml:space="preserve"> an inaccuracy or updating the name of a species.</w:t>
            </w:r>
          </w:p>
        </w:tc>
        <w:tc>
          <w:tcPr>
            <w:tcW w:w="7087" w:type="dxa"/>
            <w:tcMar>
              <w:top w:w="57" w:type="dxa"/>
              <w:bottom w:w="57" w:type="dxa"/>
            </w:tcMar>
          </w:tcPr>
          <w:p w:rsidR="00A77DAC" w:rsidRPr="002A476F" w:rsidRDefault="00A77DAC" w:rsidP="00A77DAC">
            <w:pPr>
              <w:pStyle w:val="NormalWeb"/>
              <w:spacing w:before="0" w:beforeAutospacing="0" w:after="0" w:afterAutospacing="0" w:line="276" w:lineRule="auto"/>
              <w:rPr>
                <w:rFonts w:ascii="Arial" w:hAnsi="Arial" w:cs="Arial"/>
                <w:sz w:val="22"/>
                <w:szCs w:val="22"/>
              </w:rPr>
            </w:pPr>
            <w:r>
              <w:rPr>
                <w:rFonts w:ascii="Arial" w:hAnsi="Arial" w:cs="Arial"/>
                <w:sz w:val="22"/>
                <w:szCs w:val="22"/>
              </w:rPr>
              <w:t>The D</w:t>
            </w:r>
            <w:r w:rsidRPr="002A476F">
              <w:rPr>
                <w:rFonts w:ascii="Arial" w:hAnsi="Arial" w:cs="Arial"/>
                <w:sz w:val="22"/>
                <w:szCs w:val="22"/>
              </w:rPr>
              <w:t xml:space="preserve">epartment recommends that product derived from the </w:t>
            </w:r>
            <w:r>
              <w:rPr>
                <w:rFonts w:ascii="Arial" w:hAnsi="Arial" w:cs="Arial"/>
                <w:iCs/>
                <w:sz w:val="22"/>
                <w:szCs w:val="22"/>
                <w:lang w:val="en-AU"/>
              </w:rPr>
              <w:t xml:space="preserve">Queensland Eel Fishery </w:t>
            </w:r>
            <w:r w:rsidRPr="002A476F">
              <w:rPr>
                <w:rFonts w:ascii="Arial" w:hAnsi="Arial" w:cs="Arial"/>
                <w:sz w:val="22"/>
                <w:szCs w:val="22"/>
              </w:rPr>
              <w:t>be included in the list of</w:t>
            </w:r>
            <w:r>
              <w:rPr>
                <w:rFonts w:ascii="Arial" w:hAnsi="Arial" w:cs="Arial"/>
                <w:sz w:val="22"/>
                <w:szCs w:val="22"/>
              </w:rPr>
              <w:t xml:space="preserve"> exempt native specimens until </w:t>
            </w:r>
            <w:r w:rsidRPr="00114D90">
              <w:rPr>
                <w:rFonts w:ascii="Arial" w:hAnsi="Arial" w:cs="Arial"/>
                <w:sz w:val="22"/>
                <w:szCs w:val="22"/>
              </w:rPr>
              <w:t>17 April 2019.</w:t>
            </w:r>
            <w:r w:rsidRPr="002A476F">
              <w:rPr>
                <w:rFonts w:ascii="Arial" w:hAnsi="Arial" w:cs="Arial"/>
                <w:sz w:val="22"/>
                <w:szCs w:val="22"/>
              </w:rPr>
              <w:t xml:space="preserve"> </w:t>
            </w:r>
          </w:p>
          <w:p w:rsidR="00A77DAC" w:rsidRPr="002A476F" w:rsidRDefault="00A77DAC" w:rsidP="00A77DAC">
            <w:pPr>
              <w:pStyle w:val="NormalWeb"/>
              <w:spacing w:before="0" w:beforeAutospacing="0" w:after="0" w:afterAutospacing="0" w:line="276" w:lineRule="auto"/>
              <w:rPr>
                <w:rFonts w:ascii="Arial" w:eastAsia="Times New Roman" w:hAnsi="Arial" w:cs="Arial"/>
                <w:sz w:val="22"/>
                <w:szCs w:val="22"/>
                <w:lang w:val="en-AU" w:eastAsia="en-AU"/>
              </w:rPr>
            </w:pPr>
          </w:p>
          <w:p w:rsidR="00A77DAC" w:rsidRPr="002A476F" w:rsidRDefault="00A77DAC" w:rsidP="00A77DAC">
            <w:pPr>
              <w:pStyle w:val="NormalWeb"/>
              <w:spacing w:before="0" w:beforeAutospacing="0" w:after="120" w:afterAutospacing="0" w:line="276" w:lineRule="auto"/>
              <w:rPr>
                <w:rFonts w:ascii="Arial" w:eastAsia="Times New Roman" w:hAnsi="Arial" w:cs="Arial"/>
                <w:sz w:val="22"/>
                <w:szCs w:val="22"/>
                <w:lang w:val="en-AU" w:eastAsia="en-AU"/>
              </w:rPr>
            </w:pPr>
          </w:p>
        </w:tc>
      </w:tr>
      <w:tr w:rsidR="00A77DAC" w:rsidRPr="00F6308F" w:rsidTr="00A77DAC">
        <w:tc>
          <w:tcPr>
            <w:tcW w:w="7087" w:type="dxa"/>
          </w:tcPr>
          <w:p w:rsidR="00A77DAC" w:rsidRPr="00142B24" w:rsidRDefault="00A77DAC" w:rsidP="00A77DAC">
            <w:pPr>
              <w:ind w:left="720" w:hanging="720"/>
              <w:rPr>
                <w:rFonts w:cs="Arial"/>
              </w:rPr>
            </w:pPr>
            <w:r w:rsidRPr="002A476F">
              <w:rPr>
                <w:rFonts w:cs="Arial"/>
              </w:rPr>
              <w:t>(1A)</w:t>
            </w:r>
            <w:r w:rsidRPr="002A476F">
              <w:rPr>
                <w:rFonts w:cs="Arial"/>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tc>
        <w:tc>
          <w:tcPr>
            <w:tcW w:w="7087" w:type="dxa"/>
          </w:tcPr>
          <w:p w:rsidR="00A77DAC" w:rsidRPr="001B71B8" w:rsidRDefault="00A77DAC" w:rsidP="00A77DAC">
            <w:pPr>
              <w:rPr>
                <w:rFonts w:cs="Arial"/>
              </w:rPr>
            </w:pPr>
            <w:r w:rsidRPr="002A476F">
              <w:rPr>
                <w:rFonts w:cs="Arial"/>
              </w:rPr>
              <w:t xml:space="preserve">No assessment of the </w:t>
            </w:r>
            <w:r>
              <w:rPr>
                <w:rFonts w:cs="Arial"/>
                <w:iCs/>
              </w:rPr>
              <w:t xml:space="preserve">Queensland </w:t>
            </w:r>
            <w:r w:rsidRPr="001B71B8">
              <w:rPr>
                <w:rFonts w:cs="Arial"/>
                <w:iCs/>
              </w:rPr>
              <w:t>Eel Fishery</w:t>
            </w:r>
            <w:r w:rsidRPr="002A476F">
              <w:rPr>
                <w:rFonts w:cs="Arial"/>
              </w:rPr>
              <w:t xml:space="preserve"> has been carried out under Part 10 of the EPBC Act.</w:t>
            </w:r>
          </w:p>
        </w:tc>
      </w:tr>
      <w:tr w:rsidR="00A77DAC" w:rsidRPr="00F6308F" w:rsidTr="00A77DAC">
        <w:tc>
          <w:tcPr>
            <w:tcW w:w="7087" w:type="dxa"/>
          </w:tcPr>
          <w:p w:rsidR="00A77DAC" w:rsidRPr="002A476F" w:rsidRDefault="00A77DAC" w:rsidP="00A77DAC">
            <w:pPr>
              <w:ind w:left="720" w:hanging="720"/>
              <w:rPr>
                <w:rFonts w:cs="Arial"/>
              </w:rPr>
            </w:pPr>
            <w:r w:rsidRPr="002A476F">
              <w:rPr>
                <w:rFonts w:cs="Arial"/>
              </w:rPr>
              <w:t>(1C)</w:t>
            </w:r>
            <w:r w:rsidRPr="002A476F">
              <w:rPr>
                <w:rFonts w:cs="Arial"/>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A77DAC" w:rsidRPr="002A476F" w:rsidRDefault="00A77DAC" w:rsidP="00A77DAC">
            <w:pPr>
              <w:rPr>
                <w:rFonts w:cs="Arial"/>
                <w:b/>
                <w:iCs/>
              </w:rPr>
            </w:pPr>
            <w:r w:rsidRPr="002A476F">
              <w:rPr>
                <w:rFonts w:cs="Arial"/>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A77DAC" w:rsidRPr="002A476F" w:rsidRDefault="00A77DAC" w:rsidP="00A77DAC">
            <w:pPr>
              <w:rPr>
                <w:rFonts w:cs="Arial"/>
                <w:iCs/>
              </w:rPr>
            </w:pPr>
            <w:r>
              <w:rPr>
                <w:rFonts w:cs="Arial"/>
                <w:iCs/>
              </w:rPr>
              <w:t>The D</w:t>
            </w:r>
            <w:r w:rsidRPr="002A476F">
              <w:rPr>
                <w:rFonts w:cs="Arial"/>
                <w:iCs/>
              </w:rPr>
              <w:t xml:space="preserve">epartment considers that the amendment of the list of exempt native specimens to include product taken in the </w:t>
            </w:r>
            <w:r>
              <w:rPr>
                <w:rFonts w:cs="Arial"/>
                <w:iCs/>
              </w:rPr>
              <w:t>Queensland</w:t>
            </w:r>
            <w:r w:rsidRPr="001B71B8">
              <w:rPr>
                <w:rFonts w:cs="Arial"/>
                <w:iCs/>
              </w:rPr>
              <w:t xml:space="preserve"> Eel Fishery</w:t>
            </w:r>
            <w:r w:rsidRPr="002A476F">
              <w:rPr>
                <w:rFonts w:cs="Arial"/>
              </w:rPr>
              <w:t xml:space="preserve"> until </w:t>
            </w:r>
            <w:r w:rsidRPr="00114D90">
              <w:rPr>
                <w:rFonts w:cs="Arial"/>
              </w:rPr>
              <w:t>17 April 2019</w:t>
            </w:r>
            <w:r w:rsidRPr="002A476F">
              <w:rPr>
                <w:rFonts w:cs="Arial"/>
              </w:rPr>
              <w:t xml:space="preserve"> </w:t>
            </w:r>
            <w:r w:rsidRPr="002A476F">
              <w:rPr>
                <w:rFonts w:cs="Arial"/>
                <w:iCs/>
              </w:rPr>
              <w:t>would be consistent with the provisions of Part 13A (listed above) as:</w:t>
            </w:r>
          </w:p>
          <w:p w:rsidR="00A77DAC" w:rsidRPr="002A476F" w:rsidRDefault="00A77DAC" w:rsidP="00A77DAC">
            <w:pPr>
              <w:numPr>
                <w:ilvl w:val="0"/>
                <w:numId w:val="10"/>
              </w:numPr>
              <w:tabs>
                <w:tab w:val="clear" w:pos="1455"/>
                <w:tab w:val="num" w:pos="293"/>
              </w:tabs>
              <w:spacing w:after="0"/>
              <w:ind w:left="293" w:hanging="293"/>
              <w:rPr>
                <w:rFonts w:cs="Arial"/>
              </w:rPr>
            </w:pPr>
            <w:r w:rsidRPr="002A476F">
              <w:rPr>
                <w:rFonts w:cs="Arial"/>
              </w:rPr>
              <w:t>the fishery will not harvest any Convention on International Trade in Endangered Species of Wild Fauna and Flora (CITES) listed species</w:t>
            </w:r>
          </w:p>
          <w:p w:rsidR="00A77DAC" w:rsidRPr="002A476F" w:rsidRDefault="00A77DAC" w:rsidP="00A77DAC">
            <w:pPr>
              <w:numPr>
                <w:ilvl w:val="0"/>
                <w:numId w:val="10"/>
              </w:numPr>
              <w:tabs>
                <w:tab w:val="clear" w:pos="1455"/>
                <w:tab w:val="num" w:pos="293"/>
              </w:tabs>
              <w:spacing w:after="0"/>
              <w:ind w:left="293" w:hanging="293"/>
              <w:rPr>
                <w:rFonts w:cs="Arial"/>
              </w:rPr>
            </w:pPr>
            <w:r w:rsidRPr="002A476F">
              <w:rPr>
                <w:rFonts w:cs="Arial"/>
              </w:rPr>
              <w:t>there are management arrangements in place to ensure that the resource is being managed in an ecologically sustainable way (see Table 1)</w:t>
            </w:r>
          </w:p>
          <w:p w:rsidR="00A77DAC" w:rsidRPr="002A476F" w:rsidRDefault="00A77DAC" w:rsidP="00A77DAC">
            <w:pPr>
              <w:numPr>
                <w:ilvl w:val="0"/>
                <w:numId w:val="10"/>
              </w:numPr>
              <w:tabs>
                <w:tab w:val="clear" w:pos="1455"/>
                <w:tab w:val="num" w:pos="293"/>
              </w:tabs>
              <w:spacing w:after="0"/>
              <w:ind w:left="293" w:hanging="293"/>
              <w:rPr>
                <w:rFonts w:cs="Arial"/>
              </w:rPr>
            </w:pPr>
            <w:r w:rsidRPr="002A476F">
              <w:rPr>
                <w:rFonts w:cs="Arial"/>
              </w:rPr>
              <w:t xml:space="preserve">the operation of the </w:t>
            </w:r>
            <w:r>
              <w:rPr>
                <w:rFonts w:cs="Arial"/>
                <w:iCs/>
              </w:rPr>
              <w:t xml:space="preserve">Queensland </w:t>
            </w:r>
            <w:r w:rsidRPr="001B71B8">
              <w:rPr>
                <w:rFonts w:cs="Arial"/>
                <w:iCs/>
              </w:rPr>
              <w:t>Eel Fishery</w:t>
            </w:r>
            <w:r w:rsidRPr="002A476F">
              <w:rPr>
                <w:rFonts w:cs="Arial"/>
              </w:rPr>
              <w:t xml:space="preserve"> is unlikely to be unsustainable and threaten biodiversity within the </w:t>
            </w:r>
            <w:r w:rsidR="002A49AF">
              <w:rPr>
                <w:rFonts w:cs="Arial"/>
              </w:rPr>
              <w:t>next five</w:t>
            </w:r>
            <w:r w:rsidRPr="002A476F">
              <w:rPr>
                <w:rFonts w:cs="Arial"/>
              </w:rPr>
              <w:t xml:space="preserve"> years, and</w:t>
            </w:r>
          </w:p>
          <w:p w:rsidR="00A77DAC" w:rsidRPr="000102C6" w:rsidRDefault="00A77DAC" w:rsidP="00A77DAC">
            <w:pPr>
              <w:numPr>
                <w:ilvl w:val="0"/>
                <w:numId w:val="10"/>
              </w:numPr>
              <w:tabs>
                <w:tab w:val="clear" w:pos="1455"/>
                <w:tab w:val="num" w:pos="293"/>
              </w:tabs>
              <w:spacing w:after="0"/>
              <w:ind w:left="293" w:hanging="293"/>
              <w:rPr>
                <w:rFonts w:cs="Arial"/>
              </w:rPr>
            </w:pPr>
            <w:proofErr w:type="gramStart"/>
            <w:r w:rsidRPr="002A476F">
              <w:rPr>
                <w:rFonts w:cs="Arial"/>
              </w:rPr>
              <w:t>the</w:t>
            </w:r>
            <w:proofErr w:type="gramEnd"/>
            <w:r w:rsidRPr="002A476F">
              <w:rPr>
                <w:rFonts w:cs="Arial"/>
              </w:rPr>
              <w:t xml:space="preserve"> Environment Protection and Biodiversity Conservation Regulations 2000 do not specify fish as a class of animal in relation to the welfare of live specimens.</w:t>
            </w:r>
          </w:p>
        </w:tc>
      </w:tr>
      <w:tr w:rsidR="00A77DAC" w:rsidRPr="00F6308F" w:rsidTr="00A77DAC">
        <w:tc>
          <w:tcPr>
            <w:tcW w:w="7087" w:type="dxa"/>
          </w:tcPr>
          <w:p w:rsidR="00A77DAC" w:rsidRPr="002A476F" w:rsidRDefault="00A77DAC" w:rsidP="00A77DAC">
            <w:pPr>
              <w:ind w:left="360" w:hanging="360"/>
              <w:rPr>
                <w:rFonts w:cs="Arial"/>
              </w:rPr>
            </w:pPr>
            <w:r w:rsidRPr="002A476F">
              <w:rPr>
                <w:rFonts w:cs="Arial"/>
              </w:rPr>
              <w:t>(3)</w:t>
            </w:r>
            <w:r w:rsidRPr="002A476F">
              <w:rPr>
                <w:rFonts w:cs="Arial"/>
              </w:rPr>
              <w:tab/>
              <w:t>Before amending the list referred to in section 303DB (list of exempt native specimens), the Minister:</w:t>
            </w:r>
          </w:p>
          <w:p w:rsidR="00A77DAC" w:rsidRPr="002A476F" w:rsidRDefault="00A77DAC" w:rsidP="00A77DAC">
            <w:pPr>
              <w:numPr>
                <w:ilvl w:val="0"/>
                <w:numId w:val="12"/>
              </w:numPr>
              <w:spacing w:after="0"/>
              <w:rPr>
                <w:rFonts w:cs="Arial"/>
              </w:rPr>
            </w:pPr>
            <w:r w:rsidRPr="002A476F">
              <w:rPr>
                <w:rFonts w:cs="Arial"/>
              </w:rPr>
              <w:t>must consult such other Minister or Ministers as the Minister considers appropriate; and</w:t>
            </w:r>
          </w:p>
          <w:p w:rsidR="00A77DAC" w:rsidRPr="002A476F" w:rsidRDefault="00A77DAC" w:rsidP="00A77DAC">
            <w:pPr>
              <w:numPr>
                <w:ilvl w:val="0"/>
                <w:numId w:val="12"/>
              </w:numPr>
              <w:spacing w:after="0"/>
              <w:rPr>
                <w:rFonts w:cs="Arial"/>
              </w:rPr>
            </w:pPr>
            <w:r w:rsidRPr="002A476F">
              <w:rPr>
                <w:rFonts w:cs="Arial"/>
              </w:rPr>
              <w:t>must consult such other Minister or Ministers of each State and self-governing Territory as the Minster considers appropriate; and</w:t>
            </w:r>
          </w:p>
          <w:p w:rsidR="00A77DAC" w:rsidRPr="002A476F" w:rsidRDefault="00A77DAC" w:rsidP="00A77DAC">
            <w:pPr>
              <w:numPr>
                <w:ilvl w:val="0"/>
                <w:numId w:val="12"/>
              </w:numPr>
              <w:spacing w:after="0"/>
              <w:rPr>
                <w:rFonts w:cs="Arial"/>
              </w:rPr>
            </w:pPr>
            <w:proofErr w:type="gramStart"/>
            <w:r w:rsidRPr="002A476F">
              <w:rPr>
                <w:rFonts w:cs="Arial"/>
              </w:rPr>
              <w:t>may</w:t>
            </w:r>
            <w:proofErr w:type="gramEnd"/>
            <w:r w:rsidRPr="002A476F">
              <w:rPr>
                <w:rFonts w:cs="Arial"/>
              </w:rPr>
              <w:t xml:space="preserve"> consult such other persons and organisations as the Minister considers appropriate. </w:t>
            </w:r>
          </w:p>
        </w:tc>
        <w:tc>
          <w:tcPr>
            <w:tcW w:w="7087" w:type="dxa"/>
          </w:tcPr>
          <w:p w:rsidR="00A77DAC" w:rsidRDefault="00A77DAC" w:rsidP="00A77DAC">
            <w:pPr>
              <w:spacing w:after="60"/>
              <w:rPr>
                <w:rFonts w:cs="Arial"/>
                <w:iCs/>
              </w:rPr>
            </w:pPr>
            <w:r>
              <w:rPr>
                <w:rFonts w:cs="Arial"/>
                <w:iCs/>
              </w:rPr>
              <w:t>The D</w:t>
            </w:r>
            <w:r w:rsidRPr="002A476F">
              <w:rPr>
                <w:rFonts w:cs="Arial"/>
                <w:iCs/>
              </w:rPr>
              <w:t xml:space="preserve">epartment considers that the consultation requirements have been met. </w:t>
            </w:r>
          </w:p>
          <w:p w:rsidR="00A77DAC" w:rsidRPr="002A476F" w:rsidRDefault="00A77DAC" w:rsidP="00A77DAC">
            <w:pPr>
              <w:spacing w:after="60"/>
              <w:rPr>
                <w:rFonts w:cs="Arial"/>
                <w:iCs/>
              </w:rPr>
            </w:pPr>
            <w:r w:rsidRPr="002A476F">
              <w:rPr>
                <w:rFonts w:cs="Arial"/>
                <w:iCs/>
              </w:rPr>
              <w:t>The application from the</w:t>
            </w:r>
            <w:r>
              <w:rPr>
                <w:rFonts w:cs="Arial"/>
                <w:iCs/>
              </w:rPr>
              <w:t xml:space="preserve"> Queensland</w:t>
            </w:r>
            <w:r w:rsidR="00472442">
              <w:rPr>
                <w:rFonts w:cs="Arial"/>
                <w:iCs/>
              </w:rPr>
              <w:t xml:space="preserve"> </w:t>
            </w:r>
            <w:r>
              <w:rPr>
                <w:rFonts w:cs="Arial"/>
                <w:iCs/>
              </w:rPr>
              <w:t xml:space="preserve">Department of Agriculture, Fisheries and Forestry </w:t>
            </w:r>
            <w:r w:rsidR="00416A21">
              <w:rPr>
                <w:rFonts w:cs="Arial"/>
                <w:iCs/>
              </w:rPr>
              <w:t xml:space="preserve">(DAFF) </w:t>
            </w:r>
            <w:r w:rsidRPr="002A476F">
              <w:rPr>
                <w:rFonts w:cs="Arial"/>
                <w:iCs/>
              </w:rPr>
              <w:t>was re</w:t>
            </w:r>
            <w:r w:rsidR="00416A21">
              <w:rPr>
                <w:rFonts w:cs="Arial"/>
                <w:iCs/>
              </w:rPr>
              <w:t xml:space="preserve">leased for public comment from </w:t>
            </w:r>
            <w:r>
              <w:rPr>
                <w:rFonts w:cs="Arial"/>
                <w:iCs/>
              </w:rPr>
              <w:t xml:space="preserve">3 </w:t>
            </w:r>
            <w:r w:rsidR="00416A21">
              <w:rPr>
                <w:rFonts w:cs="Arial"/>
                <w:iCs/>
              </w:rPr>
              <w:t>March</w:t>
            </w:r>
            <w:r>
              <w:rPr>
                <w:rFonts w:cs="Arial"/>
                <w:iCs/>
              </w:rPr>
              <w:t xml:space="preserve"> 2014 to </w:t>
            </w:r>
            <w:r w:rsidR="00416A21">
              <w:rPr>
                <w:rFonts w:cs="Arial"/>
                <w:iCs/>
              </w:rPr>
              <w:t>3 April</w:t>
            </w:r>
            <w:r>
              <w:rPr>
                <w:rFonts w:cs="Arial"/>
                <w:iCs/>
              </w:rPr>
              <w:t xml:space="preserve"> 2014</w:t>
            </w:r>
            <w:r w:rsidRPr="002A476F">
              <w:rPr>
                <w:rFonts w:cs="Arial"/>
                <w:iCs/>
              </w:rPr>
              <w:t>. The public comment period sought comment on:</w:t>
            </w:r>
          </w:p>
          <w:p w:rsidR="00A77DAC" w:rsidRPr="002A476F" w:rsidRDefault="00A77DAC" w:rsidP="00A77DAC">
            <w:pPr>
              <w:numPr>
                <w:ilvl w:val="0"/>
                <w:numId w:val="10"/>
              </w:numPr>
              <w:tabs>
                <w:tab w:val="clear" w:pos="1455"/>
                <w:tab w:val="num" w:pos="293"/>
              </w:tabs>
              <w:spacing w:after="60"/>
              <w:ind w:left="295" w:hanging="295"/>
              <w:rPr>
                <w:rFonts w:cs="Arial"/>
              </w:rPr>
            </w:pPr>
            <w:r w:rsidRPr="002A476F">
              <w:rPr>
                <w:rFonts w:cs="Arial"/>
              </w:rPr>
              <w:t xml:space="preserve">the proposal to amend the list of exempt native specimens to include product derived from the </w:t>
            </w:r>
            <w:r w:rsidR="00416A21">
              <w:rPr>
                <w:rFonts w:cs="Arial"/>
                <w:iCs/>
              </w:rPr>
              <w:t xml:space="preserve">Queensland </w:t>
            </w:r>
            <w:r w:rsidRPr="001B71B8">
              <w:rPr>
                <w:rFonts w:cs="Arial"/>
                <w:iCs/>
              </w:rPr>
              <w:t>Eel Fishery</w:t>
            </w:r>
            <w:r w:rsidRPr="002A476F">
              <w:rPr>
                <w:rFonts w:cs="Arial"/>
              </w:rPr>
              <w:t xml:space="preserve">, and </w:t>
            </w:r>
          </w:p>
          <w:p w:rsidR="00A77DAC" w:rsidRPr="002A476F" w:rsidRDefault="00A77DAC" w:rsidP="00A77DAC">
            <w:pPr>
              <w:numPr>
                <w:ilvl w:val="0"/>
                <w:numId w:val="10"/>
              </w:numPr>
              <w:tabs>
                <w:tab w:val="clear" w:pos="1455"/>
                <w:tab w:val="num" w:pos="293"/>
              </w:tabs>
              <w:spacing w:after="60"/>
              <w:ind w:left="295" w:hanging="295"/>
              <w:rPr>
                <w:rFonts w:cs="Arial"/>
              </w:rPr>
            </w:pPr>
            <w:proofErr w:type="gramStart"/>
            <w:r w:rsidRPr="002A476F">
              <w:rPr>
                <w:rFonts w:cs="Arial"/>
              </w:rPr>
              <w:t>the</w:t>
            </w:r>
            <w:proofErr w:type="gramEnd"/>
            <w:r w:rsidRPr="002A476F">
              <w:rPr>
                <w:rFonts w:cs="Arial"/>
              </w:rPr>
              <w:t xml:space="preserve"> </w:t>
            </w:r>
            <w:r w:rsidR="00416A21">
              <w:rPr>
                <w:rFonts w:cs="Arial"/>
                <w:iCs/>
              </w:rPr>
              <w:t>Queensland DAFF</w:t>
            </w:r>
            <w:r w:rsidRPr="002A476F">
              <w:rPr>
                <w:rFonts w:cs="Arial"/>
                <w:iCs/>
              </w:rPr>
              <w:t xml:space="preserve"> </w:t>
            </w:r>
            <w:r w:rsidRPr="002A476F">
              <w:rPr>
                <w:rFonts w:cs="Arial"/>
              </w:rPr>
              <w:t xml:space="preserve">application for the </w:t>
            </w:r>
            <w:r w:rsidR="00416A21">
              <w:rPr>
                <w:rFonts w:cs="Arial"/>
                <w:iCs/>
              </w:rPr>
              <w:t xml:space="preserve">Queensland </w:t>
            </w:r>
            <w:r w:rsidRPr="001B71B8">
              <w:rPr>
                <w:rFonts w:cs="Arial"/>
                <w:iCs/>
              </w:rPr>
              <w:t>Eel Fishery</w:t>
            </w:r>
            <w:r w:rsidRPr="002A476F">
              <w:rPr>
                <w:rFonts w:cs="Arial"/>
              </w:rPr>
              <w:t>.</w:t>
            </w:r>
          </w:p>
          <w:p w:rsidR="00A77DAC" w:rsidRPr="002A476F" w:rsidRDefault="00A77DAC" w:rsidP="00A77DAC">
            <w:pPr>
              <w:spacing w:after="120"/>
              <w:rPr>
                <w:rFonts w:cs="Arial"/>
                <w:iCs/>
              </w:rPr>
            </w:pPr>
            <w:r w:rsidRPr="00E823F4">
              <w:rPr>
                <w:rFonts w:cs="Arial"/>
                <w:iCs/>
              </w:rPr>
              <w:t xml:space="preserve">No comments were received </w:t>
            </w:r>
          </w:p>
        </w:tc>
      </w:tr>
      <w:tr w:rsidR="00A77DAC" w:rsidRPr="00F6308F" w:rsidTr="00A77DAC">
        <w:tc>
          <w:tcPr>
            <w:tcW w:w="7087" w:type="dxa"/>
          </w:tcPr>
          <w:p w:rsidR="00A77DAC" w:rsidRPr="002A476F" w:rsidRDefault="00A77DAC" w:rsidP="00A77DAC">
            <w:pPr>
              <w:spacing w:before="120" w:after="120"/>
              <w:ind w:left="360" w:hanging="360"/>
              <w:rPr>
                <w:rFonts w:cs="Arial"/>
              </w:rPr>
            </w:pPr>
            <w:r w:rsidRPr="002A476F">
              <w:rPr>
                <w:rFonts w:cs="Arial"/>
              </w:rPr>
              <w:t>(5)</w:t>
            </w:r>
            <w:r w:rsidRPr="002A476F">
              <w:rPr>
                <w:rFonts w:cs="Arial"/>
              </w:rPr>
              <w:tab/>
              <w:t>A copy of an instrument made under section 303DC is to be made available for inspection on the Internet.</w:t>
            </w:r>
          </w:p>
        </w:tc>
        <w:tc>
          <w:tcPr>
            <w:tcW w:w="7087" w:type="dxa"/>
          </w:tcPr>
          <w:p w:rsidR="00A77DAC" w:rsidRPr="002A476F" w:rsidRDefault="00A77DAC" w:rsidP="00A77DAC">
            <w:pPr>
              <w:spacing w:before="120" w:after="120"/>
              <w:rPr>
                <w:rFonts w:cs="Arial"/>
              </w:rPr>
            </w:pPr>
            <w:r w:rsidRPr="002A476F">
              <w:rPr>
                <w:rFonts w:cs="Arial"/>
              </w:rPr>
              <w:t xml:space="preserve">The instrument for the </w:t>
            </w:r>
            <w:r w:rsidR="00416A21">
              <w:rPr>
                <w:rFonts w:cs="Arial"/>
                <w:iCs/>
              </w:rPr>
              <w:t xml:space="preserve">Queensland </w:t>
            </w:r>
            <w:r w:rsidRPr="001B71B8">
              <w:rPr>
                <w:rFonts w:cs="Arial"/>
                <w:iCs/>
              </w:rPr>
              <w:t>Eel Fishery</w:t>
            </w:r>
            <w:r w:rsidRPr="002A476F">
              <w:rPr>
                <w:rFonts w:cs="Arial"/>
              </w:rPr>
              <w:t xml:space="preserve"> made under section 303DC will be gazetted and made available </w:t>
            </w:r>
            <w:r>
              <w:rPr>
                <w:rFonts w:cs="Arial"/>
              </w:rPr>
              <w:t xml:space="preserve">through </w:t>
            </w:r>
            <w:r w:rsidRPr="002A476F">
              <w:rPr>
                <w:rFonts w:cs="Arial"/>
              </w:rPr>
              <w:t xml:space="preserve">the </w:t>
            </w:r>
            <w:r>
              <w:rPr>
                <w:rFonts w:cs="Arial"/>
                <w:iCs/>
              </w:rPr>
              <w:t>D</w:t>
            </w:r>
            <w:r w:rsidRPr="002A476F">
              <w:rPr>
                <w:rFonts w:cs="Arial"/>
                <w:iCs/>
              </w:rPr>
              <w:t xml:space="preserve">epartment’s </w:t>
            </w:r>
            <w:r w:rsidRPr="002A476F">
              <w:rPr>
                <w:rFonts w:cs="Arial"/>
              </w:rPr>
              <w:t>website.</w:t>
            </w:r>
          </w:p>
        </w:tc>
      </w:tr>
    </w:tbl>
    <w:p w:rsidR="00A77DAC" w:rsidRPr="00F6308F" w:rsidRDefault="00A77DAC" w:rsidP="00A77DAC">
      <w:pPr>
        <w:rPr>
          <w:rFonts w:cs="Arial"/>
          <w:b/>
        </w:rPr>
        <w:sectPr w:rsidR="00A77DAC" w:rsidRPr="00F6308F">
          <w:pgSz w:w="16838" w:h="11906" w:orient="landscape"/>
          <w:pgMar w:top="899" w:right="1361" w:bottom="899" w:left="1361" w:header="709" w:footer="528" w:gutter="0"/>
          <w:cols w:space="708"/>
          <w:docGrid w:linePitch="360"/>
        </w:sectPr>
      </w:pPr>
    </w:p>
    <w:p w:rsidR="00A77DAC" w:rsidRPr="00AE11C1" w:rsidRDefault="00A77DAC" w:rsidP="00A77DAC">
      <w:pPr>
        <w:spacing w:after="120"/>
        <w:rPr>
          <w:rFonts w:cs="Arial"/>
          <w:b/>
        </w:rPr>
      </w:pPr>
      <w:r w:rsidRPr="00F6308F">
        <w:rPr>
          <w:rFonts w:cs="Arial"/>
          <w:b/>
        </w:rPr>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A77DAC" w:rsidRPr="00F6308F" w:rsidTr="00A77DAC">
        <w:tc>
          <w:tcPr>
            <w:tcW w:w="7087" w:type="dxa"/>
          </w:tcPr>
          <w:p w:rsidR="00A77DAC" w:rsidRPr="00F6308F" w:rsidRDefault="00A77DAC" w:rsidP="00A77DAC">
            <w:pPr>
              <w:rPr>
                <w:rFonts w:cs="Arial"/>
                <w:b/>
              </w:rPr>
            </w:pPr>
            <w:r w:rsidRPr="00F6308F">
              <w:rPr>
                <w:rFonts w:cs="Arial"/>
                <w:b/>
              </w:rPr>
              <w:t>Section 391 Minister must consider precautionary principle in making decisions</w:t>
            </w:r>
          </w:p>
        </w:tc>
        <w:tc>
          <w:tcPr>
            <w:tcW w:w="7087" w:type="dxa"/>
          </w:tcPr>
          <w:p w:rsidR="00A77DAC" w:rsidRPr="00F6308F" w:rsidRDefault="00A77DAC" w:rsidP="00A77DAC">
            <w:pPr>
              <w:rPr>
                <w:rFonts w:cs="Arial"/>
                <w:b/>
              </w:rPr>
            </w:pPr>
            <w:r>
              <w:rPr>
                <w:rFonts w:cs="Arial"/>
                <w:b/>
              </w:rPr>
              <w:t>The D</w:t>
            </w:r>
            <w:r w:rsidRPr="00F6308F">
              <w:rPr>
                <w:rFonts w:cs="Arial"/>
                <w:b/>
              </w:rPr>
              <w:t xml:space="preserve">epartment’s assessment of the </w:t>
            </w:r>
            <w:r>
              <w:rPr>
                <w:rFonts w:cs="Arial"/>
                <w:b/>
                <w:iCs/>
              </w:rPr>
              <w:t>Queensland</w:t>
            </w:r>
            <w:r w:rsidRPr="00EC5EF2">
              <w:rPr>
                <w:rFonts w:cs="Arial"/>
                <w:b/>
                <w:iCs/>
              </w:rPr>
              <w:t xml:space="preserve"> </w:t>
            </w:r>
            <w:r w:rsidRPr="000102C6">
              <w:rPr>
                <w:rFonts w:cs="Arial"/>
                <w:b/>
                <w:iCs/>
              </w:rPr>
              <w:t>Eel Fishery</w:t>
            </w:r>
          </w:p>
        </w:tc>
      </w:tr>
      <w:tr w:rsidR="00A77DAC" w:rsidRPr="002A476F" w:rsidTr="00A77DAC">
        <w:tc>
          <w:tcPr>
            <w:tcW w:w="7087" w:type="dxa"/>
            <w:tcMar>
              <w:top w:w="57" w:type="dxa"/>
              <w:bottom w:w="57" w:type="dxa"/>
            </w:tcMar>
          </w:tcPr>
          <w:p w:rsidR="00A77DAC" w:rsidRPr="002A476F" w:rsidRDefault="00A77DAC" w:rsidP="00A77DAC">
            <w:pPr>
              <w:ind w:left="360" w:hanging="360"/>
              <w:rPr>
                <w:rFonts w:cs="Arial"/>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A77DAC" w:rsidRPr="002A476F" w:rsidRDefault="00A77DAC" w:rsidP="002A49AF">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w:t>
            </w:r>
            <w:r w:rsidR="002A49AF">
              <w:rPr>
                <w:rFonts w:ascii="Arial" w:hAnsi="Arial" w:cs="Arial"/>
                <w:i w:val="0"/>
                <w:sz w:val="22"/>
                <w:szCs w:val="22"/>
                <w:lang w:val="en-AU"/>
              </w:rPr>
              <w:t>ement measures in place in this fishery</w:t>
            </w:r>
            <w:r w:rsidRPr="002A476F">
              <w:rPr>
                <w:rFonts w:ascii="Arial" w:hAnsi="Arial" w:cs="Arial"/>
                <w:i w:val="0"/>
                <w:sz w:val="22"/>
                <w:szCs w:val="22"/>
                <w:lang w:val="en-AU"/>
              </w:rPr>
              <w:t>, summarised in Table 1, the</w:t>
            </w:r>
            <w:r>
              <w:rPr>
                <w:rFonts w:ascii="Arial" w:hAnsi="Arial" w:cs="Arial"/>
                <w:i w:val="0"/>
                <w:sz w:val="22"/>
                <w:szCs w:val="22"/>
                <w:lang w:val="en-AU"/>
              </w:rPr>
              <w:t xml:space="preserve"> D</w:t>
            </w:r>
            <w:r w:rsidRPr="002A476F">
              <w:rPr>
                <w:rFonts w:ascii="Arial" w:hAnsi="Arial" w:cs="Arial"/>
                <w:i w:val="0"/>
                <w:sz w:val="22"/>
                <w:szCs w:val="22"/>
                <w:lang w:val="en-AU"/>
              </w:rPr>
              <w:t>epartment considers that the precautionary principle has been accounted for in the preparation of advice in relation to a decision under section 303DC.</w:t>
            </w:r>
          </w:p>
        </w:tc>
      </w:tr>
      <w:tr w:rsidR="00A77DAC" w:rsidRPr="002A476F" w:rsidTr="00A77DAC">
        <w:tc>
          <w:tcPr>
            <w:tcW w:w="7087" w:type="dxa"/>
            <w:tcMar>
              <w:top w:w="57" w:type="dxa"/>
              <w:bottom w:w="57" w:type="dxa"/>
            </w:tcMar>
          </w:tcPr>
          <w:p w:rsidR="00A77DAC" w:rsidRPr="002A476F" w:rsidRDefault="00A77DAC" w:rsidP="00A77DAC">
            <w:pPr>
              <w:spacing w:after="120"/>
              <w:ind w:left="357" w:hanging="357"/>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A77DAC" w:rsidRPr="002A476F" w:rsidRDefault="00A77DAC" w:rsidP="00A77DAC">
            <w:pPr>
              <w:rPr>
                <w:rFonts w:cs="Arial"/>
              </w:rPr>
            </w:pPr>
          </w:p>
        </w:tc>
      </w:tr>
    </w:tbl>
    <w:p w:rsidR="00A77DAC" w:rsidRPr="00F6308F" w:rsidRDefault="00A77DAC" w:rsidP="00A77DAC">
      <w:pPr>
        <w:tabs>
          <w:tab w:val="left" w:pos="360"/>
        </w:tabs>
        <w:rPr>
          <w:rFonts w:cs="Arial"/>
        </w:rPr>
        <w:sectPr w:rsidR="00A77DAC" w:rsidRPr="00F6308F">
          <w:pgSz w:w="16838" w:h="11906" w:orient="landscape"/>
          <w:pgMar w:top="899" w:right="1361" w:bottom="899" w:left="1361" w:header="709" w:footer="528" w:gutter="0"/>
          <w:cols w:space="708"/>
          <w:docGrid w:linePitch="360"/>
        </w:sectPr>
      </w:pPr>
    </w:p>
    <w:p w:rsidR="00B6012C" w:rsidRPr="00F6308F" w:rsidRDefault="00B6012C" w:rsidP="001955CD">
      <w:pPr>
        <w:tabs>
          <w:tab w:val="left" w:pos="360"/>
        </w:tabs>
        <w:rPr>
          <w:rFonts w:cs="Arial"/>
        </w:rPr>
      </w:pPr>
    </w:p>
    <w:p w:rsidR="00B6012C" w:rsidRPr="007430E0" w:rsidRDefault="00B6012C" w:rsidP="007430E0">
      <w:pPr>
        <w:pStyle w:val="Heading6"/>
        <w:jc w:val="center"/>
        <w:rPr>
          <w:rFonts w:ascii="Arial" w:hAnsi="Arial" w:cs="Arial"/>
        </w:rPr>
      </w:pPr>
      <w:bookmarkStart w:id="3" w:name="_Toc314564329"/>
      <w:bookmarkStart w:id="4" w:name="_Toc316301051"/>
      <w:r w:rsidRPr="007430E0">
        <w:rPr>
          <w:rFonts w:ascii="Arial" w:hAnsi="Arial" w:cs="Arial"/>
        </w:rPr>
        <w:t xml:space="preserve">The Department of </w:t>
      </w:r>
      <w:r w:rsidR="007430E0">
        <w:rPr>
          <w:rFonts w:ascii="Arial" w:hAnsi="Arial" w:cs="Arial"/>
        </w:rPr>
        <w:t>the Environment’s</w:t>
      </w:r>
      <w:r w:rsidRPr="007430E0">
        <w:rPr>
          <w:rFonts w:ascii="Arial" w:hAnsi="Arial" w:cs="Arial"/>
        </w:rPr>
        <w:t xml:space="preserve"> final </w:t>
      </w:r>
      <w:bookmarkEnd w:id="3"/>
      <w:bookmarkEnd w:id="4"/>
      <w:r w:rsidR="001B2743" w:rsidRPr="00822DA9">
        <w:rPr>
          <w:rFonts w:ascii="Arial" w:hAnsi="Arial" w:cs="Arial"/>
          <w:noProof/>
        </w:rPr>
        <w:t xml:space="preserve">recommendations to </w:t>
      </w:r>
      <w:r w:rsidR="001B2743">
        <w:rPr>
          <w:rFonts w:ascii="Arial" w:hAnsi="Arial" w:cs="Arial"/>
          <w:noProof/>
        </w:rPr>
        <w:t xml:space="preserve">the </w:t>
      </w:r>
      <w:r w:rsidR="001B2743">
        <w:rPr>
          <w:rFonts w:ascii="Arial" w:hAnsi="Arial" w:cs="Arial"/>
          <w:noProof/>
        </w:rPr>
        <w:br/>
        <w:t>Queensland Department of Agriculture, Fisheries and Forestry</w:t>
      </w:r>
      <w:r w:rsidR="001B2743" w:rsidRPr="00822DA9">
        <w:rPr>
          <w:rFonts w:ascii="Arial" w:hAnsi="Arial" w:cs="Arial"/>
          <w:noProof/>
        </w:rPr>
        <w:t xml:space="preserve"> for the </w:t>
      </w:r>
      <w:r w:rsidR="001B2743">
        <w:rPr>
          <w:rFonts w:ascii="Arial" w:hAnsi="Arial" w:cs="Arial"/>
          <w:noProof/>
        </w:rPr>
        <w:t>Queensland Eel Fishery</w:t>
      </w:r>
    </w:p>
    <w:p w:rsidR="00B6012C" w:rsidRPr="00F6308F" w:rsidRDefault="00B6012C" w:rsidP="001955CD">
      <w:pPr>
        <w:rPr>
          <w:rFonts w:cs="Arial"/>
        </w:rPr>
      </w:pPr>
    </w:p>
    <w:p w:rsidR="001B2743" w:rsidRDefault="001B2743" w:rsidP="001B2743">
      <w:pPr>
        <w:tabs>
          <w:tab w:val="left" w:pos="360"/>
        </w:tabs>
        <w:rPr>
          <w:rFonts w:cs="Arial"/>
          <w:noProof/>
        </w:rPr>
      </w:pPr>
      <w:r w:rsidRPr="00822DA9">
        <w:rPr>
          <w:rFonts w:cs="Arial"/>
          <w:noProof/>
        </w:rPr>
        <w:t xml:space="preserve">The material submitted by </w:t>
      </w:r>
      <w:r w:rsidRPr="008E4313">
        <w:rPr>
          <w:rFonts w:cs="Arial"/>
          <w:bCs/>
          <w:noProof/>
        </w:rPr>
        <w:t>the Queensland Department of Agriculture, Fisheries and Forestry</w:t>
      </w:r>
      <w:r>
        <w:rPr>
          <w:rFonts w:cs="Arial"/>
          <w:bCs/>
          <w:noProof/>
        </w:rPr>
        <w:t xml:space="preserve"> (DAFF)</w:t>
      </w:r>
      <w:r w:rsidR="00472442">
        <w:rPr>
          <w:rFonts w:cs="Arial"/>
          <w:bCs/>
          <w:noProof/>
        </w:rPr>
        <w:t xml:space="preserve"> </w:t>
      </w:r>
      <w:r w:rsidRPr="008E4313">
        <w:rPr>
          <w:rFonts w:cs="Arial"/>
          <w:noProof/>
        </w:rPr>
        <w:t xml:space="preserve">indicates that the </w:t>
      </w:r>
      <w:r w:rsidRPr="008E4313">
        <w:rPr>
          <w:rFonts w:cs="Arial"/>
          <w:bCs/>
          <w:noProof/>
        </w:rPr>
        <w:t>Queensland Eel Fishery</w:t>
      </w:r>
      <w:r w:rsidRPr="00822DA9">
        <w:rPr>
          <w:rFonts w:cs="Arial"/>
          <w:noProof/>
        </w:rPr>
        <w:t xml:space="preserve"> operates in accordance with the Australian Government </w:t>
      </w:r>
      <w:r w:rsidRPr="008E4313">
        <w:rPr>
          <w:rFonts w:cs="Arial"/>
          <w:i/>
          <w:noProof/>
        </w:rPr>
        <w:t>Guidelines for the Ecologically Sustainable Management of Fisheries – 2nd Edition</w:t>
      </w:r>
      <w:r w:rsidRPr="00822DA9">
        <w:rPr>
          <w:rFonts w:cs="Arial"/>
          <w:noProof/>
        </w:rPr>
        <w:t>.</w:t>
      </w:r>
    </w:p>
    <w:p w:rsidR="001B2743" w:rsidRDefault="001B2743" w:rsidP="001B2743">
      <w:pPr>
        <w:spacing w:after="120"/>
        <w:rPr>
          <w:rFonts w:cs="Arial"/>
          <w:b/>
          <w:noProof/>
        </w:rPr>
      </w:pPr>
      <w:r>
        <w:rPr>
          <w:rFonts w:cs="Arial"/>
          <w:b/>
          <w:noProof/>
        </w:rPr>
        <w:t>Stock status</w:t>
      </w:r>
    </w:p>
    <w:p w:rsidR="001B2743" w:rsidRDefault="001B2743" w:rsidP="001B2743">
      <w:pPr>
        <w:spacing w:after="120"/>
        <w:rPr>
          <w:rFonts w:cs="Arial"/>
          <w:noProof/>
        </w:rPr>
      </w:pPr>
      <w:r w:rsidRPr="000E13BC">
        <w:rPr>
          <w:rFonts w:cs="Arial"/>
          <w:noProof/>
        </w:rPr>
        <w:t>The</w:t>
      </w:r>
      <w:r>
        <w:rPr>
          <w:rFonts w:cs="Arial"/>
          <w:noProof/>
        </w:rPr>
        <w:t xml:space="preserve"> Department of the Environment</w:t>
      </w:r>
      <w:r w:rsidRPr="000E13BC">
        <w:rPr>
          <w:rFonts w:cs="Arial"/>
          <w:noProof/>
        </w:rPr>
        <w:t xml:space="preserve"> </w:t>
      </w:r>
      <w:r>
        <w:rPr>
          <w:rFonts w:cs="Arial"/>
          <w:noProof/>
        </w:rPr>
        <w:t xml:space="preserve">(the </w:t>
      </w:r>
      <w:r w:rsidRPr="000E13BC">
        <w:rPr>
          <w:rFonts w:cs="Arial"/>
          <w:noProof/>
        </w:rPr>
        <w:t>Department</w:t>
      </w:r>
      <w:r>
        <w:rPr>
          <w:rFonts w:cs="Arial"/>
          <w:noProof/>
        </w:rPr>
        <w:t>)</w:t>
      </w:r>
      <w:r w:rsidRPr="000E13BC">
        <w:rPr>
          <w:rFonts w:cs="Arial"/>
          <w:noProof/>
        </w:rPr>
        <w:t xml:space="preserve"> considers that the management measures in place in the </w:t>
      </w:r>
      <w:r>
        <w:rPr>
          <w:rFonts w:cs="Arial"/>
          <w:noProof/>
        </w:rPr>
        <w:t>Queensland</w:t>
      </w:r>
      <w:r w:rsidRPr="000E13BC">
        <w:rPr>
          <w:rFonts w:cs="Arial"/>
          <w:noProof/>
        </w:rPr>
        <w:t xml:space="preserve"> Eel Fishery are sufficient to ensure that the fishery is conducted in a manner that does not lead to over-fishing and that stocks are not currently overfished.</w:t>
      </w:r>
    </w:p>
    <w:p w:rsidR="001B2743" w:rsidRDefault="001B2743" w:rsidP="001B2743">
      <w:pPr>
        <w:spacing w:after="120"/>
        <w:rPr>
          <w:rFonts w:cs="Arial"/>
          <w:noProof/>
        </w:rPr>
      </w:pPr>
      <w:r>
        <w:rPr>
          <w:rFonts w:cs="Arial"/>
          <w:noProof/>
        </w:rPr>
        <w:t>Management arrangements in place in the fishery include:</w:t>
      </w:r>
    </w:p>
    <w:p w:rsidR="001B2743" w:rsidRDefault="001B2743" w:rsidP="001B2743">
      <w:pPr>
        <w:numPr>
          <w:ilvl w:val="0"/>
          <w:numId w:val="40"/>
        </w:numPr>
        <w:spacing w:after="0"/>
        <w:rPr>
          <w:rFonts w:cs="Arial"/>
          <w:noProof/>
        </w:rPr>
      </w:pPr>
      <w:r>
        <w:rPr>
          <w:rFonts w:cs="Arial"/>
          <w:noProof/>
        </w:rPr>
        <w:t>annual review of catch rate performance against management action triggers</w:t>
      </w:r>
    </w:p>
    <w:p w:rsidR="001B2743" w:rsidRPr="000E13BC" w:rsidRDefault="001B2743" w:rsidP="001B2743">
      <w:pPr>
        <w:numPr>
          <w:ilvl w:val="0"/>
          <w:numId w:val="40"/>
        </w:numPr>
        <w:spacing w:after="0"/>
        <w:rPr>
          <w:rFonts w:cs="Arial"/>
          <w:noProof/>
        </w:rPr>
      </w:pPr>
      <w:r w:rsidRPr="000E13BC">
        <w:rPr>
          <w:rFonts w:cs="Arial"/>
          <w:noProof/>
        </w:rPr>
        <w:t>limited numbers of commercial licences</w:t>
      </w:r>
    </w:p>
    <w:p w:rsidR="001B2743" w:rsidRDefault="001B2743" w:rsidP="001B2743">
      <w:pPr>
        <w:numPr>
          <w:ilvl w:val="0"/>
          <w:numId w:val="40"/>
        </w:numPr>
        <w:spacing w:after="0"/>
        <w:rPr>
          <w:rFonts w:cs="Arial"/>
          <w:iCs/>
          <w:noProof/>
          <w:snapToGrid w:val="0"/>
        </w:rPr>
      </w:pPr>
      <w:r w:rsidRPr="00D90B84">
        <w:rPr>
          <w:rFonts w:cs="Arial"/>
          <w:iCs/>
          <w:snapToGrid w:val="0"/>
        </w:rPr>
        <w:t>limited access to waters where commercial fishing is allowed</w:t>
      </w:r>
    </w:p>
    <w:p w:rsidR="001B2743" w:rsidRPr="00D90B84" w:rsidRDefault="001B2743" w:rsidP="001B2743">
      <w:pPr>
        <w:numPr>
          <w:ilvl w:val="0"/>
          <w:numId w:val="40"/>
        </w:numPr>
        <w:spacing w:after="0"/>
        <w:rPr>
          <w:rFonts w:cs="Arial"/>
          <w:iCs/>
          <w:noProof/>
          <w:snapToGrid w:val="0"/>
        </w:rPr>
      </w:pPr>
      <w:r>
        <w:rPr>
          <w:rFonts w:cs="Arial"/>
          <w:iCs/>
          <w:snapToGrid w:val="0"/>
        </w:rPr>
        <w:t>size limits</w:t>
      </w:r>
    </w:p>
    <w:p w:rsidR="001B2743" w:rsidRPr="000E13BC" w:rsidRDefault="001B2743" w:rsidP="001B2743">
      <w:pPr>
        <w:numPr>
          <w:ilvl w:val="0"/>
          <w:numId w:val="40"/>
        </w:numPr>
        <w:spacing w:after="0"/>
        <w:rPr>
          <w:rFonts w:cs="Arial"/>
          <w:noProof/>
        </w:rPr>
      </w:pPr>
      <w:r w:rsidRPr="00D90B84">
        <w:rPr>
          <w:rFonts w:cs="Arial"/>
          <w:noProof/>
        </w:rPr>
        <w:t>gear restrictions, and</w:t>
      </w:r>
    </w:p>
    <w:p w:rsidR="001B2743" w:rsidRPr="00204A82" w:rsidRDefault="001B2743" w:rsidP="001B2743">
      <w:pPr>
        <w:numPr>
          <w:ilvl w:val="0"/>
          <w:numId w:val="40"/>
        </w:numPr>
        <w:spacing w:after="120"/>
        <w:rPr>
          <w:rFonts w:cs="Arial"/>
          <w:noProof/>
        </w:rPr>
      </w:pPr>
      <w:r w:rsidRPr="000E13BC">
        <w:rPr>
          <w:rFonts w:cs="Arial"/>
          <w:iCs/>
          <w:noProof/>
        </w:rPr>
        <w:t>possession limits (recreational sector).</w:t>
      </w:r>
    </w:p>
    <w:p w:rsidR="001B2743" w:rsidRPr="0044610D" w:rsidRDefault="001B2743" w:rsidP="001B2743">
      <w:pPr>
        <w:spacing w:after="120"/>
        <w:rPr>
          <w:rFonts w:cs="Arial"/>
          <w:b/>
          <w:noProof/>
        </w:rPr>
      </w:pPr>
      <w:r w:rsidRPr="0044610D">
        <w:rPr>
          <w:rFonts w:cs="Arial"/>
          <w:b/>
          <w:noProof/>
        </w:rPr>
        <w:t>Ecosystem impacts</w:t>
      </w:r>
    </w:p>
    <w:p w:rsidR="006E58D0" w:rsidRPr="00822DA9" w:rsidRDefault="001B2743" w:rsidP="006E58D0">
      <w:pPr>
        <w:spacing w:after="120"/>
        <w:rPr>
          <w:rFonts w:cs="Arial"/>
          <w:noProof/>
        </w:rPr>
      </w:pPr>
      <w:r>
        <w:rPr>
          <w:rFonts w:cs="Arial"/>
          <w:noProof/>
        </w:rPr>
        <w:t xml:space="preserve">Taking into account the management arrangements for target species, the relatively benign fishing methods (traps, small fyke nets and small dip nets) and the low impact on bycatch and protected species in this fishery, the Department considers that fishing operations are managed to minimise their impact on the structure, productivity and biological diversity of the ecosystem. </w:t>
      </w:r>
    </w:p>
    <w:p w:rsidR="00B6012C" w:rsidRPr="00F6308F" w:rsidRDefault="001B2743" w:rsidP="001B2743">
      <w:pPr>
        <w:tabs>
          <w:tab w:val="left" w:pos="360"/>
        </w:tabs>
        <w:rPr>
          <w:rFonts w:cs="Arial"/>
          <w:highlight w:val="cyan"/>
        </w:rPr>
      </w:pPr>
      <w:r>
        <w:rPr>
          <w:rFonts w:cs="Arial"/>
          <w:noProof/>
        </w:rPr>
        <w:t>Given these management measures the Department considers</w:t>
      </w:r>
      <w:r w:rsidRPr="00822DA9">
        <w:rPr>
          <w:rFonts w:cs="Arial"/>
          <w:noProof/>
        </w:rPr>
        <w:t xml:space="preserve"> that product taken in the </w:t>
      </w:r>
      <w:r>
        <w:rPr>
          <w:rFonts w:cs="Arial"/>
          <w:noProof/>
        </w:rPr>
        <w:t>Queensland Eel Fishery</w:t>
      </w:r>
      <w:r w:rsidRPr="00822DA9">
        <w:rPr>
          <w:rFonts w:cs="Arial"/>
          <w:noProof/>
        </w:rPr>
        <w:t xml:space="preserve"> should be </w:t>
      </w:r>
      <w:r>
        <w:rPr>
          <w:rFonts w:cs="Arial"/>
          <w:noProof/>
        </w:rPr>
        <w:t>included in the list of exempt native specimens under</w:t>
      </w:r>
      <w:r w:rsidRPr="00822DA9">
        <w:rPr>
          <w:rFonts w:cs="Arial"/>
          <w:noProof/>
        </w:rPr>
        <w:t xml:space="preserve"> Part 13A of the </w:t>
      </w:r>
      <w:r w:rsidRPr="00822DA9">
        <w:rPr>
          <w:rFonts w:cs="Arial"/>
          <w:i/>
          <w:noProof/>
        </w:rPr>
        <w:t xml:space="preserve">Environment Protection and Biodiversity Conservation Act 1999 </w:t>
      </w:r>
      <w:r w:rsidRPr="00822DA9">
        <w:rPr>
          <w:rFonts w:cs="Arial"/>
          <w:noProof/>
        </w:rPr>
        <w:t>(EPBC Act)</w:t>
      </w:r>
      <w:r>
        <w:rPr>
          <w:rFonts w:cs="Arial"/>
          <w:noProof/>
        </w:rPr>
        <w:t xml:space="preserve"> until 17 April 2019</w:t>
      </w:r>
      <w:r w:rsidRPr="00822DA9">
        <w:rPr>
          <w:rFonts w:cs="Arial"/>
          <w:noProof/>
        </w:rPr>
        <w:t xml:space="preserve">. To </w:t>
      </w:r>
      <w:r>
        <w:rPr>
          <w:rFonts w:cs="Arial"/>
          <w:noProof/>
        </w:rPr>
        <w:t>ensure that the decisions for the Queensland Eel Fishery</w:t>
      </w:r>
      <w:r w:rsidRPr="00822DA9">
        <w:rPr>
          <w:rFonts w:cs="Arial"/>
          <w:noProof/>
        </w:rPr>
        <w:t xml:space="preserve"> </w:t>
      </w:r>
      <w:r>
        <w:rPr>
          <w:rFonts w:cs="Arial"/>
          <w:noProof/>
        </w:rPr>
        <w:t>under the EPBC Act remain valid, and t</w:t>
      </w:r>
      <w:r w:rsidRPr="009C7335">
        <w:rPr>
          <w:rFonts w:cs="Arial"/>
          <w:noProof/>
        </w:rPr>
        <w:t>o contain and minimise the risks in the longer term</w:t>
      </w:r>
      <w:r>
        <w:rPr>
          <w:rFonts w:cs="Arial"/>
          <w:noProof/>
        </w:rPr>
        <w:t>, the</w:t>
      </w:r>
      <w:r w:rsidRPr="00822DA9">
        <w:rPr>
          <w:rFonts w:cs="Arial"/>
          <w:noProof/>
        </w:rPr>
        <w:t xml:space="preserve"> recommendations listed in Table 4 have been made. </w:t>
      </w:r>
      <w:r w:rsidRPr="009C7335">
        <w:rPr>
          <w:rFonts w:cs="Arial"/>
          <w:noProof/>
        </w:rPr>
        <w:t>Unless a specific time frame is provided, each recommendation should be addressed during the five year period.</w:t>
      </w:r>
    </w:p>
    <w:p w:rsidR="00B6012C" w:rsidRPr="00F6308F" w:rsidRDefault="00B6012C" w:rsidP="001955CD">
      <w:pPr>
        <w:tabs>
          <w:tab w:val="left" w:pos="360"/>
        </w:tabs>
        <w:rPr>
          <w:rFonts w:cs="Arial"/>
        </w:rPr>
      </w:pPr>
    </w:p>
    <w:p w:rsidR="00B6012C" w:rsidRPr="00F6308F" w:rsidRDefault="00B6012C" w:rsidP="001955CD">
      <w:pPr>
        <w:tabs>
          <w:tab w:val="left" w:pos="360"/>
        </w:tabs>
        <w:rPr>
          <w:rFonts w:cs="Arial"/>
        </w:rPr>
      </w:pPr>
    </w:p>
    <w:p w:rsidR="00B6012C" w:rsidRPr="00D42317" w:rsidRDefault="00B6012C" w:rsidP="001955CD">
      <w:pPr>
        <w:outlineLvl w:val="0"/>
        <w:rPr>
          <w:rFonts w:cs="Arial"/>
        </w:rPr>
        <w:sectPr w:rsidR="00B6012C" w:rsidRPr="00D42317">
          <w:pgSz w:w="11906" w:h="16838"/>
          <w:pgMar w:top="1134" w:right="1701" w:bottom="1134" w:left="1701" w:header="709" w:footer="709" w:gutter="0"/>
          <w:cols w:space="708"/>
          <w:docGrid w:linePitch="360"/>
        </w:sectPr>
      </w:pPr>
    </w:p>
    <w:p w:rsidR="00B6012C" w:rsidRPr="007430E0" w:rsidRDefault="00472442" w:rsidP="007430E0">
      <w:pPr>
        <w:pStyle w:val="Heading6"/>
        <w:rPr>
          <w:rFonts w:ascii="Arial" w:hAnsi="Arial" w:cs="Arial"/>
        </w:rPr>
      </w:pPr>
      <w:bookmarkStart w:id="5" w:name="_Toc316301052"/>
      <w:r>
        <w:rPr>
          <w:rFonts w:ascii="Arial" w:hAnsi="Arial" w:cs="Arial"/>
        </w:rPr>
        <w:t xml:space="preserve">   </w:t>
      </w:r>
      <w:r w:rsidR="00B6012C" w:rsidRPr="007430E0">
        <w:rPr>
          <w:rFonts w:ascii="Arial" w:hAnsi="Arial" w:cs="Arial"/>
        </w:rPr>
        <w:t xml:space="preserve">Table 4: </w:t>
      </w:r>
      <w:r w:rsidR="001C43EC">
        <w:rPr>
          <w:rFonts w:ascii="Arial" w:hAnsi="Arial" w:cs="Arial"/>
        </w:rPr>
        <w:t>Queensland Eel Fishery</w:t>
      </w:r>
      <w:r w:rsidR="00B6012C" w:rsidRPr="007430E0">
        <w:rPr>
          <w:rFonts w:ascii="Arial" w:hAnsi="Arial" w:cs="Arial"/>
        </w:rPr>
        <w:t xml:space="preserve"> Assessment – Summary of Issues, Recommendations </w:t>
      </w:r>
      <w:bookmarkEnd w:id="5"/>
      <w:r w:rsidR="001C43EC">
        <w:rPr>
          <w:rFonts w:ascii="Arial" w:hAnsi="Arial" w:cs="Arial"/>
        </w:rPr>
        <w:t>- April 2014</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B6012C" w:rsidRPr="00F6308F" w:rsidTr="001955CD">
        <w:trPr>
          <w:tblHeader/>
          <w:jc w:val="center"/>
        </w:trPr>
        <w:tc>
          <w:tcPr>
            <w:tcW w:w="8892" w:type="dxa"/>
            <w:shd w:val="clear" w:color="auto" w:fill="D9D9D9"/>
          </w:tcPr>
          <w:p w:rsidR="00B6012C" w:rsidRPr="00F6308F" w:rsidRDefault="00B6012C" w:rsidP="001955CD">
            <w:pPr>
              <w:rPr>
                <w:rFonts w:cs="Arial"/>
                <w:b/>
              </w:rPr>
            </w:pPr>
            <w:r w:rsidRPr="00F6308F">
              <w:rPr>
                <w:rFonts w:cs="Arial"/>
                <w:b/>
              </w:rPr>
              <w:t>Issue</w:t>
            </w:r>
          </w:p>
        </w:tc>
        <w:tc>
          <w:tcPr>
            <w:tcW w:w="5189" w:type="dxa"/>
            <w:shd w:val="clear" w:color="auto" w:fill="D9D9D9"/>
          </w:tcPr>
          <w:p w:rsidR="00B6012C" w:rsidRPr="00F6308F" w:rsidRDefault="00B6012C" w:rsidP="001955CD">
            <w:pPr>
              <w:rPr>
                <w:rFonts w:cs="Arial"/>
                <w:b/>
              </w:rPr>
            </w:pPr>
            <w:r w:rsidRPr="001C43EC">
              <w:rPr>
                <w:rFonts w:cs="Arial"/>
                <w:b/>
              </w:rPr>
              <w:t>Recommendation</w:t>
            </w:r>
          </w:p>
        </w:tc>
      </w:tr>
      <w:tr w:rsidR="00B6012C" w:rsidRPr="00F6308F" w:rsidTr="001955CD">
        <w:trPr>
          <w:jc w:val="center"/>
        </w:trPr>
        <w:tc>
          <w:tcPr>
            <w:tcW w:w="8892" w:type="dxa"/>
          </w:tcPr>
          <w:p w:rsidR="001B2743" w:rsidRPr="00C3049E" w:rsidRDefault="001B2743" w:rsidP="001B2743">
            <w:pPr>
              <w:spacing w:before="60" w:after="60"/>
              <w:rPr>
                <w:rFonts w:cs="Arial"/>
                <w:u w:val="single"/>
              </w:rPr>
            </w:pPr>
            <w:r w:rsidRPr="00C3049E">
              <w:rPr>
                <w:rFonts w:cs="Arial"/>
                <w:u w:val="single"/>
              </w:rPr>
              <w:t>General Management</w:t>
            </w:r>
          </w:p>
          <w:p w:rsidR="00B6012C" w:rsidRPr="00F6308F" w:rsidRDefault="001B2743" w:rsidP="001B2743">
            <w:pPr>
              <w:rPr>
                <w:rFonts w:cs="Arial"/>
              </w:rPr>
            </w:pPr>
            <w:r w:rsidRPr="00C3049E">
              <w:rPr>
                <w:rFonts w:cs="Arial"/>
              </w:rPr>
              <w:t xml:space="preserve">Export decisions relate to the arrangements in force at the time of the decision. To ensure that these decisions remain valid and export approval continues uninterrupted, the Department of </w:t>
            </w:r>
            <w:r>
              <w:rPr>
                <w:rFonts w:cs="Arial"/>
              </w:rPr>
              <w:t xml:space="preserve">the Environment </w:t>
            </w:r>
            <w:r w:rsidRPr="00C3049E">
              <w:rPr>
                <w:rFonts w:cs="Arial"/>
              </w:rPr>
              <w:t xml:space="preserve">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w:t>
            </w:r>
            <w:r w:rsidR="006D1C1D">
              <w:rPr>
                <w:rFonts w:cs="Arial"/>
              </w:rPr>
              <w:t xml:space="preserve">the </w:t>
            </w:r>
            <w:r w:rsidRPr="00C3049E">
              <w:rPr>
                <w:rFonts w:cs="Arial"/>
              </w:rPr>
              <w:t>sustainability of the target species or negatively impact on byproduct, bycatch, protected species or the ecosystem</w:t>
            </w:r>
            <w:r w:rsidR="00B6012C" w:rsidRPr="00F6308F">
              <w:rPr>
                <w:rFonts w:cs="Arial"/>
              </w:rPr>
              <w:t>.</w:t>
            </w:r>
          </w:p>
        </w:tc>
        <w:tc>
          <w:tcPr>
            <w:tcW w:w="5189" w:type="dxa"/>
          </w:tcPr>
          <w:p w:rsidR="001B2743" w:rsidRPr="00C3049E" w:rsidRDefault="001B2743" w:rsidP="001B2743">
            <w:pPr>
              <w:spacing w:after="120"/>
              <w:rPr>
                <w:rFonts w:cs="Arial"/>
                <w:b/>
              </w:rPr>
            </w:pPr>
            <w:r>
              <w:rPr>
                <w:rFonts w:cs="Arial"/>
                <w:b/>
              </w:rPr>
              <w:t>Recommendation</w:t>
            </w:r>
            <w:r w:rsidRPr="00C3049E">
              <w:rPr>
                <w:rFonts w:cs="Arial"/>
                <w:b/>
              </w:rPr>
              <w:t xml:space="preserve"> 1:</w:t>
            </w:r>
            <w:r w:rsidR="00472442">
              <w:rPr>
                <w:rFonts w:cs="Arial"/>
              </w:rPr>
              <w:t xml:space="preserve"> </w:t>
            </w:r>
            <w:r w:rsidRPr="00C3049E">
              <w:rPr>
                <w:rFonts w:cs="Arial"/>
              </w:rPr>
              <w:t>Operation of the fishery will be carried out in accordance with</w:t>
            </w:r>
            <w:r w:rsidRPr="00C3049E">
              <w:rPr>
                <w:rFonts w:cs="Arial"/>
                <w:i/>
              </w:rPr>
              <w:t xml:space="preserve"> </w:t>
            </w:r>
            <w:r w:rsidRPr="00C3049E">
              <w:rPr>
                <w:rFonts w:cs="Arial"/>
              </w:rPr>
              <w:t>the</w:t>
            </w:r>
            <w:r w:rsidRPr="00C3049E">
              <w:rPr>
                <w:rFonts w:cs="Arial"/>
                <w:i/>
              </w:rPr>
              <w:t xml:space="preserve"> </w:t>
            </w:r>
            <w:r w:rsidRPr="006D1C1D">
              <w:rPr>
                <w:rStyle w:val="Emphasis"/>
                <w:rFonts w:cs="Arial"/>
                <w:i w:val="0"/>
              </w:rPr>
              <w:t>management regime</w:t>
            </w:r>
            <w:r w:rsidRPr="00C3049E">
              <w:rPr>
                <w:rFonts w:cs="Arial"/>
                <w:i/>
              </w:rPr>
              <w:t xml:space="preserve"> </w:t>
            </w:r>
            <w:r w:rsidRPr="00C3049E">
              <w:rPr>
                <w:rFonts w:cs="Arial"/>
              </w:rPr>
              <w:t xml:space="preserve">under the </w:t>
            </w:r>
            <w:r w:rsidRPr="004F7636">
              <w:rPr>
                <w:rFonts w:cs="Arial"/>
              </w:rPr>
              <w:t xml:space="preserve">Queensland </w:t>
            </w:r>
            <w:r w:rsidRPr="004F7636">
              <w:rPr>
                <w:rFonts w:cs="Arial"/>
                <w:i/>
              </w:rPr>
              <w:t>Fisheries Act 1994</w:t>
            </w:r>
            <w:r w:rsidRPr="004F7636">
              <w:rPr>
                <w:rFonts w:cs="Arial"/>
              </w:rPr>
              <w:t xml:space="preserve"> and the Queensland Fisheries Regulation 2008.</w:t>
            </w:r>
            <w:r w:rsidRPr="00C3049E">
              <w:rPr>
                <w:rFonts w:cs="Arial"/>
              </w:rPr>
              <w:t xml:space="preserve"> </w:t>
            </w:r>
          </w:p>
          <w:p w:rsidR="00B6012C" w:rsidRPr="00F6308F" w:rsidRDefault="001B2743" w:rsidP="001B2743">
            <w:pPr>
              <w:rPr>
                <w:rFonts w:cs="Arial"/>
                <w:b/>
                <w:color w:val="3366FF"/>
              </w:rPr>
            </w:pPr>
            <w:r>
              <w:rPr>
                <w:rFonts w:cs="Arial"/>
                <w:b/>
              </w:rPr>
              <w:t>Recommendation</w:t>
            </w:r>
            <w:r w:rsidRPr="00C3049E">
              <w:rPr>
                <w:rFonts w:cs="Arial"/>
                <w:b/>
              </w:rPr>
              <w:t xml:space="preserve"> 2: </w:t>
            </w:r>
            <w:r>
              <w:rPr>
                <w:rFonts w:cs="Arial"/>
              </w:rPr>
              <w:t>The Queensland Department of Agriculture, Fisheries and Forestry (DAFF)</w:t>
            </w:r>
            <w:r w:rsidRPr="00F6308F">
              <w:rPr>
                <w:rFonts w:cs="Arial"/>
              </w:rPr>
              <w:t xml:space="preserve"> to inform the Department of </w:t>
            </w:r>
            <w:r>
              <w:rPr>
                <w:rFonts w:cs="Arial"/>
              </w:rPr>
              <w:t xml:space="preserve">the Environment (the Department)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Pr="00413C44">
              <w:rPr>
                <w:rFonts w:cs="Arial"/>
              </w:rPr>
              <w:t xml:space="preserve">Queensland Eel Fishery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00B6012C" w:rsidRPr="00F6308F">
              <w:rPr>
                <w:rFonts w:cs="Arial"/>
              </w:rPr>
              <w:t>.</w:t>
            </w:r>
          </w:p>
        </w:tc>
      </w:tr>
      <w:tr w:rsidR="00B6012C" w:rsidRPr="00F6308F" w:rsidTr="001955CD">
        <w:trPr>
          <w:jc w:val="center"/>
        </w:trPr>
        <w:tc>
          <w:tcPr>
            <w:tcW w:w="8892" w:type="dxa"/>
          </w:tcPr>
          <w:p w:rsidR="001B2743" w:rsidRPr="00B36A01" w:rsidRDefault="001B2743" w:rsidP="001B2743">
            <w:pPr>
              <w:tabs>
                <w:tab w:val="left" w:pos="360"/>
              </w:tabs>
              <w:spacing w:after="120"/>
              <w:rPr>
                <w:rFonts w:cs="Arial"/>
                <w:u w:val="single"/>
              </w:rPr>
            </w:pPr>
            <w:r w:rsidRPr="00B36A01">
              <w:rPr>
                <w:rFonts w:cs="Arial"/>
                <w:u w:val="single"/>
              </w:rPr>
              <w:t>Annual reporting</w:t>
            </w:r>
          </w:p>
          <w:p w:rsidR="00B6012C" w:rsidRPr="00F6308F" w:rsidRDefault="001B2743" w:rsidP="006D1C1D">
            <w:pPr>
              <w:rPr>
                <w:rFonts w:cs="Arial"/>
                <w:highlight w:val="yellow"/>
              </w:rPr>
            </w:pPr>
            <w:r w:rsidRPr="001D4579">
              <w:rPr>
                <w:rFonts w:cs="Arial"/>
              </w:rPr>
              <w:t>It is important that reports be produced and presented to the Department annually in order for the performance of the fishery and progress in implementing the recommendations in this report and other managerial commitments to be monitored and assessed throughout the life of the declaration. Annual reports s</w:t>
            </w:r>
            <w:r>
              <w:rPr>
                <w:rFonts w:cs="Arial"/>
              </w:rPr>
              <w:t xml:space="preserve">hould follow Appendix B to the </w:t>
            </w:r>
            <w:r w:rsidRPr="009C7335">
              <w:rPr>
                <w:rFonts w:cs="Arial"/>
                <w:i/>
              </w:rPr>
              <w:t>Guidelines for the Ecologically Sustainable Management of Fisheries - 2nd Edition</w:t>
            </w:r>
            <w:r w:rsidRPr="001D4579">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recommendations. Electronic copies of the guidelines are available from the Department’s website at http://www.environment.gov.au/resource/guidelines-ecologically-sustainable-management-fisheries</w:t>
            </w:r>
          </w:p>
        </w:tc>
        <w:tc>
          <w:tcPr>
            <w:tcW w:w="5189" w:type="dxa"/>
          </w:tcPr>
          <w:p w:rsidR="00B6012C" w:rsidRPr="00F6308F" w:rsidRDefault="001B2743" w:rsidP="006D1C1D">
            <w:pPr>
              <w:rPr>
                <w:rFonts w:cs="Arial"/>
                <w:iCs/>
              </w:rPr>
            </w:pPr>
            <w:r>
              <w:rPr>
                <w:rFonts w:cs="Arial"/>
                <w:b/>
              </w:rPr>
              <w:t>Recommendation 3</w:t>
            </w:r>
            <w:r w:rsidRPr="00C3049E">
              <w:rPr>
                <w:rFonts w:cs="Arial"/>
                <w:b/>
              </w:rPr>
              <w:t>:</w:t>
            </w:r>
            <w:r w:rsidRPr="00C3049E">
              <w:rPr>
                <w:rFonts w:cs="Arial"/>
              </w:rPr>
              <w:t xml:space="preserve"> </w:t>
            </w:r>
            <w:r w:rsidRPr="00C5213B">
              <w:rPr>
                <w:rFonts w:cs="Arial"/>
              </w:rPr>
              <w:t xml:space="preserve">The </w:t>
            </w:r>
            <w:r>
              <w:rPr>
                <w:rFonts w:cs="Arial"/>
                <w:bCs/>
              </w:rPr>
              <w:t>Queensland DAFF</w:t>
            </w:r>
            <w:r w:rsidRPr="00C3049E">
              <w:rPr>
                <w:rFonts w:cs="Arial"/>
              </w:rPr>
              <w:t xml:space="preserve"> to produce and present reports to the Department annually as per Appendix B of the </w:t>
            </w:r>
            <w:r w:rsidRPr="009C7335">
              <w:rPr>
                <w:rFonts w:cs="Arial"/>
                <w:i/>
                <w:color w:val="000000"/>
              </w:rPr>
              <w:t>Guidelines for the Ecologically Sustainable Management of Fisheries - 2nd Editio</w:t>
            </w:r>
            <w:r>
              <w:rPr>
                <w:rFonts w:cs="Arial"/>
                <w:i/>
                <w:color w:val="000000"/>
              </w:rPr>
              <w:t>n</w:t>
            </w:r>
            <w:r w:rsidRPr="00C3049E">
              <w:rPr>
                <w:rFonts w:cs="Arial"/>
                <w:color w:val="000000"/>
              </w:rPr>
              <w:t>.</w:t>
            </w:r>
          </w:p>
        </w:tc>
      </w:tr>
    </w:tbl>
    <w:p w:rsidR="006D1C1D" w:rsidRDefault="006D1C1D">
      <w:r>
        <w:br w:type="page"/>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2"/>
        <w:gridCol w:w="5189"/>
      </w:tblGrid>
      <w:tr w:rsidR="001B2743" w:rsidRPr="00F6308F" w:rsidTr="001955CD">
        <w:trPr>
          <w:jc w:val="center"/>
        </w:trPr>
        <w:tc>
          <w:tcPr>
            <w:tcW w:w="8892" w:type="dxa"/>
          </w:tcPr>
          <w:p w:rsidR="001B2743" w:rsidRPr="003D6559" w:rsidRDefault="001B2743" w:rsidP="001B2743">
            <w:pPr>
              <w:rPr>
                <w:rFonts w:cs="Arial"/>
                <w:bCs/>
                <w:u w:val="single"/>
              </w:rPr>
            </w:pPr>
            <w:r w:rsidRPr="003D6559">
              <w:rPr>
                <w:rFonts w:cs="Arial"/>
                <w:bCs/>
                <w:u w:val="single"/>
              </w:rPr>
              <w:t>Cross jurisdictional cooperation</w:t>
            </w:r>
          </w:p>
          <w:p w:rsidR="001B2743" w:rsidRDefault="001B2743" w:rsidP="001B2743">
            <w:pPr>
              <w:rPr>
                <w:rFonts w:cs="Arial"/>
                <w:bCs/>
              </w:rPr>
            </w:pPr>
            <w:r>
              <w:rPr>
                <w:rFonts w:cs="Arial"/>
                <w:bCs/>
              </w:rPr>
              <w:t>Freshwater e</w:t>
            </w:r>
            <w:r w:rsidRPr="003D6559">
              <w:rPr>
                <w:rFonts w:cs="Arial"/>
                <w:bCs/>
              </w:rPr>
              <w:t xml:space="preserve">els are harvested in Queensland, New South Wales, Victoria, South Australia, Tasmania and New Zealand. </w:t>
            </w:r>
            <w:r>
              <w:rPr>
                <w:rFonts w:cs="Arial"/>
                <w:bCs/>
              </w:rPr>
              <w:t>The</w:t>
            </w:r>
            <w:r w:rsidRPr="003D6559">
              <w:rPr>
                <w:rFonts w:cs="Arial"/>
              </w:rPr>
              <w:t xml:space="preserve"> two key </w:t>
            </w:r>
            <w:r>
              <w:rPr>
                <w:rFonts w:cs="Arial"/>
              </w:rPr>
              <w:t>target</w:t>
            </w:r>
            <w:r w:rsidRPr="003D6559">
              <w:rPr>
                <w:rFonts w:cs="Arial"/>
              </w:rPr>
              <w:t xml:space="preserve"> species</w:t>
            </w:r>
            <w:r>
              <w:rPr>
                <w:rFonts w:cs="Arial"/>
              </w:rPr>
              <w:t>, the long-finned eel (</w:t>
            </w:r>
            <w:r w:rsidRPr="0093159B">
              <w:rPr>
                <w:rFonts w:cs="Arial"/>
                <w:i/>
              </w:rPr>
              <w:t xml:space="preserve">Anguilla </w:t>
            </w:r>
            <w:proofErr w:type="spellStart"/>
            <w:r w:rsidRPr="0093159B">
              <w:rPr>
                <w:rFonts w:cs="Arial"/>
                <w:i/>
              </w:rPr>
              <w:t>reinhardtii</w:t>
            </w:r>
            <w:proofErr w:type="spellEnd"/>
            <w:r>
              <w:rPr>
                <w:rFonts w:cs="Arial"/>
              </w:rPr>
              <w:t>) and the short-finned eel</w:t>
            </w:r>
            <w:r w:rsidRPr="003D6559">
              <w:rPr>
                <w:rFonts w:cs="Arial"/>
              </w:rPr>
              <w:t xml:space="preserve"> </w:t>
            </w:r>
            <w:r w:rsidRPr="003D6559">
              <w:rPr>
                <w:rFonts w:cs="Arial"/>
                <w:bCs/>
              </w:rPr>
              <w:t>(</w:t>
            </w:r>
            <w:r w:rsidRPr="003D6559">
              <w:rPr>
                <w:rFonts w:cs="Arial"/>
                <w:i/>
              </w:rPr>
              <w:t>A</w:t>
            </w:r>
            <w:r>
              <w:rPr>
                <w:rFonts w:cs="Arial"/>
                <w:i/>
              </w:rPr>
              <w:t>.</w:t>
            </w:r>
            <w:r w:rsidRPr="003D6559">
              <w:rPr>
                <w:rFonts w:cs="Arial"/>
                <w:i/>
              </w:rPr>
              <w:t xml:space="preserve"> </w:t>
            </w:r>
            <w:proofErr w:type="spellStart"/>
            <w:r w:rsidRPr="003D6559">
              <w:rPr>
                <w:rFonts w:cs="Arial"/>
                <w:i/>
              </w:rPr>
              <w:t>australis</w:t>
            </w:r>
            <w:proofErr w:type="spellEnd"/>
            <w:r w:rsidRPr="003D6559">
              <w:rPr>
                <w:rFonts w:cs="Arial"/>
              </w:rPr>
              <w:t>)</w:t>
            </w:r>
            <w:r>
              <w:rPr>
                <w:rFonts w:cs="Arial"/>
              </w:rPr>
              <w:t xml:space="preserve">, are likely to belong to a single genetic stock with a </w:t>
            </w:r>
            <w:proofErr w:type="spellStart"/>
            <w:r>
              <w:rPr>
                <w:rFonts w:cs="Arial"/>
              </w:rPr>
              <w:t>panmictic</w:t>
            </w:r>
            <w:proofErr w:type="spellEnd"/>
            <w:r>
              <w:rPr>
                <w:rFonts w:cs="Arial"/>
              </w:rPr>
              <w:t xml:space="preserve"> distribution</w:t>
            </w:r>
            <w:r w:rsidRPr="003D6559">
              <w:rPr>
                <w:rFonts w:cs="Arial"/>
                <w:i/>
              </w:rPr>
              <w:t xml:space="preserve"> </w:t>
            </w:r>
            <w:r>
              <w:rPr>
                <w:rFonts w:cs="Arial"/>
              </w:rPr>
              <w:t>that extends into all of</w:t>
            </w:r>
            <w:r w:rsidRPr="003D6559">
              <w:rPr>
                <w:rFonts w:cs="Arial"/>
              </w:rPr>
              <w:t xml:space="preserve"> these jurisdictions. </w:t>
            </w:r>
            <w:r>
              <w:rPr>
                <w:rFonts w:cs="Arial"/>
              </w:rPr>
              <w:t>C</w:t>
            </w:r>
            <w:r w:rsidRPr="003D6559">
              <w:rPr>
                <w:rFonts w:cs="Arial"/>
                <w:bCs/>
              </w:rPr>
              <w:t xml:space="preserve">ross jurisdictional communication </w:t>
            </w:r>
            <w:r>
              <w:rPr>
                <w:rFonts w:cs="Arial"/>
                <w:bCs/>
              </w:rPr>
              <w:t>between the management agencies responsible for the commercial harvest of these species is therefore important</w:t>
            </w:r>
            <w:r w:rsidRPr="003D6559">
              <w:rPr>
                <w:rFonts w:cs="Arial"/>
                <w:bCs/>
              </w:rPr>
              <w:t xml:space="preserve"> </w:t>
            </w:r>
            <w:r>
              <w:rPr>
                <w:rFonts w:cs="Arial"/>
                <w:bCs/>
              </w:rPr>
              <w:t>to identify and address</w:t>
            </w:r>
            <w:r w:rsidRPr="003D6559">
              <w:rPr>
                <w:rFonts w:cs="Arial"/>
                <w:bCs/>
              </w:rPr>
              <w:t xml:space="preserve"> sustainability </w:t>
            </w:r>
            <w:r>
              <w:rPr>
                <w:rFonts w:cs="Arial"/>
                <w:bCs/>
              </w:rPr>
              <w:t>issues for</w:t>
            </w:r>
            <w:r w:rsidRPr="003D6559">
              <w:rPr>
                <w:rFonts w:cs="Arial"/>
                <w:bCs/>
              </w:rPr>
              <w:t xml:space="preserve"> eel stocks. </w:t>
            </w:r>
          </w:p>
          <w:p w:rsidR="001B2743" w:rsidRPr="001B2743" w:rsidRDefault="001B2743" w:rsidP="001B2743">
            <w:pPr>
              <w:rPr>
                <w:rFonts w:cs="Arial"/>
                <w:bCs/>
              </w:rPr>
            </w:pPr>
            <w:r>
              <w:rPr>
                <w:rFonts w:cs="Arial"/>
                <w:bCs/>
              </w:rPr>
              <w:t xml:space="preserve">As part of a 2010 review of the Queensland Eel Fishery's Performance Measurement System, the Queensland DAFF engaged with fisheries management agencies in New South Wales, Victoria and Tasmania. To account for the </w:t>
            </w:r>
            <w:proofErr w:type="spellStart"/>
            <w:r>
              <w:rPr>
                <w:rFonts w:cs="Arial"/>
                <w:bCs/>
              </w:rPr>
              <w:t>panmictic</w:t>
            </w:r>
            <w:proofErr w:type="spellEnd"/>
            <w:r>
              <w:rPr>
                <w:rFonts w:cs="Arial"/>
                <w:bCs/>
              </w:rPr>
              <w:t xml:space="preserve"> distribution of freshwater eels in the performance of the Queensland Eel Fishery, the fishery has since maintained a performance measure that annually considers the total harvest of freshwater eels in all four Australian east coast states.</w:t>
            </w:r>
          </w:p>
          <w:p w:rsidR="001B2743" w:rsidRPr="00B36A01" w:rsidRDefault="001B2743" w:rsidP="001B2743">
            <w:pPr>
              <w:tabs>
                <w:tab w:val="left" w:pos="360"/>
              </w:tabs>
              <w:spacing w:after="120"/>
              <w:rPr>
                <w:rFonts w:cs="Arial"/>
                <w:u w:val="single"/>
              </w:rPr>
            </w:pPr>
            <w:r w:rsidRPr="003D6559">
              <w:rPr>
                <w:rFonts w:cs="Arial"/>
                <w:bCs/>
              </w:rPr>
              <w:t xml:space="preserve">Given the difficulty in traditional stock and biomass assessments for these species, the Department considers it important that the </w:t>
            </w:r>
            <w:r>
              <w:rPr>
                <w:rFonts w:cs="Arial"/>
                <w:bCs/>
              </w:rPr>
              <w:t>Queensland DAFF continue to</w:t>
            </w:r>
            <w:r w:rsidRPr="003D6559">
              <w:rPr>
                <w:rFonts w:cs="Arial"/>
                <w:bCs/>
              </w:rPr>
              <w:t xml:space="preserve"> maintain close links with other jurisdictions to ensure management arrangements </w:t>
            </w:r>
            <w:r>
              <w:rPr>
                <w:rFonts w:cs="Arial"/>
                <w:bCs/>
              </w:rPr>
              <w:t>can take account of</w:t>
            </w:r>
            <w:r w:rsidRPr="003D6559">
              <w:rPr>
                <w:rFonts w:cs="Arial"/>
                <w:bCs/>
              </w:rPr>
              <w:t xml:space="preserve"> changes in the national </w:t>
            </w:r>
            <w:r>
              <w:rPr>
                <w:rFonts w:cs="Arial"/>
                <w:bCs/>
              </w:rPr>
              <w:t xml:space="preserve">freshwater </w:t>
            </w:r>
            <w:r w:rsidRPr="003D6559">
              <w:rPr>
                <w:rFonts w:cs="Arial"/>
                <w:bCs/>
              </w:rPr>
              <w:t>eel population.</w:t>
            </w:r>
          </w:p>
        </w:tc>
        <w:tc>
          <w:tcPr>
            <w:tcW w:w="5189" w:type="dxa"/>
          </w:tcPr>
          <w:p w:rsidR="001B2743" w:rsidRDefault="001B2743" w:rsidP="001B2743">
            <w:pPr>
              <w:rPr>
                <w:rFonts w:cs="Arial"/>
                <w:b/>
              </w:rPr>
            </w:pPr>
            <w:r w:rsidRPr="003D6559">
              <w:rPr>
                <w:rFonts w:cs="Arial"/>
                <w:b/>
              </w:rPr>
              <w:t xml:space="preserve">Recommendation 4: </w:t>
            </w:r>
            <w:r w:rsidRPr="003D6559">
              <w:rPr>
                <w:rFonts w:cs="Arial"/>
              </w:rPr>
              <w:t xml:space="preserve">The </w:t>
            </w:r>
            <w:r>
              <w:rPr>
                <w:rFonts w:cs="Arial"/>
              </w:rPr>
              <w:t xml:space="preserve">Queensland DAFF to continue to </w:t>
            </w:r>
            <w:r w:rsidRPr="003D6559">
              <w:rPr>
                <w:rFonts w:cs="Arial"/>
              </w:rPr>
              <w:t xml:space="preserve">collaborate with other jurisdictions </w:t>
            </w:r>
            <w:r>
              <w:rPr>
                <w:rFonts w:cs="Arial"/>
              </w:rPr>
              <w:t>to</w:t>
            </w:r>
            <w:r w:rsidRPr="003D6559">
              <w:rPr>
                <w:rFonts w:cs="Arial"/>
              </w:rPr>
              <w:t xml:space="preserve"> pursue consistent and complementary research needs and management arrangements </w:t>
            </w:r>
            <w:r>
              <w:rPr>
                <w:rFonts w:cs="Arial"/>
              </w:rPr>
              <w:t>for target species.</w:t>
            </w:r>
          </w:p>
        </w:tc>
      </w:tr>
    </w:tbl>
    <w:p w:rsidR="00B6012C" w:rsidRPr="00F6308F" w:rsidRDefault="00B6012C" w:rsidP="001955CD">
      <w:pPr>
        <w:tabs>
          <w:tab w:val="left" w:pos="360"/>
        </w:tabs>
        <w:rPr>
          <w:rFonts w:cs="Arial"/>
          <w:color w:val="FF0000"/>
        </w:rPr>
        <w:sectPr w:rsidR="00B6012C" w:rsidRPr="00F6308F" w:rsidSect="001955CD">
          <w:pgSz w:w="16838" w:h="11906" w:orient="landscape"/>
          <w:pgMar w:top="1021" w:right="1021" w:bottom="1021" w:left="1021" w:header="709" w:footer="709" w:gutter="0"/>
          <w:cols w:space="708"/>
          <w:docGrid w:linePitch="360"/>
        </w:sectPr>
      </w:pPr>
    </w:p>
    <w:tbl>
      <w:tblPr>
        <w:tblW w:w="0" w:type="auto"/>
        <w:tblLook w:val="01E0"/>
      </w:tblPr>
      <w:tblGrid>
        <w:gridCol w:w="1548"/>
        <w:gridCol w:w="6980"/>
      </w:tblGrid>
      <w:tr w:rsidR="00B6012C" w:rsidRPr="00F6308F" w:rsidTr="001955CD">
        <w:tc>
          <w:tcPr>
            <w:tcW w:w="1548" w:type="dxa"/>
          </w:tcPr>
          <w:p w:rsidR="00B6012C" w:rsidRPr="00F6308F" w:rsidRDefault="00B6012C" w:rsidP="00416A21">
            <w:pPr>
              <w:spacing w:after="0" w:line="240" w:lineRule="auto"/>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i/>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r w:rsidR="00B6012C" w:rsidRPr="00F6308F" w:rsidTr="001955CD">
        <w:tc>
          <w:tcPr>
            <w:tcW w:w="1548" w:type="dxa"/>
          </w:tcPr>
          <w:p w:rsidR="00B6012C" w:rsidRPr="00F6308F" w:rsidRDefault="00B6012C" w:rsidP="001955CD">
            <w:pPr>
              <w:tabs>
                <w:tab w:val="left" w:pos="360"/>
              </w:tabs>
              <w:rPr>
                <w:rFonts w:cs="Arial"/>
              </w:rPr>
            </w:pPr>
          </w:p>
        </w:tc>
        <w:tc>
          <w:tcPr>
            <w:tcW w:w="6980" w:type="dxa"/>
          </w:tcPr>
          <w:p w:rsidR="00B6012C" w:rsidRPr="00F6308F" w:rsidRDefault="00B6012C" w:rsidP="001955CD">
            <w:pPr>
              <w:tabs>
                <w:tab w:val="left" w:pos="360"/>
              </w:tabs>
              <w:rPr>
                <w:rFonts w:cs="Arial"/>
              </w:rPr>
            </w:pPr>
          </w:p>
        </w:tc>
      </w:tr>
    </w:tbl>
    <w:p w:rsidR="00B6012C" w:rsidRPr="00F6308F" w:rsidRDefault="00B6012C" w:rsidP="001955CD">
      <w:pPr>
        <w:rPr>
          <w:rFonts w:cs="Arial"/>
        </w:rPr>
      </w:pPr>
    </w:p>
    <w:p w:rsidR="006B14DB" w:rsidRPr="00EF53FF" w:rsidRDefault="006B14DB" w:rsidP="00932861"/>
    <w:sectPr w:rsidR="006B14DB" w:rsidRPr="00EF53FF" w:rsidSect="00FA4CF0">
      <w:headerReference w:type="even" r:id="rId18"/>
      <w:headerReference w:type="default" r:id="rId19"/>
      <w:footerReference w:type="even" r:id="rId20"/>
      <w:footerReference w:type="default" r:id="rId21"/>
      <w:headerReference w:type="first" r:id="rId22"/>
      <w:footerReference w:type="first" r:id="rId2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9AF" w:rsidRDefault="002A49AF" w:rsidP="00A60185">
      <w:pPr>
        <w:spacing w:after="0" w:line="240" w:lineRule="auto"/>
      </w:pPr>
      <w:r>
        <w:separator/>
      </w:r>
    </w:p>
  </w:endnote>
  <w:endnote w:type="continuationSeparator" w:id="0">
    <w:p w:rsidR="002A49AF" w:rsidRDefault="002A49A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Footer"/>
      <w:jc w:val="right"/>
    </w:pPr>
  </w:p>
  <w:p w:rsidR="002A49AF" w:rsidRDefault="002A49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Pr="008676DA" w:rsidRDefault="00B73BB4">
    <w:pPr>
      <w:pStyle w:val="Footer"/>
      <w:jc w:val="right"/>
      <w:rPr>
        <w:rFonts w:cs="Arial"/>
      </w:rPr>
    </w:pPr>
    <w:r w:rsidRPr="008676DA">
      <w:rPr>
        <w:rFonts w:cs="Arial"/>
      </w:rPr>
      <w:fldChar w:fldCharType="begin"/>
    </w:r>
    <w:r w:rsidR="002A49AF" w:rsidRPr="008676DA">
      <w:rPr>
        <w:rFonts w:cs="Arial"/>
      </w:rPr>
      <w:instrText xml:space="preserve"> PAGE   \* MERGEFORMAT </w:instrText>
    </w:r>
    <w:r w:rsidRPr="008676DA">
      <w:rPr>
        <w:rFonts w:cs="Arial"/>
      </w:rPr>
      <w:fldChar w:fldCharType="separate"/>
    </w:r>
    <w:r w:rsidR="00992364">
      <w:rPr>
        <w:rFonts w:cs="Arial"/>
        <w:noProof/>
      </w:rPr>
      <w:t>15</w:t>
    </w:r>
    <w:r w:rsidRPr="008676DA">
      <w:rP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Pr="00E5103E" w:rsidRDefault="00B73BB4">
    <w:pPr>
      <w:pStyle w:val="Footer"/>
      <w:jc w:val="right"/>
      <w:rPr>
        <w:rFonts w:cs="Arial"/>
      </w:rPr>
    </w:pPr>
    <w:r w:rsidRPr="00E5103E">
      <w:rPr>
        <w:rFonts w:cs="Arial"/>
      </w:rPr>
      <w:fldChar w:fldCharType="begin"/>
    </w:r>
    <w:r w:rsidR="002A49AF" w:rsidRPr="00E5103E">
      <w:rPr>
        <w:rFonts w:cs="Arial"/>
      </w:rPr>
      <w:instrText xml:space="preserve"> PAGE   \* MERGEFORMAT </w:instrText>
    </w:r>
    <w:r w:rsidRPr="00E5103E">
      <w:rPr>
        <w:rFonts w:cs="Arial"/>
      </w:rPr>
      <w:fldChar w:fldCharType="separate"/>
    </w:r>
    <w:r w:rsidR="002A49AF">
      <w:rPr>
        <w:rFonts w:cs="Arial"/>
        <w:noProof/>
      </w:rPr>
      <w:t>1</w:t>
    </w:r>
    <w:r w:rsidRPr="00E5103E">
      <w:rPr>
        <w:rFonts w:cs="Arial"/>
      </w:rPr>
      <w:fldChar w:fldCharType="end"/>
    </w:r>
  </w:p>
  <w:p w:rsidR="002A49AF" w:rsidRDefault="002A49AF">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2A49AF" w:rsidRDefault="00B73BB4">
        <w:pPr>
          <w:pStyle w:val="Footer"/>
          <w:jc w:val="center"/>
        </w:pPr>
        <w:fldSimple w:instr=" PAGE   \* MERGEFORMAT ">
          <w:r w:rsidR="002A49AF">
            <w:rPr>
              <w:noProof/>
            </w:rPr>
            <w:t>2</w:t>
          </w:r>
        </w:fldSimple>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9AF" w:rsidRDefault="002A49AF" w:rsidP="00A60185">
      <w:pPr>
        <w:spacing w:after="0" w:line="240" w:lineRule="auto"/>
      </w:pPr>
      <w:r>
        <w:separator/>
      </w:r>
    </w:p>
  </w:footnote>
  <w:footnote w:type="continuationSeparator" w:id="0">
    <w:p w:rsidR="002A49AF" w:rsidRDefault="002A49AF" w:rsidP="00A60185">
      <w:pPr>
        <w:spacing w:after="0" w:line="240" w:lineRule="auto"/>
      </w:pPr>
      <w:r>
        <w:continuationSeparator/>
      </w:r>
    </w:p>
  </w:footnote>
  <w:footnote w:id="1">
    <w:p w:rsidR="002A49AF" w:rsidRPr="008676DA" w:rsidRDefault="002A49AF"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2A49AF" w:rsidRPr="008676DA" w:rsidRDefault="002A49AF" w:rsidP="001955CD">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B73BB4" w:rsidP="00E45765">
    <w:pPr>
      <w:pStyle w:val="Classification"/>
    </w:pPr>
    <w:r>
      <w:fldChar w:fldCharType="begin"/>
    </w:r>
    <w:r w:rsidR="002A49AF">
      <w:instrText xml:space="preserve"> DOCPROPERTY SecurityClassification \* MERGEFORMAT </w:instrText>
    </w:r>
    <w:r>
      <w:fldChar w:fldCharType="separate"/>
    </w:r>
    <w:r w:rsidR="002A49A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AF" w:rsidRDefault="002A49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D68994"/>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nsid w:val="1615533B"/>
    <w:multiLevelType w:val="singleLevel"/>
    <w:tmpl w:val="0C090017"/>
    <w:lvl w:ilvl="0">
      <w:start w:val="1"/>
      <w:numFmt w:val="lowerLetter"/>
      <w:lvlText w:val="%1)"/>
      <w:lvlJc w:val="left"/>
      <w:pPr>
        <w:ind w:left="360" w:hanging="360"/>
      </w:pPr>
    </w:lvl>
  </w:abstractNum>
  <w:abstractNum w:abstractNumId="1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1F745BC2"/>
    <w:multiLevelType w:val="multilevel"/>
    <w:tmpl w:val="E5E89F92"/>
    <w:numStyleLink w:val="BulletList"/>
  </w:abstractNum>
  <w:abstractNum w:abstractNumId="13">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4CE2A3D"/>
    <w:multiLevelType w:val="hybridMultilevel"/>
    <w:tmpl w:val="1C7E8860"/>
    <w:lvl w:ilvl="0" w:tplc="9084ABD6">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2">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65456429"/>
    <w:multiLevelType w:val="multilevel"/>
    <w:tmpl w:val="E898CC72"/>
    <w:numStyleLink w:val="KeyPoints"/>
  </w:abstractNum>
  <w:abstractNum w:abstractNumId="31">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5">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5"/>
  </w:num>
  <w:num w:numId="2">
    <w:abstractNumId w:val="2"/>
  </w:num>
  <w:num w:numId="3">
    <w:abstractNumId w:val="20"/>
  </w:num>
  <w:num w:numId="4">
    <w:abstractNumId w:val="0"/>
  </w:num>
  <w:num w:numId="5">
    <w:abstractNumId w:val="19"/>
  </w:num>
  <w:num w:numId="6">
    <w:abstractNumId w:val="30"/>
  </w:num>
  <w:num w:numId="7">
    <w:abstractNumId w:val="12"/>
  </w:num>
  <w:num w:numId="8">
    <w:abstractNumId w:val="6"/>
  </w:num>
  <w:num w:numId="9">
    <w:abstractNumId w:val="23"/>
  </w:num>
  <w:num w:numId="10">
    <w:abstractNumId w:val="32"/>
  </w:num>
  <w:num w:numId="11">
    <w:abstractNumId w:val="26"/>
  </w:num>
  <w:num w:numId="12">
    <w:abstractNumId w:val="7"/>
  </w:num>
  <w:num w:numId="13">
    <w:abstractNumId w:val="17"/>
  </w:num>
  <w:num w:numId="14">
    <w:abstractNumId w:val="33"/>
  </w:num>
  <w:num w:numId="15">
    <w:abstractNumId w:val="27"/>
  </w:num>
  <w:num w:numId="16">
    <w:abstractNumId w:val="3"/>
  </w:num>
  <w:num w:numId="17">
    <w:abstractNumId w:val="18"/>
  </w:num>
  <w:num w:numId="18">
    <w:abstractNumId w:val="13"/>
  </w:num>
  <w:num w:numId="19">
    <w:abstractNumId w:val="25"/>
  </w:num>
  <w:num w:numId="20">
    <w:abstractNumId w:val="16"/>
  </w:num>
  <w:num w:numId="21">
    <w:abstractNumId w:val="11"/>
  </w:num>
  <w:num w:numId="22">
    <w:abstractNumId w:val="15"/>
  </w:num>
  <w:num w:numId="23">
    <w:abstractNumId w:val="24"/>
  </w:num>
  <w:num w:numId="24">
    <w:abstractNumId w:val="29"/>
  </w:num>
  <w:num w:numId="25">
    <w:abstractNumId w:val="22"/>
  </w:num>
  <w:num w:numId="26">
    <w:abstractNumId w:val="8"/>
  </w:num>
  <w:num w:numId="27">
    <w:abstractNumId w:val="10"/>
  </w:num>
  <w:num w:numId="28">
    <w:abstractNumId w:val="28"/>
  </w:num>
  <w:num w:numId="29">
    <w:abstractNumId w:val="34"/>
  </w:num>
  <w:num w:numId="30">
    <w:abstractNumId w:val="36"/>
  </w:num>
  <w:num w:numId="31">
    <w:abstractNumId w:val="31"/>
  </w:num>
  <w:num w:numId="32">
    <w:abstractNumId w:val="0"/>
    <w:lvlOverride w:ilvl="0">
      <w:startOverride w:val="1"/>
    </w:lvlOverride>
  </w:num>
  <w:num w:numId="33">
    <w:abstractNumId w:val="4"/>
  </w:num>
  <w:num w:numId="34">
    <w:abstractNumId w:val="9"/>
  </w:num>
  <w:num w:numId="35">
    <w:abstractNumId w:val="14"/>
  </w:num>
  <w:num w:numId="36">
    <w:abstractNumId w:val="30"/>
  </w:num>
  <w:num w:numId="37">
    <w:abstractNumId w:val="30"/>
  </w:num>
  <w:num w:numId="38">
    <w:abstractNumId w:val="30"/>
  </w:num>
  <w:num w:numId="39">
    <w:abstractNumId w:val="1"/>
  </w:num>
  <w:num w:numId="40">
    <w:abstractNumId w:val="5"/>
  </w:num>
  <w:num w:numId="41">
    <w:abstractNumId w:val="2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DB3521"/>
    <w:rsid w:val="00004AEE"/>
    <w:rsid w:val="00005239"/>
    <w:rsid w:val="00005CAA"/>
    <w:rsid w:val="00010210"/>
    <w:rsid w:val="00012021"/>
    <w:rsid w:val="00012D66"/>
    <w:rsid w:val="00015ADA"/>
    <w:rsid w:val="00020C99"/>
    <w:rsid w:val="0002707B"/>
    <w:rsid w:val="00030C2F"/>
    <w:rsid w:val="0003256C"/>
    <w:rsid w:val="0005148E"/>
    <w:rsid w:val="00072C5A"/>
    <w:rsid w:val="00073D7A"/>
    <w:rsid w:val="000759E5"/>
    <w:rsid w:val="0008179E"/>
    <w:rsid w:val="00084351"/>
    <w:rsid w:val="00084AC6"/>
    <w:rsid w:val="00091608"/>
    <w:rsid w:val="0009333C"/>
    <w:rsid w:val="0009704F"/>
    <w:rsid w:val="000A0F11"/>
    <w:rsid w:val="000A125A"/>
    <w:rsid w:val="000A3336"/>
    <w:rsid w:val="000A57CD"/>
    <w:rsid w:val="000B2634"/>
    <w:rsid w:val="000B3758"/>
    <w:rsid w:val="000B3BD8"/>
    <w:rsid w:val="000B7681"/>
    <w:rsid w:val="000B7B42"/>
    <w:rsid w:val="000C02B7"/>
    <w:rsid w:val="000C5100"/>
    <w:rsid w:val="000C5342"/>
    <w:rsid w:val="000C706A"/>
    <w:rsid w:val="000D12C6"/>
    <w:rsid w:val="000D2887"/>
    <w:rsid w:val="000D6D63"/>
    <w:rsid w:val="000E0081"/>
    <w:rsid w:val="000E07CF"/>
    <w:rsid w:val="000E31C1"/>
    <w:rsid w:val="000F2CF2"/>
    <w:rsid w:val="00100BEF"/>
    <w:rsid w:val="00111326"/>
    <w:rsid w:val="0011498E"/>
    <w:rsid w:val="00117A45"/>
    <w:rsid w:val="001224AE"/>
    <w:rsid w:val="001337D4"/>
    <w:rsid w:val="00147C12"/>
    <w:rsid w:val="00150D89"/>
    <w:rsid w:val="001527A1"/>
    <w:rsid w:val="001530DC"/>
    <w:rsid w:val="00154989"/>
    <w:rsid w:val="00155A9F"/>
    <w:rsid w:val="00160262"/>
    <w:rsid w:val="0016780A"/>
    <w:rsid w:val="001713FA"/>
    <w:rsid w:val="00173EBF"/>
    <w:rsid w:val="00175ED3"/>
    <w:rsid w:val="00181089"/>
    <w:rsid w:val="001839CD"/>
    <w:rsid w:val="001842A2"/>
    <w:rsid w:val="001843CC"/>
    <w:rsid w:val="00186642"/>
    <w:rsid w:val="00187FA8"/>
    <w:rsid w:val="00192F5E"/>
    <w:rsid w:val="001955CD"/>
    <w:rsid w:val="00197772"/>
    <w:rsid w:val="001A1FAA"/>
    <w:rsid w:val="001A51C8"/>
    <w:rsid w:val="001B2743"/>
    <w:rsid w:val="001B4CA8"/>
    <w:rsid w:val="001B5EA1"/>
    <w:rsid w:val="001B5EDC"/>
    <w:rsid w:val="001C43EC"/>
    <w:rsid w:val="001C4F3D"/>
    <w:rsid w:val="001C7BF8"/>
    <w:rsid w:val="001D0CDC"/>
    <w:rsid w:val="001D1D82"/>
    <w:rsid w:val="001E1182"/>
    <w:rsid w:val="00202C90"/>
    <w:rsid w:val="0021269A"/>
    <w:rsid w:val="00213DE8"/>
    <w:rsid w:val="00216118"/>
    <w:rsid w:val="002209AB"/>
    <w:rsid w:val="00221EED"/>
    <w:rsid w:val="002251E3"/>
    <w:rsid w:val="00227A95"/>
    <w:rsid w:val="002316BD"/>
    <w:rsid w:val="002353DA"/>
    <w:rsid w:val="002473FC"/>
    <w:rsid w:val="00252E3C"/>
    <w:rsid w:val="00262198"/>
    <w:rsid w:val="0028290B"/>
    <w:rsid w:val="00285F1B"/>
    <w:rsid w:val="00292B81"/>
    <w:rsid w:val="0029475D"/>
    <w:rsid w:val="002A49AF"/>
    <w:rsid w:val="002B18AE"/>
    <w:rsid w:val="002C1C93"/>
    <w:rsid w:val="002C5066"/>
    <w:rsid w:val="002C5813"/>
    <w:rsid w:val="002C6824"/>
    <w:rsid w:val="002D4AAC"/>
    <w:rsid w:val="002F045A"/>
    <w:rsid w:val="002F0B87"/>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56DE8"/>
    <w:rsid w:val="0035725F"/>
    <w:rsid w:val="00365147"/>
    <w:rsid w:val="0037016E"/>
    <w:rsid w:val="00372908"/>
    <w:rsid w:val="00383020"/>
    <w:rsid w:val="00394D7E"/>
    <w:rsid w:val="003975FD"/>
    <w:rsid w:val="003A6D7D"/>
    <w:rsid w:val="003B057D"/>
    <w:rsid w:val="003B4751"/>
    <w:rsid w:val="003B60CC"/>
    <w:rsid w:val="003C1B25"/>
    <w:rsid w:val="003C2443"/>
    <w:rsid w:val="003C5DA3"/>
    <w:rsid w:val="003D4BCD"/>
    <w:rsid w:val="003D6C2B"/>
    <w:rsid w:val="003E01D8"/>
    <w:rsid w:val="003E2100"/>
    <w:rsid w:val="003E4571"/>
    <w:rsid w:val="003F6F5B"/>
    <w:rsid w:val="0040342D"/>
    <w:rsid w:val="0041192D"/>
    <w:rsid w:val="00413EE1"/>
    <w:rsid w:val="00416A21"/>
    <w:rsid w:val="0042128E"/>
    <w:rsid w:val="00432B60"/>
    <w:rsid w:val="00440698"/>
    <w:rsid w:val="004540E2"/>
    <w:rsid w:val="00454454"/>
    <w:rsid w:val="00467924"/>
    <w:rsid w:val="004712A5"/>
    <w:rsid w:val="00472442"/>
    <w:rsid w:val="0047266F"/>
    <w:rsid w:val="00476D6B"/>
    <w:rsid w:val="00492979"/>
    <w:rsid w:val="00492C16"/>
    <w:rsid w:val="004A0678"/>
    <w:rsid w:val="004A48A3"/>
    <w:rsid w:val="004B0D92"/>
    <w:rsid w:val="004B0EC0"/>
    <w:rsid w:val="004B66F1"/>
    <w:rsid w:val="004C3EA0"/>
    <w:rsid w:val="004C4525"/>
    <w:rsid w:val="004F7169"/>
    <w:rsid w:val="00500D66"/>
    <w:rsid w:val="005037E3"/>
    <w:rsid w:val="00514C8E"/>
    <w:rsid w:val="00520DED"/>
    <w:rsid w:val="0052142A"/>
    <w:rsid w:val="0053187A"/>
    <w:rsid w:val="00531DBF"/>
    <w:rsid w:val="00545759"/>
    <w:rsid w:val="00545BE0"/>
    <w:rsid w:val="00546930"/>
    <w:rsid w:val="00554C6A"/>
    <w:rsid w:val="00560375"/>
    <w:rsid w:val="00562E85"/>
    <w:rsid w:val="0056332F"/>
    <w:rsid w:val="005719B3"/>
    <w:rsid w:val="0057295E"/>
    <w:rsid w:val="0057698D"/>
    <w:rsid w:val="0058167E"/>
    <w:rsid w:val="00581C39"/>
    <w:rsid w:val="005903B6"/>
    <w:rsid w:val="005918A7"/>
    <w:rsid w:val="005A0247"/>
    <w:rsid w:val="005A126E"/>
    <w:rsid w:val="005A452F"/>
    <w:rsid w:val="005B140D"/>
    <w:rsid w:val="005C1FEA"/>
    <w:rsid w:val="005C3495"/>
    <w:rsid w:val="005D1194"/>
    <w:rsid w:val="005E3DFC"/>
    <w:rsid w:val="005E5942"/>
    <w:rsid w:val="005E60AF"/>
    <w:rsid w:val="005F1DEA"/>
    <w:rsid w:val="005F3CC9"/>
    <w:rsid w:val="00607FC9"/>
    <w:rsid w:val="00622FE1"/>
    <w:rsid w:val="0062521C"/>
    <w:rsid w:val="00630A2B"/>
    <w:rsid w:val="00632DC7"/>
    <w:rsid w:val="006357FB"/>
    <w:rsid w:val="00636516"/>
    <w:rsid w:val="006406FC"/>
    <w:rsid w:val="00640E57"/>
    <w:rsid w:val="00645C89"/>
    <w:rsid w:val="00646122"/>
    <w:rsid w:val="00653E16"/>
    <w:rsid w:val="00657220"/>
    <w:rsid w:val="00657362"/>
    <w:rsid w:val="0066104B"/>
    <w:rsid w:val="006655EE"/>
    <w:rsid w:val="00667C10"/>
    <w:rsid w:val="00667EF4"/>
    <w:rsid w:val="00676FCA"/>
    <w:rsid w:val="00677177"/>
    <w:rsid w:val="00683C8C"/>
    <w:rsid w:val="0068612E"/>
    <w:rsid w:val="00687C92"/>
    <w:rsid w:val="0069534E"/>
    <w:rsid w:val="0069669C"/>
    <w:rsid w:val="006A1200"/>
    <w:rsid w:val="006A32D6"/>
    <w:rsid w:val="006A4F4E"/>
    <w:rsid w:val="006A6C23"/>
    <w:rsid w:val="006B14DB"/>
    <w:rsid w:val="006B21C4"/>
    <w:rsid w:val="006C4A1A"/>
    <w:rsid w:val="006D0393"/>
    <w:rsid w:val="006D1A83"/>
    <w:rsid w:val="006D1C1D"/>
    <w:rsid w:val="006D34F3"/>
    <w:rsid w:val="006E1CFE"/>
    <w:rsid w:val="006E58D0"/>
    <w:rsid w:val="006F10C4"/>
    <w:rsid w:val="006F40E9"/>
    <w:rsid w:val="006F5603"/>
    <w:rsid w:val="006F7B87"/>
    <w:rsid w:val="00701400"/>
    <w:rsid w:val="007037CF"/>
    <w:rsid w:val="007063E1"/>
    <w:rsid w:val="007167C0"/>
    <w:rsid w:val="00720481"/>
    <w:rsid w:val="00733193"/>
    <w:rsid w:val="007430E0"/>
    <w:rsid w:val="00744DDA"/>
    <w:rsid w:val="00745E03"/>
    <w:rsid w:val="0075732A"/>
    <w:rsid w:val="007600F8"/>
    <w:rsid w:val="00760262"/>
    <w:rsid w:val="0076310C"/>
    <w:rsid w:val="0076744F"/>
    <w:rsid w:val="00767BCE"/>
    <w:rsid w:val="00767EFC"/>
    <w:rsid w:val="007707DE"/>
    <w:rsid w:val="00770B5D"/>
    <w:rsid w:val="007752F1"/>
    <w:rsid w:val="00776768"/>
    <w:rsid w:val="007777A6"/>
    <w:rsid w:val="0078187A"/>
    <w:rsid w:val="00781C46"/>
    <w:rsid w:val="007843C2"/>
    <w:rsid w:val="00794ED8"/>
    <w:rsid w:val="007A2573"/>
    <w:rsid w:val="007A41ED"/>
    <w:rsid w:val="007B106C"/>
    <w:rsid w:val="007B1A4E"/>
    <w:rsid w:val="007B3D05"/>
    <w:rsid w:val="007B5503"/>
    <w:rsid w:val="007C179C"/>
    <w:rsid w:val="007C21E3"/>
    <w:rsid w:val="007C6BB3"/>
    <w:rsid w:val="007D14B4"/>
    <w:rsid w:val="007D3AD7"/>
    <w:rsid w:val="007E24F6"/>
    <w:rsid w:val="007E6086"/>
    <w:rsid w:val="007F50DF"/>
    <w:rsid w:val="00800F64"/>
    <w:rsid w:val="00801050"/>
    <w:rsid w:val="00802F0B"/>
    <w:rsid w:val="00810A67"/>
    <w:rsid w:val="008120D7"/>
    <w:rsid w:val="00824A41"/>
    <w:rsid w:val="00833CF7"/>
    <w:rsid w:val="00834CDE"/>
    <w:rsid w:val="00842464"/>
    <w:rsid w:val="00845601"/>
    <w:rsid w:val="00855C5C"/>
    <w:rsid w:val="008673DB"/>
    <w:rsid w:val="008679B5"/>
    <w:rsid w:val="008A3C96"/>
    <w:rsid w:val="008B4019"/>
    <w:rsid w:val="008B65C9"/>
    <w:rsid w:val="008C2D4A"/>
    <w:rsid w:val="008D3900"/>
    <w:rsid w:val="008D6E1D"/>
    <w:rsid w:val="008F39B4"/>
    <w:rsid w:val="008F4162"/>
    <w:rsid w:val="00903E02"/>
    <w:rsid w:val="00905E5F"/>
    <w:rsid w:val="00913175"/>
    <w:rsid w:val="00915D47"/>
    <w:rsid w:val="00916EDB"/>
    <w:rsid w:val="00920861"/>
    <w:rsid w:val="00922B13"/>
    <w:rsid w:val="009242EF"/>
    <w:rsid w:val="00932291"/>
    <w:rsid w:val="00932861"/>
    <w:rsid w:val="0093408E"/>
    <w:rsid w:val="0093522D"/>
    <w:rsid w:val="00944ACD"/>
    <w:rsid w:val="00952DDF"/>
    <w:rsid w:val="009610A3"/>
    <w:rsid w:val="00963B6A"/>
    <w:rsid w:val="00970950"/>
    <w:rsid w:val="00976F3F"/>
    <w:rsid w:val="009812D4"/>
    <w:rsid w:val="00984195"/>
    <w:rsid w:val="009920D8"/>
    <w:rsid w:val="00992364"/>
    <w:rsid w:val="009952F5"/>
    <w:rsid w:val="009B38BE"/>
    <w:rsid w:val="009C2A57"/>
    <w:rsid w:val="009C3D0F"/>
    <w:rsid w:val="009E1109"/>
    <w:rsid w:val="009E1B19"/>
    <w:rsid w:val="009F35E2"/>
    <w:rsid w:val="009F65F9"/>
    <w:rsid w:val="009F68BA"/>
    <w:rsid w:val="009F75FE"/>
    <w:rsid w:val="00A06277"/>
    <w:rsid w:val="00A079DC"/>
    <w:rsid w:val="00A111C2"/>
    <w:rsid w:val="00A338E7"/>
    <w:rsid w:val="00A35CAA"/>
    <w:rsid w:val="00A36E7F"/>
    <w:rsid w:val="00A41E65"/>
    <w:rsid w:val="00A43E0A"/>
    <w:rsid w:val="00A530C7"/>
    <w:rsid w:val="00A55F5B"/>
    <w:rsid w:val="00A57853"/>
    <w:rsid w:val="00A60185"/>
    <w:rsid w:val="00A60624"/>
    <w:rsid w:val="00A622A3"/>
    <w:rsid w:val="00A661EA"/>
    <w:rsid w:val="00A75905"/>
    <w:rsid w:val="00A77DAC"/>
    <w:rsid w:val="00A830E5"/>
    <w:rsid w:val="00A863EC"/>
    <w:rsid w:val="00A87135"/>
    <w:rsid w:val="00A93280"/>
    <w:rsid w:val="00A951EA"/>
    <w:rsid w:val="00AA2548"/>
    <w:rsid w:val="00AA58C4"/>
    <w:rsid w:val="00AA7003"/>
    <w:rsid w:val="00AB11C8"/>
    <w:rsid w:val="00AB7902"/>
    <w:rsid w:val="00AC08A8"/>
    <w:rsid w:val="00AD56C8"/>
    <w:rsid w:val="00AD58F2"/>
    <w:rsid w:val="00B0128C"/>
    <w:rsid w:val="00B0512A"/>
    <w:rsid w:val="00B0529F"/>
    <w:rsid w:val="00B05F5F"/>
    <w:rsid w:val="00B1418B"/>
    <w:rsid w:val="00B21195"/>
    <w:rsid w:val="00B24B22"/>
    <w:rsid w:val="00B25310"/>
    <w:rsid w:val="00B32F8F"/>
    <w:rsid w:val="00B3492A"/>
    <w:rsid w:val="00B54DE9"/>
    <w:rsid w:val="00B553EC"/>
    <w:rsid w:val="00B55E3F"/>
    <w:rsid w:val="00B6012C"/>
    <w:rsid w:val="00B63C1E"/>
    <w:rsid w:val="00B73BB4"/>
    <w:rsid w:val="00B83698"/>
    <w:rsid w:val="00B9002A"/>
    <w:rsid w:val="00B93DD0"/>
    <w:rsid w:val="00B9649F"/>
    <w:rsid w:val="00B97732"/>
    <w:rsid w:val="00BA65A8"/>
    <w:rsid w:val="00BA6D19"/>
    <w:rsid w:val="00BA7461"/>
    <w:rsid w:val="00BA7DA9"/>
    <w:rsid w:val="00BC4215"/>
    <w:rsid w:val="00BD1A6F"/>
    <w:rsid w:val="00BE0F48"/>
    <w:rsid w:val="00BE6D3C"/>
    <w:rsid w:val="00BE7852"/>
    <w:rsid w:val="00BF7CEE"/>
    <w:rsid w:val="00C026DA"/>
    <w:rsid w:val="00C03880"/>
    <w:rsid w:val="00C135CF"/>
    <w:rsid w:val="00C2683F"/>
    <w:rsid w:val="00C270D7"/>
    <w:rsid w:val="00C3184D"/>
    <w:rsid w:val="00C4714E"/>
    <w:rsid w:val="00C51CCA"/>
    <w:rsid w:val="00C5504F"/>
    <w:rsid w:val="00C57B55"/>
    <w:rsid w:val="00C63376"/>
    <w:rsid w:val="00C64777"/>
    <w:rsid w:val="00C74F97"/>
    <w:rsid w:val="00C8276E"/>
    <w:rsid w:val="00C842AC"/>
    <w:rsid w:val="00C93814"/>
    <w:rsid w:val="00C96688"/>
    <w:rsid w:val="00C96B38"/>
    <w:rsid w:val="00CA0723"/>
    <w:rsid w:val="00CB1690"/>
    <w:rsid w:val="00CC4365"/>
    <w:rsid w:val="00CC5394"/>
    <w:rsid w:val="00CD11B0"/>
    <w:rsid w:val="00CD2234"/>
    <w:rsid w:val="00CD2CDD"/>
    <w:rsid w:val="00CE5C2A"/>
    <w:rsid w:val="00CE71C2"/>
    <w:rsid w:val="00CF34E9"/>
    <w:rsid w:val="00CF42D5"/>
    <w:rsid w:val="00CF4EDA"/>
    <w:rsid w:val="00D021CB"/>
    <w:rsid w:val="00D10F1A"/>
    <w:rsid w:val="00D116F8"/>
    <w:rsid w:val="00D17596"/>
    <w:rsid w:val="00D21D54"/>
    <w:rsid w:val="00D22640"/>
    <w:rsid w:val="00D2475A"/>
    <w:rsid w:val="00D26D3A"/>
    <w:rsid w:val="00D45EE3"/>
    <w:rsid w:val="00D50618"/>
    <w:rsid w:val="00D50688"/>
    <w:rsid w:val="00D509E9"/>
    <w:rsid w:val="00D53B1C"/>
    <w:rsid w:val="00D549C3"/>
    <w:rsid w:val="00D6512C"/>
    <w:rsid w:val="00D877F5"/>
    <w:rsid w:val="00D932D9"/>
    <w:rsid w:val="00DA1B12"/>
    <w:rsid w:val="00DA54C9"/>
    <w:rsid w:val="00DA6739"/>
    <w:rsid w:val="00DA6CAE"/>
    <w:rsid w:val="00DB1A9E"/>
    <w:rsid w:val="00DB31D6"/>
    <w:rsid w:val="00DB3521"/>
    <w:rsid w:val="00DB4005"/>
    <w:rsid w:val="00DC34EB"/>
    <w:rsid w:val="00DD7A6B"/>
    <w:rsid w:val="00DF1E5B"/>
    <w:rsid w:val="00DF2275"/>
    <w:rsid w:val="00DF2B4E"/>
    <w:rsid w:val="00DF3F5E"/>
    <w:rsid w:val="00DF5653"/>
    <w:rsid w:val="00E016C7"/>
    <w:rsid w:val="00E0596E"/>
    <w:rsid w:val="00E06F66"/>
    <w:rsid w:val="00E11A4A"/>
    <w:rsid w:val="00E228C4"/>
    <w:rsid w:val="00E356E5"/>
    <w:rsid w:val="00E36F81"/>
    <w:rsid w:val="00E45765"/>
    <w:rsid w:val="00E5098C"/>
    <w:rsid w:val="00E60213"/>
    <w:rsid w:val="00E607FE"/>
    <w:rsid w:val="00E661B2"/>
    <w:rsid w:val="00E74D29"/>
    <w:rsid w:val="00E75C2A"/>
    <w:rsid w:val="00E83C74"/>
    <w:rsid w:val="00E83CEE"/>
    <w:rsid w:val="00E91F18"/>
    <w:rsid w:val="00E9226D"/>
    <w:rsid w:val="00EA416C"/>
    <w:rsid w:val="00EA5941"/>
    <w:rsid w:val="00EB60CE"/>
    <w:rsid w:val="00EB7D53"/>
    <w:rsid w:val="00EC546B"/>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55F44"/>
    <w:rsid w:val="00F57A6E"/>
    <w:rsid w:val="00F645E6"/>
    <w:rsid w:val="00F65A1C"/>
    <w:rsid w:val="00F66F50"/>
    <w:rsid w:val="00F82FF8"/>
    <w:rsid w:val="00F8330D"/>
    <w:rsid w:val="00F84305"/>
    <w:rsid w:val="00F8485C"/>
    <w:rsid w:val="00F87149"/>
    <w:rsid w:val="00F87CB0"/>
    <w:rsid w:val="00F87FFE"/>
    <w:rsid w:val="00F954C9"/>
    <w:rsid w:val="00FA4CF0"/>
    <w:rsid w:val="00FA61AA"/>
    <w:rsid w:val="00FA69A4"/>
    <w:rsid w:val="00FB03D6"/>
    <w:rsid w:val="00FB1279"/>
    <w:rsid w:val="00FB1495"/>
    <w:rsid w:val="00FD1694"/>
    <w:rsid w:val="00FD7636"/>
    <w:rsid w:val="00FE1AE3"/>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Body Text Indent 3" w:uiPriority="0"/>
    <w:lsdException w:name="Strong" w:semiHidden="0" w:uiPriority="22" w:unhideWhenUsed="0"/>
    <w:lsdException w:name="Emphasis" w:semiHidden="0" w:uiPriority="0" w:unhideWhenUsed="0" w:qFormat="1"/>
    <w:lsdException w:name="Document Map" w:uiPriority="0"/>
    <w:lsdException w:name="Plain Text" w:uiPriority="0"/>
    <w:lsdException w:name="HTML Acronym"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b/>
      <w:bCs/>
    </w:rPr>
  </w:style>
  <w:style w:type="paragraph" w:customStyle="1" w:styleId="bodytext">
    <w:name w:val="body text"/>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HTMLAcronym">
    <w:name w:val="HTML Acronym"/>
    <w:basedOn w:val="DefaultParagraphFont"/>
    <w:rsid w:val="009F75FE"/>
  </w:style>
</w:styles>
</file>

<file path=word/webSettings.xml><?xml version="1.0" encoding="utf-8"?>
<w:webSettings xmlns:r="http://schemas.openxmlformats.org/officeDocument/2006/relationships" xmlns:w="http://schemas.openxmlformats.org/wordprocessingml/2006/main">
  <w:divs>
    <w:div w:id="69299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3.%20Assessment%20Report\Assessment%20Report%20Template%20with%20Conten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Regulation</Function>
    <IconOverlay xmlns="http://schemas.microsoft.com/sharepoint/v4" xsi:nil="true"/>
    <DocumentDescription xmlns="344c6e69-c594-4ca4-b341-09ae9dfc1422">Assessment of the Qld Eel Fishery - April 2014</DocumentDescription>
    <RecordNumber xmlns="344c6e69-c594-4ca4-b341-09ae9dfc1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51A198E9-7CB1-47E1-B1F9-32418A2D617C}">
  <ds:schemaRefs>
    <ds:schemaRef ds:uri="http://schemas.microsoft.com/office/2006/metadata/customXsn"/>
  </ds:schemaRefs>
</ds:datastoreItem>
</file>

<file path=customXml/itemProps2.xml><?xml version="1.0" encoding="utf-8"?>
<ds:datastoreItem xmlns:ds="http://schemas.openxmlformats.org/officeDocument/2006/customXml" ds:itemID="{B530482A-1745-4B25-AA8E-5141A61FA35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18B09A6E-ED8B-4646-86AB-DAF5A13D9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017381-0297-4AA0-AC3A-00EABD39EE04}">
  <ds:schemaRefs>
    <ds:schemaRef ds:uri="http://schemas.microsoft.com/sharepoint/v3/contenttype/forms"/>
  </ds:schemaRefs>
</ds:datastoreItem>
</file>

<file path=customXml/itemProps5.xml><?xml version="1.0" encoding="utf-8"?>
<ds:datastoreItem xmlns:ds="http://schemas.openxmlformats.org/officeDocument/2006/customXml" ds:itemID="{2EE51483-C541-495B-8CE2-87E478B91AC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Assessment Report Template with Contents</Template>
  <TotalTime>0</TotalTime>
  <Pages>19</Pages>
  <Words>4543</Words>
  <Characters>25899</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Assessment report - QEF 2014</vt:lpstr>
    </vt:vector>
  </TitlesOfParts>
  <Company>DEWHA</Company>
  <LinksUpToDate>false</LinksUpToDate>
  <CharactersWithSpaces>30382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 QEF 2014</dc:title>
  <dc:creator>KCameron</dc:creator>
  <cp:lastModifiedBy>a12990</cp:lastModifiedBy>
  <cp:revision>2</cp:revision>
  <dcterms:created xsi:type="dcterms:W3CDTF">2014-06-30T03:14:00Z</dcterms:created>
  <dcterms:modified xsi:type="dcterms:W3CDTF">2014-06-30T03:14:00Z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RecordPoint_SubmissionDate">
    <vt:lpwstr/>
  </property>
  <property fmtid="{D5CDD505-2E9C-101B-9397-08002B2CF9AE}" pid="4" name="RecordPoint_ActiveItemSiteId">
    <vt:lpwstr/>
  </property>
  <property fmtid="{D5CDD505-2E9C-101B-9397-08002B2CF9AE}" pid="5" name="RecordPoint_ActiveItemListId">
    <vt:lpwstr/>
  </property>
  <property fmtid="{D5CDD505-2E9C-101B-9397-08002B2CF9AE}" pid="6" name="RecordPoint_ActiveItemMoved">
    <vt:lpwstr/>
  </property>
  <property fmtid="{D5CDD505-2E9C-101B-9397-08002B2CF9AE}" pid="7" name="RecordPoint_RecordFormat">
    <vt:lpwstr/>
  </property>
  <property fmtid="{D5CDD505-2E9C-101B-9397-08002B2CF9AE}" pid="8" name="RecordPoint_SubmissionCompleted">
    <vt:lpwstr/>
  </property>
  <property fmtid="{D5CDD505-2E9C-101B-9397-08002B2CF9AE}" pid="9" name="RecordPoint_ActiveItemUniqueId">
    <vt:lpwstr/>
  </property>
  <property fmtid="{D5CDD505-2E9C-101B-9397-08002B2CF9AE}" pid="10" name="RecordPoint_ActiveItemWebId">
    <vt:lpwstr/>
  </property>
  <property fmtid="{D5CDD505-2E9C-101B-9397-08002B2CF9AE}" pid="11" name="RecordPoint_WorkflowType">
    <vt:lpwstr>ActiveSubmitStub</vt:lpwstr>
  </property>
</Properties>
</file>