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3510B" w14:textId="77777777" w:rsidR="00FC1B0B" w:rsidRPr="000868A0" w:rsidRDefault="00FC1B0B" w:rsidP="00FC1B0B">
      <w:pPr>
        <w:widowControl w:val="0"/>
        <w:tabs>
          <w:tab w:val="left" w:pos="6700"/>
        </w:tabs>
        <w:spacing w:after="120"/>
        <w:jc w:val="center"/>
        <w:rPr>
          <w:rFonts w:cs="Arial"/>
          <w:b/>
          <w:sz w:val="48"/>
        </w:rPr>
      </w:pPr>
      <w:r w:rsidRPr="000868A0">
        <w:rPr>
          <w:rFonts w:cs="Arial"/>
          <w:b/>
          <w:noProof/>
          <w:sz w:val="48"/>
          <w:lang w:eastAsia="en-AU"/>
        </w:rPr>
        <w:drawing>
          <wp:inline distT="0" distB="0" distL="0" distR="0" wp14:anchorId="426351CA" wp14:editId="426351CB">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4263510C" w14:textId="77777777" w:rsidR="00FC1B0B" w:rsidRPr="000868A0" w:rsidRDefault="00FC1B0B" w:rsidP="00FC1B0B">
      <w:pPr>
        <w:widowControl w:val="0"/>
        <w:tabs>
          <w:tab w:val="left" w:pos="6700"/>
        </w:tabs>
        <w:spacing w:after="120"/>
        <w:jc w:val="center"/>
        <w:rPr>
          <w:rFonts w:cs="Arial"/>
          <w:b/>
          <w:sz w:val="48"/>
        </w:rPr>
      </w:pPr>
    </w:p>
    <w:p w14:paraId="4263510D" w14:textId="77777777" w:rsidR="00FC1B0B" w:rsidRPr="000868A0" w:rsidRDefault="00FC1B0B" w:rsidP="00FC1B0B">
      <w:pPr>
        <w:widowControl w:val="0"/>
        <w:tabs>
          <w:tab w:val="left" w:pos="6700"/>
        </w:tabs>
        <w:spacing w:after="120"/>
        <w:rPr>
          <w:rFonts w:cs="Arial"/>
          <w:b/>
          <w:sz w:val="48"/>
        </w:rPr>
      </w:pPr>
    </w:p>
    <w:p w14:paraId="4263510E" w14:textId="77777777" w:rsidR="00FC1B0B" w:rsidRPr="000868A0" w:rsidRDefault="00FC1B0B" w:rsidP="00FC1B0B">
      <w:pPr>
        <w:widowControl w:val="0"/>
        <w:tabs>
          <w:tab w:val="left" w:pos="6700"/>
        </w:tabs>
        <w:spacing w:after="120"/>
        <w:rPr>
          <w:rFonts w:cs="Arial"/>
          <w:b/>
          <w:sz w:val="48"/>
        </w:rPr>
      </w:pPr>
    </w:p>
    <w:p w14:paraId="4263510F" w14:textId="77777777" w:rsidR="00FC1B0B" w:rsidRPr="000868A0" w:rsidRDefault="00FC1B0B" w:rsidP="00FC1B0B">
      <w:pPr>
        <w:spacing w:after="120"/>
        <w:jc w:val="center"/>
        <w:rPr>
          <w:rFonts w:cs="Arial"/>
          <w:sz w:val="36"/>
        </w:rPr>
      </w:pPr>
      <w:r>
        <w:rPr>
          <w:rFonts w:cs="Arial"/>
          <w:sz w:val="36"/>
        </w:rPr>
        <w:t>As</w:t>
      </w:r>
      <w:bookmarkStart w:id="0" w:name="_GoBack"/>
      <w:bookmarkEnd w:id="0"/>
      <w:r>
        <w:rPr>
          <w:rFonts w:cs="Arial"/>
          <w:sz w:val="36"/>
        </w:rPr>
        <w:t>sessment of</w:t>
      </w:r>
    </w:p>
    <w:p w14:paraId="30850273" w14:textId="3D7298CC" w:rsidR="00C1547A" w:rsidRDefault="00D8201E" w:rsidP="00C1547A">
      <w:pPr>
        <w:pStyle w:val="Heading6"/>
        <w:spacing w:after="120"/>
        <w:jc w:val="center"/>
        <w:rPr>
          <w:rFonts w:ascii="Arial" w:hAnsi="Arial" w:cs="Arial"/>
          <w:sz w:val="36"/>
        </w:rPr>
      </w:pPr>
      <w:r>
        <w:rPr>
          <w:rFonts w:ascii="Arial" w:hAnsi="Arial" w:cs="Arial"/>
          <w:sz w:val="36"/>
        </w:rPr>
        <w:t>Australian Insect Farm</w:t>
      </w:r>
    </w:p>
    <w:p w14:paraId="41C84E70" w14:textId="3A823F8E" w:rsidR="005C1543" w:rsidRPr="00DF3AD0" w:rsidRDefault="00931272" w:rsidP="00931272">
      <w:pPr>
        <w:jc w:val="center"/>
        <w:rPr>
          <w:b/>
          <w:sz w:val="36"/>
          <w:lang w:eastAsia="en-AU"/>
        </w:rPr>
      </w:pPr>
      <w:r>
        <w:rPr>
          <w:b/>
          <w:sz w:val="36"/>
          <w:lang w:eastAsia="en-AU"/>
        </w:rPr>
        <w:t>s</w:t>
      </w:r>
      <w:r w:rsidRPr="00931272">
        <w:rPr>
          <w:b/>
          <w:sz w:val="36"/>
          <w:lang w:eastAsia="en-AU"/>
        </w:rPr>
        <w:t>mall</w:t>
      </w:r>
      <w:r w:rsidR="005C1543" w:rsidRPr="00931272">
        <w:rPr>
          <w:b/>
          <w:sz w:val="36"/>
          <w:lang w:eastAsia="en-AU"/>
        </w:rPr>
        <w:t>-scale wildlife trade operation</w:t>
      </w:r>
    </w:p>
    <w:p w14:paraId="79BBBE01" w14:textId="77777777" w:rsidR="00C1547A" w:rsidRPr="000868A0" w:rsidRDefault="00C1547A" w:rsidP="00C1547A">
      <w:pPr>
        <w:widowControl w:val="0"/>
        <w:tabs>
          <w:tab w:val="left" w:pos="6700"/>
        </w:tabs>
        <w:spacing w:after="120"/>
        <w:jc w:val="center"/>
        <w:rPr>
          <w:rFonts w:cs="Arial"/>
          <w:b/>
          <w:sz w:val="48"/>
        </w:rPr>
      </w:pPr>
    </w:p>
    <w:p w14:paraId="32753077" w14:textId="77777777" w:rsidR="00C1547A" w:rsidRPr="000868A0" w:rsidRDefault="00C1547A" w:rsidP="00C1547A">
      <w:pPr>
        <w:widowControl w:val="0"/>
        <w:tabs>
          <w:tab w:val="left" w:pos="6700"/>
        </w:tabs>
        <w:spacing w:after="120"/>
        <w:jc w:val="center"/>
        <w:rPr>
          <w:rFonts w:cs="Arial"/>
          <w:b/>
          <w:sz w:val="48"/>
        </w:rPr>
      </w:pPr>
    </w:p>
    <w:p w14:paraId="54D101B2" w14:textId="77777777" w:rsidR="00C1547A" w:rsidRPr="000868A0" w:rsidRDefault="00C1547A" w:rsidP="00C1547A">
      <w:pPr>
        <w:widowControl w:val="0"/>
        <w:tabs>
          <w:tab w:val="left" w:pos="6700"/>
        </w:tabs>
        <w:spacing w:after="120"/>
        <w:jc w:val="center"/>
        <w:rPr>
          <w:rFonts w:cs="Arial"/>
          <w:b/>
          <w:sz w:val="48"/>
        </w:rPr>
      </w:pPr>
    </w:p>
    <w:p w14:paraId="713AF9E7" w14:textId="77777777" w:rsidR="00C1547A" w:rsidRPr="000868A0" w:rsidRDefault="00C1547A" w:rsidP="00C1547A">
      <w:pPr>
        <w:widowControl w:val="0"/>
        <w:tabs>
          <w:tab w:val="left" w:pos="6700"/>
        </w:tabs>
        <w:spacing w:after="120"/>
        <w:jc w:val="center"/>
        <w:rPr>
          <w:rFonts w:cs="Arial"/>
          <w:b/>
        </w:rPr>
      </w:pPr>
    </w:p>
    <w:p w14:paraId="7E9216DD" w14:textId="77777777" w:rsidR="00C1547A" w:rsidRPr="000868A0" w:rsidRDefault="00C1547A" w:rsidP="00C1547A">
      <w:pPr>
        <w:widowControl w:val="0"/>
        <w:tabs>
          <w:tab w:val="left" w:pos="6700"/>
        </w:tabs>
        <w:spacing w:after="120"/>
        <w:jc w:val="center"/>
        <w:rPr>
          <w:rFonts w:cs="Arial"/>
          <w:b/>
        </w:rPr>
      </w:pPr>
    </w:p>
    <w:p w14:paraId="4584178B" w14:textId="77777777" w:rsidR="00C1547A" w:rsidRPr="000868A0" w:rsidRDefault="00C1547A" w:rsidP="00C1547A">
      <w:pPr>
        <w:widowControl w:val="0"/>
        <w:tabs>
          <w:tab w:val="left" w:pos="6700"/>
        </w:tabs>
        <w:spacing w:after="120"/>
        <w:jc w:val="center"/>
        <w:rPr>
          <w:rFonts w:cs="Arial"/>
          <w:b/>
        </w:rPr>
      </w:pPr>
    </w:p>
    <w:p w14:paraId="778801B0" w14:textId="77777777" w:rsidR="00C1547A" w:rsidRPr="000868A0" w:rsidRDefault="00C1547A" w:rsidP="00C1547A">
      <w:pPr>
        <w:widowControl w:val="0"/>
        <w:tabs>
          <w:tab w:val="left" w:pos="6700"/>
        </w:tabs>
        <w:spacing w:after="120"/>
        <w:jc w:val="center"/>
        <w:rPr>
          <w:rFonts w:cs="Arial"/>
          <w:b/>
        </w:rPr>
      </w:pPr>
    </w:p>
    <w:p w14:paraId="37B5C71B" w14:textId="77777777" w:rsidR="00C1547A" w:rsidRPr="000868A0" w:rsidRDefault="00C1547A" w:rsidP="00C1547A">
      <w:pPr>
        <w:widowControl w:val="0"/>
        <w:tabs>
          <w:tab w:val="left" w:pos="6700"/>
        </w:tabs>
        <w:spacing w:after="120"/>
        <w:jc w:val="center"/>
        <w:rPr>
          <w:rFonts w:cs="Arial"/>
          <w:b/>
        </w:rPr>
      </w:pPr>
    </w:p>
    <w:p w14:paraId="53A42E8C" w14:textId="77777777" w:rsidR="00C1547A" w:rsidRPr="000868A0" w:rsidRDefault="00C1547A" w:rsidP="00C1547A">
      <w:pPr>
        <w:widowControl w:val="0"/>
        <w:tabs>
          <w:tab w:val="left" w:pos="6700"/>
        </w:tabs>
        <w:spacing w:after="120"/>
        <w:jc w:val="center"/>
        <w:rPr>
          <w:rFonts w:cs="Arial"/>
          <w:b/>
        </w:rPr>
      </w:pPr>
    </w:p>
    <w:p w14:paraId="5C9AA599" w14:textId="3A864068" w:rsidR="00C1547A" w:rsidRDefault="00D8201E" w:rsidP="00C1547A">
      <w:pPr>
        <w:pStyle w:val="Heading7"/>
        <w:rPr>
          <w:rFonts w:ascii="Arial" w:hAnsi="Arial" w:cs="Arial"/>
          <w:lang w:val="en-AU"/>
        </w:rPr>
      </w:pPr>
      <w:r w:rsidRPr="00931272">
        <w:rPr>
          <w:rFonts w:ascii="Arial" w:hAnsi="Arial" w:cs="Arial"/>
          <w:lang w:val="en-AU"/>
        </w:rPr>
        <w:t>June</w:t>
      </w:r>
      <w:r w:rsidR="00C1547A" w:rsidRPr="00931272">
        <w:rPr>
          <w:rFonts w:ascii="Arial" w:hAnsi="Arial" w:cs="Arial"/>
          <w:lang w:val="en-AU"/>
        </w:rPr>
        <w:t xml:space="preserve"> </w:t>
      </w:r>
      <w:r w:rsidRPr="00931272">
        <w:rPr>
          <w:rFonts w:ascii="Arial" w:hAnsi="Arial" w:cs="Arial"/>
          <w:lang w:val="en-AU"/>
        </w:rPr>
        <w:t>2018</w:t>
      </w:r>
    </w:p>
    <w:p w14:paraId="4263511C" w14:textId="77777777" w:rsidR="00BC72A5" w:rsidRDefault="00BC72A5" w:rsidP="00BC72A5"/>
    <w:p w14:paraId="4263511D" w14:textId="77777777" w:rsidR="00BC72A5" w:rsidRDefault="00BC72A5">
      <w:pPr>
        <w:spacing w:after="0" w:line="240" w:lineRule="auto"/>
      </w:pPr>
      <w:r>
        <w:br w:type="page"/>
      </w:r>
    </w:p>
    <w:sdt>
      <w:sdtPr>
        <w:rPr>
          <w:rFonts w:ascii="Arial" w:eastAsia="Calibri" w:hAnsi="Arial" w:cs="Arial"/>
          <w:b/>
          <w:bCs/>
          <w:color w:val="auto"/>
          <w:sz w:val="22"/>
          <w:szCs w:val="22"/>
          <w:lang w:val="en-AU"/>
        </w:rPr>
        <w:id w:val="992149566"/>
        <w:docPartObj>
          <w:docPartGallery w:val="Table of Contents"/>
          <w:docPartUnique/>
        </w:docPartObj>
      </w:sdtPr>
      <w:sdtEndPr>
        <w:rPr>
          <w:b w:val="0"/>
          <w:bCs w:val="0"/>
          <w:noProof/>
        </w:rPr>
      </w:sdtEndPr>
      <w:sdtContent>
        <w:p w14:paraId="746CA361" w14:textId="77777777" w:rsidR="00567592" w:rsidRPr="00567592" w:rsidRDefault="00567592" w:rsidP="00567592">
          <w:pPr>
            <w:pStyle w:val="TOCHeading"/>
            <w:jc w:val="center"/>
            <w:rPr>
              <w:rFonts w:ascii="Arial" w:hAnsi="Arial" w:cs="Arial"/>
              <w:b/>
              <w:color w:val="auto"/>
              <w:sz w:val="24"/>
              <w:szCs w:val="24"/>
            </w:rPr>
          </w:pPr>
          <w:r w:rsidRPr="00567592">
            <w:rPr>
              <w:rFonts w:ascii="Arial" w:hAnsi="Arial" w:cs="Arial"/>
              <w:b/>
              <w:color w:val="auto"/>
              <w:sz w:val="24"/>
              <w:szCs w:val="24"/>
            </w:rPr>
            <w:t>CONTENTS</w:t>
          </w:r>
        </w:p>
        <w:p w14:paraId="06C4BF9F" w14:textId="77777777" w:rsidR="00567592" w:rsidRPr="000868A0" w:rsidRDefault="00567592" w:rsidP="00567592">
          <w:pPr>
            <w:pStyle w:val="TOC1"/>
          </w:pPr>
        </w:p>
        <w:p w14:paraId="3B19E558" w14:textId="38AACAEE" w:rsidR="00567592" w:rsidRDefault="00567592">
          <w:pPr>
            <w:pStyle w:val="TOC1"/>
            <w:rPr>
              <w:rFonts w:asciiTheme="minorHAnsi" w:eastAsiaTheme="minorEastAsia" w:hAnsiTheme="minorHAnsi" w:cstheme="minorBidi"/>
              <w:noProof/>
              <w:lang w:eastAsia="en-AU"/>
            </w:rPr>
          </w:pPr>
          <w:r w:rsidRPr="000868A0">
            <w:rPr>
              <w:rFonts w:eastAsia="Times New Roman" w:cs="Arial"/>
              <w:b/>
              <w:lang w:eastAsia="en-AU"/>
            </w:rPr>
            <w:fldChar w:fldCharType="begin"/>
          </w:r>
          <w:r w:rsidRPr="000868A0">
            <w:rPr>
              <w:rFonts w:cs="Arial"/>
              <w:b/>
            </w:rPr>
            <w:instrText xml:space="preserve"> TOC \o "1-3" \h \z \u </w:instrText>
          </w:r>
          <w:r w:rsidRPr="000868A0">
            <w:rPr>
              <w:rFonts w:eastAsia="Times New Roman" w:cs="Arial"/>
              <w:b/>
              <w:lang w:eastAsia="en-AU"/>
            </w:rPr>
            <w:fldChar w:fldCharType="separate"/>
          </w:r>
          <w:hyperlink w:anchor="_Toc513627606" w:history="1">
            <w:r w:rsidRPr="000E3D98">
              <w:rPr>
                <w:rStyle w:val="Hyperlink"/>
                <w:noProof/>
              </w:rPr>
              <w:t>Executive Summary</w:t>
            </w:r>
            <w:r>
              <w:rPr>
                <w:noProof/>
                <w:webHidden/>
              </w:rPr>
              <w:tab/>
            </w:r>
            <w:r>
              <w:rPr>
                <w:noProof/>
                <w:webHidden/>
              </w:rPr>
              <w:fldChar w:fldCharType="begin"/>
            </w:r>
            <w:r>
              <w:rPr>
                <w:noProof/>
                <w:webHidden/>
              </w:rPr>
              <w:instrText xml:space="preserve"> PAGEREF _Toc513627606 \h </w:instrText>
            </w:r>
            <w:r>
              <w:rPr>
                <w:noProof/>
                <w:webHidden/>
              </w:rPr>
            </w:r>
            <w:r>
              <w:rPr>
                <w:noProof/>
                <w:webHidden/>
              </w:rPr>
              <w:fldChar w:fldCharType="separate"/>
            </w:r>
            <w:r w:rsidR="00CC0483">
              <w:rPr>
                <w:noProof/>
                <w:webHidden/>
              </w:rPr>
              <w:t>3</w:t>
            </w:r>
            <w:r>
              <w:rPr>
                <w:noProof/>
                <w:webHidden/>
              </w:rPr>
              <w:fldChar w:fldCharType="end"/>
            </w:r>
          </w:hyperlink>
        </w:p>
        <w:p w14:paraId="6B8036E9" w14:textId="0B37EF72" w:rsidR="00567592" w:rsidRDefault="00902E47">
          <w:pPr>
            <w:pStyle w:val="TOC2"/>
            <w:tabs>
              <w:tab w:val="right" w:leader="dot" w:pos="9202"/>
            </w:tabs>
            <w:rPr>
              <w:rFonts w:asciiTheme="minorHAnsi" w:eastAsiaTheme="minorEastAsia" w:hAnsiTheme="minorHAnsi" w:cstheme="minorBidi"/>
              <w:noProof/>
              <w:lang w:eastAsia="en-AU"/>
            </w:rPr>
          </w:pPr>
          <w:hyperlink w:anchor="_Toc513627607" w:history="1">
            <w:r w:rsidR="00567592" w:rsidRPr="000E3D98">
              <w:rPr>
                <w:rStyle w:val="Hyperlink"/>
                <w:noProof/>
              </w:rPr>
              <w:t>Section 1: Summary</w:t>
            </w:r>
            <w:r w:rsidR="00567592">
              <w:rPr>
                <w:noProof/>
                <w:webHidden/>
              </w:rPr>
              <w:tab/>
            </w:r>
            <w:r w:rsidR="00567592">
              <w:rPr>
                <w:noProof/>
                <w:webHidden/>
              </w:rPr>
              <w:fldChar w:fldCharType="begin"/>
            </w:r>
            <w:r w:rsidR="00567592">
              <w:rPr>
                <w:noProof/>
                <w:webHidden/>
              </w:rPr>
              <w:instrText xml:space="preserve"> PAGEREF _Toc513627607 \h </w:instrText>
            </w:r>
            <w:r w:rsidR="00567592">
              <w:rPr>
                <w:noProof/>
                <w:webHidden/>
              </w:rPr>
            </w:r>
            <w:r w:rsidR="00567592">
              <w:rPr>
                <w:noProof/>
                <w:webHidden/>
              </w:rPr>
              <w:fldChar w:fldCharType="separate"/>
            </w:r>
            <w:r w:rsidR="00CC0483">
              <w:rPr>
                <w:noProof/>
                <w:webHidden/>
              </w:rPr>
              <w:t>4</w:t>
            </w:r>
            <w:r w:rsidR="00567592">
              <w:rPr>
                <w:noProof/>
                <w:webHidden/>
              </w:rPr>
              <w:fldChar w:fldCharType="end"/>
            </w:r>
          </w:hyperlink>
        </w:p>
        <w:p w14:paraId="30C76F99" w14:textId="7BE999DD" w:rsidR="00567592" w:rsidRDefault="00902E47">
          <w:pPr>
            <w:pStyle w:val="TOC2"/>
            <w:tabs>
              <w:tab w:val="right" w:leader="dot" w:pos="9202"/>
            </w:tabs>
            <w:rPr>
              <w:rFonts w:asciiTheme="minorHAnsi" w:eastAsiaTheme="minorEastAsia" w:hAnsiTheme="minorHAnsi" w:cstheme="minorBidi"/>
              <w:noProof/>
              <w:lang w:eastAsia="en-AU"/>
            </w:rPr>
          </w:pPr>
          <w:hyperlink w:anchor="_Toc513627608" w:history="1">
            <w:r w:rsidR="00567592" w:rsidRPr="000E3D98">
              <w:rPr>
                <w:rStyle w:val="Hyperlink"/>
                <w:noProof/>
              </w:rPr>
              <w:t>Section 2: Part 13A assessment</w:t>
            </w:r>
            <w:r w:rsidR="00567592">
              <w:rPr>
                <w:noProof/>
                <w:webHidden/>
              </w:rPr>
              <w:tab/>
            </w:r>
            <w:r w:rsidR="00567592">
              <w:rPr>
                <w:noProof/>
                <w:webHidden/>
              </w:rPr>
              <w:fldChar w:fldCharType="begin"/>
            </w:r>
            <w:r w:rsidR="00567592">
              <w:rPr>
                <w:noProof/>
                <w:webHidden/>
              </w:rPr>
              <w:instrText xml:space="preserve"> PAGEREF _Toc513627608 \h </w:instrText>
            </w:r>
            <w:r w:rsidR="00567592">
              <w:rPr>
                <w:noProof/>
                <w:webHidden/>
              </w:rPr>
            </w:r>
            <w:r w:rsidR="00567592">
              <w:rPr>
                <w:noProof/>
                <w:webHidden/>
              </w:rPr>
              <w:fldChar w:fldCharType="separate"/>
            </w:r>
            <w:r w:rsidR="00CC0483">
              <w:rPr>
                <w:noProof/>
                <w:webHidden/>
              </w:rPr>
              <w:t>4</w:t>
            </w:r>
            <w:r w:rsidR="00567592">
              <w:rPr>
                <w:noProof/>
                <w:webHidden/>
              </w:rPr>
              <w:fldChar w:fldCharType="end"/>
            </w:r>
          </w:hyperlink>
        </w:p>
        <w:p w14:paraId="6E110A3C" w14:textId="4BC0AEFE" w:rsidR="00567592" w:rsidRDefault="00902E47">
          <w:pPr>
            <w:pStyle w:val="TOC2"/>
            <w:tabs>
              <w:tab w:val="right" w:leader="dot" w:pos="9202"/>
            </w:tabs>
            <w:rPr>
              <w:rFonts w:asciiTheme="minorHAnsi" w:eastAsiaTheme="minorEastAsia" w:hAnsiTheme="minorHAnsi" w:cstheme="minorBidi"/>
              <w:noProof/>
              <w:lang w:eastAsia="en-AU"/>
            </w:rPr>
          </w:pPr>
          <w:hyperlink w:anchor="_Toc513627609" w:history="1">
            <w:r w:rsidR="00567592" w:rsidRPr="000E3D98">
              <w:rPr>
                <w:rStyle w:val="Hyperlink"/>
                <w:noProof/>
              </w:rPr>
              <w:t>Section 3: Recommended conditions</w:t>
            </w:r>
            <w:r w:rsidR="00567592">
              <w:rPr>
                <w:noProof/>
                <w:webHidden/>
              </w:rPr>
              <w:tab/>
            </w:r>
            <w:r w:rsidR="00567592">
              <w:rPr>
                <w:noProof/>
                <w:webHidden/>
              </w:rPr>
              <w:fldChar w:fldCharType="begin"/>
            </w:r>
            <w:r w:rsidR="00567592">
              <w:rPr>
                <w:noProof/>
                <w:webHidden/>
              </w:rPr>
              <w:instrText xml:space="preserve"> PAGEREF _Toc513627609 \h </w:instrText>
            </w:r>
            <w:r w:rsidR="00567592">
              <w:rPr>
                <w:noProof/>
                <w:webHidden/>
              </w:rPr>
            </w:r>
            <w:r w:rsidR="00567592">
              <w:rPr>
                <w:noProof/>
                <w:webHidden/>
              </w:rPr>
              <w:fldChar w:fldCharType="separate"/>
            </w:r>
            <w:r w:rsidR="00CC0483">
              <w:rPr>
                <w:noProof/>
                <w:webHidden/>
              </w:rPr>
              <w:t>8</w:t>
            </w:r>
            <w:r w:rsidR="00567592">
              <w:rPr>
                <w:noProof/>
                <w:webHidden/>
              </w:rPr>
              <w:fldChar w:fldCharType="end"/>
            </w:r>
          </w:hyperlink>
        </w:p>
        <w:p w14:paraId="28DD219E" w14:textId="77777777" w:rsidR="00567592" w:rsidRDefault="00567592" w:rsidP="00567592">
          <w:pPr>
            <w:rPr>
              <w:rFonts w:cs="Arial"/>
              <w:noProof/>
            </w:rPr>
          </w:pPr>
          <w:r w:rsidRPr="000868A0">
            <w:rPr>
              <w:rFonts w:cs="Arial"/>
              <w:b/>
              <w:bCs/>
              <w:noProof/>
            </w:rPr>
            <w:fldChar w:fldCharType="end"/>
          </w:r>
        </w:p>
      </w:sdtContent>
    </w:sdt>
    <w:p w14:paraId="42635129" w14:textId="77777777" w:rsidR="00BC72A5" w:rsidRDefault="00BC72A5" w:rsidP="00BC72A5">
      <w:pPr>
        <w:pStyle w:val="NormalWeb"/>
        <w:rPr>
          <w:rFonts w:ascii="Arial" w:hAnsi="Arial" w:cs="Arial"/>
          <w:sz w:val="16"/>
          <w:szCs w:val="16"/>
        </w:rPr>
      </w:pPr>
    </w:p>
    <w:p w14:paraId="4263512B" w14:textId="77777777" w:rsidR="00661057" w:rsidRDefault="00661057" w:rsidP="00BC72A5">
      <w:pPr>
        <w:pStyle w:val="NormalWeb"/>
        <w:rPr>
          <w:rFonts w:ascii="Arial" w:hAnsi="Arial" w:cs="Arial"/>
          <w:sz w:val="16"/>
          <w:szCs w:val="16"/>
        </w:rPr>
      </w:pPr>
    </w:p>
    <w:p w14:paraId="4263512C" w14:textId="77777777" w:rsidR="00661057" w:rsidRDefault="00661057" w:rsidP="00BC72A5">
      <w:pPr>
        <w:pStyle w:val="NormalWeb"/>
        <w:rPr>
          <w:rFonts w:ascii="Arial" w:hAnsi="Arial" w:cs="Arial"/>
          <w:sz w:val="16"/>
          <w:szCs w:val="16"/>
        </w:rPr>
      </w:pPr>
    </w:p>
    <w:p w14:paraId="4263512D" w14:textId="77777777" w:rsidR="00661057" w:rsidRDefault="00661057" w:rsidP="00BC72A5">
      <w:pPr>
        <w:pStyle w:val="NormalWeb"/>
        <w:rPr>
          <w:rFonts w:ascii="Arial" w:hAnsi="Arial" w:cs="Arial"/>
          <w:sz w:val="16"/>
          <w:szCs w:val="16"/>
        </w:rPr>
      </w:pPr>
    </w:p>
    <w:p w14:paraId="4263512E" w14:textId="77777777" w:rsidR="00BC72A5" w:rsidRDefault="00BC72A5" w:rsidP="00BC72A5">
      <w:pPr>
        <w:pStyle w:val="NormalWeb"/>
        <w:rPr>
          <w:rFonts w:ascii="Arial" w:hAnsi="Arial" w:cs="Arial"/>
          <w:sz w:val="16"/>
          <w:szCs w:val="16"/>
        </w:rPr>
      </w:pPr>
    </w:p>
    <w:p w14:paraId="16031611" w14:textId="0CEFE08C" w:rsidR="00567592" w:rsidRDefault="00567592" w:rsidP="00BC72A5">
      <w:pPr>
        <w:pStyle w:val="NormalWeb"/>
        <w:rPr>
          <w:rFonts w:ascii="Arial" w:hAnsi="Arial" w:cs="Arial"/>
          <w:sz w:val="16"/>
          <w:szCs w:val="16"/>
        </w:rPr>
      </w:pPr>
    </w:p>
    <w:p w14:paraId="0702AE93" w14:textId="77777777" w:rsidR="00567592" w:rsidRDefault="00567592" w:rsidP="00BC72A5">
      <w:pPr>
        <w:pStyle w:val="NormalWeb"/>
        <w:rPr>
          <w:rFonts w:ascii="Arial" w:hAnsi="Arial" w:cs="Arial"/>
          <w:sz w:val="16"/>
          <w:szCs w:val="16"/>
        </w:rPr>
      </w:pPr>
    </w:p>
    <w:p w14:paraId="39CB16F3" w14:textId="77777777" w:rsidR="00567592" w:rsidRDefault="00567592" w:rsidP="00BC72A5">
      <w:pPr>
        <w:pStyle w:val="NormalWeb"/>
        <w:rPr>
          <w:rFonts w:ascii="Arial" w:hAnsi="Arial" w:cs="Arial"/>
          <w:sz w:val="16"/>
          <w:szCs w:val="16"/>
        </w:rPr>
      </w:pPr>
    </w:p>
    <w:p w14:paraId="088B6AE8" w14:textId="77777777" w:rsidR="00567592" w:rsidRDefault="00567592" w:rsidP="00BC72A5">
      <w:pPr>
        <w:pStyle w:val="NormalWeb"/>
        <w:rPr>
          <w:rFonts w:ascii="Arial" w:hAnsi="Arial" w:cs="Arial"/>
          <w:sz w:val="16"/>
          <w:szCs w:val="16"/>
        </w:rPr>
      </w:pPr>
    </w:p>
    <w:p w14:paraId="6C20AD99" w14:textId="77777777" w:rsidR="00567592" w:rsidRDefault="00567592" w:rsidP="00BC72A5">
      <w:pPr>
        <w:pStyle w:val="NormalWeb"/>
        <w:rPr>
          <w:rFonts w:ascii="Arial" w:hAnsi="Arial" w:cs="Arial"/>
          <w:sz w:val="16"/>
          <w:szCs w:val="16"/>
        </w:rPr>
      </w:pPr>
    </w:p>
    <w:p w14:paraId="75870684" w14:textId="77777777" w:rsidR="00567592" w:rsidRDefault="00567592" w:rsidP="00BC72A5">
      <w:pPr>
        <w:pStyle w:val="NormalWeb"/>
        <w:rPr>
          <w:rFonts w:ascii="Arial" w:hAnsi="Arial" w:cs="Arial"/>
          <w:sz w:val="16"/>
          <w:szCs w:val="16"/>
        </w:rPr>
      </w:pPr>
    </w:p>
    <w:p w14:paraId="116E232F" w14:textId="2A9DDB4A" w:rsidR="00C1547A" w:rsidRPr="000868A0" w:rsidRDefault="00C1547A" w:rsidP="00C1547A">
      <w:pPr>
        <w:pStyle w:val="NormalWeb"/>
        <w:rPr>
          <w:rFonts w:ascii="Arial" w:hAnsi="Arial" w:cs="Arial"/>
          <w:sz w:val="16"/>
          <w:szCs w:val="16"/>
        </w:rPr>
      </w:pPr>
      <w:r w:rsidRPr="000868A0">
        <w:rPr>
          <w:rFonts w:ascii="Arial" w:hAnsi="Arial" w:cs="Arial"/>
          <w:sz w:val="16"/>
          <w:szCs w:val="16"/>
        </w:rPr>
        <w:t xml:space="preserve">© Copyright Commonwealth of Australia, </w:t>
      </w:r>
      <w:r w:rsidR="00D8201E">
        <w:rPr>
          <w:rFonts w:ascii="Arial" w:hAnsi="Arial" w:cs="Arial"/>
          <w:sz w:val="16"/>
          <w:szCs w:val="16"/>
        </w:rPr>
        <w:t>2018</w:t>
      </w:r>
      <w:r w:rsidRPr="000868A0">
        <w:rPr>
          <w:rFonts w:ascii="Arial" w:hAnsi="Arial" w:cs="Arial"/>
          <w:sz w:val="16"/>
          <w:szCs w:val="16"/>
        </w:rPr>
        <w:t>.</w:t>
      </w:r>
    </w:p>
    <w:p w14:paraId="494883A3" w14:textId="77777777" w:rsidR="00C1547A" w:rsidRPr="000868A0" w:rsidRDefault="00C1547A" w:rsidP="00C1547A">
      <w:pPr>
        <w:pStyle w:val="NormalWeb"/>
        <w:rPr>
          <w:rFonts w:ascii="Arial" w:hAnsi="Arial" w:cs="Arial"/>
          <w:i/>
          <w:sz w:val="16"/>
          <w:szCs w:val="16"/>
        </w:rPr>
      </w:pPr>
      <w:r w:rsidRPr="000868A0">
        <w:rPr>
          <w:rFonts w:ascii="Arial" w:hAnsi="Arial" w:cs="Arial"/>
          <w:noProof/>
          <w:sz w:val="16"/>
          <w:szCs w:val="16"/>
          <w:lang w:val="en-AU" w:eastAsia="en-AU"/>
        </w:rPr>
        <w:drawing>
          <wp:inline distT="0" distB="0" distL="0" distR="0" wp14:anchorId="3ACC29E3" wp14:editId="456FAF00">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7DEEDB94" w14:textId="6DF6DA24" w:rsidR="00C1547A" w:rsidRPr="000868A0" w:rsidRDefault="00C1547A" w:rsidP="00C1547A">
      <w:pPr>
        <w:pStyle w:val="NormalWeb"/>
        <w:rPr>
          <w:rFonts w:ascii="Arial" w:hAnsi="Arial" w:cs="Arial"/>
          <w:sz w:val="16"/>
          <w:szCs w:val="16"/>
        </w:rPr>
      </w:pPr>
      <w:r w:rsidRPr="000868A0">
        <w:rPr>
          <w:rFonts w:ascii="Arial" w:hAnsi="Arial" w:cs="Arial"/>
          <w:i/>
          <w:sz w:val="16"/>
          <w:szCs w:val="16"/>
        </w:rPr>
        <w:t xml:space="preserve">Assessment of </w:t>
      </w:r>
      <w:r w:rsidR="00182214">
        <w:rPr>
          <w:rFonts w:ascii="Arial" w:hAnsi="Arial" w:cs="Arial"/>
          <w:i/>
          <w:sz w:val="16"/>
          <w:szCs w:val="16"/>
        </w:rPr>
        <w:t xml:space="preserve">Australian Insect </w:t>
      </w:r>
      <w:r w:rsidR="00E33A62">
        <w:rPr>
          <w:rFonts w:ascii="Arial" w:hAnsi="Arial" w:cs="Arial"/>
          <w:i/>
          <w:sz w:val="16"/>
          <w:szCs w:val="16"/>
        </w:rPr>
        <w:t xml:space="preserve">Farm small-scale wildlife trade operation </w:t>
      </w:r>
      <w:r w:rsidR="00F822B8">
        <w:rPr>
          <w:rFonts w:ascii="Arial" w:hAnsi="Arial" w:cs="Arial"/>
          <w:i/>
          <w:sz w:val="16"/>
          <w:szCs w:val="16"/>
        </w:rPr>
        <w:t xml:space="preserve">June 2018 </w:t>
      </w:r>
      <w:r w:rsidRPr="000868A0">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4F6AB506" w14:textId="1B8F95D8" w:rsidR="00C1547A" w:rsidRDefault="00C1547A" w:rsidP="00C1547A">
      <w:pPr>
        <w:pStyle w:val="NormalWeb"/>
        <w:rPr>
          <w:rFonts w:ascii="Arial" w:hAnsi="Arial" w:cs="Arial"/>
          <w:sz w:val="16"/>
          <w:szCs w:val="16"/>
        </w:rPr>
      </w:pPr>
      <w:r w:rsidRPr="000868A0">
        <w:rPr>
          <w:rFonts w:ascii="Arial" w:hAnsi="Arial" w:cs="Arial"/>
          <w:sz w:val="16"/>
          <w:szCs w:val="16"/>
        </w:rPr>
        <w:t>This report should be attributed as ‘</w:t>
      </w:r>
      <w:r w:rsidRPr="00BC72A5">
        <w:rPr>
          <w:rFonts w:ascii="Arial" w:hAnsi="Arial" w:cs="Arial"/>
          <w:i/>
          <w:sz w:val="16"/>
          <w:szCs w:val="16"/>
        </w:rPr>
        <w:t xml:space="preserve">Assessment of </w:t>
      </w:r>
      <w:r w:rsidR="00182214">
        <w:rPr>
          <w:rFonts w:ascii="Arial" w:hAnsi="Arial" w:cs="Arial"/>
          <w:i/>
          <w:sz w:val="16"/>
          <w:szCs w:val="16"/>
        </w:rPr>
        <w:t xml:space="preserve">Australian </w:t>
      </w:r>
      <w:r w:rsidR="00B373EF">
        <w:rPr>
          <w:rFonts w:ascii="Arial" w:hAnsi="Arial" w:cs="Arial"/>
          <w:i/>
          <w:sz w:val="16"/>
          <w:szCs w:val="16"/>
        </w:rPr>
        <w:t>Insect</w:t>
      </w:r>
      <w:r w:rsidR="00182214">
        <w:rPr>
          <w:rFonts w:ascii="Arial" w:hAnsi="Arial" w:cs="Arial"/>
          <w:i/>
          <w:sz w:val="16"/>
          <w:szCs w:val="16"/>
        </w:rPr>
        <w:t xml:space="preserve"> </w:t>
      </w:r>
      <w:r w:rsidR="00B373EF">
        <w:rPr>
          <w:rFonts w:ascii="Arial" w:hAnsi="Arial" w:cs="Arial"/>
          <w:i/>
          <w:sz w:val="16"/>
          <w:szCs w:val="16"/>
        </w:rPr>
        <w:t>Farm</w:t>
      </w:r>
      <w:r w:rsidR="00F07302">
        <w:rPr>
          <w:rFonts w:ascii="Arial" w:hAnsi="Arial" w:cs="Arial"/>
          <w:i/>
          <w:sz w:val="16"/>
          <w:szCs w:val="16"/>
        </w:rPr>
        <w:t xml:space="preserve"> small-scale wildlife trade operation</w:t>
      </w:r>
      <w:r w:rsidR="00F822B8">
        <w:rPr>
          <w:rFonts w:ascii="Arial" w:hAnsi="Arial" w:cs="Arial"/>
          <w:i/>
          <w:sz w:val="16"/>
          <w:szCs w:val="16"/>
        </w:rPr>
        <w:t xml:space="preserve"> June 2018</w:t>
      </w:r>
      <w:r w:rsidRPr="000868A0">
        <w:rPr>
          <w:rFonts w:ascii="Arial" w:hAnsi="Arial" w:cs="Arial"/>
          <w:sz w:val="16"/>
          <w:szCs w:val="16"/>
        </w:rPr>
        <w:t>’.</w:t>
      </w:r>
    </w:p>
    <w:p w14:paraId="4BAF958C" w14:textId="77777777" w:rsidR="00C1547A" w:rsidRPr="00DC78B1" w:rsidRDefault="00C1547A" w:rsidP="00C1547A">
      <w:pPr>
        <w:pStyle w:val="NormalWeb"/>
        <w:rPr>
          <w:rFonts w:ascii="Arial" w:hAnsi="Arial" w:cs="Arial"/>
          <w:sz w:val="16"/>
          <w:szCs w:val="16"/>
        </w:rPr>
      </w:pPr>
    </w:p>
    <w:p w14:paraId="2A090B0E" w14:textId="77777777" w:rsidR="00C1547A" w:rsidRPr="000868A0" w:rsidRDefault="00C1547A" w:rsidP="00C1547A">
      <w:pPr>
        <w:spacing w:after="120"/>
        <w:rPr>
          <w:rFonts w:cs="Arial"/>
          <w:b/>
          <w:sz w:val="16"/>
          <w:szCs w:val="16"/>
        </w:rPr>
      </w:pPr>
      <w:r w:rsidRPr="000868A0">
        <w:rPr>
          <w:rFonts w:cs="Arial"/>
          <w:b/>
          <w:sz w:val="16"/>
          <w:szCs w:val="16"/>
        </w:rPr>
        <w:t>Disclaimer</w:t>
      </w:r>
    </w:p>
    <w:p w14:paraId="37F9E0D8" w14:textId="77777777" w:rsidR="00C1547A" w:rsidRPr="000868A0" w:rsidRDefault="00C1547A" w:rsidP="00C1547A">
      <w:pPr>
        <w:pStyle w:val="NormalWeb"/>
        <w:rPr>
          <w:rFonts w:ascii="Arial" w:hAnsi="Arial" w:cs="Arial"/>
          <w:sz w:val="16"/>
          <w:szCs w:val="16"/>
          <w:lang w:val="en-AU"/>
        </w:rPr>
      </w:pPr>
      <w:r w:rsidRPr="000868A0">
        <w:rPr>
          <w:rFonts w:ascii="Arial" w:hAnsi="Arial" w:cs="Arial"/>
          <w:sz w:val="16"/>
          <w:szCs w:val="16"/>
          <w:lang w:val="en-AU"/>
        </w:rPr>
        <w:t xml:space="preserve">This document is an assessment carried out by the Department of the Environment and Energy of a </w:t>
      </w:r>
      <w:r>
        <w:rPr>
          <w:rFonts w:ascii="Arial" w:hAnsi="Arial" w:cs="Arial"/>
          <w:sz w:val="16"/>
          <w:szCs w:val="16"/>
          <w:lang w:val="en-AU"/>
        </w:rPr>
        <w:t>commercial wildlife trade operation</w:t>
      </w:r>
      <w:r w:rsidRPr="000868A0">
        <w:rPr>
          <w:rFonts w:ascii="Arial" w:hAnsi="Arial" w:cs="Arial"/>
          <w:sz w:val="16"/>
          <w:szCs w:val="16"/>
          <w:lang w:val="en-AU"/>
        </w:rPr>
        <w:t xml:space="preserve">. It forms part of the advice provided to the Minister for the Environment and Energy on the fishery in relation </w:t>
      </w:r>
      <w:r>
        <w:rPr>
          <w:rFonts w:ascii="Arial" w:hAnsi="Arial" w:cs="Arial"/>
          <w:sz w:val="16"/>
          <w:szCs w:val="16"/>
          <w:lang w:val="en-AU"/>
        </w:rPr>
        <w:t xml:space="preserve">to decisions under Part </w:t>
      </w:r>
      <w:r w:rsidRPr="000868A0">
        <w:rPr>
          <w:rFonts w:ascii="Arial" w:hAnsi="Arial" w:cs="Arial"/>
          <w:sz w:val="16"/>
          <w:szCs w:val="16"/>
          <w:lang w:val="en-AU"/>
        </w:rPr>
        <w:t xml:space="preserve">13A of the </w:t>
      </w:r>
      <w:r w:rsidRPr="000868A0">
        <w:rPr>
          <w:rFonts w:ascii="Arial" w:hAnsi="Arial" w:cs="Arial"/>
          <w:i/>
          <w:iCs/>
          <w:sz w:val="16"/>
          <w:szCs w:val="16"/>
          <w:lang w:val="en-AU"/>
        </w:rPr>
        <w:t>Environment Protection and Biodiversity Conservation Act 1999</w:t>
      </w:r>
      <w:r w:rsidRPr="000868A0">
        <w:rPr>
          <w:rFonts w:ascii="Arial" w:hAnsi="Arial" w:cs="Arial"/>
          <w:sz w:val="16"/>
          <w:szCs w:val="16"/>
          <w:lang w:val="en-AU"/>
        </w:rPr>
        <w:t>. The views expressed do not necessarily reflect those of the Minister for the Environment and Energy or the Australian Government.</w:t>
      </w:r>
    </w:p>
    <w:p w14:paraId="08338042" w14:textId="77777777" w:rsidR="00C1547A" w:rsidRPr="000868A0" w:rsidRDefault="00C1547A" w:rsidP="00C1547A">
      <w:pPr>
        <w:rPr>
          <w:rFonts w:cs="Arial"/>
          <w:sz w:val="16"/>
          <w:szCs w:val="16"/>
        </w:rPr>
      </w:pPr>
      <w:r w:rsidRPr="000868A0">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42635137" w14:textId="31C309E7" w:rsidR="00567592" w:rsidRDefault="00567592">
      <w:pPr>
        <w:spacing w:after="0" w:line="240" w:lineRule="auto"/>
      </w:pPr>
      <w:r>
        <w:br w:type="page"/>
      </w:r>
    </w:p>
    <w:p w14:paraId="225FA90E" w14:textId="77777777" w:rsidR="00BC72A5" w:rsidRDefault="00BC72A5" w:rsidP="00BC72A5"/>
    <w:p w14:paraId="42635138" w14:textId="24C2C9C9" w:rsidR="00BC72A5" w:rsidRDefault="00BC72A5" w:rsidP="00BC72A5">
      <w:pPr>
        <w:pStyle w:val="Heading1"/>
        <w:spacing w:after="120"/>
        <w:jc w:val="center"/>
      </w:pPr>
      <w:bookmarkStart w:id="1" w:name="_Toc513627606"/>
      <w:r w:rsidRPr="000868A0">
        <w:t>Executive Summary</w:t>
      </w:r>
      <w:bookmarkEnd w:id="1"/>
      <w:r w:rsidRPr="000868A0">
        <w:t xml:space="preserve"> </w:t>
      </w:r>
    </w:p>
    <w:p w14:paraId="308A4CF2" w14:textId="5E25A33F" w:rsidR="00243812" w:rsidRDefault="00243812" w:rsidP="00243812">
      <w:r w:rsidRPr="000868A0">
        <w:rPr>
          <w:rFonts w:cs="Arial"/>
          <w:noProof/>
        </w:rPr>
        <w:t xml:space="preserve">On </w:t>
      </w:r>
      <w:r w:rsidR="00E63FF2">
        <w:rPr>
          <w:rFonts w:cs="Arial"/>
          <w:noProof/>
        </w:rPr>
        <w:t>28 March</w:t>
      </w:r>
      <w:r>
        <w:rPr>
          <w:rFonts w:cs="Arial"/>
          <w:noProof/>
        </w:rPr>
        <w:t xml:space="preserve"> </w:t>
      </w:r>
      <w:r w:rsidR="00E63FF2">
        <w:rPr>
          <w:rFonts w:cs="Arial"/>
          <w:noProof/>
        </w:rPr>
        <w:t>2018</w:t>
      </w:r>
      <w:r w:rsidRPr="000868A0">
        <w:rPr>
          <w:rFonts w:cs="Arial"/>
          <w:noProof/>
        </w:rPr>
        <w:t xml:space="preserve"> </w:t>
      </w:r>
      <w:r>
        <w:rPr>
          <w:rFonts w:cs="Arial"/>
          <w:noProof/>
        </w:rPr>
        <w:t xml:space="preserve">the </w:t>
      </w:r>
      <w:r w:rsidR="00E63FF2">
        <w:rPr>
          <w:rFonts w:cs="Arial"/>
          <w:noProof/>
        </w:rPr>
        <w:t>Australian Insect Farm</w:t>
      </w:r>
      <w:r>
        <w:rPr>
          <w:rFonts w:cs="Arial"/>
          <w:noProof/>
        </w:rPr>
        <w:t xml:space="preserve"> </w:t>
      </w:r>
      <w:r w:rsidR="00B8261E">
        <w:rPr>
          <w:rFonts w:cs="Arial"/>
          <w:noProof/>
        </w:rPr>
        <w:t xml:space="preserve">(AIF) </w:t>
      </w:r>
      <w:r>
        <w:t xml:space="preserve">submitted a proposal </w:t>
      </w:r>
      <w:r w:rsidRPr="000868A0">
        <w:rPr>
          <w:rFonts w:cs="Arial"/>
          <w:noProof/>
        </w:rPr>
        <w:t xml:space="preserve">to the Department of Environment and Energy </w:t>
      </w:r>
      <w:r>
        <w:rPr>
          <w:rFonts w:cs="Arial"/>
          <w:noProof/>
        </w:rPr>
        <w:t xml:space="preserve">(the Department) </w:t>
      </w:r>
      <w:r w:rsidR="00DF3AD0">
        <w:rPr>
          <w:rFonts w:cs="Arial"/>
          <w:noProof/>
        </w:rPr>
        <w:t xml:space="preserve">for an operation </w:t>
      </w:r>
      <w:r>
        <w:rPr>
          <w:rFonts w:cs="Arial"/>
          <w:noProof/>
        </w:rPr>
        <w:t>to</w:t>
      </w:r>
      <w:r w:rsidRPr="000868A0">
        <w:rPr>
          <w:rFonts w:cs="Arial"/>
          <w:noProof/>
        </w:rPr>
        <w:t xml:space="preserve"> </w:t>
      </w:r>
      <w:r>
        <w:rPr>
          <w:rFonts w:cs="Arial"/>
          <w:noProof/>
        </w:rPr>
        <w:t xml:space="preserve">be </w:t>
      </w:r>
      <w:r w:rsidRPr="000868A0">
        <w:rPr>
          <w:rFonts w:cs="Arial"/>
          <w:noProof/>
        </w:rPr>
        <w:t>ass</w:t>
      </w:r>
      <w:r>
        <w:rPr>
          <w:rFonts w:cs="Arial"/>
          <w:noProof/>
        </w:rPr>
        <w:t xml:space="preserve">essed under the EPBC Act as an </w:t>
      </w:r>
      <w:r w:rsidR="00417BD0">
        <w:rPr>
          <w:rFonts w:cs="Arial"/>
          <w:noProof/>
        </w:rPr>
        <w:t xml:space="preserve">small-scale </w:t>
      </w:r>
      <w:r w:rsidR="00417BD0">
        <w:t>wildlife trade o</w:t>
      </w:r>
      <w:r w:rsidR="00E63FF2">
        <w:t xml:space="preserve">peration </w:t>
      </w:r>
      <w:r>
        <w:t>(</w:t>
      </w:r>
      <w:r w:rsidR="00E63FF2">
        <w:t>WTO</w:t>
      </w:r>
      <w:r>
        <w:t xml:space="preserve">). A public comment period was open from </w:t>
      </w:r>
      <w:r w:rsidR="00417BD0" w:rsidRPr="00DF3AD0">
        <w:t>14</w:t>
      </w:r>
      <w:r w:rsidR="00417BD0" w:rsidRPr="00933B8B">
        <w:rPr>
          <w:rFonts w:cs="Arial"/>
          <w:noProof/>
        </w:rPr>
        <w:t xml:space="preserve"> May </w:t>
      </w:r>
      <w:r w:rsidRPr="00DF3AD0">
        <w:t xml:space="preserve">to </w:t>
      </w:r>
      <w:r w:rsidR="00417BD0" w:rsidRPr="00933B8B">
        <w:rPr>
          <w:rFonts w:cs="Arial"/>
          <w:noProof/>
        </w:rPr>
        <w:t>1</w:t>
      </w:r>
      <w:r w:rsidR="00417BD0">
        <w:rPr>
          <w:rFonts w:cs="Arial"/>
          <w:noProof/>
        </w:rPr>
        <w:t>5 June 2018</w:t>
      </w:r>
      <w:r>
        <w:t xml:space="preserve">. </w:t>
      </w:r>
      <w:r w:rsidR="000A5BD9" w:rsidRPr="00272FDB">
        <w:t xml:space="preserve">No </w:t>
      </w:r>
      <w:r w:rsidR="00B8261E">
        <w:t>submissions</w:t>
      </w:r>
      <w:r w:rsidR="00B8261E" w:rsidRPr="00272FDB">
        <w:t xml:space="preserve"> </w:t>
      </w:r>
      <w:r w:rsidR="000A5BD9" w:rsidRPr="00272FDB">
        <w:t>were received</w:t>
      </w:r>
      <w:r w:rsidR="000A5BD9">
        <w:t>.</w:t>
      </w:r>
      <w:r>
        <w:t xml:space="preserve"> </w:t>
      </w:r>
    </w:p>
    <w:p w14:paraId="44B6BC00" w14:textId="25DC4B72" w:rsidR="00243812" w:rsidRDefault="00417BD0" w:rsidP="00243812">
      <w:r w:rsidRPr="00261C26">
        <w:rPr>
          <w:rFonts w:cs="Arial"/>
          <w:noProof/>
        </w:rPr>
        <w:t xml:space="preserve">The operation involves </w:t>
      </w:r>
      <w:r w:rsidR="00B8261E" w:rsidRPr="00261C26">
        <w:rPr>
          <w:rFonts w:cs="Arial"/>
          <w:noProof/>
        </w:rPr>
        <w:t>wild</w:t>
      </w:r>
      <w:r w:rsidR="00B8261E">
        <w:rPr>
          <w:rFonts w:cs="Arial"/>
          <w:noProof/>
        </w:rPr>
        <w:t>-</w:t>
      </w:r>
      <w:r w:rsidRPr="00261C26">
        <w:rPr>
          <w:rFonts w:cs="Arial"/>
          <w:noProof/>
        </w:rPr>
        <w:t xml:space="preserve">harvest and commercial export of Australian native invertebrates from two properties in Queensland. Taxa to be harvested are </w:t>
      </w:r>
      <w:r w:rsidR="00EE457C" w:rsidRPr="00261C26">
        <w:rPr>
          <w:rFonts w:cs="Arial"/>
          <w:noProof/>
        </w:rPr>
        <w:t xml:space="preserve">listed in </w:t>
      </w:r>
      <w:r w:rsidR="00EE457C" w:rsidRPr="003247A7">
        <w:rPr>
          <w:rFonts w:cs="Arial"/>
          <w:b/>
          <w:noProof/>
          <w:u w:val="single"/>
        </w:rPr>
        <w:t>Attachment A</w:t>
      </w:r>
      <w:r w:rsidR="00BD59F6" w:rsidRPr="003247A7">
        <w:rPr>
          <w:rFonts w:cs="Arial"/>
          <w:b/>
          <w:noProof/>
          <w:u w:val="single"/>
        </w:rPr>
        <w:t xml:space="preserve"> </w:t>
      </w:r>
      <w:r w:rsidR="003247A7">
        <w:rPr>
          <w:rFonts w:cs="Arial"/>
          <w:noProof/>
        </w:rPr>
        <w:t>of the applicant’s proposal</w:t>
      </w:r>
      <w:r w:rsidR="00EE457C" w:rsidRPr="00261C26">
        <w:rPr>
          <w:rFonts w:cs="Arial"/>
          <w:noProof/>
        </w:rPr>
        <w:t xml:space="preserve">. The </w:t>
      </w:r>
      <w:r w:rsidR="00EE457C">
        <w:t xml:space="preserve">Australian Biological Resources Study </w:t>
      </w:r>
      <w:r w:rsidR="00226CA5">
        <w:t>(ABRS)</w:t>
      </w:r>
      <w:r w:rsidR="00261C26">
        <w:t xml:space="preserve"> </w:t>
      </w:r>
      <w:r w:rsidR="00261C26" w:rsidRPr="00261C26">
        <w:rPr>
          <w:rFonts w:cs="Arial"/>
          <w:noProof/>
        </w:rPr>
        <w:t>assessed the</w:t>
      </w:r>
      <w:r w:rsidR="00261C26">
        <w:rPr>
          <w:rFonts w:cs="Arial"/>
          <w:noProof/>
        </w:rPr>
        <w:t xml:space="preserve"> list </w:t>
      </w:r>
      <w:r w:rsidR="00261C26">
        <w:t xml:space="preserve">and </w:t>
      </w:r>
      <w:r w:rsidR="00EE457C">
        <w:t>advise</w:t>
      </w:r>
      <w:r w:rsidR="00226CA5">
        <w:t>d</w:t>
      </w:r>
      <w:r w:rsidR="00EE457C">
        <w:t xml:space="preserve"> </w:t>
      </w:r>
      <w:r w:rsidR="00226CA5">
        <w:t xml:space="preserve">that </w:t>
      </w:r>
      <w:r w:rsidR="00EE457C">
        <w:t>there are no conservation concerns</w:t>
      </w:r>
      <w:r w:rsidR="00272FDB">
        <w:t xml:space="preserve"> with the taxa involved or the harvest methods</w:t>
      </w:r>
      <w:r w:rsidR="00EE457C">
        <w:t xml:space="preserve">. </w:t>
      </w:r>
    </w:p>
    <w:p w14:paraId="51C2222C" w14:textId="6BA252B9" w:rsidR="00933B8B" w:rsidRDefault="00933B8B" w:rsidP="00243812">
      <w:r>
        <w:t xml:space="preserve">The Department considers that the operation is unlikely to be detrimental to the survival of the taxa listed in the proposal because: </w:t>
      </w:r>
    </w:p>
    <w:p w14:paraId="3D0815A0" w14:textId="593A72C5" w:rsidR="00484977" w:rsidRDefault="00484977" w:rsidP="00484977">
      <w:pPr>
        <w:pStyle w:val="ListParagraph"/>
        <w:numPr>
          <w:ilvl w:val="0"/>
          <w:numId w:val="15"/>
        </w:numPr>
        <w:ind w:left="714" w:hanging="357"/>
      </w:pPr>
      <w:r>
        <w:t>Adequate</w:t>
      </w:r>
      <w:r w:rsidRPr="00BB7464">
        <w:t xml:space="preserve"> controls</w:t>
      </w:r>
      <w:r>
        <w:t xml:space="preserve"> </w:t>
      </w:r>
      <w:r w:rsidRPr="00BB7464">
        <w:t xml:space="preserve">such as conservative quotas, </w:t>
      </w:r>
      <w:r>
        <w:t xml:space="preserve">harvest </w:t>
      </w:r>
      <w:r w:rsidRPr="00BB7464">
        <w:t>monitoring</w:t>
      </w:r>
      <w:r>
        <w:t xml:space="preserve"> and </w:t>
      </w:r>
      <w:r w:rsidRPr="00BB7464">
        <w:t>reporting</w:t>
      </w:r>
      <w:r>
        <w:t>,</w:t>
      </w:r>
      <w:r w:rsidRPr="00BB7464">
        <w:t xml:space="preserve"> and the </w:t>
      </w:r>
      <w:r w:rsidRPr="008E1426">
        <w:t>ability to change quotas quickly in response to new information,</w:t>
      </w:r>
      <w:r w:rsidRPr="00BB7464">
        <w:t xml:space="preserve"> have been included </w:t>
      </w:r>
      <w:r>
        <w:t xml:space="preserve">in the proposal </w:t>
      </w:r>
      <w:r w:rsidRPr="00BB7464">
        <w:t>to ensure that the harvest is sustainable.</w:t>
      </w:r>
    </w:p>
    <w:p w14:paraId="4E837CA3" w14:textId="715D8B06" w:rsidR="00EE457C" w:rsidRDefault="00384CA6" w:rsidP="00484977">
      <w:pPr>
        <w:pStyle w:val="ListParagraph"/>
        <w:numPr>
          <w:ilvl w:val="0"/>
          <w:numId w:val="15"/>
        </w:numPr>
        <w:ind w:left="714" w:hanging="357"/>
      </w:pPr>
      <w:r>
        <w:t xml:space="preserve">AIF does not propose to export any </w:t>
      </w:r>
      <w:r w:rsidR="00EE457C">
        <w:t>s</w:t>
      </w:r>
      <w:r w:rsidR="00EE457C" w:rsidRPr="00BB7464">
        <w:t xml:space="preserve">pecies listed under the EPBC Act as threatened (excluding the conservation dependent category), or species listed </w:t>
      </w:r>
      <w:r w:rsidR="00EE457C">
        <w:t>as endangered or vulnerable under Queensland</w:t>
      </w:r>
      <w:r>
        <w:t xml:space="preserve"> </w:t>
      </w:r>
      <w:r w:rsidR="00EE457C">
        <w:t>legislation.</w:t>
      </w:r>
      <w:r>
        <w:t xml:space="preserve"> </w:t>
      </w:r>
    </w:p>
    <w:p w14:paraId="0426BDEA" w14:textId="1624E8CB" w:rsidR="00AF35BF" w:rsidRDefault="00E97630" w:rsidP="00567592">
      <w:pPr>
        <w:rPr>
          <w:rFonts w:cs="Arial"/>
          <w:noProof/>
        </w:rPr>
      </w:pPr>
      <w:r>
        <w:rPr>
          <w:rFonts w:cs="Arial"/>
          <w:noProof/>
        </w:rPr>
        <w:t>P</w:t>
      </w:r>
      <w:r w:rsidR="00AF35BF">
        <w:rPr>
          <w:rFonts w:cs="Arial"/>
          <w:noProof/>
        </w:rPr>
        <w:t>ractices designed to minimis</w:t>
      </w:r>
      <w:r w:rsidR="00D95975">
        <w:rPr>
          <w:rFonts w:cs="Arial"/>
          <w:noProof/>
        </w:rPr>
        <w:t>e</w:t>
      </w:r>
      <w:r w:rsidR="00AF35BF">
        <w:rPr>
          <w:rFonts w:cs="Arial"/>
          <w:noProof/>
        </w:rPr>
        <w:t xml:space="preserve"> impact</w:t>
      </w:r>
      <w:r w:rsidR="005E4AFB">
        <w:rPr>
          <w:rFonts w:cs="Arial"/>
          <w:noProof/>
        </w:rPr>
        <w:t>s</w:t>
      </w:r>
      <w:r w:rsidR="00AF35BF">
        <w:rPr>
          <w:rFonts w:cs="Arial"/>
          <w:noProof/>
        </w:rPr>
        <w:t xml:space="preserve"> on </w:t>
      </w:r>
      <w:r>
        <w:rPr>
          <w:rFonts w:cs="Arial"/>
          <w:noProof/>
        </w:rPr>
        <w:t xml:space="preserve">harvested </w:t>
      </w:r>
      <w:r w:rsidR="00AF35BF">
        <w:rPr>
          <w:rFonts w:cs="Arial"/>
          <w:noProof/>
        </w:rPr>
        <w:t>taxa in the harvest area include:</w:t>
      </w:r>
    </w:p>
    <w:p w14:paraId="470163A6" w14:textId="69851819" w:rsidR="003238AA" w:rsidRPr="000F5BAE" w:rsidRDefault="00B14D4D" w:rsidP="003238AA">
      <w:pPr>
        <w:pStyle w:val="ListParagraph"/>
        <w:numPr>
          <w:ilvl w:val="0"/>
          <w:numId w:val="15"/>
        </w:numPr>
        <w:spacing w:after="60"/>
        <w:ind w:left="714" w:hanging="357"/>
      </w:pPr>
      <w:r>
        <w:rPr>
          <w:rFonts w:cs="Arial"/>
          <w:noProof/>
        </w:rPr>
        <w:t xml:space="preserve">Harvest of specimens </w:t>
      </w:r>
      <w:r w:rsidR="003238AA">
        <w:rPr>
          <w:rFonts w:cs="Arial"/>
          <w:noProof/>
        </w:rPr>
        <w:t xml:space="preserve">only as required. Records show </w:t>
      </w:r>
      <w:r w:rsidR="000F5BAE">
        <w:rPr>
          <w:rFonts w:cs="Arial"/>
          <w:noProof/>
        </w:rPr>
        <w:t xml:space="preserve">previous </w:t>
      </w:r>
      <w:r w:rsidR="003238AA">
        <w:rPr>
          <w:rFonts w:cs="Arial"/>
          <w:noProof/>
        </w:rPr>
        <w:t>annual harvest</w:t>
      </w:r>
      <w:r w:rsidR="000F5BAE">
        <w:rPr>
          <w:rFonts w:cs="Arial"/>
          <w:noProof/>
        </w:rPr>
        <w:t>s</w:t>
      </w:r>
      <w:r w:rsidR="003238AA">
        <w:rPr>
          <w:rFonts w:cs="Arial"/>
          <w:noProof/>
        </w:rPr>
        <w:t xml:space="preserve"> </w:t>
      </w:r>
      <w:r w:rsidR="000F5BAE">
        <w:rPr>
          <w:rFonts w:cs="Arial"/>
          <w:noProof/>
        </w:rPr>
        <w:t xml:space="preserve">have </w:t>
      </w:r>
      <w:r w:rsidR="003238AA">
        <w:rPr>
          <w:rFonts w:cs="Arial"/>
          <w:noProof/>
        </w:rPr>
        <w:t>generally not exceeded 100 specimens of any given taxon.</w:t>
      </w:r>
    </w:p>
    <w:p w14:paraId="731101C5" w14:textId="1BEB7DAC" w:rsidR="003238AA" w:rsidRPr="00484977" w:rsidRDefault="00484977" w:rsidP="003238AA">
      <w:pPr>
        <w:pStyle w:val="ListParagraph"/>
        <w:numPr>
          <w:ilvl w:val="0"/>
          <w:numId w:val="15"/>
        </w:numPr>
        <w:spacing w:after="60"/>
        <w:ind w:left="714" w:hanging="357"/>
      </w:pPr>
      <w:r>
        <w:rPr>
          <w:rFonts w:cs="Arial"/>
          <w:noProof/>
        </w:rPr>
        <w:t>R</w:t>
      </w:r>
      <w:r w:rsidR="003238AA">
        <w:rPr>
          <w:rFonts w:cs="Arial"/>
          <w:noProof/>
        </w:rPr>
        <w:t>egular surveys o</w:t>
      </w:r>
      <w:r>
        <w:rPr>
          <w:rFonts w:cs="Arial"/>
          <w:noProof/>
        </w:rPr>
        <w:t>f</w:t>
      </w:r>
      <w:r w:rsidR="003238AA">
        <w:rPr>
          <w:rFonts w:cs="Arial"/>
          <w:noProof/>
        </w:rPr>
        <w:t xml:space="preserve"> species frequency to measure harvest imapct.</w:t>
      </w:r>
    </w:p>
    <w:p w14:paraId="2F824A77" w14:textId="0A73CC72" w:rsidR="003238AA" w:rsidRDefault="003238AA" w:rsidP="003238AA">
      <w:pPr>
        <w:pStyle w:val="ListParagraph"/>
        <w:numPr>
          <w:ilvl w:val="0"/>
          <w:numId w:val="15"/>
        </w:numPr>
        <w:spacing w:after="60"/>
        <w:ind w:left="714" w:hanging="357"/>
      </w:pPr>
      <w:r>
        <w:rPr>
          <w:rFonts w:cs="Arial"/>
          <w:noProof/>
        </w:rPr>
        <w:t>Annual surveys at both properties</w:t>
      </w:r>
      <w:r w:rsidR="000B5FE1">
        <w:rPr>
          <w:rFonts w:cs="Arial"/>
          <w:noProof/>
        </w:rPr>
        <w:t xml:space="preserve"> where harvesting occurs</w:t>
      </w:r>
      <w:r>
        <w:rPr>
          <w:rFonts w:cs="Arial"/>
          <w:noProof/>
        </w:rPr>
        <w:t>.</w:t>
      </w:r>
    </w:p>
    <w:p w14:paraId="2888EA21" w14:textId="4DE61B90" w:rsidR="00FD67B4" w:rsidRDefault="00FD67B4" w:rsidP="00511DB3">
      <w:pPr>
        <w:pStyle w:val="ListParagraph"/>
        <w:numPr>
          <w:ilvl w:val="0"/>
          <w:numId w:val="15"/>
        </w:numPr>
        <w:spacing w:after="60"/>
        <w:ind w:left="714" w:hanging="357"/>
        <w:rPr>
          <w:rFonts w:cs="Arial"/>
          <w:noProof/>
        </w:rPr>
      </w:pPr>
      <w:r>
        <w:rPr>
          <w:rFonts w:cs="Arial"/>
          <w:noProof/>
        </w:rPr>
        <w:t xml:space="preserve">Reduction in the harvest of affected taxa if surveys show a decrease in their numbers, based on biological considerations. </w:t>
      </w:r>
    </w:p>
    <w:p w14:paraId="487254F9" w14:textId="77777777" w:rsidR="00484977" w:rsidRPr="003238AA" w:rsidRDefault="00484977" w:rsidP="00484977">
      <w:pPr>
        <w:pStyle w:val="ListParagraph"/>
        <w:numPr>
          <w:ilvl w:val="0"/>
          <w:numId w:val="15"/>
        </w:numPr>
        <w:spacing w:after="60"/>
        <w:ind w:left="714" w:hanging="357"/>
      </w:pPr>
      <w:r>
        <w:t>Non-collection of d</w:t>
      </w:r>
      <w:r w:rsidRPr="003238AA">
        <w:t xml:space="preserve">amaged specimens, or </w:t>
      </w:r>
      <w:r>
        <w:t>their</w:t>
      </w:r>
      <w:r w:rsidRPr="003238AA">
        <w:t xml:space="preserve"> release</w:t>
      </w:r>
      <w:r>
        <w:t xml:space="preserve"> </w:t>
      </w:r>
      <w:r w:rsidRPr="003238AA">
        <w:t xml:space="preserve">as future breeding stock. </w:t>
      </w:r>
    </w:p>
    <w:p w14:paraId="30103888" w14:textId="2E73FF5B" w:rsidR="00E97630" w:rsidRPr="00D95975" w:rsidRDefault="00E56BC1" w:rsidP="00FD67B4">
      <w:pPr>
        <w:pStyle w:val="ListParagraph"/>
        <w:numPr>
          <w:ilvl w:val="0"/>
          <w:numId w:val="16"/>
        </w:numPr>
        <w:rPr>
          <w:rFonts w:cs="Arial"/>
          <w:noProof/>
        </w:rPr>
      </w:pPr>
      <w:r>
        <w:rPr>
          <w:rFonts w:cs="Arial"/>
          <w:noProof/>
        </w:rPr>
        <w:t xml:space="preserve">Retention </w:t>
      </w:r>
      <w:r w:rsidR="00FD67B4">
        <w:rPr>
          <w:rFonts w:cs="Arial"/>
          <w:noProof/>
        </w:rPr>
        <w:t xml:space="preserve">of </w:t>
      </w:r>
      <w:r w:rsidR="00BD3BF4">
        <w:rPr>
          <w:rFonts w:cs="Arial"/>
          <w:noProof/>
        </w:rPr>
        <w:t xml:space="preserve">eggs </w:t>
      </w:r>
      <w:r w:rsidR="00FD67B4">
        <w:rPr>
          <w:rFonts w:cs="Arial"/>
          <w:noProof/>
        </w:rPr>
        <w:t xml:space="preserve">and raising of </w:t>
      </w:r>
      <w:r w:rsidR="00EA514C">
        <w:rPr>
          <w:rFonts w:cs="Arial"/>
          <w:noProof/>
        </w:rPr>
        <w:t>progeny</w:t>
      </w:r>
      <w:r w:rsidR="00FD67B4">
        <w:rPr>
          <w:rFonts w:cs="Arial"/>
          <w:noProof/>
        </w:rPr>
        <w:t xml:space="preserve"> after release of </w:t>
      </w:r>
      <w:r w:rsidR="005323D9">
        <w:rPr>
          <w:rFonts w:cs="Arial"/>
          <w:noProof/>
        </w:rPr>
        <w:t xml:space="preserve">females of </w:t>
      </w:r>
      <w:r w:rsidR="00EA514C">
        <w:rPr>
          <w:rFonts w:cs="Arial"/>
          <w:noProof/>
        </w:rPr>
        <w:t>some Lepidoptera</w:t>
      </w:r>
      <w:r w:rsidR="00315C56">
        <w:rPr>
          <w:rFonts w:cs="Arial"/>
          <w:noProof/>
        </w:rPr>
        <w:t xml:space="preserve"> </w:t>
      </w:r>
      <w:r w:rsidR="00EA514C">
        <w:rPr>
          <w:rFonts w:cs="Arial"/>
          <w:noProof/>
        </w:rPr>
        <w:t>(butterflies and moths)</w:t>
      </w:r>
      <w:r w:rsidR="00547709">
        <w:rPr>
          <w:rFonts w:cs="Arial"/>
          <w:noProof/>
        </w:rPr>
        <w:t xml:space="preserve"> taxa</w:t>
      </w:r>
      <w:r>
        <w:rPr>
          <w:rFonts w:cs="Arial"/>
          <w:noProof/>
        </w:rPr>
        <w:t xml:space="preserve"> (where possible)</w:t>
      </w:r>
      <w:r w:rsidR="00EA514C">
        <w:rPr>
          <w:rFonts w:cs="Arial"/>
          <w:noProof/>
        </w:rPr>
        <w:t xml:space="preserve">. </w:t>
      </w:r>
    </w:p>
    <w:p w14:paraId="5C07C3D3" w14:textId="22E4B306" w:rsidR="00AF35BF" w:rsidRDefault="00AF35BF" w:rsidP="00567592">
      <w:pPr>
        <w:rPr>
          <w:rFonts w:cs="Arial"/>
          <w:noProof/>
        </w:rPr>
      </w:pPr>
      <w:r w:rsidRPr="00D81819">
        <w:rPr>
          <w:rFonts w:cs="Arial"/>
          <w:noProof/>
        </w:rPr>
        <w:t xml:space="preserve">The Department will monitor the level of harvest under the operation by reviewing annual reports provided by </w:t>
      </w:r>
      <w:r w:rsidR="00D95975" w:rsidRPr="00D81819">
        <w:rPr>
          <w:rFonts w:cs="Arial"/>
          <w:noProof/>
        </w:rPr>
        <w:t xml:space="preserve">the </w:t>
      </w:r>
      <w:r w:rsidRPr="00D81819">
        <w:rPr>
          <w:rFonts w:cs="Arial"/>
          <w:noProof/>
        </w:rPr>
        <w:t>A</w:t>
      </w:r>
      <w:r w:rsidR="00D95975" w:rsidRPr="00D81819">
        <w:rPr>
          <w:rFonts w:cs="Arial"/>
          <w:noProof/>
        </w:rPr>
        <w:t>ustralian Insect Farm</w:t>
      </w:r>
      <w:r w:rsidR="00EA514C" w:rsidRPr="00D81819">
        <w:rPr>
          <w:rFonts w:cs="Arial"/>
          <w:noProof/>
        </w:rPr>
        <w:t>.</w:t>
      </w:r>
      <w:r>
        <w:rPr>
          <w:rFonts w:cs="Arial"/>
          <w:noProof/>
        </w:rPr>
        <w:t xml:space="preserve"> </w:t>
      </w:r>
    </w:p>
    <w:p w14:paraId="101C1F05" w14:textId="5D507C3E" w:rsidR="00567592" w:rsidRPr="00567592" w:rsidRDefault="00567592" w:rsidP="00567592">
      <w:pPr>
        <w:rPr>
          <w:rFonts w:cs="Arial"/>
          <w:noProof/>
        </w:rPr>
      </w:pPr>
      <w:r w:rsidRPr="00567592">
        <w:rPr>
          <w:rFonts w:cs="Arial"/>
          <w:noProof/>
        </w:rPr>
        <w:t>On this basis, the Department considers that</w:t>
      </w:r>
      <w:r>
        <w:rPr>
          <w:rFonts w:cs="Arial"/>
          <w:noProof/>
        </w:rPr>
        <w:t xml:space="preserve"> a </w:t>
      </w:r>
      <w:r w:rsidR="00243812">
        <w:rPr>
          <w:rFonts w:cs="Arial"/>
          <w:noProof/>
        </w:rPr>
        <w:t xml:space="preserve">declaration </w:t>
      </w:r>
      <w:r w:rsidR="00243812" w:rsidRPr="00567592">
        <w:rPr>
          <w:rFonts w:cs="Arial"/>
          <w:noProof/>
        </w:rPr>
        <w:t xml:space="preserve">of the </w:t>
      </w:r>
      <w:r w:rsidR="00243812">
        <w:rPr>
          <w:rFonts w:cs="Arial"/>
          <w:noProof/>
        </w:rPr>
        <w:t xml:space="preserve">proposal as an </w:t>
      </w:r>
      <w:r w:rsidR="00243812" w:rsidRPr="00567592">
        <w:rPr>
          <w:rFonts w:cs="Arial"/>
          <w:noProof/>
        </w:rPr>
        <w:t>approved</w:t>
      </w:r>
      <w:r>
        <w:rPr>
          <w:rFonts w:cs="Arial"/>
          <w:noProof/>
        </w:rPr>
        <w:t xml:space="preserve"> </w:t>
      </w:r>
      <w:r w:rsidR="00243812">
        <w:rPr>
          <w:rFonts w:cs="Arial"/>
          <w:noProof/>
        </w:rPr>
        <w:t>‘</w:t>
      </w:r>
      <w:r>
        <w:rPr>
          <w:rFonts w:cs="Arial"/>
          <w:noProof/>
        </w:rPr>
        <w:t>small scale</w:t>
      </w:r>
      <w:r w:rsidR="00243812">
        <w:rPr>
          <w:rFonts w:cs="Arial"/>
          <w:noProof/>
        </w:rPr>
        <w:t>’</w:t>
      </w:r>
      <w:r w:rsidR="005C1543">
        <w:rPr>
          <w:rFonts w:cs="Arial"/>
          <w:noProof/>
        </w:rPr>
        <w:t xml:space="preserve"> </w:t>
      </w:r>
      <w:r w:rsidRPr="00567592">
        <w:rPr>
          <w:rFonts w:cs="Arial"/>
          <w:noProof/>
        </w:rPr>
        <w:t xml:space="preserve">wildlife trade operation for three years, until </w:t>
      </w:r>
      <w:r w:rsidR="00417BD0" w:rsidRPr="00B3439F">
        <w:rPr>
          <w:rFonts w:cs="Arial"/>
          <w:noProof/>
        </w:rPr>
        <w:t>Ju</w:t>
      </w:r>
      <w:r w:rsidR="00405968" w:rsidRPr="00B3439F">
        <w:rPr>
          <w:rFonts w:cs="Arial"/>
          <w:noProof/>
        </w:rPr>
        <w:t>ly</w:t>
      </w:r>
      <w:r w:rsidR="00417BD0" w:rsidRPr="00B3439F">
        <w:rPr>
          <w:rFonts w:cs="Arial"/>
          <w:noProof/>
        </w:rPr>
        <w:t xml:space="preserve"> 2021</w:t>
      </w:r>
      <w:r w:rsidRPr="00190EE9">
        <w:rPr>
          <w:rFonts w:cs="Arial"/>
          <w:noProof/>
        </w:rPr>
        <w:t>, i</w:t>
      </w:r>
      <w:r w:rsidRPr="00567592">
        <w:rPr>
          <w:rFonts w:cs="Arial"/>
          <w:noProof/>
        </w:rPr>
        <w:t xml:space="preserve">s appropriate. </w:t>
      </w:r>
    </w:p>
    <w:p w14:paraId="7162764C" w14:textId="095D15FD" w:rsidR="00DD1C1F" w:rsidRDefault="00567592" w:rsidP="00567592">
      <w:pPr>
        <w:rPr>
          <w:rFonts w:cs="Arial"/>
          <w:noProof/>
        </w:rPr>
      </w:pPr>
      <w:r w:rsidRPr="00567592">
        <w:rPr>
          <w:rFonts w:cs="Arial"/>
          <w:noProof/>
        </w:rPr>
        <w:t>Unless a specific time frame is provided, each condition must be addressed within the period of the approved wildlife trade operation</w:t>
      </w:r>
      <w:r w:rsidR="00C7613C">
        <w:rPr>
          <w:rFonts w:cs="Arial"/>
          <w:noProof/>
        </w:rPr>
        <w:t>.</w:t>
      </w:r>
    </w:p>
    <w:p w14:paraId="4263513C" w14:textId="77777777" w:rsidR="00BC72A5" w:rsidRDefault="00BC72A5" w:rsidP="00BC72A5"/>
    <w:p w14:paraId="4263513E" w14:textId="29BCA8A4" w:rsidR="00F14B21" w:rsidRPr="000868A0" w:rsidRDefault="00F14B21" w:rsidP="004939B4">
      <w:pPr>
        <w:spacing w:after="0" w:line="240" w:lineRule="auto"/>
        <w:rPr>
          <w:rFonts w:cs="Arial"/>
        </w:rPr>
      </w:pPr>
      <w:r w:rsidRPr="000868A0">
        <w:rPr>
          <w:rFonts w:cs="Arial"/>
          <w:b/>
        </w:rPr>
        <w:br/>
      </w:r>
    </w:p>
    <w:p w14:paraId="4263513F" w14:textId="77777777" w:rsidR="00BC72A5" w:rsidRDefault="00BC72A5" w:rsidP="00BC72A5"/>
    <w:p w14:paraId="42635140" w14:textId="77777777" w:rsidR="00BC72A5" w:rsidRPr="00BC72A5" w:rsidRDefault="00BC72A5" w:rsidP="00BC72A5"/>
    <w:p w14:paraId="42635141" w14:textId="77777777" w:rsidR="00BC72A5" w:rsidRDefault="00BC72A5">
      <w:pPr>
        <w:spacing w:after="0" w:line="240" w:lineRule="auto"/>
        <w:rPr>
          <w:rFonts w:cs="Arial"/>
          <w:b/>
        </w:rPr>
        <w:sectPr w:rsidR="00BC72A5" w:rsidSect="00567592">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cols w:space="708"/>
          <w:titlePg/>
          <w:docGrid w:linePitch="360"/>
        </w:sectPr>
      </w:pPr>
    </w:p>
    <w:p w14:paraId="42635142" w14:textId="27D0C5F2" w:rsidR="00FC1B0B" w:rsidRDefault="00C95F71" w:rsidP="00567592">
      <w:pPr>
        <w:pStyle w:val="Heading2"/>
      </w:pPr>
      <w:bookmarkStart w:id="2" w:name="_Toc513627607"/>
      <w:r>
        <w:lastRenderedPageBreak/>
        <w:t>Section 1</w:t>
      </w:r>
      <w:r w:rsidR="009C1407">
        <w:t>:</w:t>
      </w:r>
      <w:r>
        <w:t xml:space="preserve"> Summary</w:t>
      </w:r>
      <w:bookmarkEnd w:id="2"/>
      <w:r>
        <w:t xml:space="preserve"> </w:t>
      </w:r>
    </w:p>
    <w:p w14:paraId="51E00B1D" w14:textId="6BAA71AD" w:rsidR="00C95F71" w:rsidRPr="00BB7892" w:rsidRDefault="004939B4" w:rsidP="00507F51">
      <w:pPr>
        <w:spacing w:before="120" w:after="0" w:line="240" w:lineRule="auto"/>
        <w:rPr>
          <w:rFonts w:cs="Arial"/>
          <w:b/>
          <w:u w:val="single"/>
        </w:rPr>
      </w:pPr>
      <w:r w:rsidRPr="00BB7892">
        <w:rPr>
          <w:rFonts w:cs="Arial"/>
          <w:b/>
          <w:u w:val="single"/>
        </w:rPr>
        <w:t>Previous assessment history</w:t>
      </w:r>
    </w:p>
    <w:p w14:paraId="20193E8C" w14:textId="4DFA0F1E" w:rsidR="004939B4" w:rsidRPr="0011580F" w:rsidRDefault="004939B4" w:rsidP="004939B4">
      <w:pPr>
        <w:spacing w:after="0" w:line="240" w:lineRule="auto"/>
        <w:rPr>
          <w:rFonts w:cs="Arial"/>
        </w:rPr>
      </w:pPr>
      <w:r w:rsidRPr="0011580F">
        <w:rPr>
          <w:rFonts w:cs="Arial"/>
        </w:rPr>
        <w:t>1</w:t>
      </w:r>
      <w:r w:rsidRPr="0011580F">
        <w:rPr>
          <w:rFonts w:cs="Arial"/>
          <w:vertAlign w:val="superscript"/>
        </w:rPr>
        <w:t>st</w:t>
      </w:r>
      <w:r w:rsidRPr="0011580F">
        <w:rPr>
          <w:rFonts w:cs="Arial"/>
        </w:rPr>
        <w:t xml:space="preserve"> assessment </w:t>
      </w:r>
      <w:r w:rsidR="00BB7892" w:rsidRPr="0011580F">
        <w:rPr>
          <w:rFonts w:cs="Arial"/>
        </w:rPr>
        <w:t>(</w:t>
      </w:r>
      <w:r w:rsidR="001820C6" w:rsidRPr="0011580F">
        <w:rPr>
          <w:rFonts w:cs="Arial"/>
        </w:rPr>
        <w:t>small-s</w:t>
      </w:r>
      <w:r w:rsidR="00BB7892" w:rsidRPr="0011580F">
        <w:rPr>
          <w:rFonts w:cs="Arial"/>
        </w:rPr>
        <w:t xml:space="preserve">cale </w:t>
      </w:r>
      <w:r w:rsidR="001820C6" w:rsidRPr="0011580F">
        <w:rPr>
          <w:rFonts w:cs="Arial"/>
        </w:rPr>
        <w:t>wildlife trade operation</w:t>
      </w:r>
      <w:r w:rsidR="00BB7892" w:rsidRPr="0011580F">
        <w:rPr>
          <w:rFonts w:cs="Arial"/>
        </w:rPr>
        <w:t xml:space="preserve">) </w:t>
      </w:r>
      <w:r w:rsidRPr="0011580F">
        <w:rPr>
          <w:rFonts w:cs="Arial"/>
        </w:rPr>
        <w:t xml:space="preserve">finalised </w:t>
      </w:r>
      <w:r w:rsidR="00BE094C" w:rsidRPr="0011580F">
        <w:rPr>
          <w:rFonts w:cs="Arial"/>
        </w:rPr>
        <w:t>January 2004</w:t>
      </w:r>
      <w:r w:rsidRPr="0011580F">
        <w:rPr>
          <w:rFonts w:cs="Arial"/>
        </w:rPr>
        <w:t>.</w:t>
      </w:r>
      <w:r w:rsidRPr="0011580F">
        <w:rPr>
          <w:rFonts w:cs="Arial"/>
        </w:rPr>
        <w:br/>
        <w:t>2</w:t>
      </w:r>
      <w:r w:rsidRPr="0011580F">
        <w:rPr>
          <w:rFonts w:cs="Arial"/>
          <w:vertAlign w:val="superscript"/>
        </w:rPr>
        <w:t>nd</w:t>
      </w:r>
      <w:r w:rsidRPr="0011580F">
        <w:rPr>
          <w:rFonts w:cs="Arial"/>
        </w:rPr>
        <w:t xml:space="preserve"> assessment </w:t>
      </w:r>
      <w:r w:rsidR="00BB7892" w:rsidRPr="0011580F">
        <w:rPr>
          <w:rFonts w:cs="Arial"/>
        </w:rPr>
        <w:t>(</w:t>
      </w:r>
      <w:r w:rsidR="001820C6" w:rsidRPr="0011580F">
        <w:rPr>
          <w:rFonts w:cs="Arial"/>
        </w:rPr>
        <w:t>small-scale wildlife trade operation</w:t>
      </w:r>
      <w:r w:rsidR="00BB7892" w:rsidRPr="0011580F">
        <w:rPr>
          <w:rFonts w:cs="Arial"/>
        </w:rPr>
        <w:t xml:space="preserve">) </w:t>
      </w:r>
      <w:r w:rsidRPr="0011580F">
        <w:rPr>
          <w:rFonts w:cs="Arial"/>
        </w:rPr>
        <w:t xml:space="preserve">finalised </w:t>
      </w:r>
      <w:r w:rsidR="00BE094C" w:rsidRPr="0011580F">
        <w:rPr>
          <w:rFonts w:cs="Arial"/>
        </w:rPr>
        <w:t>December 2006</w:t>
      </w:r>
      <w:r w:rsidR="001820C6" w:rsidRPr="0011580F">
        <w:rPr>
          <w:rFonts w:cs="Arial"/>
        </w:rPr>
        <w:t>.</w:t>
      </w:r>
    </w:p>
    <w:p w14:paraId="05365255" w14:textId="514E2A9F" w:rsidR="00120A58" w:rsidRPr="0011580F" w:rsidRDefault="00120A58" w:rsidP="004939B4">
      <w:pPr>
        <w:spacing w:after="0" w:line="240" w:lineRule="auto"/>
        <w:rPr>
          <w:rFonts w:cs="Arial"/>
        </w:rPr>
      </w:pPr>
      <w:r w:rsidRPr="0011580F">
        <w:rPr>
          <w:rFonts w:cs="Arial"/>
        </w:rPr>
        <w:t>3</w:t>
      </w:r>
      <w:r w:rsidRPr="0011580F">
        <w:rPr>
          <w:rFonts w:cs="Arial"/>
          <w:vertAlign w:val="superscript"/>
        </w:rPr>
        <w:t>rd</w:t>
      </w:r>
      <w:r w:rsidRPr="0011580F">
        <w:rPr>
          <w:rFonts w:cs="Arial"/>
        </w:rPr>
        <w:t xml:space="preserve"> assessment (small-scale wildlife trade operation) finalised</w:t>
      </w:r>
      <w:r w:rsidR="0011580F" w:rsidRPr="0011580F">
        <w:rPr>
          <w:rFonts w:cs="Arial"/>
        </w:rPr>
        <w:t xml:space="preserve"> December 2009</w:t>
      </w:r>
      <w:r w:rsidR="0011580F">
        <w:rPr>
          <w:rFonts w:cs="Arial"/>
        </w:rPr>
        <w:t>.</w:t>
      </w:r>
    </w:p>
    <w:p w14:paraId="225664C6" w14:textId="31FAFC8F" w:rsidR="00BE094C" w:rsidRPr="001820C6" w:rsidRDefault="00120A58" w:rsidP="004939B4">
      <w:pPr>
        <w:spacing w:after="0" w:line="240" w:lineRule="auto"/>
        <w:rPr>
          <w:rFonts w:cs="Arial"/>
          <w:highlight w:val="yellow"/>
        </w:rPr>
      </w:pPr>
      <w:r w:rsidRPr="00A53548">
        <w:rPr>
          <w:rFonts w:cs="Arial"/>
        </w:rPr>
        <w:t>4</w:t>
      </w:r>
      <w:r w:rsidRPr="00A53548">
        <w:rPr>
          <w:rFonts w:cs="Arial"/>
          <w:vertAlign w:val="superscript"/>
        </w:rPr>
        <w:t>th</w:t>
      </w:r>
      <w:r w:rsidRPr="00A53548">
        <w:rPr>
          <w:rFonts w:cs="Arial"/>
        </w:rPr>
        <w:t xml:space="preserve"> </w:t>
      </w:r>
      <w:r w:rsidR="004939B4" w:rsidRPr="00A53548">
        <w:rPr>
          <w:rFonts w:cs="Arial"/>
        </w:rPr>
        <w:t xml:space="preserve">assessment </w:t>
      </w:r>
      <w:r w:rsidR="00BB7892" w:rsidRPr="00A53548">
        <w:rPr>
          <w:rFonts w:cs="Arial"/>
        </w:rPr>
        <w:t>(</w:t>
      </w:r>
      <w:r w:rsidR="001820C6" w:rsidRPr="00A53548">
        <w:rPr>
          <w:rFonts w:cs="Arial"/>
        </w:rPr>
        <w:t>small-scale wildlife trade operation</w:t>
      </w:r>
      <w:r w:rsidR="00BB7892" w:rsidRPr="00A53548">
        <w:rPr>
          <w:rFonts w:cs="Arial"/>
        </w:rPr>
        <w:t xml:space="preserve">) </w:t>
      </w:r>
      <w:r w:rsidR="004939B4" w:rsidRPr="00A53548">
        <w:rPr>
          <w:rFonts w:cs="Arial"/>
        </w:rPr>
        <w:t xml:space="preserve">finalised </w:t>
      </w:r>
      <w:r w:rsidR="001820C6" w:rsidRPr="00A53548">
        <w:rPr>
          <w:rFonts w:cs="Arial"/>
        </w:rPr>
        <w:t>December 2012</w:t>
      </w:r>
      <w:r w:rsidR="004939B4" w:rsidRPr="00A53548">
        <w:rPr>
          <w:rFonts w:cs="Arial"/>
        </w:rPr>
        <w:t>.</w:t>
      </w:r>
    </w:p>
    <w:p w14:paraId="0381347D" w14:textId="72E0D104" w:rsidR="004939B4" w:rsidRPr="000868A0" w:rsidRDefault="00120A58" w:rsidP="004939B4">
      <w:pPr>
        <w:spacing w:after="0" w:line="240" w:lineRule="auto"/>
        <w:rPr>
          <w:rFonts w:cs="Arial"/>
        </w:rPr>
      </w:pPr>
      <w:r w:rsidRPr="00A53548">
        <w:rPr>
          <w:rFonts w:cs="Arial"/>
        </w:rPr>
        <w:t>5</w:t>
      </w:r>
      <w:r w:rsidRPr="00A53548">
        <w:rPr>
          <w:rFonts w:cs="Arial"/>
          <w:vertAlign w:val="superscript"/>
        </w:rPr>
        <w:t>th</w:t>
      </w:r>
      <w:r w:rsidRPr="00A53548">
        <w:rPr>
          <w:rFonts w:cs="Arial"/>
        </w:rPr>
        <w:t xml:space="preserve"> </w:t>
      </w:r>
      <w:r w:rsidR="00BE094C" w:rsidRPr="00A53548">
        <w:rPr>
          <w:rFonts w:cs="Arial"/>
        </w:rPr>
        <w:t>assessment (</w:t>
      </w:r>
      <w:r w:rsidR="001820C6" w:rsidRPr="00A53548">
        <w:rPr>
          <w:rFonts w:cs="Arial"/>
        </w:rPr>
        <w:t>small-scale wildlife trade operation</w:t>
      </w:r>
      <w:r w:rsidR="00BE094C" w:rsidRPr="00A53548">
        <w:rPr>
          <w:rFonts w:cs="Arial"/>
        </w:rPr>
        <w:t xml:space="preserve">) finalised </w:t>
      </w:r>
      <w:r w:rsidR="00A53548" w:rsidRPr="00A53548">
        <w:rPr>
          <w:rFonts w:cs="Arial"/>
        </w:rPr>
        <w:t>July 2015</w:t>
      </w:r>
      <w:r w:rsidR="001820C6" w:rsidRPr="00A53548">
        <w:rPr>
          <w:rFonts w:cs="Arial"/>
        </w:rPr>
        <w:t>.</w:t>
      </w:r>
    </w:p>
    <w:p w14:paraId="49B2CE8A" w14:textId="77777777" w:rsidR="004939B4" w:rsidRDefault="004939B4" w:rsidP="005503DD">
      <w:pPr>
        <w:spacing w:after="0" w:line="240" w:lineRule="auto"/>
        <w:rPr>
          <w:rFonts w:cs="Arial"/>
          <w:b/>
        </w:rPr>
      </w:pPr>
    </w:p>
    <w:tbl>
      <w:tblPr>
        <w:tblStyle w:val="TableGrid"/>
        <w:tblW w:w="15446" w:type="dxa"/>
        <w:tblLook w:val="04A0" w:firstRow="1" w:lastRow="0" w:firstColumn="1" w:lastColumn="0" w:noHBand="0" w:noVBand="1"/>
      </w:tblPr>
      <w:tblGrid>
        <w:gridCol w:w="2036"/>
        <w:gridCol w:w="1131"/>
        <w:gridCol w:w="1134"/>
        <w:gridCol w:w="1132"/>
        <w:gridCol w:w="10013"/>
      </w:tblGrid>
      <w:tr w:rsidR="00FC1B0B" w:rsidRPr="001D23BC" w14:paraId="42635148" w14:textId="77777777" w:rsidTr="005503DD">
        <w:trPr>
          <w:cnfStyle w:val="100000000000" w:firstRow="1" w:lastRow="0" w:firstColumn="0" w:lastColumn="0" w:oddVBand="0" w:evenVBand="0" w:oddHBand="0" w:evenHBand="0" w:firstRowFirstColumn="0" w:firstRowLastColumn="0" w:lastRowFirstColumn="0" w:lastRowLastColumn="0"/>
        </w:trPr>
        <w:tc>
          <w:tcPr>
            <w:tcW w:w="2036" w:type="dxa"/>
            <w:vAlign w:val="center"/>
          </w:tcPr>
          <w:p w14:paraId="42635143" w14:textId="0E130AB2" w:rsidR="00FC1B0B" w:rsidRPr="001D23BC" w:rsidRDefault="00CF4BDE" w:rsidP="00BB7892">
            <w:pPr>
              <w:spacing w:before="60" w:after="60" w:line="240" w:lineRule="auto"/>
              <w:rPr>
                <w:rFonts w:cs="Arial"/>
                <w:b/>
              </w:rPr>
            </w:pPr>
            <w:r w:rsidRPr="001D23BC">
              <w:rPr>
                <w:rFonts w:cs="Arial"/>
                <w:b/>
              </w:rPr>
              <w:t>EPBC requirements</w:t>
            </w:r>
          </w:p>
        </w:tc>
        <w:tc>
          <w:tcPr>
            <w:tcW w:w="1131" w:type="dxa"/>
            <w:shd w:val="clear" w:color="auto" w:fill="92D050"/>
            <w:vAlign w:val="center"/>
          </w:tcPr>
          <w:p w14:paraId="42635144" w14:textId="77777777" w:rsidR="00FC1B0B" w:rsidRPr="001D23BC" w:rsidRDefault="00FC1B0B" w:rsidP="009E0059">
            <w:pPr>
              <w:spacing w:before="60" w:after="60" w:line="240" w:lineRule="auto"/>
              <w:rPr>
                <w:rFonts w:cs="Arial"/>
                <w:b/>
              </w:rPr>
            </w:pPr>
            <w:r w:rsidRPr="001D23BC">
              <w:rPr>
                <w:rFonts w:cs="Arial"/>
                <w:b/>
              </w:rPr>
              <w:t>Meets</w:t>
            </w:r>
          </w:p>
        </w:tc>
        <w:tc>
          <w:tcPr>
            <w:tcW w:w="1134" w:type="dxa"/>
            <w:shd w:val="clear" w:color="auto" w:fill="FFC000"/>
            <w:vAlign w:val="center"/>
          </w:tcPr>
          <w:p w14:paraId="42635145" w14:textId="77777777" w:rsidR="00FC1B0B" w:rsidRPr="001D23BC" w:rsidRDefault="00FC1B0B" w:rsidP="009E0059">
            <w:pPr>
              <w:spacing w:before="60" w:after="60" w:line="240" w:lineRule="auto"/>
              <w:rPr>
                <w:rFonts w:cs="Arial"/>
                <w:b/>
              </w:rPr>
            </w:pPr>
            <w:r w:rsidRPr="001D23BC">
              <w:rPr>
                <w:rFonts w:cs="Arial"/>
                <w:b/>
              </w:rPr>
              <w:t>Partially</w:t>
            </w:r>
            <w:r w:rsidRPr="001D23BC">
              <w:rPr>
                <w:rFonts w:cs="Arial"/>
                <w:b/>
              </w:rPr>
              <w:br/>
              <w:t>meets</w:t>
            </w:r>
          </w:p>
        </w:tc>
        <w:tc>
          <w:tcPr>
            <w:tcW w:w="1132" w:type="dxa"/>
            <w:shd w:val="clear" w:color="auto" w:fill="FF0000"/>
            <w:vAlign w:val="center"/>
          </w:tcPr>
          <w:p w14:paraId="42635146" w14:textId="77777777" w:rsidR="00FC1B0B" w:rsidRPr="001D23BC" w:rsidRDefault="00FC1B0B" w:rsidP="009E0059">
            <w:pPr>
              <w:spacing w:before="60" w:after="60" w:line="240" w:lineRule="auto"/>
              <w:rPr>
                <w:rFonts w:cs="Arial"/>
                <w:b/>
              </w:rPr>
            </w:pPr>
            <w:r w:rsidRPr="001D23BC">
              <w:rPr>
                <w:rFonts w:cs="Arial"/>
                <w:b/>
              </w:rPr>
              <w:t>Does not</w:t>
            </w:r>
            <w:r w:rsidRPr="001D23BC">
              <w:rPr>
                <w:rFonts w:cs="Arial"/>
                <w:b/>
              </w:rPr>
              <w:br/>
              <w:t>meet</w:t>
            </w:r>
          </w:p>
        </w:tc>
        <w:tc>
          <w:tcPr>
            <w:tcW w:w="10013" w:type="dxa"/>
            <w:vAlign w:val="center"/>
          </w:tcPr>
          <w:p w14:paraId="42635147" w14:textId="77777777" w:rsidR="00FC1B0B" w:rsidRPr="001D23BC" w:rsidRDefault="00FC1B0B" w:rsidP="009E0059">
            <w:pPr>
              <w:spacing w:before="60" w:after="60" w:line="240" w:lineRule="auto"/>
              <w:rPr>
                <w:rFonts w:cs="Arial"/>
                <w:b/>
              </w:rPr>
            </w:pPr>
            <w:r w:rsidRPr="001D23BC">
              <w:rPr>
                <w:rFonts w:cs="Arial"/>
                <w:b/>
              </w:rPr>
              <w:t>Details</w:t>
            </w:r>
          </w:p>
        </w:tc>
      </w:tr>
      <w:tr w:rsidR="00FC1B0B" w:rsidRPr="001D23BC" w14:paraId="42635150" w14:textId="77777777" w:rsidTr="005503DD">
        <w:trPr>
          <w:cnfStyle w:val="000000100000" w:firstRow="0" w:lastRow="0" w:firstColumn="0" w:lastColumn="0" w:oddVBand="0" w:evenVBand="0" w:oddHBand="1" w:evenHBand="0" w:firstRowFirstColumn="0" w:firstRowLastColumn="0" w:lastRowFirstColumn="0" w:lastRowLastColumn="0"/>
        </w:trPr>
        <w:tc>
          <w:tcPr>
            <w:tcW w:w="2036" w:type="dxa"/>
            <w:vAlign w:val="center"/>
          </w:tcPr>
          <w:p w14:paraId="4263514B" w14:textId="77777777" w:rsidR="00FC1B0B" w:rsidRPr="001D23BC" w:rsidRDefault="00FC1B0B" w:rsidP="009E0059">
            <w:pPr>
              <w:spacing w:before="60" w:after="60" w:line="240" w:lineRule="auto"/>
              <w:ind w:left="426" w:hanging="426"/>
              <w:rPr>
                <w:rFonts w:cs="Arial"/>
              </w:rPr>
            </w:pPr>
            <w:r w:rsidRPr="001D23BC">
              <w:rPr>
                <w:rFonts w:cs="Arial"/>
              </w:rPr>
              <w:t>Part 13A</w:t>
            </w:r>
          </w:p>
        </w:tc>
        <w:tc>
          <w:tcPr>
            <w:tcW w:w="1131" w:type="dxa"/>
            <w:shd w:val="clear" w:color="auto" w:fill="92D050"/>
            <w:vAlign w:val="center"/>
          </w:tcPr>
          <w:p w14:paraId="4263514C" w14:textId="77777777" w:rsidR="00FC1B0B" w:rsidRPr="001D23BC" w:rsidRDefault="00FC1B0B" w:rsidP="009E0059">
            <w:pPr>
              <w:spacing w:before="60" w:after="60" w:line="240" w:lineRule="auto"/>
              <w:rPr>
                <w:rFonts w:cs="Arial"/>
              </w:rPr>
            </w:pPr>
            <w:r w:rsidRPr="001D23BC">
              <w:rPr>
                <w:rFonts w:cs="Arial"/>
              </w:rPr>
              <w:t>Meets</w:t>
            </w:r>
          </w:p>
        </w:tc>
        <w:tc>
          <w:tcPr>
            <w:tcW w:w="1134" w:type="dxa"/>
            <w:shd w:val="clear" w:color="auto" w:fill="auto"/>
            <w:vAlign w:val="center"/>
          </w:tcPr>
          <w:p w14:paraId="4263514D" w14:textId="77777777" w:rsidR="00FC1B0B" w:rsidRPr="001D23BC" w:rsidRDefault="00FC1B0B" w:rsidP="009E0059">
            <w:pPr>
              <w:spacing w:before="60" w:after="60" w:line="240" w:lineRule="auto"/>
              <w:rPr>
                <w:rFonts w:cs="Arial"/>
              </w:rPr>
            </w:pPr>
          </w:p>
        </w:tc>
        <w:tc>
          <w:tcPr>
            <w:tcW w:w="1132" w:type="dxa"/>
            <w:shd w:val="clear" w:color="auto" w:fill="auto"/>
            <w:vAlign w:val="center"/>
          </w:tcPr>
          <w:p w14:paraId="4263514E" w14:textId="77777777" w:rsidR="00FC1B0B" w:rsidRPr="001D23BC" w:rsidRDefault="00FC1B0B" w:rsidP="009E0059">
            <w:pPr>
              <w:spacing w:before="60" w:after="60" w:line="240" w:lineRule="auto"/>
              <w:rPr>
                <w:rFonts w:cs="Arial"/>
                <w:b/>
              </w:rPr>
            </w:pPr>
          </w:p>
        </w:tc>
        <w:tc>
          <w:tcPr>
            <w:tcW w:w="10013" w:type="dxa"/>
            <w:vAlign w:val="center"/>
          </w:tcPr>
          <w:p w14:paraId="511A59D3" w14:textId="77777777" w:rsidR="00CF4BDE" w:rsidRDefault="00FC1B0B" w:rsidP="00D9615D">
            <w:pPr>
              <w:pStyle w:val="ListBullet"/>
              <w:numPr>
                <w:ilvl w:val="0"/>
                <w:numId w:val="0"/>
              </w:numPr>
            </w:pPr>
            <w:r w:rsidRPr="00F0099D">
              <w:t xml:space="preserve">The </w:t>
            </w:r>
            <w:r>
              <w:t>operation</w:t>
            </w:r>
            <w:r w:rsidRPr="00F0099D">
              <w:t xml:space="preserve"> </w:t>
            </w:r>
            <w:r w:rsidRPr="00301BE0">
              <w:t xml:space="preserve">is consistent with the Objects of Part 13A. </w:t>
            </w:r>
          </w:p>
          <w:p w14:paraId="4263514F" w14:textId="52FA440A" w:rsidR="00FC1B0B" w:rsidRPr="001D23BC" w:rsidRDefault="00FC1B0B" w:rsidP="000B5FE1">
            <w:pPr>
              <w:pStyle w:val="ListBullet"/>
              <w:numPr>
                <w:ilvl w:val="0"/>
                <w:numId w:val="0"/>
              </w:numPr>
              <w:rPr>
                <w:bCs/>
                <w:i/>
                <w:iCs/>
                <w:color w:val="808080" w:themeColor="background1" w:themeShade="80"/>
              </w:rPr>
            </w:pPr>
            <w:r>
              <w:t xml:space="preserve">Declaration of the Wildlife Trade Operation </w:t>
            </w:r>
            <w:r w:rsidR="00CF4BDE">
              <w:t xml:space="preserve">is recommended </w:t>
            </w:r>
            <w:r>
              <w:t xml:space="preserve">for three years, </w:t>
            </w:r>
            <w:r w:rsidRPr="00D81819">
              <w:t xml:space="preserve">until </w:t>
            </w:r>
            <w:r w:rsidR="000B5FE1" w:rsidRPr="00D81819">
              <w:rPr>
                <w:rFonts w:cs="Arial"/>
                <w:noProof/>
              </w:rPr>
              <w:t xml:space="preserve">5 </w:t>
            </w:r>
            <w:r w:rsidR="00B52A41" w:rsidRPr="00D81819">
              <w:rPr>
                <w:rFonts w:cs="Arial"/>
                <w:noProof/>
              </w:rPr>
              <w:t>July</w:t>
            </w:r>
            <w:r w:rsidR="00E74AA4">
              <w:rPr>
                <w:rFonts w:cs="Arial"/>
                <w:noProof/>
              </w:rPr>
              <w:t xml:space="preserve"> </w:t>
            </w:r>
            <w:r w:rsidR="00B52A41">
              <w:rPr>
                <w:rFonts w:cs="Arial"/>
                <w:noProof/>
              </w:rPr>
              <w:t>2021</w:t>
            </w:r>
            <w:r>
              <w:t xml:space="preserve">, </w:t>
            </w:r>
            <w:r w:rsidR="00E65953">
              <w:t xml:space="preserve">and is </w:t>
            </w:r>
            <w:r>
              <w:t>subject to c</w:t>
            </w:r>
            <w:r w:rsidRPr="00F0099D">
              <w:t xml:space="preserve">onditions detailed in Section </w:t>
            </w:r>
            <w:r w:rsidR="003C45F9">
              <w:t>3</w:t>
            </w:r>
            <w:r w:rsidRPr="00F0099D">
              <w:t xml:space="preserve"> of this report.</w:t>
            </w:r>
          </w:p>
        </w:tc>
      </w:tr>
    </w:tbl>
    <w:p w14:paraId="42635151" w14:textId="5D830872" w:rsidR="00FC1B0B" w:rsidRDefault="00FC1B0B" w:rsidP="005503DD">
      <w:pPr>
        <w:spacing w:after="0" w:line="240" w:lineRule="auto"/>
        <w:rPr>
          <w:rFonts w:cs="Arial"/>
          <w:b/>
        </w:rPr>
      </w:pPr>
    </w:p>
    <w:p w14:paraId="42635152" w14:textId="3D584F31" w:rsidR="00507F51" w:rsidRDefault="00C95F71" w:rsidP="00567592">
      <w:pPr>
        <w:pStyle w:val="Heading2"/>
      </w:pPr>
      <w:bookmarkStart w:id="3" w:name="_Toc513627608"/>
      <w:r>
        <w:t>Section 2</w:t>
      </w:r>
      <w:r w:rsidR="009C1407">
        <w:t>:</w:t>
      </w:r>
      <w:r>
        <w:t xml:space="preserve"> </w:t>
      </w:r>
      <w:r w:rsidR="00507F51" w:rsidRPr="000868A0">
        <w:t>Part 13A</w:t>
      </w:r>
      <w:r>
        <w:t xml:space="preserve"> assessment</w:t>
      </w:r>
      <w:bookmarkEnd w:id="3"/>
      <w:r>
        <w:t xml:space="preserve"> </w:t>
      </w:r>
    </w:p>
    <w:tbl>
      <w:tblPr>
        <w:tblStyle w:val="TableGrid"/>
        <w:tblW w:w="15451" w:type="dxa"/>
        <w:tblInd w:w="-5" w:type="dxa"/>
        <w:tblLook w:val="04A0" w:firstRow="1" w:lastRow="0" w:firstColumn="1" w:lastColumn="0" w:noHBand="0" w:noVBand="1"/>
      </w:tblPr>
      <w:tblGrid>
        <w:gridCol w:w="5387"/>
        <w:gridCol w:w="10064"/>
      </w:tblGrid>
      <w:tr w:rsidR="00926914" w14:paraId="0F7D4D63" w14:textId="77777777" w:rsidTr="005503DD">
        <w:trPr>
          <w:cnfStyle w:val="100000000000" w:firstRow="1" w:lastRow="0" w:firstColumn="0" w:lastColumn="0" w:oddVBand="0" w:evenVBand="0" w:oddHBand="0" w:evenHBand="0" w:firstRowFirstColumn="0" w:firstRowLastColumn="0" w:lastRowFirstColumn="0" w:lastRowLastColumn="0"/>
          <w:trHeight w:val="241"/>
        </w:trPr>
        <w:tc>
          <w:tcPr>
            <w:tcW w:w="15451" w:type="dxa"/>
            <w:gridSpan w:val="2"/>
            <w:tcBorders>
              <w:bottom w:val="single" w:sz="4" w:space="0" w:color="auto"/>
            </w:tcBorders>
            <w:vAlign w:val="center"/>
          </w:tcPr>
          <w:p w14:paraId="6EE98417" w14:textId="77777777" w:rsidR="00926914" w:rsidRDefault="00926914" w:rsidP="00D46628">
            <w:pPr>
              <w:spacing w:after="0"/>
            </w:pPr>
            <w:r w:rsidRPr="000868A0">
              <w:rPr>
                <w:rFonts w:cs="Arial"/>
                <w:b/>
                <w:bCs/>
                <w:noProof/>
                <w:sz w:val="18"/>
                <w:szCs w:val="18"/>
              </w:rPr>
              <w:t>Section 303BA Objects of Part 13A</w:t>
            </w:r>
          </w:p>
        </w:tc>
      </w:tr>
      <w:tr w:rsidR="00926914" w14:paraId="71BA1A27" w14:textId="77777777" w:rsidTr="005503DD">
        <w:trPr>
          <w:cnfStyle w:val="000000100000" w:firstRow="0" w:lastRow="0" w:firstColumn="0" w:lastColumn="0" w:oddVBand="0" w:evenVBand="0" w:oddHBand="1" w:evenHBand="0" w:firstRowFirstColumn="0" w:firstRowLastColumn="0" w:lastRowFirstColumn="0" w:lastRowLastColumn="0"/>
          <w:trHeight w:hRule="exact" w:val="340"/>
        </w:trPr>
        <w:tc>
          <w:tcPr>
            <w:tcW w:w="5387" w:type="dxa"/>
            <w:tcBorders>
              <w:bottom w:val="nil"/>
            </w:tcBorders>
          </w:tcPr>
          <w:p w14:paraId="550E7926" w14:textId="77777777" w:rsidR="00926914" w:rsidRDefault="00926914" w:rsidP="005503DD">
            <w:pPr>
              <w:numPr>
                <w:ilvl w:val="0"/>
                <w:numId w:val="9"/>
              </w:numPr>
              <w:tabs>
                <w:tab w:val="clear" w:pos="720"/>
                <w:tab w:val="num" w:pos="360"/>
              </w:tabs>
              <w:spacing w:before="40" w:after="0" w:line="240" w:lineRule="auto"/>
              <w:ind w:hanging="720"/>
            </w:pPr>
            <w:r w:rsidRPr="000868A0">
              <w:rPr>
                <w:rFonts w:cs="Arial"/>
                <w:noProof/>
                <w:sz w:val="18"/>
                <w:szCs w:val="18"/>
              </w:rPr>
              <w:t>The objects of this Part are as follows:</w:t>
            </w:r>
          </w:p>
        </w:tc>
        <w:tc>
          <w:tcPr>
            <w:tcW w:w="10064" w:type="dxa"/>
            <w:tcBorders>
              <w:bottom w:val="nil"/>
            </w:tcBorders>
          </w:tcPr>
          <w:p w14:paraId="274A8AC3" w14:textId="77777777" w:rsidR="00926914" w:rsidRDefault="00926914" w:rsidP="00D46628"/>
        </w:tc>
      </w:tr>
      <w:tr w:rsidR="00E74AA4" w14:paraId="0BDB4B39" w14:textId="77777777" w:rsidTr="005503DD">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0B8A36AB" w14:textId="77777777" w:rsidR="00E74AA4" w:rsidRDefault="00E74AA4" w:rsidP="00E74AA4">
            <w:pPr>
              <w:numPr>
                <w:ilvl w:val="0"/>
                <w:numId w:val="10"/>
              </w:numPr>
              <w:tabs>
                <w:tab w:val="left" w:pos="360"/>
              </w:tabs>
              <w:spacing w:after="120" w:line="240" w:lineRule="auto"/>
              <w:ind w:left="1077"/>
            </w:pPr>
            <w:r w:rsidRPr="001D295D">
              <w:rPr>
                <w:rFonts w:cs="Arial"/>
                <w:noProof/>
                <w:sz w:val="18"/>
                <w:szCs w:val="18"/>
              </w:rPr>
              <w:t>to ensure that Australia complies with its obligations under CITES and the Biodiversity Convention;</w:t>
            </w:r>
          </w:p>
        </w:tc>
        <w:tc>
          <w:tcPr>
            <w:tcW w:w="10064" w:type="dxa"/>
            <w:tcBorders>
              <w:top w:val="nil"/>
              <w:bottom w:val="nil"/>
            </w:tcBorders>
          </w:tcPr>
          <w:p w14:paraId="505FF232" w14:textId="321B358A" w:rsidR="00E74AA4" w:rsidRDefault="001709ED" w:rsidP="001709ED">
            <w:r>
              <w:rPr>
                <w:rFonts w:cs="Arial"/>
                <w:noProof/>
                <w:sz w:val="18"/>
                <w:szCs w:val="18"/>
              </w:rPr>
              <w:t>Wild h</w:t>
            </w:r>
            <w:r w:rsidR="00B52A41">
              <w:rPr>
                <w:rFonts w:cs="Arial"/>
                <w:noProof/>
                <w:sz w:val="18"/>
                <w:szCs w:val="18"/>
              </w:rPr>
              <w:t xml:space="preserve">arvest and export of Australian native invertebrates </w:t>
            </w:r>
            <w:r w:rsidR="00E74AA4" w:rsidRPr="00125DD5">
              <w:rPr>
                <w:rFonts w:cs="Arial"/>
                <w:noProof/>
                <w:sz w:val="18"/>
                <w:szCs w:val="18"/>
              </w:rPr>
              <w:t xml:space="preserve">is not inconsistent with Australia’s obligations under the Convention on Biological Diversity. </w:t>
            </w:r>
            <w:r w:rsidR="00ED4912">
              <w:rPr>
                <w:rFonts w:cs="Arial"/>
                <w:noProof/>
                <w:sz w:val="18"/>
                <w:szCs w:val="18"/>
              </w:rPr>
              <w:t xml:space="preserve">None of the species to be harvested or exported by </w:t>
            </w:r>
            <w:r w:rsidR="009B275C">
              <w:rPr>
                <w:rFonts w:cs="Arial"/>
                <w:noProof/>
                <w:sz w:val="18"/>
                <w:szCs w:val="18"/>
              </w:rPr>
              <w:t xml:space="preserve">the </w:t>
            </w:r>
            <w:r w:rsidR="00ED4912">
              <w:rPr>
                <w:rFonts w:cs="Arial"/>
                <w:noProof/>
                <w:sz w:val="18"/>
                <w:szCs w:val="18"/>
              </w:rPr>
              <w:t>Australian Insect Farm are CITES-listed.</w:t>
            </w:r>
          </w:p>
        </w:tc>
      </w:tr>
      <w:tr w:rsidR="00E74AA4" w14:paraId="6583D68F" w14:textId="77777777" w:rsidTr="005503DD">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76E18220" w14:textId="77777777" w:rsidR="00E74AA4" w:rsidRDefault="00E74AA4" w:rsidP="00E74AA4">
            <w:pPr>
              <w:numPr>
                <w:ilvl w:val="0"/>
                <w:numId w:val="10"/>
              </w:numPr>
              <w:tabs>
                <w:tab w:val="left" w:pos="360"/>
              </w:tabs>
              <w:spacing w:after="120" w:line="240" w:lineRule="auto"/>
              <w:ind w:left="1077"/>
            </w:pPr>
            <w:r w:rsidRPr="001D295D">
              <w:rPr>
                <w:rFonts w:cs="Arial"/>
                <w:noProof/>
                <w:sz w:val="18"/>
                <w:szCs w:val="18"/>
              </w:rPr>
              <w:t>to protect wildlife that may be adversely affected by trade;</w:t>
            </w:r>
          </w:p>
        </w:tc>
        <w:tc>
          <w:tcPr>
            <w:tcW w:w="10064" w:type="dxa"/>
            <w:tcBorders>
              <w:top w:val="nil"/>
              <w:bottom w:val="nil"/>
            </w:tcBorders>
          </w:tcPr>
          <w:p w14:paraId="4449FD36" w14:textId="7B14273F" w:rsidR="00E74AA4" w:rsidRDefault="009B275C" w:rsidP="001709ED">
            <w:r>
              <w:rPr>
                <w:rFonts w:cs="Arial"/>
                <w:noProof/>
                <w:sz w:val="18"/>
                <w:szCs w:val="18"/>
              </w:rPr>
              <w:t>Species adversel</w:t>
            </w:r>
            <w:r w:rsidR="001709ED">
              <w:rPr>
                <w:rFonts w:cs="Arial"/>
                <w:noProof/>
                <w:sz w:val="18"/>
                <w:szCs w:val="18"/>
              </w:rPr>
              <w:t>y</w:t>
            </w:r>
            <w:r>
              <w:rPr>
                <w:rFonts w:cs="Arial"/>
                <w:noProof/>
                <w:sz w:val="18"/>
                <w:szCs w:val="18"/>
              </w:rPr>
              <w:t xml:space="preserve"> affected by trade have been excluded from the list of species to be harvested under the proposal, as well as any species listed as threatened under state o</w:t>
            </w:r>
            <w:r w:rsidR="001709ED">
              <w:rPr>
                <w:rFonts w:cs="Arial"/>
                <w:noProof/>
                <w:sz w:val="18"/>
                <w:szCs w:val="18"/>
              </w:rPr>
              <w:t>r</w:t>
            </w:r>
            <w:r>
              <w:rPr>
                <w:rFonts w:cs="Arial"/>
                <w:noProof/>
                <w:sz w:val="18"/>
                <w:szCs w:val="18"/>
              </w:rPr>
              <w:t xml:space="preserve"> Commonwealth legislation. </w:t>
            </w:r>
          </w:p>
        </w:tc>
      </w:tr>
      <w:tr w:rsidR="00E74AA4" w14:paraId="335A9D58" w14:textId="77777777" w:rsidTr="005503DD">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0DCB12E7" w14:textId="77777777" w:rsidR="00E74AA4" w:rsidRDefault="00E74AA4" w:rsidP="00E74AA4">
            <w:pPr>
              <w:numPr>
                <w:ilvl w:val="0"/>
                <w:numId w:val="10"/>
              </w:numPr>
              <w:tabs>
                <w:tab w:val="left" w:pos="360"/>
              </w:tabs>
              <w:spacing w:after="120" w:line="240" w:lineRule="auto"/>
              <w:ind w:left="1077"/>
            </w:pPr>
            <w:r w:rsidRPr="001D295D">
              <w:rPr>
                <w:rFonts w:cs="Arial"/>
                <w:noProof/>
                <w:sz w:val="18"/>
                <w:szCs w:val="18"/>
              </w:rPr>
              <w:t>to promote the conservation of biodiversity in Australia and other countries;</w:t>
            </w:r>
          </w:p>
        </w:tc>
        <w:tc>
          <w:tcPr>
            <w:tcW w:w="10064" w:type="dxa"/>
            <w:tcBorders>
              <w:top w:val="nil"/>
              <w:bottom w:val="nil"/>
            </w:tcBorders>
          </w:tcPr>
          <w:p w14:paraId="42A0F16C" w14:textId="00D4AF37" w:rsidR="00E74AA4" w:rsidRDefault="00B66001" w:rsidP="00A308E7">
            <w:r>
              <w:rPr>
                <w:rFonts w:cs="Arial"/>
                <w:noProof/>
                <w:sz w:val="18"/>
                <w:szCs w:val="18"/>
              </w:rPr>
              <w:t>Although t</w:t>
            </w:r>
            <w:r w:rsidR="00D7714E" w:rsidRPr="00125DD5">
              <w:rPr>
                <w:rFonts w:cs="Arial"/>
                <w:noProof/>
                <w:sz w:val="18"/>
                <w:szCs w:val="18"/>
              </w:rPr>
              <w:t>he operation</w:t>
            </w:r>
            <w:r w:rsidR="00D7714E">
              <w:rPr>
                <w:rFonts w:cs="Arial"/>
                <w:noProof/>
                <w:sz w:val="18"/>
                <w:szCs w:val="18"/>
              </w:rPr>
              <w:t xml:space="preserve">’s focus is not on the active </w:t>
            </w:r>
            <w:r w:rsidR="00D7714E" w:rsidRPr="00125DD5">
              <w:rPr>
                <w:rFonts w:cs="Arial"/>
                <w:noProof/>
                <w:sz w:val="18"/>
                <w:szCs w:val="18"/>
              </w:rPr>
              <w:t>promot</w:t>
            </w:r>
            <w:r w:rsidR="00D7714E">
              <w:rPr>
                <w:rFonts w:cs="Arial"/>
                <w:noProof/>
                <w:sz w:val="18"/>
                <w:szCs w:val="18"/>
              </w:rPr>
              <w:t xml:space="preserve">ion of </w:t>
            </w:r>
            <w:r w:rsidRPr="00125DD5">
              <w:rPr>
                <w:rFonts w:cs="Arial"/>
                <w:noProof/>
                <w:sz w:val="18"/>
                <w:szCs w:val="18"/>
              </w:rPr>
              <w:t>biodiversity</w:t>
            </w:r>
            <w:r w:rsidRPr="00125DD5" w:rsidDel="00B66001">
              <w:rPr>
                <w:rFonts w:cs="Arial"/>
                <w:noProof/>
                <w:sz w:val="18"/>
                <w:szCs w:val="18"/>
              </w:rPr>
              <w:t xml:space="preserve"> </w:t>
            </w:r>
            <w:r w:rsidR="00D7714E" w:rsidRPr="00125DD5">
              <w:rPr>
                <w:rFonts w:cs="Arial"/>
                <w:noProof/>
                <w:sz w:val="18"/>
                <w:szCs w:val="18"/>
              </w:rPr>
              <w:t>conservation</w:t>
            </w:r>
            <w:r w:rsidR="00D7714E">
              <w:rPr>
                <w:rFonts w:cs="Arial"/>
                <w:noProof/>
                <w:sz w:val="18"/>
                <w:szCs w:val="18"/>
              </w:rPr>
              <w:t xml:space="preserve">, </w:t>
            </w:r>
            <w:r>
              <w:rPr>
                <w:rFonts w:cs="Arial"/>
                <w:noProof/>
                <w:sz w:val="18"/>
                <w:szCs w:val="18"/>
              </w:rPr>
              <w:t xml:space="preserve">wild </w:t>
            </w:r>
            <w:r w:rsidR="00D7714E">
              <w:rPr>
                <w:rFonts w:cs="Arial"/>
                <w:noProof/>
                <w:sz w:val="18"/>
                <w:szCs w:val="18"/>
              </w:rPr>
              <w:t>h</w:t>
            </w:r>
            <w:r w:rsidR="005621AD">
              <w:rPr>
                <w:rFonts w:cs="Arial"/>
                <w:noProof/>
                <w:sz w:val="18"/>
                <w:szCs w:val="18"/>
              </w:rPr>
              <w:t xml:space="preserve">arvest and export of Australian native invertebrates </w:t>
            </w:r>
            <w:r w:rsidR="00E74AA4" w:rsidRPr="00125DD5">
              <w:rPr>
                <w:rFonts w:cs="Arial"/>
                <w:noProof/>
                <w:sz w:val="18"/>
                <w:szCs w:val="18"/>
              </w:rPr>
              <w:t>is not inconsistent with this object</w:t>
            </w:r>
            <w:r>
              <w:rPr>
                <w:rFonts w:cs="Arial"/>
                <w:noProof/>
                <w:sz w:val="18"/>
                <w:szCs w:val="18"/>
              </w:rPr>
              <w:t>.</w:t>
            </w:r>
            <w:r w:rsidR="00E74AA4">
              <w:rPr>
                <w:rFonts w:cs="Arial"/>
                <w:noProof/>
                <w:sz w:val="18"/>
                <w:szCs w:val="18"/>
              </w:rPr>
              <w:t xml:space="preserve"> </w:t>
            </w:r>
            <w:r>
              <w:rPr>
                <w:rFonts w:cs="Arial"/>
                <w:noProof/>
                <w:sz w:val="18"/>
                <w:szCs w:val="18"/>
              </w:rPr>
              <w:t xml:space="preserve">The </w:t>
            </w:r>
            <w:r w:rsidR="005621AD">
              <w:rPr>
                <w:rFonts w:cs="Arial"/>
                <w:noProof/>
                <w:sz w:val="18"/>
                <w:szCs w:val="18"/>
              </w:rPr>
              <w:t xml:space="preserve">Australian Insect Farm </w:t>
            </w:r>
            <w:r w:rsidR="00A308E7">
              <w:rPr>
                <w:rFonts w:cs="Arial"/>
                <w:noProof/>
                <w:sz w:val="18"/>
                <w:szCs w:val="18"/>
              </w:rPr>
              <w:t xml:space="preserve">also </w:t>
            </w:r>
            <w:r w:rsidR="005621AD">
              <w:rPr>
                <w:rFonts w:cs="Arial"/>
                <w:noProof/>
                <w:sz w:val="18"/>
                <w:szCs w:val="18"/>
              </w:rPr>
              <w:t>engages in reafforestation, education and research-related activities</w:t>
            </w:r>
            <w:r w:rsidR="00E74AA4">
              <w:rPr>
                <w:rFonts w:cs="Arial"/>
                <w:noProof/>
                <w:sz w:val="18"/>
                <w:szCs w:val="18"/>
              </w:rPr>
              <w:t>.</w:t>
            </w:r>
            <w:r w:rsidR="005621AD">
              <w:rPr>
                <w:rFonts w:cs="Arial"/>
                <w:noProof/>
                <w:sz w:val="18"/>
                <w:szCs w:val="18"/>
              </w:rPr>
              <w:t xml:space="preserve"> </w:t>
            </w:r>
          </w:p>
        </w:tc>
      </w:tr>
      <w:tr w:rsidR="00E74AA4" w14:paraId="71C465A3" w14:textId="77777777" w:rsidTr="005503DD">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3652FC08" w14:textId="77777777" w:rsidR="00E74AA4" w:rsidRDefault="00E74AA4" w:rsidP="00E74AA4">
            <w:pPr>
              <w:numPr>
                <w:ilvl w:val="0"/>
                <w:numId w:val="10"/>
              </w:numPr>
              <w:tabs>
                <w:tab w:val="left" w:pos="360"/>
              </w:tabs>
              <w:spacing w:after="120" w:line="240" w:lineRule="auto"/>
              <w:ind w:left="1077"/>
            </w:pPr>
            <w:r w:rsidRPr="000868A0">
              <w:rPr>
                <w:rFonts w:cs="Arial"/>
                <w:noProof/>
                <w:sz w:val="18"/>
                <w:szCs w:val="18"/>
              </w:rPr>
              <w:t>to ensure that any commercial utilisation of Australian native wildlife for the purposes of export is managed in an ecologically sustainable way;</w:t>
            </w:r>
          </w:p>
        </w:tc>
        <w:tc>
          <w:tcPr>
            <w:tcW w:w="10064" w:type="dxa"/>
            <w:tcBorders>
              <w:top w:val="nil"/>
              <w:bottom w:val="nil"/>
            </w:tcBorders>
          </w:tcPr>
          <w:p w14:paraId="289B8830" w14:textId="7425D04D" w:rsidR="00E74AA4" w:rsidRDefault="00C13BE8" w:rsidP="00BD59F6">
            <w:r>
              <w:rPr>
                <w:rFonts w:cs="Arial"/>
                <w:noProof/>
                <w:sz w:val="18"/>
                <w:szCs w:val="18"/>
              </w:rPr>
              <w:t xml:space="preserve">The level of harvest set out in the proposal is likely to be </w:t>
            </w:r>
            <w:r w:rsidR="00A308E7">
              <w:rPr>
                <w:rFonts w:cs="Arial"/>
                <w:noProof/>
                <w:sz w:val="18"/>
                <w:szCs w:val="18"/>
              </w:rPr>
              <w:t>ecological</w:t>
            </w:r>
            <w:r w:rsidR="00786DEE">
              <w:rPr>
                <w:rFonts w:cs="Arial"/>
                <w:noProof/>
                <w:sz w:val="18"/>
                <w:szCs w:val="18"/>
              </w:rPr>
              <w:t>ly</w:t>
            </w:r>
            <w:r w:rsidR="00A308E7">
              <w:rPr>
                <w:rFonts w:cs="Arial"/>
                <w:noProof/>
                <w:sz w:val="18"/>
                <w:szCs w:val="18"/>
              </w:rPr>
              <w:t xml:space="preserve"> </w:t>
            </w:r>
            <w:r>
              <w:rPr>
                <w:rFonts w:cs="Arial"/>
                <w:noProof/>
                <w:sz w:val="18"/>
                <w:szCs w:val="18"/>
              </w:rPr>
              <w:t>sustainab</w:t>
            </w:r>
            <w:r w:rsidR="00A308E7">
              <w:rPr>
                <w:rFonts w:cs="Arial"/>
                <w:noProof/>
                <w:sz w:val="18"/>
                <w:szCs w:val="18"/>
              </w:rPr>
              <w:t>l</w:t>
            </w:r>
            <w:r w:rsidR="00786DEE">
              <w:rPr>
                <w:rFonts w:cs="Arial"/>
                <w:noProof/>
                <w:sz w:val="18"/>
                <w:szCs w:val="18"/>
              </w:rPr>
              <w:t>e</w:t>
            </w:r>
            <w:r>
              <w:rPr>
                <w:rFonts w:cs="Arial"/>
                <w:noProof/>
                <w:sz w:val="18"/>
                <w:szCs w:val="18"/>
              </w:rPr>
              <w:t>. Quotas are set at a conservative level</w:t>
            </w:r>
            <w:r w:rsidR="00786DEE">
              <w:rPr>
                <w:rFonts w:cs="Arial"/>
                <w:noProof/>
                <w:sz w:val="18"/>
                <w:szCs w:val="18"/>
              </w:rPr>
              <w:t xml:space="preserve"> </w:t>
            </w:r>
            <w:r>
              <w:rPr>
                <w:rFonts w:cs="Arial"/>
                <w:noProof/>
                <w:sz w:val="18"/>
                <w:szCs w:val="18"/>
              </w:rPr>
              <w:t>and can be revised downward</w:t>
            </w:r>
            <w:r w:rsidR="00201165">
              <w:rPr>
                <w:rFonts w:cs="Arial"/>
                <w:noProof/>
                <w:sz w:val="18"/>
                <w:szCs w:val="18"/>
              </w:rPr>
              <w:t>, or new conditions added,</w:t>
            </w:r>
            <w:r>
              <w:rPr>
                <w:rFonts w:cs="Arial"/>
                <w:noProof/>
                <w:sz w:val="18"/>
                <w:szCs w:val="18"/>
              </w:rPr>
              <w:t xml:space="preserve"> if </w:t>
            </w:r>
            <w:r w:rsidR="00201165">
              <w:rPr>
                <w:rFonts w:cs="Arial"/>
                <w:noProof/>
                <w:sz w:val="18"/>
                <w:szCs w:val="18"/>
              </w:rPr>
              <w:t>conservation concerns emerge for particular species d</w:t>
            </w:r>
            <w:r w:rsidR="00BD59F6">
              <w:rPr>
                <w:rFonts w:cs="Arial"/>
                <w:noProof/>
                <w:sz w:val="18"/>
                <w:szCs w:val="18"/>
              </w:rPr>
              <w:t>u</w:t>
            </w:r>
            <w:r w:rsidR="00201165">
              <w:rPr>
                <w:rFonts w:cs="Arial"/>
                <w:noProof/>
                <w:sz w:val="18"/>
                <w:szCs w:val="18"/>
              </w:rPr>
              <w:t>ring the life of the WTO.</w:t>
            </w:r>
            <w:r>
              <w:rPr>
                <w:rFonts w:cs="Arial"/>
                <w:noProof/>
                <w:sz w:val="18"/>
                <w:szCs w:val="18"/>
              </w:rPr>
              <w:t xml:space="preserve"> </w:t>
            </w:r>
            <w:r w:rsidR="00201165">
              <w:rPr>
                <w:rFonts w:cs="Arial"/>
                <w:noProof/>
                <w:sz w:val="18"/>
                <w:szCs w:val="18"/>
              </w:rPr>
              <w:t>Collection of specimens occurs only at limited select sites, and AIF aims to ensure that impact is minimal and populations remain unaffected. AIF is the only operator approved under the EPBC Act to harvest and export invertebrates in north Queensland.</w:t>
            </w:r>
            <w:r>
              <w:rPr>
                <w:rFonts w:cs="Arial"/>
                <w:noProof/>
                <w:sz w:val="18"/>
                <w:szCs w:val="18"/>
              </w:rPr>
              <w:t xml:space="preserve"> </w:t>
            </w:r>
            <w:r w:rsidR="00E74AA4">
              <w:rPr>
                <w:rFonts w:cs="Arial"/>
                <w:noProof/>
                <w:sz w:val="18"/>
                <w:szCs w:val="18"/>
              </w:rPr>
              <w:t xml:space="preserve"> </w:t>
            </w:r>
          </w:p>
        </w:tc>
      </w:tr>
      <w:tr w:rsidR="00E74AA4" w14:paraId="0856EF16" w14:textId="77777777" w:rsidTr="005503DD">
        <w:trPr>
          <w:cnfStyle w:val="000000010000" w:firstRow="0" w:lastRow="0" w:firstColumn="0" w:lastColumn="0" w:oddVBand="0" w:evenVBand="0" w:oddHBand="0" w:evenHBand="1" w:firstRowFirstColumn="0" w:firstRowLastColumn="0" w:lastRowFirstColumn="0" w:lastRowLastColumn="0"/>
        </w:trPr>
        <w:tc>
          <w:tcPr>
            <w:tcW w:w="5387" w:type="dxa"/>
            <w:tcBorders>
              <w:top w:val="nil"/>
              <w:bottom w:val="nil"/>
            </w:tcBorders>
          </w:tcPr>
          <w:p w14:paraId="167C1401" w14:textId="77777777" w:rsidR="00E74AA4" w:rsidRDefault="00E74AA4" w:rsidP="00E74AA4">
            <w:pPr>
              <w:numPr>
                <w:ilvl w:val="0"/>
                <w:numId w:val="10"/>
              </w:numPr>
              <w:tabs>
                <w:tab w:val="left" w:pos="360"/>
              </w:tabs>
              <w:spacing w:after="120" w:line="240" w:lineRule="auto"/>
              <w:ind w:left="1077"/>
            </w:pPr>
            <w:r w:rsidRPr="000868A0">
              <w:rPr>
                <w:rFonts w:cs="Arial"/>
                <w:noProof/>
                <w:sz w:val="18"/>
                <w:szCs w:val="18"/>
              </w:rPr>
              <w:t>to promote the humane treatment of wildlife;</w:t>
            </w:r>
          </w:p>
        </w:tc>
        <w:tc>
          <w:tcPr>
            <w:tcW w:w="10064" w:type="dxa"/>
            <w:tcBorders>
              <w:top w:val="nil"/>
              <w:bottom w:val="nil"/>
            </w:tcBorders>
          </w:tcPr>
          <w:p w14:paraId="31183285" w14:textId="581A1CDA" w:rsidR="00E74AA4" w:rsidRDefault="00E74AA4" w:rsidP="00E74AA4">
            <w:r w:rsidRPr="00613C31">
              <w:rPr>
                <w:rFonts w:cs="Arial"/>
                <w:noProof/>
                <w:sz w:val="18"/>
                <w:szCs w:val="18"/>
              </w:rPr>
              <w:t>Object is not applicable to the operation.</w:t>
            </w:r>
            <w:r>
              <w:rPr>
                <w:rFonts w:cs="Arial"/>
                <w:noProof/>
                <w:sz w:val="18"/>
                <w:szCs w:val="18"/>
              </w:rPr>
              <w:t xml:space="preserve"> </w:t>
            </w:r>
          </w:p>
        </w:tc>
      </w:tr>
      <w:tr w:rsidR="00E74AA4" w14:paraId="5CCE5E11" w14:textId="77777777" w:rsidTr="005503DD">
        <w:trPr>
          <w:cnfStyle w:val="000000100000" w:firstRow="0" w:lastRow="0" w:firstColumn="0" w:lastColumn="0" w:oddVBand="0" w:evenVBand="0" w:oddHBand="1" w:evenHBand="0" w:firstRowFirstColumn="0" w:firstRowLastColumn="0" w:lastRowFirstColumn="0" w:lastRowLastColumn="0"/>
        </w:trPr>
        <w:tc>
          <w:tcPr>
            <w:tcW w:w="5387" w:type="dxa"/>
            <w:tcBorders>
              <w:top w:val="nil"/>
              <w:bottom w:val="nil"/>
            </w:tcBorders>
          </w:tcPr>
          <w:p w14:paraId="0A1EDF82" w14:textId="77777777" w:rsidR="00E74AA4" w:rsidRDefault="00E74AA4" w:rsidP="00E74AA4">
            <w:pPr>
              <w:numPr>
                <w:ilvl w:val="0"/>
                <w:numId w:val="10"/>
              </w:numPr>
              <w:tabs>
                <w:tab w:val="left" w:pos="360"/>
              </w:tabs>
              <w:spacing w:after="120" w:line="240" w:lineRule="auto"/>
            </w:pPr>
            <w:r w:rsidRPr="001D295D">
              <w:rPr>
                <w:rFonts w:cs="Arial"/>
                <w:noProof/>
                <w:sz w:val="18"/>
                <w:szCs w:val="18"/>
              </w:rPr>
              <w:lastRenderedPageBreak/>
              <w:t>to ensure ethical conduct during any research associated with the utilisation of wildlife; and</w:t>
            </w:r>
            <w:r>
              <w:rPr>
                <w:rFonts w:cs="Arial"/>
                <w:noProof/>
                <w:sz w:val="18"/>
                <w:szCs w:val="18"/>
              </w:rPr>
              <w:t xml:space="preserve"> </w:t>
            </w:r>
          </w:p>
        </w:tc>
        <w:tc>
          <w:tcPr>
            <w:tcW w:w="10064" w:type="dxa"/>
            <w:tcBorders>
              <w:top w:val="nil"/>
              <w:bottom w:val="nil"/>
            </w:tcBorders>
          </w:tcPr>
          <w:p w14:paraId="5D7140C3" w14:textId="33FDA39F" w:rsidR="00E74AA4" w:rsidRDefault="00E74AA4" w:rsidP="00E74AA4">
            <w:r w:rsidRPr="00530F61">
              <w:rPr>
                <w:rFonts w:cs="Arial"/>
                <w:noProof/>
                <w:sz w:val="18"/>
                <w:szCs w:val="18"/>
              </w:rPr>
              <w:t>Object is not applicable to the operation.</w:t>
            </w:r>
          </w:p>
        </w:tc>
      </w:tr>
      <w:tr w:rsidR="00E74AA4" w14:paraId="198667E6" w14:textId="77777777" w:rsidTr="005503DD">
        <w:trPr>
          <w:cnfStyle w:val="000000010000" w:firstRow="0" w:lastRow="0" w:firstColumn="0" w:lastColumn="0" w:oddVBand="0" w:evenVBand="0" w:oddHBand="0" w:evenHBand="1" w:firstRowFirstColumn="0" w:firstRowLastColumn="0" w:lastRowFirstColumn="0" w:lastRowLastColumn="0"/>
        </w:trPr>
        <w:tc>
          <w:tcPr>
            <w:tcW w:w="5387" w:type="dxa"/>
            <w:tcBorders>
              <w:top w:val="nil"/>
            </w:tcBorders>
          </w:tcPr>
          <w:p w14:paraId="73FB9B39" w14:textId="77777777" w:rsidR="00E74AA4" w:rsidRDefault="00E74AA4" w:rsidP="00E74AA4">
            <w:pPr>
              <w:numPr>
                <w:ilvl w:val="0"/>
                <w:numId w:val="12"/>
              </w:numPr>
              <w:tabs>
                <w:tab w:val="left" w:pos="360"/>
              </w:tabs>
              <w:spacing w:after="0" w:line="240" w:lineRule="auto"/>
            </w:pPr>
            <w:r>
              <w:rPr>
                <w:rFonts w:cs="Arial"/>
                <w:noProof/>
                <w:sz w:val="18"/>
                <w:szCs w:val="18"/>
              </w:rPr>
              <w:t>to</w:t>
            </w:r>
            <w:r w:rsidRPr="001D295D">
              <w:rPr>
                <w:sz w:val="18"/>
                <w:szCs w:val="18"/>
              </w:rPr>
              <w:t xml:space="preserve"> ensure the precautionary principle is taken into account in making decisions relating to the utilisation of wildlife.</w:t>
            </w:r>
          </w:p>
        </w:tc>
        <w:tc>
          <w:tcPr>
            <w:tcW w:w="10064" w:type="dxa"/>
            <w:tcBorders>
              <w:top w:val="nil"/>
            </w:tcBorders>
          </w:tcPr>
          <w:p w14:paraId="167ECCE0" w14:textId="62F689EA" w:rsidR="00E74AA4" w:rsidRPr="00DF3AD0" w:rsidRDefault="00201165">
            <w:pPr>
              <w:spacing w:after="0"/>
              <w:rPr>
                <w:sz w:val="18"/>
                <w:szCs w:val="18"/>
              </w:rPr>
            </w:pPr>
            <w:r w:rsidRPr="00DF3AD0">
              <w:rPr>
                <w:sz w:val="18"/>
                <w:szCs w:val="18"/>
              </w:rPr>
              <w:t xml:space="preserve">The operation is small-scale. None of the species proposed for harvest and export </w:t>
            </w:r>
            <w:r>
              <w:rPr>
                <w:sz w:val="18"/>
                <w:szCs w:val="18"/>
              </w:rPr>
              <w:t>is</w:t>
            </w:r>
            <w:r w:rsidRPr="00DF3AD0">
              <w:rPr>
                <w:sz w:val="18"/>
                <w:szCs w:val="18"/>
              </w:rPr>
              <w:t xml:space="preserve"> listed as threatened under the EPBC Act or under Queensland legislation. Quotas are set conservatively in relation to the size of the properties and for particular species for which some concern is held regarding their biology, reproductive history or distribution.</w:t>
            </w:r>
          </w:p>
        </w:tc>
      </w:tr>
    </w:tbl>
    <w:p w14:paraId="1E590246" w14:textId="77777777" w:rsidR="00926914" w:rsidRDefault="00926914" w:rsidP="00507F51">
      <w:pPr>
        <w:spacing w:before="120" w:after="0" w:line="240" w:lineRule="auto"/>
        <w:rPr>
          <w:rFonts w:cs="Arial"/>
          <w:b/>
        </w:rPr>
      </w:pPr>
    </w:p>
    <w:p w14:paraId="42635169" w14:textId="27750E0E" w:rsidR="00661057" w:rsidRPr="00926914" w:rsidRDefault="00661057">
      <w:pPr>
        <w:spacing w:after="0" w:line="240" w:lineRule="auto"/>
        <w:rPr>
          <w:b/>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10064"/>
      </w:tblGrid>
      <w:tr w:rsidR="00507F51" w:rsidRPr="000868A0" w14:paraId="4263516B" w14:textId="77777777" w:rsidTr="00E04080">
        <w:trPr>
          <w:cantSplit/>
        </w:trPr>
        <w:tc>
          <w:tcPr>
            <w:tcW w:w="15446" w:type="dxa"/>
            <w:gridSpan w:val="2"/>
          </w:tcPr>
          <w:p w14:paraId="4263516A" w14:textId="77777777" w:rsidR="00507F51" w:rsidRPr="000868A0" w:rsidRDefault="00507F51" w:rsidP="009E0059">
            <w:pPr>
              <w:spacing w:before="60" w:after="60" w:line="240" w:lineRule="auto"/>
              <w:contextualSpacing/>
              <w:rPr>
                <w:rFonts w:cs="Arial"/>
                <w:b/>
                <w:sz w:val="18"/>
                <w:szCs w:val="18"/>
              </w:rPr>
            </w:pPr>
            <w:r w:rsidRPr="000868A0">
              <w:rPr>
                <w:rFonts w:cs="Arial"/>
                <w:b/>
                <w:sz w:val="18"/>
                <w:szCs w:val="18"/>
              </w:rPr>
              <w:t>Section 303FN Approved wildlife trade operation</w:t>
            </w:r>
          </w:p>
        </w:tc>
      </w:tr>
      <w:tr w:rsidR="00507F51" w:rsidRPr="000868A0" w14:paraId="4263516E" w14:textId="77777777" w:rsidTr="00E04080">
        <w:trPr>
          <w:cantSplit/>
        </w:trPr>
        <w:tc>
          <w:tcPr>
            <w:tcW w:w="5382" w:type="dxa"/>
            <w:tcMar>
              <w:top w:w="57" w:type="dxa"/>
              <w:bottom w:w="57" w:type="dxa"/>
            </w:tcMar>
          </w:tcPr>
          <w:p w14:paraId="4263516C"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t>(2)</w:t>
            </w:r>
            <w:r w:rsidRPr="000868A0">
              <w:rPr>
                <w:rFonts w:cs="Arial"/>
                <w:sz w:val="18"/>
                <w:szCs w:val="18"/>
              </w:rPr>
              <w:tab/>
              <w:t xml:space="preserve">The Minister may, by instrument published in the </w:t>
            </w:r>
            <w:r w:rsidRPr="000868A0">
              <w:rPr>
                <w:rFonts w:cs="Arial"/>
                <w:i/>
                <w:sz w:val="18"/>
                <w:szCs w:val="18"/>
              </w:rPr>
              <w:t>Gazette</w:t>
            </w:r>
            <w:r w:rsidRPr="000868A0">
              <w:rPr>
                <w:rFonts w:cs="Arial"/>
                <w:sz w:val="18"/>
                <w:szCs w:val="18"/>
              </w:rPr>
              <w:t xml:space="preserve">, declare that a specified wildlife trade operation is an </w:t>
            </w:r>
            <w:r w:rsidRPr="000868A0">
              <w:rPr>
                <w:rFonts w:cs="Arial"/>
                <w:b/>
                <w:i/>
                <w:sz w:val="18"/>
                <w:szCs w:val="18"/>
              </w:rPr>
              <w:t xml:space="preserve">approved wildlife trade operation </w:t>
            </w:r>
            <w:r w:rsidRPr="000868A0">
              <w:rPr>
                <w:rFonts w:cs="Arial"/>
                <w:sz w:val="18"/>
                <w:szCs w:val="18"/>
              </w:rPr>
              <w:t>for the purposes of this section.</w:t>
            </w:r>
          </w:p>
        </w:tc>
        <w:tc>
          <w:tcPr>
            <w:tcW w:w="10064" w:type="dxa"/>
            <w:tcMar>
              <w:top w:w="57" w:type="dxa"/>
              <w:bottom w:w="57" w:type="dxa"/>
            </w:tcMar>
          </w:tcPr>
          <w:p w14:paraId="4263516D" w14:textId="77777777" w:rsidR="00507F51" w:rsidRPr="000868A0" w:rsidRDefault="00507F51" w:rsidP="009E0059">
            <w:pPr>
              <w:spacing w:before="60" w:after="60" w:line="240" w:lineRule="auto"/>
              <w:contextualSpacing/>
              <w:rPr>
                <w:rFonts w:cs="Arial"/>
                <w:sz w:val="18"/>
                <w:szCs w:val="18"/>
              </w:rPr>
            </w:pPr>
          </w:p>
        </w:tc>
      </w:tr>
      <w:tr w:rsidR="00507F51" w:rsidRPr="000868A0" w14:paraId="42635172" w14:textId="77777777" w:rsidTr="00DF3AD0">
        <w:trPr>
          <w:cantSplit/>
        </w:trPr>
        <w:tc>
          <w:tcPr>
            <w:tcW w:w="5382" w:type="dxa"/>
            <w:tcMar>
              <w:top w:w="57" w:type="dxa"/>
              <w:bottom w:w="57" w:type="dxa"/>
            </w:tcMar>
          </w:tcPr>
          <w:p w14:paraId="4263516F"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t>(3)</w:t>
            </w:r>
            <w:r w:rsidRPr="000868A0">
              <w:rPr>
                <w:rFonts w:cs="Arial"/>
                <w:sz w:val="18"/>
                <w:szCs w:val="18"/>
              </w:rPr>
              <w:tab/>
              <w:t xml:space="preserve">The Minister must not declare an operation as an approved wildlife trade operation unless the Minister is </w:t>
            </w:r>
            <w:r w:rsidRPr="000868A0">
              <w:rPr>
                <w:rFonts w:cs="Arial"/>
                <w:b/>
                <w:sz w:val="18"/>
                <w:szCs w:val="18"/>
              </w:rPr>
              <w:t>satisfied</w:t>
            </w:r>
            <w:r w:rsidRPr="000868A0">
              <w:rPr>
                <w:rFonts w:cs="Arial"/>
                <w:sz w:val="18"/>
                <w:szCs w:val="18"/>
              </w:rPr>
              <w:t xml:space="preserve"> that:</w:t>
            </w:r>
          </w:p>
          <w:p w14:paraId="42635170" w14:textId="77777777" w:rsidR="00507F51" w:rsidRPr="000868A0" w:rsidRDefault="00507F51" w:rsidP="009E0059">
            <w:pPr>
              <w:spacing w:before="60" w:after="60" w:line="240" w:lineRule="auto"/>
              <w:ind w:left="357"/>
              <w:contextualSpacing/>
              <w:rPr>
                <w:rFonts w:cs="Arial"/>
                <w:sz w:val="18"/>
                <w:szCs w:val="18"/>
              </w:rPr>
            </w:pPr>
            <w:r w:rsidRPr="000868A0">
              <w:rPr>
                <w:rFonts w:cs="Arial"/>
                <w:sz w:val="18"/>
                <w:szCs w:val="18"/>
              </w:rPr>
              <w:t>(a)</w:t>
            </w:r>
            <w:r w:rsidRPr="000868A0">
              <w:rPr>
                <w:rFonts w:cs="Arial"/>
                <w:sz w:val="18"/>
                <w:szCs w:val="18"/>
              </w:rPr>
              <w:tab/>
              <w:t>the operation is consistent with the objects of Part 13A of the Act; and</w:t>
            </w:r>
          </w:p>
        </w:tc>
        <w:tc>
          <w:tcPr>
            <w:tcW w:w="10064" w:type="dxa"/>
            <w:shd w:val="clear" w:color="auto" w:fill="92D050"/>
            <w:tcMar>
              <w:top w:w="57" w:type="dxa"/>
              <w:bottom w:w="57" w:type="dxa"/>
            </w:tcMar>
          </w:tcPr>
          <w:p w14:paraId="42635171" w14:textId="23B573E8" w:rsidR="00507F51" w:rsidRPr="000868A0" w:rsidRDefault="00507F51">
            <w:pPr>
              <w:spacing w:before="60" w:after="60" w:line="240" w:lineRule="auto"/>
              <w:contextualSpacing/>
              <w:rPr>
                <w:rFonts w:cs="Arial"/>
                <w:sz w:val="18"/>
                <w:szCs w:val="18"/>
              </w:rPr>
            </w:pPr>
            <w:r w:rsidRPr="00704BD5">
              <w:rPr>
                <w:rFonts w:cs="Arial"/>
                <w:b/>
                <w:sz w:val="18"/>
                <w:szCs w:val="18"/>
              </w:rPr>
              <w:t>Meets</w:t>
            </w:r>
            <w:r w:rsidR="005621AD" w:rsidRPr="00704BD5">
              <w:rPr>
                <w:rFonts w:cs="Arial"/>
                <w:b/>
                <w:sz w:val="18"/>
                <w:szCs w:val="18"/>
              </w:rPr>
              <w:t xml:space="preserve"> </w:t>
            </w:r>
            <w:r w:rsidRPr="00704BD5">
              <w:rPr>
                <w:rFonts w:cs="Arial"/>
                <w:sz w:val="18"/>
                <w:szCs w:val="18"/>
              </w:rPr>
              <w:br/>
              <w:t>The operation is consistent with Objects of 13A – see assessment above</w:t>
            </w:r>
            <w:r w:rsidR="00201165" w:rsidRPr="00704BD5">
              <w:rPr>
                <w:rFonts w:cs="Arial"/>
                <w:sz w:val="18"/>
                <w:szCs w:val="18"/>
              </w:rPr>
              <w:t>.</w:t>
            </w:r>
          </w:p>
        </w:tc>
      </w:tr>
      <w:tr w:rsidR="00507F51" w:rsidRPr="000868A0" w14:paraId="4263517B" w14:textId="77777777" w:rsidTr="00DF3AD0">
        <w:trPr>
          <w:cantSplit/>
        </w:trPr>
        <w:tc>
          <w:tcPr>
            <w:tcW w:w="5382" w:type="dxa"/>
            <w:tcMar>
              <w:top w:w="57" w:type="dxa"/>
              <w:bottom w:w="57" w:type="dxa"/>
            </w:tcMar>
          </w:tcPr>
          <w:p w14:paraId="42635173" w14:textId="77777777" w:rsidR="00507F51" w:rsidRPr="000868A0" w:rsidRDefault="00507F51" w:rsidP="009E0059">
            <w:pPr>
              <w:spacing w:before="60" w:after="60" w:line="240" w:lineRule="auto"/>
              <w:ind w:left="357"/>
              <w:contextualSpacing/>
              <w:rPr>
                <w:rFonts w:cs="Arial"/>
                <w:sz w:val="18"/>
                <w:szCs w:val="18"/>
              </w:rPr>
            </w:pPr>
            <w:r w:rsidRPr="000868A0">
              <w:rPr>
                <w:rFonts w:cs="Arial"/>
                <w:sz w:val="18"/>
                <w:szCs w:val="18"/>
              </w:rPr>
              <w:t>(b)</w:t>
            </w:r>
            <w:r w:rsidRPr="000868A0">
              <w:rPr>
                <w:rFonts w:cs="Arial"/>
                <w:sz w:val="18"/>
                <w:szCs w:val="18"/>
              </w:rPr>
              <w:tab/>
              <w:t>the operation will not be detrimental to:</w:t>
            </w:r>
          </w:p>
          <w:p w14:paraId="42635174" w14:textId="77777777" w:rsidR="00507F51" w:rsidRPr="000868A0" w:rsidRDefault="00507F51" w:rsidP="009E0059">
            <w:pPr>
              <w:spacing w:before="60" w:after="60" w:line="240" w:lineRule="auto"/>
              <w:ind w:left="454"/>
              <w:contextualSpacing/>
              <w:rPr>
                <w:rFonts w:cs="Arial"/>
                <w:sz w:val="18"/>
                <w:szCs w:val="18"/>
              </w:rPr>
            </w:pPr>
            <w:r w:rsidRPr="000868A0">
              <w:rPr>
                <w:rFonts w:cs="Arial"/>
                <w:sz w:val="18"/>
                <w:szCs w:val="18"/>
              </w:rPr>
              <w:t>i.</w:t>
            </w:r>
            <w:r>
              <w:rPr>
                <w:rFonts w:cs="Arial"/>
                <w:sz w:val="18"/>
                <w:szCs w:val="18"/>
              </w:rPr>
              <w:t xml:space="preserve">  </w:t>
            </w:r>
            <w:r w:rsidRPr="000868A0">
              <w:rPr>
                <w:rFonts w:cs="Arial"/>
                <w:sz w:val="18"/>
                <w:szCs w:val="18"/>
              </w:rPr>
              <w:t>the survival of a taxon to which the operation relates; or</w:t>
            </w:r>
          </w:p>
          <w:p w14:paraId="42635175" w14:textId="77777777" w:rsidR="00507F51" w:rsidRPr="000868A0" w:rsidRDefault="00507F51" w:rsidP="009E0059">
            <w:pPr>
              <w:spacing w:before="60" w:after="60" w:line="240" w:lineRule="auto"/>
              <w:ind w:left="454"/>
              <w:contextualSpacing/>
              <w:rPr>
                <w:rFonts w:cs="Arial"/>
                <w:sz w:val="18"/>
                <w:szCs w:val="18"/>
              </w:rPr>
            </w:pPr>
            <w:r>
              <w:rPr>
                <w:rFonts w:cs="Arial"/>
                <w:sz w:val="18"/>
                <w:szCs w:val="18"/>
              </w:rPr>
              <w:t xml:space="preserve">ii. </w:t>
            </w:r>
            <w:r w:rsidRPr="000868A0">
              <w:rPr>
                <w:rFonts w:cs="Arial"/>
                <w:sz w:val="18"/>
                <w:szCs w:val="18"/>
              </w:rPr>
              <w:t>the conservation status of a taxon to which the operation relates; and</w:t>
            </w:r>
          </w:p>
          <w:p w14:paraId="42635176" w14:textId="77777777" w:rsidR="00507F51" w:rsidRPr="000868A0" w:rsidRDefault="00507F51" w:rsidP="009E0059">
            <w:pPr>
              <w:tabs>
                <w:tab w:val="left" w:pos="738"/>
              </w:tabs>
              <w:spacing w:before="60" w:after="60" w:line="240" w:lineRule="auto"/>
              <w:ind w:left="738" w:hanging="425"/>
              <w:contextualSpacing/>
              <w:rPr>
                <w:rFonts w:cs="Arial"/>
                <w:sz w:val="18"/>
                <w:szCs w:val="18"/>
              </w:rPr>
            </w:pPr>
            <w:r w:rsidRPr="000868A0">
              <w:rPr>
                <w:rFonts w:cs="Arial"/>
                <w:sz w:val="18"/>
                <w:szCs w:val="18"/>
              </w:rPr>
              <w:t>(ba)</w:t>
            </w:r>
            <w:r w:rsidRPr="000868A0">
              <w:rPr>
                <w:rFonts w:cs="Arial"/>
                <w:sz w:val="18"/>
                <w:szCs w:val="18"/>
              </w:rPr>
              <w:tab/>
              <w:t>the operation will not be likely to threaten any relevant ecosystem including (but not limited to) any habitat or biodiversity; and</w:t>
            </w:r>
          </w:p>
        </w:tc>
        <w:tc>
          <w:tcPr>
            <w:tcW w:w="10064" w:type="dxa"/>
            <w:shd w:val="clear" w:color="auto" w:fill="92D050"/>
            <w:tcMar>
              <w:top w:w="57" w:type="dxa"/>
              <w:bottom w:w="57" w:type="dxa"/>
            </w:tcMar>
          </w:tcPr>
          <w:p w14:paraId="4FCEE75E" w14:textId="51A2AC44" w:rsidR="00BE056E" w:rsidRPr="002E39E3" w:rsidRDefault="00E74AA4" w:rsidP="002E39E3">
            <w:pPr>
              <w:pStyle w:val="indenta"/>
              <w:tabs>
                <w:tab w:val="clear" w:pos="1531"/>
                <w:tab w:val="right" w:pos="993"/>
              </w:tabs>
              <w:spacing w:before="0" w:line="240" w:lineRule="auto"/>
              <w:ind w:left="0" w:firstLine="0"/>
              <w:jc w:val="both"/>
              <w:rPr>
                <w:rFonts w:ascii="Arial" w:hAnsi="Arial" w:cs="Arial"/>
                <w:sz w:val="18"/>
                <w:szCs w:val="18"/>
              </w:rPr>
            </w:pPr>
            <w:r w:rsidRPr="002E39E3">
              <w:rPr>
                <w:rFonts w:ascii="Arial" w:hAnsi="Arial" w:cs="Arial"/>
                <w:b/>
                <w:sz w:val="18"/>
                <w:szCs w:val="18"/>
              </w:rPr>
              <w:t>Meets</w:t>
            </w:r>
            <w:r w:rsidR="00BE056E" w:rsidRPr="002E39E3" w:rsidDel="00BE056E">
              <w:rPr>
                <w:rFonts w:ascii="Arial" w:hAnsi="Arial" w:cs="Arial"/>
                <w:b/>
                <w:sz w:val="18"/>
                <w:szCs w:val="18"/>
                <w:highlight w:val="yellow"/>
              </w:rPr>
              <w:t xml:space="preserve"> </w:t>
            </w:r>
            <w:r w:rsidR="00507F51" w:rsidRPr="002E39E3">
              <w:rPr>
                <w:rFonts w:ascii="Arial" w:hAnsi="Arial" w:cs="Arial"/>
                <w:iCs/>
                <w:sz w:val="18"/>
                <w:szCs w:val="18"/>
              </w:rPr>
              <w:br/>
            </w:r>
            <w:r w:rsidR="00974383">
              <w:rPr>
                <w:rFonts w:ascii="Arial" w:hAnsi="Arial" w:cs="Arial"/>
                <w:sz w:val="18"/>
                <w:szCs w:val="18"/>
              </w:rPr>
              <w:t xml:space="preserve">As noted in the proposal, </w:t>
            </w:r>
            <w:r w:rsidR="00BE056E" w:rsidRPr="002E39E3">
              <w:rPr>
                <w:rFonts w:ascii="Arial" w:hAnsi="Arial" w:cs="Arial"/>
                <w:sz w:val="18"/>
                <w:szCs w:val="18"/>
              </w:rPr>
              <w:t xml:space="preserve">the harvest is unlikely to have an effect on the survival or conservation status of the taxa being harvested </w:t>
            </w:r>
            <w:r w:rsidR="00BE056E">
              <w:rPr>
                <w:rFonts w:ascii="Arial" w:hAnsi="Arial" w:cs="Arial"/>
                <w:sz w:val="18"/>
                <w:szCs w:val="18"/>
              </w:rPr>
              <w:t>owing</w:t>
            </w:r>
            <w:r w:rsidR="00BE056E" w:rsidRPr="002E39E3">
              <w:rPr>
                <w:rFonts w:ascii="Arial" w:hAnsi="Arial" w:cs="Arial"/>
                <w:sz w:val="18"/>
                <w:szCs w:val="18"/>
              </w:rPr>
              <w:t xml:space="preserve"> to the following:</w:t>
            </w:r>
          </w:p>
          <w:p w14:paraId="4F8ED4B1" w14:textId="77777777" w:rsidR="00BE056E" w:rsidRPr="002E39E3" w:rsidRDefault="00BE056E" w:rsidP="002E39E3">
            <w:pPr>
              <w:pStyle w:val="indenta"/>
              <w:numPr>
                <w:ilvl w:val="0"/>
                <w:numId w:val="14"/>
              </w:numPr>
              <w:tabs>
                <w:tab w:val="clear" w:pos="1531"/>
                <w:tab w:val="right" w:pos="993"/>
              </w:tabs>
              <w:spacing w:before="0" w:line="240" w:lineRule="auto"/>
              <w:ind w:left="0" w:firstLine="0"/>
              <w:jc w:val="both"/>
              <w:rPr>
                <w:rFonts w:ascii="Arial" w:hAnsi="Arial" w:cs="Arial"/>
                <w:sz w:val="18"/>
                <w:szCs w:val="18"/>
              </w:rPr>
            </w:pPr>
            <w:r w:rsidRPr="002E39E3">
              <w:rPr>
                <w:rFonts w:ascii="Arial" w:hAnsi="Arial" w:cs="Arial"/>
                <w:sz w:val="18"/>
                <w:szCs w:val="18"/>
              </w:rPr>
              <w:t>invertebrates in general are well known for their capability to breed in large numbers;</w:t>
            </w:r>
          </w:p>
          <w:p w14:paraId="35827872" w14:textId="77777777" w:rsidR="00BE056E" w:rsidRPr="002E39E3" w:rsidRDefault="00BE056E" w:rsidP="002E39E3">
            <w:pPr>
              <w:pStyle w:val="indenta"/>
              <w:numPr>
                <w:ilvl w:val="0"/>
                <w:numId w:val="14"/>
              </w:numPr>
              <w:tabs>
                <w:tab w:val="clear" w:pos="1531"/>
                <w:tab w:val="right" w:pos="993"/>
              </w:tabs>
              <w:spacing w:before="0" w:line="240" w:lineRule="auto"/>
              <w:ind w:left="0" w:firstLine="0"/>
              <w:jc w:val="both"/>
              <w:rPr>
                <w:rFonts w:ascii="Arial" w:hAnsi="Arial" w:cs="Arial"/>
                <w:sz w:val="18"/>
                <w:szCs w:val="18"/>
              </w:rPr>
            </w:pPr>
            <w:r w:rsidRPr="002E39E3">
              <w:rPr>
                <w:rFonts w:ascii="Arial" w:hAnsi="Arial" w:cs="Arial"/>
                <w:sz w:val="18"/>
                <w:szCs w:val="18"/>
              </w:rPr>
              <w:t>the harvest occurs on large acreage with large amounts of intact habitat;</w:t>
            </w:r>
          </w:p>
          <w:p w14:paraId="695387B3" w14:textId="77777777" w:rsidR="00BE056E" w:rsidRPr="002E39E3" w:rsidRDefault="00BE056E" w:rsidP="002E39E3">
            <w:pPr>
              <w:pStyle w:val="indenta"/>
              <w:numPr>
                <w:ilvl w:val="0"/>
                <w:numId w:val="14"/>
              </w:numPr>
              <w:tabs>
                <w:tab w:val="clear" w:pos="1531"/>
                <w:tab w:val="right" w:pos="993"/>
              </w:tabs>
              <w:spacing w:before="0" w:line="240" w:lineRule="auto"/>
              <w:ind w:left="0" w:firstLine="0"/>
              <w:jc w:val="both"/>
              <w:rPr>
                <w:rFonts w:ascii="Arial" w:hAnsi="Arial" w:cs="Arial"/>
                <w:sz w:val="18"/>
                <w:szCs w:val="18"/>
              </w:rPr>
            </w:pPr>
            <w:r w:rsidRPr="002E39E3">
              <w:rPr>
                <w:rFonts w:ascii="Arial" w:hAnsi="Arial" w:cs="Arial"/>
                <w:sz w:val="18"/>
                <w:szCs w:val="18"/>
              </w:rPr>
              <w:t>conservative quotas are set;</w:t>
            </w:r>
          </w:p>
          <w:p w14:paraId="4489D982" w14:textId="77777777" w:rsidR="00BE056E" w:rsidRPr="002E39E3" w:rsidRDefault="00BE056E" w:rsidP="002E39E3">
            <w:pPr>
              <w:pStyle w:val="indenta"/>
              <w:numPr>
                <w:ilvl w:val="0"/>
                <w:numId w:val="14"/>
              </w:numPr>
              <w:tabs>
                <w:tab w:val="clear" w:pos="1531"/>
                <w:tab w:val="right" w:pos="993"/>
              </w:tabs>
              <w:spacing w:before="0" w:line="240" w:lineRule="auto"/>
              <w:ind w:left="0" w:firstLine="0"/>
              <w:jc w:val="both"/>
              <w:rPr>
                <w:rFonts w:ascii="Arial" w:hAnsi="Arial" w:cs="Arial"/>
                <w:sz w:val="18"/>
                <w:szCs w:val="18"/>
              </w:rPr>
            </w:pPr>
            <w:r w:rsidRPr="002E39E3">
              <w:rPr>
                <w:rFonts w:ascii="Arial" w:hAnsi="Arial" w:cs="Arial"/>
                <w:sz w:val="18"/>
                <w:szCs w:val="18"/>
              </w:rPr>
              <w:t xml:space="preserve">trapping activities only affect a very small part of the property; </w:t>
            </w:r>
          </w:p>
          <w:p w14:paraId="776A3740" w14:textId="77777777" w:rsidR="00BE056E" w:rsidRPr="002E39E3" w:rsidRDefault="00BE056E" w:rsidP="002E39E3">
            <w:pPr>
              <w:pStyle w:val="indenta"/>
              <w:numPr>
                <w:ilvl w:val="0"/>
                <w:numId w:val="14"/>
              </w:numPr>
              <w:tabs>
                <w:tab w:val="clear" w:pos="1531"/>
                <w:tab w:val="right" w:pos="993"/>
              </w:tabs>
              <w:spacing w:before="0" w:line="240" w:lineRule="auto"/>
              <w:jc w:val="both"/>
              <w:rPr>
                <w:rFonts w:ascii="Arial" w:hAnsi="Arial" w:cs="Arial"/>
                <w:sz w:val="18"/>
                <w:szCs w:val="18"/>
              </w:rPr>
            </w:pPr>
            <w:r w:rsidRPr="002E39E3">
              <w:rPr>
                <w:rFonts w:ascii="Arial" w:hAnsi="Arial" w:cs="Arial"/>
                <w:sz w:val="18"/>
                <w:szCs w:val="18"/>
              </w:rPr>
              <w:t>all specimens are caught live and only the needed specimens are kept, remaining animals are released back into the wild; and</w:t>
            </w:r>
          </w:p>
          <w:p w14:paraId="40D68916" w14:textId="77777777" w:rsidR="00BE056E" w:rsidRPr="002E39E3" w:rsidRDefault="00BE056E" w:rsidP="002E39E3">
            <w:pPr>
              <w:pStyle w:val="indenta"/>
              <w:numPr>
                <w:ilvl w:val="0"/>
                <w:numId w:val="14"/>
              </w:numPr>
              <w:tabs>
                <w:tab w:val="clear" w:pos="1531"/>
                <w:tab w:val="right" w:pos="993"/>
              </w:tabs>
              <w:spacing w:before="0" w:line="240" w:lineRule="auto"/>
              <w:jc w:val="both"/>
              <w:rPr>
                <w:rFonts w:ascii="Arial" w:hAnsi="Arial" w:cs="Arial"/>
                <w:sz w:val="18"/>
                <w:szCs w:val="18"/>
              </w:rPr>
            </w:pPr>
            <w:r w:rsidRPr="002E39E3">
              <w:rPr>
                <w:rFonts w:ascii="Arial" w:hAnsi="Arial" w:cs="Arial"/>
                <w:sz w:val="18"/>
                <w:szCs w:val="18"/>
              </w:rPr>
              <w:t xml:space="preserve">land management practices used within the individual properties are designed to maintain the biodiversity, thus securing the conservation status of all species present. </w:t>
            </w:r>
          </w:p>
          <w:p w14:paraId="4263517A" w14:textId="69B509B0" w:rsidR="00507F51" w:rsidRPr="000868A0" w:rsidRDefault="00507F51" w:rsidP="00507F51">
            <w:pPr>
              <w:spacing w:before="60" w:after="60" w:line="240" w:lineRule="auto"/>
              <w:contextualSpacing/>
              <w:rPr>
                <w:rFonts w:cs="Arial"/>
                <w:sz w:val="18"/>
                <w:szCs w:val="18"/>
              </w:rPr>
            </w:pPr>
          </w:p>
        </w:tc>
      </w:tr>
      <w:tr w:rsidR="00507F51" w:rsidRPr="000868A0" w14:paraId="4263517E" w14:textId="77777777" w:rsidTr="00E04080">
        <w:trPr>
          <w:cantSplit/>
        </w:trPr>
        <w:tc>
          <w:tcPr>
            <w:tcW w:w="5382" w:type="dxa"/>
            <w:tcMar>
              <w:top w:w="57" w:type="dxa"/>
              <w:bottom w:w="57" w:type="dxa"/>
            </w:tcMar>
          </w:tcPr>
          <w:p w14:paraId="4263517C" w14:textId="77777777" w:rsidR="00507F51" w:rsidRPr="000868A0" w:rsidRDefault="00507F51" w:rsidP="009E0059">
            <w:pPr>
              <w:tabs>
                <w:tab w:val="left" w:pos="1080"/>
              </w:tabs>
              <w:spacing w:before="60" w:after="60" w:line="240" w:lineRule="auto"/>
              <w:ind w:left="397"/>
              <w:contextualSpacing/>
              <w:rPr>
                <w:rFonts w:cs="Arial"/>
                <w:sz w:val="18"/>
                <w:szCs w:val="18"/>
              </w:rPr>
            </w:pPr>
            <w:r w:rsidRPr="000868A0">
              <w:rPr>
                <w:rFonts w:cs="Arial"/>
                <w:sz w:val="18"/>
                <w:szCs w:val="18"/>
              </w:rPr>
              <w:t>(c) if the operation relates to the taking of live specimens that belong to a taxon specified in the regulations – the conditions that, under the regulations, are applicable to the welfare of the specimens are likely to be complied with; and</w:t>
            </w:r>
          </w:p>
        </w:tc>
        <w:tc>
          <w:tcPr>
            <w:tcW w:w="10064" w:type="dxa"/>
            <w:tcMar>
              <w:top w:w="57" w:type="dxa"/>
              <w:bottom w:w="57" w:type="dxa"/>
            </w:tcMar>
          </w:tcPr>
          <w:p w14:paraId="5E17E876" w14:textId="77777777" w:rsidR="00E74AA4" w:rsidRPr="00C318B7" w:rsidRDefault="00E74AA4" w:rsidP="00C318B7">
            <w:pPr>
              <w:spacing w:before="60" w:after="0" w:line="240" w:lineRule="auto"/>
              <w:rPr>
                <w:rFonts w:cs="Arial"/>
                <w:b/>
                <w:sz w:val="18"/>
                <w:szCs w:val="18"/>
              </w:rPr>
            </w:pPr>
            <w:r w:rsidRPr="00C318B7">
              <w:rPr>
                <w:rFonts w:cs="Arial"/>
                <w:b/>
                <w:sz w:val="18"/>
                <w:szCs w:val="18"/>
              </w:rPr>
              <w:t>Not applicable</w:t>
            </w:r>
          </w:p>
          <w:p w14:paraId="4263517D" w14:textId="752BA0CB" w:rsidR="00507F51" w:rsidRPr="000868A0" w:rsidRDefault="00E74AA4">
            <w:pPr>
              <w:spacing w:before="60" w:after="60" w:line="240" w:lineRule="auto"/>
              <w:rPr>
                <w:rFonts w:cs="Arial"/>
                <w:sz w:val="18"/>
                <w:szCs w:val="18"/>
              </w:rPr>
            </w:pPr>
            <w:r w:rsidRPr="00C318B7">
              <w:rPr>
                <w:rFonts w:cs="Arial"/>
                <w:sz w:val="18"/>
                <w:szCs w:val="18"/>
              </w:rPr>
              <w:t>The Environment Protection and Biodiversity Conservation Regulations 2000 do not specify invertebrates</w:t>
            </w:r>
            <w:r w:rsidR="00331FF9" w:rsidRPr="00C318B7">
              <w:rPr>
                <w:rFonts w:cs="Arial"/>
                <w:sz w:val="18"/>
                <w:szCs w:val="18"/>
              </w:rPr>
              <w:t xml:space="preserve"> </w:t>
            </w:r>
            <w:r w:rsidRPr="00C318B7">
              <w:rPr>
                <w:rFonts w:cs="Arial"/>
                <w:sz w:val="18"/>
                <w:szCs w:val="18"/>
              </w:rPr>
              <w:t>in relation to the welfare of live specimens.</w:t>
            </w:r>
          </w:p>
        </w:tc>
      </w:tr>
      <w:tr w:rsidR="00507F51" w:rsidRPr="000868A0" w14:paraId="42635181" w14:textId="77777777" w:rsidTr="00E04080">
        <w:trPr>
          <w:cantSplit/>
        </w:trPr>
        <w:tc>
          <w:tcPr>
            <w:tcW w:w="5382" w:type="dxa"/>
            <w:tcMar>
              <w:top w:w="57" w:type="dxa"/>
              <w:bottom w:w="57" w:type="dxa"/>
            </w:tcMar>
          </w:tcPr>
          <w:p w14:paraId="4263517F" w14:textId="77777777" w:rsidR="00507F51" w:rsidRPr="000868A0" w:rsidRDefault="00507F51" w:rsidP="009E0059">
            <w:pPr>
              <w:spacing w:before="60" w:after="60" w:line="240" w:lineRule="auto"/>
              <w:ind w:left="397"/>
              <w:contextualSpacing/>
              <w:rPr>
                <w:rFonts w:cs="Arial"/>
                <w:sz w:val="18"/>
                <w:szCs w:val="18"/>
              </w:rPr>
            </w:pPr>
            <w:r w:rsidRPr="000868A0">
              <w:rPr>
                <w:rFonts w:cs="Arial"/>
                <w:sz w:val="18"/>
                <w:szCs w:val="18"/>
              </w:rPr>
              <w:t>(d) such other conditions (if any) as are specified in the regulations have been, or are likely to be, satisfied.</w:t>
            </w:r>
          </w:p>
        </w:tc>
        <w:tc>
          <w:tcPr>
            <w:tcW w:w="10064" w:type="dxa"/>
            <w:tcMar>
              <w:top w:w="57" w:type="dxa"/>
              <w:bottom w:w="57" w:type="dxa"/>
            </w:tcMar>
          </w:tcPr>
          <w:p w14:paraId="42635180" w14:textId="77777777" w:rsidR="00507F51" w:rsidRPr="000868A0" w:rsidRDefault="00507F51" w:rsidP="00E01593">
            <w:pPr>
              <w:spacing w:before="60" w:after="60" w:line="240" w:lineRule="auto"/>
              <w:rPr>
                <w:rFonts w:cs="Arial"/>
                <w:sz w:val="18"/>
                <w:szCs w:val="18"/>
              </w:rPr>
            </w:pPr>
            <w:r w:rsidRPr="000868A0">
              <w:rPr>
                <w:rFonts w:cs="Arial"/>
                <w:b/>
                <w:sz w:val="18"/>
                <w:szCs w:val="18"/>
              </w:rPr>
              <w:t>Not applicable</w:t>
            </w:r>
            <w:r w:rsidRPr="000868A0">
              <w:rPr>
                <w:rFonts w:cs="Arial"/>
                <w:b/>
                <w:sz w:val="18"/>
                <w:szCs w:val="18"/>
              </w:rPr>
              <w:br/>
            </w:r>
            <w:r w:rsidRPr="000868A0">
              <w:rPr>
                <w:rFonts w:cs="Arial"/>
                <w:sz w:val="18"/>
                <w:szCs w:val="18"/>
              </w:rPr>
              <w:t xml:space="preserve">No other conditions are specified in relation to commercial </w:t>
            </w:r>
            <w:r w:rsidR="00E01593">
              <w:rPr>
                <w:rFonts w:cs="Arial"/>
                <w:sz w:val="18"/>
                <w:szCs w:val="18"/>
              </w:rPr>
              <w:t>wildlife trade operations</w:t>
            </w:r>
            <w:r w:rsidRPr="000868A0">
              <w:rPr>
                <w:rFonts w:cs="Arial"/>
                <w:sz w:val="18"/>
                <w:szCs w:val="18"/>
              </w:rPr>
              <w:t xml:space="preserve"> in the Environment Protection and Biodiversity Conservation Regulations 2000.</w:t>
            </w:r>
          </w:p>
        </w:tc>
      </w:tr>
      <w:tr w:rsidR="00507F51" w:rsidRPr="000868A0" w14:paraId="42635185" w14:textId="77777777" w:rsidTr="00DF3AD0">
        <w:trPr>
          <w:cantSplit/>
        </w:trPr>
        <w:tc>
          <w:tcPr>
            <w:tcW w:w="5382" w:type="dxa"/>
          </w:tcPr>
          <w:p w14:paraId="42635182"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t>(4)</w:t>
            </w:r>
            <w:r w:rsidRPr="000868A0">
              <w:rPr>
                <w:rFonts w:cs="Arial"/>
                <w:sz w:val="18"/>
                <w:szCs w:val="18"/>
              </w:rPr>
              <w:tab/>
              <w:t xml:space="preserve">In deciding whether to declare an operation as an approved wildlife trade operation the Minister must have </w:t>
            </w:r>
            <w:r w:rsidRPr="000868A0">
              <w:rPr>
                <w:rFonts w:cs="Arial"/>
                <w:b/>
                <w:sz w:val="18"/>
                <w:szCs w:val="18"/>
              </w:rPr>
              <w:t>regard</w:t>
            </w:r>
            <w:r w:rsidRPr="000868A0">
              <w:rPr>
                <w:rFonts w:cs="Arial"/>
                <w:sz w:val="18"/>
                <w:szCs w:val="18"/>
              </w:rPr>
              <w:t xml:space="preserve"> to:</w:t>
            </w:r>
          </w:p>
          <w:p w14:paraId="42635183" w14:textId="77777777" w:rsidR="00507F51" w:rsidRPr="000868A0" w:rsidRDefault="00507F51" w:rsidP="009E0059">
            <w:pPr>
              <w:spacing w:before="60" w:after="60" w:line="240" w:lineRule="auto"/>
              <w:ind w:left="357"/>
              <w:contextualSpacing/>
              <w:rPr>
                <w:rFonts w:cs="Arial"/>
                <w:sz w:val="18"/>
                <w:szCs w:val="18"/>
              </w:rPr>
            </w:pPr>
            <w:r w:rsidRPr="000868A0">
              <w:rPr>
                <w:rFonts w:cs="Arial"/>
                <w:sz w:val="18"/>
                <w:szCs w:val="18"/>
              </w:rPr>
              <w:t>(a)</w:t>
            </w:r>
            <w:r w:rsidRPr="000868A0">
              <w:rPr>
                <w:rFonts w:cs="Arial"/>
                <w:sz w:val="18"/>
                <w:szCs w:val="18"/>
              </w:rPr>
              <w:tab/>
              <w:t>the significance of the impact of the operation on an ecosystem (for example, an impact on habitat or biodiversity); and</w:t>
            </w:r>
          </w:p>
        </w:tc>
        <w:tc>
          <w:tcPr>
            <w:tcW w:w="10064" w:type="dxa"/>
            <w:shd w:val="clear" w:color="auto" w:fill="92D050"/>
          </w:tcPr>
          <w:p w14:paraId="7D3A650F" w14:textId="03AC4F6F" w:rsidR="00E74AA4" w:rsidRPr="00507F51" w:rsidRDefault="00704BD5" w:rsidP="00704BD5">
            <w:pPr>
              <w:spacing w:before="60" w:after="60" w:line="240" w:lineRule="auto"/>
              <w:contextualSpacing/>
              <w:rPr>
                <w:rFonts w:cs="Arial"/>
                <w:sz w:val="18"/>
                <w:szCs w:val="18"/>
              </w:rPr>
            </w:pPr>
            <w:r w:rsidRPr="00704BD5">
              <w:rPr>
                <w:rFonts w:cs="Arial"/>
                <w:b/>
                <w:sz w:val="18"/>
                <w:szCs w:val="18"/>
              </w:rPr>
              <w:t>Meets</w:t>
            </w:r>
            <w:r w:rsidRPr="00704BD5">
              <w:rPr>
                <w:rFonts w:cs="Arial"/>
                <w:sz w:val="18"/>
                <w:szCs w:val="18"/>
              </w:rPr>
              <w:br/>
              <w:t>The operation</w:t>
            </w:r>
            <w:r w:rsidRPr="00065C1E">
              <w:rPr>
                <w:rFonts w:cs="Arial"/>
                <w:sz w:val="18"/>
                <w:szCs w:val="18"/>
              </w:rPr>
              <w:t xml:space="preserve"> is not expected to have a significant impact on any relevant ecosystem within the next three year period of the approval</w:t>
            </w:r>
            <w:r w:rsidRPr="002E39E3">
              <w:rPr>
                <w:rFonts w:cs="Arial"/>
                <w:sz w:val="18"/>
                <w:szCs w:val="18"/>
              </w:rPr>
              <w:t xml:space="preserve">, given </w:t>
            </w:r>
            <w:r w:rsidRPr="00C90D29">
              <w:rPr>
                <w:rFonts w:cs="Arial"/>
                <w:sz w:val="18"/>
                <w:szCs w:val="18"/>
              </w:rPr>
              <w:t xml:space="preserve">its harvest scale and </w:t>
            </w:r>
            <w:r w:rsidRPr="00704BD5">
              <w:rPr>
                <w:rFonts w:cs="Arial"/>
                <w:sz w:val="18"/>
                <w:szCs w:val="18"/>
              </w:rPr>
              <w:t>the management mitigation measures currently in place (described above at s303FN 3(b).</w:t>
            </w:r>
            <w:r w:rsidR="00E74AA4" w:rsidRPr="00704BD5">
              <w:rPr>
                <w:rFonts w:cs="Arial"/>
                <w:sz w:val="18"/>
                <w:szCs w:val="18"/>
              </w:rPr>
              <w:t xml:space="preserve"> </w:t>
            </w:r>
          </w:p>
          <w:p w14:paraId="42635184" w14:textId="275EDC69" w:rsidR="00507F51" w:rsidRPr="000868A0" w:rsidRDefault="00507F51" w:rsidP="00097AF3">
            <w:pPr>
              <w:spacing w:before="60" w:after="60" w:line="240" w:lineRule="auto"/>
              <w:contextualSpacing/>
              <w:rPr>
                <w:rFonts w:cs="Arial"/>
                <w:sz w:val="18"/>
                <w:szCs w:val="18"/>
              </w:rPr>
            </w:pPr>
          </w:p>
        </w:tc>
      </w:tr>
      <w:tr w:rsidR="00507F51" w:rsidRPr="000868A0" w14:paraId="4263518C" w14:textId="77777777" w:rsidTr="00E46952">
        <w:trPr>
          <w:cantSplit/>
        </w:trPr>
        <w:tc>
          <w:tcPr>
            <w:tcW w:w="5382" w:type="dxa"/>
          </w:tcPr>
          <w:p w14:paraId="42635186" w14:textId="77777777" w:rsidR="00507F51" w:rsidRPr="000868A0" w:rsidRDefault="00507F51" w:rsidP="009E0059">
            <w:pPr>
              <w:spacing w:before="60" w:after="60" w:line="240" w:lineRule="auto"/>
              <w:ind w:left="357"/>
              <w:contextualSpacing/>
              <w:rPr>
                <w:rFonts w:cs="Arial"/>
                <w:sz w:val="18"/>
                <w:szCs w:val="18"/>
              </w:rPr>
            </w:pPr>
            <w:r w:rsidRPr="000868A0">
              <w:rPr>
                <w:rFonts w:cs="Arial"/>
                <w:sz w:val="18"/>
                <w:szCs w:val="18"/>
              </w:rPr>
              <w:lastRenderedPageBreak/>
              <w:t>(b)</w:t>
            </w:r>
            <w:r w:rsidRPr="000868A0">
              <w:rPr>
                <w:rFonts w:cs="Arial"/>
                <w:sz w:val="18"/>
                <w:szCs w:val="18"/>
              </w:rPr>
              <w:tab/>
              <w:t>the effectiveness of the management arrangements for the operation (including monitoring procedures).</w:t>
            </w:r>
          </w:p>
        </w:tc>
        <w:tc>
          <w:tcPr>
            <w:tcW w:w="10064" w:type="dxa"/>
            <w:shd w:val="clear" w:color="auto" w:fill="92D050"/>
          </w:tcPr>
          <w:p w14:paraId="35936A63" w14:textId="0C314013" w:rsidR="001A3765" w:rsidRPr="00E46952" w:rsidRDefault="003B5414" w:rsidP="001A3765">
            <w:pPr>
              <w:pStyle w:val="indenta"/>
              <w:spacing w:before="0" w:after="120" w:line="240" w:lineRule="auto"/>
              <w:ind w:left="0" w:firstLine="0"/>
              <w:jc w:val="both"/>
              <w:rPr>
                <w:rFonts w:ascii="Arial" w:hAnsi="Arial" w:cs="Arial"/>
                <w:sz w:val="18"/>
                <w:szCs w:val="18"/>
              </w:rPr>
            </w:pPr>
            <w:r w:rsidRPr="00DF3AD0">
              <w:rPr>
                <w:rFonts w:ascii="Arial" w:hAnsi="Arial" w:cs="Arial"/>
                <w:b/>
                <w:sz w:val="18"/>
                <w:szCs w:val="18"/>
              </w:rPr>
              <w:t>Meets</w:t>
            </w:r>
            <w:r w:rsidR="001A3765" w:rsidRPr="00DF3AD0" w:rsidDel="001A3765">
              <w:rPr>
                <w:rFonts w:ascii="Arial" w:hAnsi="Arial" w:cs="Arial"/>
                <w:b/>
                <w:sz w:val="18"/>
                <w:szCs w:val="18"/>
              </w:rPr>
              <w:t xml:space="preserve"> </w:t>
            </w:r>
            <w:r w:rsidRPr="00DF3AD0">
              <w:rPr>
                <w:rFonts w:ascii="Arial" w:hAnsi="Arial" w:cs="Arial"/>
                <w:iCs/>
                <w:sz w:val="18"/>
                <w:szCs w:val="18"/>
              </w:rPr>
              <w:br/>
            </w:r>
            <w:r w:rsidR="00182214">
              <w:rPr>
                <w:rFonts w:ascii="Arial" w:hAnsi="Arial" w:cs="Arial"/>
                <w:sz w:val="18"/>
                <w:szCs w:val="18"/>
              </w:rPr>
              <w:t>Annual</w:t>
            </w:r>
            <w:r w:rsidR="00182214" w:rsidRPr="00E46952">
              <w:rPr>
                <w:rFonts w:ascii="Arial" w:hAnsi="Arial" w:cs="Arial"/>
                <w:sz w:val="18"/>
                <w:szCs w:val="18"/>
              </w:rPr>
              <w:t xml:space="preserve"> </w:t>
            </w:r>
            <w:r w:rsidR="001A3765" w:rsidRPr="00E46952">
              <w:rPr>
                <w:rFonts w:ascii="Arial" w:hAnsi="Arial" w:cs="Arial"/>
                <w:sz w:val="18"/>
                <w:szCs w:val="18"/>
              </w:rPr>
              <w:t xml:space="preserve">surveys have been conducted on the </w:t>
            </w:r>
            <w:r w:rsidR="00E46952">
              <w:rPr>
                <w:rFonts w:ascii="Arial" w:hAnsi="Arial" w:cs="Arial"/>
                <w:sz w:val="18"/>
                <w:szCs w:val="18"/>
              </w:rPr>
              <w:t xml:space="preserve">Australian Insect Farm’s properties at </w:t>
            </w:r>
            <w:r w:rsidR="001A3765" w:rsidRPr="00E46952">
              <w:rPr>
                <w:rFonts w:ascii="Arial" w:hAnsi="Arial" w:cs="Arial"/>
                <w:sz w:val="18"/>
                <w:szCs w:val="18"/>
              </w:rPr>
              <w:t xml:space="preserve">Garradunga </w:t>
            </w:r>
            <w:r w:rsidR="00E46952">
              <w:rPr>
                <w:rFonts w:ascii="Arial" w:hAnsi="Arial" w:cs="Arial"/>
                <w:sz w:val="18"/>
                <w:szCs w:val="18"/>
              </w:rPr>
              <w:t xml:space="preserve">(near Innisfail) </w:t>
            </w:r>
            <w:r w:rsidR="001A3765" w:rsidRPr="00E46952">
              <w:rPr>
                <w:rFonts w:ascii="Arial" w:hAnsi="Arial" w:cs="Arial"/>
                <w:sz w:val="18"/>
                <w:szCs w:val="18"/>
              </w:rPr>
              <w:t xml:space="preserve">and Mt Garnet </w:t>
            </w:r>
            <w:r w:rsidR="00E46952">
              <w:rPr>
                <w:rFonts w:ascii="Arial" w:hAnsi="Arial" w:cs="Arial"/>
                <w:sz w:val="18"/>
                <w:szCs w:val="18"/>
              </w:rPr>
              <w:t xml:space="preserve">(near Julatten) </w:t>
            </w:r>
            <w:r w:rsidR="001A3765" w:rsidRPr="00AB7CE2">
              <w:rPr>
                <w:rFonts w:ascii="Arial" w:hAnsi="Arial" w:cs="Arial"/>
                <w:sz w:val="18"/>
                <w:szCs w:val="18"/>
              </w:rPr>
              <w:t xml:space="preserve">for </w:t>
            </w:r>
            <w:r w:rsidR="00AB7CE2" w:rsidRPr="00AB7CE2">
              <w:rPr>
                <w:rFonts w:ascii="Arial" w:hAnsi="Arial" w:cs="Arial"/>
                <w:sz w:val="18"/>
                <w:szCs w:val="18"/>
              </w:rPr>
              <w:t>at least 1</w:t>
            </w:r>
            <w:r w:rsidR="001A3765" w:rsidRPr="00AB7CE2">
              <w:rPr>
                <w:rFonts w:ascii="Arial" w:hAnsi="Arial" w:cs="Arial"/>
                <w:sz w:val="18"/>
                <w:szCs w:val="18"/>
              </w:rPr>
              <w:t xml:space="preserve">0 </w:t>
            </w:r>
            <w:r w:rsidR="001A3765" w:rsidRPr="00E46952">
              <w:rPr>
                <w:rFonts w:ascii="Arial" w:hAnsi="Arial" w:cs="Arial"/>
                <w:sz w:val="18"/>
                <w:szCs w:val="18"/>
              </w:rPr>
              <w:t>years</w:t>
            </w:r>
            <w:r w:rsidR="00182214">
              <w:rPr>
                <w:rFonts w:ascii="Arial" w:hAnsi="Arial" w:cs="Arial"/>
                <w:sz w:val="18"/>
                <w:szCs w:val="18"/>
              </w:rPr>
              <w:t>,</w:t>
            </w:r>
            <w:r w:rsidR="001A3765" w:rsidRPr="00E46952">
              <w:rPr>
                <w:rFonts w:ascii="Arial" w:hAnsi="Arial" w:cs="Arial"/>
                <w:sz w:val="18"/>
                <w:szCs w:val="18"/>
              </w:rPr>
              <w:t xml:space="preserve"> allowing for an improved knowledge of the invertebrate fauna of the harvest areas. Annual reports will </w:t>
            </w:r>
            <w:r w:rsidR="008A2221">
              <w:rPr>
                <w:rFonts w:ascii="Arial" w:hAnsi="Arial" w:cs="Arial"/>
                <w:sz w:val="18"/>
                <w:szCs w:val="18"/>
              </w:rPr>
              <w:t>summarise</w:t>
            </w:r>
            <w:r w:rsidR="008A2221" w:rsidRPr="00E46952">
              <w:rPr>
                <w:rFonts w:ascii="Arial" w:hAnsi="Arial" w:cs="Arial"/>
                <w:sz w:val="18"/>
                <w:szCs w:val="18"/>
              </w:rPr>
              <w:t xml:space="preserve"> </w:t>
            </w:r>
            <w:r w:rsidR="001A3765" w:rsidRPr="00E46952">
              <w:rPr>
                <w:rFonts w:ascii="Arial" w:hAnsi="Arial" w:cs="Arial"/>
                <w:sz w:val="18"/>
                <w:szCs w:val="18"/>
              </w:rPr>
              <w:t xml:space="preserve">monthly details for each </w:t>
            </w:r>
            <w:r w:rsidR="008A2221">
              <w:rPr>
                <w:rFonts w:ascii="Arial" w:hAnsi="Arial" w:cs="Arial"/>
                <w:sz w:val="18"/>
                <w:szCs w:val="18"/>
              </w:rPr>
              <w:t xml:space="preserve">harvested </w:t>
            </w:r>
            <w:r w:rsidR="00D95975" w:rsidRPr="00E46952">
              <w:rPr>
                <w:rFonts w:ascii="Arial" w:hAnsi="Arial" w:cs="Arial"/>
                <w:sz w:val="18"/>
                <w:szCs w:val="18"/>
              </w:rPr>
              <w:t xml:space="preserve">taxon </w:t>
            </w:r>
            <w:r w:rsidR="008A2221">
              <w:rPr>
                <w:rFonts w:ascii="Arial" w:hAnsi="Arial" w:cs="Arial"/>
                <w:sz w:val="18"/>
                <w:szCs w:val="18"/>
              </w:rPr>
              <w:t>at</w:t>
            </w:r>
            <w:r w:rsidR="008A2221" w:rsidRPr="00E46952">
              <w:rPr>
                <w:rFonts w:ascii="Arial" w:hAnsi="Arial" w:cs="Arial"/>
                <w:sz w:val="18"/>
                <w:szCs w:val="18"/>
              </w:rPr>
              <w:t xml:space="preserve"> </w:t>
            </w:r>
            <w:r w:rsidR="00D95975" w:rsidRPr="00E46952">
              <w:rPr>
                <w:rFonts w:ascii="Arial" w:hAnsi="Arial" w:cs="Arial"/>
                <w:sz w:val="18"/>
                <w:szCs w:val="18"/>
              </w:rPr>
              <w:t>both</w:t>
            </w:r>
            <w:r w:rsidR="001A3765" w:rsidRPr="00E46952">
              <w:rPr>
                <w:rFonts w:ascii="Arial" w:hAnsi="Arial" w:cs="Arial"/>
                <w:sz w:val="18"/>
                <w:szCs w:val="18"/>
              </w:rPr>
              <w:t xml:space="preserve"> properties.</w:t>
            </w:r>
          </w:p>
          <w:p w14:paraId="4263518B" w14:textId="457C9818" w:rsidR="00507F51" w:rsidRPr="000868A0" w:rsidRDefault="00974383" w:rsidP="00974383">
            <w:pPr>
              <w:spacing w:before="60" w:after="60" w:line="240" w:lineRule="auto"/>
              <w:contextualSpacing/>
              <w:rPr>
                <w:rFonts w:cs="Arial"/>
                <w:sz w:val="18"/>
                <w:szCs w:val="18"/>
              </w:rPr>
            </w:pPr>
            <w:r>
              <w:rPr>
                <w:rFonts w:cs="Arial"/>
                <w:sz w:val="18"/>
                <w:szCs w:val="18"/>
              </w:rPr>
              <w:t>The applicant</w:t>
            </w:r>
            <w:r w:rsidR="001A3765" w:rsidRPr="00D03B82">
              <w:rPr>
                <w:rFonts w:cs="Arial"/>
                <w:sz w:val="18"/>
                <w:szCs w:val="18"/>
              </w:rPr>
              <w:t xml:space="preserve"> keep</w:t>
            </w:r>
            <w:r>
              <w:rPr>
                <w:rFonts w:cs="Arial"/>
                <w:sz w:val="18"/>
                <w:szCs w:val="18"/>
              </w:rPr>
              <w:t>s</w:t>
            </w:r>
            <w:r w:rsidR="001A3765" w:rsidRPr="00D03B82">
              <w:rPr>
                <w:rFonts w:cs="Arial"/>
                <w:sz w:val="18"/>
                <w:szCs w:val="18"/>
              </w:rPr>
              <w:t xml:space="preserve"> records of harvested specimens which </w:t>
            </w:r>
            <w:r>
              <w:rPr>
                <w:rFonts w:cs="Arial"/>
                <w:sz w:val="18"/>
                <w:szCs w:val="18"/>
              </w:rPr>
              <w:t>informs</w:t>
            </w:r>
            <w:r w:rsidR="001A3765" w:rsidRPr="00D03B82">
              <w:rPr>
                <w:rFonts w:cs="Arial"/>
                <w:sz w:val="18"/>
                <w:szCs w:val="18"/>
              </w:rPr>
              <w:t xml:space="preserve"> future harvest operations. </w:t>
            </w:r>
          </w:p>
        </w:tc>
      </w:tr>
      <w:tr w:rsidR="00507F51" w:rsidRPr="000868A0" w14:paraId="42635196" w14:textId="77777777" w:rsidTr="00600C06">
        <w:trPr>
          <w:cantSplit/>
        </w:trPr>
        <w:tc>
          <w:tcPr>
            <w:tcW w:w="5382" w:type="dxa"/>
          </w:tcPr>
          <w:p w14:paraId="4263518D"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t>(5)</w:t>
            </w:r>
            <w:r w:rsidRPr="000868A0">
              <w:rPr>
                <w:rFonts w:cs="Arial"/>
                <w:sz w:val="18"/>
                <w:szCs w:val="18"/>
              </w:rPr>
              <w:tab/>
              <w:t xml:space="preserve">In deciding whether to declare an operation as an approved wildlife trade operation the Minister must have </w:t>
            </w:r>
            <w:r w:rsidRPr="000868A0">
              <w:rPr>
                <w:rFonts w:cs="Arial"/>
                <w:b/>
                <w:sz w:val="18"/>
                <w:szCs w:val="18"/>
              </w:rPr>
              <w:t>regard</w:t>
            </w:r>
            <w:r w:rsidRPr="000868A0">
              <w:rPr>
                <w:rFonts w:cs="Arial"/>
                <w:sz w:val="18"/>
                <w:szCs w:val="18"/>
              </w:rPr>
              <w:t xml:space="preserve"> to:</w:t>
            </w:r>
          </w:p>
          <w:p w14:paraId="4263518E" w14:textId="77777777" w:rsidR="00507F51" w:rsidRPr="000868A0" w:rsidRDefault="00507F51" w:rsidP="009E0059">
            <w:pPr>
              <w:spacing w:before="60" w:after="60" w:line="240" w:lineRule="auto"/>
              <w:ind w:left="357"/>
              <w:contextualSpacing/>
              <w:rPr>
                <w:rFonts w:cs="Arial"/>
                <w:sz w:val="18"/>
                <w:szCs w:val="18"/>
              </w:rPr>
            </w:pPr>
            <w:r w:rsidRPr="000868A0">
              <w:rPr>
                <w:rFonts w:cs="Arial"/>
                <w:sz w:val="18"/>
                <w:szCs w:val="18"/>
              </w:rPr>
              <w:t>(a)</w:t>
            </w:r>
            <w:r w:rsidRPr="000868A0">
              <w:rPr>
                <w:rFonts w:cs="Arial"/>
                <w:sz w:val="18"/>
                <w:szCs w:val="18"/>
              </w:rPr>
              <w:tab/>
              <w:t>whether legislation relating to the protection, conservation or management of the specimens to which the operation relates is in force in the State or Territory concerned; and</w:t>
            </w:r>
          </w:p>
          <w:p w14:paraId="4263518F" w14:textId="77777777" w:rsidR="00507F51" w:rsidRPr="000868A0" w:rsidRDefault="00507F51" w:rsidP="009E0059">
            <w:pPr>
              <w:spacing w:before="60" w:after="60" w:line="240" w:lineRule="auto"/>
              <w:ind w:left="357"/>
              <w:contextualSpacing/>
              <w:rPr>
                <w:rFonts w:cs="Arial"/>
                <w:sz w:val="18"/>
                <w:szCs w:val="18"/>
              </w:rPr>
            </w:pPr>
            <w:r w:rsidRPr="000868A0">
              <w:rPr>
                <w:rFonts w:cs="Arial"/>
                <w:sz w:val="18"/>
                <w:szCs w:val="18"/>
              </w:rPr>
              <w:t>(b)</w:t>
            </w:r>
            <w:r w:rsidRPr="000868A0">
              <w:rPr>
                <w:rFonts w:cs="Arial"/>
                <w:sz w:val="18"/>
                <w:szCs w:val="18"/>
              </w:rPr>
              <w:tab/>
              <w:t>whether the legislation applies throughout the State or Territory concerned; and</w:t>
            </w:r>
          </w:p>
          <w:p w14:paraId="42635190" w14:textId="77777777" w:rsidR="00507F51" w:rsidRPr="000868A0" w:rsidRDefault="00507F51" w:rsidP="009E0059">
            <w:pPr>
              <w:spacing w:before="60" w:after="60" w:line="240" w:lineRule="auto"/>
              <w:ind w:left="357"/>
              <w:contextualSpacing/>
              <w:rPr>
                <w:rFonts w:cs="Arial"/>
                <w:sz w:val="18"/>
                <w:szCs w:val="18"/>
              </w:rPr>
            </w:pPr>
            <w:r w:rsidRPr="000868A0">
              <w:rPr>
                <w:rFonts w:cs="Arial"/>
                <w:sz w:val="18"/>
                <w:szCs w:val="18"/>
              </w:rPr>
              <w:t>(c)</w:t>
            </w:r>
            <w:r w:rsidRPr="000868A0">
              <w:rPr>
                <w:rFonts w:cs="Arial"/>
                <w:sz w:val="18"/>
                <w:szCs w:val="18"/>
              </w:rPr>
              <w:tab/>
              <w:t>whether, in the opinion of the Minister, the legislation is effective.</w:t>
            </w:r>
          </w:p>
        </w:tc>
        <w:tc>
          <w:tcPr>
            <w:tcW w:w="10064" w:type="dxa"/>
            <w:shd w:val="clear" w:color="auto" w:fill="92D050"/>
          </w:tcPr>
          <w:p w14:paraId="47C64403" w14:textId="273488F6" w:rsidR="001C3613" w:rsidRDefault="003B5414" w:rsidP="009E0059">
            <w:pPr>
              <w:spacing w:before="60" w:after="60" w:line="240" w:lineRule="auto"/>
              <w:contextualSpacing/>
              <w:rPr>
                <w:rFonts w:cs="Arial"/>
                <w:sz w:val="18"/>
                <w:szCs w:val="18"/>
              </w:rPr>
            </w:pPr>
            <w:r w:rsidRPr="00600C06">
              <w:rPr>
                <w:rFonts w:cs="Arial"/>
                <w:b/>
                <w:sz w:val="18"/>
                <w:szCs w:val="18"/>
              </w:rPr>
              <w:t>Meets</w:t>
            </w:r>
            <w:r w:rsidR="00600C06" w:rsidRPr="00600C06" w:rsidDel="00600C06">
              <w:rPr>
                <w:rFonts w:cs="Arial"/>
                <w:b/>
                <w:sz w:val="18"/>
                <w:szCs w:val="18"/>
              </w:rPr>
              <w:t xml:space="preserve"> </w:t>
            </w:r>
            <w:r w:rsidR="00507F51" w:rsidRPr="000868A0">
              <w:rPr>
                <w:rFonts w:cs="Arial"/>
                <w:b/>
                <w:sz w:val="18"/>
                <w:szCs w:val="18"/>
              </w:rPr>
              <w:br/>
            </w:r>
            <w:r w:rsidR="00600C06">
              <w:rPr>
                <w:rFonts w:cs="Arial"/>
                <w:sz w:val="18"/>
                <w:szCs w:val="18"/>
              </w:rPr>
              <w:t>Queensland does not regulate harvest of non-threatened invertebrates</w:t>
            </w:r>
            <w:r w:rsidR="001C3613">
              <w:rPr>
                <w:rFonts w:cs="Arial"/>
                <w:sz w:val="18"/>
                <w:szCs w:val="18"/>
              </w:rPr>
              <w:t xml:space="preserve"> under state legislation</w:t>
            </w:r>
            <w:r w:rsidR="00600C06">
              <w:rPr>
                <w:rFonts w:cs="Arial"/>
                <w:sz w:val="18"/>
                <w:szCs w:val="18"/>
              </w:rPr>
              <w:t xml:space="preserve">. </w:t>
            </w:r>
            <w:r w:rsidR="001C3613" w:rsidRPr="001C3613">
              <w:rPr>
                <w:rFonts w:cs="Arial"/>
                <w:sz w:val="18"/>
                <w:szCs w:val="18"/>
              </w:rPr>
              <w:t xml:space="preserve">The absence of state </w:t>
            </w:r>
            <w:r w:rsidR="00974383">
              <w:rPr>
                <w:rFonts w:cs="Arial"/>
                <w:sz w:val="18"/>
                <w:szCs w:val="18"/>
              </w:rPr>
              <w:t xml:space="preserve">regulation </w:t>
            </w:r>
            <w:r w:rsidR="001C3613" w:rsidRPr="001C3613">
              <w:rPr>
                <w:rFonts w:cs="Arial"/>
                <w:sz w:val="18"/>
                <w:szCs w:val="18"/>
              </w:rPr>
              <w:t>is not expected to impact on the sustainability of the harvest as the level of harvest is small and targets a particular set of species</w:t>
            </w:r>
            <w:r w:rsidR="00D81819">
              <w:rPr>
                <w:rFonts w:cs="Arial"/>
                <w:sz w:val="18"/>
                <w:szCs w:val="18"/>
              </w:rPr>
              <w:t xml:space="preserve"> that are not listed as threatened under either Commonwealth or state legislation</w:t>
            </w:r>
            <w:r w:rsidR="001C3613" w:rsidRPr="001C3613">
              <w:rPr>
                <w:rFonts w:cs="Arial"/>
                <w:sz w:val="18"/>
                <w:szCs w:val="18"/>
              </w:rPr>
              <w:t>.</w:t>
            </w:r>
          </w:p>
          <w:p w14:paraId="1017FBB8" w14:textId="1B194EEE" w:rsidR="00567592" w:rsidRDefault="00600C06" w:rsidP="009E0059">
            <w:pPr>
              <w:spacing w:before="60" w:after="60" w:line="240" w:lineRule="auto"/>
              <w:contextualSpacing/>
              <w:rPr>
                <w:rFonts w:cs="Arial"/>
                <w:sz w:val="18"/>
                <w:szCs w:val="18"/>
              </w:rPr>
            </w:pPr>
            <w:r>
              <w:rPr>
                <w:rFonts w:cs="Arial"/>
                <w:sz w:val="18"/>
                <w:szCs w:val="18"/>
              </w:rPr>
              <w:t xml:space="preserve">Should the Australian Insect Farm </w:t>
            </w:r>
            <w:r w:rsidR="004606FC">
              <w:rPr>
                <w:rFonts w:cs="Arial"/>
                <w:sz w:val="18"/>
                <w:szCs w:val="18"/>
              </w:rPr>
              <w:t xml:space="preserve">decide to harvest for export taxa that are listed </w:t>
            </w:r>
            <w:r w:rsidR="00D81819">
              <w:rPr>
                <w:rFonts w:cs="Arial"/>
                <w:sz w:val="18"/>
                <w:szCs w:val="18"/>
              </w:rPr>
              <w:t xml:space="preserve">as threatened </w:t>
            </w:r>
            <w:r w:rsidR="004606FC">
              <w:rPr>
                <w:rFonts w:cs="Arial"/>
                <w:sz w:val="18"/>
                <w:szCs w:val="18"/>
              </w:rPr>
              <w:t xml:space="preserve">under </w:t>
            </w:r>
            <w:r w:rsidR="005870E2">
              <w:rPr>
                <w:rFonts w:cs="Arial"/>
                <w:sz w:val="18"/>
                <w:szCs w:val="18"/>
              </w:rPr>
              <w:t xml:space="preserve">Queensland’s </w:t>
            </w:r>
            <w:r w:rsidR="00ED1840">
              <w:rPr>
                <w:rFonts w:cs="Arial"/>
                <w:sz w:val="18"/>
                <w:szCs w:val="18"/>
              </w:rPr>
              <w:t xml:space="preserve">environmental </w:t>
            </w:r>
            <w:r w:rsidR="004606FC">
              <w:rPr>
                <w:rFonts w:cs="Arial"/>
                <w:sz w:val="18"/>
                <w:szCs w:val="18"/>
              </w:rPr>
              <w:t xml:space="preserve">legislation, the </w:t>
            </w:r>
            <w:r w:rsidR="000B2021">
              <w:rPr>
                <w:rFonts w:cs="Arial"/>
                <w:sz w:val="18"/>
                <w:szCs w:val="18"/>
              </w:rPr>
              <w:t>operation</w:t>
            </w:r>
            <w:r w:rsidR="00507F51" w:rsidRPr="000868A0">
              <w:rPr>
                <w:rFonts w:cs="Arial"/>
                <w:b/>
                <w:sz w:val="18"/>
                <w:szCs w:val="18"/>
              </w:rPr>
              <w:t xml:space="preserve"> </w:t>
            </w:r>
            <w:r w:rsidR="004606FC">
              <w:rPr>
                <w:rFonts w:cs="Arial"/>
                <w:sz w:val="18"/>
                <w:szCs w:val="18"/>
              </w:rPr>
              <w:t>would also</w:t>
            </w:r>
            <w:r w:rsidR="004606FC" w:rsidRPr="000868A0">
              <w:rPr>
                <w:rFonts w:cs="Arial"/>
                <w:sz w:val="18"/>
                <w:szCs w:val="18"/>
              </w:rPr>
              <w:t xml:space="preserve"> </w:t>
            </w:r>
            <w:r w:rsidR="004606FC">
              <w:rPr>
                <w:rFonts w:cs="Arial"/>
                <w:sz w:val="18"/>
                <w:szCs w:val="18"/>
              </w:rPr>
              <w:t xml:space="preserve">be </w:t>
            </w:r>
            <w:r w:rsidR="00507F51" w:rsidRPr="000868A0">
              <w:rPr>
                <w:rFonts w:cs="Arial"/>
                <w:sz w:val="18"/>
                <w:szCs w:val="18"/>
              </w:rPr>
              <w:t>managed under the</w:t>
            </w:r>
            <w:r w:rsidR="00507F51" w:rsidRPr="000868A0">
              <w:rPr>
                <w:rFonts w:cs="Arial"/>
                <w:color w:val="3366FF"/>
                <w:sz w:val="18"/>
                <w:szCs w:val="18"/>
              </w:rPr>
              <w:t xml:space="preserve"> </w:t>
            </w:r>
            <w:r w:rsidR="004606FC" w:rsidRPr="00CB7BD9">
              <w:rPr>
                <w:rFonts w:cs="Arial"/>
                <w:i/>
                <w:sz w:val="18"/>
                <w:szCs w:val="18"/>
              </w:rPr>
              <w:t>Nature Conservation Act 1992</w:t>
            </w:r>
            <w:r w:rsidR="00507F51" w:rsidRPr="000868A0">
              <w:rPr>
                <w:rFonts w:cs="Arial"/>
                <w:sz w:val="18"/>
                <w:szCs w:val="18"/>
              </w:rPr>
              <w:t>.</w:t>
            </w:r>
            <w:r w:rsidR="00CB7BD9">
              <w:rPr>
                <w:rFonts w:cs="Arial"/>
                <w:sz w:val="18"/>
                <w:szCs w:val="18"/>
              </w:rPr>
              <w:t xml:space="preserve"> The </w:t>
            </w:r>
            <w:r w:rsidR="00CB7BD9" w:rsidRPr="001E013B">
              <w:rPr>
                <w:rFonts w:cs="Arial"/>
                <w:i/>
                <w:sz w:val="18"/>
                <w:szCs w:val="18"/>
              </w:rPr>
              <w:t>Nature Conservation Act 1992</w:t>
            </w:r>
            <w:r w:rsidR="00CB7BD9">
              <w:rPr>
                <w:rFonts w:cs="Arial"/>
                <w:i/>
                <w:sz w:val="18"/>
                <w:szCs w:val="18"/>
              </w:rPr>
              <w:t xml:space="preserve"> </w:t>
            </w:r>
            <w:r w:rsidR="00507F51" w:rsidRPr="000868A0">
              <w:rPr>
                <w:rFonts w:cs="Arial"/>
                <w:sz w:val="18"/>
                <w:szCs w:val="18"/>
              </w:rPr>
              <w:t xml:space="preserve">applies throughout </w:t>
            </w:r>
            <w:r w:rsidR="00CB7BD9">
              <w:rPr>
                <w:rFonts w:cs="Arial"/>
                <w:sz w:val="18"/>
                <w:szCs w:val="18"/>
              </w:rPr>
              <w:t>Queensland</w:t>
            </w:r>
            <w:r w:rsidR="00567592" w:rsidRPr="000868A0">
              <w:rPr>
                <w:rFonts w:cs="Arial"/>
                <w:sz w:val="18"/>
                <w:szCs w:val="18"/>
              </w:rPr>
              <w:t>.</w:t>
            </w:r>
            <w:r w:rsidR="00567592">
              <w:rPr>
                <w:rFonts w:cs="Arial"/>
                <w:sz w:val="18"/>
                <w:szCs w:val="18"/>
              </w:rPr>
              <w:t xml:space="preserve"> </w:t>
            </w:r>
          </w:p>
          <w:p w14:paraId="42635193" w14:textId="47E4E23C" w:rsidR="00507F51" w:rsidRDefault="00567592" w:rsidP="009E0059">
            <w:pPr>
              <w:spacing w:before="60" w:after="60" w:line="240" w:lineRule="auto"/>
              <w:contextualSpacing/>
              <w:rPr>
                <w:rFonts w:cs="Arial"/>
                <w:sz w:val="18"/>
                <w:szCs w:val="18"/>
              </w:rPr>
            </w:pPr>
            <w:r w:rsidRPr="000868A0">
              <w:rPr>
                <w:rFonts w:cs="Arial"/>
                <w:sz w:val="18"/>
                <w:szCs w:val="18"/>
              </w:rPr>
              <w:t>The</w:t>
            </w:r>
            <w:r w:rsidR="00507F51" w:rsidRPr="000868A0">
              <w:rPr>
                <w:rFonts w:cs="Arial"/>
                <w:sz w:val="18"/>
                <w:szCs w:val="18"/>
              </w:rPr>
              <w:t xml:space="preserve"> Department considers that the legislation </w:t>
            </w:r>
            <w:r w:rsidR="00507F51" w:rsidRPr="001642B3">
              <w:rPr>
                <w:rFonts w:cs="Arial"/>
                <w:sz w:val="18"/>
                <w:szCs w:val="18"/>
              </w:rPr>
              <w:t>is</w:t>
            </w:r>
            <w:r w:rsidR="001642B3" w:rsidRPr="00CB7BD9">
              <w:rPr>
                <w:rFonts w:cs="Arial"/>
                <w:sz w:val="18"/>
                <w:szCs w:val="18"/>
              </w:rPr>
              <w:t xml:space="preserve"> </w:t>
            </w:r>
            <w:r w:rsidR="00507F51" w:rsidRPr="00CB7BD9">
              <w:rPr>
                <w:rFonts w:cs="Arial"/>
                <w:sz w:val="18"/>
                <w:szCs w:val="18"/>
              </w:rPr>
              <w:t>likely</w:t>
            </w:r>
            <w:r w:rsidR="001642B3" w:rsidRPr="001642B3">
              <w:rPr>
                <w:rFonts w:cs="Arial"/>
                <w:sz w:val="18"/>
                <w:szCs w:val="18"/>
              </w:rPr>
              <w:t xml:space="preserve"> </w:t>
            </w:r>
            <w:r w:rsidR="00507F51" w:rsidRPr="00AB7CE2">
              <w:rPr>
                <w:rFonts w:cs="Arial"/>
                <w:sz w:val="18"/>
                <w:szCs w:val="18"/>
              </w:rPr>
              <w:t>to</w:t>
            </w:r>
            <w:r w:rsidR="00507F51" w:rsidRPr="000868A0">
              <w:rPr>
                <w:rFonts w:cs="Arial"/>
                <w:sz w:val="18"/>
                <w:szCs w:val="18"/>
              </w:rPr>
              <w:t xml:space="preserve"> be effective</w:t>
            </w:r>
            <w:r>
              <w:rPr>
                <w:rFonts w:cs="Arial"/>
                <w:sz w:val="18"/>
                <w:szCs w:val="18"/>
              </w:rPr>
              <w:t xml:space="preserve"> at achieving its intent</w:t>
            </w:r>
            <w:r w:rsidR="00507F51" w:rsidRPr="000868A0">
              <w:rPr>
                <w:rFonts w:cs="Arial"/>
                <w:sz w:val="18"/>
                <w:szCs w:val="18"/>
              </w:rPr>
              <w:t>.</w:t>
            </w:r>
          </w:p>
          <w:p w14:paraId="42635194" w14:textId="77777777" w:rsidR="000B2021" w:rsidRDefault="000B2021" w:rsidP="009E0059">
            <w:pPr>
              <w:spacing w:before="60" w:after="60" w:line="240" w:lineRule="auto"/>
              <w:contextualSpacing/>
              <w:rPr>
                <w:rFonts w:cs="Arial"/>
                <w:sz w:val="18"/>
                <w:szCs w:val="18"/>
              </w:rPr>
            </w:pPr>
          </w:p>
          <w:p w14:paraId="42635195" w14:textId="77777777" w:rsidR="000B2021" w:rsidRPr="000868A0" w:rsidRDefault="000B2021" w:rsidP="000B2021">
            <w:pPr>
              <w:spacing w:before="60" w:after="60" w:line="240" w:lineRule="auto"/>
              <w:contextualSpacing/>
              <w:rPr>
                <w:rFonts w:cs="Arial"/>
                <w:sz w:val="18"/>
                <w:szCs w:val="18"/>
              </w:rPr>
            </w:pPr>
          </w:p>
        </w:tc>
      </w:tr>
      <w:tr w:rsidR="00507F51" w:rsidRPr="000868A0" w14:paraId="4263519F" w14:textId="77777777" w:rsidTr="00DF3AD0">
        <w:trPr>
          <w:cantSplit/>
        </w:trPr>
        <w:tc>
          <w:tcPr>
            <w:tcW w:w="5382" w:type="dxa"/>
          </w:tcPr>
          <w:p w14:paraId="42635197" w14:textId="77777777" w:rsidR="000B2021" w:rsidRPr="000B2021" w:rsidRDefault="000B2021" w:rsidP="000B2021">
            <w:pPr>
              <w:spacing w:before="60" w:after="60" w:line="240" w:lineRule="auto"/>
              <w:ind w:left="539" w:hanging="539"/>
              <w:contextualSpacing/>
              <w:rPr>
                <w:rFonts w:cs="Arial"/>
                <w:sz w:val="18"/>
                <w:szCs w:val="18"/>
              </w:rPr>
            </w:pPr>
            <w:r w:rsidRPr="000B2021">
              <w:rPr>
                <w:rFonts w:cs="Arial"/>
                <w:sz w:val="18"/>
                <w:szCs w:val="18"/>
              </w:rPr>
              <w:t>(10)</w:t>
            </w:r>
            <w:r w:rsidRPr="000B2021">
              <w:rPr>
                <w:rFonts w:cs="Arial"/>
                <w:sz w:val="18"/>
                <w:szCs w:val="18"/>
              </w:rPr>
              <w:tab/>
              <w:t xml:space="preserve">For the purposes of this section, an operation is a wildlife trade operation if, and only if, the operation is an operation for the taking of specimens and: </w:t>
            </w:r>
          </w:p>
          <w:p w14:paraId="42635198" w14:textId="77777777" w:rsidR="000B2021" w:rsidRPr="000B2021" w:rsidRDefault="000B2021" w:rsidP="000B2021">
            <w:pPr>
              <w:spacing w:before="60" w:after="60" w:line="240" w:lineRule="auto"/>
              <w:ind w:left="567"/>
              <w:contextualSpacing/>
              <w:rPr>
                <w:rFonts w:cs="Arial"/>
                <w:sz w:val="18"/>
                <w:szCs w:val="18"/>
              </w:rPr>
            </w:pPr>
            <w:r>
              <w:rPr>
                <w:rFonts w:cs="Arial"/>
                <w:sz w:val="18"/>
                <w:szCs w:val="18"/>
              </w:rPr>
              <w:t xml:space="preserve">(a)   </w:t>
            </w:r>
            <w:r w:rsidRPr="000B2021">
              <w:rPr>
                <w:rFonts w:cs="Arial"/>
                <w:sz w:val="18"/>
                <w:szCs w:val="18"/>
              </w:rPr>
              <w:t>the operation is an operation that, under the regulations, is taken to be a market testing operation; or</w:t>
            </w:r>
          </w:p>
          <w:p w14:paraId="42635199" w14:textId="77777777" w:rsidR="000B2021" w:rsidRPr="000B2021" w:rsidRDefault="000B2021" w:rsidP="000B2021">
            <w:pPr>
              <w:spacing w:before="60" w:after="60" w:line="240" w:lineRule="auto"/>
              <w:ind w:left="539"/>
              <w:contextualSpacing/>
              <w:rPr>
                <w:rFonts w:cs="Arial"/>
                <w:sz w:val="18"/>
                <w:szCs w:val="18"/>
              </w:rPr>
            </w:pPr>
            <w:r>
              <w:rPr>
                <w:rFonts w:cs="Arial"/>
                <w:sz w:val="18"/>
                <w:szCs w:val="18"/>
              </w:rPr>
              <w:t xml:space="preserve">(b)   </w:t>
            </w:r>
            <w:r w:rsidRPr="000B2021">
              <w:rPr>
                <w:rFonts w:cs="Arial"/>
                <w:sz w:val="18"/>
                <w:szCs w:val="18"/>
              </w:rPr>
              <w:t>the operation is an operation that, under the regulations, is taken to be a small scale operation; or</w:t>
            </w:r>
          </w:p>
          <w:p w14:paraId="4263519A" w14:textId="77777777" w:rsidR="000B2021" w:rsidRPr="000B2021" w:rsidRDefault="000B2021" w:rsidP="000B2021">
            <w:pPr>
              <w:spacing w:before="60" w:after="60" w:line="240" w:lineRule="auto"/>
              <w:ind w:left="539"/>
              <w:contextualSpacing/>
              <w:rPr>
                <w:rFonts w:cs="Arial"/>
                <w:sz w:val="18"/>
                <w:szCs w:val="18"/>
              </w:rPr>
            </w:pPr>
            <w:r>
              <w:rPr>
                <w:rFonts w:cs="Arial"/>
                <w:sz w:val="18"/>
                <w:szCs w:val="18"/>
              </w:rPr>
              <w:t xml:space="preserve">(c)   </w:t>
            </w:r>
            <w:r w:rsidRPr="000B2021">
              <w:rPr>
                <w:rFonts w:cs="Arial"/>
                <w:sz w:val="18"/>
                <w:szCs w:val="18"/>
              </w:rPr>
              <w:t>the operation is an operation that, under the regulations, is taken to be a developmental operation; or</w:t>
            </w:r>
          </w:p>
          <w:p w14:paraId="4263519B" w14:textId="77777777" w:rsidR="000B2021" w:rsidRPr="000B2021" w:rsidRDefault="000B2021" w:rsidP="000B2021">
            <w:pPr>
              <w:spacing w:before="60" w:after="60" w:line="240" w:lineRule="auto"/>
              <w:ind w:left="539"/>
              <w:contextualSpacing/>
              <w:rPr>
                <w:rFonts w:cs="Arial"/>
                <w:sz w:val="18"/>
                <w:szCs w:val="18"/>
              </w:rPr>
            </w:pPr>
            <w:r>
              <w:rPr>
                <w:rFonts w:cs="Arial"/>
                <w:sz w:val="18"/>
                <w:szCs w:val="18"/>
              </w:rPr>
              <w:t xml:space="preserve">(d)   </w:t>
            </w:r>
            <w:r w:rsidRPr="000B2021">
              <w:rPr>
                <w:rFonts w:cs="Arial"/>
                <w:sz w:val="18"/>
                <w:szCs w:val="18"/>
              </w:rPr>
              <w:t>the operation is a commercial fishery; or</w:t>
            </w:r>
          </w:p>
          <w:p w14:paraId="4263519C" w14:textId="77777777" w:rsidR="000B2021" w:rsidRPr="000B2021" w:rsidRDefault="000B2021" w:rsidP="000B2021">
            <w:pPr>
              <w:spacing w:before="60" w:after="60" w:line="240" w:lineRule="auto"/>
              <w:ind w:left="539"/>
              <w:contextualSpacing/>
              <w:rPr>
                <w:rFonts w:cs="Arial"/>
                <w:sz w:val="18"/>
                <w:szCs w:val="18"/>
              </w:rPr>
            </w:pPr>
            <w:r>
              <w:rPr>
                <w:rFonts w:cs="Arial"/>
                <w:sz w:val="18"/>
                <w:szCs w:val="18"/>
              </w:rPr>
              <w:t xml:space="preserve">(e)   </w:t>
            </w:r>
            <w:r w:rsidRPr="000B2021">
              <w:rPr>
                <w:rFonts w:cs="Arial"/>
                <w:sz w:val="18"/>
                <w:szCs w:val="18"/>
              </w:rPr>
              <w:t>the operation is an operation that, under the regulations, is taken to be a provisional operation; or</w:t>
            </w:r>
          </w:p>
          <w:p w14:paraId="4263519D" w14:textId="77777777" w:rsidR="00507F51" w:rsidRPr="000868A0" w:rsidRDefault="000B2021" w:rsidP="000B2021">
            <w:pPr>
              <w:tabs>
                <w:tab w:val="left" w:pos="360"/>
              </w:tabs>
              <w:spacing w:before="60" w:after="60" w:line="240" w:lineRule="auto"/>
              <w:ind w:left="567"/>
              <w:contextualSpacing/>
              <w:rPr>
                <w:rFonts w:cs="Arial"/>
                <w:sz w:val="18"/>
                <w:szCs w:val="18"/>
              </w:rPr>
            </w:pPr>
            <w:r>
              <w:rPr>
                <w:rFonts w:cs="Arial"/>
                <w:sz w:val="18"/>
                <w:szCs w:val="18"/>
              </w:rPr>
              <w:t xml:space="preserve">(f)   </w:t>
            </w:r>
            <w:r w:rsidRPr="000B2021">
              <w:rPr>
                <w:rFonts w:cs="Arial"/>
                <w:sz w:val="18"/>
                <w:szCs w:val="18"/>
              </w:rPr>
              <w:t>the operation is an operation of a kind specified in the regulations.</w:t>
            </w:r>
          </w:p>
        </w:tc>
        <w:tc>
          <w:tcPr>
            <w:tcW w:w="10064" w:type="dxa"/>
            <w:shd w:val="clear" w:color="auto" w:fill="92D050"/>
          </w:tcPr>
          <w:p w14:paraId="4263519E" w14:textId="3A66C3BC" w:rsidR="00507F51" w:rsidRPr="000868A0" w:rsidRDefault="003B5414" w:rsidP="00065C1E">
            <w:pPr>
              <w:spacing w:before="60" w:after="60" w:line="240" w:lineRule="auto"/>
              <w:contextualSpacing/>
              <w:rPr>
                <w:rFonts w:cs="Arial"/>
                <w:sz w:val="18"/>
                <w:szCs w:val="18"/>
              </w:rPr>
            </w:pPr>
            <w:r w:rsidRPr="00DF3AD0">
              <w:rPr>
                <w:rFonts w:cs="Arial"/>
                <w:b/>
                <w:sz w:val="18"/>
                <w:szCs w:val="18"/>
              </w:rPr>
              <w:t>Meets</w:t>
            </w:r>
            <w:r w:rsidR="00065C1E" w:rsidRPr="00E74AA4" w:rsidDel="00065C1E">
              <w:rPr>
                <w:rFonts w:cs="Arial"/>
                <w:b/>
                <w:sz w:val="18"/>
                <w:szCs w:val="18"/>
                <w:highlight w:val="yellow"/>
              </w:rPr>
              <w:t xml:space="preserve"> </w:t>
            </w:r>
            <w:r w:rsidRPr="004E67AC">
              <w:rPr>
                <w:rFonts w:cs="Arial"/>
                <w:iCs/>
                <w:sz w:val="18"/>
                <w:szCs w:val="18"/>
                <w:highlight w:val="yellow"/>
              </w:rPr>
              <w:br/>
            </w:r>
            <w:r w:rsidR="00065C1E" w:rsidRPr="000B2021">
              <w:rPr>
                <w:rFonts w:cs="Arial"/>
                <w:sz w:val="18"/>
                <w:szCs w:val="18"/>
              </w:rPr>
              <w:t>The operation meets the criteria of a small scale operation because the number of participants is small and the harvest area is small.</w:t>
            </w:r>
          </w:p>
        </w:tc>
      </w:tr>
      <w:tr w:rsidR="00507F51" w:rsidRPr="000868A0" w14:paraId="426351A1" w14:textId="77777777" w:rsidTr="006A6C6F">
        <w:trPr>
          <w:cantSplit/>
        </w:trPr>
        <w:tc>
          <w:tcPr>
            <w:tcW w:w="15446" w:type="dxa"/>
            <w:gridSpan w:val="2"/>
            <w:shd w:val="clear" w:color="auto" w:fill="auto"/>
          </w:tcPr>
          <w:p w14:paraId="426351A0" w14:textId="77777777" w:rsidR="00507F51" w:rsidRPr="000868A0" w:rsidRDefault="00507F51" w:rsidP="009E0059">
            <w:pPr>
              <w:spacing w:before="60" w:after="60" w:line="240" w:lineRule="auto"/>
              <w:contextualSpacing/>
              <w:rPr>
                <w:rFonts w:cs="Arial"/>
                <w:b/>
                <w:sz w:val="18"/>
                <w:szCs w:val="18"/>
              </w:rPr>
            </w:pPr>
            <w:r w:rsidRPr="000868A0">
              <w:rPr>
                <w:rFonts w:cs="Arial"/>
                <w:b/>
                <w:sz w:val="18"/>
                <w:szCs w:val="18"/>
              </w:rPr>
              <w:t>Section 303FR Public consultation</w:t>
            </w:r>
          </w:p>
        </w:tc>
      </w:tr>
      <w:tr w:rsidR="00507F51" w:rsidRPr="000868A0" w14:paraId="426351A8" w14:textId="77777777" w:rsidTr="00680049">
        <w:trPr>
          <w:cantSplit/>
        </w:trPr>
        <w:tc>
          <w:tcPr>
            <w:tcW w:w="5382" w:type="dxa"/>
          </w:tcPr>
          <w:p w14:paraId="426351A2"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t>(1)</w:t>
            </w:r>
            <w:r w:rsidRPr="000868A0">
              <w:rPr>
                <w:rFonts w:cs="Arial"/>
                <w:sz w:val="18"/>
                <w:szCs w:val="18"/>
              </w:rPr>
              <w:tab/>
              <w:t>Before making a declaration under section 303FN, the Minister must cause to be published on the Internet a notice:</w:t>
            </w:r>
          </w:p>
          <w:p w14:paraId="426351A3" w14:textId="77777777" w:rsidR="00507F51" w:rsidRPr="000868A0" w:rsidRDefault="00507F51" w:rsidP="00F14B21">
            <w:pPr>
              <w:numPr>
                <w:ilvl w:val="0"/>
                <w:numId w:val="7"/>
              </w:numPr>
              <w:tabs>
                <w:tab w:val="clear" w:pos="1080"/>
                <w:tab w:val="left" w:pos="360"/>
                <w:tab w:val="num" w:pos="900"/>
              </w:tabs>
              <w:spacing w:before="60" w:after="60" w:line="240" w:lineRule="auto"/>
              <w:ind w:left="900" w:hanging="540"/>
              <w:contextualSpacing/>
              <w:rPr>
                <w:rFonts w:cs="Arial"/>
                <w:sz w:val="18"/>
                <w:szCs w:val="18"/>
              </w:rPr>
            </w:pPr>
            <w:r w:rsidRPr="000868A0">
              <w:rPr>
                <w:rFonts w:cs="Arial"/>
                <w:sz w:val="18"/>
                <w:szCs w:val="18"/>
              </w:rPr>
              <w:t>setting out the proposal to make the declaration; and</w:t>
            </w:r>
          </w:p>
          <w:p w14:paraId="426351A4" w14:textId="77777777" w:rsidR="00507F51" w:rsidRPr="000868A0" w:rsidRDefault="00507F51" w:rsidP="00F14B21">
            <w:pPr>
              <w:numPr>
                <w:ilvl w:val="0"/>
                <w:numId w:val="7"/>
              </w:numPr>
              <w:tabs>
                <w:tab w:val="clear" w:pos="1080"/>
                <w:tab w:val="left" w:pos="360"/>
                <w:tab w:val="num" w:pos="900"/>
              </w:tabs>
              <w:spacing w:before="60" w:after="60" w:line="240" w:lineRule="auto"/>
              <w:ind w:left="900" w:hanging="540"/>
              <w:contextualSpacing/>
              <w:rPr>
                <w:rFonts w:cs="Arial"/>
                <w:sz w:val="18"/>
                <w:szCs w:val="18"/>
              </w:rPr>
            </w:pPr>
            <w:r w:rsidRPr="000868A0">
              <w:rPr>
                <w:rFonts w:cs="Arial"/>
                <w:sz w:val="18"/>
                <w:szCs w:val="18"/>
              </w:rPr>
              <w:t>setting out sufficient information to enable persons and organisations to consider adequately the merits of the proposal; and</w:t>
            </w:r>
          </w:p>
          <w:p w14:paraId="426351A5" w14:textId="77777777" w:rsidR="00507F51" w:rsidRPr="000868A0" w:rsidRDefault="00507F51" w:rsidP="00F14B21">
            <w:pPr>
              <w:numPr>
                <w:ilvl w:val="0"/>
                <w:numId w:val="7"/>
              </w:numPr>
              <w:tabs>
                <w:tab w:val="clear" w:pos="1080"/>
                <w:tab w:val="left" w:pos="360"/>
                <w:tab w:val="num" w:pos="900"/>
              </w:tabs>
              <w:spacing w:before="60" w:after="60" w:line="240" w:lineRule="auto"/>
              <w:ind w:left="900" w:hanging="540"/>
              <w:contextualSpacing/>
              <w:rPr>
                <w:rFonts w:cs="Arial"/>
                <w:sz w:val="18"/>
                <w:szCs w:val="18"/>
              </w:rPr>
            </w:pPr>
            <w:r w:rsidRPr="000868A0">
              <w:rPr>
                <w:rFonts w:cs="Arial"/>
                <w:sz w:val="18"/>
                <w:szCs w:val="18"/>
              </w:rPr>
              <w:t>inviting persons and organisations to give the Minister, within the period specified in the notice, written comments about the proposal.</w:t>
            </w:r>
          </w:p>
          <w:p w14:paraId="426351A6" w14:textId="77777777" w:rsidR="00507F51" w:rsidRPr="000868A0" w:rsidRDefault="00507F51" w:rsidP="009E0059">
            <w:pPr>
              <w:tabs>
                <w:tab w:val="left" w:pos="360"/>
              </w:tabs>
              <w:spacing w:before="60" w:after="60" w:line="240" w:lineRule="auto"/>
              <w:contextualSpacing/>
              <w:rPr>
                <w:rFonts w:cs="Arial"/>
                <w:sz w:val="18"/>
                <w:szCs w:val="18"/>
              </w:rPr>
            </w:pPr>
            <w:r w:rsidRPr="000868A0">
              <w:rPr>
                <w:rFonts w:cs="Arial"/>
                <w:sz w:val="18"/>
                <w:szCs w:val="18"/>
              </w:rPr>
              <w:t>(2)</w:t>
            </w:r>
            <w:r w:rsidRPr="000868A0">
              <w:rPr>
                <w:rFonts w:cs="Arial"/>
                <w:sz w:val="18"/>
                <w:szCs w:val="18"/>
              </w:rPr>
              <w:tab/>
              <w:t>A period specified in the notice must not be shorter than 20 business days after the date on which the notice was published on the Internet.</w:t>
            </w:r>
          </w:p>
        </w:tc>
        <w:tc>
          <w:tcPr>
            <w:tcW w:w="10064" w:type="dxa"/>
            <w:shd w:val="clear" w:color="auto" w:fill="92D050"/>
          </w:tcPr>
          <w:p w14:paraId="426351A7" w14:textId="133FE094" w:rsidR="00507F51" w:rsidRPr="000868A0" w:rsidRDefault="003B5414" w:rsidP="0095408F">
            <w:pPr>
              <w:spacing w:before="60" w:after="60" w:line="240" w:lineRule="auto"/>
              <w:contextualSpacing/>
              <w:rPr>
                <w:rFonts w:cs="Arial"/>
                <w:iCs/>
                <w:sz w:val="18"/>
                <w:szCs w:val="18"/>
              </w:rPr>
            </w:pPr>
            <w:r w:rsidRPr="00680049">
              <w:rPr>
                <w:rFonts w:cs="Arial"/>
                <w:b/>
                <w:sz w:val="18"/>
                <w:szCs w:val="18"/>
              </w:rPr>
              <w:t>Meets</w:t>
            </w:r>
            <w:r w:rsidR="00680049" w:rsidRPr="00680049" w:rsidDel="00680049">
              <w:rPr>
                <w:rFonts w:cs="Arial"/>
                <w:b/>
                <w:sz w:val="18"/>
                <w:szCs w:val="18"/>
              </w:rPr>
              <w:t xml:space="preserve"> </w:t>
            </w:r>
            <w:r w:rsidRPr="00CE3881">
              <w:rPr>
                <w:rFonts w:cs="Arial"/>
                <w:b/>
                <w:iCs/>
                <w:sz w:val="18"/>
                <w:szCs w:val="18"/>
              </w:rPr>
              <w:br/>
            </w:r>
            <w:r w:rsidRPr="00CE3881">
              <w:rPr>
                <w:rFonts w:cs="Arial"/>
                <w:iCs/>
                <w:sz w:val="18"/>
                <w:szCs w:val="18"/>
              </w:rPr>
              <w:t xml:space="preserve">A public notice, which set out the proposal to declare </w:t>
            </w:r>
            <w:r w:rsidR="00680049">
              <w:rPr>
                <w:rFonts w:cs="Arial"/>
                <w:iCs/>
                <w:sz w:val="18"/>
                <w:szCs w:val="18"/>
              </w:rPr>
              <w:t xml:space="preserve">Australian Insect Farm </w:t>
            </w:r>
            <w:r w:rsidRPr="00CE3881">
              <w:rPr>
                <w:rFonts w:cs="Arial"/>
                <w:iCs/>
                <w:sz w:val="18"/>
                <w:szCs w:val="18"/>
              </w:rPr>
              <w:t>an approved wildlife trade</w:t>
            </w:r>
            <w:r>
              <w:rPr>
                <w:rFonts w:cs="Arial"/>
                <w:iCs/>
                <w:sz w:val="18"/>
                <w:szCs w:val="18"/>
              </w:rPr>
              <w:t xml:space="preserve"> operation</w:t>
            </w:r>
            <w:r w:rsidRPr="00CE3881">
              <w:rPr>
                <w:rFonts w:cs="Arial"/>
                <w:iCs/>
                <w:sz w:val="18"/>
                <w:szCs w:val="18"/>
              </w:rPr>
              <w:t xml:space="preserve">, was released for public comment </w:t>
            </w:r>
            <w:r w:rsidR="0095408F">
              <w:rPr>
                <w:rFonts w:cs="Arial"/>
                <w:iCs/>
                <w:sz w:val="18"/>
                <w:szCs w:val="18"/>
              </w:rPr>
              <w:t xml:space="preserve">from </w:t>
            </w:r>
            <w:r w:rsidR="00680049">
              <w:rPr>
                <w:rFonts w:cs="Arial"/>
                <w:iCs/>
                <w:sz w:val="18"/>
                <w:szCs w:val="18"/>
              </w:rPr>
              <w:t>14 May</w:t>
            </w:r>
            <w:r w:rsidR="0095408F">
              <w:rPr>
                <w:rFonts w:cs="Arial"/>
                <w:iCs/>
                <w:sz w:val="18"/>
                <w:szCs w:val="18"/>
              </w:rPr>
              <w:t xml:space="preserve"> </w:t>
            </w:r>
            <w:r w:rsidRPr="00CE3881">
              <w:rPr>
                <w:rFonts w:cs="Arial"/>
                <w:iCs/>
                <w:sz w:val="18"/>
                <w:szCs w:val="18"/>
              </w:rPr>
              <w:t xml:space="preserve">to </w:t>
            </w:r>
            <w:r w:rsidR="00680049">
              <w:rPr>
                <w:rFonts w:cs="Arial"/>
                <w:iCs/>
                <w:sz w:val="18"/>
                <w:szCs w:val="18"/>
              </w:rPr>
              <w:t>15 June 2018</w:t>
            </w:r>
            <w:r w:rsidRPr="00CE3881">
              <w:rPr>
                <w:rFonts w:cs="Arial"/>
                <w:iCs/>
                <w:sz w:val="18"/>
                <w:szCs w:val="18"/>
              </w:rPr>
              <w:t xml:space="preserve">, a total of </w:t>
            </w:r>
            <w:r w:rsidR="00680049">
              <w:rPr>
                <w:rFonts w:cs="Arial"/>
                <w:iCs/>
                <w:sz w:val="18"/>
                <w:szCs w:val="18"/>
              </w:rPr>
              <w:t xml:space="preserve">23 </w:t>
            </w:r>
            <w:r w:rsidRPr="00CE3881">
              <w:rPr>
                <w:rFonts w:cs="Arial"/>
                <w:iCs/>
                <w:sz w:val="18"/>
                <w:szCs w:val="18"/>
              </w:rPr>
              <w:t>business days.</w:t>
            </w:r>
          </w:p>
        </w:tc>
      </w:tr>
      <w:tr w:rsidR="00507F51" w:rsidRPr="000868A0" w14:paraId="426351AB" w14:textId="77777777" w:rsidTr="00E04080">
        <w:trPr>
          <w:cantSplit/>
        </w:trPr>
        <w:tc>
          <w:tcPr>
            <w:tcW w:w="5382" w:type="dxa"/>
          </w:tcPr>
          <w:p w14:paraId="426351A9"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t>(3)</w:t>
            </w:r>
            <w:r w:rsidRPr="000868A0">
              <w:rPr>
                <w:rFonts w:cs="Arial"/>
                <w:sz w:val="18"/>
                <w:szCs w:val="18"/>
              </w:rPr>
              <w:tab/>
              <w:t>In making a decision about whether to make a declaration under section 303FN, the Minister must consider any comments about the proposal to make the declaration that were given in response to the invitation in the notice.</w:t>
            </w:r>
          </w:p>
        </w:tc>
        <w:tc>
          <w:tcPr>
            <w:tcW w:w="10064" w:type="dxa"/>
          </w:tcPr>
          <w:p w14:paraId="426351AA" w14:textId="203C28DE" w:rsidR="00507F51" w:rsidRPr="000868A0" w:rsidRDefault="003B5414" w:rsidP="003B5414">
            <w:pPr>
              <w:spacing w:before="60" w:after="60" w:line="240" w:lineRule="auto"/>
              <w:rPr>
                <w:rFonts w:cs="Arial"/>
                <w:iCs/>
                <w:sz w:val="18"/>
                <w:szCs w:val="18"/>
              </w:rPr>
            </w:pPr>
            <w:r w:rsidRPr="00BD64CE">
              <w:rPr>
                <w:rFonts w:cs="Arial"/>
                <w:b/>
                <w:sz w:val="18"/>
                <w:szCs w:val="18"/>
              </w:rPr>
              <w:t>Not applicable</w:t>
            </w:r>
            <w:r w:rsidRPr="00BD64CE">
              <w:rPr>
                <w:rFonts w:cs="Arial"/>
                <w:b/>
                <w:sz w:val="18"/>
                <w:szCs w:val="18"/>
              </w:rPr>
              <w:br/>
            </w:r>
            <w:r w:rsidRPr="00BD64CE">
              <w:rPr>
                <w:rFonts w:cs="Arial"/>
                <w:iCs/>
                <w:sz w:val="18"/>
                <w:szCs w:val="18"/>
              </w:rPr>
              <w:t>No public comments about the proposal were received.</w:t>
            </w:r>
          </w:p>
        </w:tc>
      </w:tr>
      <w:tr w:rsidR="00507F51" w:rsidRPr="000868A0" w14:paraId="426351AD" w14:textId="77777777" w:rsidTr="00E04080">
        <w:trPr>
          <w:cantSplit/>
        </w:trPr>
        <w:tc>
          <w:tcPr>
            <w:tcW w:w="15446" w:type="dxa"/>
            <w:gridSpan w:val="2"/>
            <w:tcBorders>
              <w:top w:val="single" w:sz="4" w:space="0" w:color="auto"/>
              <w:left w:val="single" w:sz="4" w:space="0" w:color="auto"/>
              <w:bottom w:val="single" w:sz="4" w:space="0" w:color="auto"/>
              <w:right w:val="single" w:sz="4" w:space="0" w:color="auto"/>
            </w:tcBorders>
          </w:tcPr>
          <w:p w14:paraId="426351AC" w14:textId="77777777" w:rsidR="00507F51" w:rsidRPr="000868A0" w:rsidRDefault="00507F51" w:rsidP="009E0059">
            <w:pPr>
              <w:spacing w:before="60" w:after="60" w:line="240" w:lineRule="auto"/>
              <w:ind w:left="360" w:hanging="360"/>
              <w:contextualSpacing/>
              <w:rPr>
                <w:rFonts w:cs="Arial"/>
                <w:b/>
                <w:sz w:val="18"/>
                <w:szCs w:val="18"/>
              </w:rPr>
            </w:pPr>
            <w:r w:rsidRPr="000868A0">
              <w:rPr>
                <w:rFonts w:cs="Arial"/>
                <w:b/>
                <w:sz w:val="18"/>
                <w:szCs w:val="18"/>
              </w:rPr>
              <w:t>Section 303FT Additional provisions relating to declarations</w:t>
            </w:r>
          </w:p>
        </w:tc>
      </w:tr>
      <w:tr w:rsidR="00507F51" w:rsidRPr="000868A0" w14:paraId="426351B0" w14:textId="77777777" w:rsidTr="003C45F9">
        <w:trPr>
          <w:cantSplit/>
        </w:trPr>
        <w:tc>
          <w:tcPr>
            <w:tcW w:w="5382" w:type="dxa"/>
            <w:tcBorders>
              <w:top w:val="single" w:sz="4" w:space="0" w:color="auto"/>
              <w:left w:val="single" w:sz="4" w:space="0" w:color="auto"/>
              <w:bottom w:val="single" w:sz="4" w:space="0" w:color="auto"/>
              <w:right w:val="single" w:sz="4" w:space="0" w:color="auto"/>
            </w:tcBorders>
          </w:tcPr>
          <w:p w14:paraId="426351AE"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lastRenderedPageBreak/>
              <w:t>(1)</w:t>
            </w:r>
            <w:r w:rsidRPr="000868A0">
              <w:rPr>
                <w:rFonts w:cs="Arial"/>
                <w:sz w:val="18"/>
                <w:szCs w:val="18"/>
              </w:rPr>
              <w:tab/>
              <w:t>This section applies to a declaration made under section 303FN, 303FO or 303FP.</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426351AF" w14:textId="77777777" w:rsidR="00507F51" w:rsidRPr="000868A0" w:rsidRDefault="00507F51" w:rsidP="005E180D">
            <w:pPr>
              <w:spacing w:before="60" w:after="60" w:line="240" w:lineRule="auto"/>
              <w:rPr>
                <w:rFonts w:cs="Arial"/>
                <w:sz w:val="18"/>
                <w:szCs w:val="18"/>
              </w:rPr>
            </w:pPr>
            <w:r w:rsidRPr="000868A0">
              <w:rPr>
                <w:rFonts w:cs="Arial"/>
                <w:sz w:val="18"/>
                <w:szCs w:val="18"/>
              </w:rPr>
              <w:t xml:space="preserve">A declaration for the </w:t>
            </w:r>
            <w:r w:rsidR="005E180D">
              <w:rPr>
                <w:rFonts w:cs="Arial"/>
                <w:sz w:val="18"/>
                <w:szCs w:val="18"/>
              </w:rPr>
              <w:t>operation</w:t>
            </w:r>
            <w:r w:rsidRPr="000868A0">
              <w:rPr>
                <w:rFonts w:cs="Arial"/>
                <w:sz w:val="18"/>
                <w:szCs w:val="18"/>
              </w:rPr>
              <w:t xml:space="preserve"> will be made under section 303FN.</w:t>
            </w:r>
          </w:p>
        </w:tc>
      </w:tr>
      <w:tr w:rsidR="00507F51" w:rsidRPr="000868A0" w14:paraId="426351BF" w14:textId="77777777" w:rsidTr="00E04080">
        <w:trPr>
          <w:cantSplit/>
        </w:trPr>
        <w:tc>
          <w:tcPr>
            <w:tcW w:w="5382" w:type="dxa"/>
            <w:tcBorders>
              <w:top w:val="single" w:sz="4" w:space="0" w:color="auto"/>
              <w:left w:val="single" w:sz="4" w:space="0" w:color="auto"/>
              <w:bottom w:val="single" w:sz="4" w:space="0" w:color="auto"/>
              <w:right w:val="single" w:sz="4" w:space="0" w:color="auto"/>
            </w:tcBorders>
          </w:tcPr>
          <w:p w14:paraId="426351B1"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t>(4)</w:t>
            </w:r>
            <w:r w:rsidRPr="000868A0">
              <w:rPr>
                <w:rFonts w:cs="Arial"/>
                <w:sz w:val="18"/>
                <w:szCs w:val="18"/>
              </w:rPr>
              <w:tab/>
              <w:t>The Minister may make a declaration about a plan or operation even though he or she considers that the plan or operation should be the subject of the declaration only:</w:t>
            </w:r>
          </w:p>
          <w:p w14:paraId="426351B2" w14:textId="77777777" w:rsidR="00507F51" w:rsidRPr="000868A0" w:rsidRDefault="00507F51" w:rsidP="00F14B21">
            <w:pPr>
              <w:numPr>
                <w:ilvl w:val="0"/>
                <w:numId w:val="8"/>
              </w:numPr>
              <w:spacing w:before="60" w:after="60" w:line="240" w:lineRule="auto"/>
              <w:contextualSpacing/>
              <w:rPr>
                <w:rFonts w:cs="Arial"/>
                <w:sz w:val="18"/>
                <w:szCs w:val="18"/>
              </w:rPr>
            </w:pPr>
            <w:r w:rsidRPr="000868A0">
              <w:rPr>
                <w:rFonts w:cs="Arial"/>
                <w:sz w:val="18"/>
                <w:szCs w:val="18"/>
              </w:rPr>
              <w:t>during a particular period; or</w:t>
            </w:r>
          </w:p>
          <w:p w14:paraId="426351B3" w14:textId="77777777" w:rsidR="00507F51" w:rsidRPr="000868A0" w:rsidRDefault="00507F51" w:rsidP="00F14B21">
            <w:pPr>
              <w:numPr>
                <w:ilvl w:val="0"/>
                <w:numId w:val="8"/>
              </w:numPr>
              <w:spacing w:before="60" w:after="60" w:line="240" w:lineRule="auto"/>
              <w:contextualSpacing/>
              <w:rPr>
                <w:rFonts w:cs="Arial"/>
                <w:sz w:val="18"/>
                <w:szCs w:val="18"/>
              </w:rPr>
            </w:pPr>
            <w:r w:rsidRPr="000868A0">
              <w:rPr>
                <w:rFonts w:cs="Arial"/>
                <w:sz w:val="18"/>
                <w:szCs w:val="18"/>
              </w:rPr>
              <w:t>while certain circumstances exist; or</w:t>
            </w:r>
          </w:p>
          <w:p w14:paraId="426351B4" w14:textId="77777777" w:rsidR="00507F51" w:rsidRPr="000868A0" w:rsidRDefault="00507F51" w:rsidP="00F14B21">
            <w:pPr>
              <w:numPr>
                <w:ilvl w:val="0"/>
                <w:numId w:val="8"/>
              </w:numPr>
              <w:spacing w:before="60" w:after="60" w:line="240" w:lineRule="auto"/>
              <w:contextualSpacing/>
              <w:rPr>
                <w:rFonts w:cs="Arial"/>
                <w:sz w:val="18"/>
                <w:szCs w:val="18"/>
              </w:rPr>
            </w:pPr>
            <w:r w:rsidRPr="000868A0">
              <w:rPr>
                <w:rFonts w:cs="Arial"/>
                <w:sz w:val="18"/>
                <w:szCs w:val="18"/>
              </w:rPr>
              <w:t>while a certain condition is complied with.</w:t>
            </w:r>
          </w:p>
          <w:p w14:paraId="426351B5" w14:textId="77777777" w:rsidR="00507F51" w:rsidRPr="000868A0" w:rsidRDefault="00507F51" w:rsidP="009E0059">
            <w:pPr>
              <w:spacing w:before="60" w:after="60" w:line="240" w:lineRule="auto"/>
              <w:ind w:left="360" w:hanging="360"/>
              <w:contextualSpacing/>
              <w:rPr>
                <w:rFonts w:cs="Arial"/>
                <w:sz w:val="18"/>
                <w:szCs w:val="18"/>
              </w:rPr>
            </w:pPr>
          </w:p>
          <w:p w14:paraId="426351B6"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t>In such a case, the instrument of declaration is to specify the period, circumstances or condition.</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27504F9E" w14:textId="77777777" w:rsidR="0004177F" w:rsidRPr="00CC15C3" w:rsidRDefault="0004177F" w:rsidP="0004177F">
            <w:pPr>
              <w:spacing w:before="60" w:after="60" w:line="240" w:lineRule="auto"/>
              <w:rPr>
                <w:rFonts w:cs="Arial"/>
                <w:sz w:val="18"/>
                <w:szCs w:val="18"/>
              </w:rPr>
            </w:pPr>
            <w:r w:rsidRPr="00CC15C3">
              <w:rPr>
                <w:rFonts w:cs="Arial"/>
                <w:sz w:val="18"/>
                <w:szCs w:val="18"/>
              </w:rPr>
              <w:t>The standard conditions applied to commercial wildlife trade operations include:</w:t>
            </w:r>
          </w:p>
          <w:p w14:paraId="4F0B36DD" w14:textId="70261BF6" w:rsidR="0004177F" w:rsidRPr="00CC15C3" w:rsidRDefault="0004177F" w:rsidP="0004177F">
            <w:pPr>
              <w:pStyle w:val="ListBullet"/>
              <w:spacing w:after="0"/>
              <w:rPr>
                <w:sz w:val="18"/>
                <w:szCs w:val="18"/>
              </w:rPr>
            </w:pPr>
            <w:r w:rsidRPr="00CC15C3">
              <w:rPr>
                <w:sz w:val="18"/>
                <w:szCs w:val="18"/>
              </w:rPr>
              <w:t xml:space="preserve">This declaration is valid for </w:t>
            </w:r>
            <w:r>
              <w:rPr>
                <w:sz w:val="18"/>
                <w:szCs w:val="18"/>
              </w:rPr>
              <w:t>three</w:t>
            </w:r>
            <w:r w:rsidRPr="00CC15C3">
              <w:rPr>
                <w:sz w:val="18"/>
                <w:szCs w:val="18"/>
              </w:rPr>
              <w:t xml:space="preserve"> years from the date of registration of this declaration. </w:t>
            </w:r>
          </w:p>
          <w:p w14:paraId="7C44ADA6" w14:textId="77777777" w:rsidR="0004177F" w:rsidRPr="00CC15C3" w:rsidRDefault="0004177F" w:rsidP="0004177F">
            <w:pPr>
              <w:pStyle w:val="ListBullet"/>
              <w:numPr>
                <w:ilvl w:val="0"/>
                <w:numId w:val="0"/>
              </w:numPr>
              <w:spacing w:after="0"/>
              <w:rPr>
                <w:rFonts w:cs="Arial"/>
                <w:sz w:val="18"/>
                <w:szCs w:val="18"/>
              </w:rPr>
            </w:pPr>
          </w:p>
          <w:p w14:paraId="71C6B2B0" w14:textId="31573456" w:rsidR="0004177F" w:rsidRPr="005E180D" w:rsidRDefault="0004177F" w:rsidP="0004177F">
            <w:pPr>
              <w:pStyle w:val="ListBullet"/>
              <w:numPr>
                <w:ilvl w:val="0"/>
                <w:numId w:val="0"/>
              </w:numPr>
              <w:spacing w:after="0"/>
              <w:rPr>
                <w:sz w:val="18"/>
                <w:szCs w:val="18"/>
              </w:rPr>
            </w:pPr>
            <w:r w:rsidRPr="000868A0">
              <w:rPr>
                <w:rFonts w:cs="Arial"/>
                <w:sz w:val="18"/>
                <w:szCs w:val="18"/>
              </w:rPr>
              <w:t xml:space="preserve">The wildlife trade </w:t>
            </w:r>
            <w:r>
              <w:rPr>
                <w:rFonts w:cs="Arial"/>
                <w:sz w:val="18"/>
                <w:szCs w:val="18"/>
              </w:rPr>
              <w:t>operation</w:t>
            </w:r>
            <w:r w:rsidRPr="000868A0">
              <w:rPr>
                <w:rFonts w:cs="Arial"/>
                <w:sz w:val="18"/>
                <w:szCs w:val="18"/>
              </w:rPr>
              <w:t xml:space="preserve"> instrument for the </w:t>
            </w:r>
            <w:r w:rsidR="00BD64CE">
              <w:rPr>
                <w:rFonts w:cs="Arial"/>
                <w:sz w:val="18"/>
                <w:szCs w:val="18"/>
              </w:rPr>
              <w:t xml:space="preserve">Australian Insect Farm wild harvest and commercial export of native invertebrates </w:t>
            </w:r>
            <w:r w:rsidRPr="000868A0">
              <w:rPr>
                <w:rFonts w:cs="Arial"/>
                <w:sz w:val="18"/>
                <w:szCs w:val="18"/>
              </w:rPr>
              <w:t xml:space="preserve">specifies the </w:t>
            </w:r>
            <w:r>
              <w:rPr>
                <w:rFonts w:cs="Arial"/>
                <w:sz w:val="18"/>
                <w:szCs w:val="18"/>
              </w:rPr>
              <w:t xml:space="preserve">aforementioned </w:t>
            </w:r>
            <w:r w:rsidRPr="000868A0">
              <w:rPr>
                <w:rFonts w:cs="Arial"/>
                <w:sz w:val="18"/>
                <w:szCs w:val="18"/>
              </w:rPr>
              <w:t xml:space="preserve">standard </w:t>
            </w:r>
            <w:r>
              <w:rPr>
                <w:rFonts w:cs="Arial"/>
                <w:sz w:val="18"/>
                <w:szCs w:val="18"/>
              </w:rPr>
              <w:t xml:space="preserve">condition </w:t>
            </w:r>
            <w:r w:rsidRPr="000868A0">
              <w:rPr>
                <w:rFonts w:cs="Arial"/>
                <w:sz w:val="18"/>
                <w:szCs w:val="18"/>
              </w:rPr>
              <w:t xml:space="preserve">and </w:t>
            </w:r>
            <w:r>
              <w:rPr>
                <w:rFonts w:cs="Arial"/>
                <w:sz w:val="18"/>
                <w:szCs w:val="18"/>
              </w:rPr>
              <w:t>the</w:t>
            </w:r>
            <w:r w:rsidRPr="000868A0">
              <w:rPr>
                <w:rFonts w:cs="Arial"/>
                <w:sz w:val="18"/>
                <w:szCs w:val="18"/>
              </w:rPr>
              <w:t xml:space="preserve"> additional conditions </w:t>
            </w:r>
            <w:r>
              <w:rPr>
                <w:rFonts w:cs="Arial"/>
                <w:sz w:val="18"/>
                <w:szCs w:val="18"/>
              </w:rPr>
              <w:t>as specified in section 3 of this report</w:t>
            </w:r>
            <w:r w:rsidRPr="000868A0">
              <w:rPr>
                <w:rFonts w:cs="Arial"/>
                <w:sz w:val="18"/>
                <w:szCs w:val="18"/>
              </w:rPr>
              <w:t>.</w:t>
            </w:r>
          </w:p>
          <w:p w14:paraId="426351BE" w14:textId="77777777" w:rsidR="00507F51" w:rsidRPr="000868A0" w:rsidRDefault="00507F51" w:rsidP="009E0059">
            <w:pPr>
              <w:spacing w:before="60" w:after="60" w:line="240" w:lineRule="auto"/>
              <w:rPr>
                <w:rFonts w:cs="Arial"/>
                <w:sz w:val="18"/>
                <w:szCs w:val="18"/>
              </w:rPr>
            </w:pPr>
          </w:p>
        </w:tc>
      </w:tr>
      <w:tr w:rsidR="00507F51" w:rsidRPr="000868A0" w14:paraId="426351C2" w14:textId="77777777" w:rsidTr="00E04080">
        <w:trPr>
          <w:cantSplit/>
        </w:trPr>
        <w:tc>
          <w:tcPr>
            <w:tcW w:w="5382" w:type="dxa"/>
            <w:tcBorders>
              <w:top w:val="single" w:sz="4" w:space="0" w:color="auto"/>
              <w:left w:val="single" w:sz="4" w:space="0" w:color="auto"/>
              <w:bottom w:val="single" w:sz="4" w:space="0" w:color="auto"/>
              <w:right w:val="single" w:sz="4" w:space="0" w:color="auto"/>
            </w:tcBorders>
          </w:tcPr>
          <w:p w14:paraId="426351C0"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t>(8)</w:t>
            </w:r>
            <w:r w:rsidRPr="000868A0">
              <w:rPr>
                <w:rFonts w:cs="Arial"/>
                <w:sz w:val="18"/>
                <w:szCs w:val="18"/>
              </w:rPr>
              <w:tab/>
              <w:t>A condition may relate to reporting or monitoring.</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426351C1" w14:textId="0E025B2E" w:rsidR="00507F51" w:rsidRPr="000868A0" w:rsidRDefault="00507F51" w:rsidP="005E180D">
            <w:pPr>
              <w:spacing w:before="60" w:after="60" w:line="240" w:lineRule="auto"/>
              <w:rPr>
                <w:rFonts w:cs="Arial"/>
                <w:sz w:val="18"/>
                <w:szCs w:val="18"/>
              </w:rPr>
            </w:pPr>
            <w:r w:rsidRPr="000868A0">
              <w:rPr>
                <w:rFonts w:cs="Arial"/>
                <w:sz w:val="18"/>
                <w:szCs w:val="18"/>
              </w:rPr>
              <w:t xml:space="preserve">One of the </w:t>
            </w:r>
            <w:r w:rsidR="00974383">
              <w:rPr>
                <w:rFonts w:cs="Arial"/>
                <w:sz w:val="18"/>
                <w:szCs w:val="18"/>
              </w:rPr>
              <w:t xml:space="preserve">declaration </w:t>
            </w:r>
            <w:r w:rsidRPr="000868A0">
              <w:rPr>
                <w:rFonts w:cs="Arial"/>
                <w:sz w:val="18"/>
                <w:szCs w:val="18"/>
              </w:rPr>
              <w:t>conditions relates to reporting.</w:t>
            </w:r>
          </w:p>
        </w:tc>
      </w:tr>
      <w:tr w:rsidR="00507F51" w:rsidRPr="000868A0" w14:paraId="426351C5" w14:textId="77777777" w:rsidTr="00E04080">
        <w:trPr>
          <w:cantSplit/>
        </w:trPr>
        <w:tc>
          <w:tcPr>
            <w:tcW w:w="5382" w:type="dxa"/>
            <w:tcBorders>
              <w:top w:val="single" w:sz="4" w:space="0" w:color="auto"/>
              <w:left w:val="single" w:sz="4" w:space="0" w:color="auto"/>
              <w:bottom w:val="single" w:sz="4" w:space="0" w:color="auto"/>
              <w:right w:val="single" w:sz="4" w:space="0" w:color="auto"/>
            </w:tcBorders>
          </w:tcPr>
          <w:p w14:paraId="426351C3"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t>(9)</w:t>
            </w:r>
            <w:r w:rsidRPr="000868A0">
              <w:rPr>
                <w:rFonts w:cs="Arial"/>
                <w:sz w:val="18"/>
                <w:szCs w:val="18"/>
              </w:rPr>
              <w:tab/>
              <w:t>The Minister must, by instrument published in the Gazette, revoke a declaration if he or she is satisfied that a condition of the declaration has been contravened.</w:t>
            </w:r>
          </w:p>
        </w:tc>
        <w:tc>
          <w:tcPr>
            <w:tcW w:w="10064" w:type="dxa"/>
            <w:tcBorders>
              <w:top w:val="single" w:sz="4" w:space="0" w:color="auto"/>
              <w:left w:val="single" w:sz="4" w:space="0" w:color="auto"/>
              <w:bottom w:val="single" w:sz="4" w:space="0" w:color="auto"/>
              <w:right w:val="single" w:sz="4" w:space="0" w:color="auto"/>
            </w:tcBorders>
            <w:shd w:val="clear" w:color="auto" w:fill="auto"/>
          </w:tcPr>
          <w:p w14:paraId="426351C4" w14:textId="77777777" w:rsidR="00507F51" w:rsidRPr="000868A0" w:rsidRDefault="00507F51" w:rsidP="009E0059">
            <w:pPr>
              <w:spacing w:before="60" w:after="60" w:line="240" w:lineRule="auto"/>
              <w:rPr>
                <w:rFonts w:cs="Arial"/>
                <w:sz w:val="18"/>
                <w:szCs w:val="18"/>
              </w:rPr>
            </w:pPr>
          </w:p>
        </w:tc>
      </w:tr>
      <w:tr w:rsidR="00507F51" w:rsidRPr="000868A0" w14:paraId="426351C8" w14:textId="77777777" w:rsidTr="00E04080">
        <w:trPr>
          <w:cantSplit/>
        </w:trPr>
        <w:tc>
          <w:tcPr>
            <w:tcW w:w="5382" w:type="dxa"/>
            <w:tcBorders>
              <w:top w:val="single" w:sz="4" w:space="0" w:color="auto"/>
              <w:left w:val="single" w:sz="4" w:space="0" w:color="auto"/>
              <w:bottom w:val="single" w:sz="4" w:space="0" w:color="auto"/>
              <w:right w:val="single" w:sz="4" w:space="0" w:color="auto"/>
            </w:tcBorders>
          </w:tcPr>
          <w:p w14:paraId="426351C6" w14:textId="77777777" w:rsidR="00507F51" w:rsidRPr="000868A0" w:rsidRDefault="00507F51" w:rsidP="009E0059">
            <w:pPr>
              <w:spacing w:before="60" w:after="60" w:line="240" w:lineRule="auto"/>
              <w:ind w:left="360" w:hanging="360"/>
              <w:contextualSpacing/>
              <w:rPr>
                <w:rFonts w:cs="Arial"/>
                <w:sz w:val="18"/>
                <w:szCs w:val="18"/>
              </w:rPr>
            </w:pPr>
            <w:r w:rsidRPr="000868A0">
              <w:rPr>
                <w:rFonts w:cs="Arial"/>
                <w:sz w:val="18"/>
                <w:szCs w:val="18"/>
              </w:rPr>
              <w:t xml:space="preserve">(11) </w:t>
            </w:r>
            <w:r w:rsidRPr="000868A0">
              <w:rPr>
                <w:rFonts w:cs="Arial"/>
                <w:sz w:val="18"/>
                <w:szCs w:val="18"/>
              </w:rPr>
              <w:tab/>
              <w:t>A copy of an instrument under section 303FN,or this section is to be made available for inspection on the internet.</w:t>
            </w:r>
          </w:p>
        </w:tc>
        <w:tc>
          <w:tcPr>
            <w:tcW w:w="10064" w:type="dxa"/>
            <w:tcBorders>
              <w:top w:val="single" w:sz="4" w:space="0" w:color="auto"/>
              <w:left w:val="single" w:sz="4" w:space="0" w:color="auto"/>
              <w:bottom w:val="single" w:sz="4" w:space="0" w:color="auto"/>
              <w:right w:val="single" w:sz="4" w:space="0" w:color="auto"/>
            </w:tcBorders>
            <w:shd w:val="clear" w:color="auto" w:fill="92D050"/>
          </w:tcPr>
          <w:p w14:paraId="426351C7" w14:textId="4A6C16BD" w:rsidR="00507F51" w:rsidRPr="000868A0" w:rsidRDefault="00507F51" w:rsidP="003C45F9">
            <w:pPr>
              <w:spacing w:before="60" w:after="60" w:line="240" w:lineRule="auto"/>
              <w:rPr>
                <w:rFonts w:cs="Arial"/>
                <w:sz w:val="18"/>
                <w:szCs w:val="18"/>
              </w:rPr>
            </w:pPr>
            <w:r w:rsidRPr="000868A0">
              <w:rPr>
                <w:rFonts w:cs="Arial"/>
                <w:sz w:val="18"/>
                <w:szCs w:val="18"/>
              </w:rPr>
              <w:t xml:space="preserve">The instrument for the </w:t>
            </w:r>
            <w:r w:rsidR="003C45F9">
              <w:rPr>
                <w:rFonts w:cs="Arial"/>
                <w:sz w:val="18"/>
                <w:szCs w:val="18"/>
              </w:rPr>
              <w:t>operation</w:t>
            </w:r>
            <w:r w:rsidRPr="000868A0">
              <w:rPr>
                <w:rFonts w:cs="Arial"/>
                <w:sz w:val="18"/>
                <w:szCs w:val="18"/>
              </w:rPr>
              <w:t xml:space="preserve"> made under sections 303FN and the conditions under section 303FT will be registered as a notifiable instrument and made available through the Department’s website.</w:t>
            </w:r>
          </w:p>
        </w:tc>
      </w:tr>
    </w:tbl>
    <w:p w14:paraId="426351C9" w14:textId="77777777" w:rsidR="006B14DB" w:rsidRDefault="006B14DB" w:rsidP="00661057"/>
    <w:p w14:paraId="2DBBDF24" w14:textId="77777777" w:rsidR="003C45F9" w:rsidRDefault="003C45F9">
      <w:pPr>
        <w:spacing w:after="0" w:line="240" w:lineRule="auto"/>
        <w:rPr>
          <w:b/>
        </w:rPr>
      </w:pPr>
      <w:r>
        <w:rPr>
          <w:b/>
        </w:rPr>
        <w:br w:type="page"/>
      </w:r>
    </w:p>
    <w:p w14:paraId="0188070F" w14:textId="58075E5C" w:rsidR="009C1407" w:rsidRDefault="009C1407" w:rsidP="00567592">
      <w:pPr>
        <w:pStyle w:val="Heading2"/>
      </w:pPr>
      <w:bookmarkStart w:id="4" w:name="_Toc513627609"/>
      <w:r w:rsidRPr="0012467B">
        <w:lastRenderedPageBreak/>
        <w:t>Section 3: Recommended conditions</w:t>
      </w:r>
      <w:bookmarkEnd w:id="4"/>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0"/>
        <w:gridCol w:w="6257"/>
      </w:tblGrid>
      <w:tr w:rsidR="00A20269" w:rsidRPr="000868A0" w14:paraId="077EE288" w14:textId="77777777" w:rsidTr="00A43083">
        <w:trPr>
          <w:cantSplit/>
          <w:tblHeader/>
        </w:trPr>
        <w:tc>
          <w:tcPr>
            <w:tcW w:w="8770" w:type="dxa"/>
            <w:shd w:val="clear" w:color="auto" w:fill="D9D9D9"/>
          </w:tcPr>
          <w:p w14:paraId="76EDE5C0" w14:textId="77777777" w:rsidR="00A20269" w:rsidRPr="000868A0" w:rsidRDefault="00A20269" w:rsidP="00D46628">
            <w:pPr>
              <w:spacing w:after="120" w:line="240" w:lineRule="auto"/>
              <w:rPr>
                <w:rFonts w:cs="Arial"/>
                <w:b/>
              </w:rPr>
            </w:pPr>
            <w:r w:rsidRPr="000868A0">
              <w:rPr>
                <w:rFonts w:cs="Arial"/>
                <w:b/>
              </w:rPr>
              <w:t>Issue</w:t>
            </w:r>
          </w:p>
        </w:tc>
        <w:tc>
          <w:tcPr>
            <w:tcW w:w="6257" w:type="dxa"/>
            <w:shd w:val="clear" w:color="auto" w:fill="D9D9D9"/>
          </w:tcPr>
          <w:p w14:paraId="1F93E32C" w14:textId="77777777" w:rsidR="00A20269" w:rsidRPr="000868A0" w:rsidRDefault="00A20269" w:rsidP="00D46628">
            <w:pPr>
              <w:spacing w:after="120" w:line="240" w:lineRule="auto"/>
              <w:rPr>
                <w:rFonts w:cs="Arial"/>
                <w:b/>
              </w:rPr>
            </w:pPr>
            <w:r w:rsidRPr="000868A0">
              <w:rPr>
                <w:rFonts w:cs="Arial"/>
                <w:b/>
              </w:rPr>
              <w:t>Condition</w:t>
            </w:r>
          </w:p>
        </w:tc>
      </w:tr>
      <w:tr w:rsidR="0004177F" w:rsidRPr="000868A0" w14:paraId="349365EB" w14:textId="77777777" w:rsidTr="00A43083">
        <w:trPr>
          <w:cantSplit/>
        </w:trPr>
        <w:tc>
          <w:tcPr>
            <w:tcW w:w="8770" w:type="dxa"/>
          </w:tcPr>
          <w:p w14:paraId="3AFE09BA" w14:textId="12ACEE71" w:rsidR="0004177F" w:rsidRPr="000868A0" w:rsidRDefault="003C7D3A" w:rsidP="0004177F">
            <w:pPr>
              <w:spacing w:after="120" w:line="240" w:lineRule="auto"/>
              <w:rPr>
                <w:rFonts w:cs="Arial"/>
                <w:u w:val="single"/>
              </w:rPr>
            </w:pPr>
            <w:r>
              <w:rPr>
                <w:rFonts w:cs="Arial"/>
                <w:u w:val="single"/>
              </w:rPr>
              <w:t>General management</w:t>
            </w:r>
          </w:p>
          <w:p w14:paraId="0FAF62BB" w14:textId="1E6109D3" w:rsidR="0004177F" w:rsidRPr="000868A0" w:rsidRDefault="003F575C" w:rsidP="0056078A">
            <w:pPr>
              <w:spacing w:after="120" w:line="240" w:lineRule="auto"/>
              <w:rPr>
                <w:rFonts w:cs="Arial"/>
              </w:rPr>
            </w:pPr>
            <w:r w:rsidRPr="000868A0">
              <w:rPr>
                <w:rFonts w:cs="Arial"/>
              </w:rPr>
              <w:t>Export decisions relate to the arrangements in force at the time of the decision. To ensure these decisions remain valid and export approval continues uninterrupted, the Department of the Environment and Energy needs to be advised of any changes that are made to the management regime and assess</w:t>
            </w:r>
            <w:r w:rsidR="0056078A">
              <w:rPr>
                <w:rFonts w:cs="Arial"/>
              </w:rPr>
              <w:t xml:space="preserve"> whether </w:t>
            </w:r>
            <w:r w:rsidRPr="000868A0">
              <w:rPr>
                <w:rFonts w:cs="Arial"/>
              </w:rPr>
              <w:t>the new arrangements are equivalent or better, in terms of ecological sustainability, than those in place at the time of the original decision. This includes operational and legislated amendments that may affect sustainability of the target species or negatively impact on EPBC Act</w:t>
            </w:r>
            <w:r w:rsidR="00443AF5">
              <w:rPr>
                <w:rFonts w:cs="Arial"/>
              </w:rPr>
              <w:t>–</w:t>
            </w:r>
            <w:r w:rsidRPr="000868A0">
              <w:rPr>
                <w:rFonts w:cs="Arial"/>
              </w:rPr>
              <w:t>protected species or the ecosystem.</w:t>
            </w:r>
          </w:p>
        </w:tc>
        <w:tc>
          <w:tcPr>
            <w:tcW w:w="6257" w:type="dxa"/>
          </w:tcPr>
          <w:p w14:paraId="76486AD1" w14:textId="36018473" w:rsidR="0004177F" w:rsidRPr="000868A0" w:rsidRDefault="0004177F" w:rsidP="0004177F">
            <w:pPr>
              <w:spacing w:after="120" w:line="240" w:lineRule="auto"/>
              <w:rPr>
                <w:rFonts w:cs="Arial"/>
              </w:rPr>
            </w:pPr>
            <w:r w:rsidRPr="000868A0">
              <w:rPr>
                <w:rFonts w:cs="Arial"/>
                <w:b/>
              </w:rPr>
              <w:t xml:space="preserve">Condition </w:t>
            </w:r>
            <w:r w:rsidR="00D8201E">
              <w:rPr>
                <w:rFonts w:cs="Arial"/>
                <w:b/>
              </w:rPr>
              <w:t>1</w:t>
            </w:r>
            <w:r w:rsidR="00D8201E" w:rsidRPr="000868A0">
              <w:rPr>
                <w:rFonts w:cs="Arial"/>
              </w:rPr>
              <w:t>:</w:t>
            </w:r>
          </w:p>
          <w:p w14:paraId="5336D314" w14:textId="2715EC9C" w:rsidR="0004177F" w:rsidRPr="000868A0" w:rsidRDefault="00D8201E" w:rsidP="0004177F">
            <w:pPr>
              <w:spacing w:after="120" w:line="240" w:lineRule="auto"/>
              <w:rPr>
                <w:rFonts w:cs="Arial"/>
              </w:rPr>
            </w:pPr>
            <w:r w:rsidRPr="00B84147">
              <w:rPr>
                <w:rFonts w:cs="Arial"/>
              </w:rPr>
              <w:t xml:space="preserve">The operation is undertaken in accordance with the proposal submitted by the Australian Insect Farm </w:t>
            </w:r>
            <w:r w:rsidR="00146CA7">
              <w:rPr>
                <w:rFonts w:cs="Arial"/>
              </w:rPr>
              <w:t xml:space="preserve">and lodged </w:t>
            </w:r>
            <w:r w:rsidRPr="005B3CF2">
              <w:rPr>
                <w:rFonts w:cs="Arial"/>
              </w:rPr>
              <w:t xml:space="preserve">on </w:t>
            </w:r>
            <w:r w:rsidRPr="00DF3AD0">
              <w:rPr>
                <w:rFonts w:cs="Arial"/>
              </w:rPr>
              <w:t>28</w:t>
            </w:r>
            <w:r w:rsidRPr="005B3CF2">
              <w:rPr>
                <w:rFonts w:cs="Arial"/>
              </w:rPr>
              <w:t xml:space="preserve"> March</w:t>
            </w:r>
            <w:r w:rsidRPr="00B84147">
              <w:rPr>
                <w:rFonts w:cs="Arial"/>
              </w:rPr>
              <w:t xml:space="preserve"> 2018.</w:t>
            </w:r>
            <w:r w:rsidR="0004177F" w:rsidRPr="000868A0">
              <w:rPr>
                <w:rFonts w:cs="Arial"/>
                <w:i/>
              </w:rPr>
              <w:t xml:space="preserve"> </w:t>
            </w:r>
          </w:p>
          <w:p w14:paraId="794C898B" w14:textId="5E5770DE" w:rsidR="0004177F" w:rsidRPr="000868A0" w:rsidRDefault="0004177F" w:rsidP="0004177F">
            <w:pPr>
              <w:spacing w:after="120" w:line="240" w:lineRule="auto"/>
              <w:rPr>
                <w:rFonts w:cs="Arial"/>
              </w:rPr>
            </w:pPr>
            <w:r w:rsidRPr="000868A0">
              <w:rPr>
                <w:rFonts w:cs="Arial"/>
                <w:b/>
              </w:rPr>
              <w:t xml:space="preserve">Condition </w:t>
            </w:r>
            <w:r w:rsidR="00B52A41">
              <w:rPr>
                <w:rFonts w:cs="Arial"/>
                <w:b/>
              </w:rPr>
              <w:t>2</w:t>
            </w:r>
            <w:r w:rsidR="00B52A41" w:rsidRPr="000868A0">
              <w:rPr>
                <w:rFonts w:cs="Arial"/>
              </w:rPr>
              <w:t>:</w:t>
            </w:r>
          </w:p>
          <w:p w14:paraId="0F12FAA0" w14:textId="77A6CCF2" w:rsidR="0004177F" w:rsidRDefault="004C48C9" w:rsidP="00146CA7">
            <w:pPr>
              <w:spacing w:after="120" w:line="240" w:lineRule="auto"/>
              <w:rPr>
                <w:rFonts w:cs="Arial"/>
              </w:rPr>
            </w:pPr>
            <w:r w:rsidRPr="00261C26">
              <w:rPr>
                <w:rFonts w:cs="Arial"/>
              </w:rPr>
              <w:t xml:space="preserve">Harvest is restricted to taxa </w:t>
            </w:r>
            <w:r w:rsidR="005C1543" w:rsidRPr="00261C26">
              <w:rPr>
                <w:rFonts w:cs="Arial"/>
              </w:rPr>
              <w:t xml:space="preserve">specified in the schedule supplied </w:t>
            </w:r>
            <w:r w:rsidR="00261C26">
              <w:rPr>
                <w:rFonts w:cs="Arial"/>
              </w:rPr>
              <w:t xml:space="preserve">by the Australian Insect Farm </w:t>
            </w:r>
            <w:r w:rsidR="005C1543" w:rsidRPr="00261C26">
              <w:rPr>
                <w:rFonts w:cs="Arial"/>
              </w:rPr>
              <w:t>as part of the</w:t>
            </w:r>
            <w:r w:rsidR="00261C26">
              <w:rPr>
                <w:rFonts w:cs="Arial"/>
              </w:rPr>
              <w:t>ir</w:t>
            </w:r>
            <w:r w:rsidR="005C1543" w:rsidRPr="00261C26">
              <w:rPr>
                <w:rFonts w:cs="Arial"/>
              </w:rPr>
              <w:t xml:space="preserve"> proposal. </w:t>
            </w:r>
            <w:r w:rsidR="005C1543" w:rsidRPr="00097A11">
              <w:rPr>
                <w:rFonts w:cs="Arial"/>
              </w:rPr>
              <w:t xml:space="preserve">Additional </w:t>
            </w:r>
            <w:r w:rsidR="00780D9A" w:rsidRPr="00097A11">
              <w:rPr>
                <w:rFonts w:cs="Arial"/>
              </w:rPr>
              <w:t xml:space="preserve">taxa </w:t>
            </w:r>
            <w:r w:rsidR="005C1543" w:rsidRPr="00097A11">
              <w:rPr>
                <w:rFonts w:cs="Arial"/>
              </w:rPr>
              <w:t xml:space="preserve">can be </w:t>
            </w:r>
            <w:r w:rsidR="00146CA7" w:rsidRPr="00097A11">
              <w:rPr>
                <w:rFonts w:cs="Arial"/>
              </w:rPr>
              <w:t xml:space="preserve">exported </w:t>
            </w:r>
            <w:r w:rsidR="005C1543" w:rsidRPr="00097A11">
              <w:rPr>
                <w:rFonts w:cs="Arial"/>
              </w:rPr>
              <w:t xml:space="preserve">only </w:t>
            </w:r>
            <w:r w:rsidR="00C90D29" w:rsidRPr="00097A11">
              <w:rPr>
                <w:rFonts w:cs="Arial"/>
              </w:rPr>
              <w:t>on application and</w:t>
            </w:r>
            <w:r w:rsidR="005C1543" w:rsidRPr="00097A11">
              <w:rPr>
                <w:rFonts w:cs="Arial"/>
              </w:rPr>
              <w:t xml:space="preserve"> </w:t>
            </w:r>
            <w:r w:rsidR="00C90D29" w:rsidRPr="00097A11">
              <w:rPr>
                <w:rFonts w:cs="Arial"/>
              </w:rPr>
              <w:t xml:space="preserve">after </w:t>
            </w:r>
            <w:r w:rsidR="005C1543" w:rsidRPr="00097A11">
              <w:rPr>
                <w:rFonts w:cs="Arial"/>
              </w:rPr>
              <w:t xml:space="preserve">approval from the Department of Environment and Energy. </w:t>
            </w:r>
          </w:p>
          <w:p w14:paraId="755EF9CE" w14:textId="4D4F9A06" w:rsidR="0093276C" w:rsidRPr="00DF3AD0" w:rsidRDefault="0093276C" w:rsidP="00146CA7">
            <w:pPr>
              <w:spacing w:after="120" w:line="240" w:lineRule="auto"/>
              <w:rPr>
                <w:rFonts w:cs="Arial"/>
                <w:b/>
              </w:rPr>
            </w:pPr>
            <w:r w:rsidRPr="00DF3AD0">
              <w:rPr>
                <w:rFonts w:cs="Arial"/>
                <w:b/>
              </w:rPr>
              <w:t>Condition 3</w:t>
            </w:r>
            <w:r w:rsidRPr="0093276C">
              <w:rPr>
                <w:rFonts w:cs="Arial"/>
              </w:rPr>
              <w:t>:</w:t>
            </w:r>
          </w:p>
          <w:p w14:paraId="79B704A9" w14:textId="32C80318" w:rsidR="0093276C" w:rsidRDefault="0093276C" w:rsidP="00146CA7">
            <w:pPr>
              <w:spacing w:after="120" w:line="240" w:lineRule="auto"/>
              <w:rPr>
                <w:rFonts w:cs="Arial"/>
              </w:rPr>
            </w:pPr>
            <w:r w:rsidRPr="00261C26">
              <w:rPr>
                <w:rFonts w:cs="Arial"/>
              </w:rPr>
              <w:t xml:space="preserve">Only specimens from </w:t>
            </w:r>
            <w:r w:rsidR="00780D9A" w:rsidRPr="00261C26">
              <w:rPr>
                <w:rFonts w:cs="Arial"/>
              </w:rPr>
              <w:t xml:space="preserve">taxa </w:t>
            </w:r>
            <w:r w:rsidRPr="00261C26">
              <w:rPr>
                <w:rFonts w:cs="Arial"/>
              </w:rPr>
              <w:t>that have been named and described in a scientific publication can be exported.</w:t>
            </w:r>
          </w:p>
          <w:p w14:paraId="52C8F04E" w14:textId="7EF9759E" w:rsidR="00EE7FB4" w:rsidRPr="00CA4D6A" w:rsidRDefault="00EE7FB4" w:rsidP="00EE7FB4">
            <w:pPr>
              <w:spacing w:after="120" w:line="240" w:lineRule="auto"/>
              <w:rPr>
                <w:rFonts w:cs="Arial"/>
                <w:b/>
              </w:rPr>
            </w:pPr>
            <w:r w:rsidRPr="00CA4D6A">
              <w:rPr>
                <w:rFonts w:cs="Arial"/>
                <w:b/>
              </w:rPr>
              <w:t xml:space="preserve">Condition </w:t>
            </w:r>
            <w:r w:rsidR="002F22E0">
              <w:rPr>
                <w:rFonts w:cs="Arial"/>
                <w:b/>
              </w:rPr>
              <w:t>4</w:t>
            </w:r>
            <w:r w:rsidRPr="0093276C">
              <w:rPr>
                <w:rFonts w:cs="Arial"/>
              </w:rPr>
              <w:t>:</w:t>
            </w:r>
          </w:p>
          <w:p w14:paraId="3B332807" w14:textId="4E6D2E53" w:rsidR="00EE7FB4" w:rsidRPr="000868A0" w:rsidRDefault="00EE7FB4" w:rsidP="00EE7FB4">
            <w:pPr>
              <w:spacing w:after="120" w:line="240" w:lineRule="auto"/>
              <w:rPr>
                <w:rFonts w:cs="Arial"/>
                <w:b/>
                <w:color w:val="3366FF"/>
              </w:rPr>
            </w:pPr>
            <w:r w:rsidRPr="00DF3AD0">
              <w:rPr>
                <w:rFonts w:cs="Arial"/>
              </w:rPr>
              <w:t>This declaration is valid for three years from the date of registration on the Federal Register of Legislation.</w:t>
            </w:r>
          </w:p>
        </w:tc>
      </w:tr>
      <w:tr w:rsidR="0004177F" w:rsidRPr="000868A0" w14:paraId="7338AA0A" w14:textId="77777777" w:rsidTr="00A43083">
        <w:trPr>
          <w:cantSplit/>
        </w:trPr>
        <w:tc>
          <w:tcPr>
            <w:tcW w:w="8770" w:type="dxa"/>
          </w:tcPr>
          <w:p w14:paraId="72914DAC" w14:textId="165BC659" w:rsidR="0004177F" w:rsidRPr="000868A0" w:rsidRDefault="003F575C" w:rsidP="0004177F">
            <w:pPr>
              <w:spacing w:after="120" w:line="240" w:lineRule="auto"/>
              <w:rPr>
                <w:rFonts w:cs="Arial"/>
                <w:u w:val="single"/>
              </w:rPr>
            </w:pPr>
            <w:r>
              <w:rPr>
                <w:rFonts w:cs="Arial"/>
                <w:u w:val="single"/>
              </w:rPr>
              <w:t>Annual r</w:t>
            </w:r>
            <w:r w:rsidR="00CC2934">
              <w:rPr>
                <w:rFonts w:cs="Arial"/>
                <w:u w:val="single"/>
              </w:rPr>
              <w:t xml:space="preserve">eporting </w:t>
            </w:r>
          </w:p>
          <w:p w14:paraId="43AFBDA5" w14:textId="59D50B96" w:rsidR="0004177F" w:rsidRPr="00A20269" w:rsidRDefault="003F575C" w:rsidP="0004177F">
            <w:pPr>
              <w:spacing w:after="120" w:line="240" w:lineRule="auto"/>
              <w:rPr>
                <w:rFonts w:cs="Arial"/>
              </w:rPr>
            </w:pPr>
            <w:r w:rsidRPr="000868A0">
              <w:rPr>
                <w:rFonts w:cs="Arial"/>
              </w:rPr>
              <w:t xml:space="preserve">It is important that reports be produced and presented to the Department annually in order for the performance of the </w:t>
            </w:r>
            <w:r>
              <w:rPr>
                <w:rFonts w:cs="Arial"/>
              </w:rPr>
              <w:t>operation</w:t>
            </w:r>
            <w:r w:rsidRPr="000868A0">
              <w:rPr>
                <w:rFonts w:cs="Arial"/>
              </w:rPr>
              <w:t xml:space="preserve"> to be monitored and assessed throughout the life of the declaration.</w:t>
            </w:r>
          </w:p>
        </w:tc>
        <w:tc>
          <w:tcPr>
            <w:tcW w:w="6257" w:type="dxa"/>
          </w:tcPr>
          <w:p w14:paraId="2F2EC1FF" w14:textId="5A0A4DAC" w:rsidR="0004177F" w:rsidRDefault="0004177F" w:rsidP="0004177F">
            <w:pPr>
              <w:spacing w:after="120" w:line="240" w:lineRule="auto"/>
              <w:rPr>
                <w:rFonts w:cs="Arial"/>
              </w:rPr>
            </w:pPr>
            <w:r w:rsidRPr="000868A0">
              <w:rPr>
                <w:rFonts w:cs="Arial"/>
                <w:b/>
              </w:rPr>
              <w:t>C</w:t>
            </w:r>
            <w:r>
              <w:rPr>
                <w:rFonts w:cs="Arial"/>
                <w:b/>
              </w:rPr>
              <w:t xml:space="preserve">ondition </w:t>
            </w:r>
            <w:r w:rsidR="002F22E0">
              <w:rPr>
                <w:rFonts w:cs="Arial"/>
                <w:b/>
              </w:rPr>
              <w:t>5</w:t>
            </w:r>
            <w:r w:rsidR="00CC2934" w:rsidRPr="000868A0">
              <w:rPr>
                <w:rFonts w:cs="Arial"/>
              </w:rPr>
              <w:t>:</w:t>
            </w:r>
          </w:p>
          <w:p w14:paraId="2FD52B3B" w14:textId="5852AADB" w:rsidR="0004177F" w:rsidRPr="00600FAF" w:rsidRDefault="00CC2934" w:rsidP="0004177F">
            <w:pPr>
              <w:spacing w:after="120" w:line="240" w:lineRule="auto"/>
              <w:rPr>
                <w:rFonts w:cs="Arial"/>
              </w:rPr>
            </w:pPr>
            <w:r w:rsidRPr="00B84147">
              <w:rPr>
                <w:rFonts w:cs="Arial"/>
              </w:rPr>
              <w:t xml:space="preserve">Accurate records must be maintained, kept up-to-date and include all information necessary for the reporting outlined in condition </w:t>
            </w:r>
            <w:r w:rsidR="002F22E0">
              <w:rPr>
                <w:rFonts w:cs="Arial"/>
              </w:rPr>
              <w:t>6</w:t>
            </w:r>
            <w:r w:rsidRPr="00B84147">
              <w:rPr>
                <w:rFonts w:cs="Arial"/>
              </w:rPr>
              <w:t xml:space="preserve">. </w:t>
            </w:r>
          </w:p>
          <w:p w14:paraId="1FE836E0" w14:textId="7671788F" w:rsidR="0004177F" w:rsidRDefault="0004177F" w:rsidP="0004177F">
            <w:pPr>
              <w:spacing w:after="120" w:line="240" w:lineRule="auto"/>
              <w:rPr>
                <w:rFonts w:cs="Arial"/>
              </w:rPr>
            </w:pPr>
            <w:r w:rsidRPr="000868A0">
              <w:rPr>
                <w:rFonts w:cs="Arial"/>
                <w:b/>
              </w:rPr>
              <w:t>C</w:t>
            </w:r>
            <w:r>
              <w:rPr>
                <w:rFonts w:cs="Arial"/>
                <w:b/>
              </w:rPr>
              <w:t xml:space="preserve">ondition </w:t>
            </w:r>
            <w:r w:rsidR="002F22E0">
              <w:rPr>
                <w:rFonts w:cs="Arial"/>
                <w:b/>
              </w:rPr>
              <w:t>6</w:t>
            </w:r>
            <w:r w:rsidR="00CC2934" w:rsidRPr="000868A0">
              <w:rPr>
                <w:rFonts w:cs="Arial"/>
              </w:rPr>
              <w:t>:</w:t>
            </w:r>
          </w:p>
          <w:p w14:paraId="480B43E6" w14:textId="04C46D0C" w:rsidR="00CC2934" w:rsidRPr="00DF3AD0" w:rsidRDefault="00CC2934" w:rsidP="00AB228C">
            <w:pPr>
              <w:spacing w:after="120" w:line="240" w:lineRule="auto"/>
              <w:rPr>
                <w:rFonts w:cs="Arial"/>
              </w:rPr>
            </w:pPr>
            <w:r w:rsidRPr="00B84147">
              <w:rPr>
                <w:rFonts w:cs="Arial"/>
              </w:rPr>
              <w:t xml:space="preserve">An annual report </w:t>
            </w:r>
            <w:r w:rsidR="00261C26">
              <w:rPr>
                <w:rFonts w:cs="Arial"/>
              </w:rPr>
              <w:t>must</w:t>
            </w:r>
            <w:r w:rsidRPr="00B84147">
              <w:rPr>
                <w:rFonts w:cs="Arial"/>
              </w:rPr>
              <w:t xml:space="preserve"> be provided to the Department of the Environment and Energy</w:t>
            </w:r>
            <w:r w:rsidR="00261C26">
              <w:rPr>
                <w:rFonts w:cs="Arial"/>
              </w:rPr>
              <w:t xml:space="preserve"> </w:t>
            </w:r>
            <w:r w:rsidRPr="00B84147">
              <w:rPr>
                <w:rFonts w:cs="Arial"/>
              </w:rPr>
              <w:t xml:space="preserve">as </w:t>
            </w:r>
            <w:r w:rsidRPr="00097A11">
              <w:rPr>
                <w:rFonts w:cs="Arial"/>
              </w:rPr>
              <w:t xml:space="preserve">per </w:t>
            </w:r>
            <w:r w:rsidRPr="00261C26">
              <w:rPr>
                <w:rFonts w:cs="Arial"/>
              </w:rPr>
              <w:t>Section 8</w:t>
            </w:r>
            <w:r w:rsidRPr="00097A11">
              <w:rPr>
                <w:rFonts w:cs="Arial"/>
              </w:rPr>
              <w:t xml:space="preserve"> of th</w:t>
            </w:r>
            <w:r w:rsidRPr="00B84147">
              <w:rPr>
                <w:rFonts w:cs="Arial"/>
              </w:rPr>
              <w:t>e proposal</w:t>
            </w:r>
            <w:r w:rsidR="0004177F" w:rsidRPr="00600FAF">
              <w:rPr>
                <w:rFonts w:cs="Arial"/>
              </w:rPr>
              <w:t>.</w:t>
            </w:r>
            <w:r w:rsidR="0056078A">
              <w:rPr>
                <w:rFonts w:cs="Arial"/>
              </w:rPr>
              <w:t xml:space="preserve"> </w:t>
            </w:r>
          </w:p>
        </w:tc>
      </w:tr>
    </w:tbl>
    <w:p w14:paraId="72BD2750" w14:textId="77777777" w:rsidR="00A20269" w:rsidRPr="00EF53FF" w:rsidRDefault="00A20269" w:rsidP="00661057"/>
    <w:sectPr w:rsidR="00A20269" w:rsidRPr="00EF53FF" w:rsidSect="00567592">
      <w:pgSz w:w="16838" w:h="11906" w:orient="landscape"/>
      <w:pgMar w:top="851" w:right="1418" w:bottom="709" w:left="567"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351D0" w14:textId="77777777" w:rsidR="00507F51" w:rsidRDefault="00507F51" w:rsidP="00A60185">
      <w:pPr>
        <w:spacing w:after="0" w:line="240" w:lineRule="auto"/>
      </w:pPr>
      <w:r>
        <w:separator/>
      </w:r>
    </w:p>
  </w:endnote>
  <w:endnote w:type="continuationSeparator" w:id="0">
    <w:p w14:paraId="426351D1" w14:textId="77777777" w:rsidR="00507F51" w:rsidRDefault="00507F51"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3ADB2" w14:textId="77777777" w:rsidR="00902E47" w:rsidRDefault="00902E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08599"/>
      <w:docPartObj>
        <w:docPartGallery w:val="Page Numbers (Bottom of Page)"/>
        <w:docPartUnique/>
      </w:docPartObj>
    </w:sdtPr>
    <w:sdtEndPr/>
    <w:sdtContent>
      <w:p w14:paraId="426351D5" w14:textId="77777777" w:rsidR="00100BEF" w:rsidRDefault="00F14B21">
        <w:pPr>
          <w:pStyle w:val="Footer"/>
          <w:jc w:val="center"/>
        </w:pPr>
        <w:r>
          <w:fldChar w:fldCharType="begin"/>
        </w:r>
        <w:r>
          <w:instrText xml:space="preserve"> PAGE   \* MERGEFORMAT </w:instrText>
        </w:r>
        <w:r>
          <w:fldChar w:fldCharType="separate"/>
        </w:r>
        <w:r w:rsidR="00902E47">
          <w:rPr>
            <w:noProof/>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484238"/>
      <w:docPartObj>
        <w:docPartGallery w:val="Page Numbers (Bottom of Page)"/>
        <w:docPartUnique/>
      </w:docPartObj>
    </w:sdtPr>
    <w:sdtEndPr>
      <w:rPr>
        <w:noProof/>
      </w:rPr>
    </w:sdtEndPr>
    <w:sdtContent>
      <w:p w14:paraId="720CA81C" w14:textId="395F6AF7" w:rsidR="00567592" w:rsidRDefault="00567592">
        <w:pPr>
          <w:pStyle w:val="Footer"/>
          <w:jc w:val="center"/>
        </w:pPr>
        <w:r>
          <w:fldChar w:fldCharType="begin"/>
        </w:r>
        <w:r>
          <w:instrText xml:space="preserve"> PAGE   \* MERGEFORMAT </w:instrText>
        </w:r>
        <w:r>
          <w:fldChar w:fldCharType="separate"/>
        </w:r>
        <w:r w:rsidR="00902E47">
          <w:rPr>
            <w:noProof/>
          </w:rPr>
          <w:t>1</w:t>
        </w:r>
        <w:r>
          <w:rPr>
            <w:noProof/>
          </w:rPr>
          <w:fldChar w:fldCharType="end"/>
        </w:r>
      </w:p>
    </w:sdtContent>
  </w:sdt>
  <w:p w14:paraId="4BCAD580" w14:textId="77777777" w:rsidR="00567592" w:rsidRDefault="005675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351CE" w14:textId="77777777" w:rsidR="00507F51" w:rsidRDefault="00507F51" w:rsidP="00A60185">
      <w:pPr>
        <w:spacing w:after="0" w:line="240" w:lineRule="auto"/>
      </w:pPr>
      <w:r>
        <w:separator/>
      </w:r>
    </w:p>
  </w:footnote>
  <w:footnote w:type="continuationSeparator" w:id="0">
    <w:p w14:paraId="426351CF" w14:textId="77777777" w:rsidR="00507F51" w:rsidRDefault="00507F51"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351D2" w14:textId="1C261524" w:rsidR="00100BEF" w:rsidRDefault="00B8261E" w:rsidP="00E45765">
    <w:pPr>
      <w:pStyle w:val="Classification"/>
    </w:pPr>
    <w:r>
      <w:fldChar w:fldCharType="begin"/>
    </w:r>
    <w:r>
      <w:instrText xml:space="preserve"> DOCPROPERTY SecurityClassification \* MERGEFORMAT </w:instrText>
    </w:r>
    <w:r>
      <w:fldChar w:fldCharType="separate"/>
    </w:r>
    <w:r w:rsidR="00CC0483">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B5BA6" w14:textId="77777777" w:rsidR="00902E47" w:rsidRDefault="00902E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55CDD" w14:textId="77777777" w:rsidR="00902E47" w:rsidRDefault="00902E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A006A6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4" w15:restartNumberingAfterBreak="0">
    <w:nsid w:val="125C7B59"/>
    <w:multiLevelType w:val="hybridMultilevel"/>
    <w:tmpl w:val="9538F1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5E6DB8"/>
    <w:multiLevelType w:val="hybridMultilevel"/>
    <w:tmpl w:val="45924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F745BC2"/>
    <w:multiLevelType w:val="multilevel"/>
    <w:tmpl w:val="E5E89F92"/>
    <w:numStyleLink w:val="BulletList"/>
  </w:abstractNum>
  <w:abstractNum w:abstractNumId="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5456429"/>
    <w:multiLevelType w:val="multilevel"/>
    <w:tmpl w:val="E898CC72"/>
    <w:numStyleLink w:val="KeyPoints"/>
  </w:abstractNum>
  <w:abstractNum w:abstractNumId="11"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A48075B"/>
    <w:multiLevelType w:val="hybridMultilevel"/>
    <w:tmpl w:val="BC2A448C"/>
    <w:lvl w:ilvl="0" w:tplc="2D3239A2">
      <w:start w:val="1"/>
      <w:numFmt w:val="decimal"/>
      <w:lvlText w:val="(%1)"/>
      <w:lvlJc w:val="left"/>
      <w:pPr>
        <w:tabs>
          <w:tab w:val="num" w:pos="720"/>
        </w:tabs>
        <w:ind w:left="720" w:hanging="360"/>
      </w:pPr>
      <w:rPr>
        <w:rFonts w:cs="Times New Roman" w:hint="default"/>
        <w:sz w:val="18"/>
        <w:szCs w:val="18"/>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3" w15:restartNumberingAfterBreak="0">
    <w:nsid w:val="74F654B4"/>
    <w:multiLevelType w:val="hybridMultilevel"/>
    <w:tmpl w:val="71CE67DC"/>
    <w:lvl w:ilvl="0" w:tplc="D6D8A6F8">
      <w:start w:val="8"/>
      <w:numFmt w:val="lowerLetter"/>
      <w:lvlText w:val="(%1)"/>
      <w:lvlJc w:val="left"/>
      <w:pPr>
        <w:tabs>
          <w:tab w:val="num" w:pos="1080"/>
        </w:tabs>
        <w:ind w:left="1080" w:hanging="720"/>
      </w:pPr>
      <w:rPr>
        <w:rFonts w:cs="Times New Roman" w:hint="default"/>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5" w15:restartNumberingAfterBreak="0">
    <w:nsid w:val="7A2832DE"/>
    <w:multiLevelType w:val="hybridMultilevel"/>
    <w:tmpl w:val="34F87A78"/>
    <w:lvl w:ilvl="0" w:tplc="CC44F52A">
      <w:start w:val="1"/>
      <w:numFmt w:val="lowerLetter"/>
      <w:lvlText w:val="(%1)"/>
      <w:lvlJc w:val="left"/>
      <w:pPr>
        <w:tabs>
          <w:tab w:val="num" w:pos="1080"/>
        </w:tabs>
        <w:ind w:left="1080" w:hanging="720"/>
      </w:pPr>
      <w:rPr>
        <w:rFonts w:cs="Times New Roman" w:hint="default"/>
        <w:sz w:val="18"/>
        <w:szCs w:val="18"/>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14"/>
  </w:num>
  <w:num w:numId="2">
    <w:abstractNumId w:val="2"/>
  </w:num>
  <w:num w:numId="3">
    <w:abstractNumId w:val="9"/>
  </w:num>
  <w:num w:numId="4">
    <w:abstractNumId w:val="8"/>
  </w:num>
  <w:num w:numId="5">
    <w:abstractNumId w:val="10"/>
  </w:num>
  <w:num w:numId="6">
    <w:abstractNumId w:val="6"/>
  </w:num>
  <w:num w:numId="7">
    <w:abstractNumId w:val="7"/>
  </w:num>
  <w:num w:numId="8">
    <w:abstractNumId w:val="3"/>
  </w:num>
  <w:num w:numId="9">
    <w:abstractNumId w:val="12"/>
  </w:num>
  <w:num w:numId="10">
    <w:abstractNumId w:val="15"/>
  </w:num>
  <w:num w:numId="11">
    <w:abstractNumId w:val="11"/>
  </w:num>
  <w:num w:numId="12">
    <w:abstractNumId w:val="13"/>
  </w:num>
  <w:num w:numId="13">
    <w:abstractNumId w:val="0"/>
  </w:num>
  <w:num w:numId="14">
    <w:abstractNumId w:val="1"/>
  </w:num>
  <w:num w:numId="15">
    <w:abstractNumId w:val="5"/>
  </w:num>
  <w:num w:numId="16">
    <w:abstractNumId w:val="4"/>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07F51"/>
    <w:rsid w:val="00002DAA"/>
    <w:rsid w:val="00004AEE"/>
    <w:rsid w:val="00005CAA"/>
    <w:rsid w:val="00007DCA"/>
    <w:rsid w:val="00010210"/>
    <w:rsid w:val="00012D66"/>
    <w:rsid w:val="000153B7"/>
    <w:rsid w:val="00015ADA"/>
    <w:rsid w:val="00020C99"/>
    <w:rsid w:val="00023A64"/>
    <w:rsid w:val="0002707B"/>
    <w:rsid w:val="0004177F"/>
    <w:rsid w:val="00045CDB"/>
    <w:rsid w:val="00050646"/>
    <w:rsid w:val="0005148E"/>
    <w:rsid w:val="00065C1E"/>
    <w:rsid w:val="00072C5A"/>
    <w:rsid w:val="000759E5"/>
    <w:rsid w:val="000817CF"/>
    <w:rsid w:val="00084AC6"/>
    <w:rsid w:val="00091608"/>
    <w:rsid w:val="00092B11"/>
    <w:rsid w:val="00092C16"/>
    <w:rsid w:val="0009333C"/>
    <w:rsid w:val="0009704F"/>
    <w:rsid w:val="00097A11"/>
    <w:rsid w:val="00097AF3"/>
    <w:rsid w:val="000A0F11"/>
    <w:rsid w:val="000A125A"/>
    <w:rsid w:val="000A57CD"/>
    <w:rsid w:val="000A5BD9"/>
    <w:rsid w:val="000B2021"/>
    <w:rsid w:val="000B3758"/>
    <w:rsid w:val="000B47EE"/>
    <w:rsid w:val="000B5FE1"/>
    <w:rsid w:val="000B7681"/>
    <w:rsid w:val="000B7B42"/>
    <w:rsid w:val="000C02B7"/>
    <w:rsid w:val="000C5100"/>
    <w:rsid w:val="000C5342"/>
    <w:rsid w:val="000C706A"/>
    <w:rsid w:val="000D2887"/>
    <w:rsid w:val="000D6D63"/>
    <w:rsid w:val="000E0081"/>
    <w:rsid w:val="000E07CF"/>
    <w:rsid w:val="000E31C1"/>
    <w:rsid w:val="000F2CF2"/>
    <w:rsid w:val="000F5BAE"/>
    <w:rsid w:val="00100BEF"/>
    <w:rsid w:val="00111326"/>
    <w:rsid w:val="0011498E"/>
    <w:rsid w:val="00115524"/>
    <w:rsid w:val="0011580F"/>
    <w:rsid w:val="00116E24"/>
    <w:rsid w:val="00117A45"/>
    <w:rsid w:val="00120A58"/>
    <w:rsid w:val="001224AE"/>
    <w:rsid w:val="00125DD5"/>
    <w:rsid w:val="00132538"/>
    <w:rsid w:val="001337D4"/>
    <w:rsid w:val="00146CA7"/>
    <w:rsid w:val="00147C12"/>
    <w:rsid w:val="001527A1"/>
    <w:rsid w:val="001530DC"/>
    <w:rsid w:val="00154989"/>
    <w:rsid w:val="00155A9F"/>
    <w:rsid w:val="00156084"/>
    <w:rsid w:val="00160262"/>
    <w:rsid w:val="0016374D"/>
    <w:rsid w:val="001642B3"/>
    <w:rsid w:val="0016780A"/>
    <w:rsid w:val="001709ED"/>
    <w:rsid w:val="001713FA"/>
    <w:rsid w:val="00173EBF"/>
    <w:rsid w:val="00175ED3"/>
    <w:rsid w:val="001820C6"/>
    <w:rsid w:val="00182214"/>
    <w:rsid w:val="001842A2"/>
    <w:rsid w:val="00187FA8"/>
    <w:rsid w:val="00190EE9"/>
    <w:rsid w:val="00192F5E"/>
    <w:rsid w:val="00196A5B"/>
    <w:rsid w:val="00197772"/>
    <w:rsid w:val="001A3765"/>
    <w:rsid w:val="001A51C8"/>
    <w:rsid w:val="001A5672"/>
    <w:rsid w:val="001B4C0A"/>
    <w:rsid w:val="001B4CA8"/>
    <w:rsid w:val="001B5EA1"/>
    <w:rsid w:val="001C11C1"/>
    <w:rsid w:val="001C2FE4"/>
    <w:rsid w:val="001C3613"/>
    <w:rsid w:val="001C4F3D"/>
    <w:rsid w:val="001D0CDC"/>
    <w:rsid w:val="001D1D82"/>
    <w:rsid w:val="001E1182"/>
    <w:rsid w:val="001F40EB"/>
    <w:rsid w:val="00201165"/>
    <w:rsid w:val="0020274F"/>
    <w:rsid w:val="00202C90"/>
    <w:rsid w:val="002105E4"/>
    <w:rsid w:val="00213DE8"/>
    <w:rsid w:val="00216118"/>
    <w:rsid w:val="002209AB"/>
    <w:rsid w:val="002251E3"/>
    <w:rsid w:val="00226CA5"/>
    <w:rsid w:val="00227A95"/>
    <w:rsid w:val="00227FC4"/>
    <w:rsid w:val="00230D54"/>
    <w:rsid w:val="002316BD"/>
    <w:rsid w:val="00232058"/>
    <w:rsid w:val="00235E63"/>
    <w:rsid w:val="00243812"/>
    <w:rsid w:val="002457F3"/>
    <w:rsid w:val="002473FC"/>
    <w:rsid w:val="00252E3C"/>
    <w:rsid w:val="00254721"/>
    <w:rsid w:val="00260521"/>
    <w:rsid w:val="00261C26"/>
    <w:rsid w:val="00262198"/>
    <w:rsid w:val="00263D5A"/>
    <w:rsid w:val="002672C3"/>
    <w:rsid w:val="00272FDB"/>
    <w:rsid w:val="00283596"/>
    <w:rsid w:val="00285F1B"/>
    <w:rsid w:val="00292B81"/>
    <w:rsid w:val="002A3BF9"/>
    <w:rsid w:val="002B18AE"/>
    <w:rsid w:val="002B7663"/>
    <w:rsid w:val="002C0B56"/>
    <w:rsid w:val="002C1C93"/>
    <w:rsid w:val="002C5066"/>
    <w:rsid w:val="002C5813"/>
    <w:rsid w:val="002D0375"/>
    <w:rsid w:val="002D4055"/>
    <w:rsid w:val="002D4AAC"/>
    <w:rsid w:val="002D54D9"/>
    <w:rsid w:val="002E39E3"/>
    <w:rsid w:val="002F045A"/>
    <w:rsid w:val="002F22E0"/>
    <w:rsid w:val="0030039D"/>
    <w:rsid w:val="0030326F"/>
    <w:rsid w:val="00310701"/>
    <w:rsid w:val="00315980"/>
    <w:rsid w:val="00315C56"/>
    <w:rsid w:val="00316F7F"/>
    <w:rsid w:val="003218E8"/>
    <w:rsid w:val="003238AA"/>
    <w:rsid w:val="003247A7"/>
    <w:rsid w:val="0032502C"/>
    <w:rsid w:val="00325E34"/>
    <w:rsid w:val="00330DCE"/>
    <w:rsid w:val="00331E11"/>
    <w:rsid w:val="00331FF9"/>
    <w:rsid w:val="00334761"/>
    <w:rsid w:val="00337EBC"/>
    <w:rsid w:val="00341016"/>
    <w:rsid w:val="00341DCD"/>
    <w:rsid w:val="0034563E"/>
    <w:rsid w:val="003462AE"/>
    <w:rsid w:val="003518D6"/>
    <w:rsid w:val="0035460C"/>
    <w:rsid w:val="00354B6C"/>
    <w:rsid w:val="003556BD"/>
    <w:rsid w:val="00360D6B"/>
    <w:rsid w:val="00365147"/>
    <w:rsid w:val="0037016E"/>
    <w:rsid w:val="00372908"/>
    <w:rsid w:val="00377A28"/>
    <w:rsid w:val="00383020"/>
    <w:rsid w:val="00384CA6"/>
    <w:rsid w:val="00394D7E"/>
    <w:rsid w:val="003975FD"/>
    <w:rsid w:val="003B057D"/>
    <w:rsid w:val="003B5414"/>
    <w:rsid w:val="003B60CC"/>
    <w:rsid w:val="003B7372"/>
    <w:rsid w:val="003C1B25"/>
    <w:rsid w:val="003C2443"/>
    <w:rsid w:val="003C45F9"/>
    <w:rsid w:val="003C5DA3"/>
    <w:rsid w:val="003C70A8"/>
    <w:rsid w:val="003C7D3A"/>
    <w:rsid w:val="003D3553"/>
    <w:rsid w:val="003D4BCD"/>
    <w:rsid w:val="003D621B"/>
    <w:rsid w:val="003D6C2B"/>
    <w:rsid w:val="003E01D8"/>
    <w:rsid w:val="003E0D52"/>
    <w:rsid w:val="003E2100"/>
    <w:rsid w:val="003F575C"/>
    <w:rsid w:val="003F6F5B"/>
    <w:rsid w:val="0040342D"/>
    <w:rsid w:val="00403C27"/>
    <w:rsid w:val="00405968"/>
    <w:rsid w:val="0041192D"/>
    <w:rsid w:val="00411AB1"/>
    <w:rsid w:val="00413EE1"/>
    <w:rsid w:val="00417BD0"/>
    <w:rsid w:val="0042128E"/>
    <w:rsid w:val="004264EF"/>
    <w:rsid w:val="00432B60"/>
    <w:rsid w:val="00440698"/>
    <w:rsid w:val="00443AF5"/>
    <w:rsid w:val="004540E2"/>
    <w:rsid w:val="00454454"/>
    <w:rsid w:val="004600F6"/>
    <w:rsid w:val="004606FC"/>
    <w:rsid w:val="00466204"/>
    <w:rsid w:val="00467924"/>
    <w:rsid w:val="004712A5"/>
    <w:rsid w:val="0047266F"/>
    <w:rsid w:val="00476D6B"/>
    <w:rsid w:val="00480E9B"/>
    <w:rsid w:val="00484977"/>
    <w:rsid w:val="0048578B"/>
    <w:rsid w:val="00492C16"/>
    <w:rsid w:val="004939B4"/>
    <w:rsid w:val="00497623"/>
    <w:rsid w:val="004A0678"/>
    <w:rsid w:val="004A48A3"/>
    <w:rsid w:val="004A5F97"/>
    <w:rsid w:val="004B0D92"/>
    <w:rsid w:val="004B0EC0"/>
    <w:rsid w:val="004B28A1"/>
    <w:rsid w:val="004B66F1"/>
    <w:rsid w:val="004C3EA0"/>
    <w:rsid w:val="004C48C9"/>
    <w:rsid w:val="004E5F51"/>
    <w:rsid w:val="004F5B71"/>
    <w:rsid w:val="004F7169"/>
    <w:rsid w:val="00500160"/>
    <w:rsid w:val="00500D66"/>
    <w:rsid w:val="00503D53"/>
    <w:rsid w:val="00505B49"/>
    <w:rsid w:val="00507F51"/>
    <w:rsid w:val="00511DB3"/>
    <w:rsid w:val="00514C8E"/>
    <w:rsid w:val="00517C00"/>
    <w:rsid w:val="00521B29"/>
    <w:rsid w:val="00521C41"/>
    <w:rsid w:val="005262BF"/>
    <w:rsid w:val="0052773E"/>
    <w:rsid w:val="00530F61"/>
    <w:rsid w:val="00531DBF"/>
    <w:rsid w:val="005323D9"/>
    <w:rsid w:val="00537B7E"/>
    <w:rsid w:val="00545759"/>
    <w:rsid w:val="00545BE0"/>
    <w:rsid w:val="00546930"/>
    <w:rsid w:val="00547709"/>
    <w:rsid w:val="005503DD"/>
    <w:rsid w:val="00554C6A"/>
    <w:rsid w:val="0056078A"/>
    <w:rsid w:val="005621AD"/>
    <w:rsid w:val="00562E85"/>
    <w:rsid w:val="0056332F"/>
    <w:rsid w:val="00565884"/>
    <w:rsid w:val="00567592"/>
    <w:rsid w:val="005719B3"/>
    <w:rsid w:val="0057295E"/>
    <w:rsid w:val="00581C39"/>
    <w:rsid w:val="005870E2"/>
    <w:rsid w:val="005903B6"/>
    <w:rsid w:val="0059388E"/>
    <w:rsid w:val="005A0247"/>
    <w:rsid w:val="005A126E"/>
    <w:rsid w:val="005A33E0"/>
    <w:rsid w:val="005A452F"/>
    <w:rsid w:val="005B140D"/>
    <w:rsid w:val="005B3CF2"/>
    <w:rsid w:val="005B5397"/>
    <w:rsid w:val="005C1543"/>
    <w:rsid w:val="005C1FEA"/>
    <w:rsid w:val="005C3495"/>
    <w:rsid w:val="005C74FB"/>
    <w:rsid w:val="005D3729"/>
    <w:rsid w:val="005E180D"/>
    <w:rsid w:val="005E3DFC"/>
    <w:rsid w:val="005E4AFB"/>
    <w:rsid w:val="005E5942"/>
    <w:rsid w:val="005E60AF"/>
    <w:rsid w:val="005E63FD"/>
    <w:rsid w:val="005F1DEA"/>
    <w:rsid w:val="005F1FAF"/>
    <w:rsid w:val="00600C06"/>
    <w:rsid w:val="00600FAF"/>
    <w:rsid w:val="00607FC9"/>
    <w:rsid w:val="0061022D"/>
    <w:rsid w:val="00613C31"/>
    <w:rsid w:val="00616FC7"/>
    <w:rsid w:val="0061759F"/>
    <w:rsid w:val="0062042E"/>
    <w:rsid w:val="00622FE1"/>
    <w:rsid w:val="0062521C"/>
    <w:rsid w:val="00630A2B"/>
    <w:rsid w:val="00631C5F"/>
    <w:rsid w:val="00632DC7"/>
    <w:rsid w:val="006357FB"/>
    <w:rsid w:val="006406FC"/>
    <w:rsid w:val="00640E57"/>
    <w:rsid w:val="006453AC"/>
    <w:rsid w:val="00646122"/>
    <w:rsid w:val="0064652A"/>
    <w:rsid w:val="00651937"/>
    <w:rsid w:val="00653C8B"/>
    <w:rsid w:val="00653D80"/>
    <w:rsid w:val="00653E16"/>
    <w:rsid w:val="00657220"/>
    <w:rsid w:val="00657362"/>
    <w:rsid w:val="0066104B"/>
    <w:rsid w:val="00661057"/>
    <w:rsid w:val="006655EE"/>
    <w:rsid w:val="00667C10"/>
    <w:rsid w:val="00667EF4"/>
    <w:rsid w:val="00676FCA"/>
    <w:rsid w:val="00677177"/>
    <w:rsid w:val="00680049"/>
    <w:rsid w:val="0068612E"/>
    <w:rsid w:val="0068699B"/>
    <w:rsid w:val="00687C92"/>
    <w:rsid w:val="0069534E"/>
    <w:rsid w:val="0069669C"/>
    <w:rsid w:val="006A1200"/>
    <w:rsid w:val="006A1C50"/>
    <w:rsid w:val="006A4F4E"/>
    <w:rsid w:val="006A6C23"/>
    <w:rsid w:val="006A6C6F"/>
    <w:rsid w:val="006B14DB"/>
    <w:rsid w:val="006B21C4"/>
    <w:rsid w:val="006B265C"/>
    <w:rsid w:val="006C4A1A"/>
    <w:rsid w:val="006D0393"/>
    <w:rsid w:val="006D1A83"/>
    <w:rsid w:val="006D4E5D"/>
    <w:rsid w:val="006E153B"/>
    <w:rsid w:val="006E1CFE"/>
    <w:rsid w:val="006E6E4C"/>
    <w:rsid w:val="006F10C4"/>
    <w:rsid w:val="006F40E9"/>
    <w:rsid w:val="006F5603"/>
    <w:rsid w:val="006F7B87"/>
    <w:rsid w:val="00700FE0"/>
    <w:rsid w:val="00701400"/>
    <w:rsid w:val="007037CF"/>
    <w:rsid w:val="00704BD5"/>
    <w:rsid w:val="00714A00"/>
    <w:rsid w:val="007167C0"/>
    <w:rsid w:val="00720481"/>
    <w:rsid w:val="00733193"/>
    <w:rsid w:val="00735957"/>
    <w:rsid w:val="0073734E"/>
    <w:rsid w:val="00742BD1"/>
    <w:rsid w:val="00744DDA"/>
    <w:rsid w:val="00745E03"/>
    <w:rsid w:val="0075685E"/>
    <w:rsid w:val="0075732A"/>
    <w:rsid w:val="00757DC4"/>
    <w:rsid w:val="007600F8"/>
    <w:rsid w:val="00760262"/>
    <w:rsid w:val="0076310C"/>
    <w:rsid w:val="0076744F"/>
    <w:rsid w:val="00767BCE"/>
    <w:rsid w:val="00767EFC"/>
    <w:rsid w:val="007707DE"/>
    <w:rsid w:val="00770B5D"/>
    <w:rsid w:val="007752F1"/>
    <w:rsid w:val="00776768"/>
    <w:rsid w:val="00780B73"/>
    <w:rsid w:val="00780D9A"/>
    <w:rsid w:val="0078187A"/>
    <w:rsid w:val="007839C8"/>
    <w:rsid w:val="00786DEE"/>
    <w:rsid w:val="00794ED8"/>
    <w:rsid w:val="00796E23"/>
    <w:rsid w:val="007A08E8"/>
    <w:rsid w:val="007A18BC"/>
    <w:rsid w:val="007A2573"/>
    <w:rsid w:val="007B106C"/>
    <w:rsid w:val="007B1A4E"/>
    <w:rsid w:val="007B3D05"/>
    <w:rsid w:val="007B46E4"/>
    <w:rsid w:val="007B53A1"/>
    <w:rsid w:val="007B5503"/>
    <w:rsid w:val="007B592D"/>
    <w:rsid w:val="007C179C"/>
    <w:rsid w:val="007C4CE3"/>
    <w:rsid w:val="007C6BB3"/>
    <w:rsid w:val="007D14B4"/>
    <w:rsid w:val="007D3AD7"/>
    <w:rsid w:val="007E24F6"/>
    <w:rsid w:val="007E45FF"/>
    <w:rsid w:val="00800F64"/>
    <w:rsid w:val="00801050"/>
    <w:rsid w:val="00802F0B"/>
    <w:rsid w:val="00810A67"/>
    <w:rsid w:val="00813E3A"/>
    <w:rsid w:val="00814F46"/>
    <w:rsid w:val="00825890"/>
    <w:rsid w:val="00833CF7"/>
    <w:rsid w:val="00834CDE"/>
    <w:rsid w:val="00834D06"/>
    <w:rsid w:val="00842464"/>
    <w:rsid w:val="0084272C"/>
    <w:rsid w:val="00845601"/>
    <w:rsid w:val="00847BA8"/>
    <w:rsid w:val="00852C72"/>
    <w:rsid w:val="00855C5C"/>
    <w:rsid w:val="0085662C"/>
    <w:rsid w:val="00866E70"/>
    <w:rsid w:val="008772F4"/>
    <w:rsid w:val="00893FE7"/>
    <w:rsid w:val="008A0D7D"/>
    <w:rsid w:val="008A2221"/>
    <w:rsid w:val="008A3C96"/>
    <w:rsid w:val="008B4019"/>
    <w:rsid w:val="008B566C"/>
    <w:rsid w:val="008B65C9"/>
    <w:rsid w:val="008C2D4A"/>
    <w:rsid w:val="008D3900"/>
    <w:rsid w:val="008D6E1D"/>
    <w:rsid w:val="008E1426"/>
    <w:rsid w:val="008E380A"/>
    <w:rsid w:val="008F39B4"/>
    <w:rsid w:val="008F4162"/>
    <w:rsid w:val="00902E47"/>
    <w:rsid w:val="00903E02"/>
    <w:rsid w:val="00913175"/>
    <w:rsid w:val="00916EDB"/>
    <w:rsid w:val="00920861"/>
    <w:rsid w:val="00922B13"/>
    <w:rsid w:val="009242EF"/>
    <w:rsid w:val="00926914"/>
    <w:rsid w:val="00930325"/>
    <w:rsid w:val="00931272"/>
    <w:rsid w:val="00932291"/>
    <w:rsid w:val="0093276C"/>
    <w:rsid w:val="00932861"/>
    <w:rsid w:val="00933B8B"/>
    <w:rsid w:val="0093408E"/>
    <w:rsid w:val="00950432"/>
    <w:rsid w:val="009509F6"/>
    <w:rsid w:val="009517E6"/>
    <w:rsid w:val="00952DDF"/>
    <w:rsid w:val="0095408F"/>
    <w:rsid w:val="009610A3"/>
    <w:rsid w:val="00962417"/>
    <w:rsid w:val="00963B6A"/>
    <w:rsid w:val="0096588B"/>
    <w:rsid w:val="00970950"/>
    <w:rsid w:val="0097192E"/>
    <w:rsid w:val="009731C9"/>
    <w:rsid w:val="00974383"/>
    <w:rsid w:val="009812D4"/>
    <w:rsid w:val="009920D8"/>
    <w:rsid w:val="0099437F"/>
    <w:rsid w:val="009952F5"/>
    <w:rsid w:val="009B275C"/>
    <w:rsid w:val="009B38BE"/>
    <w:rsid w:val="009C1407"/>
    <w:rsid w:val="009C3D0F"/>
    <w:rsid w:val="009C40BF"/>
    <w:rsid w:val="009C6B0F"/>
    <w:rsid w:val="009E1B19"/>
    <w:rsid w:val="009F35E2"/>
    <w:rsid w:val="009F65F9"/>
    <w:rsid w:val="009F68BA"/>
    <w:rsid w:val="00A06277"/>
    <w:rsid w:val="00A079DC"/>
    <w:rsid w:val="00A111C2"/>
    <w:rsid w:val="00A14798"/>
    <w:rsid w:val="00A20269"/>
    <w:rsid w:val="00A308E7"/>
    <w:rsid w:val="00A338E7"/>
    <w:rsid w:val="00A341C9"/>
    <w:rsid w:val="00A35CAA"/>
    <w:rsid w:val="00A36903"/>
    <w:rsid w:val="00A36E7F"/>
    <w:rsid w:val="00A41E65"/>
    <w:rsid w:val="00A43083"/>
    <w:rsid w:val="00A43E0A"/>
    <w:rsid w:val="00A53069"/>
    <w:rsid w:val="00A530C7"/>
    <w:rsid w:val="00A53548"/>
    <w:rsid w:val="00A55F5B"/>
    <w:rsid w:val="00A60185"/>
    <w:rsid w:val="00A62370"/>
    <w:rsid w:val="00A661EA"/>
    <w:rsid w:val="00A830E5"/>
    <w:rsid w:val="00A87135"/>
    <w:rsid w:val="00A93280"/>
    <w:rsid w:val="00A951EA"/>
    <w:rsid w:val="00AA2548"/>
    <w:rsid w:val="00AA5131"/>
    <w:rsid w:val="00AA58C4"/>
    <w:rsid w:val="00AA7003"/>
    <w:rsid w:val="00AB11C8"/>
    <w:rsid w:val="00AB228C"/>
    <w:rsid w:val="00AB7CE2"/>
    <w:rsid w:val="00AC08A8"/>
    <w:rsid w:val="00AC32A7"/>
    <w:rsid w:val="00AC7F62"/>
    <w:rsid w:val="00AD1FA5"/>
    <w:rsid w:val="00AD56C8"/>
    <w:rsid w:val="00AD58F2"/>
    <w:rsid w:val="00AF35BF"/>
    <w:rsid w:val="00B0512A"/>
    <w:rsid w:val="00B0529F"/>
    <w:rsid w:val="00B1418B"/>
    <w:rsid w:val="00B14D4D"/>
    <w:rsid w:val="00B21195"/>
    <w:rsid w:val="00B2462E"/>
    <w:rsid w:val="00B24B22"/>
    <w:rsid w:val="00B25310"/>
    <w:rsid w:val="00B25957"/>
    <w:rsid w:val="00B25FE2"/>
    <w:rsid w:val="00B32F8F"/>
    <w:rsid w:val="00B3439F"/>
    <w:rsid w:val="00B3492A"/>
    <w:rsid w:val="00B373EF"/>
    <w:rsid w:val="00B42056"/>
    <w:rsid w:val="00B52A41"/>
    <w:rsid w:val="00B53B2D"/>
    <w:rsid w:val="00B54DE9"/>
    <w:rsid w:val="00B553EC"/>
    <w:rsid w:val="00B55E3F"/>
    <w:rsid w:val="00B56BB2"/>
    <w:rsid w:val="00B63C1E"/>
    <w:rsid w:val="00B66001"/>
    <w:rsid w:val="00B8261E"/>
    <w:rsid w:val="00B84147"/>
    <w:rsid w:val="00B873E0"/>
    <w:rsid w:val="00B93DD0"/>
    <w:rsid w:val="00B97732"/>
    <w:rsid w:val="00BA41A3"/>
    <w:rsid w:val="00BA65A8"/>
    <w:rsid w:val="00BA6D19"/>
    <w:rsid w:val="00BA7461"/>
    <w:rsid w:val="00BA7DA9"/>
    <w:rsid w:val="00BB7892"/>
    <w:rsid w:val="00BB7CAE"/>
    <w:rsid w:val="00BC4215"/>
    <w:rsid w:val="00BC72A5"/>
    <w:rsid w:val="00BD1A6F"/>
    <w:rsid w:val="00BD3BF4"/>
    <w:rsid w:val="00BD59F6"/>
    <w:rsid w:val="00BD63F2"/>
    <w:rsid w:val="00BD64CE"/>
    <w:rsid w:val="00BE056E"/>
    <w:rsid w:val="00BE094C"/>
    <w:rsid w:val="00BE2537"/>
    <w:rsid w:val="00BE6D3C"/>
    <w:rsid w:val="00BE7852"/>
    <w:rsid w:val="00BF31ED"/>
    <w:rsid w:val="00BF7CEE"/>
    <w:rsid w:val="00C0338D"/>
    <w:rsid w:val="00C03880"/>
    <w:rsid w:val="00C1002A"/>
    <w:rsid w:val="00C135CF"/>
    <w:rsid w:val="00C13BE8"/>
    <w:rsid w:val="00C1547A"/>
    <w:rsid w:val="00C159A1"/>
    <w:rsid w:val="00C20405"/>
    <w:rsid w:val="00C22D70"/>
    <w:rsid w:val="00C25198"/>
    <w:rsid w:val="00C2683F"/>
    <w:rsid w:val="00C31175"/>
    <w:rsid w:val="00C3184D"/>
    <w:rsid w:val="00C318B7"/>
    <w:rsid w:val="00C32937"/>
    <w:rsid w:val="00C3744A"/>
    <w:rsid w:val="00C43174"/>
    <w:rsid w:val="00C4714E"/>
    <w:rsid w:val="00C4759D"/>
    <w:rsid w:val="00C4784C"/>
    <w:rsid w:val="00C51CCA"/>
    <w:rsid w:val="00C5504F"/>
    <w:rsid w:val="00C55BCB"/>
    <w:rsid w:val="00C57B55"/>
    <w:rsid w:val="00C63376"/>
    <w:rsid w:val="00C719F6"/>
    <w:rsid w:val="00C71D89"/>
    <w:rsid w:val="00C74F97"/>
    <w:rsid w:val="00C756CC"/>
    <w:rsid w:val="00C7613C"/>
    <w:rsid w:val="00C8276E"/>
    <w:rsid w:val="00C842AC"/>
    <w:rsid w:val="00C90D29"/>
    <w:rsid w:val="00C95F71"/>
    <w:rsid w:val="00C96688"/>
    <w:rsid w:val="00CA0723"/>
    <w:rsid w:val="00CA472E"/>
    <w:rsid w:val="00CA533E"/>
    <w:rsid w:val="00CB1690"/>
    <w:rsid w:val="00CB28E8"/>
    <w:rsid w:val="00CB7BD9"/>
    <w:rsid w:val="00CC0483"/>
    <w:rsid w:val="00CC2934"/>
    <w:rsid w:val="00CC4365"/>
    <w:rsid w:val="00CD11B0"/>
    <w:rsid w:val="00CE52CD"/>
    <w:rsid w:val="00CE71C2"/>
    <w:rsid w:val="00CE7D0F"/>
    <w:rsid w:val="00CF34E9"/>
    <w:rsid w:val="00CF42D5"/>
    <w:rsid w:val="00CF4BDE"/>
    <w:rsid w:val="00CF4EDA"/>
    <w:rsid w:val="00D021CB"/>
    <w:rsid w:val="00D02D91"/>
    <w:rsid w:val="00D03B82"/>
    <w:rsid w:val="00D10F1A"/>
    <w:rsid w:val="00D116F8"/>
    <w:rsid w:val="00D17596"/>
    <w:rsid w:val="00D21D54"/>
    <w:rsid w:val="00D22640"/>
    <w:rsid w:val="00D26D3A"/>
    <w:rsid w:val="00D26FBD"/>
    <w:rsid w:val="00D3300D"/>
    <w:rsid w:val="00D40B19"/>
    <w:rsid w:val="00D41148"/>
    <w:rsid w:val="00D438DC"/>
    <w:rsid w:val="00D45EE3"/>
    <w:rsid w:val="00D504B4"/>
    <w:rsid w:val="00D50618"/>
    <w:rsid w:val="00D509E9"/>
    <w:rsid w:val="00D53B1C"/>
    <w:rsid w:val="00D74350"/>
    <w:rsid w:val="00D75ACB"/>
    <w:rsid w:val="00D7625A"/>
    <w:rsid w:val="00D7714E"/>
    <w:rsid w:val="00D779B9"/>
    <w:rsid w:val="00D81819"/>
    <w:rsid w:val="00D8201E"/>
    <w:rsid w:val="00D93992"/>
    <w:rsid w:val="00D95975"/>
    <w:rsid w:val="00D95BD1"/>
    <w:rsid w:val="00D9615D"/>
    <w:rsid w:val="00DA1B12"/>
    <w:rsid w:val="00DA2585"/>
    <w:rsid w:val="00DA54C9"/>
    <w:rsid w:val="00DA6739"/>
    <w:rsid w:val="00DA6CAE"/>
    <w:rsid w:val="00DB1A9E"/>
    <w:rsid w:val="00DB31D6"/>
    <w:rsid w:val="00DB4005"/>
    <w:rsid w:val="00DC34EB"/>
    <w:rsid w:val="00DD16C9"/>
    <w:rsid w:val="00DD1C1F"/>
    <w:rsid w:val="00DD3667"/>
    <w:rsid w:val="00DD4C28"/>
    <w:rsid w:val="00DF1E5B"/>
    <w:rsid w:val="00DF2275"/>
    <w:rsid w:val="00DF3AD0"/>
    <w:rsid w:val="00DF3F5E"/>
    <w:rsid w:val="00DF5653"/>
    <w:rsid w:val="00E01593"/>
    <w:rsid w:val="00E02479"/>
    <w:rsid w:val="00E04080"/>
    <w:rsid w:val="00E0596E"/>
    <w:rsid w:val="00E06F66"/>
    <w:rsid w:val="00E127C5"/>
    <w:rsid w:val="00E33A62"/>
    <w:rsid w:val="00E356E5"/>
    <w:rsid w:val="00E35C00"/>
    <w:rsid w:val="00E36F81"/>
    <w:rsid w:val="00E44C11"/>
    <w:rsid w:val="00E45765"/>
    <w:rsid w:val="00E46952"/>
    <w:rsid w:val="00E50010"/>
    <w:rsid w:val="00E5098C"/>
    <w:rsid w:val="00E50FDF"/>
    <w:rsid w:val="00E56BC1"/>
    <w:rsid w:val="00E60213"/>
    <w:rsid w:val="00E60A07"/>
    <w:rsid w:val="00E61129"/>
    <w:rsid w:val="00E63FF2"/>
    <w:rsid w:val="00E65953"/>
    <w:rsid w:val="00E661B2"/>
    <w:rsid w:val="00E74AA4"/>
    <w:rsid w:val="00E74D29"/>
    <w:rsid w:val="00E82DF5"/>
    <w:rsid w:val="00E83C74"/>
    <w:rsid w:val="00E83CEE"/>
    <w:rsid w:val="00E85574"/>
    <w:rsid w:val="00E857BB"/>
    <w:rsid w:val="00E90DE2"/>
    <w:rsid w:val="00E91F18"/>
    <w:rsid w:val="00E9226D"/>
    <w:rsid w:val="00E97630"/>
    <w:rsid w:val="00EA1DC2"/>
    <w:rsid w:val="00EA416C"/>
    <w:rsid w:val="00EA514C"/>
    <w:rsid w:val="00EA51CB"/>
    <w:rsid w:val="00EA5941"/>
    <w:rsid w:val="00EA7083"/>
    <w:rsid w:val="00EB478D"/>
    <w:rsid w:val="00EB60CE"/>
    <w:rsid w:val="00EB7D53"/>
    <w:rsid w:val="00EC3D34"/>
    <w:rsid w:val="00ED1840"/>
    <w:rsid w:val="00ED3F91"/>
    <w:rsid w:val="00ED4912"/>
    <w:rsid w:val="00ED59C4"/>
    <w:rsid w:val="00EE3146"/>
    <w:rsid w:val="00EE457C"/>
    <w:rsid w:val="00EE7FB4"/>
    <w:rsid w:val="00EF1208"/>
    <w:rsid w:val="00EF50BB"/>
    <w:rsid w:val="00EF53FF"/>
    <w:rsid w:val="00F00192"/>
    <w:rsid w:val="00F01DF6"/>
    <w:rsid w:val="00F0340D"/>
    <w:rsid w:val="00F059A6"/>
    <w:rsid w:val="00F07302"/>
    <w:rsid w:val="00F14B21"/>
    <w:rsid w:val="00F23756"/>
    <w:rsid w:val="00F2523A"/>
    <w:rsid w:val="00F25FFA"/>
    <w:rsid w:val="00F310D2"/>
    <w:rsid w:val="00F32CBB"/>
    <w:rsid w:val="00F350C2"/>
    <w:rsid w:val="00F36F3D"/>
    <w:rsid w:val="00F477BD"/>
    <w:rsid w:val="00F53491"/>
    <w:rsid w:val="00F53989"/>
    <w:rsid w:val="00F65A1C"/>
    <w:rsid w:val="00F66F50"/>
    <w:rsid w:val="00F72654"/>
    <w:rsid w:val="00F76053"/>
    <w:rsid w:val="00F822B8"/>
    <w:rsid w:val="00F82FF8"/>
    <w:rsid w:val="00F8330D"/>
    <w:rsid w:val="00F84305"/>
    <w:rsid w:val="00F8485C"/>
    <w:rsid w:val="00F85F5A"/>
    <w:rsid w:val="00F87149"/>
    <w:rsid w:val="00F87FFE"/>
    <w:rsid w:val="00F954C9"/>
    <w:rsid w:val="00FA4CF0"/>
    <w:rsid w:val="00FA61AA"/>
    <w:rsid w:val="00FA69A4"/>
    <w:rsid w:val="00FB1180"/>
    <w:rsid w:val="00FB1279"/>
    <w:rsid w:val="00FB1495"/>
    <w:rsid w:val="00FB7008"/>
    <w:rsid w:val="00FC1AAA"/>
    <w:rsid w:val="00FC1B0B"/>
    <w:rsid w:val="00FC6C0B"/>
    <w:rsid w:val="00FD1694"/>
    <w:rsid w:val="00FD67B4"/>
    <w:rsid w:val="00FD7636"/>
    <w:rsid w:val="00FE3229"/>
    <w:rsid w:val="00FE74C3"/>
    <w:rsid w:val="00FF215C"/>
    <w:rsid w:val="00FF49E8"/>
    <w:rsid w:val="00FF672F"/>
    <w:rsid w:val="00FF774A"/>
    <w:rsid w:val="00FF7F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3510B"/>
  <w15:chartTrackingRefBased/>
  <w15:docId w15:val="{1236F2AC-52EE-4C6D-A725-C76F1DD09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F51"/>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paragraph" w:styleId="Heading6">
    <w:name w:val="heading 6"/>
    <w:basedOn w:val="Normal"/>
    <w:next w:val="Normal"/>
    <w:link w:val="Heading6Char"/>
    <w:qFormat/>
    <w:rsid w:val="00FC1B0B"/>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FC1B0B"/>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Default">
    <w:name w:val="Default"/>
    <w:rsid w:val="00507F51"/>
    <w:pPr>
      <w:autoSpaceDE w:val="0"/>
      <w:autoSpaceDN w:val="0"/>
      <w:adjustRightInd w:val="0"/>
    </w:pPr>
    <w:rPr>
      <w:rFonts w:ascii="Times New Roman" w:hAnsi="Times New Roman"/>
      <w:color w:val="000000"/>
      <w:sz w:val="24"/>
      <w:szCs w:val="24"/>
      <w:lang w:eastAsia="en-US"/>
    </w:rPr>
  </w:style>
  <w:style w:type="table" w:customStyle="1" w:styleId="TableGrid1">
    <w:name w:val="Table Grid1"/>
    <w:basedOn w:val="TableNormal"/>
    <w:next w:val="TableGrid"/>
    <w:uiPriority w:val="59"/>
    <w:rsid w:val="00507F51"/>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Heading6Char">
    <w:name w:val="Heading 6 Char"/>
    <w:basedOn w:val="DefaultParagraphFont"/>
    <w:link w:val="Heading6"/>
    <w:rsid w:val="00FC1B0B"/>
    <w:rPr>
      <w:rFonts w:ascii="Times New Roman" w:eastAsia="Times New Roman" w:hAnsi="Times New Roman"/>
      <w:b/>
      <w:bCs/>
      <w:sz w:val="22"/>
      <w:szCs w:val="22"/>
    </w:rPr>
  </w:style>
  <w:style w:type="character" w:customStyle="1" w:styleId="Heading7Char">
    <w:name w:val="Heading 7 Char"/>
    <w:basedOn w:val="DefaultParagraphFont"/>
    <w:link w:val="Heading7"/>
    <w:rsid w:val="00FC1B0B"/>
    <w:rPr>
      <w:rFonts w:ascii="Times New Roman" w:eastAsia="Times New Roman" w:hAnsi="Times New Roman"/>
      <w:b/>
      <w:bCs/>
      <w:szCs w:val="24"/>
      <w:lang w:val="en-GB" w:eastAsia="en-US"/>
    </w:rPr>
  </w:style>
  <w:style w:type="paragraph" w:styleId="NormalWeb">
    <w:name w:val="Normal (Web)"/>
    <w:basedOn w:val="Normal"/>
    <w:uiPriority w:val="99"/>
    <w:rsid w:val="00BC72A5"/>
    <w:pPr>
      <w:spacing w:before="100" w:beforeAutospacing="1" w:after="100" w:afterAutospacing="1" w:line="240" w:lineRule="auto"/>
    </w:pPr>
    <w:rPr>
      <w:rFonts w:ascii="Arial Unicode MS" w:eastAsia="Arial Unicode MS" w:hAnsi="Arial Unicode MS" w:cs="Arial Unicode MS"/>
      <w:sz w:val="24"/>
      <w:szCs w:val="24"/>
      <w:lang w:val="en-US"/>
    </w:rPr>
  </w:style>
  <w:style w:type="character" w:styleId="CommentReference">
    <w:name w:val="annotation reference"/>
    <w:basedOn w:val="DefaultParagraphFont"/>
    <w:uiPriority w:val="99"/>
    <w:semiHidden/>
    <w:unhideWhenUsed/>
    <w:rsid w:val="00CF4BDE"/>
    <w:rPr>
      <w:sz w:val="16"/>
      <w:szCs w:val="16"/>
    </w:rPr>
  </w:style>
  <w:style w:type="paragraph" w:styleId="CommentText">
    <w:name w:val="annotation text"/>
    <w:basedOn w:val="Normal"/>
    <w:link w:val="CommentTextChar"/>
    <w:uiPriority w:val="99"/>
    <w:semiHidden/>
    <w:unhideWhenUsed/>
    <w:rsid w:val="00CF4BDE"/>
    <w:pPr>
      <w:spacing w:line="240" w:lineRule="auto"/>
    </w:pPr>
    <w:rPr>
      <w:sz w:val="20"/>
      <w:szCs w:val="20"/>
    </w:rPr>
  </w:style>
  <w:style w:type="character" w:customStyle="1" w:styleId="CommentTextChar">
    <w:name w:val="Comment Text Char"/>
    <w:basedOn w:val="DefaultParagraphFont"/>
    <w:link w:val="CommentText"/>
    <w:uiPriority w:val="99"/>
    <w:semiHidden/>
    <w:rsid w:val="00CF4BDE"/>
    <w:rPr>
      <w:lang w:eastAsia="en-US"/>
    </w:rPr>
  </w:style>
  <w:style w:type="paragraph" w:styleId="CommentSubject">
    <w:name w:val="annotation subject"/>
    <w:basedOn w:val="CommentText"/>
    <w:next w:val="CommentText"/>
    <w:link w:val="CommentSubjectChar"/>
    <w:uiPriority w:val="99"/>
    <w:semiHidden/>
    <w:unhideWhenUsed/>
    <w:rsid w:val="00CF4BDE"/>
    <w:rPr>
      <w:b/>
      <w:bCs/>
    </w:rPr>
  </w:style>
  <w:style w:type="character" w:customStyle="1" w:styleId="CommentSubjectChar">
    <w:name w:val="Comment Subject Char"/>
    <w:basedOn w:val="CommentTextChar"/>
    <w:link w:val="CommentSubject"/>
    <w:uiPriority w:val="99"/>
    <w:semiHidden/>
    <w:rsid w:val="00CF4BDE"/>
    <w:rPr>
      <w:b/>
      <w:bCs/>
      <w:lang w:eastAsia="en-US"/>
    </w:rPr>
  </w:style>
  <w:style w:type="paragraph" w:styleId="TOCHeading">
    <w:name w:val="TOC Heading"/>
    <w:basedOn w:val="Heading1"/>
    <w:next w:val="Normal"/>
    <w:uiPriority w:val="39"/>
    <w:unhideWhenUsed/>
    <w:qFormat/>
    <w:rsid w:val="004F5B71"/>
    <w:pPr>
      <w:keepLines/>
      <w:spacing w:before="240" w:after="0" w:line="259" w:lineRule="auto"/>
      <w:outlineLvl w:val="9"/>
    </w:pPr>
    <w:rPr>
      <w:rFonts w:asciiTheme="majorHAnsi" w:eastAsiaTheme="majorEastAsia" w:hAnsiTheme="majorHAnsi" w:cstheme="majorBidi"/>
      <w:b w:val="0"/>
      <w:caps w:val="0"/>
      <w:color w:val="365F91" w:themeColor="accent1" w:themeShade="BF"/>
      <w:sz w:val="32"/>
      <w:szCs w:val="32"/>
      <w:lang w:val="en-US"/>
    </w:rPr>
  </w:style>
  <w:style w:type="paragraph" w:styleId="TOC1">
    <w:name w:val="toc 1"/>
    <w:basedOn w:val="Normal"/>
    <w:next w:val="Normal"/>
    <w:autoRedefine/>
    <w:uiPriority w:val="39"/>
    <w:unhideWhenUsed/>
    <w:rsid w:val="00567592"/>
    <w:pPr>
      <w:tabs>
        <w:tab w:val="right" w:leader="dot" w:pos="9202"/>
      </w:tabs>
      <w:spacing w:after="100"/>
      <w:ind w:left="284" w:hanging="284"/>
    </w:pPr>
  </w:style>
  <w:style w:type="character" w:styleId="Hyperlink">
    <w:name w:val="Hyperlink"/>
    <w:basedOn w:val="DefaultParagraphFont"/>
    <w:uiPriority w:val="99"/>
    <w:unhideWhenUsed/>
    <w:rsid w:val="004F5B71"/>
    <w:rPr>
      <w:color w:val="0000FF" w:themeColor="hyperlink"/>
      <w:u w:val="single"/>
    </w:rPr>
  </w:style>
  <w:style w:type="paragraph" w:styleId="TOC2">
    <w:name w:val="toc 2"/>
    <w:basedOn w:val="Normal"/>
    <w:next w:val="Normal"/>
    <w:autoRedefine/>
    <w:uiPriority w:val="39"/>
    <w:unhideWhenUsed/>
    <w:rsid w:val="00567592"/>
    <w:pPr>
      <w:spacing w:after="100"/>
      <w:ind w:left="220"/>
    </w:pPr>
  </w:style>
  <w:style w:type="paragraph" w:customStyle="1" w:styleId="indenta">
    <w:name w:val="indent(a)"/>
    <w:aliases w:val="a"/>
    <w:basedOn w:val="Normal"/>
    <w:rsid w:val="00BE056E"/>
    <w:pPr>
      <w:tabs>
        <w:tab w:val="right" w:pos="1531"/>
      </w:tabs>
      <w:spacing w:before="40" w:after="0" w:line="260" w:lineRule="atLeast"/>
      <w:ind w:left="1644" w:hanging="1644"/>
    </w:pPr>
    <w:rPr>
      <w:rFonts w:ascii="Times" w:eastAsia="Times New Roman" w:hAnsi="Time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F6354F0D.dotm</Template>
  <TotalTime>0</TotalTime>
  <Pages>8</Pages>
  <Words>2648</Words>
  <Characters>15096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Australian Insect Farm small-scale wildlife trade operation</dc:title>
  <dc:subject/>
  <dc:creator>Department of the Environment and Energy</dc:creator>
  <cp:keywords/>
  <dc:description/>
  <cp:lastModifiedBy>Durack, Bec</cp:lastModifiedBy>
  <cp:revision>2</cp:revision>
  <dcterms:created xsi:type="dcterms:W3CDTF">2018-07-06T05:32:00Z</dcterms:created>
  <dcterms:modified xsi:type="dcterms:W3CDTF">2018-07-06T05:32:00Z</dcterms:modified>
</cp:coreProperties>
</file>