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FF051A" w:rsidRDefault="00B0197B" w:rsidP="00B0197B">
      <w:pPr>
        <w:jc w:val="right"/>
      </w:pPr>
      <w:r w:rsidRPr="00FF051A">
        <w:t xml:space="preserve">Ref: </w:t>
      </w:r>
      <w:r w:rsidR="00F50D3B" w:rsidRPr="00FF051A">
        <w:rPr>
          <w:rFonts w:cs="Arial"/>
        </w:rPr>
        <w:t>2010/</w:t>
      </w:r>
      <w:r w:rsidR="007D39A2">
        <w:rPr>
          <w:rFonts w:cs="Arial"/>
        </w:rPr>
        <w:t>17713</w:t>
      </w:r>
    </w:p>
    <w:p w:rsidR="004A6F22" w:rsidRPr="00FF051A" w:rsidRDefault="0090604C" w:rsidP="00C41A1E">
      <w:r w:rsidRPr="00987A6E">
        <w:rPr>
          <w:rFonts w:cs="Arial"/>
          <w:szCs w:val="24"/>
        </w:rPr>
        <w:t>The Hon Michael Egan FAICD</w:t>
      </w:r>
      <w:r w:rsidR="00F64682" w:rsidRPr="00FF051A">
        <w:br/>
      </w:r>
      <w:r w:rsidRPr="00987A6E">
        <w:rPr>
          <w:rFonts w:cs="Arial"/>
          <w:szCs w:val="24"/>
        </w:rPr>
        <w:t>Chairman</w:t>
      </w:r>
      <w:r w:rsidR="00F64682" w:rsidRPr="00FF051A">
        <w:br/>
      </w:r>
      <w:r w:rsidRPr="00987A6E">
        <w:rPr>
          <w:rFonts w:cs="Arial"/>
          <w:szCs w:val="24"/>
        </w:rPr>
        <w:t>Australian Fisheries Management Authority</w:t>
      </w:r>
      <w:r>
        <w:rPr>
          <w:rFonts w:cs="Arial"/>
          <w:szCs w:val="24"/>
        </w:rPr>
        <w:t xml:space="preserve"> Commission</w:t>
      </w:r>
      <w:r>
        <w:rPr>
          <w:rFonts w:cs="Arial"/>
          <w:szCs w:val="24"/>
        </w:rPr>
        <w:br/>
      </w:r>
      <w:r w:rsidRPr="00987A6E">
        <w:rPr>
          <w:rFonts w:cs="Arial"/>
          <w:szCs w:val="24"/>
        </w:rPr>
        <w:t>PO Box 7051</w:t>
      </w:r>
      <w:r>
        <w:br/>
        <w:t xml:space="preserve">Canberra </w:t>
      </w:r>
      <w:proofErr w:type="gramStart"/>
      <w:r>
        <w:t>B</w:t>
      </w:r>
      <w:r w:rsidR="00C41A1E" w:rsidRPr="00FF051A">
        <w:t>C</w:t>
      </w:r>
      <w:r>
        <w:t xml:space="preserve">  ACT</w:t>
      </w:r>
      <w:proofErr w:type="gramEnd"/>
      <w:r>
        <w:t xml:space="preserve">  2610</w:t>
      </w:r>
    </w:p>
    <w:p w:rsidR="00C41A1E" w:rsidRPr="00FF051A" w:rsidRDefault="00C41A1E" w:rsidP="00C41A1E"/>
    <w:p w:rsidR="001F4075" w:rsidRPr="00FF051A" w:rsidRDefault="001F4075" w:rsidP="001F4075">
      <w:r w:rsidRPr="00FF051A">
        <w:t xml:space="preserve">Dear </w:t>
      </w:r>
      <w:r w:rsidR="005F625A">
        <w:t>Mr Egan</w:t>
      </w:r>
    </w:p>
    <w:p w:rsidR="00392049" w:rsidRDefault="00392049" w:rsidP="00392049">
      <w:pPr>
        <w:widowControl w:val="0"/>
        <w:rPr>
          <w:rFonts w:cs="Arial"/>
        </w:rPr>
      </w:pPr>
      <w:r w:rsidRPr="00FF051A">
        <w:rPr>
          <w:rFonts w:cs="Arial"/>
          <w:lang w:val="en-US"/>
        </w:rPr>
        <w:t>I am writing to you as the Delegate of the Minister for Sustainability, Environment, Water, Population and Communities in relation to</w:t>
      </w:r>
      <w:r w:rsidR="003C0B60" w:rsidRPr="00FF051A">
        <w:rPr>
          <w:rFonts w:cs="Arial"/>
          <w:lang w:val="en-US"/>
        </w:rPr>
        <w:t xml:space="preserve"> the</w:t>
      </w:r>
      <w:r w:rsidRPr="00FF051A">
        <w:rPr>
          <w:rFonts w:cs="Arial"/>
          <w:lang w:val="en-US"/>
        </w:rPr>
        <w:t xml:space="preserve"> </w:t>
      </w:r>
      <w:r w:rsidR="003C0B60" w:rsidRPr="00FF051A">
        <w:rPr>
          <w:rFonts w:cs="Arial"/>
          <w:lang w:val="en-US"/>
        </w:rPr>
        <w:t xml:space="preserve">assessment of </w:t>
      </w:r>
      <w:r w:rsidR="00727BA4">
        <w:rPr>
          <w:rFonts w:cs="Arial"/>
          <w:lang w:val="en-US"/>
        </w:rPr>
        <w:t xml:space="preserve">Australia’s High Seas Permits </w:t>
      </w:r>
      <w:r w:rsidRPr="00FF051A">
        <w:rPr>
          <w:rFonts w:cs="Arial"/>
        </w:rPr>
        <w:t>under the </w:t>
      </w:r>
      <w:r w:rsidRPr="00FF051A">
        <w:rPr>
          <w:rFonts w:cs="Arial"/>
          <w:i/>
        </w:rPr>
        <w:t>Environment Protection an</w:t>
      </w:r>
      <w:r w:rsidR="003C0B60" w:rsidRPr="00FF051A">
        <w:rPr>
          <w:rFonts w:cs="Arial"/>
          <w:i/>
        </w:rPr>
        <w:t>d Biodiversity Conservation Act </w:t>
      </w:r>
      <w:r w:rsidRPr="00FF051A">
        <w:rPr>
          <w:rFonts w:cs="Arial"/>
          <w:i/>
        </w:rPr>
        <w:t xml:space="preserve">1999 </w:t>
      </w:r>
      <w:r w:rsidRPr="00FF051A">
        <w:rPr>
          <w:rFonts w:cs="Arial"/>
        </w:rPr>
        <w:t>(EPBC Act).</w:t>
      </w:r>
    </w:p>
    <w:p w:rsidR="00727BA4" w:rsidRPr="00FE7856" w:rsidRDefault="00727BA4" w:rsidP="00392049">
      <w:pPr>
        <w:widowControl w:val="0"/>
        <w:rPr>
          <w:rFonts w:cs="Arial"/>
        </w:rPr>
      </w:pPr>
      <w:r>
        <w:rPr>
          <w:rFonts w:cs="Arial"/>
        </w:rPr>
        <w:t>In February 2013, the Australian Fisheries Management Authority provided an application to the Depart</w:t>
      </w:r>
      <w:r w:rsidR="00A46460">
        <w:rPr>
          <w:rFonts w:cs="Arial"/>
        </w:rPr>
        <w:t>ment of Sustainability, Environment, Water, Population and Communities seeking</w:t>
      </w:r>
      <w:r w:rsidR="006F313B">
        <w:rPr>
          <w:rFonts w:cs="Arial"/>
        </w:rPr>
        <w:t xml:space="preserve"> continued export approval for </w:t>
      </w:r>
      <w:r w:rsidR="005F625A">
        <w:rPr>
          <w:rFonts w:cs="Arial"/>
        </w:rPr>
        <w:t>Australia’s</w:t>
      </w:r>
      <w:r w:rsidR="006F313B">
        <w:rPr>
          <w:rFonts w:cs="Arial"/>
        </w:rPr>
        <w:t xml:space="preserve"> High Seas Permits.</w:t>
      </w:r>
    </w:p>
    <w:p w:rsidR="00392049" w:rsidRPr="00FE7856" w:rsidRDefault="00392049" w:rsidP="00392049">
      <w:pPr>
        <w:rPr>
          <w:rFonts w:cs="Arial"/>
        </w:rPr>
      </w:pPr>
      <w:r w:rsidRPr="00FE7856">
        <w:rPr>
          <w:rFonts w:cs="Arial"/>
        </w:rPr>
        <w:t xml:space="preserve">The application has been assessed for the purposes of </w:t>
      </w:r>
      <w:r w:rsidR="00F9527D" w:rsidRPr="00FE7856">
        <w:rPr>
          <w:rFonts w:cs="Arial"/>
        </w:rPr>
        <w:t xml:space="preserve">the </w:t>
      </w:r>
      <w:r w:rsidRPr="00FE7856">
        <w:rPr>
          <w:rFonts w:cs="Arial"/>
        </w:rPr>
        <w:t xml:space="preserve">wildlife trade provisions of Part 13A of the EPBC Act. The assessment took into account measures that have been developed by </w:t>
      </w:r>
      <w:r w:rsidR="00C41A1E" w:rsidRPr="00FE7856">
        <w:rPr>
          <w:rFonts w:cs="Arial"/>
        </w:rPr>
        <w:t>the</w:t>
      </w:r>
      <w:r w:rsidR="00C41A1E" w:rsidRPr="00FE7856">
        <w:rPr>
          <w:rFonts w:cs="Arial"/>
          <w:bCs/>
        </w:rPr>
        <w:t xml:space="preserve"> </w:t>
      </w:r>
      <w:r w:rsidR="00F64682" w:rsidRPr="00FE7856">
        <w:rPr>
          <w:rFonts w:cs="Arial"/>
          <w:bCs/>
        </w:rPr>
        <w:t>Australian</w:t>
      </w:r>
      <w:r w:rsidR="00C41A1E" w:rsidRPr="00FE7856">
        <w:rPr>
          <w:rFonts w:cs="Arial"/>
          <w:bCs/>
        </w:rPr>
        <w:t xml:space="preserve"> Fisheries Management Authority</w:t>
      </w:r>
      <w:r w:rsidR="00F64682" w:rsidRPr="00FE7856">
        <w:rPr>
          <w:rFonts w:cs="Arial"/>
          <w:bCs/>
        </w:rPr>
        <w:t xml:space="preserve"> </w:t>
      </w:r>
      <w:r w:rsidRPr="00FE7856">
        <w:rPr>
          <w:rFonts w:cs="Arial"/>
        </w:rPr>
        <w:t xml:space="preserve">in response to </w:t>
      </w:r>
      <w:r w:rsidR="001369E3" w:rsidRPr="00FE7856">
        <w:rPr>
          <w:rFonts w:cs="Arial"/>
        </w:rPr>
        <w:t xml:space="preserve">the </w:t>
      </w:r>
      <w:r w:rsidRPr="00FE7856">
        <w:rPr>
          <w:rFonts w:cs="Arial"/>
        </w:rPr>
        <w:t>recommendations made</w:t>
      </w:r>
      <w:r w:rsidR="00790176">
        <w:rPr>
          <w:rFonts w:cs="Arial"/>
        </w:rPr>
        <w:t xml:space="preserve"> </w:t>
      </w:r>
      <w:r w:rsidR="00F35E84">
        <w:rPr>
          <w:rFonts w:cs="Arial"/>
        </w:rPr>
        <w:t xml:space="preserve">when </w:t>
      </w:r>
      <w:r w:rsidR="00790176" w:rsidRPr="00C70B94">
        <w:t>product taken on the high seas by Australian flagged vessels was included in the list of exempt native specimens in 2010</w:t>
      </w:r>
      <w:r w:rsidRPr="00FE7856">
        <w:rPr>
          <w:rFonts w:cs="Arial"/>
        </w:rPr>
        <w:t>.</w:t>
      </w:r>
    </w:p>
    <w:p w:rsidR="00392049" w:rsidRPr="00790176" w:rsidRDefault="00392049" w:rsidP="00392049">
      <w:pPr>
        <w:rPr>
          <w:rFonts w:cs="Arial"/>
        </w:rPr>
      </w:pPr>
      <w:r w:rsidRPr="00790176">
        <w:rPr>
          <w:rFonts w:cs="Arial"/>
        </w:rPr>
        <w:t xml:space="preserve">I am pleased to advise that </w:t>
      </w:r>
      <w:r w:rsidR="001369E3" w:rsidRPr="00790176">
        <w:rPr>
          <w:rFonts w:cs="Arial"/>
        </w:rPr>
        <w:t xml:space="preserve">the </w:t>
      </w:r>
      <w:r w:rsidRPr="00790176">
        <w:rPr>
          <w:rFonts w:cs="Arial"/>
        </w:rPr>
        <w:t>assessment is now complete. The new assessment report will be available on the Department of Sustainability, Environment, Water, Populati</w:t>
      </w:r>
      <w:r w:rsidR="00E54EAB">
        <w:rPr>
          <w:rFonts w:cs="Arial"/>
        </w:rPr>
        <w:t>on and Communities’ website at</w:t>
      </w:r>
      <w:proofErr w:type="gramStart"/>
      <w:r w:rsidR="00E54EAB">
        <w:rPr>
          <w:rFonts w:cs="Arial"/>
        </w:rPr>
        <w:t>:</w:t>
      </w:r>
      <w:proofErr w:type="gramEnd"/>
      <w:r w:rsidR="00C41A1E" w:rsidRPr="00790176">
        <w:rPr>
          <w:rFonts w:cs="Arial"/>
        </w:rPr>
        <w:br/>
      </w:r>
      <w:r w:rsidR="00790176" w:rsidRPr="00790176">
        <w:rPr>
          <w:rFonts w:cs="Arial"/>
        </w:rPr>
        <w:t>http://www.environment.gov.au/coasts/fisheries/commonwealth/high-seas/index.html.</w:t>
      </w:r>
    </w:p>
    <w:p w:rsidR="00914F2B" w:rsidRPr="00572B32" w:rsidRDefault="00914F2B" w:rsidP="00914F2B">
      <w:pPr>
        <w:widowControl w:val="0"/>
        <w:rPr>
          <w:rFonts w:cs="Arial"/>
        </w:rPr>
      </w:pPr>
      <w:r w:rsidRPr="00790176">
        <w:rPr>
          <w:rFonts w:cs="Arial"/>
          <w:lang w:val="en-US"/>
        </w:rPr>
        <w:t xml:space="preserve">I consider that </w:t>
      </w:r>
      <w:r w:rsidR="00790176" w:rsidRPr="00790176">
        <w:rPr>
          <w:rFonts w:cs="Arial"/>
          <w:lang w:val="en-US"/>
        </w:rPr>
        <w:t>Australia’s High Seas Permits operate</w:t>
      </w:r>
      <w:r w:rsidRPr="00790176">
        <w:rPr>
          <w:rFonts w:cs="Arial"/>
          <w:lang w:val="en-US"/>
        </w:rPr>
        <w:t xml:space="preserve"> in line with the Australian Government ‘</w:t>
      </w:r>
      <w:r w:rsidRPr="00790176">
        <w:rPr>
          <w:rFonts w:cs="Arial"/>
          <w:iCs/>
          <w:lang w:val="en-US"/>
        </w:rPr>
        <w:t>Guidelines for the Ecologically Sustainable Management of Fisheries – 2</w:t>
      </w:r>
      <w:r w:rsidRPr="00790176">
        <w:rPr>
          <w:rFonts w:cs="Arial"/>
          <w:iCs/>
          <w:vertAlign w:val="superscript"/>
          <w:lang w:val="en-US"/>
        </w:rPr>
        <w:t>nd</w:t>
      </w:r>
      <w:r w:rsidRPr="00790176">
        <w:rPr>
          <w:rFonts w:cs="Arial"/>
          <w:iCs/>
          <w:lang w:val="en-US"/>
        </w:rPr>
        <w:t> Edition</w:t>
      </w:r>
      <w:r w:rsidRPr="00790176">
        <w:rPr>
          <w:rFonts w:cs="Arial"/>
          <w:lang w:val="en-US"/>
        </w:rPr>
        <w:t>.</w:t>
      </w:r>
      <w:r w:rsidRPr="00E44802">
        <w:rPr>
          <w:rFonts w:cs="Arial"/>
          <w:lang w:val="en-US"/>
        </w:rPr>
        <w:t xml:space="preserve">’ </w:t>
      </w:r>
      <w:r w:rsidRPr="00E44802">
        <w:rPr>
          <w:rFonts w:cs="Arial"/>
        </w:rPr>
        <w:t xml:space="preserve">Given the management arrangements and precautionary measures for the </w:t>
      </w:r>
      <w:r w:rsidR="00E44802" w:rsidRPr="00E44802">
        <w:rPr>
          <w:rFonts w:cs="Arial"/>
        </w:rPr>
        <w:t>Permits</w:t>
      </w:r>
      <w:r w:rsidR="00E44802">
        <w:rPr>
          <w:rFonts w:cs="Arial"/>
        </w:rPr>
        <w:t xml:space="preserve"> including </w:t>
      </w:r>
      <w:r w:rsidR="00572B32">
        <w:rPr>
          <w:rFonts w:cs="Arial"/>
        </w:rPr>
        <w:t xml:space="preserve">area restrictions, gear restrictions and trigger limits for catch and interactions with </w:t>
      </w:r>
      <w:r w:rsidR="00E44802">
        <w:rPr>
          <w:rFonts w:cs="Arial"/>
        </w:rPr>
        <w:t>vulnerable marine ecosystem</w:t>
      </w:r>
      <w:r w:rsidR="00572B32">
        <w:rPr>
          <w:rFonts w:cs="Arial"/>
        </w:rPr>
        <w:t>s</w:t>
      </w:r>
      <w:r w:rsidR="00E44802">
        <w:rPr>
          <w:rFonts w:cs="Arial"/>
        </w:rPr>
        <w:t xml:space="preserve"> </w:t>
      </w:r>
      <w:r w:rsidR="00572B32">
        <w:rPr>
          <w:rFonts w:cs="Arial"/>
        </w:rPr>
        <w:t xml:space="preserve">which </w:t>
      </w:r>
      <w:r w:rsidR="00E44802">
        <w:rPr>
          <w:rFonts w:cs="Arial"/>
        </w:rPr>
        <w:t>trigger</w:t>
      </w:r>
      <w:r w:rsidR="00572B32">
        <w:rPr>
          <w:rFonts w:cs="Arial"/>
        </w:rPr>
        <w:t xml:space="preserve"> </w:t>
      </w:r>
      <w:r w:rsidR="00572B32" w:rsidRPr="00572B32">
        <w:rPr>
          <w:rFonts w:cs="Arial"/>
        </w:rPr>
        <w:t>management responses</w:t>
      </w:r>
      <w:r w:rsidR="005F488B" w:rsidRPr="00572B32">
        <w:rPr>
          <w:rFonts w:cs="Arial"/>
        </w:rPr>
        <w:t>, I </w:t>
      </w:r>
      <w:r w:rsidRPr="00572B32">
        <w:rPr>
          <w:rFonts w:cs="Arial"/>
        </w:rPr>
        <w:t xml:space="preserve">have decided to amend the list of exempt native specimens to allow export of product </w:t>
      </w:r>
      <w:r w:rsidR="00F35E84">
        <w:rPr>
          <w:rFonts w:cs="Arial"/>
        </w:rPr>
        <w:t xml:space="preserve">derived through the operation of </w:t>
      </w:r>
      <w:r w:rsidR="00572B32" w:rsidRPr="00572B32">
        <w:rPr>
          <w:rFonts w:cs="Arial"/>
        </w:rPr>
        <w:t xml:space="preserve">Australia’s High Seas Permits </w:t>
      </w:r>
      <w:r w:rsidR="00E54EAB">
        <w:rPr>
          <w:rFonts w:cs="Arial"/>
        </w:rPr>
        <w:t>for a </w:t>
      </w:r>
      <w:r w:rsidRPr="00E54EAB">
        <w:rPr>
          <w:rFonts w:cs="Arial"/>
        </w:rPr>
        <w:t xml:space="preserve">period of five years, until </w:t>
      </w:r>
      <w:r w:rsidR="00572B32" w:rsidRPr="00E54EAB">
        <w:rPr>
          <w:rFonts w:cs="Arial"/>
        </w:rPr>
        <w:t>18</w:t>
      </w:r>
      <w:r w:rsidR="005000F1" w:rsidRPr="00E54EAB">
        <w:rPr>
          <w:rFonts w:cs="Arial"/>
        </w:rPr>
        <w:t> </w:t>
      </w:r>
      <w:r w:rsidR="00572B32" w:rsidRPr="00E54EAB">
        <w:rPr>
          <w:rFonts w:cs="Arial"/>
        </w:rPr>
        <w:t>May </w:t>
      </w:r>
      <w:r w:rsidR="005000F1" w:rsidRPr="00E54EAB">
        <w:rPr>
          <w:rFonts w:cs="Arial"/>
        </w:rPr>
        <w:t>2018</w:t>
      </w:r>
      <w:r w:rsidRPr="00E54EAB">
        <w:rPr>
          <w:rFonts w:cs="Arial"/>
        </w:rPr>
        <w:t>.</w:t>
      </w:r>
    </w:p>
    <w:p w:rsidR="00914F2B" w:rsidRPr="005F488B" w:rsidRDefault="00914F2B" w:rsidP="00914F2B">
      <w:pPr>
        <w:rPr>
          <w:rFonts w:cs="Arial"/>
        </w:rPr>
      </w:pPr>
      <w:r w:rsidRPr="005F488B">
        <w:rPr>
          <w:rFonts w:cs="Arial"/>
        </w:rPr>
        <w:t>While there are some environmental risks associated with</w:t>
      </w:r>
      <w:r w:rsidR="005F625A">
        <w:rPr>
          <w:rFonts w:cs="Arial"/>
        </w:rPr>
        <w:t xml:space="preserve"> Australia’s High Seas Permits</w:t>
      </w:r>
      <w:r w:rsidRPr="005F488B">
        <w:rPr>
          <w:rFonts w:cs="Arial"/>
        </w:rPr>
        <w:t xml:space="preserve">, I believe that the </w:t>
      </w:r>
      <w:r w:rsidRPr="005F488B">
        <w:rPr>
          <w:rFonts w:cs="Arial"/>
          <w:bCs/>
        </w:rPr>
        <w:t xml:space="preserve">Australian Fisheries Management Authority </w:t>
      </w:r>
      <w:r w:rsidRPr="005F488B">
        <w:rPr>
          <w:rFonts w:cs="Arial"/>
        </w:rPr>
        <w:t xml:space="preserve">has in place measures to address these issues. Officers from the </w:t>
      </w:r>
      <w:r w:rsidRPr="005F488B">
        <w:rPr>
          <w:rFonts w:cs="Arial"/>
          <w:bCs/>
        </w:rPr>
        <w:t>Australian Fisheries Management Authority</w:t>
      </w:r>
      <w:r w:rsidR="00DB7123">
        <w:rPr>
          <w:rFonts w:cs="Arial"/>
          <w:bCs/>
        </w:rPr>
        <w:t>, the Department of Agriculture, Fisheries and Forestry</w:t>
      </w:r>
      <w:r w:rsidRPr="005F488B">
        <w:rPr>
          <w:rFonts w:cs="Arial"/>
        </w:rPr>
        <w:t xml:space="preserve"> and this department </w:t>
      </w:r>
      <w:r w:rsidRPr="00346122">
        <w:rPr>
          <w:rFonts w:cs="Arial"/>
        </w:rPr>
        <w:t xml:space="preserve">have discussed and agreed to </w:t>
      </w:r>
      <w:r w:rsidR="005F488B" w:rsidRPr="00346122">
        <w:rPr>
          <w:rFonts w:cs="Arial"/>
        </w:rPr>
        <w:t>six</w:t>
      </w:r>
      <w:r w:rsidR="00DB7123" w:rsidRPr="00346122">
        <w:rPr>
          <w:rFonts w:cs="Arial"/>
        </w:rPr>
        <w:t> </w:t>
      </w:r>
      <w:r w:rsidRPr="00346122">
        <w:rPr>
          <w:rFonts w:cs="Arial"/>
        </w:rPr>
        <w:t xml:space="preserve">recommendations focussing on ensuring the continuation of good management practices. These recommendations can be found at </w:t>
      </w:r>
      <w:r w:rsidR="00E36806" w:rsidRPr="00346122">
        <w:rPr>
          <w:rFonts w:cs="Arial"/>
          <w:b/>
          <w:u w:val="single"/>
        </w:rPr>
        <w:t>Attachment </w:t>
      </w:r>
      <w:r w:rsidRPr="00346122">
        <w:rPr>
          <w:rFonts w:cs="Arial"/>
          <w:b/>
          <w:u w:val="single"/>
        </w:rPr>
        <w:t>1</w:t>
      </w:r>
      <w:r w:rsidRPr="00346122">
        <w:rPr>
          <w:rFonts w:cs="Arial"/>
        </w:rPr>
        <w:t>.</w:t>
      </w:r>
    </w:p>
    <w:p w:rsidR="00AC28ED" w:rsidRDefault="00AC28ED">
      <w:pPr>
        <w:spacing w:after="0" w:line="240" w:lineRule="auto"/>
        <w:rPr>
          <w:rFonts w:cs="Arial"/>
        </w:rPr>
      </w:pPr>
      <w:r>
        <w:rPr>
          <w:rFonts w:cs="Arial"/>
        </w:rPr>
        <w:br w:type="page"/>
      </w:r>
    </w:p>
    <w:p w:rsidR="00392049" w:rsidRPr="00E02668" w:rsidRDefault="00392049" w:rsidP="00392049">
      <w:pPr>
        <w:rPr>
          <w:rFonts w:cs="Arial"/>
        </w:rPr>
      </w:pPr>
      <w:r w:rsidRPr="00E02668">
        <w:rPr>
          <w:rFonts w:cs="Arial"/>
        </w:rPr>
        <w:lastRenderedPageBreak/>
        <w:t>Please note that my decision under the EPBC Act relate</w:t>
      </w:r>
      <w:r w:rsidR="00E02668" w:rsidRPr="00E02668">
        <w:rPr>
          <w:rFonts w:cs="Arial"/>
        </w:rPr>
        <w:t>s</w:t>
      </w:r>
      <w:r w:rsidRPr="00E02668">
        <w:rPr>
          <w:rFonts w:cs="Arial"/>
        </w:rPr>
        <w:t xml:space="preserve"> to</w:t>
      </w:r>
      <w:r w:rsidR="00E54EAB">
        <w:rPr>
          <w:rFonts w:cs="Arial"/>
        </w:rPr>
        <w:t xml:space="preserve"> the management arrangements in </w:t>
      </w:r>
      <w:r w:rsidRPr="00E02668">
        <w:rPr>
          <w:rFonts w:cs="Arial"/>
        </w:rPr>
        <w:t>force at the time of the assessment decision. To ensure that the decision remain</w:t>
      </w:r>
      <w:r w:rsidR="000D4DE8">
        <w:rPr>
          <w:rFonts w:cs="Arial"/>
        </w:rPr>
        <w:t>s</w:t>
      </w:r>
      <w:r w:rsidRPr="00E02668">
        <w:rPr>
          <w:rFonts w:cs="Arial"/>
        </w:rPr>
        <w:t xml:space="preserve"> valid, </w:t>
      </w:r>
      <w:r w:rsidRPr="00E02668">
        <w:rPr>
          <w:rFonts w:cs="Arial"/>
          <w:lang w:val="en-US"/>
        </w:rPr>
        <w:t>the</w:t>
      </w:r>
      <w:r w:rsidR="004208C9" w:rsidRPr="00E02668">
        <w:rPr>
          <w:rFonts w:cs="Arial"/>
          <w:lang w:val="en-US"/>
        </w:rPr>
        <w:t> </w:t>
      </w:r>
      <w:r w:rsidRPr="00E02668">
        <w:rPr>
          <w:rFonts w:cs="Arial"/>
        </w:rPr>
        <w:t>Department of Sustainability, Environment, Water, Population and Communities</w:t>
      </w:r>
      <w:r w:rsidRPr="00E02668" w:rsidDel="00E24098">
        <w:rPr>
          <w:rFonts w:cs="Arial"/>
          <w:lang w:val="en-US"/>
        </w:rPr>
        <w:t xml:space="preserve"> </w:t>
      </w:r>
      <w:r w:rsidR="00E54EAB">
        <w:rPr>
          <w:rFonts w:cs="Arial"/>
        </w:rPr>
        <w:t>needs to be </w:t>
      </w:r>
      <w:r w:rsidRPr="00E02668">
        <w:rPr>
          <w:rFonts w:cs="Arial"/>
        </w:rPr>
        <w:t xml:space="preserve">advised of any intended </w:t>
      </w:r>
      <w:r w:rsidR="00E02668" w:rsidRPr="00E02668">
        <w:rPr>
          <w:rFonts w:cs="Arial"/>
        </w:rPr>
        <w:t xml:space="preserve">material </w:t>
      </w:r>
      <w:r w:rsidRPr="00E02668">
        <w:rPr>
          <w:rFonts w:cs="Arial"/>
        </w:rPr>
        <w:t xml:space="preserve">changes to the management arrangements </w:t>
      </w:r>
      <w:r w:rsidR="005F625A">
        <w:rPr>
          <w:rFonts w:cs="Arial"/>
        </w:rPr>
        <w:t>that apply to the </w:t>
      </w:r>
      <w:r w:rsidR="00E02668" w:rsidRPr="00E02668">
        <w:rPr>
          <w:rFonts w:cs="Arial"/>
        </w:rPr>
        <w:t xml:space="preserve">Permits </w:t>
      </w:r>
      <w:r w:rsidRPr="00E02668">
        <w:rPr>
          <w:rFonts w:cs="Arial"/>
        </w:rPr>
        <w:t>and make an assessment that the new arrangemen</w:t>
      </w:r>
      <w:r w:rsidR="00E54EAB">
        <w:rPr>
          <w:rFonts w:cs="Arial"/>
        </w:rPr>
        <w:t>ts are equivalent or better, in </w:t>
      </w:r>
      <w:r w:rsidRPr="00E02668">
        <w:rPr>
          <w:rFonts w:cs="Arial"/>
        </w:rPr>
        <w:t>terms of ecological sustainability, than those in place at the time of the original decision</w:t>
      </w:r>
      <w:r w:rsidR="005F625A">
        <w:rPr>
          <w:rFonts w:cs="Arial"/>
        </w:rPr>
        <w:t>. This </w:t>
      </w:r>
      <w:r w:rsidRPr="00E02668">
        <w:rPr>
          <w:rFonts w:cs="Arial"/>
        </w:rPr>
        <w:t xml:space="preserve">includes legislated amendments and operational changes that may affect the impact of the </w:t>
      </w:r>
      <w:r w:rsidR="00BA0922" w:rsidRPr="00E02668">
        <w:rPr>
          <w:rFonts w:cs="Arial"/>
        </w:rPr>
        <w:t>harvest</w:t>
      </w:r>
      <w:r w:rsidRPr="00E02668">
        <w:rPr>
          <w:rFonts w:cs="Arial"/>
        </w:rPr>
        <w:t xml:space="preserve"> in relation to target species, byproduct, bycatch, protected species or the ecosystem.</w:t>
      </w:r>
    </w:p>
    <w:p w:rsidR="00984F36" w:rsidRPr="00E02668" w:rsidRDefault="00392049" w:rsidP="00984F36">
      <w:pPr>
        <w:rPr>
          <w:rFonts w:cs="Arial"/>
        </w:rPr>
      </w:pPr>
      <w:r w:rsidRPr="00E02668">
        <w:rPr>
          <w:rFonts w:cs="Arial"/>
        </w:rPr>
        <w:t>I would like to thank you for the constructive way in which your officials have approached this assessment.</w:t>
      </w:r>
      <w:bookmarkStart w:id="0" w:name="bkStart"/>
      <w:bookmarkEnd w:id="0"/>
      <w:r w:rsidR="004208C9" w:rsidRPr="00E02668">
        <w:t xml:space="preserve"> </w:t>
      </w:r>
      <w:r w:rsidR="00984F36" w:rsidRPr="00E02668">
        <w:t>I have written to</w:t>
      </w:r>
      <w:r w:rsidR="005F625A">
        <w:t xml:space="preserve"> Senator the Hon Joe Ludwig, Minister for Agriculture, Fisheries and Forestry</w:t>
      </w:r>
      <w:r w:rsidR="00984F36" w:rsidRPr="00E02668">
        <w:t>, in similar terms.</w:t>
      </w:r>
    </w:p>
    <w:p w:rsidR="00392049" w:rsidRPr="00E02668" w:rsidRDefault="00392049" w:rsidP="00392049">
      <w:pPr>
        <w:rPr>
          <w:rFonts w:cs="Arial"/>
        </w:rPr>
      </w:pPr>
      <w:r w:rsidRPr="00E02668">
        <w:rPr>
          <w:rFonts w:cs="Arial"/>
        </w:rPr>
        <w:t>Yours sincerely</w:t>
      </w:r>
    </w:p>
    <w:p w:rsidR="00FE39A4" w:rsidRPr="00F14AFE" w:rsidRDefault="00FE39A4" w:rsidP="00FE39A4">
      <w:r>
        <w:t>[SIGNED]</w:t>
      </w:r>
    </w:p>
    <w:p w:rsidR="001F4075" w:rsidRPr="00E02668" w:rsidRDefault="001F4075" w:rsidP="001F4075"/>
    <w:p w:rsidR="009C333F" w:rsidRPr="00E02668" w:rsidRDefault="00D10D1E" w:rsidP="00392049">
      <w:pPr>
        <w:tabs>
          <w:tab w:val="left" w:pos="284"/>
        </w:tabs>
      </w:pPr>
      <w:r w:rsidRPr="00E02668">
        <w:t>Geoff Richardson</w:t>
      </w:r>
      <w:r w:rsidR="00392049" w:rsidRPr="00E02668">
        <w:br/>
      </w:r>
      <w:r w:rsidR="00392049" w:rsidRPr="00E02668">
        <w:rPr>
          <w:rFonts w:cs="Arial"/>
        </w:rPr>
        <w:t>Delegate of the Minister for Sustainability, Environment, Water, Population and Communities</w:t>
      </w:r>
      <w:r w:rsidR="00392049" w:rsidRPr="00E02668">
        <w:br/>
      </w:r>
      <w:r w:rsidR="007C33B1">
        <w:t>20 </w:t>
      </w:r>
      <w:r w:rsidR="00E02668">
        <w:t>May </w:t>
      </w:r>
      <w:r w:rsidR="00984F36" w:rsidRPr="00E02668">
        <w:t>2013</w:t>
      </w:r>
    </w:p>
    <w:p w:rsidR="006B1098" w:rsidRPr="00FF051A" w:rsidRDefault="006B1098" w:rsidP="00392049">
      <w:pPr>
        <w:tabs>
          <w:tab w:val="left" w:pos="284"/>
        </w:tabs>
        <w:sectPr w:rsidR="006B1098" w:rsidRPr="00FF051A" w:rsidSect="005A0247">
          <w:headerReference w:type="even" r:id="rId11"/>
          <w:headerReference w:type="default" r:id="rId12"/>
          <w:footerReference w:type="even" r:id="rId13"/>
          <w:footerReference w:type="default" r:id="rId14"/>
          <w:headerReference w:type="first" r:id="rId15"/>
          <w:footerReference w:type="first" r:id="rId16"/>
          <w:pgSz w:w="11906" w:h="16838"/>
          <w:pgMar w:top="851" w:right="1276" w:bottom="567" w:left="1276" w:header="425" w:footer="425" w:gutter="0"/>
          <w:pgNumType w:start="1"/>
          <w:cols w:space="708"/>
          <w:titlePg/>
          <w:docGrid w:linePitch="360"/>
        </w:sectPr>
      </w:pPr>
    </w:p>
    <w:p w:rsidR="007B600B" w:rsidRPr="00E36806" w:rsidRDefault="007B600B" w:rsidP="007B600B">
      <w:pPr>
        <w:jc w:val="center"/>
        <w:rPr>
          <w:rFonts w:cs="Arial"/>
          <w:b/>
          <w:bCs/>
        </w:rPr>
      </w:pPr>
    </w:p>
    <w:p w:rsidR="007B600B" w:rsidRPr="00E36806" w:rsidRDefault="007B600B" w:rsidP="007B600B">
      <w:pPr>
        <w:jc w:val="center"/>
        <w:rPr>
          <w:rFonts w:cs="Arial"/>
        </w:rPr>
      </w:pPr>
      <w:r w:rsidRPr="00E36806">
        <w:rPr>
          <w:rFonts w:cs="Arial"/>
          <w:b/>
          <w:bCs/>
        </w:rPr>
        <w:t>Recommendations to the Australian Fisheries Management Authority</w:t>
      </w:r>
      <w:r w:rsidR="000D4DE8">
        <w:rPr>
          <w:rFonts w:cs="Arial"/>
          <w:b/>
          <w:bCs/>
        </w:rPr>
        <w:t xml:space="preserve"> and the Department of Agriculture, Fisheries and Forestry</w:t>
      </w:r>
      <w:r w:rsidRPr="00E36806">
        <w:rPr>
          <w:rFonts w:cs="Arial"/>
          <w:b/>
          <w:bCs/>
        </w:rPr>
        <w:t xml:space="preserve"> </w:t>
      </w:r>
      <w:r w:rsidRPr="00E36806">
        <w:rPr>
          <w:rFonts w:cs="Arial"/>
          <w:b/>
        </w:rPr>
        <w:t xml:space="preserve">on the ecologically sustainable management of </w:t>
      </w:r>
      <w:r w:rsidR="00E02668" w:rsidRPr="00E36806">
        <w:rPr>
          <w:rFonts w:cs="Arial"/>
          <w:b/>
        </w:rPr>
        <w:t>Australia’s High Seas Permits</w:t>
      </w:r>
      <w:r w:rsidRPr="00E36806">
        <w:rPr>
          <w:rFonts w:cs="Arial"/>
          <w:b/>
        </w:rPr>
        <w:t xml:space="preserve">, </w:t>
      </w:r>
      <w:r w:rsidR="00E02668" w:rsidRPr="00E36806">
        <w:rPr>
          <w:b/>
        </w:rPr>
        <w:t>May </w:t>
      </w:r>
      <w:r w:rsidRPr="00E36806">
        <w:rPr>
          <w:b/>
        </w:rPr>
        <w:t>2013</w:t>
      </w:r>
    </w:p>
    <w:p w:rsidR="00BC5553" w:rsidRPr="00841E43" w:rsidRDefault="00BC5553" w:rsidP="00BC5553"/>
    <w:p w:rsidR="00BC5553" w:rsidRPr="00D25830" w:rsidRDefault="00BC5553" w:rsidP="00BC5553">
      <w:pPr>
        <w:numPr>
          <w:ilvl w:val="0"/>
          <w:numId w:val="25"/>
        </w:numPr>
      </w:pPr>
      <w:r w:rsidRPr="00D25830">
        <w:t xml:space="preserve">Operation of Australia’s High Seas Permits will be carried out in accordance with the permit conditions, in force under the </w:t>
      </w:r>
      <w:r w:rsidRPr="00D25830">
        <w:rPr>
          <w:i/>
        </w:rPr>
        <w:t>Fisheries Management Act 1991.</w:t>
      </w:r>
    </w:p>
    <w:p w:rsidR="00BC5553" w:rsidRPr="00FF26AA" w:rsidRDefault="00BC5553" w:rsidP="00BC5553"/>
    <w:p w:rsidR="00BC5553" w:rsidRDefault="00BC5553" w:rsidP="00BC5553">
      <w:pPr>
        <w:numPr>
          <w:ilvl w:val="0"/>
          <w:numId w:val="25"/>
        </w:numPr>
      </w:pPr>
      <w:r w:rsidRPr="00D25830">
        <w:t xml:space="preserve">The Australian Fisheries Management Authority to inform the Department of Sustainability, Environment, Water, Population and Communities of any intended material changes to the management arrangements under Australia’s High Seas Permits that may affect the assessment against which </w:t>
      </w:r>
      <w:r w:rsidRPr="00D25830">
        <w:rPr>
          <w:i/>
          <w:iCs/>
        </w:rPr>
        <w:t>Environment Protection and Biodiversity Conservation Act 1999</w:t>
      </w:r>
      <w:r w:rsidRPr="00D25830">
        <w:t xml:space="preserve"> decisions are based.</w:t>
      </w:r>
    </w:p>
    <w:p w:rsidR="00BC5553" w:rsidRDefault="00BC5553" w:rsidP="00BC5553"/>
    <w:p w:rsidR="00BC5553" w:rsidRDefault="00BC5553" w:rsidP="00BC5553">
      <w:pPr>
        <w:numPr>
          <w:ilvl w:val="0"/>
          <w:numId w:val="25"/>
        </w:numPr>
      </w:pPr>
      <w:r w:rsidRPr="00D25830">
        <w:t>The Australian Fisheries Management Authority to produce and present reports to the Department of Sustainability, Environment, Water, Population and Communities annually as per Appendix B to the ‘Guidelines for the Ecologically Sustainable Management of Fisheries – 2</w:t>
      </w:r>
      <w:r w:rsidRPr="00D25830">
        <w:rPr>
          <w:vertAlign w:val="superscript"/>
        </w:rPr>
        <w:t>nd</w:t>
      </w:r>
      <w:r w:rsidRPr="00D25830">
        <w:t> Edition’.</w:t>
      </w:r>
    </w:p>
    <w:p w:rsidR="00BC5553" w:rsidRDefault="00BC5553" w:rsidP="00BC5553"/>
    <w:p w:rsidR="00BC5553" w:rsidRDefault="00BC5553" w:rsidP="00BC5553">
      <w:pPr>
        <w:numPr>
          <w:ilvl w:val="0"/>
          <w:numId w:val="25"/>
        </w:numPr>
      </w:pPr>
      <w:r w:rsidRPr="00D25830">
        <w:t>The Department of Agriculture, Fisheries and Forestry, in conjunction with the Australian Fisheries Management Authority, to continue to investigate key non-highly migratory species stocks harvested under Australia’s High Seas Permits, with a view towards improved certainty in future stock assessments of these species. Investigations should be consistent with the research priorities identified by the relevant bodies of applicable international regional fisheries agreements, as well as any relevant research agencies.</w:t>
      </w:r>
    </w:p>
    <w:p w:rsidR="00BC5553" w:rsidRDefault="00BC5553" w:rsidP="00BC5553"/>
    <w:p w:rsidR="00BC5553" w:rsidRDefault="00BC5553" w:rsidP="00BC5553">
      <w:pPr>
        <w:numPr>
          <w:ilvl w:val="0"/>
          <w:numId w:val="25"/>
        </w:numPr>
        <w:tabs>
          <w:tab w:val="left" w:pos="360"/>
        </w:tabs>
      </w:pPr>
      <w:r w:rsidRPr="00D25830">
        <w:t>For the Australian Fisheries Management Authority to:</w:t>
      </w:r>
    </w:p>
    <w:p w:rsidR="00BC5553" w:rsidRDefault="00BC5553" w:rsidP="00BC5553">
      <w:pPr>
        <w:numPr>
          <w:ilvl w:val="1"/>
          <w:numId w:val="25"/>
        </w:numPr>
        <w:tabs>
          <w:tab w:val="clear" w:pos="1440"/>
        </w:tabs>
        <w:ind w:left="720"/>
      </w:pPr>
      <w:r w:rsidRPr="00D25830">
        <w:t>continue to collect reliable information on the composition and abundance of retained and non-retained catch, and</w:t>
      </w:r>
    </w:p>
    <w:p w:rsidR="00BC5553" w:rsidRDefault="00BC5553" w:rsidP="00BC5553">
      <w:pPr>
        <w:numPr>
          <w:ilvl w:val="1"/>
          <w:numId w:val="25"/>
        </w:numPr>
        <w:tabs>
          <w:tab w:val="clear" w:pos="1440"/>
        </w:tabs>
        <w:ind w:left="720"/>
      </w:pPr>
      <w:proofErr w:type="gramStart"/>
      <w:r w:rsidRPr="00D25830">
        <w:t>investigate</w:t>
      </w:r>
      <w:proofErr w:type="gramEnd"/>
      <w:r w:rsidRPr="00D25830">
        <w:t xml:space="preserve"> the risk to bycatch and discard species, and based on the findings, implement appropriate management responses.</w:t>
      </w:r>
    </w:p>
    <w:p w:rsidR="00BC5553" w:rsidRPr="00D25830" w:rsidRDefault="00BC5553" w:rsidP="00BC5553"/>
    <w:p w:rsidR="00BC5553" w:rsidRDefault="00BC5553" w:rsidP="00BC5553">
      <w:pPr>
        <w:numPr>
          <w:ilvl w:val="0"/>
          <w:numId w:val="25"/>
        </w:numPr>
      </w:pPr>
      <w:r w:rsidRPr="008D2713">
        <w:t>The Department of Agriculture, Fisheries and Forestry, in conjunction with the Australian Fisheries Management Authority, to work through the relevant bodies of applicable international regional fisheries agreements, to ensure appropriate research and management, among Member nations, for species harvested under Australia’s High Seas Permits.</w:t>
      </w:r>
    </w:p>
    <w:p w:rsidR="00BC5553" w:rsidRDefault="00BC5553" w:rsidP="00BC5553"/>
    <w:sectPr w:rsidR="00BC5553" w:rsidSect="005A0247">
      <w:headerReference w:type="first" r:id="rId17"/>
      <w:footerReference w:type="first" r:id="rId18"/>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123" w:rsidRDefault="00DB7123" w:rsidP="00A60185">
      <w:pPr>
        <w:spacing w:after="0" w:line="240" w:lineRule="auto"/>
      </w:pPr>
      <w:r>
        <w:separator/>
      </w:r>
    </w:p>
  </w:endnote>
  <w:endnote w:type="continuationSeparator" w:id="0">
    <w:p w:rsidR="00DB7123" w:rsidRDefault="00DB712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DB71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Pr="00A27A54" w:rsidRDefault="0027412B">
    <w:pPr>
      <w:pStyle w:val="Footer"/>
      <w:rPr>
        <w:sz w:val="22"/>
      </w:rPr>
    </w:pPr>
    <w:r w:rsidRPr="00A27A54">
      <w:rPr>
        <w:sz w:val="22"/>
      </w:rPr>
      <w:fldChar w:fldCharType="begin"/>
    </w:r>
    <w:r w:rsidR="00DB7123" w:rsidRPr="00A27A54">
      <w:rPr>
        <w:sz w:val="22"/>
      </w:rPr>
      <w:instrText xml:space="preserve"> PAGE   \* MERGEFORMAT </w:instrText>
    </w:r>
    <w:r w:rsidRPr="00A27A54">
      <w:rPr>
        <w:sz w:val="22"/>
      </w:rPr>
      <w:fldChar w:fldCharType="separate"/>
    </w:r>
    <w:r w:rsidR="007C33B1">
      <w:rPr>
        <w:noProof/>
        <w:sz w:val="22"/>
      </w:rPr>
      <w:t>2</w:t>
    </w:r>
    <w:r w:rsidRPr="00A27A54">
      <w:rPr>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DB7123" w:rsidP="00C43020">
    <w:pPr>
      <w:pStyle w:val="Footer"/>
    </w:pPr>
  </w:p>
  <w:p w:rsidR="00DB7123" w:rsidRPr="00775DF7" w:rsidRDefault="00DB7123"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DB7123" w:rsidRPr="00C43020" w:rsidRDefault="00DB7123" w:rsidP="00C43020">
    <w:pPr>
      <w:pStyle w:val="Footer"/>
    </w:pPr>
    <w:r w:rsidRPr="00C43020">
      <w:t>www.envi</w:t>
    </w:r>
    <w:r>
      <w:t>r</w:t>
    </w:r>
    <w:r w:rsidRPr="00C43020">
      <w:t>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Pr="006B1098" w:rsidRDefault="00DB7123"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123" w:rsidRDefault="00DB7123" w:rsidP="00A60185">
      <w:pPr>
        <w:spacing w:after="0" w:line="240" w:lineRule="auto"/>
      </w:pPr>
      <w:r>
        <w:separator/>
      </w:r>
    </w:p>
  </w:footnote>
  <w:footnote w:type="continuationSeparator" w:id="0">
    <w:p w:rsidR="00DB7123" w:rsidRDefault="00DB712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27412B" w:rsidP="00E45765">
    <w:pPr>
      <w:pStyle w:val="Classification"/>
    </w:pPr>
    <w:r>
      <w:fldChar w:fldCharType="begin"/>
    </w:r>
    <w:r w:rsidR="00DB7123">
      <w:instrText xml:space="preserve"> DOCPROPERTY SecurityClassification \* MERGEFORMAT </w:instrText>
    </w:r>
    <w:r>
      <w:fldChar w:fldCharType="separate"/>
    </w:r>
    <w:r w:rsidR="002534D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DB712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DB7123"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3" w:rsidRDefault="00DB7123"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3C7AEE"/>
    <w:multiLevelType w:val="hybridMultilevel"/>
    <w:tmpl w:val="B08A1B88"/>
    <w:lvl w:ilvl="0" w:tplc="8D08EF32">
      <w:start w:val="2"/>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CBC2E50"/>
    <w:multiLevelType w:val="hybridMultilevel"/>
    <w:tmpl w:val="F686243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nsid w:val="6FAE23A7"/>
    <w:multiLevelType w:val="singleLevel"/>
    <w:tmpl w:val="2000EDEA"/>
    <w:lvl w:ilvl="0">
      <w:start w:val="1"/>
      <w:numFmt w:val="upperLetter"/>
      <w:lvlText w:val="%1:"/>
      <w:lvlJc w:val="left"/>
      <w:pPr>
        <w:ind w:left="360" w:hanging="360"/>
      </w:pPr>
      <w:rPr>
        <w:rFonts w:hint="default"/>
        <w:sz w:val="22"/>
      </w:rPr>
    </w:lvl>
  </w:abstractNum>
  <w:abstractNum w:abstractNumId="14">
    <w:nsid w:val="6FD20C85"/>
    <w:multiLevelType w:val="hybridMultilevel"/>
    <w:tmpl w:val="7FD48B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1244841"/>
    <w:multiLevelType w:val="hybridMultilevel"/>
    <w:tmpl w:val="4A76FAF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7B7E52F0"/>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FFA7A5C"/>
    <w:multiLevelType w:val="hybridMultilevel"/>
    <w:tmpl w:val="523EA2F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0"/>
  </w:num>
  <w:num w:numId="3">
    <w:abstractNumId w:val="12"/>
  </w:num>
  <w:num w:numId="4">
    <w:abstractNumId w:val="10"/>
  </w:num>
  <w:num w:numId="5">
    <w:abstractNumId w:val="5"/>
  </w:num>
  <w:num w:numId="6">
    <w:abstractNumId w:val="4"/>
  </w:num>
  <w:num w:numId="7">
    <w:abstractNumId w:val="9"/>
  </w:num>
  <w:num w:numId="8">
    <w:abstractNumId w:val="3"/>
  </w:num>
  <w:num w:numId="9">
    <w:abstractNumId w:val="2"/>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8"/>
  </w:num>
  <w:num w:numId="18">
    <w:abstractNumId w:val="7"/>
  </w:num>
  <w:num w:numId="19">
    <w:abstractNumId w:val="6"/>
  </w:num>
  <w:num w:numId="20">
    <w:abstractNumId w:val="14"/>
  </w:num>
  <w:num w:numId="21">
    <w:abstractNumId w:val="18"/>
  </w:num>
  <w:num w:numId="22">
    <w:abstractNumId w:val="15"/>
  </w:num>
  <w:num w:numId="23">
    <w:abstractNumId w:val="11"/>
  </w:num>
  <w:num w:numId="24">
    <w:abstractNumId w:val="1"/>
  </w:num>
  <w:num w:numId="25">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3185"/>
  </w:hdrShapeDefaults>
  <w:footnotePr>
    <w:footnote w:id="-1"/>
    <w:footnote w:id="0"/>
  </w:footnotePr>
  <w:endnotePr>
    <w:endnote w:id="-1"/>
    <w:endnote w:id="0"/>
  </w:endnotePr>
  <w:compat/>
  <w:docVars>
    <w:docVar w:name="SecurityClassificationInHeader" w:val="False"/>
  </w:docVars>
  <w:rsids>
    <w:rsidRoot w:val="006E50E5"/>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4DE8"/>
    <w:rsid w:val="000D61D0"/>
    <w:rsid w:val="000D664F"/>
    <w:rsid w:val="000D6D63"/>
    <w:rsid w:val="000E0081"/>
    <w:rsid w:val="000E07CF"/>
    <w:rsid w:val="000E0B31"/>
    <w:rsid w:val="000E2FBF"/>
    <w:rsid w:val="000F52A7"/>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260"/>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C760A"/>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473FC"/>
    <w:rsid w:val="00252E3C"/>
    <w:rsid w:val="002534D3"/>
    <w:rsid w:val="00261931"/>
    <w:rsid w:val="00261EFE"/>
    <w:rsid w:val="00262198"/>
    <w:rsid w:val="00273850"/>
    <w:rsid w:val="0027412B"/>
    <w:rsid w:val="00285F1B"/>
    <w:rsid w:val="00292B81"/>
    <w:rsid w:val="002935FF"/>
    <w:rsid w:val="002A11A4"/>
    <w:rsid w:val="002A6187"/>
    <w:rsid w:val="002B18AE"/>
    <w:rsid w:val="002B3674"/>
    <w:rsid w:val="002C1C93"/>
    <w:rsid w:val="002C2FB1"/>
    <w:rsid w:val="002C5066"/>
    <w:rsid w:val="002D022C"/>
    <w:rsid w:val="002D419A"/>
    <w:rsid w:val="002D4AAC"/>
    <w:rsid w:val="002E3BAF"/>
    <w:rsid w:val="002E5D24"/>
    <w:rsid w:val="002F045A"/>
    <w:rsid w:val="002F18F8"/>
    <w:rsid w:val="002F1DAD"/>
    <w:rsid w:val="002F23D0"/>
    <w:rsid w:val="0030039D"/>
    <w:rsid w:val="0030171F"/>
    <w:rsid w:val="00302B2F"/>
    <w:rsid w:val="00302DDF"/>
    <w:rsid w:val="0030326F"/>
    <w:rsid w:val="00310701"/>
    <w:rsid w:val="00315980"/>
    <w:rsid w:val="00316F7F"/>
    <w:rsid w:val="00320DFB"/>
    <w:rsid w:val="003218E8"/>
    <w:rsid w:val="00330DCE"/>
    <w:rsid w:val="00331E11"/>
    <w:rsid w:val="00334761"/>
    <w:rsid w:val="00335A95"/>
    <w:rsid w:val="00341DCD"/>
    <w:rsid w:val="00344897"/>
    <w:rsid w:val="0034563E"/>
    <w:rsid w:val="00346122"/>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0D8A"/>
    <w:rsid w:val="003E1803"/>
    <w:rsid w:val="003E2100"/>
    <w:rsid w:val="003F6F5B"/>
    <w:rsid w:val="0040342D"/>
    <w:rsid w:val="0041192D"/>
    <w:rsid w:val="00413D8E"/>
    <w:rsid w:val="00413EE1"/>
    <w:rsid w:val="004208C9"/>
    <w:rsid w:val="0042128E"/>
    <w:rsid w:val="00421FEC"/>
    <w:rsid w:val="00423277"/>
    <w:rsid w:val="00430252"/>
    <w:rsid w:val="00432B60"/>
    <w:rsid w:val="00434A49"/>
    <w:rsid w:val="00440698"/>
    <w:rsid w:val="004447EE"/>
    <w:rsid w:val="004540E2"/>
    <w:rsid w:val="00455A78"/>
    <w:rsid w:val="0046116B"/>
    <w:rsid w:val="0046173C"/>
    <w:rsid w:val="00464930"/>
    <w:rsid w:val="00465223"/>
    <w:rsid w:val="00465B32"/>
    <w:rsid w:val="004712A5"/>
    <w:rsid w:val="00471CF3"/>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E382B"/>
    <w:rsid w:val="004F09E1"/>
    <w:rsid w:val="004F60AC"/>
    <w:rsid w:val="004F7169"/>
    <w:rsid w:val="005000F1"/>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2B32"/>
    <w:rsid w:val="00574B36"/>
    <w:rsid w:val="00581C39"/>
    <w:rsid w:val="00585198"/>
    <w:rsid w:val="005865F0"/>
    <w:rsid w:val="00586CB3"/>
    <w:rsid w:val="005903B6"/>
    <w:rsid w:val="00592624"/>
    <w:rsid w:val="005931E7"/>
    <w:rsid w:val="005A0247"/>
    <w:rsid w:val="005B140D"/>
    <w:rsid w:val="005C1FEA"/>
    <w:rsid w:val="005C2672"/>
    <w:rsid w:val="005C3495"/>
    <w:rsid w:val="005E35DC"/>
    <w:rsid w:val="005E3DFC"/>
    <w:rsid w:val="005E5D52"/>
    <w:rsid w:val="005E60AF"/>
    <w:rsid w:val="005E6EF6"/>
    <w:rsid w:val="005F1DEA"/>
    <w:rsid w:val="005F488B"/>
    <w:rsid w:val="005F51D3"/>
    <w:rsid w:val="005F625A"/>
    <w:rsid w:val="0060462F"/>
    <w:rsid w:val="0060602D"/>
    <w:rsid w:val="00607FC9"/>
    <w:rsid w:val="0061002D"/>
    <w:rsid w:val="00622FE1"/>
    <w:rsid w:val="0062521C"/>
    <w:rsid w:val="0063074B"/>
    <w:rsid w:val="00630A2B"/>
    <w:rsid w:val="00632249"/>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A6D2F"/>
    <w:rsid w:val="006B1098"/>
    <w:rsid w:val="006B14DB"/>
    <w:rsid w:val="006B1FFD"/>
    <w:rsid w:val="006B21C4"/>
    <w:rsid w:val="006B4FD2"/>
    <w:rsid w:val="006C1A92"/>
    <w:rsid w:val="006C4A1A"/>
    <w:rsid w:val="006D0393"/>
    <w:rsid w:val="006D1A83"/>
    <w:rsid w:val="006E1CFE"/>
    <w:rsid w:val="006E3EB2"/>
    <w:rsid w:val="006E50E5"/>
    <w:rsid w:val="006E6B38"/>
    <w:rsid w:val="006F10C4"/>
    <w:rsid w:val="006F313B"/>
    <w:rsid w:val="006F5051"/>
    <w:rsid w:val="006F5603"/>
    <w:rsid w:val="00701400"/>
    <w:rsid w:val="007037CF"/>
    <w:rsid w:val="00713433"/>
    <w:rsid w:val="00713FA2"/>
    <w:rsid w:val="00716663"/>
    <w:rsid w:val="007167C0"/>
    <w:rsid w:val="00720481"/>
    <w:rsid w:val="00720E46"/>
    <w:rsid w:val="00721704"/>
    <w:rsid w:val="00727BA4"/>
    <w:rsid w:val="0073057B"/>
    <w:rsid w:val="00730F54"/>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0176"/>
    <w:rsid w:val="007953DA"/>
    <w:rsid w:val="007A2573"/>
    <w:rsid w:val="007A570A"/>
    <w:rsid w:val="007A6A1A"/>
    <w:rsid w:val="007A7267"/>
    <w:rsid w:val="007B106C"/>
    <w:rsid w:val="007B1A4E"/>
    <w:rsid w:val="007B3617"/>
    <w:rsid w:val="007B3D05"/>
    <w:rsid w:val="007B600B"/>
    <w:rsid w:val="007C0C81"/>
    <w:rsid w:val="007C114B"/>
    <w:rsid w:val="007C1328"/>
    <w:rsid w:val="007C33B1"/>
    <w:rsid w:val="007D14B4"/>
    <w:rsid w:val="007D2191"/>
    <w:rsid w:val="007D2FC3"/>
    <w:rsid w:val="007D39A2"/>
    <w:rsid w:val="007D5962"/>
    <w:rsid w:val="007D5E45"/>
    <w:rsid w:val="007E24F6"/>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754E3"/>
    <w:rsid w:val="00882459"/>
    <w:rsid w:val="008979E2"/>
    <w:rsid w:val="008A2B4A"/>
    <w:rsid w:val="008A3C96"/>
    <w:rsid w:val="008A6653"/>
    <w:rsid w:val="008A6DC5"/>
    <w:rsid w:val="008B4019"/>
    <w:rsid w:val="008B65C9"/>
    <w:rsid w:val="008C2D4A"/>
    <w:rsid w:val="008C3C01"/>
    <w:rsid w:val="008C49DA"/>
    <w:rsid w:val="008D3900"/>
    <w:rsid w:val="008D6E1D"/>
    <w:rsid w:val="008E48B6"/>
    <w:rsid w:val="008E611A"/>
    <w:rsid w:val="008F39B4"/>
    <w:rsid w:val="008F4162"/>
    <w:rsid w:val="00903E02"/>
    <w:rsid w:val="0090604C"/>
    <w:rsid w:val="00911DC3"/>
    <w:rsid w:val="009120E4"/>
    <w:rsid w:val="00913175"/>
    <w:rsid w:val="00914F2B"/>
    <w:rsid w:val="00916EDB"/>
    <w:rsid w:val="00917694"/>
    <w:rsid w:val="009240A6"/>
    <w:rsid w:val="009242EF"/>
    <w:rsid w:val="009252EF"/>
    <w:rsid w:val="009304C2"/>
    <w:rsid w:val="00932291"/>
    <w:rsid w:val="0093408E"/>
    <w:rsid w:val="00947CBC"/>
    <w:rsid w:val="00952DDF"/>
    <w:rsid w:val="0096170E"/>
    <w:rsid w:val="00975357"/>
    <w:rsid w:val="00976E4A"/>
    <w:rsid w:val="00982F2C"/>
    <w:rsid w:val="00984F36"/>
    <w:rsid w:val="009B38BE"/>
    <w:rsid w:val="009B498D"/>
    <w:rsid w:val="009B5A73"/>
    <w:rsid w:val="009C333F"/>
    <w:rsid w:val="009C3D0F"/>
    <w:rsid w:val="009D2FDC"/>
    <w:rsid w:val="009D54FF"/>
    <w:rsid w:val="009D7C6B"/>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46460"/>
    <w:rsid w:val="00A539B1"/>
    <w:rsid w:val="00A55F5B"/>
    <w:rsid w:val="00A57FB9"/>
    <w:rsid w:val="00A60185"/>
    <w:rsid w:val="00A60B0D"/>
    <w:rsid w:val="00A65959"/>
    <w:rsid w:val="00A661EA"/>
    <w:rsid w:val="00A70809"/>
    <w:rsid w:val="00A76E17"/>
    <w:rsid w:val="00A830E5"/>
    <w:rsid w:val="00A83A8C"/>
    <w:rsid w:val="00A86618"/>
    <w:rsid w:val="00A87135"/>
    <w:rsid w:val="00A93280"/>
    <w:rsid w:val="00AA2020"/>
    <w:rsid w:val="00AA2548"/>
    <w:rsid w:val="00AA58C4"/>
    <w:rsid w:val="00AB11C8"/>
    <w:rsid w:val="00AB60CF"/>
    <w:rsid w:val="00AC08A8"/>
    <w:rsid w:val="00AC1468"/>
    <w:rsid w:val="00AC28ED"/>
    <w:rsid w:val="00AC73E5"/>
    <w:rsid w:val="00AD56C8"/>
    <w:rsid w:val="00AD58F2"/>
    <w:rsid w:val="00AD5BA0"/>
    <w:rsid w:val="00AE02CA"/>
    <w:rsid w:val="00AE387F"/>
    <w:rsid w:val="00AE4C25"/>
    <w:rsid w:val="00B00313"/>
    <w:rsid w:val="00B01599"/>
    <w:rsid w:val="00B0197B"/>
    <w:rsid w:val="00B01FD6"/>
    <w:rsid w:val="00B03A27"/>
    <w:rsid w:val="00B0529F"/>
    <w:rsid w:val="00B1418B"/>
    <w:rsid w:val="00B14B15"/>
    <w:rsid w:val="00B21195"/>
    <w:rsid w:val="00B24B22"/>
    <w:rsid w:val="00B25310"/>
    <w:rsid w:val="00B27B11"/>
    <w:rsid w:val="00B30B3B"/>
    <w:rsid w:val="00B321B7"/>
    <w:rsid w:val="00B32B76"/>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15B6"/>
    <w:rsid w:val="00BC4215"/>
    <w:rsid w:val="00BC473A"/>
    <w:rsid w:val="00BC5553"/>
    <w:rsid w:val="00BD1A6F"/>
    <w:rsid w:val="00BD5DB8"/>
    <w:rsid w:val="00BD5F54"/>
    <w:rsid w:val="00BE033E"/>
    <w:rsid w:val="00BE4871"/>
    <w:rsid w:val="00BE6D3C"/>
    <w:rsid w:val="00BE7852"/>
    <w:rsid w:val="00BE7E91"/>
    <w:rsid w:val="00BF0762"/>
    <w:rsid w:val="00BF3F7C"/>
    <w:rsid w:val="00BF671B"/>
    <w:rsid w:val="00BF7B96"/>
    <w:rsid w:val="00BF7CEE"/>
    <w:rsid w:val="00C03880"/>
    <w:rsid w:val="00C132E3"/>
    <w:rsid w:val="00C135CF"/>
    <w:rsid w:val="00C173B0"/>
    <w:rsid w:val="00C17F88"/>
    <w:rsid w:val="00C22E15"/>
    <w:rsid w:val="00C2683F"/>
    <w:rsid w:val="00C3184D"/>
    <w:rsid w:val="00C41A1E"/>
    <w:rsid w:val="00C43020"/>
    <w:rsid w:val="00C4714E"/>
    <w:rsid w:val="00C5366B"/>
    <w:rsid w:val="00C5504F"/>
    <w:rsid w:val="00C63376"/>
    <w:rsid w:val="00C634DE"/>
    <w:rsid w:val="00C74F97"/>
    <w:rsid w:val="00C77CFB"/>
    <w:rsid w:val="00C8276E"/>
    <w:rsid w:val="00C842AC"/>
    <w:rsid w:val="00C85444"/>
    <w:rsid w:val="00C858AD"/>
    <w:rsid w:val="00C86DC8"/>
    <w:rsid w:val="00C90E71"/>
    <w:rsid w:val="00CA0723"/>
    <w:rsid w:val="00CB1690"/>
    <w:rsid w:val="00CB3B3A"/>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0A1A"/>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77AF2"/>
    <w:rsid w:val="00D80F3B"/>
    <w:rsid w:val="00D9385F"/>
    <w:rsid w:val="00DA1B12"/>
    <w:rsid w:val="00DA54C9"/>
    <w:rsid w:val="00DA6739"/>
    <w:rsid w:val="00DA6CAE"/>
    <w:rsid w:val="00DB1A9E"/>
    <w:rsid w:val="00DB31D6"/>
    <w:rsid w:val="00DB4005"/>
    <w:rsid w:val="00DB4CBF"/>
    <w:rsid w:val="00DB7123"/>
    <w:rsid w:val="00DB7CD4"/>
    <w:rsid w:val="00DC34EB"/>
    <w:rsid w:val="00DC781A"/>
    <w:rsid w:val="00DD1729"/>
    <w:rsid w:val="00DD1F1D"/>
    <w:rsid w:val="00DD714D"/>
    <w:rsid w:val="00DE633A"/>
    <w:rsid w:val="00DE6446"/>
    <w:rsid w:val="00DF1E5B"/>
    <w:rsid w:val="00DF2275"/>
    <w:rsid w:val="00DF3F5E"/>
    <w:rsid w:val="00DF4836"/>
    <w:rsid w:val="00DF7BCD"/>
    <w:rsid w:val="00E02668"/>
    <w:rsid w:val="00E0596E"/>
    <w:rsid w:val="00E06F66"/>
    <w:rsid w:val="00E1333E"/>
    <w:rsid w:val="00E138B9"/>
    <w:rsid w:val="00E22AD5"/>
    <w:rsid w:val="00E356E5"/>
    <w:rsid w:val="00E36806"/>
    <w:rsid w:val="00E36F81"/>
    <w:rsid w:val="00E44648"/>
    <w:rsid w:val="00E44802"/>
    <w:rsid w:val="00E452FA"/>
    <w:rsid w:val="00E45765"/>
    <w:rsid w:val="00E45E10"/>
    <w:rsid w:val="00E5098C"/>
    <w:rsid w:val="00E50DC9"/>
    <w:rsid w:val="00E54EAB"/>
    <w:rsid w:val="00E60213"/>
    <w:rsid w:val="00E65A5E"/>
    <w:rsid w:val="00E74D29"/>
    <w:rsid w:val="00E83C74"/>
    <w:rsid w:val="00E83CEE"/>
    <w:rsid w:val="00E86DB3"/>
    <w:rsid w:val="00E8776C"/>
    <w:rsid w:val="00E9226D"/>
    <w:rsid w:val="00E923D6"/>
    <w:rsid w:val="00E92630"/>
    <w:rsid w:val="00EA337A"/>
    <w:rsid w:val="00EA5941"/>
    <w:rsid w:val="00EB02BE"/>
    <w:rsid w:val="00EB4974"/>
    <w:rsid w:val="00EB4DFB"/>
    <w:rsid w:val="00EB60CE"/>
    <w:rsid w:val="00EB7D53"/>
    <w:rsid w:val="00EC0016"/>
    <w:rsid w:val="00EC24FD"/>
    <w:rsid w:val="00ED3C20"/>
    <w:rsid w:val="00EE1033"/>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E84"/>
    <w:rsid w:val="00F35F6C"/>
    <w:rsid w:val="00F36F3D"/>
    <w:rsid w:val="00F3797F"/>
    <w:rsid w:val="00F477BD"/>
    <w:rsid w:val="00F50D3B"/>
    <w:rsid w:val="00F5202A"/>
    <w:rsid w:val="00F52AB6"/>
    <w:rsid w:val="00F52EB7"/>
    <w:rsid w:val="00F53491"/>
    <w:rsid w:val="00F60329"/>
    <w:rsid w:val="00F63DAB"/>
    <w:rsid w:val="00F64682"/>
    <w:rsid w:val="00F65A1C"/>
    <w:rsid w:val="00F66F50"/>
    <w:rsid w:val="00F82FF8"/>
    <w:rsid w:val="00F8330D"/>
    <w:rsid w:val="00F83E35"/>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39A4"/>
    <w:rsid w:val="00FE74C3"/>
    <w:rsid w:val="00FE7856"/>
    <w:rsid w:val="00FF051A"/>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y\Downloads\Letter%20to%20Minister%20-%20WTO%20to%20Exempt%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26B60A6C-FA1F-49B2-AD57-731B2AA6211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CEA52D9D-3745-4BA0-99CD-B8325491D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Delegate.dot</Template>
  <TotalTime>11</TotalTime>
  <Pages>3</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Marty</dc:creator>
  <cp:lastModifiedBy>Sustainable Fisheries 01</cp:lastModifiedBy>
  <cp:revision>16</cp:revision>
  <cp:lastPrinted>2013-05-13T00:37:00Z</cp:lastPrinted>
  <dcterms:created xsi:type="dcterms:W3CDTF">2013-04-22T06:32:00Z</dcterms:created>
  <dcterms:modified xsi:type="dcterms:W3CDTF">2013-05-20T02:50:00Z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