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695C570E" w:rsidR="00B6012C" w:rsidRPr="00F6308F" w:rsidRDefault="00B6012C" w:rsidP="001955CD">
      <w:pPr>
        <w:spacing w:after="120"/>
        <w:jc w:val="center"/>
        <w:rPr>
          <w:rFonts w:cs="Arial"/>
          <w:sz w:val="36"/>
        </w:rPr>
      </w:pPr>
      <w:r w:rsidRPr="00F6308F">
        <w:rPr>
          <w:rFonts w:cs="Arial"/>
          <w:sz w:val="36"/>
        </w:rPr>
        <w:t>Assessment of</w:t>
      </w:r>
    </w:p>
    <w:p w14:paraId="7CB94214" w14:textId="78F76FBA" w:rsidR="00B6012C" w:rsidRPr="00F6308F" w:rsidRDefault="00C025D7" w:rsidP="001955CD">
      <w:pPr>
        <w:pStyle w:val="Heading6"/>
        <w:spacing w:after="120"/>
        <w:jc w:val="center"/>
        <w:rPr>
          <w:rFonts w:ascii="Arial" w:hAnsi="Arial" w:cs="Arial"/>
          <w:b w:val="0"/>
          <w:i/>
          <w:sz w:val="36"/>
        </w:rPr>
      </w:pPr>
      <w:r>
        <w:rPr>
          <w:rFonts w:ascii="Arial" w:hAnsi="Arial" w:cs="Arial"/>
          <w:sz w:val="36"/>
        </w:rPr>
        <w:t xml:space="preserve">Australia’s </w:t>
      </w:r>
      <w:r w:rsidR="00DB771E" w:rsidRPr="00F33E26">
        <w:rPr>
          <w:rFonts w:ascii="Arial" w:hAnsi="Arial" w:cs="Arial"/>
          <w:sz w:val="36"/>
        </w:rPr>
        <w:t xml:space="preserve">High Seas </w:t>
      </w:r>
      <w:r>
        <w:rPr>
          <w:rFonts w:ascii="Arial" w:hAnsi="Arial" w:cs="Arial"/>
          <w:sz w:val="36"/>
        </w:rPr>
        <w:t>Per</w:t>
      </w:r>
      <w:bookmarkStart w:id="0" w:name="_GoBack"/>
      <w:bookmarkEnd w:id="0"/>
      <w:r>
        <w:rPr>
          <w:rFonts w:ascii="Arial" w:hAnsi="Arial" w:cs="Arial"/>
          <w:sz w:val="36"/>
        </w:rPr>
        <w:t>mits</w:t>
      </w:r>
    </w:p>
    <w:p w14:paraId="6A28F6C5" w14:textId="77777777" w:rsidR="00B6012C" w:rsidRPr="00F6308F" w:rsidRDefault="00B6012C" w:rsidP="001955CD">
      <w:pPr>
        <w:widowControl w:val="0"/>
        <w:tabs>
          <w:tab w:val="left" w:pos="6700"/>
        </w:tabs>
        <w:spacing w:after="120"/>
        <w:jc w:val="center"/>
        <w:rPr>
          <w:rFonts w:cs="Arial"/>
          <w:b/>
          <w:sz w:val="48"/>
        </w:rPr>
      </w:pPr>
    </w:p>
    <w:p w14:paraId="408FC6FF" w14:textId="77777777" w:rsidR="00B6012C" w:rsidRPr="00F6308F" w:rsidRDefault="00B6012C" w:rsidP="001955CD">
      <w:pPr>
        <w:widowControl w:val="0"/>
        <w:tabs>
          <w:tab w:val="left" w:pos="6700"/>
        </w:tabs>
        <w:spacing w:after="120"/>
        <w:jc w:val="center"/>
        <w:rPr>
          <w:rFonts w:cs="Arial"/>
          <w:b/>
          <w:sz w:val="48"/>
        </w:rPr>
      </w:pPr>
    </w:p>
    <w:p w14:paraId="1497D3BD" w14:textId="5F9670B4" w:rsidR="00B6012C" w:rsidRPr="00F6308F" w:rsidRDefault="00A67E13" w:rsidP="001955CD">
      <w:pPr>
        <w:pStyle w:val="Heading7"/>
        <w:rPr>
          <w:rFonts w:ascii="Arial" w:hAnsi="Arial" w:cs="Arial"/>
          <w:lang w:val="en-AU"/>
        </w:rPr>
      </w:pPr>
      <w:r>
        <w:rPr>
          <w:rFonts w:ascii="Arial" w:hAnsi="Arial" w:cs="Arial"/>
          <w:lang w:val="en-AU"/>
        </w:rPr>
        <w:t>May</w:t>
      </w:r>
      <w:r w:rsidR="0083074F">
        <w:rPr>
          <w:rFonts w:ascii="Arial" w:hAnsi="Arial" w:cs="Arial"/>
          <w:lang w:val="en-AU"/>
        </w:rPr>
        <w:t xml:space="preserve"> </w:t>
      </w:r>
      <w:r w:rsidR="00F33E26">
        <w:rPr>
          <w:rFonts w:ascii="Arial" w:hAnsi="Arial" w:cs="Arial"/>
          <w:lang w:val="en-AU"/>
        </w:rPr>
        <w:t>2018</w:t>
      </w:r>
    </w:p>
    <w:p w14:paraId="1FA2A5CC" w14:textId="77777777" w:rsidR="00B6012C" w:rsidRPr="00F6308F" w:rsidRDefault="00B6012C" w:rsidP="001955CD">
      <w:pPr>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574DD7">
      <w:pPr>
        <w:rPr>
          <w:rFonts w:cs="Arial"/>
          <w:sz w:val="20"/>
          <w:szCs w:val="20"/>
        </w:rPr>
      </w:pPr>
    </w:p>
    <w:p w14:paraId="1AB4BB3C" w14:textId="4FFE5C06" w:rsidR="00134108" w:rsidRPr="00574DD7" w:rsidRDefault="00134108" w:rsidP="00574DD7">
      <w:pPr>
        <w:rPr>
          <w:rStyle w:val="Hyperlink"/>
          <w:rFonts w:eastAsia="Times New Roman" w:cs="Arial"/>
          <w:noProof/>
          <w:color w:val="auto"/>
          <w:sz w:val="20"/>
          <w:szCs w:val="20"/>
          <w:lang w:eastAsia="en-AU"/>
        </w:rPr>
      </w:pPr>
    </w:p>
    <w:p w14:paraId="02B38320" w14:textId="77777777" w:rsidR="00134108" w:rsidRPr="00574DD7" w:rsidRDefault="00134108" w:rsidP="00574DD7">
      <w:pPr>
        <w:rPr>
          <w:rStyle w:val="Hyperlink"/>
          <w:rFonts w:eastAsia="Times New Roman" w:cs="Arial"/>
          <w:noProof/>
          <w:color w:val="auto"/>
          <w:sz w:val="20"/>
          <w:szCs w:val="20"/>
          <w:lang w:eastAsia="en-AU"/>
        </w:rPr>
      </w:pPr>
    </w:p>
    <w:p w14:paraId="2C148F52" w14:textId="77777777" w:rsidR="00134108" w:rsidRPr="00574DD7" w:rsidRDefault="00134108" w:rsidP="00574DD7">
      <w:pPr>
        <w:rPr>
          <w:rStyle w:val="Hyperlink"/>
          <w:rFonts w:eastAsia="Times New Roman" w:cs="Arial"/>
          <w:noProof/>
          <w:color w:val="auto"/>
          <w:sz w:val="20"/>
          <w:szCs w:val="20"/>
          <w:lang w:eastAsia="en-AU"/>
        </w:rPr>
      </w:pPr>
    </w:p>
    <w:p w14:paraId="796DA257" w14:textId="77777777" w:rsidR="00134108" w:rsidRPr="00574DD7" w:rsidRDefault="00134108" w:rsidP="00574DD7">
      <w:pPr>
        <w:rPr>
          <w:rStyle w:val="Hyperlink"/>
          <w:rFonts w:eastAsia="Times New Roman" w:cs="Arial"/>
          <w:noProof/>
          <w:color w:val="auto"/>
          <w:sz w:val="20"/>
          <w:szCs w:val="20"/>
          <w:lang w:eastAsia="en-AU"/>
        </w:rPr>
      </w:pPr>
    </w:p>
    <w:p w14:paraId="1D6E0C84" w14:textId="77777777" w:rsidR="00134108" w:rsidRPr="00574DD7" w:rsidRDefault="00134108" w:rsidP="00574DD7">
      <w:pPr>
        <w:rPr>
          <w:rStyle w:val="Hyperlink"/>
          <w:rFonts w:eastAsia="Times New Roman" w:cs="Arial"/>
          <w:noProof/>
          <w:color w:val="auto"/>
          <w:sz w:val="20"/>
          <w:szCs w:val="20"/>
          <w:lang w:eastAsia="en-AU"/>
        </w:rPr>
      </w:pPr>
    </w:p>
    <w:p w14:paraId="4AF0A397" w14:textId="77777777" w:rsidR="00134108" w:rsidRPr="00574DD7" w:rsidRDefault="00134108" w:rsidP="00574DD7">
      <w:pPr>
        <w:rPr>
          <w:rStyle w:val="Hyperlink"/>
          <w:rFonts w:eastAsia="Times New Roman" w:cs="Arial"/>
          <w:noProof/>
          <w:color w:val="auto"/>
          <w:sz w:val="20"/>
          <w:szCs w:val="20"/>
          <w:lang w:eastAsia="en-AU"/>
        </w:rPr>
      </w:pPr>
    </w:p>
    <w:p w14:paraId="38149A8D" w14:textId="77777777" w:rsidR="00134108" w:rsidRPr="00574DD7" w:rsidRDefault="00134108" w:rsidP="00574DD7">
      <w:pPr>
        <w:rPr>
          <w:rStyle w:val="Hyperlink"/>
          <w:rFonts w:eastAsia="Times New Roman" w:cs="Arial"/>
          <w:noProof/>
          <w:color w:val="auto"/>
          <w:sz w:val="20"/>
          <w:szCs w:val="20"/>
          <w:lang w:eastAsia="en-AU"/>
        </w:rPr>
      </w:pPr>
    </w:p>
    <w:p w14:paraId="44147207" w14:textId="32DA7E53" w:rsidR="00216DC7" w:rsidRPr="00574DD7" w:rsidRDefault="00216DC7" w:rsidP="00574DD7">
      <w:pPr>
        <w:tabs>
          <w:tab w:val="right" w:leader="dot" w:pos="8302"/>
        </w:tabs>
        <w:rPr>
          <w:rFonts w:cs="Arial"/>
          <w:noProof/>
          <w:webHidden/>
          <w:sz w:val="20"/>
          <w:szCs w:val="20"/>
        </w:rPr>
      </w:pPr>
    </w:p>
    <w:p w14:paraId="7E323DD6" w14:textId="6550424C" w:rsidR="00056E19" w:rsidRPr="00574DD7" w:rsidRDefault="00056E19" w:rsidP="00574DD7">
      <w:pPr>
        <w:tabs>
          <w:tab w:val="right" w:leader="dot" w:pos="8302"/>
        </w:tabs>
        <w:rPr>
          <w:rFonts w:cs="Arial"/>
          <w:noProof/>
          <w:webHidden/>
          <w:sz w:val="20"/>
          <w:szCs w:val="20"/>
        </w:rPr>
      </w:pPr>
    </w:p>
    <w:p w14:paraId="79EBC778" w14:textId="77777777" w:rsidR="00056E19" w:rsidRPr="00574DD7" w:rsidRDefault="00056E19" w:rsidP="00574DD7">
      <w:pPr>
        <w:tabs>
          <w:tab w:val="right" w:leader="dot" w:pos="8302"/>
        </w:tabs>
        <w:rPr>
          <w:rFonts w:cs="Arial"/>
          <w:noProof/>
          <w:webHidden/>
          <w:sz w:val="20"/>
          <w:szCs w:val="20"/>
        </w:rPr>
      </w:pPr>
    </w:p>
    <w:p w14:paraId="7874054E" w14:textId="77777777" w:rsidR="00056E19" w:rsidRPr="00574DD7" w:rsidRDefault="00056E19" w:rsidP="00574DD7">
      <w:pPr>
        <w:tabs>
          <w:tab w:val="right" w:leader="dot" w:pos="8302"/>
        </w:tabs>
        <w:rPr>
          <w:rFonts w:cs="Arial"/>
          <w:noProof/>
          <w:webHidden/>
          <w:sz w:val="20"/>
          <w:szCs w:val="20"/>
        </w:rPr>
      </w:pPr>
    </w:p>
    <w:p w14:paraId="14434FC4" w14:textId="77777777" w:rsidR="00056E19" w:rsidRPr="00574DD7" w:rsidRDefault="00056E19" w:rsidP="00574DD7">
      <w:pPr>
        <w:tabs>
          <w:tab w:val="right" w:leader="dot" w:pos="8302"/>
        </w:tabs>
        <w:rPr>
          <w:rFonts w:cs="Arial"/>
          <w:noProof/>
          <w:webHidden/>
          <w:sz w:val="20"/>
          <w:szCs w:val="20"/>
        </w:rPr>
      </w:pPr>
    </w:p>
    <w:p w14:paraId="0640B96F" w14:textId="4B8E758E" w:rsidR="00C743A7" w:rsidRPr="00574DD7" w:rsidRDefault="00C743A7" w:rsidP="00574DD7">
      <w:pPr>
        <w:rPr>
          <w:rFonts w:cs="Arial"/>
          <w:sz w:val="20"/>
          <w:szCs w:val="20"/>
        </w:rPr>
      </w:pPr>
    </w:p>
    <w:p w14:paraId="7C167C8F" w14:textId="3249F879" w:rsidR="00C743A7" w:rsidRPr="00480A40" w:rsidRDefault="00C743A7" w:rsidP="00C743A7">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F33E26">
        <w:rPr>
          <w:rFonts w:ascii="Arial" w:hAnsi="Arial" w:cs="Arial"/>
          <w:sz w:val="16"/>
          <w:szCs w:val="16"/>
        </w:rPr>
        <w:t>2018</w:t>
      </w:r>
      <w:r w:rsidRPr="00480A40">
        <w:rPr>
          <w:rFonts w:ascii="Arial" w:hAnsi="Arial" w:cs="Arial"/>
          <w:sz w:val="16"/>
          <w:szCs w:val="16"/>
        </w:rPr>
        <w:t>.</w:t>
      </w:r>
    </w:p>
    <w:p w14:paraId="05B584B8" w14:textId="77777777" w:rsidR="00C743A7" w:rsidRPr="00480A40" w:rsidRDefault="00C743A7" w:rsidP="00C743A7">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008888DB" w:rsidR="00C743A7" w:rsidRPr="00480A40" w:rsidRDefault="00C743A7" w:rsidP="00C743A7">
      <w:pPr>
        <w:pStyle w:val="NormalWeb"/>
        <w:rPr>
          <w:rFonts w:ascii="Arial" w:hAnsi="Arial" w:cs="Arial"/>
          <w:sz w:val="16"/>
          <w:szCs w:val="16"/>
        </w:rPr>
      </w:pPr>
      <w:r w:rsidRPr="00D27B23">
        <w:rPr>
          <w:rFonts w:ascii="Arial" w:hAnsi="Arial" w:cs="Arial"/>
          <w:i/>
          <w:sz w:val="16"/>
          <w:szCs w:val="16"/>
        </w:rPr>
        <w:t xml:space="preserve">Assessment of </w:t>
      </w:r>
      <w:r w:rsidR="00C025D7">
        <w:rPr>
          <w:rFonts w:ascii="Arial" w:hAnsi="Arial" w:cs="Arial"/>
          <w:i/>
          <w:sz w:val="16"/>
          <w:szCs w:val="16"/>
        </w:rPr>
        <w:t xml:space="preserve">Australia’s </w:t>
      </w:r>
      <w:r w:rsidR="00F33E26" w:rsidRPr="00D27B23">
        <w:rPr>
          <w:rFonts w:ascii="Arial" w:hAnsi="Arial" w:cs="Arial"/>
          <w:i/>
          <w:sz w:val="16"/>
          <w:szCs w:val="16"/>
        </w:rPr>
        <w:t xml:space="preserve">High Seas </w:t>
      </w:r>
      <w:r w:rsidR="00C025D7">
        <w:rPr>
          <w:rFonts w:ascii="Arial" w:hAnsi="Arial" w:cs="Arial"/>
          <w:i/>
          <w:sz w:val="16"/>
          <w:szCs w:val="16"/>
        </w:rPr>
        <w:t>Permits</w:t>
      </w:r>
      <w:r w:rsidRPr="00D27B23">
        <w:rPr>
          <w:rFonts w:ascii="Arial" w:hAnsi="Arial" w:cs="Arial"/>
          <w:i/>
          <w:sz w:val="16"/>
          <w:szCs w:val="16"/>
        </w:rPr>
        <w:t xml:space="preserve"> </w:t>
      </w:r>
      <w:r w:rsidR="00D27B23" w:rsidRPr="00D27B23">
        <w:rPr>
          <w:rFonts w:ascii="Arial" w:hAnsi="Arial" w:cs="Arial"/>
          <w:i/>
          <w:sz w:val="16"/>
          <w:szCs w:val="16"/>
        </w:rPr>
        <w:t>May</w:t>
      </w:r>
      <w:r w:rsidR="0083074F" w:rsidRPr="00D27B23">
        <w:rPr>
          <w:rFonts w:ascii="Arial" w:hAnsi="Arial" w:cs="Arial"/>
          <w:i/>
          <w:sz w:val="16"/>
          <w:szCs w:val="16"/>
        </w:rPr>
        <w:t xml:space="preserve"> </w:t>
      </w:r>
      <w:r w:rsidR="00F33E26" w:rsidRPr="00D27B23">
        <w:rPr>
          <w:rFonts w:ascii="Arial" w:hAnsi="Arial" w:cs="Arial"/>
          <w:i/>
          <w:sz w:val="16"/>
          <w:szCs w:val="16"/>
        </w:rPr>
        <w:t>2018</w:t>
      </w:r>
      <w:r w:rsidR="00056E19" w:rsidRPr="00D27B23">
        <w:rPr>
          <w:rFonts w:ascii="Arial" w:hAnsi="Arial" w:cs="Arial"/>
          <w:i/>
          <w:sz w:val="16"/>
          <w:szCs w:val="16"/>
        </w:rPr>
        <w:t xml:space="preserve"> </w:t>
      </w:r>
      <w:r w:rsidRPr="00480A40">
        <w:rPr>
          <w:rFonts w:ascii="Arial" w:hAnsi="Arial" w:cs="Arial"/>
          <w:sz w:val="16"/>
          <w:szCs w:val="16"/>
        </w:rPr>
        <w:t xml:space="preserve">is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6F619313" w14:textId="07512642" w:rsidR="00C743A7" w:rsidRPr="00480A40" w:rsidRDefault="00C743A7" w:rsidP="00C743A7">
      <w:pPr>
        <w:pStyle w:val="NormalWeb"/>
        <w:rPr>
          <w:rFonts w:ascii="Arial" w:hAnsi="Arial" w:cs="Arial"/>
          <w:sz w:val="16"/>
          <w:szCs w:val="16"/>
        </w:rPr>
      </w:pPr>
      <w:r w:rsidRPr="00480A40">
        <w:rPr>
          <w:rFonts w:ascii="Arial" w:hAnsi="Arial" w:cs="Arial"/>
          <w:sz w:val="16"/>
          <w:szCs w:val="16"/>
        </w:rPr>
        <w:t>This report should be attributed as ‘</w:t>
      </w:r>
      <w:r w:rsidRPr="00D27B23">
        <w:rPr>
          <w:rFonts w:ascii="Arial" w:hAnsi="Arial" w:cs="Arial"/>
          <w:i/>
          <w:sz w:val="16"/>
          <w:szCs w:val="16"/>
        </w:rPr>
        <w:t xml:space="preserve">Assessment of </w:t>
      </w:r>
      <w:r w:rsidR="00C025D7">
        <w:rPr>
          <w:rFonts w:ascii="Arial" w:hAnsi="Arial" w:cs="Arial"/>
          <w:i/>
          <w:sz w:val="16"/>
          <w:szCs w:val="16"/>
        </w:rPr>
        <w:t xml:space="preserve">Australia’s </w:t>
      </w:r>
      <w:r w:rsidR="00C025D7" w:rsidRPr="00D27B23">
        <w:rPr>
          <w:rFonts w:ascii="Arial" w:hAnsi="Arial" w:cs="Arial"/>
          <w:i/>
          <w:sz w:val="16"/>
          <w:szCs w:val="16"/>
        </w:rPr>
        <w:t xml:space="preserve">High Seas </w:t>
      </w:r>
      <w:r w:rsidR="00C025D7">
        <w:rPr>
          <w:rFonts w:ascii="Arial" w:hAnsi="Arial" w:cs="Arial"/>
          <w:i/>
          <w:sz w:val="16"/>
          <w:szCs w:val="16"/>
        </w:rPr>
        <w:t>Permits</w:t>
      </w:r>
      <w:r w:rsidR="00C025D7" w:rsidRPr="00D27B23">
        <w:rPr>
          <w:rFonts w:ascii="Arial" w:hAnsi="Arial" w:cs="Arial"/>
          <w:i/>
          <w:sz w:val="16"/>
          <w:szCs w:val="16"/>
        </w:rPr>
        <w:t xml:space="preserve"> </w:t>
      </w:r>
      <w:r w:rsidR="00D27B23" w:rsidRPr="00D27B23">
        <w:rPr>
          <w:rFonts w:ascii="Arial" w:hAnsi="Arial" w:cs="Arial"/>
          <w:i/>
          <w:sz w:val="16"/>
          <w:szCs w:val="16"/>
        </w:rPr>
        <w:t>May</w:t>
      </w:r>
      <w:r w:rsidR="0083074F" w:rsidRPr="00D27B23">
        <w:rPr>
          <w:rFonts w:ascii="Arial" w:hAnsi="Arial" w:cs="Arial"/>
          <w:i/>
          <w:sz w:val="16"/>
          <w:szCs w:val="16"/>
        </w:rPr>
        <w:t xml:space="preserve"> </w:t>
      </w:r>
      <w:r w:rsidR="00F33E26">
        <w:rPr>
          <w:rFonts w:ascii="Arial" w:hAnsi="Arial" w:cs="Arial"/>
          <w:i/>
          <w:sz w:val="16"/>
          <w:szCs w:val="16"/>
        </w:rPr>
        <w:t>2018</w:t>
      </w:r>
      <w:r w:rsidRPr="00480A40">
        <w:rPr>
          <w:rFonts w:ascii="Arial" w:hAnsi="Arial" w:cs="Arial"/>
          <w:sz w:val="16"/>
          <w:szCs w:val="16"/>
        </w:rPr>
        <w:t xml:space="preserve">, Commonwealth of Australia </w:t>
      </w:r>
      <w:r w:rsidR="00F33E26">
        <w:rPr>
          <w:rFonts w:ascii="Arial" w:hAnsi="Arial" w:cs="Arial"/>
          <w:sz w:val="16"/>
          <w:szCs w:val="16"/>
        </w:rPr>
        <w:t>2018</w:t>
      </w:r>
      <w:r w:rsidR="004649FA">
        <w:rPr>
          <w:rFonts w:ascii="Arial" w:hAnsi="Arial" w:cs="Arial"/>
          <w:sz w:val="16"/>
          <w:szCs w:val="16"/>
        </w:rPr>
        <w:t>’</w:t>
      </w:r>
      <w:r w:rsidRPr="00480A40">
        <w:rPr>
          <w:rFonts w:ascii="Arial" w:hAnsi="Arial" w:cs="Arial"/>
          <w:sz w:val="16"/>
          <w:szCs w:val="16"/>
        </w:rPr>
        <w:t>.</w:t>
      </w:r>
    </w:p>
    <w:p w14:paraId="0D5442F5" w14:textId="7EBE4F34" w:rsidR="00C743A7" w:rsidRPr="00F6308F" w:rsidRDefault="00C743A7" w:rsidP="00C743A7">
      <w:pPr>
        <w:pStyle w:val="NormalWeb"/>
        <w:rPr>
          <w:rFonts w:ascii="Arial" w:hAnsi="Arial" w:cs="Arial"/>
          <w:sz w:val="20"/>
          <w:szCs w:val="20"/>
          <w:lang w:val="en-AU"/>
        </w:rPr>
      </w:pPr>
    </w:p>
    <w:p w14:paraId="749958A3" w14:textId="77777777" w:rsidR="00C743A7" w:rsidRPr="00F6308F" w:rsidRDefault="00C743A7" w:rsidP="00C743A7">
      <w:pPr>
        <w:spacing w:after="120"/>
        <w:rPr>
          <w:rFonts w:cs="Arial"/>
          <w:b/>
          <w:sz w:val="16"/>
          <w:szCs w:val="16"/>
        </w:rPr>
      </w:pPr>
      <w:r w:rsidRPr="00F6308F">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Default="00C743A7" w:rsidP="00942134">
      <w:pPr>
        <w:spacing w:line="240"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28D21C7" w14:textId="009AB9C0" w:rsidR="00574DD7" w:rsidRDefault="00574DD7" w:rsidP="00C743A7">
      <w:pPr>
        <w:rPr>
          <w:rFonts w:cs="Arial"/>
          <w:sz w:val="16"/>
          <w:szCs w:val="16"/>
        </w:rPr>
      </w:pPr>
    </w:p>
    <w:p w14:paraId="30DF465A" w14:textId="77777777" w:rsidR="00574DD7" w:rsidRPr="00F6308F" w:rsidRDefault="00574DD7" w:rsidP="00C743A7">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93305" w:rsidRDefault="00134108" w:rsidP="00134108">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DCB5FF7" w14:textId="77777777" w:rsidR="00134108" w:rsidRDefault="00134108" w:rsidP="00134108">
          <w:pPr>
            <w:pStyle w:val="TOC1"/>
          </w:pPr>
        </w:p>
        <w:p w14:paraId="6EC87946" w14:textId="69F1C6E8" w:rsidR="00AC5AB3" w:rsidRDefault="00134108">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13712776" w:history="1">
            <w:r w:rsidR="00AC5AB3" w:rsidRPr="00C73560">
              <w:rPr>
                <w:rStyle w:val="Hyperlink"/>
              </w:rPr>
              <w:t xml:space="preserve">Executive Summary of the Assessment of </w:t>
            </w:r>
            <w:r w:rsidR="00AC5AB3">
              <w:rPr>
                <w:rStyle w:val="Hyperlink"/>
              </w:rPr>
              <w:t>A</w:t>
            </w:r>
            <w:r w:rsidR="00AC5AB3" w:rsidRPr="00C73560">
              <w:rPr>
                <w:rStyle w:val="Hyperlink"/>
              </w:rPr>
              <w:t xml:space="preserve">ustralia’s </w:t>
            </w:r>
            <w:r w:rsidR="00AC5AB3">
              <w:rPr>
                <w:rStyle w:val="Hyperlink"/>
              </w:rPr>
              <w:t>H</w:t>
            </w:r>
            <w:r w:rsidR="00AC5AB3" w:rsidRPr="00C73560">
              <w:rPr>
                <w:rStyle w:val="Hyperlink"/>
              </w:rPr>
              <w:t xml:space="preserve">igh </w:t>
            </w:r>
            <w:r w:rsidR="00AC5AB3">
              <w:rPr>
                <w:rStyle w:val="Hyperlink"/>
              </w:rPr>
              <w:t>Seas P</w:t>
            </w:r>
            <w:r w:rsidR="00AC5AB3" w:rsidRPr="00C73560">
              <w:rPr>
                <w:rStyle w:val="Hyperlink"/>
              </w:rPr>
              <w:t>ermits</w:t>
            </w:r>
            <w:r w:rsidR="00AC5AB3">
              <w:rPr>
                <w:webHidden/>
              </w:rPr>
              <w:tab/>
            </w:r>
            <w:r w:rsidR="00AC5AB3">
              <w:rPr>
                <w:webHidden/>
              </w:rPr>
              <w:fldChar w:fldCharType="begin"/>
            </w:r>
            <w:r w:rsidR="00AC5AB3">
              <w:rPr>
                <w:webHidden/>
              </w:rPr>
              <w:instrText xml:space="preserve"> PAGEREF _Toc513712776 \h </w:instrText>
            </w:r>
            <w:r w:rsidR="00AC5AB3">
              <w:rPr>
                <w:webHidden/>
              </w:rPr>
            </w:r>
            <w:r w:rsidR="00AC5AB3">
              <w:rPr>
                <w:webHidden/>
              </w:rPr>
              <w:fldChar w:fldCharType="separate"/>
            </w:r>
            <w:r w:rsidR="00AC5AB3">
              <w:rPr>
                <w:webHidden/>
              </w:rPr>
              <w:t>1</w:t>
            </w:r>
            <w:r w:rsidR="00AC5AB3">
              <w:rPr>
                <w:webHidden/>
              </w:rPr>
              <w:fldChar w:fldCharType="end"/>
            </w:r>
          </w:hyperlink>
        </w:p>
        <w:p w14:paraId="1BE16260" w14:textId="7A8B711A" w:rsidR="00AC5AB3" w:rsidRDefault="003B7E92">
          <w:pPr>
            <w:pStyle w:val="TOC1"/>
            <w:rPr>
              <w:rFonts w:asciiTheme="minorHAnsi" w:eastAsiaTheme="minorEastAsia" w:hAnsiTheme="minorHAnsi" w:cstheme="minorBidi"/>
              <w:sz w:val="22"/>
              <w:szCs w:val="22"/>
            </w:rPr>
          </w:pPr>
          <w:hyperlink w:anchor="_Toc513712777" w:history="1">
            <w:r w:rsidR="00AC5AB3" w:rsidRPr="00C73560">
              <w:rPr>
                <w:rStyle w:val="Hyperlink"/>
              </w:rPr>
              <w:t xml:space="preserve">Section 1: Assessment Summary of Australia’s High Seas </w:t>
            </w:r>
            <w:r w:rsidR="00AC5AB3">
              <w:rPr>
                <w:rStyle w:val="Hyperlink"/>
              </w:rPr>
              <w:t>P</w:t>
            </w:r>
            <w:r w:rsidR="00AC5AB3" w:rsidRPr="00C73560">
              <w:rPr>
                <w:rStyle w:val="Hyperlink"/>
              </w:rPr>
              <w:t>ermits Against the Guidelines for the Ecologically Sustainable Management of Fisheries (2nd Edition), Consistent with the EPBC Act</w:t>
            </w:r>
            <w:r w:rsidR="00AC5AB3">
              <w:rPr>
                <w:webHidden/>
              </w:rPr>
              <w:tab/>
            </w:r>
            <w:r w:rsidR="00AC5AB3">
              <w:rPr>
                <w:webHidden/>
              </w:rPr>
              <w:fldChar w:fldCharType="begin"/>
            </w:r>
            <w:r w:rsidR="00AC5AB3">
              <w:rPr>
                <w:webHidden/>
              </w:rPr>
              <w:instrText xml:space="preserve"> PAGEREF _Toc513712777 \h </w:instrText>
            </w:r>
            <w:r w:rsidR="00AC5AB3">
              <w:rPr>
                <w:webHidden/>
              </w:rPr>
            </w:r>
            <w:r w:rsidR="00AC5AB3">
              <w:rPr>
                <w:webHidden/>
              </w:rPr>
              <w:fldChar w:fldCharType="separate"/>
            </w:r>
            <w:r w:rsidR="00AC5AB3">
              <w:rPr>
                <w:webHidden/>
              </w:rPr>
              <w:t>2</w:t>
            </w:r>
            <w:r w:rsidR="00AC5AB3">
              <w:rPr>
                <w:webHidden/>
              </w:rPr>
              <w:fldChar w:fldCharType="end"/>
            </w:r>
          </w:hyperlink>
        </w:p>
        <w:p w14:paraId="3087BEBD" w14:textId="6CFB875B" w:rsidR="00AC5AB3" w:rsidRDefault="003B7E92">
          <w:pPr>
            <w:pStyle w:val="TOC1"/>
            <w:rPr>
              <w:rFonts w:asciiTheme="minorHAnsi" w:eastAsiaTheme="minorEastAsia" w:hAnsiTheme="minorHAnsi" w:cstheme="minorBidi"/>
              <w:sz w:val="22"/>
              <w:szCs w:val="22"/>
            </w:rPr>
          </w:pPr>
          <w:hyperlink w:anchor="_Toc513712778" w:history="1">
            <w:r w:rsidR="00AC5AB3" w:rsidRPr="00C73560">
              <w:rPr>
                <w:rStyle w:val="Hyperlink"/>
              </w:rPr>
              <w:t xml:space="preserve">Section 2: Detailed Analysis of Australia’s High Seas </w:t>
            </w:r>
            <w:r w:rsidR="00AC5AB3">
              <w:rPr>
                <w:rStyle w:val="Hyperlink"/>
              </w:rPr>
              <w:t>P</w:t>
            </w:r>
            <w:r w:rsidR="00AC5AB3" w:rsidRPr="00C73560">
              <w:rPr>
                <w:rStyle w:val="Hyperlink"/>
              </w:rPr>
              <w:t>ermits Against the Guidelines for the Ecologically Sustainable Management of Fisheries (2nd Edition)</w:t>
            </w:r>
            <w:r w:rsidR="00AC5AB3">
              <w:rPr>
                <w:webHidden/>
              </w:rPr>
              <w:tab/>
            </w:r>
            <w:r w:rsidR="00AC5AB3">
              <w:rPr>
                <w:webHidden/>
              </w:rPr>
              <w:fldChar w:fldCharType="begin"/>
            </w:r>
            <w:r w:rsidR="00AC5AB3">
              <w:rPr>
                <w:webHidden/>
              </w:rPr>
              <w:instrText xml:space="preserve"> PAGEREF _Toc513712778 \h </w:instrText>
            </w:r>
            <w:r w:rsidR="00AC5AB3">
              <w:rPr>
                <w:webHidden/>
              </w:rPr>
            </w:r>
            <w:r w:rsidR="00AC5AB3">
              <w:rPr>
                <w:webHidden/>
              </w:rPr>
              <w:fldChar w:fldCharType="separate"/>
            </w:r>
            <w:r w:rsidR="00AC5AB3">
              <w:rPr>
                <w:webHidden/>
              </w:rPr>
              <w:t>4</w:t>
            </w:r>
            <w:r w:rsidR="00AC5AB3">
              <w:rPr>
                <w:webHidden/>
              </w:rPr>
              <w:fldChar w:fldCharType="end"/>
            </w:r>
          </w:hyperlink>
        </w:p>
        <w:p w14:paraId="62AD2589" w14:textId="65043353" w:rsidR="00AC5AB3" w:rsidRDefault="003B7E92">
          <w:pPr>
            <w:pStyle w:val="TOC1"/>
            <w:rPr>
              <w:rFonts w:asciiTheme="minorHAnsi" w:eastAsiaTheme="minorEastAsia" w:hAnsiTheme="minorHAnsi" w:cstheme="minorBidi"/>
              <w:sz w:val="22"/>
              <w:szCs w:val="22"/>
            </w:rPr>
          </w:pPr>
          <w:hyperlink w:anchor="_Toc513712779" w:history="1">
            <w:r w:rsidR="00AC5AB3" w:rsidRPr="00C73560">
              <w:rPr>
                <w:rStyle w:val="Hyperlink"/>
              </w:rPr>
              <w:t xml:space="preserve">Section 3: Assessment of Australia’s High Seas </w:t>
            </w:r>
            <w:r w:rsidR="00AC5AB3">
              <w:rPr>
                <w:rStyle w:val="Hyperlink"/>
              </w:rPr>
              <w:t>P</w:t>
            </w:r>
            <w:r w:rsidR="00AC5AB3" w:rsidRPr="00C73560">
              <w:rPr>
                <w:rStyle w:val="Hyperlink"/>
              </w:rPr>
              <w:t>ermits Against the Requirements of the EPBC Act</w:t>
            </w:r>
            <w:r w:rsidR="00AC5AB3">
              <w:rPr>
                <w:webHidden/>
              </w:rPr>
              <w:tab/>
            </w:r>
            <w:r w:rsidR="00AC5AB3">
              <w:rPr>
                <w:webHidden/>
              </w:rPr>
              <w:fldChar w:fldCharType="begin"/>
            </w:r>
            <w:r w:rsidR="00AC5AB3">
              <w:rPr>
                <w:webHidden/>
              </w:rPr>
              <w:instrText xml:space="preserve"> PAGEREF _Toc513712779 \h </w:instrText>
            </w:r>
            <w:r w:rsidR="00AC5AB3">
              <w:rPr>
                <w:webHidden/>
              </w:rPr>
            </w:r>
            <w:r w:rsidR="00AC5AB3">
              <w:rPr>
                <w:webHidden/>
              </w:rPr>
              <w:fldChar w:fldCharType="separate"/>
            </w:r>
            <w:r w:rsidR="00AC5AB3">
              <w:rPr>
                <w:webHidden/>
              </w:rPr>
              <w:t>14</w:t>
            </w:r>
            <w:r w:rsidR="00AC5AB3">
              <w:rPr>
                <w:webHidden/>
              </w:rPr>
              <w:fldChar w:fldCharType="end"/>
            </w:r>
          </w:hyperlink>
        </w:p>
        <w:p w14:paraId="2785E08C" w14:textId="77777777" w:rsidR="00AC5AB3" w:rsidRDefault="003B7E92">
          <w:pPr>
            <w:pStyle w:val="TOC1"/>
            <w:rPr>
              <w:rFonts w:asciiTheme="minorHAnsi" w:eastAsiaTheme="minorEastAsia" w:hAnsiTheme="minorHAnsi" w:cstheme="minorBidi"/>
              <w:sz w:val="22"/>
              <w:szCs w:val="22"/>
            </w:rPr>
          </w:pPr>
          <w:hyperlink w:anchor="_Toc513712780" w:history="1">
            <w:r w:rsidR="00AC5AB3" w:rsidRPr="00C73560">
              <w:rPr>
                <w:rStyle w:val="Hyperlink"/>
              </w:rPr>
              <w:t>References</w:t>
            </w:r>
            <w:r w:rsidR="00AC5AB3">
              <w:rPr>
                <w:webHidden/>
              </w:rPr>
              <w:tab/>
            </w:r>
            <w:r w:rsidR="00AC5AB3">
              <w:rPr>
                <w:webHidden/>
              </w:rPr>
              <w:fldChar w:fldCharType="begin"/>
            </w:r>
            <w:r w:rsidR="00AC5AB3">
              <w:rPr>
                <w:webHidden/>
              </w:rPr>
              <w:instrText xml:space="preserve"> PAGEREF _Toc513712780 \h </w:instrText>
            </w:r>
            <w:r w:rsidR="00AC5AB3">
              <w:rPr>
                <w:webHidden/>
              </w:rPr>
            </w:r>
            <w:r w:rsidR="00AC5AB3">
              <w:rPr>
                <w:webHidden/>
              </w:rPr>
              <w:fldChar w:fldCharType="separate"/>
            </w:r>
            <w:r w:rsidR="00AC5AB3">
              <w:rPr>
                <w:webHidden/>
              </w:rPr>
              <w:t>19</w:t>
            </w:r>
            <w:r w:rsidR="00AC5AB3">
              <w:rPr>
                <w:webHidden/>
              </w:rPr>
              <w:fldChar w:fldCharType="end"/>
            </w:r>
          </w:hyperlink>
        </w:p>
        <w:p w14:paraId="16AFA717" w14:textId="77777777" w:rsidR="00134108" w:rsidRPr="00893305" w:rsidRDefault="00134108" w:rsidP="00134108">
          <w:pPr>
            <w:rPr>
              <w:rFonts w:cs="Arial"/>
            </w:rPr>
          </w:pPr>
          <w:r w:rsidRPr="00893305">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911004E" w14:textId="41442777" w:rsidR="00CF1DE5" w:rsidRPr="006E4EA3" w:rsidRDefault="00CF1DE5" w:rsidP="006E4EA3">
      <w:pPr>
        <w:pStyle w:val="Heading1"/>
      </w:pPr>
      <w:bookmarkStart w:id="1" w:name="_Toc513712776"/>
      <w:bookmarkStart w:id="2" w:name="_Toc513464261"/>
      <w:r w:rsidRPr="006E4EA3">
        <w:lastRenderedPageBreak/>
        <w:t xml:space="preserve">Executive Summary of the </w:t>
      </w:r>
      <w:r w:rsidR="00134108">
        <w:t>A</w:t>
      </w:r>
      <w:r w:rsidRPr="006E4EA3">
        <w:t xml:space="preserve">ssessment of </w:t>
      </w:r>
      <w:r w:rsidR="00F61DE4">
        <w:t>australia’s high seas permits</w:t>
      </w:r>
      <w:bookmarkEnd w:id="1"/>
      <w:bookmarkEnd w:id="2"/>
    </w:p>
    <w:p w14:paraId="348BA7B6" w14:textId="7BED7653" w:rsidR="001A34A7" w:rsidRDefault="00A67E13" w:rsidP="004263AE">
      <w:pPr>
        <w:tabs>
          <w:tab w:val="left" w:pos="360"/>
        </w:tabs>
        <w:spacing w:line="240" w:lineRule="auto"/>
        <w:rPr>
          <w:rFonts w:cs="Arial"/>
          <w:noProof/>
        </w:rPr>
      </w:pPr>
      <w:r>
        <w:rPr>
          <w:rFonts w:cs="Arial"/>
          <w:noProof/>
        </w:rPr>
        <w:t>I</w:t>
      </w:r>
      <w:r w:rsidR="001A34A7" w:rsidRPr="00F8472A">
        <w:rPr>
          <w:rFonts w:cs="Arial"/>
          <w:noProof/>
        </w:rPr>
        <w:t xml:space="preserve">n </w:t>
      </w:r>
      <w:r w:rsidR="00AC1FF7">
        <w:rPr>
          <w:rFonts w:cs="Arial"/>
          <w:noProof/>
        </w:rPr>
        <w:t>January 2018</w:t>
      </w:r>
      <w:r>
        <w:rPr>
          <w:rFonts w:cs="Arial"/>
          <w:noProof/>
        </w:rPr>
        <w:t>,</w:t>
      </w:r>
      <w:r w:rsidR="00AC1FF7">
        <w:rPr>
          <w:rFonts w:cs="Arial"/>
          <w:noProof/>
        </w:rPr>
        <w:t xml:space="preserve"> the Australian Fisheries Management Authority (AFMA) </w:t>
      </w:r>
      <w:r w:rsidR="001A34A7" w:rsidRPr="00F8472A">
        <w:rPr>
          <w:rFonts w:cs="Arial"/>
          <w:noProof/>
        </w:rPr>
        <w:t>s</w:t>
      </w:r>
      <w:r w:rsidR="00E3768F" w:rsidRPr="00F8472A">
        <w:rPr>
          <w:rFonts w:cs="Arial"/>
          <w:noProof/>
        </w:rPr>
        <w:t>ubmitted an application</w:t>
      </w:r>
      <w:r w:rsidR="001A34A7" w:rsidRPr="00F8472A">
        <w:rPr>
          <w:rFonts w:cs="Arial"/>
          <w:noProof/>
        </w:rPr>
        <w:t xml:space="preserve"> for </w:t>
      </w:r>
      <w:r w:rsidR="00AC1FF7">
        <w:rPr>
          <w:rFonts w:cs="Arial"/>
          <w:noProof/>
        </w:rPr>
        <w:t xml:space="preserve">assessment of </w:t>
      </w:r>
      <w:r w:rsidR="00F61DE4">
        <w:rPr>
          <w:rFonts w:cs="Arial"/>
          <w:noProof/>
        </w:rPr>
        <w:t>Australia’s High Seas Permits</w:t>
      </w:r>
      <w:r w:rsidR="00AC1FF7">
        <w:rPr>
          <w:rFonts w:cs="Arial"/>
          <w:noProof/>
        </w:rPr>
        <w:t xml:space="preserve"> </w:t>
      </w:r>
      <w:r w:rsidR="00993066">
        <w:rPr>
          <w:rFonts w:cs="Arial"/>
          <w:noProof/>
        </w:rPr>
        <w:t xml:space="preserve">(the fishery) </w:t>
      </w:r>
      <w:r w:rsidR="001A34A7" w:rsidRPr="00F8472A">
        <w:rPr>
          <w:rFonts w:cs="Arial"/>
          <w:noProof/>
        </w:rPr>
        <w:t xml:space="preserve">to the Department of </w:t>
      </w:r>
      <w:r w:rsidR="00DF27FA" w:rsidRPr="00F8472A">
        <w:rPr>
          <w:rFonts w:cs="Arial"/>
          <w:noProof/>
        </w:rPr>
        <w:t xml:space="preserve">the </w:t>
      </w:r>
      <w:r w:rsidR="001A34A7" w:rsidRPr="00F8472A">
        <w:rPr>
          <w:rFonts w:cs="Arial"/>
          <w:noProof/>
        </w:rPr>
        <w:t xml:space="preserve">Environment and Energy </w:t>
      </w:r>
      <w:r w:rsidR="00E3768F" w:rsidRPr="00F8472A">
        <w:rPr>
          <w:rFonts w:cs="Arial"/>
          <w:noProof/>
        </w:rPr>
        <w:t>under the</w:t>
      </w:r>
      <w:r w:rsidR="001A34A7" w:rsidRPr="00F8472A">
        <w:rPr>
          <w:rFonts w:cs="Arial"/>
          <w:noProof/>
        </w:rPr>
        <w:t xml:space="preserve"> </w:t>
      </w:r>
      <w:r w:rsidR="00E3768F" w:rsidRPr="00F8472A">
        <w:rPr>
          <w:rFonts w:cs="Arial"/>
          <w:noProof/>
        </w:rPr>
        <w:t>EPBC Act</w:t>
      </w:r>
      <w:r w:rsidR="00AC1FF7">
        <w:rPr>
          <w:rFonts w:cs="Arial"/>
          <w:noProof/>
        </w:rPr>
        <w:t xml:space="preserve">. This fishery has been assessed using the </w:t>
      </w:r>
      <w:r w:rsidR="001A34A7" w:rsidRPr="00F8472A">
        <w:rPr>
          <w:rFonts w:cs="Arial"/>
          <w:noProof/>
        </w:rPr>
        <w:t xml:space="preserve">Australian Government ‘Guidelines for the Ecologically Sustainable Management of Fisheries – 2nd Edition’. </w:t>
      </w:r>
      <w:r w:rsidR="00515702">
        <w:rPr>
          <w:rFonts w:cs="Arial"/>
          <w:noProof/>
        </w:rPr>
        <w:t xml:space="preserve">As part of this process, public </w:t>
      </w:r>
      <w:r w:rsidR="00AC1FF7">
        <w:rPr>
          <w:rFonts w:cs="Arial"/>
          <w:noProof/>
        </w:rPr>
        <w:t xml:space="preserve">comments were sought from </w:t>
      </w:r>
      <w:r w:rsidR="00AC1FF7" w:rsidRPr="00AC1FF7">
        <w:rPr>
          <w:rFonts w:cs="Arial"/>
          <w:noProof/>
        </w:rPr>
        <w:t>14 February 2018 until 6 April 2018</w:t>
      </w:r>
      <w:r w:rsidR="00942134">
        <w:rPr>
          <w:rFonts w:cs="Arial"/>
          <w:noProof/>
        </w:rPr>
        <w:t>. N</w:t>
      </w:r>
      <w:r w:rsidR="00AC1FF7" w:rsidRPr="00AC1FF7">
        <w:rPr>
          <w:rFonts w:cs="Arial"/>
          <w:noProof/>
        </w:rPr>
        <w:t xml:space="preserve">o comments </w:t>
      </w:r>
      <w:r w:rsidR="00AC1FF7">
        <w:rPr>
          <w:rFonts w:cs="Arial"/>
          <w:noProof/>
        </w:rPr>
        <w:t xml:space="preserve">were </w:t>
      </w:r>
      <w:r w:rsidR="00AC1FF7" w:rsidRPr="00AC1FF7">
        <w:rPr>
          <w:rFonts w:cs="Arial"/>
          <w:noProof/>
        </w:rPr>
        <w:t>received.</w:t>
      </w:r>
    </w:p>
    <w:p w14:paraId="3E58A195" w14:textId="310F3E49" w:rsidR="00515702" w:rsidRPr="00A67E13" w:rsidRDefault="00515702" w:rsidP="004263AE">
      <w:pPr>
        <w:tabs>
          <w:tab w:val="left" w:pos="360"/>
        </w:tabs>
        <w:spacing w:line="240" w:lineRule="auto"/>
        <w:rPr>
          <w:rFonts w:cs="Arial"/>
          <w:b/>
          <w:iCs/>
          <w:noProof/>
        </w:rPr>
      </w:pPr>
      <w:r w:rsidRPr="00A67E13">
        <w:rPr>
          <w:rFonts w:cs="Arial"/>
          <w:b/>
          <w:iCs/>
          <w:noProof/>
        </w:rPr>
        <w:t>The Fishery</w:t>
      </w:r>
    </w:p>
    <w:p w14:paraId="3845E2DC" w14:textId="588A7CEF" w:rsidR="00AC1FF7" w:rsidRDefault="00993066" w:rsidP="004263AE">
      <w:pPr>
        <w:tabs>
          <w:tab w:val="left" w:pos="360"/>
        </w:tabs>
        <w:spacing w:line="240" w:lineRule="auto"/>
        <w:rPr>
          <w:rFonts w:cs="Arial"/>
          <w:iCs/>
          <w:noProof/>
        </w:rPr>
      </w:pPr>
      <w:r>
        <w:rPr>
          <w:rFonts w:cs="Arial"/>
          <w:iCs/>
          <w:noProof/>
        </w:rPr>
        <w:t>The fishery</w:t>
      </w:r>
      <w:r w:rsidR="00095EBB" w:rsidRPr="00F8472A">
        <w:rPr>
          <w:rFonts w:cs="Arial"/>
          <w:iCs/>
          <w:noProof/>
        </w:rPr>
        <w:t xml:space="preserve"> </w:t>
      </w:r>
      <w:r w:rsidR="00A67E13">
        <w:rPr>
          <w:rFonts w:cs="Arial"/>
          <w:iCs/>
          <w:noProof/>
        </w:rPr>
        <w:t>operates in the</w:t>
      </w:r>
      <w:r w:rsidR="00AC1FF7" w:rsidRPr="00AC1FF7">
        <w:rPr>
          <w:rFonts w:cs="Arial"/>
          <w:iCs/>
          <w:noProof/>
        </w:rPr>
        <w:t xml:space="preserve"> high-seas areas of the south Pacific and southern Indian oceans</w:t>
      </w:r>
      <w:r>
        <w:rPr>
          <w:rFonts w:cs="Arial"/>
          <w:iCs/>
          <w:noProof/>
        </w:rPr>
        <w:t xml:space="preserve"> and</w:t>
      </w:r>
      <w:r w:rsidR="00F61DE4">
        <w:rPr>
          <w:rFonts w:cs="Arial"/>
          <w:iCs/>
          <w:noProof/>
        </w:rPr>
        <w:t xml:space="preserve"> is managed by AFMA in accordance with the </w:t>
      </w:r>
      <w:r w:rsidR="00F61DE4" w:rsidRPr="00A67E13">
        <w:rPr>
          <w:rFonts w:cs="Arial"/>
          <w:i/>
          <w:iCs/>
          <w:noProof/>
        </w:rPr>
        <w:t>Fisheries Management Act 1991 (Cth)</w:t>
      </w:r>
      <w:r w:rsidR="00F61DE4">
        <w:rPr>
          <w:rFonts w:cs="Arial"/>
          <w:iCs/>
          <w:noProof/>
        </w:rPr>
        <w:t xml:space="preserve"> and Fisheries Management Regulations (1992 (Cth). </w:t>
      </w:r>
      <w:r w:rsidR="00515702">
        <w:rPr>
          <w:rFonts w:cs="Arial"/>
          <w:iCs/>
          <w:noProof/>
        </w:rPr>
        <w:t>F</w:t>
      </w:r>
      <w:r w:rsidR="00AC1FF7" w:rsidRPr="00AC1FF7">
        <w:rPr>
          <w:rFonts w:cs="Arial"/>
          <w:iCs/>
          <w:noProof/>
        </w:rPr>
        <w:t xml:space="preserve">isheries resources in these areas </w:t>
      </w:r>
      <w:r w:rsidR="00515702">
        <w:rPr>
          <w:rFonts w:cs="Arial"/>
          <w:iCs/>
          <w:noProof/>
        </w:rPr>
        <w:t xml:space="preserve">are </w:t>
      </w:r>
      <w:r>
        <w:rPr>
          <w:rFonts w:cs="Arial"/>
          <w:iCs/>
          <w:noProof/>
        </w:rPr>
        <w:t xml:space="preserve">also </w:t>
      </w:r>
      <w:r w:rsidR="00AC1FF7" w:rsidRPr="00AC1FF7">
        <w:rPr>
          <w:rFonts w:cs="Arial"/>
          <w:iCs/>
          <w:noProof/>
        </w:rPr>
        <w:t>under the jurisdiction of two regional fisheries management treaties: the Convention on the Conservation and Management of High Seas Fishery Resources in the South Pacific Ocean (South Pacific Regional Fis</w:t>
      </w:r>
      <w:r w:rsidR="00D27B23">
        <w:rPr>
          <w:rFonts w:cs="Arial"/>
          <w:iCs/>
          <w:noProof/>
        </w:rPr>
        <w:t>heries Management Organisation [</w:t>
      </w:r>
      <w:r w:rsidR="00AC1FF7" w:rsidRPr="00AC1FF7">
        <w:rPr>
          <w:rFonts w:cs="Arial"/>
          <w:iCs/>
          <w:noProof/>
        </w:rPr>
        <w:t>SPRFMO] Convention</w:t>
      </w:r>
      <w:r w:rsidR="00515702" w:rsidRPr="00AC1FF7">
        <w:rPr>
          <w:rFonts w:cs="Arial"/>
          <w:iCs/>
          <w:noProof/>
        </w:rPr>
        <w:t>)</w:t>
      </w:r>
      <w:r w:rsidR="00515702">
        <w:rPr>
          <w:rFonts w:cs="Arial"/>
          <w:iCs/>
          <w:noProof/>
        </w:rPr>
        <w:t>;</w:t>
      </w:r>
      <w:r w:rsidR="00515702" w:rsidRPr="00AC1FF7">
        <w:rPr>
          <w:rFonts w:cs="Arial"/>
          <w:iCs/>
          <w:noProof/>
        </w:rPr>
        <w:t xml:space="preserve"> </w:t>
      </w:r>
      <w:r w:rsidR="00AC1FF7" w:rsidRPr="00AC1FF7">
        <w:rPr>
          <w:rFonts w:cs="Arial"/>
          <w:iCs/>
          <w:noProof/>
        </w:rPr>
        <w:t>and the Southern Indian Oce</w:t>
      </w:r>
      <w:r w:rsidR="004E5E68">
        <w:rPr>
          <w:rFonts w:cs="Arial"/>
          <w:iCs/>
          <w:noProof/>
        </w:rPr>
        <w:t>an Fisheries Agreement (SIOFA).</w:t>
      </w:r>
    </w:p>
    <w:p w14:paraId="48C3ED5F" w14:textId="78B1344E" w:rsidR="00B86380" w:rsidRDefault="00F61DE4" w:rsidP="004263AE">
      <w:pPr>
        <w:tabs>
          <w:tab w:val="left" w:pos="360"/>
        </w:tabs>
        <w:spacing w:line="240" w:lineRule="auto"/>
        <w:rPr>
          <w:rFonts w:cs="Arial"/>
          <w:iCs/>
          <w:noProof/>
        </w:rPr>
      </w:pPr>
      <w:r>
        <w:rPr>
          <w:rFonts w:cs="Arial"/>
          <w:iCs/>
          <w:noProof/>
        </w:rPr>
        <w:t>The management arrangements for the fishery</w:t>
      </w:r>
      <w:r w:rsidR="00993066">
        <w:rPr>
          <w:rFonts w:cs="Arial"/>
          <w:iCs/>
          <w:noProof/>
        </w:rPr>
        <w:t xml:space="preserve"> are well developed and well documented but do not include performance measures or frameworks which outline decision processes. Measures include</w:t>
      </w:r>
      <w:r>
        <w:rPr>
          <w:rFonts w:cs="Arial"/>
          <w:iCs/>
          <w:noProof/>
        </w:rPr>
        <w:t xml:space="preserve"> area and gear restrictions, trigger limits for catch and interactions with vulnerable marine ecosystems which trigger management responses</w:t>
      </w:r>
      <w:r w:rsidR="00273326">
        <w:rPr>
          <w:rFonts w:cs="Arial"/>
          <w:iCs/>
          <w:noProof/>
        </w:rPr>
        <w:t>. Theses measures all contribute to</w:t>
      </w:r>
      <w:r w:rsidR="00993066">
        <w:rPr>
          <w:rFonts w:cs="Arial"/>
          <w:iCs/>
          <w:noProof/>
        </w:rPr>
        <w:t xml:space="preserve"> lower the risk of this fishery to target species and the surrounding ecosystem</w:t>
      </w:r>
      <w:r>
        <w:rPr>
          <w:rFonts w:cs="Arial"/>
          <w:iCs/>
          <w:noProof/>
        </w:rPr>
        <w:t>.</w:t>
      </w:r>
    </w:p>
    <w:p w14:paraId="06604503" w14:textId="010AEDB7" w:rsidR="00A67E13" w:rsidRPr="00A67E13" w:rsidRDefault="00A67E13" w:rsidP="004263AE">
      <w:pPr>
        <w:tabs>
          <w:tab w:val="left" w:pos="360"/>
        </w:tabs>
        <w:spacing w:line="240" w:lineRule="auto"/>
        <w:rPr>
          <w:rFonts w:cs="Arial"/>
          <w:b/>
          <w:iCs/>
          <w:noProof/>
        </w:rPr>
      </w:pPr>
      <w:r w:rsidRPr="00A67E13">
        <w:rPr>
          <w:rFonts w:cs="Arial"/>
          <w:b/>
          <w:iCs/>
          <w:noProof/>
        </w:rPr>
        <w:t>Target stocks</w:t>
      </w:r>
    </w:p>
    <w:p w14:paraId="72A724F4" w14:textId="77978947" w:rsidR="00A67E13" w:rsidRDefault="00A67E13" w:rsidP="004263AE">
      <w:pPr>
        <w:tabs>
          <w:tab w:val="left" w:pos="360"/>
        </w:tabs>
        <w:spacing w:line="240" w:lineRule="auto"/>
        <w:rPr>
          <w:rFonts w:cs="Arial"/>
          <w:iCs/>
          <w:noProof/>
        </w:rPr>
      </w:pPr>
      <w:r>
        <w:rPr>
          <w:rFonts w:cs="Arial"/>
          <w:iCs/>
          <w:noProof/>
        </w:rPr>
        <w:t>The fishery targets de</w:t>
      </w:r>
      <w:r w:rsidR="005E212E">
        <w:rPr>
          <w:rFonts w:cs="Arial"/>
          <w:iCs/>
          <w:noProof/>
        </w:rPr>
        <w:t>mersal</w:t>
      </w:r>
      <w:r>
        <w:rPr>
          <w:rFonts w:cs="Arial"/>
          <w:iCs/>
          <w:noProof/>
        </w:rPr>
        <w:t xml:space="preserve"> fish species and Australia permits its vessels to use </w:t>
      </w:r>
      <w:r w:rsidRPr="00AC1FF7">
        <w:rPr>
          <w:rFonts w:cs="Arial"/>
          <w:iCs/>
          <w:noProof/>
        </w:rPr>
        <w:t>midwater trawl, demersal trawl, auto-longline, dropline and trap</w:t>
      </w:r>
      <w:r>
        <w:rPr>
          <w:rFonts w:cs="Arial"/>
          <w:iCs/>
          <w:noProof/>
        </w:rPr>
        <w:t xml:space="preserve"> fishing in the</w:t>
      </w:r>
      <w:r w:rsidR="005E212E">
        <w:rPr>
          <w:rFonts w:cs="Arial"/>
          <w:iCs/>
          <w:noProof/>
        </w:rPr>
        <w:t xml:space="preserve"> fishery</w:t>
      </w:r>
      <w:r>
        <w:rPr>
          <w:rFonts w:cs="Arial"/>
          <w:iCs/>
          <w:noProof/>
        </w:rPr>
        <w:t>. I</w:t>
      </w:r>
      <w:r w:rsidRPr="00B86380">
        <w:rPr>
          <w:rFonts w:cs="Arial"/>
          <w:iCs/>
          <w:noProof/>
        </w:rPr>
        <w:t xml:space="preserve">nformation on stocks is limited </w:t>
      </w:r>
      <w:r>
        <w:rPr>
          <w:rFonts w:cs="Arial"/>
          <w:iCs/>
          <w:noProof/>
        </w:rPr>
        <w:t xml:space="preserve">and </w:t>
      </w:r>
      <w:r w:rsidRPr="00B86380">
        <w:rPr>
          <w:rFonts w:cs="Arial"/>
          <w:iCs/>
          <w:noProof/>
        </w:rPr>
        <w:t xml:space="preserve">ecological risk assessments have yet to be completed </w:t>
      </w:r>
      <w:r>
        <w:rPr>
          <w:rFonts w:cs="Arial"/>
          <w:iCs/>
          <w:noProof/>
        </w:rPr>
        <w:t xml:space="preserve">but </w:t>
      </w:r>
      <w:r w:rsidRPr="00B86380">
        <w:rPr>
          <w:rFonts w:cs="Arial"/>
          <w:iCs/>
          <w:noProof/>
        </w:rPr>
        <w:t>the fishery is managed in a precautionary way</w:t>
      </w:r>
      <w:r>
        <w:rPr>
          <w:rFonts w:cs="Arial"/>
          <w:iCs/>
          <w:noProof/>
        </w:rPr>
        <w:t xml:space="preserve"> which is </w:t>
      </w:r>
      <w:r w:rsidRPr="00B86380">
        <w:rPr>
          <w:rFonts w:cs="Arial"/>
          <w:iCs/>
          <w:noProof/>
        </w:rPr>
        <w:t>unlikely to result in overfishing</w:t>
      </w:r>
      <w:r>
        <w:rPr>
          <w:rFonts w:cs="Arial"/>
          <w:iCs/>
          <w:noProof/>
        </w:rPr>
        <w:t xml:space="preserve">, </w:t>
      </w:r>
      <w:r w:rsidRPr="00B86380">
        <w:rPr>
          <w:rFonts w:cs="Arial"/>
          <w:iCs/>
          <w:noProof/>
        </w:rPr>
        <w:t>threaten bycatch species</w:t>
      </w:r>
      <w:r>
        <w:rPr>
          <w:rFonts w:cs="Arial"/>
          <w:iCs/>
          <w:noProof/>
        </w:rPr>
        <w:t xml:space="preserve"> or </w:t>
      </w:r>
      <w:r w:rsidRPr="00B86380">
        <w:rPr>
          <w:rFonts w:cs="Arial"/>
          <w:iCs/>
          <w:noProof/>
        </w:rPr>
        <w:t>the structure, productivity, function or biodiversity of the ecosystem.</w:t>
      </w:r>
    </w:p>
    <w:p w14:paraId="0D2FE257" w14:textId="29F1624D" w:rsidR="00A67E13" w:rsidRPr="00A67E13" w:rsidRDefault="00A67E13" w:rsidP="004263AE">
      <w:pPr>
        <w:tabs>
          <w:tab w:val="left" w:pos="360"/>
        </w:tabs>
        <w:spacing w:line="240" w:lineRule="auto"/>
        <w:rPr>
          <w:rFonts w:cs="Arial"/>
          <w:b/>
          <w:iCs/>
          <w:noProof/>
        </w:rPr>
      </w:pPr>
      <w:r w:rsidRPr="00A67E13">
        <w:rPr>
          <w:rFonts w:cs="Arial"/>
          <w:b/>
          <w:iCs/>
          <w:noProof/>
        </w:rPr>
        <w:t>Protected Species and ecosystems</w:t>
      </w:r>
    </w:p>
    <w:p w14:paraId="162BD0AE" w14:textId="5C45E3D4" w:rsidR="00A67E13" w:rsidRDefault="005E212E" w:rsidP="004263AE">
      <w:pPr>
        <w:tabs>
          <w:tab w:val="left" w:pos="360"/>
        </w:tabs>
        <w:spacing w:line="240" w:lineRule="auto"/>
        <w:rPr>
          <w:rFonts w:cs="Arial"/>
          <w:b/>
          <w:i/>
          <w:iCs/>
          <w:noProof/>
        </w:rPr>
      </w:pPr>
      <w:r>
        <w:rPr>
          <w:rFonts w:cs="Arial"/>
          <w:iCs/>
          <w:noProof/>
        </w:rPr>
        <w:t>The fishery has low reported interactions with protected species</w:t>
      </w:r>
      <w:r w:rsidR="00560B6D">
        <w:rPr>
          <w:rFonts w:cs="Arial"/>
          <w:iCs/>
          <w:noProof/>
        </w:rPr>
        <w:t xml:space="preserve">. The environmental impact of the fishery is low </w:t>
      </w:r>
      <w:r>
        <w:rPr>
          <w:rFonts w:cs="Arial"/>
          <w:iCs/>
          <w:noProof/>
        </w:rPr>
        <w:t xml:space="preserve">due to the small scale of the fishery and </w:t>
      </w:r>
      <w:r w:rsidR="00F61DE4">
        <w:rPr>
          <w:rFonts w:cs="Arial"/>
          <w:iCs/>
          <w:noProof/>
        </w:rPr>
        <w:t xml:space="preserve">the </w:t>
      </w:r>
      <w:r>
        <w:rPr>
          <w:rFonts w:cs="Arial"/>
          <w:iCs/>
          <w:noProof/>
        </w:rPr>
        <w:t>mitigation measures in place</w:t>
      </w:r>
      <w:r w:rsidR="00560B6D">
        <w:rPr>
          <w:rFonts w:cs="Arial"/>
          <w:iCs/>
          <w:noProof/>
        </w:rPr>
        <w:t>.</w:t>
      </w:r>
      <w:r>
        <w:rPr>
          <w:rFonts w:cs="Arial"/>
          <w:iCs/>
          <w:noProof/>
        </w:rPr>
        <w:t xml:space="preserve"> </w:t>
      </w:r>
    </w:p>
    <w:p w14:paraId="0C514DB2" w14:textId="73D71258" w:rsidR="00515702" w:rsidRPr="00A67E13" w:rsidRDefault="00515702" w:rsidP="004263AE">
      <w:pPr>
        <w:tabs>
          <w:tab w:val="left" w:pos="360"/>
        </w:tabs>
        <w:spacing w:line="240" w:lineRule="auto"/>
        <w:rPr>
          <w:rFonts w:cs="Arial"/>
          <w:b/>
          <w:iCs/>
          <w:noProof/>
        </w:rPr>
      </w:pPr>
      <w:r w:rsidRPr="00A67E13">
        <w:rPr>
          <w:rFonts w:cs="Arial"/>
          <w:b/>
          <w:iCs/>
          <w:noProof/>
        </w:rPr>
        <w:t>Conclusion</w:t>
      </w:r>
    </w:p>
    <w:p w14:paraId="51387194" w14:textId="0D8AC8A3" w:rsidR="00574DD7" w:rsidRPr="00D541C1" w:rsidRDefault="00F61DE4" w:rsidP="004263AE">
      <w:pPr>
        <w:spacing w:line="240" w:lineRule="auto"/>
        <w:rPr>
          <w:rFonts w:cs="Arial"/>
          <w:noProof/>
        </w:rPr>
        <w:sectPr w:rsidR="00574DD7" w:rsidRPr="00D541C1" w:rsidSect="001955CD">
          <w:pgSz w:w="11906" w:h="16838"/>
          <w:pgMar w:top="1418" w:right="1276" w:bottom="567" w:left="1418" w:header="425" w:footer="425" w:gutter="0"/>
          <w:pgNumType w:start="1"/>
          <w:cols w:space="708"/>
          <w:titlePg/>
          <w:docGrid w:linePitch="360"/>
        </w:sectPr>
      </w:pPr>
      <w:r>
        <w:rPr>
          <w:rFonts w:cs="Arial"/>
          <w:noProof/>
        </w:rPr>
        <w:t xml:space="preserve">Following the assessment against the Guidelines at Section 2, while there are some environmental risks associated with the fishery, Australia’s High Seas Permits has been found to meet the requirements of the EPBC Act. Product taken in this fishery is therefore recommended for inclusion in the list of exempt </w:t>
      </w:r>
      <w:r w:rsidR="00993066">
        <w:rPr>
          <w:rFonts w:cs="Arial"/>
          <w:noProof/>
        </w:rPr>
        <w:t xml:space="preserve">native specimens under Part 13A of the EPBC Act until </w:t>
      </w:r>
      <w:r w:rsidR="00211AA4" w:rsidRPr="00A42DA1">
        <w:rPr>
          <w:rFonts w:cs="Arial"/>
          <w:noProof/>
        </w:rPr>
        <w:t>9</w:t>
      </w:r>
      <w:r w:rsidR="00942134">
        <w:rPr>
          <w:rFonts w:cs="Arial"/>
          <w:noProof/>
        </w:rPr>
        <w:t> </w:t>
      </w:r>
      <w:r w:rsidR="00211AA4" w:rsidRPr="00A42DA1">
        <w:rPr>
          <w:rFonts w:cs="Arial"/>
          <w:noProof/>
        </w:rPr>
        <w:t>October</w:t>
      </w:r>
      <w:r w:rsidR="00942134">
        <w:rPr>
          <w:rFonts w:cs="Arial"/>
          <w:noProof/>
        </w:rPr>
        <w:t> </w:t>
      </w:r>
      <w:r w:rsidR="00211AA4" w:rsidRPr="00A42DA1">
        <w:rPr>
          <w:rFonts w:cs="Arial"/>
          <w:noProof/>
        </w:rPr>
        <w:t>2026</w:t>
      </w:r>
      <w:r w:rsidR="00CF1DE5" w:rsidRPr="00A42DA1">
        <w:rPr>
          <w:rFonts w:cs="Arial"/>
          <w:noProof/>
        </w:rPr>
        <w:t>.</w:t>
      </w:r>
    </w:p>
    <w:p w14:paraId="647FA7A4" w14:textId="3AF60A85" w:rsidR="00885298" w:rsidRPr="0027138D" w:rsidRDefault="00134108" w:rsidP="0080417B">
      <w:pPr>
        <w:pStyle w:val="Heading1"/>
        <w:rPr>
          <w:u w:val="single"/>
        </w:rPr>
      </w:pPr>
      <w:bookmarkStart w:id="3" w:name="_Toc513464262"/>
      <w:bookmarkStart w:id="4" w:name="_Toc513712777"/>
      <w:bookmarkStart w:id="5" w:name="_Toc316301050"/>
      <w:r>
        <w:lastRenderedPageBreak/>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 xml:space="preserve">ssessment Summary of </w:t>
      </w:r>
      <w:r w:rsidR="00AC5AB3">
        <w:rPr>
          <w:rStyle w:val="Emphasis"/>
          <w:i w:val="0"/>
          <w:iCs w:val="0"/>
        </w:rPr>
        <w:t>Australia’s H</w:t>
      </w:r>
      <w:r w:rsidR="0034477D">
        <w:rPr>
          <w:rStyle w:val="Emphasis"/>
          <w:i w:val="0"/>
          <w:iCs w:val="0"/>
        </w:rPr>
        <w:t xml:space="preserve">igh Seas </w:t>
      </w:r>
      <w:r w:rsidR="00AC5AB3">
        <w:rPr>
          <w:rStyle w:val="Emphasis"/>
          <w:i w:val="0"/>
          <w:iCs w:val="0"/>
        </w:rPr>
        <w:t>permits</w:t>
      </w:r>
      <w:r w:rsidR="0034477D">
        <w:rPr>
          <w:rStyle w:val="Emphasis"/>
          <w:i w:val="0"/>
          <w:iCs w:val="0"/>
        </w:rPr>
        <w:t xml:space="preserve"> </w:t>
      </w:r>
      <w:r>
        <w:rPr>
          <w:rStyle w:val="Emphasis"/>
          <w:i w:val="0"/>
          <w:iCs w:val="0"/>
        </w:rPr>
        <w:t>Against the Guidelines for the Ecologically Sustainable Management of Fisheries (2nd Edition), Consistent with the EPBC Act</w:t>
      </w:r>
      <w:bookmarkEnd w:id="3"/>
      <w:bookmarkEnd w:id="4"/>
    </w:p>
    <w:p w14:paraId="048F6092" w14:textId="77777777" w:rsidR="00AB194A" w:rsidRPr="00810CFF" w:rsidRDefault="00AB194A" w:rsidP="00AB194A">
      <w:pPr>
        <w:spacing w:after="0" w:line="240" w:lineRule="auto"/>
        <w:rPr>
          <w:rStyle w:val="Emphasis"/>
          <w:rFonts w:cs="Arial"/>
          <w:b/>
          <w:i w:val="0"/>
          <w:iCs w:val="0"/>
          <w:sz w:val="24"/>
          <w:szCs w:val="24"/>
        </w:rPr>
      </w:pPr>
    </w:p>
    <w:tbl>
      <w:tblPr>
        <w:tblStyle w:val="TableGrid"/>
        <w:tblW w:w="0" w:type="auto"/>
        <w:tblLook w:val="04A0" w:firstRow="1" w:lastRow="0" w:firstColumn="1" w:lastColumn="0" w:noHBand="0" w:noVBand="1"/>
      </w:tblPr>
      <w:tblGrid>
        <w:gridCol w:w="2689"/>
        <w:gridCol w:w="1701"/>
        <w:gridCol w:w="1842"/>
        <w:gridCol w:w="1843"/>
        <w:gridCol w:w="6031"/>
      </w:tblGrid>
      <w:tr w:rsidR="00AB194A" w:rsidRPr="00C61F76" w14:paraId="5241E59E" w14:textId="77777777" w:rsidTr="00A42DA1">
        <w:trPr>
          <w:cnfStyle w:val="100000000000" w:firstRow="1" w:lastRow="0" w:firstColumn="0" w:lastColumn="0" w:oddVBand="0" w:evenVBand="0" w:oddHBand="0" w:evenHBand="0" w:firstRowFirstColumn="0" w:firstRowLastColumn="0" w:lastRowFirstColumn="0" w:lastRowLastColumn="0"/>
        </w:trPr>
        <w:tc>
          <w:tcPr>
            <w:tcW w:w="2689" w:type="dxa"/>
            <w:vAlign w:val="center"/>
          </w:tcPr>
          <w:p w14:paraId="0B78829B" w14:textId="313DCC26" w:rsidR="00AB194A" w:rsidRPr="00C61F76" w:rsidRDefault="00AB194A" w:rsidP="00C61F76">
            <w:pPr>
              <w:ind w:left="426" w:hanging="426"/>
              <w:contextualSpacing/>
              <w:rPr>
                <w:rFonts w:cs="Arial"/>
                <w:b/>
              </w:rPr>
            </w:pPr>
          </w:p>
        </w:tc>
        <w:tc>
          <w:tcPr>
            <w:tcW w:w="1701" w:type="dxa"/>
            <w:shd w:val="clear" w:color="auto" w:fill="92D050"/>
            <w:vAlign w:val="center"/>
          </w:tcPr>
          <w:p w14:paraId="29372550" w14:textId="77777777" w:rsidR="00AB194A" w:rsidRPr="00C61F76" w:rsidRDefault="00AB194A" w:rsidP="00BF3070">
            <w:pPr>
              <w:contextualSpacing/>
              <w:jc w:val="center"/>
              <w:rPr>
                <w:rFonts w:cs="Arial"/>
                <w:b/>
              </w:rPr>
            </w:pPr>
            <w:r w:rsidRPr="00C61F76">
              <w:rPr>
                <w:rFonts w:cs="Arial"/>
                <w:b/>
              </w:rPr>
              <w:t>Meets</w:t>
            </w:r>
          </w:p>
        </w:tc>
        <w:tc>
          <w:tcPr>
            <w:tcW w:w="1842" w:type="dxa"/>
            <w:shd w:val="clear" w:color="auto" w:fill="FFC000"/>
            <w:vAlign w:val="center"/>
          </w:tcPr>
          <w:p w14:paraId="439F3FF6" w14:textId="77777777" w:rsidR="00AB194A" w:rsidRPr="00C61F76" w:rsidRDefault="00AB194A" w:rsidP="00BF3070">
            <w:pPr>
              <w:contextualSpacing/>
              <w:jc w:val="center"/>
              <w:rPr>
                <w:rFonts w:cs="Arial"/>
                <w:b/>
              </w:rPr>
            </w:pPr>
            <w:r w:rsidRPr="00C61F76">
              <w:rPr>
                <w:rFonts w:cs="Arial"/>
                <w:b/>
              </w:rPr>
              <w:t>Partially meets</w:t>
            </w:r>
          </w:p>
        </w:tc>
        <w:tc>
          <w:tcPr>
            <w:tcW w:w="1843" w:type="dxa"/>
            <w:shd w:val="clear" w:color="auto" w:fill="FF0000"/>
            <w:vAlign w:val="center"/>
          </w:tcPr>
          <w:p w14:paraId="4F65884C" w14:textId="77777777" w:rsidR="00AB194A" w:rsidRPr="00C61F76" w:rsidRDefault="00AB194A" w:rsidP="00BF3070">
            <w:pPr>
              <w:contextualSpacing/>
              <w:jc w:val="center"/>
              <w:rPr>
                <w:rFonts w:cs="Arial"/>
                <w:b/>
              </w:rPr>
            </w:pPr>
            <w:r w:rsidRPr="00C61F76">
              <w:rPr>
                <w:rFonts w:cs="Arial"/>
                <w:b/>
              </w:rPr>
              <w:t>Does not meet</w:t>
            </w:r>
          </w:p>
        </w:tc>
        <w:tc>
          <w:tcPr>
            <w:tcW w:w="6031" w:type="dxa"/>
            <w:vAlign w:val="center"/>
          </w:tcPr>
          <w:p w14:paraId="052AB3D7" w14:textId="77777777" w:rsidR="00AB194A" w:rsidRPr="00C61F76" w:rsidRDefault="00AB194A" w:rsidP="00C61F76">
            <w:pPr>
              <w:contextualSpacing/>
              <w:rPr>
                <w:rFonts w:cs="Arial"/>
                <w:b/>
              </w:rPr>
            </w:pPr>
            <w:r w:rsidRPr="00C61F76">
              <w:rPr>
                <w:rFonts w:cs="Arial"/>
                <w:b/>
              </w:rPr>
              <w:t>Details</w:t>
            </w:r>
          </w:p>
        </w:tc>
      </w:tr>
      <w:tr w:rsidR="00A905E7" w:rsidRPr="00C61F76" w14:paraId="2029917A" w14:textId="77777777" w:rsidTr="00A42DA1">
        <w:trPr>
          <w:cnfStyle w:val="000000100000" w:firstRow="0" w:lastRow="0" w:firstColumn="0" w:lastColumn="0" w:oddVBand="0" w:evenVBand="0" w:oddHBand="1" w:evenHBand="0" w:firstRowFirstColumn="0" w:firstRowLastColumn="0" w:lastRowFirstColumn="0" w:lastRowLastColumn="0"/>
        </w:trPr>
        <w:tc>
          <w:tcPr>
            <w:tcW w:w="2689" w:type="dxa"/>
            <w:vAlign w:val="center"/>
          </w:tcPr>
          <w:p w14:paraId="13095C2F" w14:textId="2ACD93A4" w:rsidR="00A905E7" w:rsidRPr="00C61F76" w:rsidRDefault="00A905E7" w:rsidP="00C61F76">
            <w:pPr>
              <w:ind w:left="426" w:hanging="426"/>
              <w:contextualSpacing/>
              <w:rPr>
                <w:rFonts w:cs="Arial"/>
                <w:b/>
              </w:rPr>
            </w:pPr>
            <w:r w:rsidRPr="00C61F76">
              <w:rPr>
                <w:rFonts w:cs="Arial"/>
                <w:b/>
              </w:rPr>
              <w:t>Guidelines assessment</w:t>
            </w:r>
          </w:p>
        </w:tc>
        <w:tc>
          <w:tcPr>
            <w:tcW w:w="1701" w:type="dxa"/>
            <w:shd w:val="clear" w:color="auto" w:fill="auto"/>
            <w:vAlign w:val="center"/>
          </w:tcPr>
          <w:p w14:paraId="692220BB" w14:textId="77777777" w:rsidR="00A905E7" w:rsidRPr="00C61F76" w:rsidRDefault="00A905E7" w:rsidP="00BF3070">
            <w:pPr>
              <w:contextualSpacing/>
              <w:jc w:val="center"/>
              <w:rPr>
                <w:rFonts w:cs="Arial"/>
                <w:b/>
              </w:rPr>
            </w:pPr>
          </w:p>
        </w:tc>
        <w:tc>
          <w:tcPr>
            <w:tcW w:w="1842" w:type="dxa"/>
            <w:shd w:val="clear" w:color="auto" w:fill="auto"/>
            <w:vAlign w:val="center"/>
          </w:tcPr>
          <w:p w14:paraId="5D4EA5D6" w14:textId="77777777" w:rsidR="00A905E7" w:rsidRPr="00C61F76" w:rsidRDefault="00A905E7" w:rsidP="00BF3070">
            <w:pPr>
              <w:contextualSpacing/>
              <w:jc w:val="center"/>
              <w:rPr>
                <w:rFonts w:cs="Arial"/>
                <w:b/>
              </w:rPr>
            </w:pPr>
          </w:p>
        </w:tc>
        <w:tc>
          <w:tcPr>
            <w:tcW w:w="1843" w:type="dxa"/>
            <w:shd w:val="clear" w:color="auto" w:fill="auto"/>
            <w:vAlign w:val="center"/>
          </w:tcPr>
          <w:p w14:paraId="2D3CDEE8" w14:textId="77777777" w:rsidR="00A905E7" w:rsidRPr="00C61F76" w:rsidRDefault="00A905E7" w:rsidP="00BF3070">
            <w:pPr>
              <w:contextualSpacing/>
              <w:jc w:val="center"/>
              <w:rPr>
                <w:rFonts w:cs="Arial"/>
                <w:b/>
              </w:rPr>
            </w:pPr>
          </w:p>
        </w:tc>
        <w:tc>
          <w:tcPr>
            <w:tcW w:w="6031" w:type="dxa"/>
            <w:shd w:val="clear" w:color="auto" w:fill="auto"/>
            <w:vAlign w:val="center"/>
          </w:tcPr>
          <w:p w14:paraId="13402DCB" w14:textId="77777777" w:rsidR="00A905E7" w:rsidRPr="00C61F76" w:rsidRDefault="00A905E7" w:rsidP="00C61F76">
            <w:pPr>
              <w:contextualSpacing/>
              <w:rPr>
                <w:rFonts w:cs="Arial"/>
                <w:b/>
              </w:rPr>
            </w:pPr>
          </w:p>
        </w:tc>
      </w:tr>
      <w:tr w:rsidR="00AB194A" w:rsidRPr="00C61F76" w14:paraId="1B656C43" w14:textId="77777777" w:rsidTr="00BF3070">
        <w:trPr>
          <w:cnfStyle w:val="000000010000" w:firstRow="0" w:lastRow="0" w:firstColumn="0" w:lastColumn="0" w:oddVBand="0" w:evenVBand="0" w:oddHBand="0" w:evenHBand="1" w:firstRowFirstColumn="0" w:firstRowLastColumn="0" w:lastRowFirstColumn="0" w:lastRowLastColumn="0"/>
        </w:trPr>
        <w:tc>
          <w:tcPr>
            <w:tcW w:w="2689" w:type="dxa"/>
            <w:vAlign w:val="center"/>
          </w:tcPr>
          <w:p w14:paraId="29382D6F" w14:textId="77777777" w:rsidR="00AB194A" w:rsidRPr="008F5532" w:rsidRDefault="00AB194A" w:rsidP="00C61F76">
            <w:pPr>
              <w:ind w:left="426" w:hanging="426"/>
              <w:contextualSpacing/>
              <w:rPr>
                <w:rFonts w:cs="Arial"/>
                <w:sz w:val="20"/>
                <w:szCs w:val="20"/>
              </w:rPr>
            </w:pPr>
            <w:r w:rsidRPr="008F5532">
              <w:rPr>
                <w:rFonts w:cs="Arial"/>
                <w:sz w:val="20"/>
                <w:szCs w:val="20"/>
              </w:rPr>
              <w:t>Management regime</w:t>
            </w:r>
          </w:p>
        </w:tc>
        <w:tc>
          <w:tcPr>
            <w:tcW w:w="1701" w:type="dxa"/>
            <w:shd w:val="clear" w:color="auto" w:fill="92D050"/>
            <w:vAlign w:val="center"/>
          </w:tcPr>
          <w:p w14:paraId="678A76F8" w14:textId="77777777" w:rsidR="00AB194A" w:rsidRPr="00482A7C" w:rsidRDefault="00001A27" w:rsidP="00BF3070">
            <w:pPr>
              <w:contextualSpacing/>
              <w:jc w:val="center"/>
              <w:rPr>
                <w:rFonts w:cs="Arial"/>
                <w:b/>
                <w:sz w:val="20"/>
                <w:szCs w:val="20"/>
              </w:rPr>
            </w:pPr>
            <w:r w:rsidRPr="00482A7C">
              <w:rPr>
                <w:rFonts w:cs="Arial"/>
                <w:b/>
                <w:sz w:val="20"/>
                <w:szCs w:val="20"/>
              </w:rPr>
              <w:t>7/9</w:t>
            </w:r>
          </w:p>
          <w:p w14:paraId="6B33C294" w14:textId="5F4FB4DD" w:rsidR="00482A7C" w:rsidRPr="00482A7C" w:rsidRDefault="00482A7C" w:rsidP="00BF3070">
            <w:pPr>
              <w:contextualSpacing/>
              <w:jc w:val="center"/>
              <w:rPr>
                <w:rFonts w:cs="Arial"/>
                <w:b/>
                <w:sz w:val="20"/>
                <w:szCs w:val="20"/>
              </w:rPr>
            </w:pPr>
            <w:r w:rsidRPr="00482A7C">
              <w:rPr>
                <w:rFonts w:cs="Arial"/>
                <w:b/>
                <w:sz w:val="20"/>
                <w:szCs w:val="20"/>
              </w:rPr>
              <w:t>1N/A</w:t>
            </w:r>
          </w:p>
        </w:tc>
        <w:tc>
          <w:tcPr>
            <w:tcW w:w="1842" w:type="dxa"/>
            <w:shd w:val="clear" w:color="auto" w:fill="FFC000"/>
            <w:vAlign w:val="center"/>
          </w:tcPr>
          <w:p w14:paraId="3BBC9E01" w14:textId="42DCFD8F" w:rsidR="00AB194A" w:rsidRPr="008F5532" w:rsidRDefault="00001A27" w:rsidP="00BF3070">
            <w:pPr>
              <w:contextualSpacing/>
              <w:jc w:val="center"/>
              <w:rPr>
                <w:rFonts w:cs="Arial"/>
                <w:sz w:val="20"/>
                <w:szCs w:val="20"/>
              </w:rPr>
            </w:pPr>
            <w:r w:rsidRPr="008F5532">
              <w:rPr>
                <w:rFonts w:cs="Arial"/>
                <w:sz w:val="20"/>
                <w:szCs w:val="20"/>
              </w:rPr>
              <w:t>1/9</w:t>
            </w:r>
          </w:p>
        </w:tc>
        <w:tc>
          <w:tcPr>
            <w:tcW w:w="1843" w:type="dxa"/>
            <w:shd w:val="clear" w:color="auto" w:fill="auto"/>
            <w:vAlign w:val="center"/>
          </w:tcPr>
          <w:p w14:paraId="4E06581E" w14:textId="59BA9F9F" w:rsidR="00AB194A" w:rsidRPr="008F5532" w:rsidRDefault="00001A27" w:rsidP="00BF3070">
            <w:pPr>
              <w:contextualSpacing/>
              <w:jc w:val="center"/>
              <w:rPr>
                <w:rFonts w:cs="Arial"/>
                <w:sz w:val="20"/>
                <w:szCs w:val="20"/>
              </w:rPr>
            </w:pPr>
            <w:r w:rsidRPr="008F5532">
              <w:rPr>
                <w:rFonts w:cs="Arial"/>
                <w:sz w:val="20"/>
                <w:szCs w:val="20"/>
              </w:rPr>
              <w:t>0/9</w:t>
            </w:r>
          </w:p>
        </w:tc>
        <w:tc>
          <w:tcPr>
            <w:tcW w:w="6031" w:type="dxa"/>
          </w:tcPr>
          <w:p w14:paraId="646F42E0" w14:textId="6650B1FE" w:rsidR="00AB194A" w:rsidRPr="008F5532" w:rsidRDefault="003A1B56" w:rsidP="004263AE">
            <w:pPr>
              <w:spacing w:after="120" w:line="240" w:lineRule="auto"/>
              <w:rPr>
                <w:rFonts w:cs="Arial"/>
                <w:sz w:val="20"/>
                <w:szCs w:val="20"/>
              </w:rPr>
            </w:pPr>
            <w:r w:rsidRPr="008F5532">
              <w:rPr>
                <w:rFonts w:cs="Arial"/>
                <w:sz w:val="20"/>
                <w:szCs w:val="20"/>
              </w:rPr>
              <w:t>Management arrangements are well developed and well documented</w:t>
            </w:r>
            <w:r w:rsidR="00D838BB" w:rsidRPr="008F5532">
              <w:rPr>
                <w:rFonts w:cs="Arial"/>
                <w:sz w:val="20"/>
                <w:szCs w:val="20"/>
              </w:rPr>
              <w:t>,</w:t>
            </w:r>
            <w:r w:rsidR="00A42DA1" w:rsidRPr="008F5532">
              <w:rPr>
                <w:rFonts w:cs="Arial"/>
                <w:sz w:val="20"/>
                <w:szCs w:val="20"/>
              </w:rPr>
              <w:t xml:space="preserve"> but </w:t>
            </w:r>
            <w:r w:rsidRPr="008F5532">
              <w:rPr>
                <w:rFonts w:cs="Arial"/>
                <w:sz w:val="20"/>
                <w:szCs w:val="20"/>
              </w:rPr>
              <w:t>do</w:t>
            </w:r>
            <w:r w:rsidR="00D838BB" w:rsidRPr="008F5532">
              <w:rPr>
                <w:rFonts w:cs="Arial"/>
                <w:sz w:val="20"/>
                <w:szCs w:val="20"/>
              </w:rPr>
              <w:t xml:space="preserve"> not </w:t>
            </w:r>
            <w:r w:rsidRPr="008F5532">
              <w:rPr>
                <w:rFonts w:cs="Arial"/>
                <w:sz w:val="20"/>
                <w:szCs w:val="20"/>
              </w:rPr>
              <w:t xml:space="preserve">include </w:t>
            </w:r>
            <w:r w:rsidR="00D838BB" w:rsidRPr="008F5532">
              <w:rPr>
                <w:rFonts w:cs="Arial"/>
                <w:sz w:val="20"/>
                <w:szCs w:val="20"/>
              </w:rPr>
              <w:t>performance measures or decision frameworks.</w:t>
            </w:r>
            <w:r w:rsidR="00A42DA1" w:rsidRPr="008F5532">
              <w:rPr>
                <w:rFonts w:cs="Arial"/>
                <w:sz w:val="20"/>
                <w:szCs w:val="20"/>
              </w:rPr>
              <w:t xml:space="preserve"> </w:t>
            </w:r>
          </w:p>
        </w:tc>
      </w:tr>
      <w:tr w:rsidR="00AB194A" w:rsidRPr="00C61F76" w14:paraId="56282922" w14:textId="77777777" w:rsidTr="00BF3070">
        <w:trPr>
          <w:cnfStyle w:val="000000100000" w:firstRow="0" w:lastRow="0" w:firstColumn="0" w:lastColumn="0" w:oddVBand="0" w:evenVBand="0" w:oddHBand="1" w:evenHBand="0" w:firstRowFirstColumn="0" w:firstRowLastColumn="0" w:lastRowFirstColumn="0" w:lastRowLastColumn="0"/>
        </w:trPr>
        <w:tc>
          <w:tcPr>
            <w:tcW w:w="2689" w:type="dxa"/>
            <w:vAlign w:val="center"/>
          </w:tcPr>
          <w:p w14:paraId="6682A3FA" w14:textId="77777777" w:rsidR="00A42DA1" w:rsidRPr="008F5532" w:rsidRDefault="00AB194A" w:rsidP="00A42DA1">
            <w:pPr>
              <w:ind w:left="426" w:hanging="426"/>
              <w:contextualSpacing/>
              <w:rPr>
                <w:rFonts w:cs="Arial"/>
                <w:sz w:val="20"/>
                <w:szCs w:val="20"/>
              </w:rPr>
            </w:pPr>
            <w:r w:rsidRPr="008F5532">
              <w:rPr>
                <w:rFonts w:cs="Arial"/>
                <w:sz w:val="20"/>
                <w:szCs w:val="20"/>
              </w:rPr>
              <w:t>Principle 1</w:t>
            </w:r>
          </w:p>
          <w:p w14:paraId="1CF6F480" w14:textId="3CD99FC9" w:rsidR="00AB194A" w:rsidRPr="008F5532" w:rsidRDefault="00AB194A" w:rsidP="00A42DA1">
            <w:pPr>
              <w:ind w:left="426" w:hanging="426"/>
              <w:contextualSpacing/>
              <w:rPr>
                <w:rFonts w:cs="Arial"/>
                <w:sz w:val="20"/>
                <w:szCs w:val="20"/>
              </w:rPr>
            </w:pPr>
            <w:r w:rsidRPr="008F5532">
              <w:rPr>
                <w:rFonts w:cs="Arial"/>
                <w:sz w:val="20"/>
                <w:szCs w:val="20"/>
              </w:rPr>
              <w:t>(target stocks)</w:t>
            </w:r>
          </w:p>
        </w:tc>
        <w:tc>
          <w:tcPr>
            <w:tcW w:w="1701" w:type="dxa"/>
            <w:shd w:val="clear" w:color="auto" w:fill="92D050"/>
            <w:vAlign w:val="center"/>
          </w:tcPr>
          <w:p w14:paraId="490E81C8" w14:textId="621DC107" w:rsidR="00AB194A" w:rsidRPr="004263AE" w:rsidRDefault="00001A27" w:rsidP="00BF3070">
            <w:pPr>
              <w:contextualSpacing/>
              <w:jc w:val="center"/>
              <w:rPr>
                <w:rFonts w:cs="Arial"/>
                <w:sz w:val="20"/>
                <w:szCs w:val="20"/>
              </w:rPr>
            </w:pPr>
            <w:r w:rsidRPr="004263AE">
              <w:rPr>
                <w:rFonts w:cs="Arial"/>
                <w:sz w:val="20"/>
                <w:szCs w:val="20"/>
              </w:rPr>
              <w:t>5/11</w:t>
            </w:r>
          </w:p>
        </w:tc>
        <w:tc>
          <w:tcPr>
            <w:tcW w:w="1842" w:type="dxa"/>
            <w:shd w:val="clear" w:color="auto" w:fill="FFC000"/>
            <w:vAlign w:val="center"/>
          </w:tcPr>
          <w:p w14:paraId="4C95A0BC" w14:textId="79851540" w:rsidR="00AB194A" w:rsidRPr="004263AE" w:rsidRDefault="00636B81" w:rsidP="00BF3070">
            <w:pPr>
              <w:contextualSpacing/>
              <w:jc w:val="center"/>
              <w:rPr>
                <w:rFonts w:cs="Arial"/>
                <w:sz w:val="20"/>
                <w:szCs w:val="20"/>
              </w:rPr>
            </w:pPr>
            <w:r w:rsidRPr="004263AE">
              <w:rPr>
                <w:rFonts w:cs="Arial"/>
                <w:sz w:val="20"/>
                <w:szCs w:val="20"/>
              </w:rPr>
              <w:t>5</w:t>
            </w:r>
            <w:r w:rsidR="00001A27" w:rsidRPr="004263AE">
              <w:rPr>
                <w:rFonts w:cs="Arial"/>
                <w:sz w:val="20"/>
                <w:szCs w:val="20"/>
              </w:rPr>
              <w:t>/11</w:t>
            </w:r>
          </w:p>
        </w:tc>
        <w:tc>
          <w:tcPr>
            <w:tcW w:w="1843" w:type="dxa"/>
            <w:shd w:val="clear" w:color="auto" w:fill="FF0000"/>
            <w:vAlign w:val="center"/>
          </w:tcPr>
          <w:p w14:paraId="2344264A" w14:textId="5761CFAE" w:rsidR="00AB194A" w:rsidRPr="007808E7" w:rsidRDefault="00636B81" w:rsidP="00BF3070">
            <w:pPr>
              <w:contextualSpacing/>
              <w:jc w:val="center"/>
              <w:rPr>
                <w:rFonts w:cs="Arial"/>
                <w:sz w:val="20"/>
                <w:szCs w:val="20"/>
              </w:rPr>
            </w:pPr>
            <w:r w:rsidRPr="007808E7">
              <w:rPr>
                <w:rFonts w:cs="Arial"/>
                <w:sz w:val="20"/>
                <w:szCs w:val="20"/>
              </w:rPr>
              <w:t>1</w:t>
            </w:r>
            <w:r w:rsidR="00001A27" w:rsidRPr="007808E7">
              <w:rPr>
                <w:rFonts w:cs="Arial"/>
                <w:sz w:val="20"/>
                <w:szCs w:val="20"/>
              </w:rPr>
              <w:t>/11</w:t>
            </w:r>
          </w:p>
        </w:tc>
        <w:tc>
          <w:tcPr>
            <w:tcW w:w="6031" w:type="dxa"/>
          </w:tcPr>
          <w:p w14:paraId="4694DC59" w14:textId="77777777" w:rsidR="00AB194A" w:rsidRDefault="003A1B56" w:rsidP="004263AE">
            <w:pPr>
              <w:spacing w:line="240" w:lineRule="auto"/>
              <w:contextualSpacing/>
              <w:rPr>
                <w:rFonts w:cs="Arial"/>
                <w:sz w:val="20"/>
                <w:szCs w:val="20"/>
              </w:rPr>
            </w:pPr>
            <w:r w:rsidRPr="008F5532">
              <w:rPr>
                <w:rFonts w:cs="Arial"/>
                <w:sz w:val="20"/>
                <w:szCs w:val="20"/>
              </w:rPr>
              <w:t xml:space="preserve">Although </w:t>
            </w:r>
            <w:r w:rsidR="00D26381" w:rsidRPr="008F5532">
              <w:rPr>
                <w:rFonts w:cs="Arial"/>
                <w:sz w:val="20"/>
                <w:szCs w:val="20"/>
              </w:rPr>
              <w:t>information on stocks is limited, the fishery is managed in a precautionary way and is unlikely to result in overfishing.</w:t>
            </w:r>
          </w:p>
          <w:p w14:paraId="087D9E22" w14:textId="2FF8AD01" w:rsidR="007808E7" w:rsidRPr="008F5532" w:rsidRDefault="007808E7" w:rsidP="004263AE">
            <w:pPr>
              <w:spacing w:line="240" w:lineRule="auto"/>
              <w:contextualSpacing/>
              <w:rPr>
                <w:rFonts w:cs="Arial"/>
                <w:sz w:val="20"/>
                <w:szCs w:val="20"/>
              </w:rPr>
            </w:pPr>
            <w:r>
              <w:rPr>
                <w:rFonts w:cs="Arial"/>
                <w:sz w:val="20"/>
                <w:szCs w:val="20"/>
              </w:rPr>
              <w:t>1.1.2</w:t>
            </w:r>
            <w:r w:rsidR="00482A7C">
              <w:rPr>
                <w:rFonts w:cs="Arial"/>
                <w:sz w:val="20"/>
                <w:szCs w:val="20"/>
              </w:rPr>
              <w:t xml:space="preserve"> – little information on the dynamics and status of species in the fishery and no formal review of the processes and data collected.</w:t>
            </w:r>
          </w:p>
        </w:tc>
      </w:tr>
      <w:tr w:rsidR="00AB194A" w:rsidRPr="00C61F76" w14:paraId="4DB69FFC" w14:textId="77777777" w:rsidTr="00BF3070">
        <w:trPr>
          <w:cnfStyle w:val="000000010000" w:firstRow="0" w:lastRow="0" w:firstColumn="0" w:lastColumn="0" w:oddVBand="0" w:evenVBand="0" w:oddHBand="0" w:evenHBand="1" w:firstRowFirstColumn="0" w:firstRowLastColumn="0" w:lastRowFirstColumn="0" w:lastRowLastColumn="0"/>
        </w:trPr>
        <w:tc>
          <w:tcPr>
            <w:tcW w:w="2689" w:type="dxa"/>
            <w:vAlign w:val="center"/>
          </w:tcPr>
          <w:p w14:paraId="6E70065B" w14:textId="1C2B5D3A" w:rsidR="00A42DA1" w:rsidRPr="008F5532" w:rsidRDefault="00AB194A" w:rsidP="00A42DA1">
            <w:pPr>
              <w:ind w:left="426" w:hanging="426"/>
              <w:contextualSpacing/>
              <w:rPr>
                <w:rFonts w:cs="Arial"/>
                <w:sz w:val="20"/>
                <w:szCs w:val="20"/>
              </w:rPr>
            </w:pPr>
            <w:r w:rsidRPr="008F5532">
              <w:rPr>
                <w:rFonts w:cs="Arial"/>
                <w:sz w:val="20"/>
                <w:szCs w:val="20"/>
              </w:rPr>
              <w:t>Principle 2</w:t>
            </w:r>
          </w:p>
          <w:p w14:paraId="5DBEF2B0" w14:textId="5AB0CB31" w:rsidR="00AB194A" w:rsidRPr="008F5532" w:rsidRDefault="00AB194A" w:rsidP="00A42DA1">
            <w:pPr>
              <w:ind w:left="426" w:hanging="426"/>
              <w:contextualSpacing/>
              <w:rPr>
                <w:rFonts w:cs="Arial"/>
                <w:sz w:val="20"/>
                <w:szCs w:val="20"/>
              </w:rPr>
            </w:pPr>
            <w:r w:rsidRPr="008F5532">
              <w:rPr>
                <w:rFonts w:cs="Arial"/>
                <w:sz w:val="20"/>
                <w:szCs w:val="20"/>
              </w:rPr>
              <w:t>(bycatch and TEPS)</w:t>
            </w:r>
          </w:p>
        </w:tc>
        <w:tc>
          <w:tcPr>
            <w:tcW w:w="1701" w:type="dxa"/>
            <w:shd w:val="clear" w:color="auto" w:fill="92D050"/>
            <w:vAlign w:val="center"/>
          </w:tcPr>
          <w:p w14:paraId="776C69C8" w14:textId="40C949B2" w:rsidR="00482A7C" w:rsidRPr="004263AE" w:rsidRDefault="00482A7C">
            <w:pPr>
              <w:contextualSpacing/>
              <w:jc w:val="center"/>
              <w:rPr>
                <w:rFonts w:cs="Arial"/>
                <w:b/>
                <w:sz w:val="20"/>
                <w:szCs w:val="20"/>
              </w:rPr>
            </w:pPr>
            <w:r w:rsidRPr="004263AE">
              <w:rPr>
                <w:rFonts w:cs="Arial"/>
                <w:b/>
                <w:sz w:val="20"/>
                <w:szCs w:val="20"/>
              </w:rPr>
              <w:t>6</w:t>
            </w:r>
            <w:r w:rsidR="00001A27" w:rsidRPr="004263AE">
              <w:rPr>
                <w:rFonts w:cs="Arial"/>
                <w:b/>
                <w:sz w:val="20"/>
                <w:szCs w:val="20"/>
              </w:rPr>
              <w:t>/</w:t>
            </w:r>
            <w:r w:rsidRPr="004263AE">
              <w:rPr>
                <w:rFonts w:cs="Arial"/>
                <w:b/>
                <w:sz w:val="20"/>
                <w:szCs w:val="20"/>
              </w:rPr>
              <w:t>12</w:t>
            </w:r>
          </w:p>
          <w:p w14:paraId="01713504" w14:textId="051D0523" w:rsidR="00AB194A" w:rsidRPr="004263AE" w:rsidRDefault="00482A7C">
            <w:pPr>
              <w:contextualSpacing/>
              <w:jc w:val="center"/>
              <w:rPr>
                <w:rFonts w:cs="Arial"/>
                <w:b/>
                <w:sz w:val="20"/>
                <w:szCs w:val="20"/>
              </w:rPr>
            </w:pPr>
            <w:r w:rsidRPr="004263AE">
              <w:rPr>
                <w:rFonts w:cs="Arial"/>
                <w:b/>
                <w:sz w:val="20"/>
                <w:szCs w:val="20"/>
              </w:rPr>
              <w:t>2 N/A</w:t>
            </w:r>
          </w:p>
        </w:tc>
        <w:tc>
          <w:tcPr>
            <w:tcW w:w="1842" w:type="dxa"/>
            <w:shd w:val="clear" w:color="auto" w:fill="FFC000"/>
            <w:vAlign w:val="center"/>
          </w:tcPr>
          <w:p w14:paraId="6F0B7D38" w14:textId="455AD087" w:rsidR="00AB194A" w:rsidRPr="008F5532" w:rsidRDefault="00BF3070">
            <w:pPr>
              <w:contextualSpacing/>
              <w:jc w:val="center"/>
              <w:rPr>
                <w:rFonts w:cs="Arial"/>
                <w:sz w:val="20"/>
                <w:szCs w:val="20"/>
              </w:rPr>
            </w:pPr>
            <w:r w:rsidRPr="008F5532">
              <w:rPr>
                <w:rFonts w:cs="Arial"/>
                <w:sz w:val="20"/>
                <w:szCs w:val="20"/>
              </w:rPr>
              <w:t>1</w:t>
            </w:r>
            <w:r w:rsidR="00001A27" w:rsidRPr="008F5532">
              <w:rPr>
                <w:rFonts w:cs="Arial"/>
                <w:sz w:val="20"/>
                <w:szCs w:val="20"/>
              </w:rPr>
              <w:t>/</w:t>
            </w:r>
            <w:r w:rsidR="00482A7C">
              <w:rPr>
                <w:rFonts w:cs="Arial"/>
                <w:sz w:val="20"/>
                <w:szCs w:val="20"/>
              </w:rPr>
              <w:t>12</w:t>
            </w:r>
          </w:p>
        </w:tc>
        <w:tc>
          <w:tcPr>
            <w:tcW w:w="1843" w:type="dxa"/>
            <w:shd w:val="clear" w:color="auto" w:fill="FF0000"/>
            <w:vAlign w:val="center"/>
          </w:tcPr>
          <w:p w14:paraId="26CFB1FA" w14:textId="47FEA974" w:rsidR="00AB194A" w:rsidRPr="004263AE" w:rsidRDefault="00001A27">
            <w:pPr>
              <w:contextualSpacing/>
              <w:jc w:val="center"/>
              <w:rPr>
                <w:rFonts w:cs="Arial"/>
                <w:sz w:val="20"/>
                <w:szCs w:val="20"/>
              </w:rPr>
            </w:pPr>
            <w:r w:rsidRPr="004263AE">
              <w:rPr>
                <w:rFonts w:cs="Arial"/>
                <w:sz w:val="20"/>
                <w:szCs w:val="20"/>
              </w:rPr>
              <w:t>3/</w:t>
            </w:r>
            <w:r w:rsidR="00482A7C" w:rsidRPr="004263AE">
              <w:rPr>
                <w:rFonts w:cs="Arial"/>
                <w:sz w:val="20"/>
                <w:szCs w:val="20"/>
              </w:rPr>
              <w:t>12</w:t>
            </w:r>
          </w:p>
        </w:tc>
        <w:tc>
          <w:tcPr>
            <w:tcW w:w="6031" w:type="dxa"/>
          </w:tcPr>
          <w:p w14:paraId="46A43BDB" w14:textId="77777777" w:rsidR="00AB194A" w:rsidRDefault="00D26381" w:rsidP="004263AE">
            <w:pPr>
              <w:spacing w:line="240" w:lineRule="auto"/>
              <w:contextualSpacing/>
              <w:rPr>
                <w:rFonts w:cs="Arial"/>
                <w:sz w:val="20"/>
                <w:szCs w:val="20"/>
              </w:rPr>
            </w:pPr>
            <w:r w:rsidRPr="008F5532">
              <w:rPr>
                <w:rFonts w:cs="Arial"/>
                <w:sz w:val="20"/>
                <w:szCs w:val="20"/>
              </w:rPr>
              <w:t>Although ecological risk assessments have yet to be completed, the fishery is relatively small</w:t>
            </w:r>
            <w:r w:rsidR="00A42DA1" w:rsidRPr="008F5532">
              <w:rPr>
                <w:rFonts w:cs="Arial"/>
                <w:sz w:val="20"/>
                <w:szCs w:val="20"/>
              </w:rPr>
              <w:t>-</w:t>
            </w:r>
            <w:r w:rsidRPr="008F5532">
              <w:rPr>
                <w:rFonts w:cs="Arial"/>
                <w:sz w:val="20"/>
                <w:szCs w:val="20"/>
              </w:rPr>
              <w:t xml:space="preserve">scale and is managed in a precautionary way. It is therefore unlikely </w:t>
            </w:r>
            <w:r w:rsidR="00B86380" w:rsidRPr="008F5532">
              <w:rPr>
                <w:rFonts w:cs="Arial"/>
                <w:sz w:val="20"/>
                <w:szCs w:val="20"/>
              </w:rPr>
              <w:t xml:space="preserve">to </w:t>
            </w:r>
            <w:r w:rsidRPr="008F5532">
              <w:rPr>
                <w:rFonts w:cs="Arial"/>
                <w:sz w:val="20"/>
                <w:szCs w:val="20"/>
              </w:rPr>
              <w:t>threaten bycatch species.</w:t>
            </w:r>
          </w:p>
          <w:p w14:paraId="64318179" w14:textId="1F0EF3DF" w:rsidR="007808E7" w:rsidRDefault="007808E7" w:rsidP="004263AE">
            <w:pPr>
              <w:spacing w:line="240" w:lineRule="auto"/>
              <w:contextualSpacing/>
              <w:rPr>
                <w:rFonts w:cs="Arial"/>
                <w:sz w:val="20"/>
                <w:szCs w:val="20"/>
              </w:rPr>
            </w:pPr>
            <w:r>
              <w:rPr>
                <w:rFonts w:cs="Arial"/>
                <w:sz w:val="20"/>
                <w:szCs w:val="20"/>
              </w:rPr>
              <w:t>2.1.2</w:t>
            </w:r>
            <w:r w:rsidR="00482A7C">
              <w:rPr>
                <w:rFonts w:cs="Arial"/>
                <w:sz w:val="20"/>
                <w:szCs w:val="20"/>
              </w:rPr>
              <w:t xml:space="preserve"> – no risk analysis of bycatch species has been undertaken.</w:t>
            </w:r>
          </w:p>
          <w:p w14:paraId="08EB80BE" w14:textId="4D9976D2" w:rsidR="007808E7" w:rsidRPr="008F5532" w:rsidRDefault="007808E7" w:rsidP="004263AE">
            <w:pPr>
              <w:spacing w:line="240" w:lineRule="auto"/>
              <w:contextualSpacing/>
              <w:rPr>
                <w:rFonts w:cs="Arial"/>
                <w:sz w:val="20"/>
                <w:szCs w:val="20"/>
              </w:rPr>
            </w:pPr>
            <w:r>
              <w:rPr>
                <w:rFonts w:cs="Arial"/>
                <w:sz w:val="20"/>
                <w:szCs w:val="20"/>
              </w:rPr>
              <w:t>2.1.4</w:t>
            </w:r>
            <w:r w:rsidR="00482A7C">
              <w:rPr>
                <w:rFonts w:cs="Arial"/>
                <w:sz w:val="20"/>
                <w:szCs w:val="20"/>
              </w:rPr>
              <w:t xml:space="preserve">, 2.1.5 – No indicator group of bycatch species is monitored. </w:t>
            </w:r>
          </w:p>
        </w:tc>
      </w:tr>
      <w:tr w:rsidR="00AB194A" w:rsidRPr="00C61F76" w14:paraId="77A7913F" w14:textId="77777777" w:rsidTr="00BF3070">
        <w:trPr>
          <w:cnfStyle w:val="000000100000" w:firstRow="0" w:lastRow="0" w:firstColumn="0" w:lastColumn="0" w:oddVBand="0" w:evenVBand="0" w:oddHBand="1" w:evenHBand="0" w:firstRowFirstColumn="0" w:firstRowLastColumn="0" w:lastRowFirstColumn="0" w:lastRowLastColumn="0"/>
        </w:trPr>
        <w:tc>
          <w:tcPr>
            <w:tcW w:w="2689" w:type="dxa"/>
            <w:vAlign w:val="center"/>
          </w:tcPr>
          <w:p w14:paraId="4E7596EA" w14:textId="58E60EB0" w:rsidR="00A42DA1" w:rsidRPr="008F5532" w:rsidRDefault="00AB194A" w:rsidP="00A42DA1">
            <w:pPr>
              <w:ind w:left="426" w:hanging="426"/>
              <w:contextualSpacing/>
              <w:rPr>
                <w:rFonts w:cs="Arial"/>
                <w:sz w:val="20"/>
                <w:szCs w:val="20"/>
              </w:rPr>
            </w:pPr>
            <w:r w:rsidRPr="008F5532">
              <w:rPr>
                <w:rFonts w:cs="Arial"/>
                <w:sz w:val="20"/>
                <w:szCs w:val="20"/>
              </w:rPr>
              <w:t>Principle 2</w:t>
            </w:r>
          </w:p>
          <w:p w14:paraId="722471C4" w14:textId="102B675A" w:rsidR="00AB194A" w:rsidRPr="008F5532" w:rsidRDefault="00AB194A" w:rsidP="00A42DA1">
            <w:pPr>
              <w:ind w:left="426" w:hanging="426"/>
              <w:contextualSpacing/>
              <w:rPr>
                <w:rFonts w:cs="Arial"/>
                <w:sz w:val="20"/>
                <w:szCs w:val="20"/>
              </w:rPr>
            </w:pPr>
            <w:r w:rsidRPr="008F5532">
              <w:rPr>
                <w:rFonts w:cs="Arial"/>
                <w:sz w:val="20"/>
                <w:szCs w:val="20"/>
              </w:rPr>
              <w:t>(ecosystem impacts)</w:t>
            </w:r>
          </w:p>
        </w:tc>
        <w:tc>
          <w:tcPr>
            <w:tcW w:w="1701" w:type="dxa"/>
            <w:shd w:val="clear" w:color="auto" w:fill="92D050"/>
            <w:vAlign w:val="center"/>
          </w:tcPr>
          <w:p w14:paraId="7B2D69A1" w14:textId="0FB79BE3" w:rsidR="00AB194A" w:rsidRPr="008F5532" w:rsidRDefault="00482A7C">
            <w:pPr>
              <w:contextualSpacing/>
              <w:jc w:val="center"/>
              <w:rPr>
                <w:rFonts w:cs="Arial"/>
                <w:sz w:val="20"/>
                <w:szCs w:val="20"/>
              </w:rPr>
            </w:pPr>
            <w:r>
              <w:rPr>
                <w:rFonts w:cs="Arial"/>
                <w:sz w:val="20"/>
                <w:szCs w:val="20"/>
              </w:rPr>
              <w:t>1</w:t>
            </w:r>
            <w:r w:rsidR="007C5230" w:rsidRPr="008F5532">
              <w:rPr>
                <w:rFonts w:cs="Arial"/>
                <w:sz w:val="20"/>
                <w:szCs w:val="20"/>
              </w:rPr>
              <w:t>/5</w:t>
            </w:r>
          </w:p>
        </w:tc>
        <w:tc>
          <w:tcPr>
            <w:tcW w:w="1842" w:type="dxa"/>
            <w:shd w:val="clear" w:color="auto" w:fill="FFC000"/>
            <w:vAlign w:val="center"/>
          </w:tcPr>
          <w:p w14:paraId="183A4864" w14:textId="11E417A7" w:rsidR="00AB194A" w:rsidRPr="008F5532" w:rsidRDefault="00482A7C">
            <w:pPr>
              <w:contextualSpacing/>
              <w:jc w:val="center"/>
              <w:rPr>
                <w:rFonts w:cs="Arial"/>
                <w:b/>
                <w:sz w:val="20"/>
                <w:szCs w:val="20"/>
              </w:rPr>
            </w:pPr>
            <w:r>
              <w:rPr>
                <w:rFonts w:cs="Arial"/>
                <w:b/>
                <w:sz w:val="20"/>
                <w:szCs w:val="20"/>
              </w:rPr>
              <w:t>4</w:t>
            </w:r>
            <w:r w:rsidR="00001A27" w:rsidRPr="008F5532">
              <w:rPr>
                <w:rFonts w:cs="Arial"/>
                <w:b/>
                <w:sz w:val="20"/>
                <w:szCs w:val="20"/>
              </w:rPr>
              <w:t>/</w:t>
            </w:r>
            <w:r w:rsidR="007C5230" w:rsidRPr="008F5532">
              <w:rPr>
                <w:rFonts w:cs="Arial"/>
                <w:b/>
                <w:sz w:val="20"/>
                <w:szCs w:val="20"/>
              </w:rPr>
              <w:t>5</w:t>
            </w:r>
          </w:p>
        </w:tc>
        <w:tc>
          <w:tcPr>
            <w:tcW w:w="1843" w:type="dxa"/>
            <w:shd w:val="clear" w:color="auto" w:fill="auto"/>
            <w:vAlign w:val="center"/>
          </w:tcPr>
          <w:p w14:paraId="0EF7E465" w14:textId="2AB37B1B" w:rsidR="00AB194A" w:rsidRPr="008F5532" w:rsidRDefault="00001A27" w:rsidP="00BF3070">
            <w:pPr>
              <w:contextualSpacing/>
              <w:jc w:val="center"/>
              <w:rPr>
                <w:rFonts w:cs="Arial"/>
                <w:sz w:val="20"/>
                <w:szCs w:val="20"/>
              </w:rPr>
            </w:pPr>
            <w:r w:rsidRPr="008F5532">
              <w:rPr>
                <w:rFonts w:cs="Arial"/>
                <w:sz w:val="20"/>
                <w:szCs w:val="20"/>
              </w:rPr>
              <w:t>0</w:t>
            </w:r>
            <w:r w:rsidR="007C5230" w:rsidRPr="008F5532">
              <w:rPr>
                <w:rFonts w:cs="Arial"/>
                <w:sz w:val="20"/>
                <w:szCs w:val="20"/>
              </w:rPr>
              <w:t>/5</w:t>
            </w:r>
          </w:p>
        </w:tc>
        <w:tc>
          <w:tcPr>
            <w:tcW w:w="6031" w:type="dxa"/>
            <w:vAlign w:val="center"/>
          </w:tcPr>
          <w:p w14:paraId="5701B5C8" w14:textId="766C2061" w:rsidR="007808E7" w:rsidRPr="008F5532" w:rsidRDefault="00D26381" w:rsidP="004263AE">
            <w:pPr>
              <w:spacing w:line="240" w:lineRule="auto"/>
              <w:contextualSpacing/>
              <w:rPr>
                <w:rFonts w:cs="Arial"/>
                <w:sz w:val="20"/>
                <w:szCs w:val="20"/>
              </w:rPr>
            </w:pPr>
            <w:r w:rsidRPr="008F5532">
              <w:rPr>
                <w:rFonts w:cs="Arial"/>
                <w:sz w:val="20"/>
                <w:szCs w:val="20"/>
              </w:rPr>
              <w:t xml:space="preserve">Although ecological risk assessments have yet to be completed, the fishery is relatively small scale and is managed in a precautionary way. It is therefore unlikely </w:t>
            </w:r>
            <w:r w:rsidR="00B86380" w:rsidRPr="008F5532">
              <w:rPr>
                <w:rFonts w:cs="Arial"/>
                <w:sz w:val="20"/>
                <w:szCs w:val="20"/>
              </w:rPr>
              <w:t xml:space="preserve">to </w:t>
            </w:r>
            <w:r w:rsidRPr="008F5532">
              <w:rPr>
                <w:rFonts w:cs="Arial"/>
                <w:sz w:val="20"/>
                <w:szCs w:val="20"/>
              </w:rPr>
              <w:t xml:space="preserve">threaten the structure, productivity, function or biodiversity </w:t>
            </w:r>
            <w:r w:rsidR="0036577C" w:rsidRPr="008F5532">
              <w:rPr>
                <w:rFonts w:cs="Arial"/>
                <w:sz w:val="20"/>
                <w:szCs w:val="20"/>
              </w:rPr>
              <w:t>of the ecosystem</w:t>
            </w:r>
            <w:r w:rsidR="000F0450">
              <w:rPr>
                <w:rFonts w:cs="Arial"/>
                <w:sz w:val="20"/>
                <w:szCs w:val="20"/>
              </w:rPr>
              <w:t>.</w:t>
            </w:r>
          </w:p>
        </w:tc>
      </w:tr>
      <w:tr w:rsidR="00B97B40" w:rsidRPr="00C61F76" w14:paraId="14FFCC4D" w14:textId="77777777" w:rsidTr="00BF3070">
        <w:trPr>
          <w:cnfStyle w:val="000000010000" w:firstRow="0" w:lastRow="0" w:firstColumn="0" w:lastColumn="0" w:oddVBand="0" w:evenVBand="0" w:oddHBand="0" w:evenHBand="1" w:firstRowFirstColumn="0" w:firstRowLastColumn="0" w:lastRowFirstColumn="0" w:lastRowLastColumn="0"/>
        </w:trPr>
        <w:tc>
          <w:tcPr>
            <w:tcW w:w="2689" w:type="dxa"/>
            <w:vAlign w:val="center"/>
          </w:tcPr>
          <w:p w14:paraId="4D7DC563" w14:textId="4F746A12" w:rsidR="00B97B40" w:rsidRPr="00C61F76" w:rsidRDefault="00B97B40" w:rsidP="00C61F76">
            <w:pPr>
              <w:ind w:left="426" w:hanging="426"/>
              <w:contextualSpacing/>
              <w:rPr>
                <w:rFonts w:cs="Arial"/>
                <w:b/>
              </w:rPr>
            </w:pPr>
            <w:r w:rsidRPr="00C61F76">
              <w:rPr>
                <w:rFonts w:cs="Arial"/>
                <w:b/>
              </w:rPr>
              <w:t>EPBC requirements</w:t>
            </w:r>
          </w:p>
        </w:tc>
        <w:tc>
          <w:tcPr>
            <w:tcW w:w="1701" w:type="dxa"/>
            <w:shd w:val="clear" w:color="auto" w:fill="auto"/>
            <w:vAlign w:val="center"/>
          </w:tcPr>
          <w:p w14:paraId="6D0A4838" w14:textId="38A02E99" w:rsidR="00B97B40" w:rsidRPr="00C61F76" w:rsidRDefault="00B97B40" w:rsidP="00BF3070">
            <w:pPr>
              <w:contextualSpacing/>
              <w:jc w:val="center"/>
              <w:rPr>
                <w:rFonts w:cs="Arial"/>
                <w:b/>
              </w:rPr>
            </w:pPr>
          </w:p>
        </w:tc>
        <w:tc>
          <w:tcPr>
            <w:tcW w:w="1842" w:type="dxa"/>
            <w:shd w:val="clear" w:color="auto" w:fill="auto"/>
            <w:vAlign w:val="center"/>
          </w:tcPr>
          <w:p w14:paraId="3E8183B4" w14:textId="3F6C4BAE" w:rsidR="00B97B40" w:rsidRPr="00C61F76" w:rsidRDefault="00B97B40" w:rsidP="00BF3070">
            <w:pPr>
              <w:contextualSpacing/>
              <w:jc w:val="center"/>
              <w:rPr>
                <w:rFonts w:cs="Arial"/>
                <w:b/>
              </w:rPr>
            </w:pPr>
          </w:p>
        </w:tc>
        <w:tc>
          <w:tcPr>
            <w:tcW w:w="1843" w:type="dxa"/>
            <w:shd w:val="clear" w:color="auto" w:fill="auto"/>
            <w:vAlign w:val="center"/>
          </w:tcPr>
          <w:p w14:paraId="09A677DF" w14:textId="1C032342" w:rsidR="00B97B40" w:rsidRPr="00C61F76" w:rsidRDefault="00B97B40" w:rsidP="00BF3070">
            <w:pPr>
              <w:contextualSpacing/>
              <w:jc w:val="center"/>
              <w:rPr>
                <w:rFonts w:cs="Arial"/>
                <w:b/>
              </w:rPr>
            </w:pPr>
          </w:p>
        </w:tc>
        <w:tc>
          <w:tcPr>
            <w:tcW w:w="6031" w:type="dxa"/>
            <w:shd w:val="clear" w:color="auto" w:fill="auto"/>
            <w:vAlign w:val="center"/>
          </w:tcPr>
          <w:p w14:paraId="52515391" w14:textId="510A87A8" w:rsidR="00B97B40" w:rsidRPr="00C61F76" w:rsidRDefault="00B97B40" w:rsidP="004263AE">
            <w:pPr>
              <w:spacing w:line="240" w:lineRule="auto"/>
              <w:contextualSpacing/>
              <w:rPr>
                <w:rFonts w:cs="Arial"/>
                <w:b/>
              </w:rPr>
            </w:pPr>
          </w:p>
        </w:tc>
      </w:tr>
      <w:tr w:rsidR="00A42DA1" w:rsidRPr="00C61F76" w14:paraId="288C0458" w14:textId="77777777" w:rsidTr="00BF3070">
        <w:trPr>
          <w:cnfStyle w:val="000000100000" w:firstRow="0" w:lastRow="0" w:firstColumn="0" w:lastColumn="0" w:oddVBand="0" w:evenVBand="0" w:oddHBand="1" w:evenHBand="0" w:firstRowFirstColumn="0" w:firstRowLastColumn="0" w:lastRowFirstColumn="0" w:lastRowLastColumn="0"/>
        </w:trPr>
        <w:tc>
          <w:tcPr>
            <w:tcW w:w="2689" w:type="dxa"/>
            <w:vAlign w:val="center"/>
          </w:tcPr>
          <w:p w14:paraId="3A69EF13" w14:textId="77777777" w:rsidR="00A42DA1" w:rsidRPr="008F5532" w:rsidRDefault="00A42DA1" w:rsidP="00C61F76">
            <w:pPr>
              <w:ind w:left="426" w:hanging="426"/>
              <w:contextualSpacing/>
              <w:rPr>
                <w:rFonts w:cs="Arial"/>
                <w:sz w:val="20"/>
                <w:szCs w:val="20"/>
              </w:rPr>
            </w:pPr>
            <w:r w:rsidRPr="008F5532">
              <w:rPr>
                <w:rFonts w:cs="Arial"/>
                <w:sz w:val="20"/>
                <w:szCs w:val="20"/>
              </w:rPr>
              <w:t>Part 12</w:t>
            </w:r>
          </w:p>
        </w:tc>
        <w:tc>
          <w:tcPr>
            <w:tcW w:w="5386" w:type="dxa"/>
            <w:gridSpan w:val="3"/>
            <w:shd w:val="clear" w:color="auto" w:fill="auto"/>
            <w:vAlign w:val="center"/>
          </w:tcPr>
          <w:p w14:paraId="6EE06B37" w14:textId="6C44128E" w:rsidR="00A42DA1" w:rsidRPr="008F5532" w:rsidRDefault="00A42DA1" w:rsidP="00BF3070">
            <w:pPr>
              <w:contextualSpacing/>
              <w:jc w:val="center"/>
              <w:rPr>
                <w:rFonts w:cs="Arial"/>
                <w:sz w:val="20"/>
                <w:szCs w:val="20"/>
              </w:rPr>
            </w:pPr>
            <w:r w:rsidRPr="008F5532">
              <w:rPr>
                <w:rFonts w:cs="Arial"/>
                <w:sz w:val="20"/>
                <w:szCs w:val="20"/>
              </w:rPr>
              <w:t>Not applicable.</w:t>
            </w:r>
          </w:p>
        </w:tc>
        <w:tc>
          <w:tcPr>
            <w:tcW w:w="6031" w:type="dxa"/>
            <w:vAlign w:val="center"/>
          </w:tcPr>
          <w:p w14:paraId="327E0B80" w14:textId="64DEBFAC" w:rsidR="00A42DA1" w:rsidRPr="008F5532" w:rsidRDefault="00A42DA1" w:rsidP="004263AE">
            <w:pPr>
              <w:spacing w:line="240" w:lineRule="auto"/>
              <w:contextualSpacing/>
              <w:rPr>
                <w:rFonts w:cs="Arial"/>
                <w:sz w:val="20"/>
                <w:szCs w:val="20"/>
              </w:rPr>
            </w:pPr>
            <w:r w:rsidRPr="008F5532">
              <w:rPr>
                <w:rFonts w:cs="Arial"/>
                <w:sz w:val="20"/>
                <w:szCs w:val="20"/>
              </w:rPr>
              <w:t xml:space="preserve">Part 12 of the EPBC Act is </w:t>
            </w:r>
            <w:r w:rsidRPr="008F5532">
              <w:rPr>
                <w:rFonts w:cs="Arial"/>
                <w:b/>
                <w:sz w:val="20"/>
                <w:szCs w:val="20"/>
              </w:rPr>
              <w:t>not applicable</w:t>
            </w:r>
            <w:r w:rsidRPr="008F5532">
              <w:rPr>
                <w:rFonts w:cs="Arial"/>
                <w:sz w:val="20"/>
                <w:szCs w:val="20"/>
              </w:rPr>
              <w:t xml:space="preserve"> to areas outside Australia’s exclusive economic zone.</w:t>
            </w:r>
          </w:p>
        </w:tc>
      </w:tr>
      <w:tr w:rsidR="00AB194A" w:rsidRPr="00C61F76" w14:paraId="506B6990" w14:textId="77777777" w:rsidTr="00BF3070">
        <w:trPr>
          <w:cnfStyle w:val="000000010000" w:firstRow="0" w:lastRow="0" w:firstColumn="0" w:lastColumn="0" w:oddVBand="0" w:evenVBand="0" w:oddHBand="0" w:evenHBand="1" w:firstRowFirstColumn="0" w:firstRowLastColumn="0" w:lastRowFirstColumn="0" w:lastRowLastColumn="0"/>
        </w:trPr>
        <w:tc>
          <w:tcPr>
            <w:tcW w:w="2689" w:type="dxa"/>
            <w:vAlign w:val="center"/>
          </w:tcPr>
          <w:p w14:paraId="1E8F6B74" w14:textId="77777777" w:rsidR="00AB194A" w:rsidRPr="008F5532" w:rsidRDefault="00AB194A" w:rsidP="00C61F76">
            <w:pPr>
              <w:ind w:left="426" w:hanging="426"/>
              <w:contextualSpacing/>
              <w:rPr>
                <w:rFonts w:cs="Arial"/>
                <w:sz w:val="20"/>
                <w:szCs w:val="20"/>
              </w:rPr>
            </w:pPr>
            <w:r w:rsidRPr="008F5532">
              <w:rPr>
                <w:rFonts w:cs="Arial"/>
                <w:sz w:val="20"/>
                <w:szCs w:val="20"/>
              </w:rPr>
              <w:t>Part 13</w:t>
            </w:r>
          </w:p>
        </w:tc>
        <w:tc>
          <w:tcPr>
            <w:tcW w:w="1701" w:type="dxa"/>
            <w:shd w:val="clear" w:color="auto" w:fill="92D050"/>
            <w:vAlign w:val="center"/>
          </w:tcPr>
          <w:p w14:paraId="7F19FF8D" w14:textId="750A8AC1" w:rsidR="00AB194A" w:rsidRPr="008F5532" w:rsidRDefault="003A37E3" w:rsidP="00BF3070">
            <w:pPr>
              <w:contextualSpacing/>
              <w:jc w:val="center"/>
              <w:rPr>
                <w:rFonts w:cs="Arial"/>
                <w:b/>
                <w:sz w:val="20"/>
                <w:szCs w:val="20"/>
              </w:rPr>
            </w:pPr>
            <w:r w:rsidRPr="008F5532">
              <w:rPr>
                <w:rFonts w:cs="Arial"/>
                <w:b/>
                <w:sz w:val="20"/>
                <w:szCs w:val="20"/>
              </w:rPr>
              <w:t>Met</w:t>
            </w:r>
          </w:p>
        </w:tc>
        <w:tc>
          <w:tcPr>
            <w:tcW w:w="1842" w:type="dxa"/>
            <w:shd w:val="clear" w:color="auto" w:fill="auto"/>
            <w:vAlign w:val="center"/>
          </w:tcPr>
          <w:p w14:paraId="236DD031" w14:textId="307A0388" w:rsidR="00AB194A" w:rsidRPr="008F5532" w:rsidRDefault="00AB194A" w:rsidP="00BF3070">
            <w:pPr>
              <w:contextualSpacing/>
              <w:jc w:val="center"/>
              <w:rPr>
                <w:rFonts w:cs="Arial"/>
                <w:sz w:val="20"/>
                <w:szCs w:val="20"/>
              </w:rPr>
            </w:pPr>
          </w:p>
        </w:tc>
        <w:tc>
          <w:tcPr>
            <w:tcW w:w="1843" w:type="dxa"/>
            <w:shd w:val="clear" w:color="auto" w:fill="auto"/>
            <w:vAlign w:val="center"/>
          </w:tcPr>
          <w:p w14:paraId="46D8A6F7" w14:textId="53E634B9" w:rsidR="00AB194A" w:rsidRPr="008F5532" w:rsidRDefault="00AB194A" w:rsidP="00BF3070">
            <w:pPr>
              <w:contextualSpacing/>
              <w:jc w:val="center"/>
              <w:rPr>
                <w:rFonts w:cs="Arial"/>
                <w:sz w:val="20"/>
                <w:szCs w:val="20"/>
              </w:rPr>
            </w:pPr>
          </w:p>
        </w:tc>
        <w:tc>
          <w:tcPr>
            <w:tcW w:w="6031" w:type="dxa"/>
            <w:vAlign w:val="center"/>
          </w:tcPr>
          <w:p w14:paraId="008A304B" w14:textId="2D232AB7" w:rsidR="00AB194A" w:rsidRPr="008F5532" w:rsidRDefault="00B86380" w:rsidP="004263AE">
            <w:pPr>
              <w:spacing w:line="240" w:lineRule="auto"/>
              <w:contextualSpacing/>
              <w:rPr>
                <w:rFonts w:cs="Arial"/>
                <w:sz w:val="20"/>
                <w:szCs w:val="20"/>
              </w:rPr>
            </w:pPr>
            <w:r w:rsidRPr="008F5532">
              <w:rPr>
                <w:rFonts w:cs="Arial"/>
                <w:sz w:val="20"/>
                <w:szCs w:val="20"/>
              </w:rPr>
              <w:t xml:space="preserve">The </w:t>
            </w:r>
            <w:r w:rsidR="00AC5AB3">
              <w:rPr>
                <w:rFonts w:cs="Arial"/>
                <w:sz w:val="20"/>
                <w:szCs w:val="20"/>
              </w:rPr>
              <w:t>f</w:t>
            </w:r>
            <w:r w:rsidRPr="008F5532">
              <w:rPr>
                <w:rFonts w:cs="Arial"/>
                <w:sz w:val="20"/>
                <w:szCs w:val="20"/>
              </w:rPr>
              <w:t xml:space="preserve">ishery meets the requirements of Part 13 of the EPBC Act. </w:t>
            </w:r>
            <w:r w:rsidR="00A905E7" w:rsidRPr="008F5532">
              <w:rPr>
                <w:rFonts w:cs="Arial"/>
                <w:sz w:val="20"/>
                <w:szCs w:val="20"/>
              </w:rPr>
              <w:t xml:space="preserve">Seven </w:t>
            </w:r>
            <w:r w:rsidR="00B17DDE" w:rsidRPr="008F5532">
              <w:rPr>
                <w:rFonts w:cs="Arial"/>
                <w:sz w:val="20"/>
                <w:szCs w:val="20"/>
              </w:rPr>
              <w:t xml:space="preserve">criteria </w:t>
            </w:r>
            <w:r w:rsidR="00A905E7" w:rsidRPr="008F5532">
              <w:rPr>
                <w:rFonts w:cs="Arial"/>
                <w:sz w:val="20"/>
                <w:szCs w:val="20"/>
              </w:rPr>
              <w:t xml:space="preserve">were </w:t>
            </w:r>
            <w:r w:rsidR="00B17DDE" w:rsidRPr="008F5532">
              <w:rPr>
                <w:rFonts w:cs="Arial"/>
                <w:sz w:val="20"/>
                <w:szCs w:val="20"/>
              </w:rPr>
              <w:t>not applicable.</w:t>
            </w:r>
          </w:p>
        </w:tc>
      </w:tr>
      <w:tr w:rsidR="00AB194A" w:rsidRPr="00C61F76" w14:paraId="22B413FF" w14:textId="77777777" w:rsidTr="00BF3070">
        <w:trPr>
          <w:cnfStyle w:val="000000100000" w:firstRow="0" w:lastRow="0" w:firstColumn="0" w:lastColumn="0" w:oddVBand="0" w:evenVBand="0" w:oddHBand="1" w:evenHBand="0" w:firstRowFirstColumn="0" w:firstRowLastColumn="0" w:lastRowFirstColumn="0" w:lastRowLastColumn="0"/>
        </w:trPr>
        <w:tc>
          <w:tcPr>
            <w:tcW w:w="2689" w:type="dxa"/>
            <w:vAlign w:val="center"/>
          </w:tcPr>
          <w:p w14:paraId="43BD9B9F" w14:textId="77777777" w:rsidR="00AB194A" w:rsidRPr="008F5532" w:rsidRDefault="00AB194A" w:rsidP="00C61F76">
            <w:pPr>
              <w:ind w:left="426" w:hanging="426"/>
              <w:contextualSpacing/>
              <w:rPr>
                <w:rFonts w:cs="Arial"/>
                <w:sz w:val="20"/>
                <w:szCs w:val="20"/>
              </w:rPr>
            </w:pPr>
            <w:r w:rsidRPr="008F5532">
              <w:rPr>
                <w:rFonts w:cs="Arial"/>
                <w:sz w:val="20"/>
                <w:szCs w:val="20"/>
              </w:rPr>
              <w:t>Part 13A</w:t>
            </w:r>
          </w:p>
        </w:tc>
        <w:tc>
          <w:tcPr>
            <w:tcW w:w="1701" w:type="dxa"/>
            <w:shd w:val="clear" w:color="auto" w:fill="92D050"/>
            <w:vAlign w:val="center"/>
          </w:tcPr>
          <w:p w14:paraId="5C07EDB0" w14:textId="41817F83" w:rsidR="00AB194A" w:rsidRPr="008F5532" w:rsidRDefault="003A37E3" w:rsidP="00BF3070">
            <w:pPr>
              <w:contextualSpacing/>
              <w:jc w:val="center"/>
              <w:rPr>
                <w:rFonts w:cs="Arial"/>
                <w:b/>
                <w:sz w:val="20"/>
                <w:szCs w:val="20"/>
              </w:rPr>
            </w:pPr>
            <w:r w:rsidRPr="008F5532">
              <w:rPr>
                <w:rFonts w:cs="Arial"/>
                <w:b/>
                <w:sz w:val="20"/>
                <w:szCs w:val="20"/>
              </w:rPr>
              <w:t>Met</w:t>
            </w:r>
          </w:p>
        </w:tc>
        <w:tc>
          <w:tcPr>
            <w:tcW w:w="1842" w:type="dxa"/>
            <w:shd w:val="clear" w:color="auto" w:fill="auto"/>
            <w:vAlign w:val="center"/>
          </w:tcPr>
          <w:p w14:paraId="37366B5B" w14:textId="2005AA6B" w:rsidR="00AB194A" w:rsidRPr="008F5532" w:rsidRDefault="00AB194A" w:rsidP="00BF3070">
            <w:pPr>
              <w:contextualSpacing/>
              <w:jc w:val="center"/>
              <w:rPr>
                <w:rFonts w:cs="Arial"/>
                <w:sz w:val="20"/>
                <w:szCs w:val="20"/>
              </w:rPr>
            </w:pPr>
          </w:p>
        </w:tc>
        <w:tc>
          <w:tcPr>
            <w:tcW w:w="1843" w:type="dxa"/>
            <w:shd w:val="clear" w:color="auto" w:fill="auto"/>
            <w:vAlign w:val="center"/>
          </w:tcPr>
          <w:p w14:paraId="3DC1438C" w14:textId="14679EF2" w:rsidR="00AB194A" w:rsidRPr="008F5532" w:rsidRDefault="00AB194A" w:rsidP="00BF3070">
            <w:pPr>
              <w:contextualSpacing/>
              <w:jc w:val="center"/>
              <w:rPr>
                <w:rFonts w:cs="Arial"/>
                <w:sz w:val="20"/>
                <w:szCs w:val="20"/>
              </w:rPr>
            </w:pPr>
          </w:p>
        </w:tc>
        <w:tc>
          <w:tcPr>
            <w:tcW w:w="6031" w:type="dxa"/>
            <w:vAlign w:val="center"/>
          </w:tcPr>
          <w:p w14:paraId="3A492242" w14:textId="392A8386" w:rsidR="00AB194A" w:rsidRPr="008F5532" w:rsidRDefault="00A905E7" w:rsidP="004263AE">
            <w:pPr>
              <w:spacing w:line="240" w:lineRule="auto"/>
              <w:contextualSpacing/>
              <w:rPr>
                <w:rFonts w:cs="Arial"/>
                <w:sz w:val="20"/>
                <w:szCs w:val="20"/>
              </w:rPr>
            </w:pPr>
            <w:r w:rsidRPr="008F5532">
              <w:rPr>
                <w:rFonts w:cs="Arial"/>
                <w:sz w:val="20"/>
                <w:szCs w:val="20"/>
              </w:rPr>
              <w:t xml:space="preserve">The </w:t>
            </w:r>
            <w:r w:rsidR="00AC5AB3">
              <w:rPr>
                <w:rFonts w:cs="Arial"/>
                <w:sz w:val="20"/>
                <w:szCs w:val="20"/>
              </w:rPr>
              <w:t>f</w:t>
            </w:r>
            <w:r w:rsidRPr="008F5532">
              <w:rPr>
                <w:rFonts w:cs="Arial"/>
                <w:sz w:val="20"/>
                <w:szCs w:val="20"/>
              </w:rPr>
              <w:t xml:space="preserve">ishery meets the requirements of </w:t>
            </w:r>
            <w:r w:rsidR="00B86380" w:rsidRPr="008F5532">
              <w:rPr>
                <w:rFonts w:cs="Arial"/>
                <w:sz w:val="20"/>
                <w:szCs w:val="20"/>
              </w:rPr>
              <w:t>Part</w:t>
            </w:r>
            <w:r w:rsidRPr="008F5532">
              <w:rPr>
                <w:rFonts w:cs="Arial"/>
                <w:sz w:val="20"/>
                <w:szCs w:val="20"/>
              </w:rPr>
              <w:t xml:space="preserve"> 13A of the EPBC Act. Two</w:t>
            </w:r>
            <w:r w:rsidR="00B17DDE" w:rsidRPr="008F5532">
              <w:rPr>
                <w:rFonts w:cs="Arial"/>
                <w:sz w:val="20"/>
                <w:szCs w:val="20"/>
              </w:rPr>
              <w:t xml:space="preserve"> criteria </w:t>
            </w:r>
            <w:r w:rsidRPr="008F5532">
              <w:rPr>
                <w:rFonts w:cs="Arial"/>
                <w:sz w:val="20"/>
                <w:szCs w:val="20"/>
              </w:rPr>
              <w:t xml:space="preserve">were </w:t>
            </w:r>
            <w:r w:rsidR="00B17DDE" w:rsidRPr="008F5532">
              <w:rPr>
                <w:rFonts w:cs="Arial"/>
                <w:sz w:val="20"/>
                <w:szCs w:val="20"/>
              </w:rPr>
              <w:t>not applicable.</w:t>
            </w:r>
          </w:p>
        </w:tc>
      </w:tr>
      <w:tr w:rsidR="00AB194A" w:rsidRPr="00C61F76" w14:paraId="3E17CDF2" w14:textId="77777777" w:rsidTr="00BF3070">
        <w:trPr>
          <w:cnfStyle w:val="000000010000" w:firstRow="0" w:lastRow="0" w:firstColumn="0" w:lastColumn="0" w:oddVBand="0" w:evenVBand="0" w:oddHBand="0" w:evenHBand="1" w:firstRowFirstColumn="0" w:firstRowLastColumn="0" w:lastRowFirstColumn="0" w:lastRowLastColumn="0"/>
        </w:trPr>
        <w:tc>
          <w:tcPr>
            <w:tcW w:w="2689" w:type="dxa"/>
            <w:vAlign w:val="center"/>
          </w:tcPr>
          <w:p w14:paraId="716FE531" w14:textId="77777777" w:rsidR="00AB194A" w:rsidRPr="008F5532" w:rsidRDefault="00AB194A" w:rsidP="00C61F76">
            <w:pPr>
              <w:ind w:left="426" w:hanging="426"/>
              <w:contextualSpacing/>
              <w:rPr>
                <w:rFonts w:cs="Arial"/>
                <w:sz w:val="20"/>
                <w:szCs w:val="20"/>
              </w:rPr>
            </w:pPr>
            <w:r w:rsidRPr="008F5532">
              <w:rPr>
                <w:rFonts w:cs="Arial"/>
                <w:sz w:val="20"/>
                <w:szCs w:val="20"/>
              </w:rPr>
              <w:t>Part 16</w:t>
            </w:r>
          </w:p>
        </w:tc>
        <w:tc>
          <w:tcPr>
            <w:tcW w:w="1701" w:type="dxa"/>
            <w:shd w:val="clear" w:color="auto" w:fill="92D050"/>
            <w:vAlign w:val="center"/>
          </w:tcPr>
          <w:p w14:paraId="6CB8748C" w14:textId="664955BF" w:rsidR="00AB194A" w:rsidRPr="008F5532" w:rsidRDefault="003A37E3" w:rsidP="00BF3070">
            <w:pPr>
              <w:contextualSpacing/>
              <w:jc w:val="center"/>
              <w:rPr>
                <w:rFonts w:cs="Arial"/>
                <w:b/>
                <w:sz w:val="20"/>
                <w:szCs w:val="20"/>
              </w:rPr>
            </w:pPr>
            <w:r w:rsidRPr="008F5532">
              <w:rPr>
                <w:rFonts w:cs="Arial"/>
                <w:b/>
                <w:sz w:val="20"/>
                <w:szCs w:val="20"/>
              </w:rPr>
              <w:t>Met</w:t>
            </w:r>
          </w:p>
        </w:tc>
        <w:tc>
          <w:tcPr>
            <w:tcW w:w="1842" w:type="dxa"/>
            <w:shd w:val="clear" w:color="auto" w:fill="auto"/>
            <w:vAlign w:val="center"/>
          </w:tcPr>
          <w:p w14:paraId="7B5C007D" w14:textId="266B6431" w:rsidR="00AB194A" w:rsidRPr="008F5532" w:rsidRDefault="00AB194A" w:rsidP="00BF3070">
            <w:pPr>
              <w:contextualSpacing/>
              <w:jc w:val="center"/>
              <w:rPr>
                <w:rFonts w:cs="Arial"/>
                <w:sz w:val="20"/>
                <w:szCs w:val="20"/>
              </w:rPr>
            </w:pPr>
          </w:p>
        </w:tc>
        <w:tc>
          <w:tcPr>
            <w:tcW w:w="1843" w:type="dxa"/>
            <w:shd w:val="clear" w:color="auto" w:fill="auto"/>
            <w:vAlign w:val="center"/>
          </w:tcPr>
          <w:p w14:paraId="138BAF54" w14:textId="00EF838C" w:rsidR="00AB194A" w:rsidRPr="008F5532" w:rsidRDefault="00AB194A" w:rsidP="00BF3070">
            <w:pPr>
              <w:contextualSpacing/>
              <w:jc w:val="center"/>
              <w:rPr>
                <w:rFonts w:cs="Arial"/>
                <w:sz w:val="20"/>
                <w:szCs w:val="20"/>
              </w:rPr>
            </w:pPr>
          </w:p>
        </w:tc>
        <w:tc>
          <w:tcPr>
            <w:tcW w:w="6031" w:type="dxa"/>
            <w:vAlign w:val="center"/>
          </w:tcPr>
          <w:p w14:paraId="70D1DCFD" w14:textId="5A4ED425" w:rsidR="00AB194A" w:rsidRPr="008F5532" w:rsidRDefault="00A905E7" w:rsidP="004263AE">
            <w:pPr>
              <w:spacing w:line="240" w:lineRule="auto"/>
              <w:contextualSpacing/>
              <w:rPr>
                <w:rFonts w:cs="Arial"/>
                <w:sz w:val="20"/>
                <w:szCs w:val="20"/>
              </w:rPr>
            </w:pPr>
            <w:r w:rsidRPr="008F5532">
              <w:rPr>
                <w:rFonts w:cs="Arial"/>
                <w:sz w:val="20"/>
                <w:szCs w:val="20"/>
              </w:rPr>
              <w:t xml:space="preserve">The </w:t>
            </w:r>
            <w:r w:rsidR="0036577C" w:rsidRPr="008F5532">
              <w:rPr>
                <w:rFonts w:cs="Arial"/>
                <w:sz w:val="20"/>
                <w:szCs w:val="20"/>
              </w:rPr>
              <w:t>f</w:t>
            </w:r>
            <w:r w:rsidRPr="008F5532">
              <w:rPr>
                <w:rFonts w:cs="Arial"/>
                <w:sz w:val="20"/>
                <w:szCs w:val="20"/>
              </w:rPr>
              <w:t xml:space="preserve">ishery </w:t>
            </w:r>
            <w:r w:rsidR="0036577C" w:rsidRPr="008F5532">
              <w:rPr>
                <w:rFonts w:cs="Arial"/>
                <w:sz w:val="20"/>
                <w:szCs w:val="20"/>
              </w:rPr>
              <w:t xml:space="preserve">is managed in a precautionary way, sufficient to </w:t>
            </w:r>
            <w:r w:rsidRPr="008F5532">
              <w:rPr>
                <w:rFonts w:cs="Arial"/>
                <w:sz w:val="20"/>
                <w:szCs w:val="20"/>
              </w:rPr>
              <w:t>prevent serious or irreversible environmental damage being caused by this fishery.</w:t>
            </w:r>
          </w:p>
        </w:tc>
      </w:tr>
    </w:tbl>
    <w:p w14:paraId="32449674" w14:textId="77777777" w:rsidR="00AB194A" w:rsidRPr="00400625" w:rsidRDefault="00AB194A" w:rsidP="00AB194A">
      <w:pPr>
        <w:rPr>
          <w:rStyle w:val="Emphasis"/>
          <w:rFonts w:cs="Arial"/>
          <w:i w:val="0"/>
          <w:iCs w:val="0"/>
        </w:rPr>
      </w:pPr>
    </w:p>
    <w:p w14:paraId="76CC2927" w14:textId="77777777" w:rsidR="008F5532" w:rsidRPr="008F5532" w:rsidRDefault="008F5532" w:rsidP="008F5532"/>
    <w:p w14:paraId="058987D4" w14:textId="77777777" w:rsidR="00227603" w:rsidRPr="008F5532" w:rsidRDefault="00227603" w:rsidP="008F5532">
      <w:pPr>
        <w:sectPr w:rsidR="00227603" w:rsidRPr="008F5532"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00205463" w14:textId="77777777" w:rsidR="00134108" w:rsidRDefault="00134108" w:rsidP="00AB194A">
      <w:pPr>
        <w:spacing w:after="0" w:line="240" w:lineRule="auto"/>
        <w:rPr>
          <w:rFonts w:cs="Arial"/>
          <w:b/>
        </w:rPr>
      </w:pPr>
      <w:r>
        <w:rPr>
          <w:rFonts w:cs="Arial"/>
          <w:b/>
        </w:rPr>
        <w:lastRenderedPageBreak/>
        <w:t>Assessment history:</w:t>
      </w:r>
    </w:p>
    <w:p w14:paraId="42946376" w14:textId="5C71A641" w:rsidR="00EE5046" w:rsidRDefault="00D75CBA" w:rsidP="005470C4">
      <w:pPr>
        <w:spacing w:after="0" w:line="240" w:lineRule="auto"/>
        <w:rPr>
          <w:rFonts w:cs="Arial"/>
        </w:rPr>
      </w:pPr>
      <w:r>
        <w:rPr>
          <w:rFonts w:cs="Arial"/>
        </w:rPr>
        <w:t>P</w:t>
      </w:r>
      <w:r w:rsidR="005470C4">
        <w:rPr>
          <w:rFonts w:cs="Arial"/>
        </w:rPr>
        <w:t xml:space="preserve">roduct derived from the </w:t>
      </w:r>
      <w:r w:rsidR="00AC5AB3">
        <w:rPr>
          <w:rFonts w:cs="Arial"/>
        </w:rPr>
        <w:t>Australia’s</w:t>
      </w:r>
      <w:r w:rsidR="005470C4">
        <w:rPr>
          <w:rFonts w:cs="Arial"/>
        </w:rPr>
        <w:t xml:space="preserve"> High Seas </w:t>
      </w:r>
      <w:r w:rsidR="00AC5AB3">
        <w:rPr>
          <w:rFonts w:cs="Arial"/>
        </w:rPr>
        <w:t>Permits</w:t>
      </w:r>
      <w:r w:rsidR="005470C4">
        <w:rPr>
          <w:rFonts w:cs="Arial"/>
        </w:rPr>
        <w:t xml:space="preserve"> has been included on the list of exempt native specimens since 2004</w:t>
      </w:r>
      <w:r>
        <w:rPr>
          <w:rFonts w:cs="Arial"/>
        </w:rPr>
        <w:t>.</w:t>
      </w:r>
    </w:p>
    <w:p w14:paraId="2534BE4F" w14:textId="4B0DF485" w:rsidR="00726008" w:rsidRDefault="007808E7" w:rsidP="005470C4">
      <w:pPr>
        <w:spacing w:after="0" w:line="240" w:lineRule="auto"/>
        <w:rPr>
          <w:rFonts w:cs="Arial"/>
        </w:rPr>
      </w:pPr>
      <w:r>
        <w:rPr>
          <w:rFonts w:cs="Arial"/>
        </w:rPr>
        <w:t>Previous assessment May 2013 – LENS for 5 years with 6 recommendations.</w:t>
      </w:r>
    </w:p>
    <w:p w14:paraId="28A4DEA3" w14:textId="1A3A126A" w:rsidR="005470C4" w:rsidRPr="00A922CB" w:rsidRDefault="005470C4" w:rsidP="005470C4">
      <w:pPr>
        <w:contextualSpacing/>
        <w:rPr>
          <w:rFonts w:cs="Arial"/>
        </w:rPr>
      </w:pPr>
      <w:r w:rsidRPr="00A922CB">
        <w:rPr>
          <w:rFonts w:cs="Arial"/>
        </w:rPr>
        <w:t xml:space="preserve">Information on previous assessments for the </w:t>
      </w:r>
      <w:r w:rsidR="00AC5AB3">
        <w:rPr>
          <w:rFonts w:cs="Arial"/>
        </w:rPr>
        <w:t xml:space="preserve">Australia’s High Seas Permits </w:t>
      </w:r>
      <w:r w:rsidRPr="00A922CB">
        <w:rPr>
          <w:rFonts w:cs="Arial"/>
        </w:rPr>
        <w:t>is available on the Department’s website at</w:t>
      </w:r>
      <w:r>
        <w:rPr>
          <w:rFonts w:cs="Arial"/>
        </w:rPr>
        <w:t xml:space="preserve"> </w:t>
      </w:r>
      <w:hyperlink r:id="rId17" w:history="1">
        <w:r w:rsidRPr="00C7290B">
          <w:rPr>
            <w:rStyle w:val="Hyperlink"/>
            <w:rFonts w:cs="Arial"/>
          </w:rPr>
          <w:t>http://www.environment.gov.au/marine/fisheries/commonwealth/high-seas</w:t>
        </w:r>
      </w:hyperlink>
      <w:r>
        <w:rPr>
          <w:rFonts w:cs="Arial"/>
        </w:rPr>
        <w:t>.</w:t>
      </w:r>
    </w:p>
    <w:p w14:paraId="1045950B" w14:textId="77777777" w:rsidR="008164CC" w:rsidRPr="009D5019" w:rsidRDefault="008164CC" w:rsidP="00AB194A">
      <w:pPr>
        <w:spacing w:after="0" w:line="240" w:lineRule="auto"/>
        <w:rPr>
          <w:rStyle w:val="Emphasis"/>
          <w:rFonts w:cs="Arial"/>
          <w:b/>
          <w:i w:val="0"/>
          <w:iCs w:val="0"/>
          <w:u w:val="single"/>
        </w:rPr>
      </w:pPr>
    </w:p>
    <w:p w14:paraId="5C3C5A42" w14:textId="77777777" w:rsidR="00B97B40" w:rsidRDefault="00AB194A" w:rsidP="00AB194A">
      <w:pPr>
        <w:spacing w:after="0" w:line="240" w:lineRule="auto"/>
        <w:rPr>
          <w:rStyle w:val="Emphasis"/>
          <w:rFonts w:cs="Arial"/>
          <w:b/>
          <w:i w:val="0"/>
          <w:iCs w:val="0"/>
        </w:rPr>
      </w:pPr>
      <w:r w:rsidRPr="009D5019">
        <w:rPr>
          <w:rStyle w:val="Emphasis"/>
          <w:rFonts w:cs="Arial"/>
          <w:b/>
          <w:i w:val="0"/>
          <w:iCs w:val="0"/>
        </w:rPr>
        <w:t>Fishery reporting:</w:t>
      </w:r>
    </w:p>
    <w:p w14:paraId="00A73EAC" w14:textId="40E125AE" w:rsidR="00CD0543" w:rsidRDefault="00D75CBA" w:rsidP="00AB194A">
      <w:pPr>
        <w:spacing w:after="0" w:line="240" w:lineRule="auto"/>
        <w:rPr>
          <w:rStyle w:val="Emphasis"/>
          <w:rFonts w:cs="Arial"/>
          <w:i w:val="0"/>
          <w:iCs w:val="0"/>
        </w:rPr>
      </w:pPr>
      <w:r>
        <w:rPr>
          <w:rStyle w:val="Emphasis"/>
          <w:rFonts w:cs="Arial"/>
          <w:i w:val="0"/>
          <w:iCs w:val="0"/>
        </w:rPr>
        <w:t xml:space="preserve">Annual reports provided to the Department in </w:t>
      </w:r>
      <w:r w:rsidR="004979F0">
        <w:rPr>
          <w:rStyle w:val="Emphasis"/>
          <w:rFonts w:cs="Arial"/>
          <w:i w:val="0"/>
          <w:iCs w:val="0"/>
        </w:rPr>
        <w:t xml:space="preserve">July 2014, </w:t>
      </w:r>
      <w:r>
        <w:rPr>
          <w:rStyle w:val="Emphasis"/>
          <w:rFonts w:cs="Arial"/>
          <w:i w:val="0"/>
          <w:iCs w:val="0"/>
        </w:rPr>
        <w:t>December 2016</w:t>
      </w:r>
      <w:r w:rsidR="004979F0">
        <w:rPr>
          <w:rStyle w:val="Emphasis"/>
          <w:rFonts w:cs="Arial"/>
          <w:i w:val="0"/>
          <w:iCs w:val="0"/>
        </w:rPr>
        <w:t xml:space="preserve"> and</w:t>
      </w:r>
      <w:r>
        <w:rPr>
          <w:rStyle w:val="Emphasis"/>
          <w:rFonts w:cs="Arial"/>
          <w:i w:val="0"/>
          <w:iCs w:val="0"/>
        </w:rPr>
        <w:t xml:space="preserve"> November 2017</w:t>
      </w:r>
      <w:r w:rsidR="004979F0">
        <w:rPr>
          <w:rStyle w:val="Emphasis"/>
          <w:rFonts w:cs="Arial"/>
          <w:i w:val="0"/>
          <w:iCs w:val="0"/>
        </w:rPr>
        <w:t>.</w:t>
      </w:r>
    </w:p>
    <w:p w14:paraId="16689748" w14:textId="22BBC07B" w:rsidR="00AB194A" w:rsidRDefault="00EE5046" w:rsidP="00AB194A">
      <w:pPr>
        <w:spacing w:after="0" w:line="240" w:lineRule="auto"/>
      </w:pPr>
      <w:r>
        <w:t>Fishery i</w:t>
      </w:r>
      <w:r w:rsidR="004979F0">
        <w:t xml:space="preserve">nformation is also published online in </w:t>
      </w:r>
      <w:hyperlink r:id="rId18" w:history="1">
        <w:r w:rsidR="004979F0" w:rsidRPr="004979F0">
          <w:rPr>
            <w:rStyle w:val="Hyperlink"/>
          </w:rPr>
          <w:t>AFMA annual corporate reports</w:t>
        </w:r>
      </w:hyperlink>
      <w:r w:rsidR="004979F0">
        <w:t xml:space="preserve"> and annual </w:t>
      </w:r>
      <w:hyperlink r:id="rId19" w:history="1">
        <w:r w:rsidR="004979F0" w:rsidRPr="004979F0">
          <w:rPr>
            <w:rStyle w:val="Hyperlink"/>
          </w:rPr>
          <w:t>Fishery Status Reports</w:t>
        </w:r>
      </w:hyperlink>
      <w:r w:rsidR="004979F0">
        <w:t xml:space="preserve"> published by the Australian Bureau of Resource Economics and Sciences (ABARES).</w:t>
      </w:r>
    </w:p>
    <w:p w14:paraId="7200DA01" w14:textId="0D30AF5F" w:rsidR="00AB194A" w:rsidRPr="009D135B" w:rsidRDefault="00AB194A" w:rsidP="00AB194A">
      <w:pPr>
        <w:spacing w:after="0" w:line="240" w:lineRule="auto"/>
        <w:rPr>
          <w:rStyle w:val="Emphasis"/>
          <w:i w:val="0"/>
          <w:iCs w:val="0"/>
        </w:rPr>
      </w:pPr>
    </w:p>
    <w:p w14:paraId="19C1FED1" w14:textId="68DE6491" w:rsidR="00CD0543" w:rsidRPr="00813368" w:rsidRDefault="00AB194A" w:rsidP="00AB194A">
      <w:pPr>
        <w:spacing w:after="0" w:line="240" w:lineRule="auto"/>
        <w:rPr>
          <w:rStyle w:val="Emphasis"/>
          <w:rFonts w:cs="Arial"/>
          <w:b/>
          <w:i w:val="0"/>
          <w:iCs w:val="0"/>
        </w:rPr>
      </w:pPr>
      <w:r w:rsidRPr="00813368">
        <w:rPr>
          <w:rStyle w:val="Emphasis"/>
          <w:rFonts w:cs="Arial"/>
          <w:b/>
          <w:i w:val="0"/>
          <w:iCs w:val="0"/>
        </w:rPr>
        <w:t>Fishery in</w:t>
      </w:r>
      <w:r w:rsidR="00813368">
        <w:rPr>
          <w:rStyle w:val="Emphasis"/>
          <w:rFonts w:cs="Arial"/>
          <w:b/>
          <w:i w:val="0"/>
          <w:iCs w:val="0"/>
        </w:rPr>
        <w:t>formation:</w:t>
      </w:r>
    </w:p>
    <w:p w14:paraId="28678FAC" w14:textId="2CC264DB" w:rsidR="00AB194A" w:rsidRPr="009D5019" w:rsidRDefault="00EE5046" w:rsidP="00AB194A">
      <w:pPr>
        <w:spacing w:after="0" w:line="240" w:lineRule="auto"/>
      </w:pPr>
      <w:r>
        <w:rPr>
          <w:rStyle w:val="Emphasis"/>
          <w:rFonts w:cs="Arial"/>
          <w:i w:val="0"/>
          <w:iCs w:val="0"/>
        </w:rPr>
        <w:t xml:space="preserve">Links to information about the fishery are published on the </w:t>
      </w:r>
      <w:hyperlink r:id="rId20" w:history="1">
        <w:r w:rsidR="004979F0" w:rsidRPr="00EE5046">
          <w:rPr>
            <w:rStyle w:val="Hyperlink"/>
            <w:rFonts w:cs="Arial"/>
          </w:rPr>
          <w:t>AFMA website</w:t>
        </w:r>
      </w:hyperlink>
      <w:r>
        <w:rPr>
          <w:rStyle w:val="Emphasis"/>
          <w:rFonts w:cs="Arial"/>
          <w:i w:val="0"/>
          <w:iCs w:val="0"/>
        </w:rPr>
        <w:t>.</w:t>
      </w:r>
    </w:p>
    <w:p w14:paraId="27FF925A" w14:textId="77777777" w:rsidR="00AB194A" w:rsidRPr="009D5019" w:rsidRDefault="00AB194A" w:rsidP="00AB194A">
      <w:pPr>
        <w:spacing w:after="0" w:line="240" w:lineRule="auto"/>
      </w:pPr>
    </w:p>
    <w:p w14:paraId="66179759" w14:textId="36C4FD32" w:rsidR="00B97B40" w:rsidRPr="00813368" w:rsidRDefault="00B97B40" w:rsidP="00AB194A">
      <w:pPr>
        <w:spacing w:after="0" w:line="240" w:lineRule="auto"/>
        <w:rPr>
          <w:b/>
        </w:rPr>
      </w:pPr>
      <w:r w:rsidRPr="00813368">
        <w:rPr>
          <w:b/>
        </w:rPr>
        <w:t>Management plan</w:t>
      </w:r>
      <w:r w:rsidR="00813368">
        <w:rPr>
          <w:b/>
        </w:rPr>
        <w:t>:</w:t>
      </w:r>
    </w:p>
    <w:p w14:paraId="779A33AE" w14:textId="6ABDDEEC" w:rsidR="00DD4118" w:rsidRPr="008F5532" w:rsidRDefault="00DD4118" w:rsidP="00AB194A">
      <w:pPr>
        <w:spacing w:after="0" w:line="240" w:lineRule="auto"/>
        <w:rPr>
          <w:color w:val="000000"/>
          <w:lang w:val="en-US"/>
        </w:rPr>
      </w:pPr>
      <w:r w:rsidRPr="008F5532">
        <w:rPr>
          <w:color w:val="000000"/>
          <w:lang w:val="en-US"/>
        </w:rPr>
        <w:t xml:space="preserve">High Seas Permits </w:t>
      </w:r>
      <w:r w:rsidR="00335101" w:rsidRPr="008F5532">
        <w:rPr>
          <w:color w:val="000000"/>
          <w:lang w:val="en-US"/>
        </w:rPr>
        <w:t xml:space="preserve">are managed in accordance with conservation and management measures defined by the </w:t>
      </w:r>
      <w:hyperlink r:id="rId21" w:history="1">
        <w:r w:rsidRPr="008F5532">
          <w:rPr>
            <w:rStyle w:val="Hyperlink"/>
            <w:lang w:val="en-US"/>
          </w:rPr>
          <w:t>Southern Indian Ocean Fisheries Agreement</w:t>
        </w:r>
      </w:hyperlink>
      <w:r w:rsidRPr="008F5532">
        <w:rPr>
          <w:color w:val="000000"/>
          <w:lang w:val="en-US"/>
        </w:rPr>
        <w:t xml:space="preserve"> (SIOFA)</w:t>
      </w:r>
      <w:r w:rsidR="00335101" w:rsidRPr="008F5532">
        <w:rPr>
          <w:color w:val="000000"/>
          <w:lang w:val="en-US"/>
        </w:rPr>
        <w:t xml:space="preserve"> </w:t>
      </w:r>
      <w:r w:rsidRPr="008F5532">
        <w:rPr>
          <w:color w:val="000000"/>
          <w:lang w:val="en-US"/>
        </w:rPr>
        <w:t xml:space="preserve">and the </w:t>
      </w:r>
      <w:hyperlink r:id="rId22" w:history="1">
        <w:r w:rsidRPr="008F5532">
          <w:rPr>
            <w:rStyle w:val="Hyperlink"/>
            <w:lang w:val="en-US"/>
          </w:rPr>
          <w:t xml:space="preserve">South Pacific Regional Fisheries Management </w:t>
        </w:r>
        <w:proofErr w:type="spellStart"/>
        <w:r w:rsidRPr="008F5532">
          <w:rPr>
            <w:rStyle w:val="Hyperlink"/>
            <w:lang w:val="en-US"/>
          </w:rPr>
          <w:t>Organisation</w:t>
        </w:r>
        <w:proofErr w:type="spellEnd"/>
      </w:hyperlink>
      <w:r w:rsidRPr="008F5532">
        <w:rPr>
          <w:color w:val="000000"/>
          <w:lang w:val="en-US"/>
        </w:rPr>
        <w:t xml:space="preserve"> (SPRFMO).</w:t>
      </w:r>
    </w:p>
    <w:p w14:paraId="010DD511" w14:textId="77777777" w:rsidR="00335101" w:rsidRDefault="004979F0" w:rsidP="00AB194A">
      <w:pPr>
        <w:spacing w:after="0" w:line="240" w:lineRule="auto"/>
      </w:pPr>
      <w:r>
        <w:t xml:space="preserve">There is no formal management plan under the </w:t>
      </w:r>
      <w:hyperlink r:id="rId23" w:history="1">
        <w:r w:rsidRPr="00335101">
          <w:rPr>
            <w:rStyle w:val="Hyperlink"/>
            <w:i/>
          </w:rPr>
          <w:t>Fisheries Management Act 1991</w:t>
        </w:r>
      </w:hyperlink>
      <w:r>
        <w:t>.</w:t>
      </w:r>
    </w:p>
    <w:p w14:paraId="129E4A82" w14:textId="0AB396C4" w:rsidR="00AB194A" w:rsidRDefault="004979F0" w:rsidP="00AB194A">
      <w:pPr>
        <w:spacing w:after="0" w:line="240" w:lineRule="auto"/>
      </w:pPr>
      <w:r>
        <w:t xml:space="preserve">Management arrangements are </w:t>
      </w:r>
      <w:r w:rsidR="00DD4118">
        <w:t>enforced through permit conditions.</w:t>
      </w:r>
    </w:p>
    <w:p w14:paraId="2C656994" w14:textId="0601C1C0" w:rsidR="00DD4118" w:rsidRPr="009D5019" w:rsidRDefault="00DD4118" w:rsidP="00AB194A">
      <w:pPr>
        <w:spacing w:after="0" w:line="240" w:lineRule="auto"/>
      </w:pPr>
      <w:r>
        <w:t xml:space="preserve">These arrangements are summarised in the </w:t>
      </w:r>
      <w:hyperlink r:id="rId24" w:history="1">
        <w:r w:rsidRPr="00DD4118">
          <w:rPr>
            <w:rStyle w:val="Hyperlink"/>
          </w:rPr>
          <w:t>High Seas Management Arrangements Booklet 2017</w:t>
        </w:r>
      </w:hyperlink>
      <w:r>
        <w:t>.</w:t>
      </w:r>
    </w:p>
    <w:p w14:paraId="5D9D1F76" w14:textId="77777777" w:rsidR="00AB194A" w:rsidRPr="009D5019" w:rsidRDefault="00AB194A" w:rsidP="00AB194A">
      <w:pPr>
        <w:spacing w:after="120" w:line="240" w:lineRule="auto"/>
      </w:pPr>
    </w:p>
    <w:p w14:paraId="390B7E04" w14:textId="688B704E" w:rsidR="00CD0543" w:rsidRPr="00813368" w:rsidRDefault="00AB194A" w:rsidP="00AB194A">
      <w:pPr>
        <w:spacing w:after="120" w:line="240" w:lineRule="auto"/>
        <w:rPr>
          <w:b/>
        </w:rPr>
      </w:pPr>
      <w:r w:rsidRPr="00813368">
        <w:rPr>
          <w:b/>
        </w:rPr>
        <w:t>Enforcing legislation</w:t>
      </w:r>
      <w:r w:rsidR="00813368">
        <w:rPr>
          <w:b/>
        </w:rPr>
        <w:t>:</w:t>
      </w:r>
    </w:p>
    <w:p w14:paraId="6FCCE195" w14:textId="7F628645" w:rsidR="00AB194A" w:rsidRPr="009D5019" w:rsidRDefault="00335101" w:rsidP="00AB194A">
      <w:pPr>
        <w:spacing w:after="120" w:line="240" w:lineRule="auto"/>
        <w:rPr>
          <w:rStyle w:val="Emphasis"/>
          <w:rFonts w:cs="Arial"/>
          <w:i w:val="0"/>
          <w:iCs w:val="0"/>
        </w:rPr>
      </w:pPr>
      <w:r>
        <w:t xml:space="preserve">Australian boats fishing on the High Seas are subject to the </w:t>
      </w:r>
      <w:hyperlink r:id="rId25" w:history="1">
        <w:r w:rsidRPr="00335101">
          <w:rPr>
            <w:rStyle w:val="Hyperlink"/>
            <w:i/>
          </w:rPr>
          <w:t>Fisheries Management Act 1991</w:t>
        </w:r>
      </w:hyperlink>
      <w:r>
        <w:t xml:space="preserve"> and the </w:t>
      </w:r>
      <w:hyperlink r:id="rId26" w:history="1">
        <w:r w:rsidRPr="00335101">
          <w:rPr>
            <w:rStyle w:val="Hyperlink"/>
            <w:i/>
          </w:rPr>
          <w:t>Fisheries Management Regulations 1992</w:t>
        </w:r>
      </w:hyperlink>
      <w:r>
        <w:t>.</w:t>
      </w:r>
    </w:p>
    <w:p w14:paraId="21F70AAA" w14:textId="77777777" w:rsidR="00AB194A" w:rsidRPr="009D5019" w:rsidRDefault="00AB194A" w:rsidP="00AB194A">
      <w:pPr>
        <w:spacing w:after="0" w:line="240" w:lineRule="auto"/>
        <w:rPr>
          <w:rStyle w:val="Emphasis"/>
          <w:i w:val="0"/>
          <w:iCs w:val="0"/>
        </w:rPr>
      </w:pPr>
    </w:p>
    <w:p w14:paraId="7A7EAFDE" w14:textId="6EBE6B02" w:rsidR="00CD0543" w:rsidRPr="00813368" w:rsidRDefault="00AB194A" w:rsidP="009D5019">
      <w:pPr>
        <w:adjustRightInd w:val="0"/>
        <w:spacing w:after="0"/>
        <w:rPr>
          <w:rStyle w:val="Emphasis"/>
          <w:rFonts w:cs="Arial"/>
          <w:b/>
          <w:i w:val="0"/>
          <w:iCs w:val="0"/>
        </w:rPr>
      </w:pPr>
      <w:r w:rsidRPr="00813368">
        <w:rPr>
          <w:rStyle w:val="Emphasis"/>
          <w:rFonts w:cs="Arial"/>
          <w:b/>
          <w:i w:val="0"/>
          <w:iCs w:val="0"/>
        </w:rPr>
        <w:t>Harvest strategy</w:t>
      </w:r>
      <w:r w:rsidR="00813368">
        <w:rPr>
          <w:rStyle w:val="Emphasis"/>
          <w:rFonts w:cs="Arial"/>
          <w:b/>
          <w:i w:val="0"/>
          <w:iCs w:val="0"/>
        </w:rPr>
        <w:t>:</w:t>
      </w:r>
    </w:p>
    <w:p w14:paraId="32C5BF37" w14:textId="3849BFA6" w:rsidR="002C081F" w:rsidRPr="002C081F" w:rsidRDefault="002C081F" w:rsidP="002C081F">
      <w:pPr>
        <w:adjustRightInd w:val="0"/>
        <w:spacing w:after="0"/>
        <w:rPr>
          <w:rFonts w:cs="Arial"/>
        </w:rPr>
      </w:pPr>
      <w:r>
        <w:rPr>
          <w:rStyle w:val="Emphasis"/>
          <w:rFonts w:cs="Arial"/>
          <w:i w:val="0"/>
          <w:iCs w:val="0"/>
        </w:rPr>
        <w:t xml:space="preserve">The </w:t>
      </w:r>
      <w:hyperlink r:id="rId27" w:history="1">
        <w:r w:rsidRPr="002C081F">
          <w:rPr>
            <w:rStyle w:val="Hyperlink"/>
            <w:rFonts w:cs="Arial"/>
          </w:rPr>
          <w:t>Commonwealth Harvest Strategy Policy</w:t>
        </w:r>
      </w:hyperlink>
      <w:r>
        <w:rPr>
          <w:rStyle w:val="Emphasis"/>
          <w:rFonts w:cs="Arial"/>
          <w:i w:val="0"/>
          <w:iCs w:val="0"/>
        </w:rPr>
        <w:t xml:space="preserve"> </w:t>
      </w:r>
      <w:r w:rsidRPr="002C081F">
        <w:rPr>
          <w:rFonts w:cs="Arial"/>
        </w:rPr>
        <w:t>does not prescribe management arrangements</w:t>
      </w:r>
      <w:r>
        <w:rPr>
          <w:rFonts w:cs="Arial"/>
        </w:rPr>
        <w:t xml:space="preserve"> for internationally managed fisheries such as those in the SIOFA and SPRFMO areas of competence. </w:t>
      </w:r>
      <w:r w:rsidR="00BD4ED8">
        <w:rPr>
          <w:rFonts w:cs="Arial"/>
        </w:rPr>
        <w:t>T</w:t>
      </w:r>
      <w:r w:rsidRPr="002C081F">
        <w:rPr>
          <w:rFonts w:cs="Arial"/>
        </w:rPr>
        <w:t xml:space="preserve">he Australian Government </w:t>
      </w:r>
      <w:r w:rsidR="00BD4ED8">
        <w:rPr>
          <w:rFonts w:cs="Arial"/>
        </w:rPr>
        <w:t>advocates</w:t>
      </w:r>
      <w:r w:rsidRPr="002C081F">
        <w:rPr>
          <w:rFonts w:cs="Arial"/>
        </w:rPr>
        <w:t xml:space="preserve"> th</w:t>
      </w:r>
      <w:r w:rsidR="00BD4ED8">
        <w:rPr>
          <w:rFonts w:cs="Arial"/>
        </w:rPr>
        <w:t>e</w:t>
      </w:r>
      <w:r w:rsidRPr="002C081F">
        <w:rPr>
          <w:rFonts w:cs="Arial"/>
        </w:rPr>
        <w:t xml:space="preserve"> policy as an example of best practice in setting sustainable catch levels</w:t>
      </w:r>
      <w:r w:rsidR="00BD4ED8" w:rsidRPr="00BD4ED8">
        <w:rPr>
          <w:rFonts w:cs="Arial"/>
        </w:rPr>
        <w:t xml:space="preserve"> </w:t>
      </w:r>
      <w:r w:rsidR="00BD4ED8">
        <w:rPr>
          <w:rFonts w:cs="Arial"/>
        </w:rPr>
        <w:t xml:space="preserve">and </w:t>
      </w:r>
      <w:r w:rsidR="00BD4ED8" w:rsidRPr="002C081F">
        <w:rPr>
          <w:rFonts w:cs="Arial"/>
        </w:rPr>
        <w:t>support</w:t>
      </w:r>
      <w:r w:rsidR="00EE5046">
        <w:rPr>
          <w:rFonts w:cs="Arial"/>
        </w:rPr>
        <w:t>s</w:t>
      </w:r>
      <w:r w:rsidR="00BD4ED8" w:rsidRPr="002C081F">
        <w:rPr>
          <w:rFonts w:cs="Arial"/>
        </w:rPr>
        <w:t xml:space="preserve"> catch level decisions taken by these organisations and arrangements.</w:t>
      </w:r>
      <w:r w:rsidRPr="002C081F">
        <w:rPr>
          <w:rFonts w:cs="Arial"/>
        </w:rPr>
        <w:t xml:space="preserve"> In the absence of agreement, Australia's domestic catch allocation decision would be consistent with the agreed whole of government position</w:t>
      </w:r>
      <w:r w:rsidR="00EE5046">
        <w:rPr>
          <w:rFonts w:cs="Arial"/>
        </w:rPr>
        <w:t xml:space="preserve"> and be </w:t>
      </w:r>
      <w:r w:rsidR="00BD4ED8" w:rsidRPr="002C081F">
        <w:rPr>
          <w:rFonts w:cs="Arial"/>
        </w:rPr>
        <w:t>underpinned by Australia’s domestic legislative obligations</w:t>
      </w:r>
      <w:r w:rsidR="00BD4ED8">
        <w:rPr>
          <w:rFonts w:cs="Arial"/>
        </w:rPr>
        <w:t>.</w:t>
      </w:r>
    </w:p>
    <w:p w14:paraId="019EEC00" w14:textId="77777777" w:rsidR="00AB194A" w:rsidRPr="009D5019" w:rsidRDefault="00AB194A" w:rsidP="00AB194A">
      <w:pPr>
        <w:spacing w:after="0" w:line="240" w:lineRule="auto"/>
        <w:rPr>
          <w:rStyle w:val="Emphasis"/>
          <w:rFonts w:cs="Arial"/>
          <w:i w:val="0"/>
          <w:iCs w:val="0"/>
        </w:rPr>
      </w:pPr>
    </w:p>
    <w:p w14:paraId="090956E6" w14:textId="09990FE4" w:rsidR="00CD0543" w:rsidRPr="00813368" w:rsidRDefault="00AB194A" w:rsidP="009D5019">
      <w:pPr>
        <w:adjustRightInd w:val="0"/>
        <w:spacing w:after="0"/>
        <w:rPr>
          <w:rStyle w:val="Emphasis"/>
          <w:rFonts w:cs="Arial"/>
          <w:b/>
          <w:i w:val="0"/>
          <w:iCs w:val="0"/>
        </w:rPr>
      </w:pPr>
      <w:r w:rsidRPr="00813368">
        <w:rPr>
          <w:rStyle w:val="Emphasis"/>
          <w:rFonts w:cs="Arial"/>
          <w:b/>
          <w:i w:val="0"/>
          <w:iCs w:val="0"/>
        </w:rPr>
        <w:t>Ecological Risk Assessment</w:t>
      </w:r>
      <w:r w:rsidR="00813368">
        <w:rPr>
          <w:rStyle w:val="Emphasis"/>
          <w:rFonts w:cs="Arial"/>
          <w:b/>
          <w:i w:val="0"/>
          <w:iCs w:val="0"/>
        </w:rPr>
        <w:t>:</w:t>
      </w:r>
    </w:p>
    <w:p w14:paraId="7E4BD8C2" w14:textId="4136F9B4" w:rsidR="00AB194A" w:rsidRPr="009D5019" w:rsidRDefault="00DD4118" w:rsidP="009D5019">
      <w:pPr>
        <w:adjustRightInd w:val="0"/>
        <w:spacing w:after="0"/>
        <w:rPr>
          <w:rFonts w:cs="Arial"/>
        </w:rPr>
      </w:pPr>
      <w:r>
        <w:rPr>
          <w:rStyle w:val="Emphasis"/>
          <w:rFonts w:cs="Arial"/>
          <w:i w:val="0"/>
          <w:iCs w:val="0"/>
        </w:rPr>
        <w:t>No formal ecological risk assessment has been undertaken</w:t>
      </w:r>
      <w:r w:rsidR="00335101">
        <w:rPr>
          <w:rStyle w:val="Emphasis"/>
          <w:rFonts w:cs="Arial"/>
          <w:i w:val="0"/>
          <w:iCs w:val="0"/>
        </w:rPr>
        <w:t>. H</w:t>
      </w:r>
      <w:r>
        <w:rPr>
          <w:rStyle w:val="Emphasis"/>
          <w:rFonts w:cs="Arial"/>
          <w:i w:val="0"/>
          <w:iCs w:val="0"/>
        </w:rPr>
        <w:t xml:space="preserve">owever Bottom Fishery Impacts Assessment reports have been produced for the </w:t>
      </w:r>
      <w:hyperlink r:id="rId28" w:history="1">
        <w:r w:rsidRPr="00DD4118">
          <w:rPr>
            <w:rStyle w:val="Hyperlink"/>
            <w:rFonts w:cs="Arial"/>
          </w:rPr>
          <w:t>SPRFMO</w:t>
        </w:r>
      </w:hyperlink>
      <w:r w:rsidR="00335101">
        <w:rPr>
          <w:rStyle w:val="Emphasis"/>
          <w:rFonts w:cs="Arial"/>
          <w:i w:val="0"/>
          <w:iCs w:val="0"/>
        </w:rPr>
        <w:t xml:space="preserve"> </w:t>
      </w:r>
      <w:r>
        <w:rPr>
          <w:rStyle w:val="Emphasis"/>
          <w:rFonts w:cs="Arial"/>
          <w:i w:val="0"/>
          <w:iCs w:val="0"/>
        </w:rPr>
        <w:t>and</w:t>
      </w:r>
      <w:r w:rsidR="00335101">
        <w:rPr>
          <w:rStyle w:val="Emphasis"/>
          <w:rFonts w:cs="Arial"/>
          <w:i w:val="0"/>
          <w:iCs w:val="0"/>
        </w:rPr>
        <w:t xml:space="preserve"> </w:t>
      </w:r>
      <w:hyperlink r:id="rId29" w:history="1">
        <w:r w:rsidRPr="00DD4118">
          <w:rPr>
            <w:rStyle w:val="Hyperlink"/>
            <w:rFonts w:cs="Arial"/>
          </w:rPr>
          <w:t>SIOFA</w:t>
        </w:r>
      </w:hyperlink>
      <w:r w:rsidR="00335101">
        <w:rPr>
          <w:rStyle w:val="Emphasis"/>
          <w:rFonts w:cs="Arial"/>
          <w:i w:val="0"/>
          <w:iCs w:val="0"/>
        </w:rPr>
        <w:t xml:space="preserve"> areas</w:t>
      </w:r>
      <w:r>
        <w:rPr>
          <w:rStyle w:val="Emphasis"/>
          <w:rFonts w:cs="Arial"/>
          <w:i w:val="0"/>
          <w:iCs w:val="0"/>
        </w:rPr>
        <w:t xml:space="preserve">. </w:t>
      </w:r>
    </w:p>
    <w:p w14:paraId="3EC78D14" w14:textId="77777777" w:rsidR="00AB194A" w:rsidRPr="009D5019" w:rsidRDefault="00AB194A" w:rsidP="00AB194A">
      <w:pPr>
        <w:adjustRightInd w:val="0"/>
        <w:spacing w:after="0"/>
        <w:rPr>
          <w:rStyle w:val="textinfo1"/>
          <w:sz w:val="22"/>
          <w:szCs w:val="22"/>
        </w:rPr>
      </w:pPr>
    </w:p>
    <w:p w14:paraId="005FE20F" w14:textId="1B3CFFB8" w:rsidR="00CD0543" w:rsidRPr="00813368" w:rsidRDefault="00CD0543" w:rsidP="009D5019">
      <w:pPr>
        <w:spacing w:after="0" w:line="240" w:lineRule="auto"/>
        <w:rPr>
          <w:rStyle w:val="Emphasis"/>
          <w:rFonts w:cs="Arial"/>
          <w:b/>
          <w:i w:val="0"/>
          <w:iCs w:val="0"/>
        </w:rPr>
      </w:pPr>
      <w:r w:rsidRPr="00813368">
        <w:rPr>
          <w:rStyle w:val="Emphasis"/>
          <w:rFonts w:cs="Arial"/>
          <w:b/>
          <w:i w:val="0"/>
          <w:iCs w:val="0"/>
        </w:rPr>
        <w:t>S</w:t>
      </w:r>
      <w:r w:rsidR="00AB194A" w:rsidRPr="00813368">
        <w:rPr>
          <w:rStyle w:val="Emphasis"/>
          <w:rFonts w:cs="Arial"/>
          <w:b/>
          <w:i w:val="0"/>
          <w:iCs w:val="0"/>
        </w:rPr>
        <w:t>tock assessment</w:t>
      </w:r>
      <w:r w:rsidRPr="00813368">
        <w:rPr>
          <w:rStyle w:val="Emphasis"/>
          <w:rFonts w:cs="Arial"/>
          <w:b/>
          <w:i w:val="0"/>
          <w:iCs w:val="0"/>
        </w:rPr>
        <w:t>s</w:t>
      </w:r>
      <w:r w:rsidR="00813368">
        <w:rPr>
          <w:rStyle w:val="Emphasis"/>
          <w:rFonts w:cs="Arial"/>
          <w:b/>
          <w:i w:val="0"/>
          <w:iCs w:val="0"/>
        </w:rPr>
        <w:t>:</w:t>
      </w:r>
    </w:p>
    <w:p w14:paraId="5B116462" w14:textId="588E4AA7" w:rsidR="009D135B" w:rsidRPr="009D135B" w:rsidRDefault="00EC2C8B" w:rsidP="009D135B">
      <w:pPr>
        <w:spacing w:after="0" w:line="240" w:lineRule="auto"/>
        <w:rPr>
          <w:rFonts w:cs="Arial"/>
        </w:rPr>
      </w:pPr>
      <w:r>
        <w:rPr>
          <w:rFonts w:cs="Arial"/>
        </w:rPr>
        <w:t>O</w:t>
      </w:r>
      <w:r w:rsidR="009D135B" w:rsidRPr="009D135B">
        <w:rPr>
          <w:rFonts w:cs="Arial"/>
        </w:rPr>
        <w:t xml:space="preserve">range </w:t>
      </w:r>
      <w:proofErr w:type="spellStart"/>
      <w:r w:rsidR="003670E2">
        <w:rPr>
          <w:rFonts w:cs="Arial"/>
        </w:rPr>
        <w:t>R</w:t>
      </w:r>
      <w:r w:rsidR="009D135B" w:rsidRPr="009D135B">
        <w:rPr>
          <w:rFonts w:cs="Arial"/>
        </w:rPr>
        <w:t>oughy</w:t>
      </w:r>
      <w:proofErr w:type="spellEnd"/>
      <w:r w:rsidR="009D135B" w:rsidRPr="009D135B">
        <w:rPr>
          <w:rFonts w:cs="Arial"/>
        </w:rPr>
        <w:t xml:space="preserve"> (</w:t>
      </w:r>
      <w:proofErr w:type="spellStart"/>
      <w:r w:rsidR="009D135B" w:rsidRPr="009D135B">
        <w:rPr>
          <w:rFonts w:cs="Arial"/>
          <w:i/>
          <w:iCs/>
        </w:rPr>
        <w:t>Hoplostethus</w:t>
      </w:r>
      <w:proofErr w:type="spellEnd"/>
      <w:r w:rsidR="009D135B" w:rsidRPr="009D135B">
        <w:rPr>
          <w:rFonts w:cs="Arial"/>
          <w:i/>
          <w:iCs/>
        </w:rPr>
        <w:t xml:space="preserve"> </w:t>
      </w:r>
      <w:proofErr w:type="spellStart"/>
      <w:r w:rsidR="009D135B" w:rsidRPr="009D135B">
        <w:rPr>
          <w:rFonts w:cs="Arial"/>
          <w:i/>
          <w:iCs/>
        </w:rPr>
        <w:t>atlanticus</w:t>
      </w:r>
      <w:proofErr w:type="spellEnd"/>
      <w:r w:rsidR="009D135B" w:rsidRPr="009D135B">
        <w:rPr>
          <w:rFonts w:cs="Arial"/>
        </w:rPr>
        <w:t xml:space="preserve">) </w:t>
      </w:r>
      <w:r w:rsidR="009D135B">
        <w:rPr>
          <w:rFonts w:cs="Arial"/>
        </w:rPr>
        <w:t xml:space="preserve">in the South Tasman Rise area </w:t>
      </w:r>
      <w:r w:rsidR="007824EB">
        <w:rPr>
          <w:rFonts w:cs="Arial"/>
        </w:rPr>
        <w:t xml:space="preserve">was assessed in 2002 and is currently </w:t>
      </w:r>
      <w:r w:rsidR="009D135B" w:rsidRPr="009D135B">
        <w:rPr>
          <w:rFonts w:cs="Arial"/>
        </w:rPr>
        <w:t>classified as overfished</w:t>
      </w:r>
      <w:r w:rsidR="00BF3070">
        <w:rPr>
          <w:rFonts w:cs="Arial"/>
        </w:rPr>
        <w:t xml:space="preserve"> (</w:t>
      </w:r>
      <w:proofErr w:type="spellStart"/>
      <w:r w:rsidR="003B7E92">
        <w:fldChar w:fldCharType="begin"/>
      </w:r>
      <w:r w:rsidR="003B7E92">
        <w:instrText xml:space="preserve"> HYPERLINK "http://fish.gov.au/report/44-Orange-Roughy-2016" </w:instrText>
      </w:r>
      <w:r w:rsidR="003B7E92">
        <w:fldChar w:fldCharType="separate"/>
      </w:r>
      <w:r w:rsidR="006C7727" w:rsidRPr="006C7727">
        <w:rPr>
          <w:rStyle w:val="Hyperlink"/>
          <w:rFonts w:cs="Arial"/>
        </w:rPr>
        <w:t>Georgeson</w:t>
      </w:r>
      <w:proofErr w:type="spellEnd"/>
      <w:r w:rsidR="006C7727" w:rsidRPr="006C7727">
        <w:rPr>
          <w:rStyle w:val="Hyperlink"/>
          <w:rFonts w:cs="Arial"/>
        </w:rPr>
        <w:t xml:space="preserve"> and Hansen, 2015</w:t>
      </w:r>
      <w:r w:rsidR="003B7E92">
        <w:rPr>
          <w:rStyle w:val="Hyperlink"/>
          <w:rFonts w:cs="Arial"/>
        </w:rPr>
        <w:fldChar w:fldCharType="end"/>
      </w:r>
      <w:r w:rsidR="00BF3070">
        <w:rPr>
          <w:rFonts w:cs="Arial"/>
        </w:rPr>
        <w:t>)</w:t>
      </w:r>
      <w:r w:rsidR="007824EB">
        <w:rPr>
          <w:rFonts w:cs="Arial"/>
        </w:rPr>
        <w:t xml:space="preserve">. </w:t>
      </w:r>
    </w:p>
    <w:p w14:paraId="48F7CFDB" w14:textId="3BEDFAB0" w:rsidR="009D135B" w:rsidRDefault="009D135B" w:rsidP="009D135B">
      <w:pPr>
        <w:spacing w:after="0" w:line="240" w:lineRule="auto"/>
        <w:rPr>
          <w:rStyle w:val="Emphasis"/>
          <w:rFonts w:cs="Arial"/>
          <w:i w:val="0"/>
          <w:iCs w:val="0"/>
        </w:rPr>
      </w:pPr>
      <w:r>
        <w:rPr>
          <w:rFonts w:cs="Arial"/>
        </w:rPr>
        <w:t xml:space="preserve">There is insufficient </w:t>
      </w:r>
      <w:r w:rsidRPr="009D135B">
        <w:rPr>
          <w:rFonts w:cs="Arial"/>
        </w:rPr>
        <w:t xml:space="preserve">catch </w:t>
      </w:r>
      <w:r w:rsidR="00A42DA1">
        <w:rPr>
          <w:rFonts w:cs="Arial"/>
        </w:rPr>
        <w:t>data, stock assessment</w:t>
      </w:r>
      <w:r w:rsidRPr="009D135B">
        <w:rPr>
          <w:rFonts w:cs="Arial"/>
        </w:rPr>
        <w:t xml:space="preserve"> </w:t>
      </w:r>
      <w:r>
        <w:rPr>
          <w:rFonts w:cs="Arial"/>
        </w:rPr>
        <w:t xml:space="preserve">or </w:t>
      </w:r>
      <w:r w:rsidRPr="009D135B">
        <w:rPr>
          <w:rFonts w:cs="Arial"/>
        </w:rPr>
        <w:t xml:space="preserve">stock structure information to </w:t>
      </w:r>
      <w:r w:rsidR="00EC2C8B">
        <w:rPr>
          <w:rFonts w:cs="Arial"/>
        </w:rPr>
        <w:t xml:space="preserve">determine the status of any </w:t>
      </w:r>
      <w:r w:rsidRPr="009D135B">
        <w:rPr>
          <w:rFonts w:cs="Arial"/>
        </w:rPr>
        <w:t xml:space="preserve">other demersal stocks caught in the SPRFMO and SIOFA areas. </w:t>
      </w:r>
    </w:p>
    <w:p w14:paraId="6876EBD2" w14:textId="7A797802" w:rsidR="009D5019" w:rsidRPr="009D5019" w:rsidRDefault="00A42DA1" w:rsidP="00EE5046">
      <w:pPr>
        <w:spacing w:line="240" w:lineRule="auto"/>
        <w:rPr>
          <w:rFonts w:cs="Arial"/>
          <w:b/>
        </w:rPr>
      </w:pPr>
      <w:r>
        <w:rPr>
          <w:rFonts w:cs="Arial"/>
        </w:rPr>
        <w:t>O</w:t>
      </w:r>
      <w:r w:rsidR="00EC2C8B" w:rsidRPr="00EC2C8B">
        <w:rPr>
          <w:rFonts w:cs="Arial"/>
        </w:rPr>
        <w:t>nly a small proportion of the total assumed habitat area for the target species has been fished by Australian vessels and none of the stocks targeted by Australia’s high-seas fishing operations have been classified as overfished or subject to overfishing</w:t>
      </w:r>
      <w:r>
        <w:rPr>
          <w:rFonts w:cs="Arial"/>
        </w:rPr>
        <w:t xml:space="preserve"> (</w:t>
      </w:r>
      <w:proofErr w:type="spellStart"/>
      <w:r w:rsidR="003B7E92">
        <w:fldChar w:fldCharType="begin"/>
      </w:r>
      <w:r w:rsidR="003B7E92">
        <w:instrText xml:space="preserve"> HYPERLINK "http://www.afma.gov.au/wp-content/uploads/2014/02/High-Seas-Sustainabilty-Assessment-2012</w:instrText>
      </w:r>
      <w:r w:rsidR="003B7E92">
        <w:instrText xml:space="preserve">.pdf" </w:instrText>
      </w:r>
      <w:r w:rsidR="003B7E92">
        <w:fldChar w:fldCharType="separate"/>
      </w:r>
      <w:r>
        <w:rPr>
          <w:rStyle w:val="Hyperlink"/>
          <w:rFonts w:cs="Arial"/>
        </w:rPr>
        <w:t>Woodhams</w:t>
      </w:r>
      <w:proofErr w:type="spellEnd"/>
      <w:r>
        <w:rPr>
          <w:rStyle w:val="Hyperlink"/>
          <w:rFonts w:cs="Arial"/>
        </w:rPr>
        <w:t xml:space="preserve"> et al. </w:t>
      </w:r>
      <w:r w:rsidRPr="00EE5046">
        <w:rPr>
          <w:rStyle w:val="Hyperlink"/>
          <w:rFonts w:cs="Arial"/>
        </w:rPr>
        <w:t>2012)</w:t>
      </w:r>
      <w:r w:rsidR="003B7E92">
        <w:rPr>
          <w:rStyle w:val="Hyperlink"/>
          <w:rFonts w:cs="Arial"/>
        </w:rPr>
        <w:fldChar w:fldCharType="end"/>
      </w:r>
      <w:r w:rsidR="00EC2C8B" w:rsidRPr="00EC2C8B">
        <w:rPr>
          <w:rFonts w:cs="Arial"/>
        </w:rPr>
        <w:t>.</w:t>
      </w:r>
    </w:p>
    <w:p w14:paraId="6D4109B3" w14:textId="77777777" w:rsidR="00227603" w:rsidRPr="008F5532" w:rsidRDefault="00227603" w:rsidP="008F5532"/>
    <w:p w14:paraId="32414CAB" w14:textId="77777777" w:rsidR="00227603" w:rsidRDefault="00227603" w:rsidP="008F5532">
      <w:pPr>
        <w:sectPr w:rsidR="00227603" w:rsidSect="00227603">
          <w:pgSz w:w="11906" w:h="16838"/>
          <w:pgMar w:top="1021" w:right="1021" w:bottom="1021" w:left="1021" w:header="709" w:footer="709" w:gutter="0"/>
          <w:cols w:space="708"/>
          <w:docGrid w:linePitch="360"/>
        </w:sectPr>
      </w:pPr>
    </w:p>
    <w:p w14:paraId="104F2B01" w14:textId="22EB8AEF" w:rsidR="00885298" w:rsidRPr="00127133" w:rsidRDefault="0027415B" w:rsidP="00127133">
      <w:pPr>
        <w:pStyle w:val="Heading1"/>
        <w:rPr>
          <w:u w:val="single"/>
        </w:rPr>
      </w:pPr>
      <w:bookmarkStart w:id="6" w:name="_Toc513464263"/>
      <w:bookmarkStart w:id="7" w:name="_Toc513712778"/>
      <w:r>
        <w:lastRenderedPageBreak/>
        <w:t>Section</w:t>
      </w:r>
      <w:r w:rsidR="0027138D" w:rsidRPr="00127133">
        <w:t xml:space="preserve"> 2: </w:t>
      </w:r>
      <w:r>
        <w:t xml:space="preserve">Detailed Analysis of </w:t>
      </w:r>
      <w:r w:rsidR="00AC5AB3">
        <w:rPr>
          <w:rStyle w:val="Emphasis"/>
          <w:i w:val="0"/>
          <w:iCs w:val="0"/>
        </w:rPr>
        <w:t>Australia’s High Seas permits</w:t>
      </w:r>
      <w:r w:rsidR="00813368">
        <w:t xml:space="preserve"> </w:t>
      </w:r>
      <w:r>
        <w:t>Against the Guidelines for the Ecologically Sustainable Management of Fisheries (2nd Edition)</w:t>
      </w:r>
      <w:bookmarkEnd w:id="6"/>
      <w:bookmarkEnd w:id="7"/>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7"/>
        <w:gridCol w:w="10377"/>
      </w:tblGrid>
      <w:tr w:rsidR="00885298" w:rsidRPr="004649FA" w14:paraId="48EAFFFA" w14:textId="77777777" w:rsidTr="00F8472A">
        <w:trPr>
          <w:cantSplit/>
        </w:trPr>
        <w:tc>
          <w:tcPr>
            <w:tcW w:w="1500" w:type="pct"/>
            <w:shd w:val="clear" w:color="auto" w:fill="auto"/>
          </w:tcPr>
          <w:p w14:paraId="48317278" w14:textId="165C73C2" w:rsidR="00885298" w:rsidRPr="004649FA" w:rsidRDefault="00885298" w:rsidP="004719AA">
            <w:pPr>
              <w:spacing w:after="120" w:line="240" w:lineRule="auto"/>
              <w:jc w:val="center"/>
              <w:rPr>
                <w:rFonts w:cs="Arial"/>
                <w:sz w:val="20"/>
                <w:szCs w:val="20"/>
              </w:rPr>
            </w:pPr>
            <w:r w:rsidRPr="004649FA">
              <w:rPr>
                <w:rFonts w:cs="Arial"/>
                <w:sz w:val="20"/>
                <w:szCs w:val="20"/>
                <w:lang w:eastAsia="en-AU"/>
              </w:rPr>
              <w:br w:type="page"/>
            </w:r>
            <w:r w:rsidRPr="004649FA">
              <w:rPr>
                <w:rFonts w:cs="Arial"/>
                <w:b/>
                <w:sz w:val="20"/>
                <w:szCs w:val="20"/>
              </w:rPr>
              <w:t>Guidelines</w:t>
            </w:r>
            <w:r w:rsidR="0027415B" w:rsidRPr="004649FA">
              <w:rPr>
                <w:rFonts w:cs="Arial"/>
                <w:b/>
                <w:sz w:val="20"/>
                <w:szCs w:val="20"/>
              </w:rPr>
              <w:t xml:space="preserve"> criteria</w:t>
            </w:r>
          </w:p>
        </w:tc>
        <w:tc>
          <w:tcPr>
            <w:tcW w:w="3500" w:type="pct"/>
            <w:shd w:val="clear" w:color="auto" w:fill="FFFFFF"/>
          </w:tcPr>
          <w:p w14:paraId="2C014CC6" w14:textId="77777777" w:rsidR="00885298" w:rsidRPr="004649FA" w:rsidRDefault="00885298" w:rsidP="004719AA">
            <w:pPr>
              <w:spacing w:after="120" w:line="240" w:lineRule="auto"/>
              <w:jc w:val="center"/>
              <w:rPr>
                <w:rFonts w:cs="Arial"/>
                <w:b/>
                <w:sz w:val="20"/>
                <w:szCs w:val="20"/>
              </w:rPr>
            </w:pPr>
            <w:r w:rsidRPr="004649FA">
              <w:rPr>
                <w:rFonts w:cs="Arial"/>
                <w:b/>
                <w:sz w:val="20"/>
                <w:szCs w:val="20"/>
              </w:rPr>
              <w:t>Comment</w:t>
            </w:r>
          </w:p>
        </w:tc>
      </w:tr>
      <w:tr w:rsidR="00885298" w:rsidRPr="004649FA" w14:paraId="734EF4DC" w14:textId="77777777" w:rsidTr="002330E0">
        <w:trPr>
          <w:cantSplit/>
        </w:trPr>
        <w:tc>
          <w:tcPr>
            <w:tcW w:w="5000" w:type="pct"/>
            <w:gridSpan w:val="2"/>
            <w:shd w:val="clear" w:color="auto" w:fill="FFFF66"/>
          </w:tcPr>
          <w:p w14:paraId="7A6AEE90" w14:textId="77777777" w:rsidR="00885298" w:rsidRPr="004649FA" w:rsidRDefault="00885298" w:rsidP="004719AA">
            <w:pPr>
              <w:spacing w:after="120" w:line="240" w:lineRule="auto"/>
              <w:rPr>
                <w:rFonts w:cs="Arial"/>
                <w:b/>
                <w:sz w:val="20"/>
                <w:szCs w:val="20"/>
              </w:rPr>
            </w:pPr>
            <w:r w:rsidRPr="004649FA">
              <w:rPr>
                <w:rFonts w:cs="Arial"/>
                <w:b/>
                <w:sz w:val="20"/>
                <w:szCs w:val="20"/>
              </w:rPr>
              <w:t>THE MANAGEMENT REGIME</w:t>
            </w:r>
          </w:p>
        </w:tc>
      </w:tr>
      <w:tr w:rsidR="00885298" w:rsidRPr="004649FA" w14:paraId="28AB77EE" w14:textId="77777777" w:rsidTr="002330E0">
        <w:trPr>
          <w:cantSplit/>
        </w:trPr>
        <w:tc>
          <w:tcPr>
            <w:tcW w:w="5000" w:type="pct"/>
            <w:gridSpan w:val="2"/>
            <w:shd w:val="clear" w:color="auto" w:fill="FFFF99"/>
          </w:tcPr>
          <w:p w14:paraId="37148127" w14:textId="77777777" w:rsidR="00885298" w:rsidRPr="004649FA" w:rsidRDefault="00885298" w:rsidP="004719AA">
            <w:pPr>
              <w:spacing w:after="120" w:line="240" w:lineRule="auto"/>
              <w:rPr>
                <w:rFonts w:cs="Arial"/>
                <w:b/>
                <w:sz w:val="20"/>
                <w:szCs w:val="20"/>
              </w:rPr>
            </w:pPr>
            <w:r w:rsidRPr="004649FA">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4649FA" w14:paraId="72AABFAD" w14:textId="77777777" w:rsidTr="00924E19">
        <w:trPr>
          <w:cantSplit/>
        </w:trPr>
        <w:tc>
          <w:tcPr>
            <w:tcW w:w="1500" w:type="pct"/>
            <w:shd w:val="clear" w:color="auto" w:fill="auto"/>
          </w:tcPr>
          <w:p w14:paraId="5524B93B" w14:textId="3545352E" w:rsidR="004649FA" w:rsidRPr="004649FA" w:rsidRDefault="00885298" w:rsidP="004719AA">
            <w:pPr>
              <w:spacing w:after="120" w:line="240" w:lineRule="auto"/>
              <w:rPr>
                <w:rFonts w:cs="Arial"/>
                <w:sz w:val="18"/>
                <w:szCs w:val="18"/>
              </w:rPr>
            </w:pPr>
            <w:r w:rsidRPr="004649FA">
              <w:rPr>
                <w:rFonts w:cs="Arial"/>
                <w:sz w:val="18"/>
                <w:szCs w:val="18"/>
              </w:rPr>
              <w:t>Be documented, publicly available and transparent</w:t>
            </w:r>
            <w:r w:rsidR="006B6EF9" w:rsidRPr="004649FA">
              <w:rPr>
                <w:rFonts w:cs="Arial"/>
                <w:sz w:val="18"/>
                <w:szCs w:val="18"/>
              </w:rPr>
              <w:t>.</w:t>
            </w:r>
          </w:p>
        </w:tc>
        <w:tc>
          <w:tcPr>
            <w:tcW w:w="3500" w:type="pct"/>
            <w:shd w:val="clear" w:color="auto" w:fill="92D050"/>
          </w:tcPr>
          <w:p w14:paraId="23B4CFC5" w14:textId="714B6335" w:rsidR="00A61A6E" w:rsidRDefault="00F8472A" w:rsidP="00CC1C87">
            <w:pPr>
              <w:spacing w:after="0" w:line="240" w:lineRule="auto"/>
              <w:rPr>
                <w:rFonts w:cs="Arial"/>
                <w:sz w:val="18"/>
                <w:szCs w:val="18"/>
              </w:rPr>
            </w:pPr>
            <w:r w:rsidRPr="00924E19">
              <w:rPr>
                <w:rFonts w:cs="Arial"/>
                <w:b/>
                <w:sz w:val="18"/>
                <w:szCs w:val="18"/>
              </w:rPr>
              <w:t>Meets</w:t>
            </w:r>
          </w:p>
          <w:p w14:paraId="28161830" w14:textId="7429E9A7" w:rsidR="00885298" w:rsidRPr="00924E19" w:rsidRDefault="00A61A6E" w:rsidP="00A61A6E">
            <w:pPr>
              <w:spacing w:after="120" w:line="240" w:lineRule="auto"/>
              <w:rPr>
                <w:rFonts w:cs="Arial"/>
                <w:sz w:val="18"/>
                <w:szCs w:val="18"/>
                <w:lang w:val="en-US"/>
              </w:rPr>
            </w:pPr>
            <w:r>
              <w:rPr>
                <w:rFonts w:cs="Arial"/>
                <w:sz w:val="18"/>
                <w:szCs w:val="18"/>
              </w:rPr>
              <w:t>M</w:t>
            </w:r>
            <w:r w:rsidR="004D5FCD" w:rsidRPr="00924E19">
              <w:rPr>
                <w:rFonts w:cs="Arial"/>
                <w:sz w:val="18"/>
                <w:szCs w:val="18"/>
              </w:rPr>
              <w:t xml:space="preserve">anagement arrangements are documented in the </w:t>
            </w:r>
            <w:hyperlink r:id="rId30" w:history="1">
              <w:r w:rsidR="004D5FCD" w:rsidRPr="00924E19">
                <w:rPr>
                  <w:rStyle w:val="Hyperlink"/>
                  <w:rFonts w:cs="Arial"/>
                  <w:sz w:val="18"/>
                  <w:szCs w:val="18"/>
                </w:rPr>
                <w:t>High Seas Management Arrangements Booklet 2017</w:t>
              </w:r>
            </w:hyperlink>
            <w:r w:rsidR="004D5FCD" w:rsidRPr="00924E19">
              <w:rPr>
                <w:rFonts w:cs="Arial"/>
                <w:sz w:val="18"/>
                <w:szCs w:val="18"/>
              </w:rPr>
              <w:t xml:space="preserve"> and </w:t>
            </w:r>
            <w:hyperlink r:id="rId31" w:history="1">
              <w:r w:rsidR="004D5FCD" w:rsidRPr="00924E19">
                <w:rPr>
                  <w:rStyle w:val="Hyperlink"/>
                  <w:rFonts w:cs="Arial"/>
                  <w:sz w:val="18"/>
                  <w:szCs w:val="18"/>
                </w:rPr>
                <w:t>High Seas Fishery permit conditions</w:t>
              </w:r>
            </w:hyperlink>
            <w:r w:rsidR="004D5FCD" w:rsidRPr="00924E19">
              <w:rPr>
                <w:rFonts w:cs="Arial"/>
                <w:sz w:val="18"/>
                <w:szCs w:val="18"/>
              </w:rPr>
              <w:t xml:space="preserve"> which are published on the AFMA website.</w:t>
            </w:r>
            <w:r w:rsidR="000D0D3A" w:rsidRPr="00924E19">
              <w:rPr>
                <w:rFonts w:cs="Arial"/>
                <w:sz w:val="18"/>
                <w:szCs w:val="18"/>
              </w:rPr>
              <w:t xml:space="preserve"> Additional information on conservation and management measures established by </w:t>
            </w:r>
            <w:hyperlink r:id="rId32" w:history="1">
              <w:r w:rsidR="000D0D3A" w:rsidRPr="00924E19">
                <w:rPr>
                  <w:rStyle w:val="Hyperlink"/>
                  <w:rFonts w:cs="Arial"/>
                  <w:sz w:val="18"/>
                  <w:szCs w:val="18"/>
                </w:rPr>
                <w:t>SIOFA</w:t>
              </w:r>
            </w:hyperlink>
            <w:r w:rsidR="000D0D3A" w:rsidRPr="00924E19">
              <w:rPr>
                <w:rFonts w:cs="Arial"/>
                <w:sz w:val="18"/>
                <w:szCs w:val="18"/>
              </w:rPr>
              <w:t xml:space="preserve"> and </w:t>
            </w:r>
            <w:hyperlink r:id="rId33" w:history="1">
              <w:r w:rsidR="000D0D3A" w:rsidRPr="00924E19">
                <w:rPr>
                  <w:rStyle w:val="Hyperlink"/>
                  <w:rFonts w:cs="Arial"/>
                  <w:sz w:val="18"/>
                  <w:szCs w:val="18"/>
                </w:rPr>
                <w:t>SPRFMO</w:t>
              </w:r>
            </w:hyperlink>
            <w:r w:rsidR="000D0D3A" w:rsidRPr="00924E19">
              <w:rPr>
                <w:rFonts w:cs="Arial"/>
                <w:sz w:val="18"/>
                <w:szCs w:val="18"/>
              </w:rPr>
              <w:t>, to which Australia is a party, are also published online.</w:t>
            </w:r>
          </w:p>
        </w:tc>
      </w:tr>
      <w:tr w:rsidR="00885298" w:rsidRPr="004649FA" w14:paraId="4513BEBB" w14:textId="77777777" w:rsidTr="00924E19">
        <w:trPr>
          <w:cantSplit/>
        </w:trPr>
        <w:tc>
          <w:tcPr>
            <w:tcW w:w="1500" w:type="pct"/>
            <w:shd w:val="clear" w:color="auto" w:fill="auto"/>
          </w:tcPr>
          <w:p w14:paraId="1B8852AD" w14:textId="36FE29F1" w:rsidR="004649FA" w:rsidRPr="004649FA" w:rsidRDefault="00885298" w:rsidP="004719AA">
            <w:pPr>
              <w:spacing w:after="120" w:line="240" w:lineRule="auto"/>
              <w:rPr>
                <w:rFonts w:cs="Arial"/>
                <w:sz w:val="18"/>
                <w:szCs w:val="18"/>
              </w:rPr>
            </w:pPr>
            <w:r w:rsidRPr="004649FA">
              <w:rPr>
                <w:rFonts w:cs="Arial"/>
                <w:sz w:val="18"/>
                <w:szCs w:val="18"/>
              </w:rPr>
              <w:t>Be developed through a consultative process providing opportunity to all interested and affected parties, including the general public</w:t>
            </w:r>
            <w:r w:rsidR="006B6EF9" w:rsidRPr="004649FA">
              <w:rPr>
                <w:rFonts w:cs="Arial"/>
                <w:sz w:val="18"/>
                <w:szCs w:val="18"/>
              </w:rPr>
              <w:t>.</w:t>
            </w:r>
          </w:p>
        </w:tc>
        <w:tc>
          <w:tcPr>
            <w:tcW w:w="3500" w:type="pct"/>
            <w:shd w:val="clear" w:color="auto" w:fill="92D050"/>
          </w:tcPr>
          <w:p w14:paraId="30277538" w14:textId="10177AE5" w:rsidR="00A61A6E" w:rsidRDefault="00F8472A" w:rsidP="00CC1C87">
            <w:pPr>
              <w:spacing w:after="0" w:line="240" w:lineRule="auto"/>
              <w:rPr>
                <w:rFonts w:cs="Arial"/>
                <w:sz w:val="18"/>
                <w:szCs w:val="18"/>
              </w:rPr>
            </w:pPr>
            <w:r w:rsidRPr="00924E19">
              <w:rPr>
                <w:rFonts w:cs="Arial"/>
                <w:b/>
                <w:sz w:val="18"/>
                <w:szCs w:val="18"/>
              </w:rPr>
              <w:t>Meets</w:t>
            </w:r>
          </w:p>
          <w:p w14:paraId="0E3E3ADE" w14:textId="74C8A0AF" w:rsidR="007762EF" w:rsidRPr="00924E19" w:rsidRDefault="00BA7440" w:rsidP="004719AA">
            <w:pPr>
              <w:spacing w:after="120" w:line="240" w:lineRule="auto"/>
              <w:rPr>
                <w:rFonts w:cs="Arial"/>
                <w:sz w:val="18"/>
                <w:szCs w:val="18"/>
              </w:rPr>
            </w:pPr>
            <w:r w:rsidRPr="00924E19">
              <w:rPr>
                <w:rFonts w:cs="Arial"/>
                <w:sz w:val="18"/>
                <w:szCs w:val="18"/>
              </w:rPr>
              <w:t>AFMA consults in a variety of ways</w:t>
            </w:r>
            <w:r w:rsidR="007762EF" w:rsidRPr="00924E19">
              <w:rPr>
                <w:rFonts w:cs="Arial"/>
                <w:sz w:val="18"/>
                <w:szCs w:val="18"/>
              </w:rPr>
              <w:t xml:space="preserve"> when developing its management arrangements. This includes</w:t>
            </w:r>
            <w:r w:rsidRPr="00924E19">
              <w:rPr>
                <w:rFonts w:cs="Arial"/>
                <w:sz w:val="18"/>
                <w:szCs w:val="18"/>
              </w:rPr>
              <w:t xml:space="preserve"> via requests for public comments published on their </w:t>
            </w:r>
            <w:hyperlink r:id="rId34" w:history="1">
              <w:r w:rsidRPr="00924E19">
                <w:rPr>
                  <w:rStyle w:val="Hyperlink"/>
                  <w:rFonts w:cs="Arial"/>
                  <w:sz w:val="18"/>
                  <w:szCs w:val="18"/>
                </w:rPr>
                <w:t>website</w:t>
              </w:r>
            </w:hyperlink>
            <w:r w:rsidRPr="00924E19">
              <w:rPr>
                <w:rFonts w:cs="Arial"/>
                <w:sz w:val="18"/>
                <w:szCs w:val="18"/>
              </w:rPr>
              <w:t>.</w:t>
            </w:r>
          </w:p>
          <w:p w14:paraId="254E39FF" w14:textId="11E5E86C" w:rsidR="00885298" w:rsidRPr="00924E19" w:rsidRDefault="0087312F" w:rsidP="003818D2">
            <w:pPr>
              <w:spacing w:after="120" w:line="240" w:lineRule="auto"/>
              <w:rPr>
                <w:rFonts w:cs="Arial"/>
                <w:sz w:val="18"/>
                <w:szCs w:val="18"/>
              </w:rPr>
            </w:pPr>
            <w:r>
              <w:rPr>
                <w:rFonts w:cs="Arial"/>
                <w:sz w:val="18"/>
                <w:szCs w:val="18"/>
              </w:rPr>
              <w:t>E</w:t>
            </w:r>
            <w:r w:rsidR="002F753C" w:rsidRPr="00924E19">
              <w:rPr>
                <w:rFonts w:cs="Arial"/>
                <w:sz w:val="18"/>
                <w:szCs w:val="18"/>
              </w:rPr>
              <w:t xml:space="preserve">nvironmental and fishing </w:t>
            </w:r>
            <w:r w:rsidR="000A4D7F" w:rsidRPr="00924E19">
              <w:rPr>
                <w:rFonts w:cs="Arial"/>
                <w:sz w:val="18"/>
                <w:szCs w:val="18"/>
              </w:rPr>
              <w:t>industry representatives attend SPRFMO and SIOFA meetings where management arrangements are developed</w:t>
            </w:r>
            <w:r w:rsidR="003818D2" w:rsidRPr="00924E19">
              <w:rPr>
                <w:rFonts w:cs="Arial"/>
                <w:sz w:val="18"/>
                <w:szCs w:val="18"/>
              </w:rPr>
              <w:t>.</w:t>
            </w:r>
            <w:r w:rsidR="000A4D7F" w:rsidRPr="00924E19">
              <w:rPr>
                <w:rFonts w:cs="Arial"/>
                <w:sz w:val="18"/>
                <w:szCs w:val="18"/>
              </w:rPr>
              <w:t xml:space="preserve"> AFMA also engages these stakeholders directly as required.</w:t>
            </w:r>
            <w:r w:rsidR="003818D2" w:rsidRPr="00924E19">
              <w:rPr>
                <w:rFonts w:cs="Arial"/>
                <w:sz w:val="18"/>
                <w:szCs w:val="18"/>
              </w:rPr>
              <w:t xml:space="preserve"> The general public is not typically engaged in this fishery due to its remote location and lack of intersection with recreational or indigenous interests.</w:t>
            </w:r>
          </w:p>
        </w:tc>
      </w:tr>
      <w:tr w:rsidR="00885298" w:rsidRPr="004649FA" w14:paraId="064DC322" w14:textId="77777777" w:rsidTr="00924E19">
        <w:trPr>
          <w:cantSplit/>
        </w:trPr>
        <w:tc>
          <w:tcPr>
            <w:tcW w:w="1500" w:type="pct"/>
            <w:shd w:val="clear" w:color="auto" w:fill="auto"/>
          </w:tcPr>
          <w:p w14:paraId="2188F6A2" w14:textId="5F9A9404" w:rsidR="004649FA" w:rsidRPr="004649FA" w:rsidRDefault="00885298" w:rsidP="004719AA">
            <w:pPr>
              <w:spacing w:after="120" w:line="240" w:lineRule="auto"/>
              <w:rPr>
                <w:rFonts w:cs="Arial"/>
                <w:sz w:val="18"/>
                <w:szCs w:val="18"/>
              </w:rPr>
            </w:pPr>
            <w:r w:rsidRPr="004649FA">
              <w:rPr>
                <w:rFonts w:cs="Arial"/>
                <w:sz w:val="18"/>
                <w:szCs w:val="18"/>
              </w:rPr>
              <w:t>Ensure that a range of expertise and community interests are involved in individual fishery management committees and during the stock assessment process</w:t>
            </w:r>
            <w:r w:rsidR="006B6EF9" w:rsidRPr="004649FA">
              <w:rPr>
                <w:rFonts w:cs="Arial"/>
                <w:sz w:val="18"/>
                <w:szCs w:val="18"/>
              </w:rPr>
              <w:t>.</w:t>
            </w:r>
          </w:p>
        </w:tc>
        <w:tc>
          <w:tcPr>
            <w:tcW w:w="3500" w:type="pct"/>
            <w:shd w:val="clear" w:color="auto" w:fill="92D050"/>
          </w:tcPr>
          <w:p w14:paraId="431D3DD0" w14:textId="39D11206" w:rsidR="00C35389" w:rsidRDefault="00F8472A" w:rsidP="00CC1C87">
            <w:pPr>
              <w:spacing w:after="0" w:line="240" w:lineRule="auto"/>
              <w:rPr>
                <w:rFonts w:cs="Arial"/>
                <w:sz w:val="18"/>
                <w:szCs w:val="18"/>
              </w:rPr>
            </w:pPr>
            <w:r w:rsidRPr="00924E19">
              <w:rPr>
                <w:rFonts w:cs="Arial"/>
                <w:b/>
                <w:sz w:val="18"/>
                <w:szCs w:val="18"/>
              </w:rPr>
              <w:t>Meets</w:t>
            </w:r>
          </w:p>
          <w:p w14:paraId="026E3900" w14:textId="15A35601" w:rsidR="003818D2" w:rsidRPr="00924E19" w:rsidRDefault="0087312F" w:rsidP="000A4D7F">
            <w:pPr>
              <w:spacing w:after="120" w:line="240" w:lineRule="auto"/>
              <w:rPr>
                <w:rFonts w:cs="Arial"/>
                <w:sz w:val="18"/>
                <w:szCs w:val="18"/>
              </w:rPr>
            </w:pPr>
            <w:r>
              <w:rPr>
                <w:rFonts w:cs="Arial"/>
                <w:sz w:val="18"/>
                <w:szCs w:val="18"/>
              </w:rPr>
              <w:t>E</w:t>
            </w:r>
            <w:r w:rsidR="003818D2" w:rsidRPr="00924E19">
              <w:rPr>
                <w:rFonts w:cs="Arial"/>
                <w:sz w:val="18"/>
                <w:szCs w:val="18"/>
              </w:rPr>
              <w:t>nvironmental and fishing industry representatives attend SPRFMO and SIOFA meetings where management arrangements are developed. AFMA also engages these stakeholders directly as required. The general public is not typically engaged in this fishery due to its remote location and lack of intersection with recreational or indigenous interests.</w:t>
            </w:r>
          </w:p>
          <w:p w14:paraId="14A7D973" w14:textId="62EAA1BA" w:rsidR="00885298" w:rsidRPr="00924E19" w:rsidRDefault="000A4D7F" w:rsidP="003818D2">
            <w:pPr>
              <w:spacing w:after="120" w:line="240" w:lineRule="auto"/>
              <w:rPr>
                <w:rFonts w:cs="Arial"/>
                <w:sz w:val="18"/>
                <w:szCs w:val="18"/>
              </w:rPr>
            </w:pPr>
            <w:r w:rsidRPr="00924E19">
              <w:rPr>
                <w:rFonts w:cs="Arial"/>
                <w:sz w:val="18"/>
                <w:szCs w:val="18"/>
              </w:rPr>
              <w:t>SIOFA and SPRFMO engage relevant scientific expertise when undertaking stock assessments.</w:t>
            </w:r>
          </w:p>
        </w:tc>
      </w:tr>
      <w:tr w:rsidR="00885298" w:rsidRPr="004649FA" w14:paraId="434A9161" w14:textId="77777777" w:rsidTr="00176A13">
        <w:trPr>
          <w:cantSplit/>
        </w:trPr>
        <w:tc>
          <w:tcPr>
            <w:tcW w:w="1500" w:type="pct"/>
            <w:shd w:val="clear" w:color="auto" w:fill="auto"/>
          </w:tcPr>
          <w:p w14:paraId="7043B0B9" w14:textId="31B89BB2" w:rsidR="004649FA" w:rsidRPr="004649FA" w:rsidRDefault="00885298" w:rsidP="004719AA">
            <w:pPr>
              <w:spacing w:after="120" w:line="240" w:lineRule="auto"/>
              <w:rPr>
                <w:rFonts w:cs="Arial"/>
                <w:sz w:val="18"/>
                <w:szCs w:val="18"/>
              </w:rPr>
            </w:pPr>
            <w:r w:rsidRPr="004649FA">
              <w:rPr>
                <w:rFonts w:cs="Arial"/>
                <w:sz w:val="18"/>
                <w:szCs w:val="18"/>
              </w:rPr>
              <w:t>Be strategic, containing objectives and performance criteria by which the effectiveness of the management arrangements are measured</w:t>
            </w:r>
            <w:r w:rsidR="006B6EF9" w:rsidRPr="004649FA">
              <w:rPr>
                <w:rFonts w:cs="Arial"/>
                <w:sz w:val="18"/>
                <w:szCs w:val="18"/>
              </w:rPr>
              <w:t>.</w:t>
            </w:r>
          </w:p>
        </w:tc>
        <w:tc>
          <w:tcPr>
            <w:tcW w:w="3500" w:type="pct"/>
            <w:shd w:val="clear" w:color="auto" w:fill="FFC000"/>
          </w:tcPr>
          <w:p w14:paraId="2EE66576" w14:textId="72958DA6" w:rsidR="00C35389" w:rsidRDefault="00F8472A" w:rsidP="00CC1C87">
            <w:pPr>
              <w:pStyle w:val="BodyText1"/>
              <w:spacing w:after="0" w:line="240" w:lineRule="auto"/>
              <w:jc w:val="left"/>
              <w:rPr>
                <w:rFonts w:cs="Arial"/>
                <w:sz w:val="18"/>
                <w:szCs w:val="18"/>
              </w:rPr>
            </w:pPr>
            <w:r w:rsidRPr="00176A13">
              <w:rPr>
                <w:rFonts w:cs="Arial"/>
                <w:b/>
                <w:sz w:val="18"/>
                <w:szCs w:val="18"/>
              </w:rPr>
              <w:t>Partially meets</w:t>
            </w:r>
          </w:p>
          <w:p w14:paraId="1DAE5048" w14:textId="57CF3D87" w:rsidR="00885298" w:rsidRPr="00176A13" w:rsidRDefault="008E6DCE" w:rsidP="00C35389">
            <w:pPr>
              <w:pStyle w:val="BodyText1"/>
              <w:spacing w:line="240" w:lineRule="auto"/>
              <w:jc w:val="left"/>
              <w:rPr>
                <w:rFonts w:cs="Arial"/>
                <w:sz w:val="18"/>
                <w:szCs w:val="18"/>
              </w:rPr>
            </w:pPr>
            <w:r w:rsidRPr="00176A13">
              <w:rPr>
                <w:rFonts w:cs="Arial"/>
                <w:sz w:val="18"/>
                <w:szCs w:val="18"/>
              </w:rPr>
              <w:t xml:space="preserve">Although AFMA reports fishery information to SIOFA and SPRFMO, and there is some annual review of this information, </w:t>
            </w:r>
            <w:r w:rsidR="00FA3398" w:rsidRPr="00176A13">
              <w:rPr>
                <w:rFonts w:cs="Arial"/>
                <w:sz w:val="18"/>
                <w:szCs w:val="18"/>
              </w:rPr>
              <w:t xml:space="preserve">AFMA has advised that </w:t>
            </w:r>
            <w:r w:rsidR="00867A70" w:rsidRPr="00176A13">
              <w:rPr>
                <w:rFonts w:cs="Arial"/>
                <w:sz w:val="18"/>
                <w:szCs w:val="18"/>
              </w:rPr>
              <w:t xml:space="preserve">there </w:t>
            </w:r>
            <w:r w:rsidR="005F2814" w:rsidRPr="00176A13">
              <w:rPr>
                <w:rFonts w:cs="Arial"/>
                <w:sz w:val="18"/>
                <w:szCs w:val="18"/>
              </w:rPr>
              <w:t xml:space="preserve">are no </w:t>
            </w:r>
            <w:r w:rsidR="00FA3398" w:rsidRPr="00176A13">
              <w:rPr>
                <w:rFonts w:cs="Arial"/>
                <w:sz w:val="18"/>
                <w:szCs w:val="18"/>
              </w:rPr>
              <w:t xml:space="preserve">associated </w:t>
            </w:r>
            <w:r w:rsidR="00867A70" w:rsidRPr="00176A13">
              <w:rPr>
                <w:rFonts w:cs="Arial"/>
                <w:sz w:val="18"/>
                <w:szCs w:val="18"/>
              </w:rPr>
              <w:t xml:space="preserve">performance measures or </w:t>
            </w:r>
            <w:r w:rsidR="00FA3398" w:rsidRPr="00176A13">
              <w:rPr>
                <w:rFonts w:cs="Arial"/>
                <w:sz w:val="18"/>
                <w:szCs w:val="18"/>
              </w:rPr>
              <w:t xml:space="preserve">decision </w:t>
            </w:r>
            <w:r w:rsidR="00867A70" w:rsidRPr="00176A13">
              <w:rPr>
                <w:rFonts w:cs="Arial"/>
                <w:sz w:val="18"/>
                <w:szCs w:val="18"/>
              </w:rPr>
              <w:t xml:space="preserve">frameworks </w:t>
            </w:r>
            <w:r w:rsidR="00FA3398" w:rsidRPr="00176A13">
              <w:rPr>
                <w:rFonts w:cs="Arial"/>
                <w:sz w:val="18"/>
                <w:szCs w:val="18"/>
              </w:rPr>
              <w:t xml:space="preserve">that </w:t>
            </w:r>
            <w:r w:rsidR="00867A70" w:rsidRPr="00176A13">
              <w:rPr>
                <w:rFonts w:cs="Arial"/>
                <w:sz w:val="18"/>
                <w:szCs w:val="18"/>
              </w:rPr>
              <w:t>guide management in either SPRFMO or SIOFA areas.</w:t>
            </w:r>
          </w:p>
        </w:tc>
      </w:tr>
      <w:tr w:rsidR="00885298" w:rsidRPr="004649FA" w14:paraId="73791D4D" w14:textId="77777777" w:rsidTr="00924E19">
        <w:trPr>
          <w:cantSplit/>
        </w:trPr>
        <w:tc>
          <w:tcPr>
            <w:tcW w:w="1500" w:type="pct"/>
            <w:shd w:val="clear" w:color="auto" w:fill="auto"/>
          </w:tcPr>
          <w:p w14:paraId="1EB80B0F" w14:textId="2B3983CA" w:rsidR="004649FA" w:rsidRPr="004649FA" w:rsidRDefault="00885298" w:rsidP="004719AA">
            <w:pPr>
              <w:spacing w:after="120" w:line="240" w:lineRule="auto"/>
              <w:rPr>
                <w:rFonts w:cs="Arial"/>
                <w:sz w:val="18"/>
                <w:szCs w:val="18"/>
              </w:rPr>
            </w:pPr>
            <w:r w:rsidRPr="004649FA">
              <w:rPr>
                <w:rFonts w:cs="Arial"/>
                <w:sz w:val="18"/>
                <w:szCs w:val="18"/>
              </w:rPr>
              <w:t>Be capable of controlling the level of harvest in the fishery using input and/or output controls</w:t>
            </w:r>
            <w:r w:rsidR="006B6EF9" w:rsidRPr="004649FA">
              <w:rPr>
                <w:rFonts w:cs="Arial"/>
                <w:sz w:val="18"/>
                <w:szCs w:val="18"/>
              </w:rPr>
              <w:t>.</w:t>
            </w:r>
          </w:p>
        </w:tc>
        <w:tc>
          <w:tcPr>
            <w:tcW w:w="3500" w:type="pct"/>
            <w:shd w:val="clear" w:color="auto" w:fill="92D050"/>
          </w:tcPr>
          <w:p w14:paraId="0A1B8064" w14:textId="6905F68C" w:rsidR="00C35389" w:rsidRDefault="00F8472A" w:rsidP="00CC1C87">
            <w:pPr>
              <w:spacing w:after="0" w:line="240" w:lineRule="auto"/>
              <w:rPr>
                <w:rFonts w:cs="Arial"/>
                <w:sz w:val="18"/>
                <w:szCs w:val="18"/>
              </w:rPr>
            </w:pPr>
            <w:r w:rsidRPr="00924E19">
              <w:rPr>
                <w:rFonts w:cs="Arial"/>
                <w:b/>
                <w:sz w:val="18"/>
                <w:szCs w:val="18"/>
              </w:rPr>
              <w:t>Meets</w:t>
            </w:r>
          </w:p>
          <w:p w14:paraId="1668D3C2" w14:textId="5C193CB1" w:rsidR="002965D9" w:rsidRPr="00924E19" w:rsidRDefault="002965D9" w:rsidP="004719AA">
            <w:pPr>
              <w:spacing w:after="120" w:line="240" w:lineRule="auto"/>
              <w:rPr>
                <w:rFonts w:cs="Arial"/>
                <w:sz w:val="18"/>
                <w:szCs w:val="18"/>
              </w:rPr>
            </w:pPr>
            <w:r w:rsidRPr="00924E19">
              <w:rPr>
                <w:rFonts w:cs="Arial"/>
                <w:sz w:val="18"/>
                <w:szCs w:val="18"/>
              </w:rPr>
              <w:t>Input and output controls are used to control the level of take in t</w:t>
            </w:r>
            <w:r w:rsidR="00FA3398" w:rsidRPr="00924E19">
              <w:rPr>
                <w:rFonts w:cs="Arial"/>
                <w:sz w:val="18"/>
                <w:szCs w:val="18"/>
              </w:rPr>
              <w:t>he fishery.</w:t>
            </w:r>
          </w:p>
          <w:p w14:paraId="53F7E3E4" w14:textId="32342B2B" w:rsidR="000D1893" w:rsidRPr="00924E19" w:rsidRDefault="00572F1E" w:rsidP="004719AA">
            <w:pPr>
              <w:spacing w:after="120" w:line="240" w:lineRule="auto"/>
              <w:rPr>
                <w:rFonts w:cs="Arial"/>
                <w:sz w:val="18"/>
                <w:szCs w:val="18"/>
              </w:rPr>
            </w:pPr>
            <w:r w:rsidRPr="00924E19">
              <w:rPr>
                <w:rFonts w:cs="Arial"/>
                <w:sz w:val="18"/>
                <w:szCs w:val="18"/>
              </w:rPr>
              <w:t xml:space="preserve">Demersal fishing on the high seas by Australian vessels occurs under permits issued by AFMA. These permits include conditions relating </w:t>
            </w:r>
            <w:r w:rsidR="000D1893" w:rsidRPr="00924E19">
              <w:rPr>
                <w:rFonts w:cs="Arial"/>
                <w:sz w:val="18"/>
                <w:szCs w:val="18"/>
              </w:rPr>
              <w:t xml:space="preserve">monitoring and reporting, catch processing, transhipping and disposal, catch limits, including restrictions on species that can be taken and on interactions with vulnerable marine ecosystems, </w:t>
            </w:r>
            <w:r w:rsidRPr="00924E19">
              <w:rPr>
                <w:rFonts w:cs="Arial"/>
                <w:sz w:val="18"/>
                <w:szCs w:val="18"/>
              </w:rPr>
              <w:t>areas that can be fished</w:t>
            </w:r>
            <w:r w:rsidR="00D836EA" w:rsidRPr="00924E19">
              <w:rPr>
                <w:rFonts w:cs="Arial"/>
                <w:sz w:val="18"/>
                <w:szCs w:val="18"/>
              </w:rPr>
              <w:t xml:space="preserve">, </w:t>
            </w:r>
            <w:r w:rsidR="000D1893" w:rsidRPr="00924E19">
              <w:rPr>
                <w:rFonts w:cs="Arial"/>
                <w:sz w:val="18"/>
                <w:szCs w:val="18"/>
              </w:rPr>
              <w:t>gear that can be used and bycatch mitigati</w:t>
            </w:r>
            <w:r w:rsidR="00D836EA" w:rsidRPr="00924E19">
              <w:rPr>
                <w:rFonts w:cs="Arial"/>
                <w:sz w:val="18"/>
                <w:szCs w:val="18"/>
              </w:rPr>
              <w:t>on measures which must be used.</w:t>
            </w:r>
          </w:p>
          <w:p w14:paraId="490D9D31" w14:textId="67EE7D17" w:rsidR="0036518F" w:rsidRPr="00924E19" w:rsidRDefault="0036518F" w:rsidP="004719AA">
            <w:pPr>
              <w:spacing w:after="120" w:line="240" w:lineRule="auto"/>
              <w:rPr>
                <w:rFonts w:cs="Arial"/>
                <w:sz w:val="18"/>
                <w:szCs w:val="18"/>
              </w:rPr>
            </w:pPr>
            <w:r w:rsidRPr="00924E19">
              <w:rPr>
                <w:rFonts w:cs="Arial"/>
                <w:sz w:val="18"/>
                <w:szCs w:val="18"/>
              </w:rPr>
              <w:t>Persons can apply at any time and t</w:t>
            </w:r>
            <w:r w:rsidR="007877D8" w:rsidRPr="00924E19">
              <w:rPr>
                <w:rFonts w:cs="Arial"/>
                <w:sz w:val="18"/>
                <w:szCs w:val="18"/>
              </w:rPr>
              <w:t>here does not appear to be a limit to the number of permits available</w:t>
            </w:r>
            <w:r w:rsidRPr="00924E19">
              <w:rPr>
                <w:rFonts w:cs="Arial"/>
                <w:sz w:val="18"/>
                <w:szCs w:val="18"/>
              </w:rPr>
              <w:t xml:space="preserve">, but there are </w:t>
            </w:r>
            <w:r w:rsidR="007877D8" w:rsidRPr="00924E19">
              <w:rPr>
                <w:rFonts w:cs="Arial"/>
                <w:sz w:val="18"/>
                <w:szCs w:val="18"/>
              </w:rPr>
              <w:t>only six permits in the fishery at this time.</w:t>
            </w:r>
          </w:p>
          <w:p w14:paraId="0FD82E69" w14:textId="6014E8CF" w:rsidR="00885298" w:rsidRPr="00924E19" w:rsidRDefault="0036518F" w:rsidP="004719AA">
            <w:pPr>
              <w:spacing w:after="120" w:line="240" w:lineRule="auto"/>
              <w:rPr>
                <w:rFonts w:cs="Arial"/>
                <w:sz w:val="18"/>
                <w:szCs w:val="18"/>
              </w:rPr>
            </w:pPr>
            <w:r w:rsidRPr="00924E19">
              <w:rPr>
                <w:rFonts w:cs="Arial"/>
                <w:sz w:val="18"/>
                <w:szCs w:val="18"/>
              </w:rPr>
              <w:t xml:space="preserve">To ensure fishers do not exceed </w:t>
            </w:r>
            <w:r w:rsidR="000D1893" w:rsidRPr="00924E19">
              <w:rPr>
                <w:rFonts w:cs="Arial"/>
                <w:sz w:val="18"/>
                <w:szCs w:val="18"/>
              </w:rPr>
              <w:t xml:space="preserve">the fishery catch limits, </w:t>
            </w:r>
            <w:r w:rsidRPr="00924E19">
              <w:rPr>
                <w:rFonts w:cs="Arial"/>
                <w:sz w:val="18"/>
                <w:szCs w:val="18"/>
              </w:rPr>
              <w:t>AFMA has set trigger limit</w:t>
            </w:r>
            <w:r w:rsidR="000D1893" w:rsidRPr="00924E19">
              <w:rPr>
                <w:rFonts w:cs="Arial"/>
                <w:sz w:val="18"/>
                <w:szCs w:val="18"/>
              </w:rPr>
              <w:t>s</w:t>
            </w:r>
            <w:r w:rsidRPr="00924E19">
              <w:rPr>
                <w:rFonts w:cs="Arial"/>
                <w:sz w:val="18"/>
                <w:szCs w:val="18"/>
              </w:rPr>
              <w:t xml:space="preserve"> </w:t>
            </w:r>
            <w:r w:rsidR="000D1893" w:rsidRPr="00924E19">
              <w:rPr>
                <w:rFonts w:cs="Arial"/>
                <w:sz w:val="18"/>
                <w:szCs w:val="18"/>
              </w:rPr>
              <w:t>which require</w:t>
            </w:r>
            <w:r w:rsidRPr="00924E19">
              <w:rPr>
                <w:rFonts w:cs="Arial"/>
                <w:sz w:val="18"/>
                <w:szCs w:val="18"/>
              </w:rPr>
              <w:t xml:space="preserve"> fishers to cease fishing in the </w:t>
            </w:r>
            <w:r w:rsidR="000D1893" w:rsidRPr="00924E19">
              <w:rPr>
                <w:rFonts w:cs="Arial"/>
                <w:sz w:val="18"/>
                <w:szCs w:val="18"/>
              </w:rPr>
              <w:t xml:space="preserve">relevant </w:t>
            </w:r>
            <w:r w:rsidRPr="00924E19">
              <w:rPr>
                <w:rFonts w:cs="Arial"/>
                <w:sz w:val="18"/>
                <w:szCs w:val="18"/>
              </w:rPr>
              <w:t>area</w:t>
            </w:r>
            <w:r w:rsidR="000D1893" w:rsidRPr="00924E19">
              <w:rPr>
                <w:rFonts w:cs="Arial"/>
                <w:sz w:val="18"/>
                <w:szCs w:val="18"/>
              </w:rPr>
              <w:t>(s)</w:t>
            </w:r>
            <w:r w:rsidR="00867A70" w:rsidRPr="00924E19">
              <w:rPr>
                <w:rFonts w:cs="Arial"/>
                <w:sz w:val="18"/>
                <w:szCs w:val="18"/>
              </w:rPr>
              <w:t xml:space="preserve"> when notified.</w:t>
            </w:r>
          </w:p>
        </w:tc>
      </w:tr>
      <w:tr w:rsidR="00885298" w:rsidRPr="004649FA" w14:paraId="1E480671" w14:textId="77777777" w:rsidTr="00924E19">
        <w:trPr>
          <w:cantSplit/>
        </w:trPr>
        <w:tc>
          <w:tcPr>
            <w:tcW w:w="1500" w:type="pct"/>
            <w:shd w:val="clear" w:color="auto" w:fill="auto"/>
          </w:tcPr>
          <w:p w14:paraId="086604CB" w14:textId="4E9089B9" w:rsidR="004649FA" w:rsidRPr="004649FA" w:rsidRDefault="00885298" w:rsidP="004719AA">
            <w:pPr>
              <w:spacing w:after="120" w:line="240" w:lineRule="auto"/>
              <w:rPr>
                <w:rFonts w:cs="Arial"/>
                <w:sz w:val="18"/>
                <w:szCs w:val="18"/>
              </w:rPr>
            </w:pPr>
            <w:r w:rsidRPr="004649FA">
              <w:rPr>
                <w:rFonts w:cs="Arial"/>
                <w:sz w:val="18"/>
                <w:szCs w:val="18"/>
              </w:rPr>
              <w:lastRenderedPageBreak/>
              <w:t>Contain the means of enforcing critical aspects of the management arrangements</w:t>
            </w:r>
            <w:r w:rsidR="006B6EF9" w:rsidRPr="004649FA">
              <w:rPr>
                <w:rFonts w:cs="Arial"/>
                <w:sz w:val="18"/>
                <w:szCs w:val="18"/>
              </w:rPr>
              <w:t>.</w:t>
            </w:r>
          </w:p>
        </w:tc>
        <w:tc>
          <w:tcPr>
            <w:tcW w:w="3500" w:type="pct"/>
            <w:shd w:val="clear" w:color="auto" w:fill="92D050"/>
          </w:tcPr>
          <w:p w14:paraId="5988C218" w14:textId="63C55CB9" w:rsidR="00C35389" w:rsidRDefault="00867A70" w:rsidP="00CC1C87">
            <w:pPr>
              <w:spacing w:after="0" w:line="240" w:lineRule="auto"/>
              <w:rPr>
                <w:rFonts w:cs="Arial"/>
                <w:sz w:val="18"/>
                <w:szCs w:val="18"/>
              </w:rPr>
            </w:pPr>
            <w:r w:rsidRPr="00924E19">
              <w:rPr>
                <w:rFonts w:cs="Arial"/>
                <w:b/>
                <w:sz w:val="18"/>
                <w:szCs w:val="18"/>
              </w:rPr>
              <w:t>Meets</w:t>
            </w:r>
          </w:p>
          <w:p w14:paraId="44E84912" w14:textId="6E8AF8EB" w:rsidR="004979F0" w:rsidRPr="00924E19" w:rsidRDefault="008C004D" w:rsidP="00C35389">
            <w:pPr>
              <w:spacing w:after="120" w:line="240" w:lineRule="auto"/>
              <w:rPr>
                <w:rFonts w:cs="Arial"/>
                <w:sz w:val="18"/>
                <w:szCs w:val="18"/>
              </w:rPr>
            </w:pPr>
            <w:r w:rsidRPr="00924E19">
              <w:rPr>
                <w:rFonts w:cs="Arial"/>
                <w:sz w:val="18"/>
                <w:szCs w:val="18"/>
              </w:rPr>
              <w:t>Vessels are required to operate vessel monitoring systems at all times, carry AFMA observers when</w:t>
            </w:r>
            <w:r w:rsidR="006407CF" w:rsidRPr="00924E19">
              <w:rPr>
                <w:rFonts w:cs="Arial"/>
                <w:sz w:val="18"/>
                <w:szCs w:val="18"/>
              </w:rPr>
              <w:t xml:space="preserve"> requested </w:t>
            </w:r>
            <w:r w:rsidRPr="00924E19">
              <w:rPr>
                <w:rFonts w:cs="Arial"/>
                <w:sz w:val="18"/>
                <w:szCs w:val="18"/>
              </w:rPr>
              <w:t>(covering between 10 and 100% of activity depending on the methods used), report their fishing data, unload to licenced fish receivers and report to AFMA prior to departure and landing. These measures all support AFMA’s enforcement of management arrangements for the fishery.</w:t>
            </w:r>
          </w:p>
        </w:tc>
      </w:tr>
      <w:tr w:rsidR="00885298" w:rsidRPr="004649FA" w14:paraId="050DB205" w14:textId="77777777" w:rsidTr="00924E19">
        <w:trPr>
          <w:cantSplit/>
        </w:trPr>
        <w:tc>
          <w:tcPr>
            <w:tcW w:w="1500" w:type="pct"/>
            <w:shd w:val="clear" w:color="auto" w:fill="auto"/>
          </w:tcPr>
          <w:p w14:paraId="4C2BDACB" w14:textId="006022CB" w:rsidR="004649FA" w:rsidRPr="004649FA" w:rsidRDefault="00885298" w:rsidP="004719AA">
            <w:pPr>
              <w:spacing w:after="120" w:line="240" w:lineRule="auto"/>
              <w:rPr>
                <w:rFonts w:cs="Arial"/>
                <w:sz w:val="18"/>
                <w:szCs w:val="18"/>
              </w:rPr>
            </w:pPr>
            <w:r w:rsidRPr="004649FA">
              <w:rPr>
                <w:rFonts w:cs="Arial"/>
                <w:sz w:val="18"/>
                <w:szCs w:val="18"/>
              </w:rPr>
              <w:t>Provide for the periodic review of the performance of the fishery management arrangements and the management strategies, objectives and criteria</w:t>
            </w:r>
            <w:r w:rsidR="006B6EF9" w:rsidRPr="004649FA">
              <w:rPr>
                <w:rFonts w:cs="Arial"/>
                <w:sz w:val="18"/>
                <w:szCs w:val="18"/>
              </w:rPr>
              <w:t>.</w:t>
            </w:r>
          </w:p>
        </w:tc>
        <w:tc>
          <w:tcPr>
            <w:tcW w:w="3500" w:type="pct"/>
            <w:shd w:val="clear" w:color="auto" w:fill="92D050"/>
          </w:tcPr>
          <w:p w14:paraId="1FD3A281" w14:textId="03E8A821" w:rsidR="00C35389" w:rsidRDefault="00F8472A" w:rsidP="004263AE">
            <w:pPr>
              <w:pStyle w:val="BodyText1"/>
              <w:spacing w:after="0" w:line="240" w:lineRule="auto"/>
              <w:jc w:val="left"/>
              <w:rPr>
                <w:rFonts w:cs="Arial"/>
                <w:sz w:val="18"/>
                <w:szCs w:val="18"/>
              </w:rPr>
            </w:pPr>
            <w:r w:rsidRPr="00924E19">
              <w:rPr>
                <w:rFonts w:cs="Arial"/>
                <w:b/>
                <w:sz w:val="18"/>
                <w:szCs w:val="18"/>
              </w:rPr>
              <w:t>Meets</w:t>
            </w:r>
          </w:p>
          <w:p w14:paraId="3E0D419C" w14:textId="150DFE37" w:rsidR="008E6DCE" w:rsidRPr="00924E19" w:rsidRDefault="008E6DCE" w:rsidP="004263AE">
            <w:pPr>
              <w:pStyle w:val="BodyText1"/>
              <w:spacing w:line="240" w:lineRule="auto"/>
              <w:jc w:val="left"/>
              <w:rPr>
                <w:rFonts w:cs="Arial"/>
                <w:sz w:val="18"/>
                <w:szCs w:val="18"/>
              </w:rPr>
            </w:pPr>
            <w:r w:rsidRPr="00924E19">
              <w:rPr>
                <w:rFonts w:cs="Arial"/>
                <w:sz w:val="18"/>
                <w:szCs w:val="18"/>
              </w:rPr>
              <w:t xml:space="preserve">AFMA provides catch summaries to SPRFMO each month, and annually reports any interactions with vulnerable marine ecosystems to SIOFA and SPRFMO Scientific Committees. </w:t>
            </w:r>
            <w:r w:rsidR="000E2FDE" w:rsidRPr="00924E19">
              <w:rPr>
                <w:rFonts w:cs="Arial"/>
                <w:sz w:val="18"/>
                <w:szCs w:val="18"/>
              </w:rPr>
              <w:t>The performance of each country is reviewed by SPRFMO and SIOFA annually</w:t>
            </w:r>
            <w:r w:rsidRPr="00924E19">
              <w:rPr>
                <w:rFonts w:cs="Arial"/>
                <w:sz w:val="18"/>
                <w:szCs w:val="18"/>
              </w:rPr>
              <w:t xml:space="preserve"> but AFMA has advised that there are no performance measures or decision frameworks that guide management in either SPRFMO or SIOFA areas.</w:t>
            </w:r>
          </w:p>
          <w:p w14:paraId="7238DEE3" w14:textId="77777777" w:rsidR="00885298" w:rsidRPr="00924E19" w:rsidRDefault="000E2FDE" w:rsidP="004263AE">
            <w:pPr>
              <w:pStyle w:val="BodyText1"/>
              <w:spacing w:line="240" w:lineRule="auto"/>
              <w:jc w:val="left"/>
              <w:rPr>
                <w:rFonts w:cs="Arial"/>
                <w:sz w:val="18"/>
                <w:szCs w:val="18"/>
              </w:rPr>
            </w:pPr>
            <w:r w:rsidRPr="00924E19">
              <w:rPr>
                <w:rFonts w:cs="Arial"/>
                <w:sz w:val="18"/>
                <w:szCs w:val="18"/>
              </w:rPr>
              <w:t>Trigger limits apply to total catch, as well as catches of corals and sponges in the SPRFMO and SIOFA areas. When these limits are reached management arrangements are reviewed before fishing recommences in the relevant areas.</w:t>
            </w:r>
          </w:p>
          <w:p w14:paraId="38969CE4" w14:textId="00E6E111" w:rsidR="00946177" w:rsidRPr="00924E19" w:rsidRDefault="00946177" w:rsidP="004263AE">
            <w:pPr>
              <w:pStyle w:val="BodyText1"/>
              <w:spacing w:line="240" w:lineRule="auto"/>
              <w:jc w:val="left"/>
              <w:rPr>
                <w:rFonts w:cs="Arial"/>
                <w:b/>
                <w:sz w:val="18"/>
                <w:szCs w:val="18"/>
              </w:rPr>
            </w:pPr>
            <w:r w:rsidRPr="00924E19">
              <w:rPr>
                <w:rFonts w:cs="Arial"/>
                <w:sz w:val="18"/>
                <w:szCs w:val="18"/>
              </w:rPr>
              <w:t xml:space="preserve">Management arrangements are also reviewed </w:t>
            </w:r>
            <w:r w:rsidR="0087312F">
              <w:rPr>
                <w:rFonts w:cs="Arial"/>
                <w:sz w:val="18"/>
                <w:szCs w:val="18"/>
              </w:rPr>
              <w:t xml:space="preserve">annually </w:t>
            </w:r>
            <w:r w:rsidRPr="00924E19">
              <w:rPr>
                <w:rFonts w:cs="Arial"/>
                <w:sz w:val="18"/>
                <w:szCs w:val="18"/>
              </w:rPr>
              <w:t>and updated as necessary by AFMA.</w:t>
            </w:r>
          </w:p>
        </w:tc>
      </w:tr>
      <w:tr w:rsidR="00885298" w:rsidRPr="004649FA" w14:paraId="7F16FB15" w14:textId="77777777" w:rsidTr="00924E19">
        <w:trPr>
          <w:cantSplit/>
        </w:trPr>
        <w:tc>
          <w:tcPr>
            <w:tcW w:w="1500" w:type="pct"/>
            <w:shd w:val="clear" w:color="auto" w:fill="auto"/>
          </w:tcPr>
          <w:p w14:paraId="79731F76" w14:textId="39A09076" w:rsidR="004649FA" w:rsidRPr="004649FA" w:rsidRDefault="00885298" w:rsidP="004719AA">
            <w:pPr>
              <w:spacing w:after="120" w:line="240" w:lineRule="auto"/>
              <w:rPr>
                <w:rFonts w:cs="Arial"/>
                <w:sz w:val="18"/>
                <w:szCs w:val="18"/>
              </w:rPr>
            </w:pPr>
            <w:r w:rsidRPr="004649FA">
              <w:rPr>
                <w:rFonts w:cs="Arial"/>
                <w:sz w:val="18"/>
                <w:szCs w:val="18"/>
              </w:rPr>
              <w:t>Be capable of assessing, monitoring and avoiding, remedying or mitigating any adverse impacts on the wider marine ecosystem in which the target species lives and the fishery operates</w:t>
            </w:r>
            <w:r w:rsidR="006B6EF9" w:rsidRPr="004649FA">
              <w:rPr>
                <w:rFonts w:cs="Arial"/>
                <w:sz w:val="18"/>
                <w:szCs w:val="18"/>
              </w:rPr>
              <w:t>.</w:t>
            </w:r>
          </w:p>
        </w:tc>
        <w:tc>
          <w:tcPr>
            <w:tcW w:w="3500" w:type="pct"/>
            <w:shd w:val="clear" w:color="auto" w:fill="92D050"/>
          </w:tcPr>
          <w:p w14:paraId="38730BCF" w14:textId="476D74E6" w:rsidR="00C35389" w:rsidRDefault="00F8472A" w:rsidP="004263AE">
            <w:pPr>
              <w:pStyle w:val="BodyText1"/>
              <w:spacing w:after="0" w:line="240" w:lineRule="auto"/>
              <w:jc w:val="left"/>
              <w:rPr>
                <w:rFonts w:cs="Arial"/>
                <w:sz w:val="18"/>
                <w:szCs w:val="18"/>
              </w:rPr>
            </w:pPr>
            <w:r w:rsidRPr="00924E19">
              <w:rPr>
                <w:rFonts w:cs="Arial"/>
                <w:b/>
                <w:sz w:val="18"/>
                <w:szCs w:val="18"/>
              </w:rPr>
              <w:t>Meets</w:t>
            </w:r>
          </w:p>
          <w:p w14:paraId="1612FD40" w14:textId="4D2A6429" w:rsidR="000E2FDE" w:rsidRPr="00924E19" w:rsidRDefault="002B5843" w:rsidP="004263AE">
            <w:pPr>
              <w:pStyle w:val="BodyText1"/>
              <w:spacing w:line="240" w:lineRule="auto"/>
              <w:jc w:val="left"/>
              <w:rPr>
                <w:rFonts w:cs="Arial"/>
                <w:sz w:val="18"/>
                <w:szCs w:val="18"/>
              </w:rPr>
            </w:pPr>
            <w:r>
              <w:rPr>
                <w:rFonts w:cs="Arial"/>
                <w:sz w:val="18"/>
                <w:szCs w:val="18"/>
              </w:rPr>
              <w:t>S</w:t>
            </w:r>
            <w:r w:rsidR="004719AA" w:rsidRPr="00924E19">
              <w:rPr>
                <w:rFonts w:cs="Arial"/>
                <w:sz w:val="18"/>
                <w:szCs w:val="18"/>
              </w:rPr>
              <w:t>ystems are in place to monitor and respond to impacts on vulnerable marine ecosystems (specifically corals and sponges). These systems have been informed by bottom fishery impact assessments (</w:t>
            </w:r>
            <w:hyperlink r:id="rId35" w:history="1">
              <w:r w:rsidR="004719AA" w:rsidRPr="00042E80">
                <w:rPr>
                  <w:rStyle w:val="Hyperlink"/>
                  <w:rFonts w:cs="Arial"/>
                  <w:sz w:val="18"/>
                  <w:szCs w:val="18"/>
                </w:rPr>
                <w:t>Williams et al., 2011a</w:t>
              </w:r>
            </w:hyperlink>
            <w:r w:rsidR="004719AA" w:rsidRPr="00924E19">
              <w:rPr>
                <w:rFonts w:cs="Arial"/>
                <w:sz w:val="18"/>
                <w:szCs w:val="18"/>
              </w:rPr>
              <w:t xml:space="preserve">; </w:t>
            </w:r>
            <w:hyperlink r:id="rId36" w:history="1">
              <w:r w:rsidR="004719AA" w:rsidRPr="00042E80">
                <w:rPr>
                  <w:rStyle w:val="Hyperlink"/>
                  <w:rFonts w:cs="Arial"/>
                  <w:sz w:val="18"/>
                  <w:szCs w:val="18"/>
                </w:rPr>
                <w:t>Williams et al., 2011b</w:t>
              </w:r>
            </w:hyperlink>
            <w:r w:rsidR="004719AA" w:rsidRPr="00924E19">
              <w:rPr>
                <w:rFonts w:cs="Arial"/>
                <w:sz w:val="18"/>
                <w:szCs w:val="18"/>
              </w:rPr>
              <w:t>). Additional measures are in place to manage impacts on other non-target species and the environment.</w:t>
            </w:r>
          </w:p>
          <w:p w14:paraId="74BE9E69" w14:textId="5CEBF36D" w:rsidR="000E2FDE" w:rsidRPr="00924E19" w:rsidRDefault="00A25A33">
            <w:pPr>
              <w:spacing w:after="120" w:line="240" w:lineRule="auto"/>
              <w:rPr>
                <w:rFonts w:cs="Arial"/>
                <w:sz w:val="18"/>
                <w:szCs w:val="18"/>
              </w:rPr>
            </w:pPr>
            <w:r w:rsidRPr="00924E19">
              <w:rPr>
                <w:rFonts w:cs="Arial"/>
                <w:sz w:val="18"/>
                <w:szCs w:val="18"/>
              </w:rPr>
              <w:t>Fishers are required to report all catch as well as any interactions with corals, sponges or EPBC Act-listed species</w:t>
            </w:r>
            <w:r w:rsidR="00BA5EF6" w:rsidRPr="00924E19">
              <w:rPr>
                <w:rFonts w:cs="Arial"/>
                <w:sz w:val="18"/>
                <w:szCs w:val="18"/>
              </w:rPr>
              <w:t xml:space="preserve"> in </w:t>
            </w:r>
            <w:r w:rsidRPr="00924E19">
              <w:rPr>
                <w:rFonts w:cs="Arial"/>
                <w:sz w:val="18"/>
                <w:szCs w:val="18"/>
              </w:rPr>
              <w:t>AFMA-</w:t>
            </w:r>
            <w:r w:rsidR="00BA5EF6" w:rsidRPr="00924E19">
              <w:rPr>
                <w:rFonts w:cs="Arial"/>
                <w:sz w:val="18"/>
                <w:szCs w:val="18"/>
              </w:rPr>
              <w:t>approved</w:t>
            </w:r>
            <w:r w:rsidRPr="00924E19">
              <w:rPr>
                <w:rFonts w:cs="Arial"/>
                <w:sz w:val="18"/>
                <w:szCs w:val="18"/>
              </w:rPr>
              <w:t xml:space="preserve"> logbooks. </w:t>
            </w:r>
            <w:r w:rsidR="004719AA" w:rsidRPr="00924E19">
              <w:rPr>
                <w:rFonts w:cs="Arial"/>
                <w:sz w:val="18"/>
                <w:szCs w:val="18"/>
              </w:rPr>
              <w:t>Fishing activities are monitored using vessel monitoring systems (100% coverage)</w:t>
            </w:r>
            <w:r w:rsidR="006A5308" w:rsidRPr="00924E19">
              <w:rPr>
                <w:rFonts w:cs="Arial"/>
                <w:sz w:val="18"/>
                <w:szCs w:val="18"/>
              </w:rPr>
              <w:t xml:space="preserve"> and </w:t>
            </w:r>
            <w:proofErr w:type="spellStart"/>
            <w:r w:rsidR="004719AA" w:rsidRPr="00924E19">
              <w:rPr>
                <w:rFonts w:cs="Arial"/>
                <w:sz w:val="18"/>
                <w:szCs w:val="18"/>
              </w:rPr>
              <w:t>onboard</w:t>
            </w:r>
            <w:proofErr w:type="spellEnd"/>
            <w:r w:rsidR="004719AA" w:rsidRPr="00924E19">
              <w:rPr>
                <w:rFonts w:cs="Arial"/>
                <w:sz w:val="18"/>
                <w:szCs w:val="18"/>
              </w:rPr>
              <w:t xml:space="preserve"> scientific observers (between 10 and 100% coverage)</w:t>
            </w:r>
            <w:r w:rsidRPr="00924E19">
              <w:rPr>
                <w:rFonts w:cs="Arial"/>
                <w:sz w:val="18"/>
                <w:szCs w:val="18"/>
              </w:rPr>
              <w:t>.</w:t>
            </w:r>
          </w:p>
          <w:p w14:paraId="189139E9" w14:textId="1FF02DC5" w:rsidR="000E2FDE" w:rsidRPr="00924E19" w:rsidRDefault="00CE2094" w:rsidP="004263AE">
            <w:pPr>
              <w:pStyle w:val="BodyText1"/>
              <w:spacing w:line="240" w:lineRule="auto"/>
              <w:jc w:val="left"/>
              <w:rPr>
                <w:rFonts w:cs="Arial"/>
                <w:sz w:val="18"/>
                <w:szCs w:val="18"/>
              </w:rPr>
            </w:pPr>
            <w:r w:rsidRPr="00924E19">
              <w:rPr>
                <w:rFonts w:cs="Arial"/>
                <w:sz w:val="18"/>
                <w:szCs w:val="18"/>
              </w:rPr>
              <w:t xml:space="preserve">Fishing is </w:t>
            </w:r>
            <w:r w:rsidR="000E2FDE" w:rsidRPr="00924E19">
              <w:rPr>
                <w:rFonts w:cs="Arial"/>
                <w:sz w:val="18"/>
                <w:szCs w:val="18"/>
              </w:rPr>
              <w:t xml:space="preserve">restricted to areas fished during historical reference periods (2002-2006 and 1999-2009 for </w:t>
            </w:r>
            <w:r w:rsidR="004719AA" w:rsidRPr="00924E19">
              <w:rPr>
                <w:rFonts w:cs="Arial"/>
                <w:sz w:val="18"/>
                <w:szCs w:val="18"/>
              </w:rPr>
              <w:t xml:space="preserve">SPRFMO and </w:t>
            </w:r>
            <w:r w:rsidR="000E2FDE" w:rsidRPr="00924E19">
              <w:rPr>
                <w:rFonts w:cs="Arial"/>
                <w:sz w:val="18"/>
                <w:szCs w:val="18"/>
              </w:rPr>
              <w:t>SIOFA area</w:t>
            </w:r>
            <w:r w:rsidR="004719AA" w:rsidRPr="00924E19">
              <w:rPr>
                <w:rFonts w:cs="Arial"/>
                <w:sz w:val="18"/>
                <w:szCs w:val="18"/>
              </w:rPr>
              <w:t>s respectively</w:t>
            </w:r>
            <w:r w:rsidR="000E2FDE" w:rsidRPr="00924E19">
              <w:rPr>
                <w:rFonts w:cs="Arial"/>
                <w:sz w:val="18"/>
                <w:szCs w:val="18"/>
              </w:rPr>
              <w:t>)</w:t>
            </w:r>
            <w:r w:rsidR="004719AA" w:rsidRPr="00924E19">
              <w:rPr>
                <w:rFonts w:cs="Arial"/>
                <w:sz w:val="18"/>
                <w:szCs w:val="18"/>
              </w:rPr>
              <w:t xml:space="preserve">. Fishing is restricted to use of </w:t>
            </w:r>
            <w:r w:rsidR="000E2FDE" w:rsidRPr="00924E19">
              <w:rPr>
                <w:rFonts w:cs="Arial"/>
                <w:sz w:val="18"/>
                <w:szCs w:val="18"/>
              </w:rPr>
              <w:t>demersal and midwater trawl</w:t>
            </w:r>
            <w:r w:rsidR="00782776">
              <w:rPr>
                <w:rFonts w:cs="Arial"/>
                <w:sz w:val="18"/>
                <w:szCs w:val="18"/>
              </w:rPr>
              <w:t xml:space="preserve"> and</w:t>
            </w:r>
            <w:r w:rsidR="000E2FDE" w:rsidRPr="00924E19">
              <w:rPr>
                <w:rFonts w:cs="Arial"/>
                <w:sz w:val="18"/>
                <w:szCs w:val="18"/>
              </w:rPr>
              <w:t xml:space="preserve"> line methods. The use of gillnets is prohibited.</w:t>
            </w:r>
          </w:p>
          <w:p w14:paraId="16676CAC" w14:textId="295B310A" w:rsidR="000E2FDE" w:rsidRPr="00924E19" w:rsidRDefault="000E2FDE" w:rsidP="004263AE">
            <w:pPr>
              <w:pStyle w:val="BodyText1"/>
              <w:spacing w:line="240" w:lineRule="auto"/>
              <w:jc w:val="left"/>
              <w:rPr>
                <w:rFonts w:cs="Arial"/>
                <w:sz w:val="18"/>
                <w:szCs w:val="18"/>
              </w:rPr>
            </w:pPr>
            <w:r w:rsidRPr="00924E19">
              <w:rPr>
                <w:rFonts w:cs="Arial"/>
                <w:sz w:val="18"/>
                <w:szCs w:val="18"/>
              </w:rPr>
              <w:t>Catch trigger limits apply to the SPRFMO and SIOFA areas</w:t>
            </w:r>
            <w:r w:rsidR="00CE2094" w:rsidRPr="00924E19">
              <w:rPr>
                <w:rFonts w:cs="Arial"/>
                <w:sz w:val="18"/>
                <w:szCs w:val="18"/>
              </w:rPr>
              <w:t>,</w:t>
            </w:r>
            <w:r w:rsidRPr="00924E19">
              <w:rPr>
                <w:rFonts w:cs="Arial"/>
                <w:sz w:val="18"/>
                <w:szCs w:val="18"/>
              </w:rPr>
              <w:t xml:space="preserve"> and management arrangements </w:t>
            </w:r>
            <w:r w:rsidR="00CE2094" w:rsidRPr="00924E19">
              <w:rPr>
                <w:rFonts w:cs="Arial"/>
                <w:sz w:val="18"/>
                <w:szCs w:val="18"/>
              </w:rPr>
              <w:t xml:space="preserve">are reviewed if total </w:t>
            </w:r>
            <w:r w:rsidRPr="00924E19">
              <w:rPr>
                <w:rFonts w:cs="Arial"/>
                <w:sz w:val="18"/>
                <w:szCs w:val="18"/>
              </w:rPr>
              <w:t>catches in any year reach</w:t>
            </w:r>
            <w:r w:rsidR="00CE2094" w:rsidRPr="00924E19">
              <w:rPr>
                <w:rFonts w:cs="Arial"/>
                <w:sz w:val="18"/>
                <w:szCs w:val="18"/>
              </w:rPr>
              <w:t>es</w:t>
            </w:r>
            <w:r w:rsidRPr="00924E19">
              <w:rPr>
                <w:rFonts w:cs="Arial"/>
                <w:sz w:val="18"/>
                <w:szCs w:val="18"/>
              </w:rPr>
              <w:t xml:space="preserve"> the average annual catch </w:t>
            </w:r>
            <w:r w:rsidR="00CE2094" w:rsidRPr="00924E19">
              <w:rPr>
                <w:rFonts w:cs="Arial"/>
                <w:sz w:val="18"/>
                <w:szCs w:val="18"/>
              </w:rPr>
              <w:t xml:space="preserve">during the respective reference period. </w:t>
            </w:r>
            <w:r w:rsidR="00D836EA" w:rsidRPr="00924E19">
              <w:rPr>
                <w:rFonts w:cs="Arial"/>
                <w:sz w:val="18"/>
                <w:szCs w:val="18"/>
              </w:rPr>
              <w:t>To ensure fishers do not exceed the fishery catch limits, AFMA has set trigger limits which require fishers to cease fishing in the relevant area(s) when notified.</w:t>
            </w:r>
          </w:p>
          <w:p w14:paraId="1D14E460" w14:textId="77777777" w:rsidR="00977B2F" w:rsidRPr="00924E19" w:rsidRDefault="00977B2F" w:rsidP="004263AE">
            <w:pPr>
              <w:pStyle w:val="BodyText1"/>
              <w:spacing w:line="240" w:lineRule="auto"/>
              <w:jc w:val="left"/>
              <w:rPr>
                <w:rFonts w:cs="Arial"/>
                <w:sz w:val="18"/>
                <w:szCs w:val="18"/>
              </w:rPr>
            </w:pPr>
            <w:r w:rsidRPr="00924E19">
              <w:rPr>
                <w:rFonts w:cs="Arial"/>
                <w:sz w:val="18"/>
                <w:szCs w:val="18"/>
              </w:rPr>
              <w:t>Demersal trawling has the potential to cause significant impacts on the seafloor by reducing the structural complexity of the benthic environment by crushing, burying or exposing marine organisms.</w:t>
            </w:r>
          </w:p>
          <w:p w14:paraId="71279826" w14:textId="09CF9E86" w:rsidR="00977B2F" w:rsidRPr="00924E19" w:rsidRDefault="00977B2F" w:rsidP="004263AE">
            <w:pPr>
              <w:pStyle w:val="BodyText1"/>
              <w:spacing w:line="240" w:lineRule="auto"/>
              <w:jc w:val="left"/>
              <w:rPr>
                <w:rFonts w:cs="Arial"/>
                <w:sz w:val="18"/>
                <w:szCs w:val="18"/>
              </w:rPr>
            </w:pPr>
            <w:r w:rsidRPr="00924E19">
              <w:rPr>
                <w:rFonts w:cs="Arial"/>
                <w:sz w:val="18"/>
                <w:szCs w:val="18"/>
              </w:rPr>
              <w:t>Bottom fishery impact assessments for Australia’s high seas fishing in SPRFMO and SIOFA areas (Williams et al., 2011a; Williams et al., 2011b) concluded that the current overall risk of significant adverse impact on vulnerable marine ecosystems was low for Australian vessels fishing using bottom trawl and bottom-set auto-longline, and negligible for Australian vessels fishing using mid-water trawl and drop</w:t>
            </w:r>
            <w:r w:rsidR="005F2814" w:rsidRPr="00924E19">
              <w:rPr>
                <w:rFonts w:cs="Arial"/>
                <w:sz w:val="18"/>
                <w:szCs w:val="18"/>
              </w:rPr>
              <w:t>-</w:t>
            </w:r>
            <w:r w:rsidRPr="00924E19">
              <w:rPr>
                <w:rFonts w:cs="Arial"/>
                <w:sz w:val="18"/>
                <w:szCs w:val="18"/>
              </w:rPr>
              <w:t>lining. A sustainability assessment of the harvest levels of deep-sea stocks also judged that none of the stocks assessed were ‘subject to overfishing’ by Australian vessels, although some stocks were classified as ‘uncertain’.</w:t>
            </w:r>
          </w:p>
          <w:p w14:paraId="07642E91" w14:textId="413DBF7A" w:rsidR="00977B2F" w:rsidRPr="00924E19" w:rsidRDefault="00977B2F" w:rsidP="004263AE">
            <w:pPr>
              <w:pStyle w:val="BodyText1"/>
              <w:spacing w:line="240" w:lineRule="auto"/>
              <w:jc w:val="left"/>
              <w:rPr>
                <w:rFonts w:cs="Arial"/>
                <w:sz w:val="18"/>
                <w:szCs w:val="18"/>
              </w:rPr>
            </w:pPr>
            <w:r w:rsidRPr="00924E19">
              <w:rPr>
                <w:rFonts w:cs="Arial"/>
                <w:sz w:val="18"/>
                <w:szCs w:val="18"/>
              </w:rPr>
              <w:t xml:space="preserve">The </w:t>
            </w:r>
            <w:r w:rsidR="0052034A">
              <w:rPr>
                <w:rFonts w:cs="Arial"/>
                <w:sz w:val="18"/>
                <w:szCs w:val="18"/>
              </w:rPr>
              <w:t>D</w:t>
            </w:r>
            <w:r w:rsidRPr="00924E19">
              <w:rPr>
                <w:rFonts w:cs="Arial"/>
                <w:sz w:val="18"/>
                <w:szCs w:val="18"/>
              </w:rPr>
              <w:t>epartment considers that, based on the findings of the bottom fishery impact assessments and the sustainability assessment, the likely impact of current fishing operations under Australia’s High Seas Permits on the ecosystem to be minimal.</w:t>
            </w:r>
          </w:p>
          <w:p w14:paraId="4EB133A4" w14:textId="72543AB0" w:rsidR="00885298" w:rsidRPr="00924E19" w:rsidRDefault="00977B2F" w:rsidP="004263AE">
            <w:pPr>
              <w:pStyle w:val="BodyText1"/>
              <w:spacing w:line="240" w:lineRule="auto"/>
              <w:jc w:val="left"/>
              <w:rPr>
                <w:rFonts w:cs="Arial"/>
                <w:b/>
                <w:sz w:val="18"/>
                <w:szCs w:val="18"/>
              </w:rPr>
            </w:pPr>
            <w:r w:rsidRPr="00924E19">
              <w:rPr>
                <w:rFonts w:cs="Arial"/>
                <w:sz w:val="18"/>
                <w:szCs w:val="18"/>
              </w:rPr>
              <w:t xml:space="preserve">When </w:t>
            </w:r>
            <w:r w:rsidR="000E2FDE" w:rsidRPr="00924E19">
              <w:rPr>
                <w:rFonts w:cs="Arial"/>
                <w:sz w:val="18"/>
                <w:szCs w:val="18"/>
              </w:rPr>
              <w:t xml:space="preserve">trigger limits for interactions with vulnerable marine ecosystems </w:t>
            </w:r>
            <w:r w:rsidRPr="00924E19">
              <w:rPr>
                <w:rFonts w:cs="Arial"/>
                <w:sz w:val="18"/>
                <w:szCs w:val="18"/>
              </w:rPr>
              <w:t xml:space="preserve">(corals and sponges) are reached </w:t>
            </w:r>
            <w:r w:rsidR="000E2FDE" w:rsidRPr="00924E19">
              <w:rPr>
                <w:rFonts w:cs="Arial"/>
                <w:sz w:val="18"/>
                <w:szCs w:val="18"/>
              </w:rPr>
              <w:t xml:space="preserve">vessels must ‘move-on’ </w:t>
            </w:r>
            <w:r w:rsidRPr="00924E19">
              <w:rPr>
                <w:rFonts w:cs="Arial"/>
                <w:sz w:val="18"/>
                <w:szCs w:val="18"/>
              </w:rPr>
              <w:t xml:space="preserve">and not fish within specified distances </w:t>
            </w:r>
            <w:r w:rsidR="000E2FDE" w:rsidRPr="00924E19">
              <w:rPr>
                <w:rFonts w:cs="Arial"/>
                <w:sz w:val="18"/>
                <w:szCs w:val="18"/>
              </w:rPr>
              <w:t>for the remainder of the fishing season</w:t>
            </w:r>
            <w:r w:rsidRPr="00924E19">
              <w:rPr>
                <w:rFonts w:cs="Arial"/>
                <w:sz w:val="18"/>
                <w:szCs w:val="18"/>
              </w:rPr>
              <w:t>.</w:t>
            </w:r>
          </w:p>
        </w:tc>
      </w:tr>
      <w:tr w:rsidR="00885298" w:rsidRPr="004649FA" w14:paraId="257A30C9" w14:textId="77777777" w:rsidTr="00F8472A">
        <w:trPr>
          <w:cantSplit/>
        </w:trPr>
        <w:tc>
          <w:tcPr>
            <w:tcW w:w="1500" w:type="pct"/>
            <w:shd w:val="clear" w:color="auto" w:fill="auto"/>
          </w:tcPr>
          <w:p w14:paraId="2FAB5309" w14:textId="025AFE31" w:rsidR="004649FA" w:rsidRPr="004649FA" w:rsidRDefault="00885298" w:rsidP="004719AA">
            <w:pPr>
              <w:spacing w:after="120" w:line="240" w:lineRule="auto"/>
              <w:rPr>
                <w:rFonts w:cs="Arial"/>
                <w:sz w:val="18"/>
                <w:szCs w:val="18"/>
              </w:rPr>
            </w:pPr>
            <w:r w:rsidRPr="004649FA">
              <w:rPr>
                <w:rFonts w:cs="Arial"/>
                <w:sz w:val="18"/>
                <w:szCs w:val="18"/>
              </w:rPr>
              <w:lastRenderedPageBreak/>
              <w:t>Requires compliance with relevant threat abatement plans, recovery plans, the National Policy on Fisheries Bycatch, and bycatch action strategies developed under the policy</w:t>
            </w:r>
            <w:r w:rsidR="006B6EF9" w:rsidRPr="004649FA">
              <w:rPr>
                <w:rFonts w:cs="Arial"/>
                <w:sz w:val="18"/>
                <w:szCs w:val="18"/>
              </w:rPr>
              <w:t>.</w:t>
            </w:r>
          </w:p>
        </w:tc>
        <w:tc>
          <w:tcPr>
            <w:tcW w:w="3500" w:type="pct"/>
            <w:shd w:val="clear" w:color="auto" w:fill="auto"/>
          </w:tcPr>
          <w:p w14:paraId="08281820" w14:textId="0B676004" w:rsidR="00C35389" w:rsidRDefault="00BA5EF6" w:rsidP="00CC1C87">
            <w:pPr>
              <w:spacing w:after="0" w:line="240" w:lineRule="auto"/>
              <w:rPr>
                <w:rFonts w:cs="Arial"/>
                <w:b/>
                <w:sz w:val="18"/>
                <w:szCs w:val="18"/>
              </w:rPr>
            </w:pPr>
            <w:r w:rsidRPr="00176A13">
              <w:rPr>
                <w:rFonts w:cs="Arial"/>
                <w:b/>
                <w:sz w:val="18"/>
                <w:szCs w:val="18"/>
              </w:rPr>
              <w:t>Not applicable</w:t>
            </w:r>
          </w:p>
          <w:p w14:paraId="5E4F5B9B" w14:textId="05324651" w:rsidR="00885298" w:rsidRPr="00176A13" w:rsidRDefault="001709EF" w:rsidP="00C35389">
            <w:pPr>
              <w:spacing w:after="120" w:line="240" w:lineRule="auto"/>
              <w:rPr>
                <w:rFonts w:cs="Arial"/>
                <w:b/>
                <w:sz w:val="18"/>
                <w:szCs w:val="18"/>
              </w:rPr>
            </w:pPr>
            <w:r w:rsidRPr="00176A13">
              <w:rPr>
                <w:rFonts w:cs="Arial"/>
                <w:sz w:val="18"/>
                <w:szCs w:val="18"/>
              </w:rPr>
              <w:t xml:space="preserve">These measures are not applicable outside Australia’s exclusive economic zone. However, these domestic arrangements do influence Australia’s position in SIOFA and SPRFMO fora and some protections are effected through relevant SIOFA and SPRFMO </w:t>
            </w:r>
            <w:r w:rsidR="00F95F29" w:rsidRPr="00176A13">
              <w:rPr>
                <w:rFonts w:cs="Arial"/>
                <w:sz w:val="18"/>
                <w:szCs w:val="18"/>
              </w:rPr>
              <w:t>c</w:t>
            </w:r>
            <w:r w:rsidRPr="00176A13">
              <w:rPr>
                <w:rFonts w:cs="Arial"/>
                <w:sz w:val="18"/>
                <w:szCs w:val="18"/>
              </w:rPr>
              <w:t xml:space="preserve">onservation and </w:t>
            </w:r>
            <w:r w:rsidR="00F95F29" w:rsidRPr="00176A13">
              <w:rPr>
                <w:rFonts w:cs="Arial"/>
                <w:sz w:val="18"/>
                <w:szCs w:val="18"/>
              </w:rPr>
              <w:t>m</w:t>
            </w:r>
            <w:r w:rsidRPr="00176A13">
              <w:rPr>
                <w:rFonts w:cs="Arial"/>
                <w:sz w:val="18"/>
                <w:szCs w:val="18"/>
              </w:rPr>
              <w:t xml:space="preserve">anagement </w:t>
            </w:r>
            <w:r w:rsidR="00F95F29" w:rsidRPr="00176A13">
              <w:rPr>
                <w:rFonts w:cs="Arial"/>
                <w:sz w:val="18"/>
                <w:szCs w:val="18"/>
              </w:rPr>
              <w:t>m</w:t>
            </w:r>
            <w:r w:rsidRPr="00176A13">
              <w:rPr>
                <w:rFonts w:cs="Arial"/>
                <w:sz w:val="18"/>
                <w:szCs w:val="18"/>
              </w:rPr>
              <w:t>easures</w:t>
            </w:r>
            <w:r w:rsidR="005F2814" w:rsidRPr="00176A13">
              <w:rPr>
                <w:rFonts w:cs="Arial"/>
                <w:sz w:val="18"/>
                <w:szCs w:val="18"/>
              </w:rPr>
              <w:t xml:space="preserve"> (</w:t>
            </w:r>
            <w:r w:rsidRPr="00176A13">
              <w:rPr>
                <w:rFonts w:cs="Arial"/>
                <w:sz w:val="18"/>
                <w:szCs w:val="18"/>
              </w:rPr>
              <w:t xml:space="preserve">e.g. CMM </w:t>
            </w:r>
            <w:hyperlink r:id="rId37" w:tgtFrame="_blank" w:history="1">
              <w:r w:rsidRPr="00176A13">
                <w:rPr>
                  <w:rFonts w:cs="Arial"/>
                  <w:sz w:val="18"/>
                  <w:szCs w:val="18"/>
                </w:rPr>
                <w:t>09-2017 </w:t>
              </w:r>
            </w:hyperlink>
            <w:r w:rsidR="00A93817" w:rsidRPr="00176A13">
              <w:rPr>
                <w:rFonts w:cs="Arial"/>
                <w:sz w:val="18"/>
                <w:szCs w:val="18"/>
              </w:rPr>
              <w:t xml:space="preserve">- </w:t>
            </w:r>
            <w:r w:rsidRPr="00176A13">
              <w:rPr>
                <w:rFonts w:cs="Arial"/>
                <w:i/>
                <w:sz w:val="18"/>
                <w:szCs w:val="18"/>
              </w:rPr>
              <w:t>Minimising Bycatch of Seabirds in the SPRFMO Convention Area</w:t>
            </w:r>
            <w:r w:rsidR="005F2814" w:rsidRPr="00176A13">
              <w:rPr>
                <w:rFonts w:cs="Arial"/>
                <w:sz w:val="18"/>
                <w:szCs w:val="18"/>
              </w:rPr>
              <w:t>)</w:t>
            </w:r>
            <w:r w:rsidRPr="00176A13">
              <w:rPr>
                <w:rFonts w:cs="Arial"/>
                <w:sz w:val="18"/>
                <w:szCs w:val="18"/>
              </w:rPr>
              <w:t>.</w:t>
            </w:r>
          </w:p>
        </w:tc>
      </w:tr>
    </w:tbl>
    <w:p w14:paraId="101975C3" w14:textId="17DB2A29" w:rsidR="002330E0" w:rsidRDefault="002330E0"/>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7"/>
        <w:gridCol w:w="10377"/>
      </w:tblGrid>
      <w:tr w:rsidR="00885298" w:rsidRPr="004649FA" w14:paraId="4C167BCF" w14:textId="77777777" w:rsidTr="002330E0">
        <w:trPr>
          <w:cantSplit/>
        </w:trPr>
        <w:tc>
          <w:tcPr>
            <w:tcW w:w="5000" w:type="pct"/>
            <w:gridSpan w:val="2"/>
            <w:shd w:val="clear" w:color="auto" w:fill="92CDDC"/>
          </w:tcPr>
          <w:p w14:paraId="5BAE62F0" w14:textId="30217F32" w:rsidR="00885298" w:rsidRPr="004649FA" w:rsidRDefault="00885298" w:rsidP="004719AA">
            <w:pPr>
              <w:autoSpaceDE w:val="0"/>
              <w:autoSpaceDN w:val="0"/>
              <w:adjustRightInd w:val="0"/>
              <w:spacing w:after="120" w:line="240" w:lineRule="auto"/>
              <w:rPr>
                <w:rFonts w:cs="Arial"/>
                <w:b/>
                <w:bCs/>
                <w:sz w:val="20"/>
                <w:szCs w:val="20"/>
              </w:rPr>
            </w:pPr>
            <w:r w:rsidRPr="004649FA">
              <w:rPr>
                <w:rFonts w:cs="Arial"/>
                <w:b/>
                <w:bCs/>
                <w:sz w:val="20"/>
                <w:szCs w:val="20"/>
              </w:rPr>
              <w:t xml:space="preserve">PRINCIPLE 1 - </w:t>
            </w:r>
            <w:r w:rsidRPr="004649FA">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4649FA">
              <w:rPr>
                <w:rFonts w:cs="Arial"/>
                <w:b/>
                <w:bCs/>
                <w:sz w:val="20"/>
                <w:szCs w:val="20"/>
              </w:rPr>
              <w:t xml:space="preserve">. </w:t>
            </w:r>
          </w:p>
        </w:tc>
      </w:tr>
      <w:tr w:rsidR="00885298" w:rsidRPr="004649FA" w14:paraId="1B4867E2" w14:textId="77777777" w:rsidTr="002330E0">
        <w:trPr>
          <w:cantSplit/>
        </w:trPr>
        <w:tc>
          <w:tcPr>
            <w:tcW w:w="5000" w:type="pct"/>
            <w:gridSpan w:val="2"/>
            <w:shd w:val="clear" w:color="auto" w:fill="B6DDE8"/>
          </w:tcPr>
          <w:p w14:paraId="1598A040" w14:textId="69315D55" w:rsidR="00885298" w:rsidRPr="004649FA" w:rsidRDefault="00885298" w:rsidP="004719AA">
            <w:pPr>
              <w:spacing w:after="120" w:line="240" w:lineRule="auto"/>
              <w:rPr>
                <w:rFonts w:cs="Arial"/>
                <w:b/>
                <w:bCs/>
                <w:sz w:val="20"/>
                <w:szCs w:val="20"/>
              </w:rPr>
            </w:pPr>
            <w:r w:rsidRPr="004649FA">
              <w:rPr>
                <w:rFonts w:cs="Arial"/>
                <w:b/>
                <w:bCs/>
                <w:sz w:val="20"/>
                <w:szCs w:val="20"/>
              </w:rPr>
              <w:t xml:space="preserve">Objective 1 - </w:t>
            </w:r>
            <w:r w:rsidRPr="004649FA">
              <w:rPr>
                <w:rFonts w:cs="Arial"/>
                <w:sz w:val="20"/>
                <w:szCs w:val="20"/>
              </w:rPr>
              <w:t>The fishery shall be conducted at catch levels that maintain ecologically viable stock levels at an agreed point or range, with ac</w:t>
            </w:r>
            <w:r w:rsidR="006B6EF9" w:rsidRPr="004649FA">
              <w:rPr>
                <w:rFonts w:cs="Arial"/>
                <w:sz w:val="20"/>
                <w:szCs w:val="20"/>
              </w:rPr>
              <w:t>ceptable levels of probability.</w:t>
            </w:r>
            <w:r w:rsidR="00B20E92" w:rsidRPr="004649FA">
              <w:rPr>
                <w:rFonts w:cs="Arial"/>
                <w:sz w:val="20"/>
                <w:szCs w:val="20"/>
              </w:rPr>
              <w:t xml:space="preserve"> (Guidelines 1.1.1 to 1.1.7 should be applied to </w:t>
            </w:r>
            <w:proofErr w:type="spellStart"/>
            <w:r w:rsidR="00B20E92" w:rsidRPr="004649FA">
              <w:rPr>
                <w:rFonts w:cs="Arial"/>
                <w:sz w:val="20"/>
                <w:szCs w:val="20"/>
              </w:rPr>
              <w:t>byproduct</w:t>
            </w:r>
            <w:proofErr w:type="spellEnd"/>
            <w:r w:rsidR="00B20E92" w:rsidRPr="004649FA">
              <w:rPr>
                <w:rFonts w:cs="Arial"/>
                <w:sz w:val="20"/>
                <w:szCs w:val="20"/>
              </w:rPr>
              <w:t xml:space="preserve"> species to an appropriate level)</w:t>
            </w:r>
          </w:p>
        </w:tc>
      </w:tr>
      <w:tr w:rsidR="00885298" w:rsidRPr="004649FA" w14:paraId="1CCDF312" w14:textId="77777777" w:rsidTr="002330E0">
        <w:trPr>
          <w:cantSplit/>
        </w:trPr>
        <w:tc>
          <w:tcPr>
            <w:tcW w:w="5000" w:type="pct"/>
            <w:gridSpan w:val="2"/>
            <w:shd w:val="clear" w:color="auto" w:fill="DAEEF3"/>
          </w:tcPr>
          <w:p w14:paraId="43C5F828" w14:textId="77777777" w:rsidR="00885298" w:rsidRPr="004649FA" w:rsidRDefault="00885298" w:rsidP="004719AA">
            <w:pPr>
              <w:spacing w:after="120" w:line="240" w:lineRule="auto"/>
              <w:rPr>
                <w:rFonts w:cs="Arial"/>
                <w:b/>
                <w:bCs/>
                <w:i/>
                <w:iCs/>
                <w:sz w:val="20"/>
                <w:szCs w:val="20"/>
              </w:rPr>
            </w:pPr>
            <w:r w:rsidRPr="004649FA">
              <w:rPr>
                <w:rFonts w:cs="Arial"/>
                <w:b/>
                <w:bCs/>
                <w:i/>
                <w:iCs/>
                <w:sz w:val="20"/>
                <w:szCs w:val="20"/>
              </w:rPr>
              <w:t xml:space="preserve">Information requirements </w:t>
            </w:r>
          </w:p>
        </w:tc>
      </w:tr>
      <w:tr w:rsidR="00885298" w:rsidRPr="004649FA" w14:paraId="40E94611" w14:textId="77777777" w:rsidTr="00924E19">
        <w:trPr>
          <w:cantSplit/>
        </w:trPr>
        <w:tc>
          <w:tcPr>
            <w:tcW w:w="1500" w:type="pct"/>
          </w:tcPr>
          <w:p w14:paraId="31C44E87" w14:textId="75968CB0" w:rsidR="004649FA" w:rsidRPr="004649FA" w:rsidRDefault="00885298" w:rsidP="004719AA">
            <w:pPr>
              <w:spacing w:after="120" w:line="240" w:lineRule="auto"/>
              <w:rPr>
                <w:rFonts w:cs="Arial"/>
                <w:sz w:val="18"/>
                <w:szCs w:val="18"/>
              </w:rPr>
            </w:pPr>
            <w:r w:rsidRPr="004649FA">
              <w:rPr>
                <w:rFonts w:cs="Arial"/>
                <w:b/>
                <w:bCs/>
                <w:i/>
                <w:iCs/>
                <w:sz w:val="18"/>
                <w:szCs w:val="18"/>
              </w:rPr>
              <w:t xml:space="preserve">1.1.1 </w:t>
            </w:r>
            <w:r w:rsidRPr="004649FA">
              <w:rPr>
                <w:rFonts w:cs="Arial"/>
                <w:sz w:val="18"/>
                <w:szCs w:val="18"/>
              </w:rPr>
              <w:t>There is a reliable information collection system in place appropriate to the scale of the fishery. The level of data collection should be based upon an appropriate mix of fishery independent and dep</w:t>
            </w:r>
            <w:r w:rsidR="006B6EF9" w:rsidRPr="004649FA">
              <w:rPr>
                <w:rFonts w:cs="Arial"/>
                <w:sz w:val="18"/>
                <w:szCs w:val="18"/>
              </w:rPr>
              <w:t>endent research and monitoring.</w:t>
            </w:r>
          </w:p>
        </w:tc>
        <w:tc>
          <w:tcPr>
            <w:tcW w:w="3500" w:type="pct"/>
            <w:shd w:val="clear" w:color="auto" w:fill="92D050"/>
          </w:tcPr>
          <w:p w14:paraId="0AC41674" w14:textId="3EB174BF" w:rsidR="00C35389" w:rsidRDefault="00F8472A">
            <w:pPr>
              <w:spacing w:after="0" w:line="240" w:lineRule="auto"/>
              <w:rPr>
                <w:rFonts w:cs="Arial"/>
                <w:sz w:val="18"/>
                <w:szCs w:val="18"/>
              </w:rPr>
            </w:pPr>
            <w:r w:rsidRPr="00924E19">
              <w:rPr>
                <w:rFonts w:cs="Arial"/>
                <w:b/>
                <w:sz w:val="18"/>
                <w:szCs w:val="18"/>
              </w:rPr>
              <w:t>Meets</w:t>
            </w:r>
          </w:p>
          <w:p w14:paraId="3ABD1B9A" w14:textId="78E789B0" w:rsidR="00BA5EF6" w:rsidRPr="00924E19" w:rsidRDefault="00BA5EF6">
            <w:pPr>
              <w:spacing w:after="120" w:line="240" w:lineRule="auto"/>
              <w:rPr>
                <w:rFonts w:cs="Arial"/>
                <w:sz w:val="18"/>
                <w:szCs w:val="18"/>
              </w:rPr>
            </w:pPr>
            <w:r w:rsidRPr="00924E19">
              <w:rPr>
                <w:rFonts w:cs="Arial"/>
                <w:sz w:val="18"/>
                <w:szCs w:val="18"/>
              </w:rPr>
              <w:t xml:space="preserve">Fishers are required to report all catch as well as any interactions with corals, sponges or </w:t>
            </w:r>
            <w:r w:rsidR="0052034A">
              <w:rPr>
                <w:rFonts w:cs="Arial"/>
                <w:sz w:val="18"/>
                <w:szCs w:val="18"/>
              </w:rPr>
              <w:t>threatened, endangered and protected species</w:t>
            </w:r>
            <w:r w:rsidRPr="00924E19">
              <w:rPr>
                <w:rFonts w:cs="Arial"/>
                <w:sz w:val="18"/>
                <w:szCs w:val="18"/>
              </w:rPr>
              <w:t xml:space="preserve"> using AFMA-approved logbooks. All retained catch must also be landed to a licensed fish receiver who verifies the weight and composition and reports to AFMA.</w:t>
            </w:r>
          </w:p>
          <w:p w14:paraId="6AA43ED2" w14:textId="68221381" w:rsidR="00BA5EF6" w:rsidRPr="00924E19" w:rsidRDefault="00BA5EF6">
            <w:pPr>
              <w:spacing w:after="120" w:line="240" w:lineRule="auto"/>
              <w:rPr>
                <w:rFonts w:cs="Arial"/>
                <w:sz w:val="18"/>
                <w:szCs w:val="18"/>
              </w:rPr>
            </w:pPr>
            <w:r w:rsidRPr="00924E19">
              <w:rPr>
                <w:rFonts w:cs="Arial"/>
                <w:sz w:val="18"/>
                <w:szCs w:val="18"/>
              </w:rPr>
              <w:t xml:space="preserve">Fishers must report to AFMA prior to departure and landing and this assists with monitoring and compliance activities. </w:t>
            </w:r>
          </w:p>
          <w:p w14:paraId="5FA0DD69" w14:textId="15D4BE7F" w:rsidR="00BA5EF6" w:rsidRPr="00924E19" w:rsidRDefault="00BA5EF6">
            <w:pPr>
              <w:spacing w:after="120" w:line="240" w:lineRule="auto"/>
              <w:rPr>
                <w:rFonts w:cs="Arial"/>
                <w:sz w:val="18"/>
                <w:szCs w:val="18"/>
              </w:rPr>
            </w:pPr>
            <w:r w:rsidRPr="00924E19">
              <w:rPr>
                <w:rFonts w:cs="Arial"/>
                <w:sz w:val="18"/>
                <w:szCs w:val="18"/>
              </w:rPr>
              <w:t>Fishers must also operate vessel monitoring systems at all times</w:t>
            </w:r>
            <w:r w:rsidR="003E3DA9" w:rsidRPr="00924E19">
              <w:rPr>
                <w:rFonts w:cs="Arial"/>
                <w:sz w:val="18"/>
                <w:szCs w:val="18"/>
              </w:rPr>
              <w:t xml:space="preserve"> and</w:t>
            </w:r>
            <w:r w:rsidRPr="00924E19">
              <w:rPr>
                <w:rFonts w:cs="Arial"/>
                <w:sz w:val="18"/>
                <w:szCs w:val="18"/>
              </w:rPr>
              <w:t xml:space="preserve"> carry an AFMA observer when requested</w:t>
            </w:r>
            <w:r w:rsidR="003E3DA9" w:rsidRPr="00924E19">
              <w:rPr>
                <w:rFonts w:cs="Arial"/>
                <w:sz w:val="18"/>
                <w:szCs w:val="18"/>
              </w:rPr>
              <w:t xml:space="preserve">, covering </w:t>
            </w:r>
            <w:r w:rsidR="00572F1E" w:rsidRPr="00924E19">
              <w:rPr>
                <w:rFonts w:cs="Arial"/>
                <w:sz w:val="18"/>
                <w:szCs w:val="18"/>
              </w:rPr>
              <w:t xml:space="preserve">all trawl </w:t>
            </w:r>
            <w:r w:rsidR="003E3DA9" w:rsidRPr="00924E19">
              <w:rPr>
                <w:rFonts w:cs="Arial"/>
                <w:sz w:val="18"/>
                <w:szCs w:val="18"/>
              </w:rPr>
              <w:t xml:space="preserve">fishing trips, </w:t>
            </w:r>
            <w:r w:rsidR="00572F1E" w:rsidRPr="00924E19">
              <w:rPr>
                <w:rFonts w:cs="Arial"/>
                <w:sz w:val="18"/>
                <w:szCs w:val="18"/>
              </w:rPr>
              <w:t xml:space="preserve">and </w:t>
            </w:r>
            <w:r w:rsidRPr="00924E19">
              <w:rPr>
                <w:rFonts w:cs="Arial"/>
                <w:sz w:val="18"/>
                <w:szCs w:val="18"/>
              </w:rPr>
              <w:t xml:space="preserve">at least </w:t>
            </w:r>
            <w:r w:rsidR="00572F1E" w:rsidRPr="00924E19">
              <w:rPr>
                <w:rFonts w:cs="Arial"/>
                <w:sz w:val="18"/>
                <w:szCs w:val="18"/>
              </w:rPr>
              <w:t xml:space="preserve">10 per cent </w:t>
            </w:r>
            <w:r w:rsidR="003E3DA9" w:rsidRPr="00924E19">
              <w:rPr>
                <w:rFonts w:cs="Arial"/>
                <w:sz w:val="18"/>
                <w:szCs w:val="18"/>
              </w:rPr>
              <w:t>(</w:t>
            </w:r>
            <w:r w:rsidR="00572F1E" w:rsidRPr="00924E19">
              <w:rPr>
                <w:rFonts w:cs="Arial"/>
                <w:sz w:val="18"/>
                <w:szCs w:val="18"/>
              </w:rPr>
              <w:t>per vessel</w:t>
            </w:r>
            <w:r w:rsidR="003E3DA9" w:rsidRPr="00924E19">
              <w:rPr>
                <w:rFonts w:cs="Arial"/>
                <w:sz w:val="18"/>
                <w:szCs w:val="18"/>
              </w:rPr>
              <w:t>),</w:t>
            </w:r>
            <w:r w:rsidR="00572F1E" w:rsidRPr="00924E19">
              <w:rPr>
                <w:rFonts w:cs="Arial"/>
                <w:sz w:val="18"/>
                <w:szCs w:val="18"/>
              </w:rPr>
              <w:t xml:space="preserve"> o</w:t>
            </w:r>
            <w:r w:rsidR="003E3DA9" w:rsidRPr="00924E19">
              <w:rPr>
                <w:rFonts w:cs="Arial"/>
                <w:sz w:val="18"/>
                <w:szCs w:val="18"/>
              </w:rPr>
              <w:t>f</w:t>
            </w:r>
            <w:r w:rsidR="00572F1E" w:rsidRPr="00924E19">
              <w:rPr>
                <w:rFonts w:cs="Arial"/>
                <w:sz w:val="18"/>
                <w:szCs w:val="18"/>
              </w:rPr>
              <w:t xml:space="preserve"> all</w:t>
            </w:r>
            <w:r w:rsidRPr="00924E19">
              <w:rPr>
                <w:rFonts w:cs="Arial"/>
                <w:sz w:val="18"/>
                <w:szCs w:val="18"/>
              </w:rPr>
              <w:t xml:space="preserve"> </w:t>
            </w:r>
            <w:r w:rsidR="00572F1E" w:rsidRPr="00924E19">
              <w:rPr>
                <w:rFonts w:cs="Arial"/>
                <w:sz w:val="18"/>
                <w:szCs w:val="18"/>
              </w:rPr>
              <w:t xml:space="preserve">non-trawl </w:t>
            </w:r>
            <w:r w:rsidR="003E3DA9" w:rsidRPr="00924E19">
              <w:rPr>
                <w:rFonts w:cs="Arial"/>
                <w:sz w:val="18"/>
                <w:szCs w:val="18"/>
              </w:rPr>
              <w:t>fishing trips</w:t>
            </w:r>
            <w:r w:rsidR="00572F1E" w:rsidRPr="00924E19">
              <w:rPr>
                <w:rFonts w:cs="Arial"/>
                <w:sz w:val="18"/>
                <w:szCs w:val="18"/>
              </w:rPr>
              <w:t>.</w:t>
            </w:r>
          </w:p>
          <w:p w14:paraId="5F6F788A" w14:textId="191CAF2E" w:rsidR="009313D9" w:rsidRPr="00924E19" w:rsidRDefault="009313D9" w:rsidP="004263AE">
            <w:pPr>
              <w:pStyle w:val="BodyText1"/>
              <w:spacing w:line="240" w:lineRule="auto"/>
              <w:jc w:val="left"/>
              <w:rPr>
                <w:rFonts w:cs="Arial"/>
                <w:sz w:val="18"/>
                <w:szCs w:val="18"/>
              </w:rPr>
            </w:pPr>
            <w:r w:rsidRPr="00924E19">
              <w:rPr>
                <w:rFonts w:cs="Arial"/>
                <w:sz w:val="18"/>
                <w:szCs w:val="18"/>
              </w:rPr>
              <w:t>Observers collect</w:t>
            </w:r>
            <w:r w:rsidR="009B730E" w:rsidRPr="00924E19">
              <w:rPr>
                <w:rFonts w:cs="Arial"/>
                <w:sz w:val="18"/>
                <w:szCs w:val="18"/>
              </w:rPr>
              <w:t xml:space="preserve"> a range of biological, environmental and operational information. This includes</w:t>
            </w:r>
            <w:r w:rsidRPr="00924E19">
              <w:rPr>
                <w:rFonts w:cs="Arial"/>
                <w:sz w:val="18"/>
                <w:szCs w:val="18"/>
              </w:rPr>
              <w:t>:</w:t>
            </w:r>
            <w:r w:rsidR="00AA4237" w:rsidRPr="00924E19">
              <w:rPr>
                <w:rFonts w:cs="Arial"/>
                <w:sz w:val="18"/>
                <w:szCs w:val="18"/>
              </w:rPr>
              <w:t xml:space="preserve"> </w:t>
            </w:r>
            <w:r w:rsidRPr="00924E19">
              <w:rPr>
                <w:rFonts w:cs="Arial"/>
                <w:sz w:val="18"/>
                <w:szCs w:val="18"/>
              </w:rPr>
              <w:t>information on catch composition (weight of retained and discarded species)</w:t>
            </w:r>
            <w:r w:rsidR="00AA4237" w:rsidRPr="00924E19">
              <w:rPr>
                <w:rFonts w:cs="Arial"/>
                <w:sz w:val="18"/>
                <w:szCs w:val="18"/>
              </w:rPr>
              <w:t xml:space="preserve"> and</w:t>
            </w:r>
            <w:r w:rsidRPr="00924E19">
              <w:rPr>
                <w:rFonts w:cs="Arial"/>
                <w:sz w:val="18"/>
                <w:szCs w:val="18"/>
              </w:rPr>
              <w:t xml:space="preserve"> length frequencies and otoliths from certain target species</w:t>
            </w:r>
            <w:r w:rsidR="00AA4237" w:rsidRPr="00924E19">
              <w:rPr>
                <w:rFonts w:cs="Arial"/>
                <w:sz w:val="18"/>
                <w:szCs w:val="18"/>
              </w:rPr>
              <w:t>;</w:t>
            </w:r>
            <w:r w:rsidRPr="00924E19">
              <w:rPr>
                <w:rFonts w:cs="Arial"/>
                <w:sz w:val="18"/>
                <w:szCs w:val="18"/>
              </w:rPr>
              <w:t xml:space="preserve"> information on wildlife abundance, protected species interactions</w:t>
            </w:r>
            <w:r w:rsidR="009B730E" w:rsidRPr="00924E19">
              <w:rPr>
                <w:rFonts w:cs="Arial"/>
                <w:sz w:val="18"/>
                <w:szCs w:val="18"/>
              </w:rPr>
              <w:t>,</w:t>
            </w:r>
            <w:r w:rsidRPr="00924E19">
              <w:rPr>
                <w:rFonts w:cs="Arial"/>
                <w:sz w:val="18"/>
                <w:szCs w:val="18"/>
              </w:rPr>
              <w:t xml:space="preserve"> and mitigation measures being used to prevent </w:t>
            </w:r>
            <w:r w:rsidR="009B730E" w:rsidRPr="00924E19">
              <w:rPr>
                <w:rFonts w:cs="Arial"/>
                <w:sz w:val="18"/>
                <w:szCs w:val="18"/>
              </w:rPr>
              <w:t xml:space="preserve">interactions; </w:t>
            </w:r>
            <w:r w:rsidRPr="00924E19">
              <w:rPr>
                <w:rFonts w:cs="Arial"/>
                <w:sz w:val="18"/>
                <w:szCs w:val="18"/>
              </w:rPr>
              <w:t>observations</w:t>
            </w:r>
            <w:r w:rsidR="009B730E" w:rsidRPr="00924E19">
              <w:rPr>
                <w:rFonts w:cs="Arial"/>
                <w:sz w:val="18"/>
                <w:szCs w:val="18"/>
              </w:rPr>
              <w:t xml:space="preserve"> of </w:t>
            </w:r>
            <w:r w:rsidRPr="00924E19">
              <w:rPr>
                <w:rFonts w:cs="Arial"/>
                <w:sz w:val="18"/>
                <w:szCs w:val="18"/>
              </w:rPr>
              <w:t>marine pollution</w:t>
            </w:r>
            <w:r w:rsidR="009B730E" w:rsidRPr="00924E19">
              <w:rPr>
                <w:rFonts w:cs="Arial"/>
                <w:sz w:val="18"/>
                <w:szCs w:val="18"/>
              </w:rPr>
              <w:t xml:space="preserve"> and </w:t>
            </w:r>
            <w:r w:rsidRPr="00924E19">
              <w:rPr>
                <w:rFonts w:cs="Arial"/>
                <w:sz w:val="18"/>
                <w:szCs w:val="18"/>
              </w:rPr>
              <w:t>lost fishing gear</w:t>
            </w:r>
            <w:r w:rsidR="00AA4237" w:rsidRPr="00924E19">
              <w:rPr>
                <w:rFonts w:cs="Arial"/>
                <w:sz w:val="18"/>
                <w:szCs w:val="18"/>
              </w:rPr>
              <w:t xml:space="preserve">; </w:t>
            </w:r>
            <w:r w:rsidR="009B730E" w:rsidRPr="00924E19">
              <w:rPr>
                <w:rFonts w:cs="Arial"/>
                <w:sz w:val="18"/>
                <w:szCs w:val="18"/>
              </w:rPr>
              <w:t>v</w:t>
            </w:r>
            <w:r w:rsidRPr="00924E19">
              <w:rPr>
                <w:rFonts w:cs="Arial"/>
                <w:sz w:val="18"/>
                <w:szCs w:val="18"/>
              </w:rPr>
              <w:t>essel and gear details</w:t>
            </w:r>
            <w:r w:rsidR="009B730E" w:rsidRPr="00924E19">
              <w:rPr>
                <w:rFonts w:cs="Arial"/>
                <w:sz w:val="18"/>
                <w:szCs w:val="18"/>
              </w:rPr>
              <w:t xml:space="preserve"> and </w:t>
            </w:r>
            <w:r w:rsidRPr="00924E19">
              <w:rPr>
                <w:rFonts w:cs="Arial"/>
                <w:sz w:val="18"/>
                <w:szCs w:val="18"/>
              </w:rPr>
              <w:t xml:space="preserve">information </w:t>
            </w:r>
            <w:r w:rsidR="009B730E" w:rsidRPr="00924E19">
              <w:rPr>
                <w:rFonts w:cs="Arial"/>
                <w:sz w:val="18"/>
                <w:szCs w:val="18"/>
              </w:rPr>
              <w:t xml:space="preserve">on fishing effort </w:t>
            </w:r>
            <w:r w:rsidRPr="00924E19">
              <w:rPr>
                <w:rFonts w:cs="Arial"/>
                <w:sz w:val="18"/>
                <w:szCs w:val="18"/>
              </w:rPr>
              <w:t>(i.e. number of shots, number of hooks)</w:t>
            </w:r>
            <w:r w:rsidR="009B730E" w:rsidRPr="00924E19">
              <w:rPr>
                <w:rFonts w:cs="Arial"/>
                <w:sz w:val="18"/>
                <w:szCs w:val="18"/>
              </w:rPr>
              <w:t>.</w:t>
            </w:r>
          </w:p>
          <w:p w14:paraId="4D7948C3" w14:textId="43F1C56D" w:rsidR="009313D9" w:rsidRPr="00924E19" w:rsidRDefault="009313D9">
            <w:pPr>
              <w:spacing w:after="120" w:line="240" w:lineRule="auto"/>
              <w:rPr>
                <w:rFonts w:cs="Arial"/>
                <w:sz w:val="18"/>
                <w:szCs w:val="18"/>
              </w:rPr>
            </w:pPr>
            <w:r w:rsidRPr="00924E19">
              <w:rPr>
                <w:rFonts w:eastAsia="Times New Roman" w:cs="Arial"/>
                <w:sz w:val="18"/>
                <w:szCs w:val="18"/>
              </w:rPr>
              <w:t xml:space="preserve">Conservation and Management Measure </w:t>
            </w:r>
            <w:r w:rsidR="009B730E" w:rsidRPr="00924E19">
              <w:rPr>
                <w:rFonts w:eastAsia="Times New Roman" w:cs="Arial"/>
                <w:sz w:val="18"/>
                <w:szCs w:val="18"/>
              </w:rPr>
              <w:t>establish data standards for the whole of the SPRFMO and SIOFA areas, these include c</w:t>
            </w:r>
            <w:r w:rsidRPr="00924E19">
              <w:rPr>
                <w:rFonts w:eastAsia="Times New Roman" w:cs="Arial"/>
                <w:sz w:val="18"/>
                <w:szCs w:val="18"/>
              </w:rPr>
              <w:t xml:space="preserve">ollection, </w:t>
            </w:r>
            <w:r w:rsidR="009B730E" w:rsidRPr="00924E19">
              <w:rPr>
                <w:rFonts w:eastAsia="Times New Roman" w:cs="Arial"/>
                <w:sz w:val="18"/>
                <w:szCs w:val="18"/>
              </w:rPr>
              <w:t>r</w:t>
            </w:r>
            <w:r w:rsidRPr="00924E19">
              <w:rPr>
                <w:rFonts w:eastAsia="Times New Roman" w:cs="Arial"/>
                <w:sz w:val="18"/>
                <w:szCs w:val="18"/>
              </w:rPr>
              <w:t xml:space="preserve">eporting, </w:t>
            </w:r>
            <w:r w:rsidR="009B730E" w:rsidRPr="00924E19">
              <w:rPr>
                <w:rFonts w:eastAsia="Times New Roman" w:cs="Arial"/>
                <w:sz w:val="18"/>
                <w:szCs w:val="18"/>
              </w:rPr>
              <w:t>v</w:t>
            </w:r>
            <w:r w:rsidRPr="00924E19">
              <w:rPr>
                <w:rFonts w:eastAsia="Times New Roman" w:cs="Arial"/>
                <w:sz w:val="18"/>
                <w:szCs w:val="18"/>
              </w:rPr>
              <w:t xml:space="preserve">erification and </w:t>
            </w:r>
            <w:r w:rsidR="009B730E" w:rsidRPr="00924E19">
              <w:rPr>
                <w:rFonts w:eastAsia="Times New Roman" w:cs="Arial"/>
                <w:sz w:val="18"/>
                <w:szCs w:val="18"/>
              </w:rPr>
              <w:t xml:space="preserve">data exchange requirements. Details of these requirements are outlined for SPRFMO at </w:t>
            </w:r>
            <w:hyperlink r:id="rId38" w:history="1">
              <w:r w:rsidRPr="00924E19">
                <w:rPr>
                  <w:rStyle w:val="Hyperlink"/>
                  <w:rFonts w:cs="Arial"/>
                  <w:sz w:val="18"/>
                  <w:szCs w:val="18"/>
                </w:rPr>
                <w:t>https://www.sprfmo.int/assets/Fisheries/Conservation-and-Management-Measures/CMM-02-2017-Data-Standards-27Feb17.pdf</w:t>
              </w:r>
            </w:hyperlink>
            <w:r w:rsidRPr="00924E19">
              <w:rPr>
                <w:rFonts w:eastAsia="Times New Roman" w:cs="Arial"/>
                <w:sz w:val="18"/>
                <w:szCs w:val="18"/>
              </w:rPr>
              <w:t xml:space="preserve"> and </w:t>
            </w:r>
            <w:r w:rsidR="009B730E" w:rsidRPr="00924E19">
              <w:rPr>
                <w:rFonts w:eastAsia="Times New Roman" w:cs="Arial"/>
                <w:sz w:val="18"/>
                <w:szCs w:val="18"/>
              </w:rPr>
              <w:t xml:space="preserve">for </w:t>
            </w:r>
            <w:r w:rsidRPr="00924E19">
              <w:rPr>
                <w:rFonts w:eastAsia="Times New Roman" w:cs="Arial"/>
                <w:sz w:val="18"/>
                <w:szCs w:val="18"/>
              </w:rPr>
              <w:t xml:space="preserve">SIOFA at </w:t>
            </w:r>
            <w:hyperlink r:id="rId39" w:history="1">
              <w:r w:rsidRPr="00924E19">
                <w:rPr>
                  <w:rStyle w:val="Hyperlink"/>
                  <w:rFonts w:cs="Arial"/>
                  <w:sz w:val="18"/>
                  <w:szCs w:val="18"/>
                </w:rPr>
                <w:t>http://www.siofa.org/node/52</w:t>
              </w:r>
            </w:hyperlink>
            <w:r w:rsidRPr="00924E19">
              <w:rPr>
                <w:rFonts w:eastAsia="Times New Roman" w:cs="Arial"/>
                <w:sz w:val="18"/>
                <w:szCs w:val="18"/>
              </w:rPr>
              <w:t>.</w:t>
            </w:r>
          </w:p>
        </w:tc>
      </w:tr>
      <w:tr w:rsidR="00885298" w:rsidRPr="004649FA" w14:paraId="24E6F4E0" w14:textId="77777777" w:rsidTr="002330E0">
        <w:trPr>
          <w:cantSplit/>
        </w:trPr>
        <w:tc>
          <w:tcPr>
            <w:tcW w:w="5000" w:type="pct"/>
            <w:gridSpan w:val="2"/>
            <w:shd w:val="clear" w:color="auto" w:fill="DAEEF3"/>
          </w:tcPr>
          <w:p w14:paraId="5031E339" w14:textId="3A0B0011" w:rsidR="00885298" w:rsidRPr="004649FA" w:rsidRDefault="00885298" w:rsidP="004719AA">
            <w:pPr>
              <w:spacing w:after="120" w:line="240" w:lineRule="auto"/>
              <w:rPr>
                <w:rFonts w:cs="Arial"/>
                <w:b/>
                <w:bCs/>
                <w:i/>
                <w:iCs/>
                <w:sz w:val="20"/>
                <w:szCs w:val="20"/>
              </w:rPr>
            </w:pPr>
            <w:r w:rsidRPr="004649FA">
              <w:rPr>
                <w:rFonts w:cs="Arial"/>
                <w:b/>
                <w:bCs/>
                <w:i/>
                <w:iCs/>
                <w:sz w:val="20"/>
                <w:szCs w:val="20"/>
              </w:rPr>
              <w:t xml:space="preserve">Assessment </w:t>
            </w:r>
          </w:p>
        </w:tc>
      </w:tr>
      <w:tr w:rsidR="00885298" w:rsidRPr="004649FA" w14:paraId="4FB3EA8F" w14:textId="77777777" w:rsidTr="00924E19">
        <w:trPr>
          <w:cantSplit/>
        </w:trPr>
        <w:tc>
          <w:tcPr>
            <w:tcW w:w="1500" w:type="pct"/>
          </w:tcPr>
          <w:p w14:paraId="619918D7" w14:textId="641FA70D" w:rsidR="004649FA" w:rsidRPr="004649FA" w:rsidRDefault="00885298" w:rsidP="004719AA">
            <w:pPr>
              <w:spacing w:after="120" w:line="240" w:lineRule="auto"/>
              <w:rPr>
                <w:rFonts w:cs="Arial"/>
                <w:sz w:val="18"/>
                <w:szCs w:val="18"/>
              </w:rPr>
            </w:pPr>
            <w:r w:rsidRPr="004649FA">
              <w:rPr>
                <w:rFonts w:cs="Arial"/>
                <w:b/>
                <w:bCs/>
                <w:i/>
                <w:iCs/>
                <w:sz w:val="18"/>
                <w:szCs w:val="18"/>
              </w:rPr>
              <w:lastRenderedPageBreak/>
              <w:t xml:space="preserve">1.1.2 </w:t>
            </w:r>
            <w:r w:rsidRPr="004649FA">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4649FA">
              <w:rPr>
                <w:rFonts w:cs="Arial"/>
                <w:sz w:val="18"/>
                <w:szCs w:val="18"/>
              </w:rPr>
              <w:t xml:space="preserve"> but at least every three years.</w:t>
            </w:r>
          </w:p>
        </w:tc>
        <w:tc>
          <w:tcPr>
            <w:tcW w:w="3500" w:type="pct"/>
            <w:shd w:val="clear" w:color="auto" w:fill="FF0000"/>
          </w:tcPr>
          <w:p w14:paraId="37AA215A" w14:textId="4A6205C6" w:rsidR="00C35389" w:rsidRDefault="00F8472A" w:rsidP="00CC1C87">
            <w:pPr>
              <w:spacing w:after="0" w:line="240" w:lineRule="auto"/>
              <w:rPr>
                <w:rFonts w:cs="Arial"/>
                <w:sz w:val="18"/>
                <w:szCs w:val="18"/>
              </w:rPr>
            </w:pPr>
            <w:r w:rsidRPr="00924E19">
              <w:rPr>
                <w:rFonts w:cs="Arial"/>
                <w:b/>
                <w:sz w:val="18"/>
                <w:szCs w:val="18"/>
              </w:rPr>
              <w:t>Does not meet</w:t>
            </w:r>
          </w:p>
          <w:p w14:paraId="31826884" w14:textId="2D8450C7" w:rsidR="00885298" w:rsidRPr="00924E19" w:rsidRDefault="002B5843" w:rsidP="004719AA">
            <w:pPr>
              <w:spacing w:after="120" w:line="240" w:lineRule="auto"/>
              <w:rPr>
                <w:rFonts w:cs="Arial"/>
                <w:sz w:val="18"/>
                <w:szCs w:val="18"/>
              </w:rPr>
            </w:pPr>
            <w:r>
              <w:rPr>
                <w:rFonts w:cs="Arial"/>
                <w:sz w:val="18"/>
                <w:szCs w:val="18"/>
              </w:rPr>
              <w:t>T</w:t>
            </w:r>
            <w:r w:rsidR="008B6D03" w:rsidRPr="00924E19">
              <w:rPr>
                <w:rFonts w:cs="Arial"/>
                <w:sz w:val="18"/>
                <w:szCs w:val="18"/>
              </w:rPr>
              <w:t xml:space="preserve">here is little information available on the dynamics and status of species in the fishery and </w:t>
            </w:r>
            <w:r w:rsidR="0010448B" w:rsidRPr="00924E19">
              <w:rPr>
                <w:rFonts w:cs="Arial"/>
                <w:sz w:val="18"/>
                <w:szCs w:val="18"/>
              </w:rPr>
              <w:t>no formal review o</w:t>
            </w:r>
            <w:r w:rsidR="008B6D03" w:rsidRPr="00924E19">
              <w:rPr>
                <w:rFonts w:cs="Arial"/>
                <w:sz w:val="18"/>
                <w:szCs w:val="18"/>
              </w:rPr>
              <w:t>f the process</w:t>
            </w:r>
            <w:r w:rsidR="0010448B" w:rsidRPr="00924E19">
              <w:rPr>
                <w:rFonts w:cs="Arial"/>
                <w:sz w:val="18"/>
                <w:szCs w:val="18"/>
              </w:rPr>
              <w:t>es</w:t>
            </w:r>
            <w:r w:rsidR="008B6D03" w:rsidRPr="00924E19">
              <w:rPr>
                <w:rFonts w:cs="Arial"/>
                <w:sz w:val="18"/>
                <w:szCs w:val="18"/>
              </w:rPr>
              <w:t xml:space="preserve"> and data collected.</w:t>
            </w:r>
            <w:r w:rsidR="00F02ABE" w:rsidRPr="00924E19">
              <w:rPr>
                <w:rFonts w:cs="Arial"/>
                <w:sz w:val="18"/>
                <w:szCs w:val="18"/>
              </w:rPr>
              <w:t xml:space="preserve"> Notwithstanding, only a small proportion of the total assumed habitat area for the target species has been fished by Australian vessels and none of the stocks targeted by Australia’s high-seas fishing operations have been classified as overfished or subject to overfishing (</w:t>
            </w:r>
            <w:proofErr w:type="spellStart"/>
            <w:r w:rsidR="003B7E92">
              <w:fldChar w:fldCharType="begin"/>
            </w:r>
            <w:r w:rsidR="003B7E92">
              <w:instrText xml:space="preserve"> HYPERLINK "http://www.afma.gov.au/wp-content/uploads/2014/02/High-Seas-Sustainabilty-Assessment-2012.pdf" </w:instrText>
            </w:r>
            <w:r w:rsidR="003B7E92">
              <w:fldChar w:fldCharType="separate"/>
            </w:r>
            <w:r w:rsidR="00F02ABE" w:rsidRPr="00924E19">
              <w:rPr>
                <w:rStyle w:val="Hyperlink"/>
                <w:rFonts w:cs="Arial"/>
                <w:sz w:val="18"/>
                <w:szCs w:val="18"/>
              </w:rPr>
              <w:t>Woodhams</w:t>
            </w:r>
            <w:proofErr w:type="spellEnd"/>
            <w:r w:rsidR="00F02ABE" w:rsidRPr="00924E19">
              <w:rPr>
                <w:rStyle w:val="Hyperlink"/>
                <w:rFonts w:cs="Arial"/>
                <w:sz w:val="18"/>
                <w:szCs w:val="18"/>
              </w:rPr>
              <w:t xml:space="preserve"> et al. 2012)</w:t>
            </w:r>
            <w:r w:rsidR="003B7E92">
              <w:rPr>
                <w:rStyle w:val="Hyperlink"/>
                <w:rFonts w:cs="Arial"/>
                <w:sz w:val="18"/>
                <w:szCs w:val="18"/>
              </w:rPr>
              <w:fldChar w:fldCharType="end"/>
            </w:r>
            <w:r w:rsidR="00F02ABE" w:rsidRPr="00924E19">
              <w:rPr>
                <w:rFonts w:cs="Arial"/>
                <w:sz w:val="18"/>
                <w:szCs w:val="18"/>
              </w:rPr>
              <w:t>.</w:t>
            </w:r>
          </w:p>
          <w:p w14:paraId="58CE7788" w14:textId="7BE9D523" w:rsidR="0010448B" w:rsidRPr="00924E19" w:rsidRDefault="0010448B" w:rsidP="004719AA">
            <w:pPr>
              <w:spacing w:after="120" w:line="240" w:lineRule="auto"/>
              <w:rPr>
                <w:rFonts w:cs="Arial"/>
                <w:sz w:val="18"/>
                <w:szCs w:val="18"/>
              </w:rPr>
            </w:pPr>
            <w:r w:rsidRPr="00924E19">
              <w:rPr>
                <w:rFonts w:cs="Arial"/>
                <w:sz w:val="18"/>
                <w:szCs w:val="18"/>
              </w:rPr>
              <w:t>AFMA provides monthly catch summaries to SPRFMO but there is no process to guide any assessment or response to this data.</w:t>
            </w:r>
          </w:p>
          <w:p w14:paraId="62B62E96" w14:textId="17BFF2E8" w:rsidR="008B6D03" w:rsidRPr="00924E19" w:rsidRDefault="008B6D03" w:rsidP="004719AA">
            <w:pPr>
              <w:spacing w:after="120" w:line="240" w:lineRule="auto"/>
              <w:rPr>
                <w:rFonts w:cs="Arial"/>
                <w:sz w:val="18"/>
                <w:szCs w:val="18"/>
              </w:rPr>
            </w:pPr>
            <w:r w:rsidRPr="00924E19">
              <w:rPr>
                <w:rFonts w:cs="Arial"/>
                <w:sz w:val="18"/>
                <w:szCs w:val="18"/>
              </w:rPr>
              <w:t xml:space="preserve">Orange </w:t>
            </w:r>
            <w:proofErr w:type="spellStart"/>
            <w:r w:rsidR="003670E2">
              <w:rPr>
                <w:rFonts w:cs="Arial"/>
                <w:sz w:val="18"/>
                <w:szCs w:val="18"/>
              </w:rPr>
              <w:t>R</w:t>
            </w:r>
            <w:r w:rsidRPr="00924E19">
              <w:rPr>
                <w:rFonts w:cs="Arial"/>
                <w:sz w:val="18"/>
                <w:szCs w:val="18"/>
              </w:rPr>
              <w:t>oughy</w:t>
            </w:r>
            <w:proofErr w:type="spellEnd"/>
            <w:r w:rsidRPr="00924E19">
              <w:rPr>
                <w:rFonts w:cs="Arial"/>
                <w:sz w:val="18"/>
                <w:szCs w:val="18"/>
              </w:rPr>
              <w:t xml:space="preserve"> (</w:t>
            </w:r>
            <w:proofErr w:type="spellStart"/>
            <w:r w:rsidRPr="00924E19">
              <w:rPr>
                <w:rFonts w:cs="Arial"/>
                <w:i/>
                <w:iCs/>
                <w:sz w:val="18"/>
                <w:szCs w:val="18"/>
              </w:rPr>
              <w:t>Hoplostethus</w:t>
            </w:r>
            <w:proofErr w:type="spellEnd"/>
            <w:r w:rsidRPr="00924E19">
              <w:rPr>
                <w:rFonts w:cs="Arial"/>
                <w:i/>
                <w:iCs/>
                <w:sz w:val="18"/>
                <w:szCs w:val="18"/>
              </w:rPr>
              <w:t xml:space="preserve"> </w:t>
            </w:r>
            <w:proofErr w:type="spellStart"/>
            <w:r w:rsidRPr="00924E19">
              <w:rPr>
                <w:rFonts w:cs="Arial"/>
                <w:i/>
                <w:iCs/>
                <w:sz w:val="18"/>
                <w:szCs w:val="18"/>
              </w:rPr>
              <w:t>atlanticus</w:t>
            </w:r>
            <w:proofErr w:type="spellEnd"/>
            <w:r w:rsidRPr="00924E19">
              <w:rPr>
                <w:rFonts w:cs="Arial"/>
                <w:sz w:val="18"/>
                <w:szCs w:val="18"/>
              </w:rPr>
              <w:t xml:space="preserve">) in the South Tasman Rise area was last surveyed in 2002 (16 years ago) </w:t>
            </w:r>
            <w:r w:rsidR="00922743" w:rsidRPr="00924E19">
              <w:rPr>
                <w:rFonts w:cs="Arial"/>
                <w:sz w:val="18"/>
                <w:szCs w:val="18"/>
              </w:rPr>
              <w:t xml:space="preserve">and </w:t>
            </w:r>
            <w:r w:rsidRPr="00924E19">
              <w:rPr>
                <w:rFonts w:cs="Arial"/>
                <w:sz w:val="18"/>
                <w:szCs w:val="18"/>
              </w:rPr>
              <w:t xml:space="preserve">is </w:t>
            </w:r>
            <w:r w:rsidR="007824EB">
              <w:rPr>
                <w:rFonts w:cs="Arial"/>
                <w:sz w:val="18"/>
                <w:szCs w:val="18"/>
              </w:rPr>
              <w:t xml:space="preserve">still </w:t>
            </w:r>
            <w:r w:rsidRPr="00924E19">
              <w:rPr>
                <w:rFonts w:cs="Arial"/>
                <w:sz w:val="18"/>
                <w:szCs w:val="18"/>
              </w:rPr>
              <w:t>classified as overfished. The fishery in the South Tasman Rise is closed so the stock in that area is not considered subject to overfishing (</w:t>
            </w:r>
            <w:hyperlink r:id="rId40" w:history="1">
              <w:r w:rsidRPr="00924E19">
                <w:rPr>
                  <w:rStyle w:val="Hyperlink"/>
                  <w:rFonts w:cs="Arial"/>
                  <w:sz w:val="18"/>
                  <w:szCs w:val="18"/>
                </w:rPr>
                <w:t>Patterson et al 2017</w:t>
              </w:r>
            </w:hyperlink>
            <w:r w:rsidRPr="00924E19">
              <w:rPr>
                <w:rFonts w:cs="Arial"/>
                <w:sz w:val="18"/>
                <w:szCs w:val="18"/>
              </w:rPr>
              <w:t xml:space="preserve">). </w:t>
            </w:r>
          </w:p>
          <w:p w14:paraId="2923FB15" w14:textId="77777777" w:rsidR="0010448B" w:rsidRPr="00924E19" w:rsidRDefault="008B6D03" w:rsidP="00F02ABE">
            <w:pPr>
              <w:spacing w:after="120" w:line="240" w:lineRule="auto"/>
              <w:rPr>
                <w:rFonts w:cs="Arial"/>
                <w:sz w:val="18"/>
                <w:szCs w:val="18"/>
              </w:rPr>
            </w:pPr>
            <w:r w:rsidRPr="00924E19">
              <w:rPr>
                <w:rFonts w:cs="Arial"/>
                <w:sz w:val="18"/>
                <w:szCs w:val="18"/>
              </w:rPr>
              <w:t>There is insufficient catch data, stock assessments or stock structure information to determine the status of any other demersal stocks caught</w:t>
            </w:r>
            <w:r w:rsidR="00F02ABE" w:rsidRPr="00924E19">
              <w:rPr>
                <w:rFonts w:cs="Arial"/>
                <w:sz w:val="18"/>
                <w:szCs w:val="18"/>
              </w:rPr>
              <w:t xml:space="preserve"> in the SPRFMO and SIOFA areas.</w:t>
            </w:r>
          </w:p>
          <w:p w14:paraId="5ECF3F15" w14:textId="4E596FA8" w:rsidR="005266CC" w:rsidRPr="00924E19" w:rsidRDefault="005266CC" w:rsidP="00A03C48">
            <w:pPr>
              <w:spacing w:after="120" w:line="240" w:lineRule="auto"/>
              <w:rPr>
                <w:rFonts w:cs="Arial"/>
                <w:sz w:val="18"/>
                <w:szCs w:val="18"/>
              </w:rPr>
            </w:pPr>
            <w:r w:rsidRPr="00924E19">
              <w:rPr>
                <w:rFonts w:cs="Arial"/>
                <w:sz w:val="18"/>
                <w:szCs w:val="18"/>
              </w:rPr>
              <w:t xml:space="preserve">Australia and New Zealand </w:t>
            </w:r>
            <w:r w:rsidRPr="00782776">
              <w:rPr>
                <w:rFonts w:cs="Arial"/>
                <w:sz w:val="18"/>
                <w:szCs w:val="18"/>
              </w:rPr>
              <w:t>are</w:t>
            </w:r>
            <w:r w:rsidR="002F231C" w:rsidRPr="00782776">
              <w:rPr>
                <w:rFonts w:cs="Arial"/>
                <w:sz w:val="18"/>
                <w:szCs w:val="18"/>
              </w:rPr>
              <w:t xml:space="preserve"> </w:t>
            </w:r>
            <w:r w:rsidR="00B226B5" w:rsidRPr="00924E19">
              <w:rPr>
                <w:rFonts w:cs="Arial"/>
                <w:sz w:val="18"/>
                <w:szCs w:val="18"/>
              </w:rPr>
              <w:t xml:space="preserve">developing </w:t>
            </w:r>
            <w:r w:rsidRPr="00924E19">
              <w:rPr>
                <w:rFonts w:cs="Arial"/>
                <w:sz w:val="18"/>
                <w:szCs w:val="18"/>
              </w:rPr>
              <w:t>low-information stock assessment approaches</w:t>
            </w:r>
            <w:r w:rsidR="00B226B5" w:rsidRPr="00924E19">
              <w:rPr>
                <w:rFonts w:cs="Arial"/>
                <w:sz w:val="18"/>
                <w:szCs w:val="18"/>
              </w:rPr>
              <w:t xml:space="preserve">, risk assessments and </w:t>
            </w:r>
            <w:r w:rsidRPr="00924E19">
              <w:rPr>
                <w:rFonts w:cs="Arial"/>
                <w:sz w:val="18"/>
                <w:szCs w:val="18"/>
              </w:rPr>
              <w:t>spatial decision support tools</w:t>
            </w:r>
            <w:r w:rsidR="00B226B5" w:rsidRPr="00924E19">
              <w:rPr>
                <w:rFonts w:cs="Arial"/>
                <w:sz w:val="18"/>
                <w:szCs w:val="18"/>
              </w:rPr>
              <w:t xml:space="preserve"> for the High Seas Fishery</w:t>
            </w:r>
            <w:r w:rsidR="00A03C48">
              <w:rPr>
                <w:rFonts w:cs="Arial"/>
                <w:sz w:val="18"/>
                <w:szCs w:val="18"/>
              </w:rPr>
              <w:t>.</w:t>
            </w:r>
            <w:r w:rsidRPr="00924E19">
              <w:rPr>
                <w:rFonts w:cs="Arial"/>
                <w:sz w:val="18"/>
                <w:szCs w:val="18"/>
              </w:rPr>
              <w:t xml:space="preserve"> This work </w:t>
            </w:r>
            <w:r w:rsidR="00B226B5" w:rsidRPr="00924E19">
              <w:rPr>
                <w:rFonts w:cs="Arial"/>
                <w:sz w:val="18"/>
                <w:szCs w:val="18"/>
              </w:rPr>
              <w:t xml:space="preserve">has been progressed for </w:t>
            </w:r>
            <w:r w:rsidR="00782776">
              <w:rPr>
                <w:rFonts w:cs="Arial"/>
                <w:sz w:val="18"/>
                <w:szCs w:val="18"/>
              </w:rPr>
              <w:t xml:space="preserve">Louisville Ridge and Tasman Sea stocks of the </w:t>
            </w:r>
            <w:r w:rsidR="00782776" w:rsidRPr="00924E19">
              <w:rPr>
                <w:rFonts w:cs="Arial"/>
                <w:sz w:val="18"/>
                <w:szCs w:val="18"/>
              </w:rPr>
              <w:t xml:space="preserve">main target species, </w:t>
            </w:r>
            <w:r w:rsidR="00782776">
              <w:rPr>
                <w:rFonts w:cs="Arial"/>
                <w:sz w:val="18"/>
                <w:szCs w:val="18"/>
              </w:rPr>
              <w:t>O</w:t>
            </w:r>
            <w:r w:rsidR="00782776" w:rsidRPr="00924E19">
              <w:rPr>
                <w:rFonts w:cs="Arial"/>
                <w:sz w:val="18"/>
                <w:szCs w:val="18"/>
              </w:rPr>
              <w:t xml:space="preserve">range </w:t>
            </w:r>
            <w:proofErr w:type="spellStart"/>
            <w:r w:rsidR="00782776">
              <w:rPr>
                <w:rFonts w:cs="Arial"/>
                <w:sz w:val="18"/>
                <w:szCs w:val="18"/>
              </w:rPr>
              <w:t>R</w:t>
            </w:r>
            <w:r w:rsidR="00782776" w:rsidRPr="00924E19">
              <w:rPr>
                <w:rFonts w:cs="Arial"/>
                <w:sz w:val="18"/>
                <w:szCs w:val="18"/>
              </w:rPr>
              <w:t>oughy</w:t>
            </w:r>
            <w:proofErr w:type="spellEnd"/>
            <w:r w:rsidR="00782776">
              <w:rPr>
                <w:rFonts w:cs="Arial"/>
                <w:sz w:val="18"/>
                <w:szCs w:val="18"/>
              </w:rPr>
              <w:t xml:space="preserve">, with interim catch limits recommended by the SPRFMO Scientific Committee at its </w:t>
            </w:r>
            <w:hyperlink r:id="rId41" w:history="1">
              <w:r w:rsidR="00782776">
                <w:rPr>
                  <w:rStyle w:val="Hyperlink"/>
                  <w:rFonts w:cs="Arial"/>
                  <w:sz w:val="18"/>
                  <w:szCs w:val="18"/>
                </w:rPr>
                <w:t>5</w:t>
              </w:r>
              <w:r w:rsidR="00782776" w:rsidRPr="008F5532">
                <w:rPr>
                  <w:rStyle w:val="Hyperlink"/>
                  <w:sz w:val="18"/>
                  <w:szCs w:val="18"/>
                  <w:vertAlign w:val="superscript"/>
                </w:rPr>
                <w:t>th</w:t>
              </w:r>
              <w:r w:rsidR="00782776">
                <w:rPr>
                  <w:rStyle w:val="Hyperlink"/>
                  <w:rFonts w:cs="Arial"/>
                  <w:sz w:val="18"/>
                  <w:szCs w:val="18"/>
                </w:rPr>
                <w:t xml:space="preserve"> meeting</w:t>
              </w:r>
            </w:hyperlink>
            <w:r w:rsidR="00782776">
              <w:rPr>
                <w:rFonts w:cs="Arial"/>
                <w:sz w:val="18"/>
                <w:szCs w:val="18"/>
              </w:rPr>
              <w:t xml:space="preserve"> in October 2017</w:t>
            </w:r>
            <w:r w:rsidR="00A03C48">
              <w:rPr>
                <w:rFonts w:cs="Arial"/>
                <w:sz w:val="18"/>
                <w:szCs w:val="18"/>
              </w:rPr>
              <w:t xml:space="preserve">, </w:t>
            </w:r>
            <w:r w:rsidR="00782776">
              <w:rPr>
                <w:rFonts w:cs="Arial"/>
                <w:sz w:val="18"/>
                <w:szCs w:val="18"/>
              </w:rPr>
              <w:t xml:space="preserve">and data collection targets to inform more robust assessments of stock status in future. Similar </w:t>
            </w:r>
            <w:r w:rsidRPr="00924E19">
              <w:rPr>
                <w:rFonts w:cs="Arial"/>
                <w:sz w:val="18"/>
                <w:szCs w:val="18"/>
              </w:rPr>
              <w:t xml:space="preserve">approaches are </w:t>
            </w:r>
            <w:r w:rsidR="00B226B5" w:rsidRPr="00924E19">
              <w:rPr>
                <w:rFonts w:cs="Arial"/>
                <w:sz w:val="18"/>
                <w:szCs w:val="18"/>
              </w:rPr>
              <w:t xml:space="preserve">also </w:t>
            </w:r>
            <w:r w:rsidRPr="00924E19">
              <w:rPr>
                <w:rFonts w:cs="Arial"/>
                <w:sz w:val="18"/>
                <w:szCs w:val="18"/>
              </w:rPr>
              <w:t xml:space="preserve">being considered for </w:t>
            </w:r>
            <w:r w:rsidR="00B226B5" w:rsidRPr="00924E19">
              <w:rPr>
                <w:rFonts w:cs="Arial"/>
                <w:sz w:val="18"/>
                <w:szCs w:val="18"/>
              </w:rPr>
              <w:t xml:space="preserve">other </w:t>
            </w:r>
            <w:r w:rsidRPr="00924E19">
              <w:rPr>
                <w:rFonts w:cs="Arial"/>
                <w:sz w:val="18"/>
                <w:szCs w:val="18"/>
              </w:rPr>
              <w:t xml:space="preserve">target </w:t>
            </w:r>
            <w:r w:rsidR="00B226B5" w:rsidRPr="00924E19">
              <w:rPr>
                <w:rFonts w:cs="Arial"/>
                <w:sz w:val="18"/>
                <w:szCs w:val="18"/>
              </w:rPr>
              <w:t>and bycatch species.</w:t>
            </w:r>
          </w:p>
        </w:tc>
      </w:tr>
      <w:tr w:rsidR="00885298" w:rsidRPr="004649FA" w14:paraId="554D6C9D" w14:textId="77777777" w:rsidTr="00636B81">
        <w:trPr>
          <w:cantSplit/>
          <w:trHeight w:val="854"/>
        </w:trPr>
        <w:tc>
          <w:tcPr>
            <w:tcW w:w="1500" w:type="pct"/>
          </w:tcPr>
          <w:p w14:paraId="0D80A14A" w14:textId="50038060" w:rsidR="004649FA" w:rsidRPr="004649FA" w:rsidRDefault="00885298" w:rsidP="004719AA">
            <w:pPr>
              <w:spacing w:after="120" w:line="240" w:lineRule="auto"/>
              <w:rPr>
                <w:rFonts w:cs="Arial"/>
                <w:i/>
                <w:iCs/>
                <w:sz w:val="18"/>
                <w:szCs w:val="18"/>
              </w:rPr>
            </w:pPr>
            <w:r w:rsidRPr="004649FA">
              <w:rPr>
                <w:rFonts w:cs="Arial"/>
                <w:b/>
                <w:bCs/>
                <w:i/>
                <w:iCs/>
                <w:sz w:val="18"/>
                <w:szCs w:val="18"/>
              </w:rPr>
              <w:t xml:space="preserve">1.1.3 </w:t>
            </w:r>
            <w:r w:rsidRPr="004649FA">
              <w:rPr>
                <w:rFonts w:cs="Arial"/>
                <w:sz w:val="18"/>
                <w:szCs w:val="18"/>
              </w:rPr>
              <w:t>The distribution and spatial structure of the stock(s) has been established and factored into management responses</w:t>
            </w:r>
            <w:r w:rsidR="006B6EF9" w:rsidRPr="004649FA">
              <w:rPr>
                <w:rFonts w:cs="Arial"/>
                <w:i/>
                <w:iCs/>
                <w:sz w:val="18"/>
                <w:szCs w:val="18"/>
              </w:rPr>
              <w:t>.</w:t>
            </w:r>
          </w:p>
        </w:tc>
        <w:tc>
          <w:tcPr>
            <w:tcW w:w="3500" w:type="pct"/>
            <w:shd w:val="clear" w:color="auto" w:fill="FFC000"/>
          </w:tcPr>
          <w:p w14:paraId="14889818" w14:textId="66C8FF19" w:rsidR="00C35389" w:rsidRDefault="00782776" w:rsidP="00CC1C87">
            <w:pPr>
              <w:spacing w:after="0" w:line="240" w:lineRule="auto"/>
              <w:rPr>
                <w:rFonts w:cs="Arial"/>
                <w:sz w:val="18"/>
                <w:szCs w:val="18"/>
              </w:rPr>
            </w:pPr>
            <w:r>
              <w:rPr>
                <w:rFonts w:cs="Arial"/>
                <w:b/>
                <w:sz w:val="18"/>
                <w:szCs w:val="18"/>
              </w:rPr>
              <w:t>Partially m</w:t>
            </w:r>
            <w:r w:rsidR="00F8472A" w:rsidRPr="00924E19">
              <w:rPr>
                <w:rFonts w:cs="Arial"/>
                <w:b/>
                <w:sz w:val="18"/>
                <w:szCs w:val="18"/>
              </w:rPr>
              <w:t>eet</w:t>
            </w:r>
            <w:r>
              <w:rPr>
                <w:rFonts w:cs="Arial"/>
                <w:b/>
                <w:sz w:val="18"/>
                <w:szCs w:val="18"/>
              </w:rPr>
              <w:t>s</w:t>
            </w:r>
          </w:p>
          <w:p w14:paraId="3D8DE423" w14:textId="51DC1B14" w:rsidR="00782776" w:rsidRDefault="00782776" w:rsidP="00782776">
            <w:pPr>
              <w:spacing w:after="120" w:line="240" w:lineRule="auto"/>
              <w:rPr>
                <w:rFonts w:cs="Arial"/>
                <w:sz w:val="18"/>
                <w:szCs w:val="18"/>
              </w:rPr>
            </w:pPr>
            <w:r>
              <w:rPr>
                <w:rFonts w:cs="Arial"/>
                <w:sz w:val="18"/>
                <w:szCs w:val="18"/>
              </w:rPr>
              <w:t xml:space="preserve">Low information stock assessments and interim catch limits for the main target species, Orange </w:t>
            </w:r>
            <w:proofErr w:type="spellStart"/>
            <w:r>
              <w:rPr>
                <w:rFonts w:cs="Arial"/>
                <w:sz w:val="18"/>
                <w:szCs w:val="18"/>
              </w:rPr>
              <w:t>Roughy</w:t>
            </w:r>
            <w:proofErr w:type="spellEnd"/>
            <w:r>
              <w:rPr>
                <w:rFonts w:cs="Arial"/>
                <w:sz w:val="18"/>
                <w:szCs w:val="18"/>
              </w:rPr>
              <w:t xml:space="preserve"> (</w:t>
            </w:r>
            <w:proofErr w:type="spellStart"/>
            <w:r>
              <w:rPr>
                <w:rFonts w:cs="Arial"/>
                <w:i/>
                <w:iCs/>
                <w:sz w:val="18"/>
                <w:szCs w:val="18"/>
              </w:rPr>
              <w:t>Hoplostethus</w:t>
            </w:r>
            <w:proofErr w:type="spellEnd"/>
            <w:r>
              <w:rPr>
                <w:rFonts w:cs="Arial"/>
                <w:i/>
                <w:iCs/>
                <w:sz w:val="18"/>
                <w:szCs w:val="18"/>
              </w:rPr>
              <w:t xml:space="preserve"> </w:t>
            </w:r>
            <w:proofErr w:type="spellStart"/>
            <w:r>
              <w:rPr>
                <w:rFonts w:cs="Arial"/>
                <w:i/>
                <w:iCs/>
                <w:sz w:val="18"/>
                <w:szCs w:val="18"/>
              </w:rPr>
              <w:t>atlanticus</w:t>
            </w:r>
            <w:proofErr w:type="spellEnd"/>
            <w:r>
              <w:rPr>
                <w:rFonts w:cs="Arial"/>
                <w:sz w:val="18"/>
                <w:szCs w:val="18"/>
              </w:rPr>
              <w:t xml:space="preserve">), in the Louisville Ridge and Tasman Sea were accepted by the SPRFMO Scientific Committee at its </w:t>
            </w:r>
            <w:hyperlink r:id="rId42" w:history="1">
              <w:r>
                <w:rPr>
                  <w:rStyle w:val="Hyperlink"/>
                  <w:rFonts w:cs="Arial"/>
                  <w:sz w:val="18"/>
                  <w:szCs w:val="18"/>
                </w:rPr>
                <w:t>5</w:t>
              </w:r>
              <w:r>
                <w:rPr>
                  <w:rStyle w:val="Hyperlink"/>
                  <w:rFonts w:cs="Arial"/>
                  <w:sz w:val="18"/>
                  <w:szCs w:val="18"/>
                  <w:vertAlign w:val="superscript"/>
                </w:rPr>
                <w:t>th</w:t>
              </w:r>
              <w:r>
                <w:rPr>
                  <w:rStyle w:val="Hyperlink"/>
                  <w:rFonts w:cs="Arial"/>
                  <w:sz w:val="18"/>
                  <w:szCs w:val="18"/>
                </w:rPr>
                <w:t xml:space="preserve"> meeting</w:t>
              </w:r>
            </w:hyperlink>
            <w:r>
              <w:rPr>
                <w:rFonts w:cs="Arial"/>
                <w:sz w:val="18"/>
                <w:szCs w:val="18"/>
              </w:rPr>
              <w:t xml:space="preserve"> in October 2017.</w:t>
            </w:r>
          </w:p>
          <w:p w14:paraId="602A640F" w14:textId="1EC8712E" w:rsidR="00885298" w:rsidRPr="00924E19" w:rsidRDefault="00782776" w:rsidP="00782776">
            <w:pPr>
              <w:spacing w:after="120" w:line="240" w:lineRule="auto"/>
              <w:rPr>
                <w:rFonts w:cs="Arial"/>
                <w:sz w:val="18"/>
                <w:szCs w:val="18"/>
              </w:rPr>
            </w:pPr>
            <w:r>
              <w:rPr>
                <w:rFonts w:cs="Arial"/>
                <w:sz w:val="18"/>
                <w:szCs w:val="18"/>
              </w:rPr>
              <w:t>I</w:t>
            </w:r>
            <w:r w:rsidR="008B6D03" w:rsidRPr="00924E19">
              <w:rPr>
                <w:rFonts w:cs="Arial"/>
                <w:sz w:val="18"/>
                <w:szCs w:val="18"/>
              </w:rPr>
              <w:t>n the South Tasman Rise area</w:t>
            </w:r>
            <w:r>
              <w:rPr>
                <w:rFonts w:cs="Arial"/>
                <w:sz w:val="18"/>
                <w:szCs w:val="18"/>
              </w:rPr>
              <w:t xml:space="preserve">, </w:t>
            </w:r>
            <w:r w:rsidRPr="00924E19">
              <w:rPr>
                <w:rFonts w:cs="Arial"/>
                <w:sz w:val="18"/>
                <w:szCs w:val="18"/>
              </w:rPr>
              <w:t xml:space="preserve">Orange </w:t>
            </w:r>
            <w:proofErr w:type="spellStart"/>
            <w:r>
              <w:rPr>
                <w:rFonts w:cs="Arial"/>
                <w:sz w:val="18"/>
                <w:szCs w:val="18"/>
              </w:rPr>
              <w:t>R</w:t>
            </w:r>
            <w:r w:rsidRPr="00924E19">
              <w:rPr>
                <w:rFonts w:cs="Arial"/>
                <w:sz w:val="18"/>
                <w:szCs w:val="18"/>
              </w:rPr>
              <w:t>oughy</w:t>
            </w:r>
            <w:proofErr w:type="spellEnd"/>
            <w:r w:rsidR="008B6D03" w:rsidRPr="00924E19">
              <w:rPr>
                <w:rFonts w:cs="Arial"/>
                <w:sz w:val="18"/>
                <w:szCs w:val="18"/>
              </w:rPr>
              <w:t xml:space="preserve"> was last surveyed in 2002 (16 years ago) but there is very little information available on other stocks caught in the SPRFMO and SIOFA areas. </w:t>
            </w:r>
          </w:p>
        </w:tc>
      </w:tr>
      <w:tr w:rsidR="00885298" w:rsidRPr="004649FA" w14:paraId="3F52708C" w14:textId="77777777" w:rsidTr="00176A13">
        <w:trPr>
          <w:cantSplit/>
        </w:trPr>
        <w:tc>
          <w:tcPr>
            <w:tcW w:w="1500" w:type="pct"/>
          </w:tcPr>
          <w:p w14:paraId="150B44F6" w14:textId="1638FF08" w:rsidR="004649FA" w:rsidRPr="004649FA" w:rsidRDefault="00885298" w:rsidP="004719AA">
            <w:pPr>
              <w:spacing w:after="120" w:line="240" w:lineRule="auto"/>
              <w:rPr>
                <w:rFonts w:cs="Arial"/>
                <w:sz w:val="18"/>
                <w:szCs w:val="18"/>
              </w:rPr>
            </w:pPr>
            <w:r w:rsidRPr="004649FA">
              <w:rPr>
                <w:rFonts w:cs="Arial"/>
                <w:b/>
                <w:bCs/>
                <w:i/>
                <w:iCs/>
                <w:sz w:val="18"/>
                <w:szCs w:val="18"/>
              </w:rPr>
              <w:t xml:space="preserve">1.1.4 </w:t>
            </w:r>
            <w:r w:rsidRPr="004649FA">
              <w:rPr>
                <w:rFonts w:cs="Arial"/>
                <w:sz w:val="18"/>
                <w:szCs w:val="18"/>
              </w:rPr>
              <w:t>There are reliable estimates of all removals, including commercial (landings and discards), recreational and indigenous, from the fished stock. These estimates have been factored into stock assessments a</w:t>
            </w:r>
            <w:r w:rsidR="006B6EF9" w:rsidRPr="004649FA">
              <w:rPr>
                <w:rFonts w:cs="Arial"/>
                <w:sz w:val="18"/>
                <w:szCs w:val="18"/>
              </w:rPr>
              <w:t>nd target species catch levels.</w:t>
            </w:r>
          </w:p>
        </w:tc>
        <w:tc>
          <w:tcPr>
            <w:tcW w:w="3500" w:type="pct"/>
            <w:shd w:val="clear" w:color="auto" w:fill="92D050"/>
          </w:tcPr>
          <w:p w14:paraId="67EDCCC1" w14:textId="1FF0BE7F" w:rsidR="00C35389" w:rsidRDefault="00F8472A" w:rsidP="00CC1C87">
            <w:pPr>
              <w:spacing w:after="0" w:line="240" w:lineRule="auto"/>
              <w:rPr>
                <w:rFonts w:cs="Arial"/>
                <w:sz w:val="18"/>
                <w:szCs w:val="18"/>
              </w:rPr>
            </w:pPr>
            <w:r w:rsidRPr="00176A13">
              <w:rPr>
                <w:rFonts w:cs="Arial"/>
                <w:b/>
                <w:sz w:val="18"/>
                <w:szCs w:val="18"/>
              </w:rPr>
              <w:t>Meets</w:t>
            </w:r>
          </w:p>
          <w:p w14:paraId="3545896B" w14:textId="28D4E88C" w:rsidR="00A6753C" w:rsidRPr="00176A13" w:rsidRDefault="003A1C65" w:rsidP="00A6753C">
            <w:pPr>
              <w:spacing w:after="120" w:line="240" w:lineRule="auto"/>
              <w:rPr>
                <w:rFonts w:cs="Arial"/>
                <w:sz w:val="18"/>
                <w:szCs w:val="18"/>
              </w:rPr>
            </w:pPr>
            <w:r w:rsidRPr="00176A13">
              <w:rPr>
                <w:rFonts w:cs="Arial"/>
                <w:sz w:val="18"/>
                <w:szCs w:val="18"/>
              </w:rPr>
              <w:t>Robust systems are in place to ensure estimates of catches by licensed Australian vessels are reliable</w:t>
            </w:r>
            <w:r w:rsidR="00A6753C" w:rsidRPr="00176A13">
              <w:rPr>
                <w:rFonts w:cs="Arial"/>
                <w:sz w:val="18"/>
                <w:szCs w:val="18"/>
              </w:rPr>
              <w:t xml:space="preserve">. </w:t>
            </w:r>
            <w:r w:rsidR="00514900" w:rsidRPr="00176A13">
              <w:rPr>
                <w:rFonts w:cs="Arial"/>
                <w:sz w:val="18"/>
                <w:szCs w:val="18"/>
                <w:lang w:eastAsia="en-AU"/>
              </w:rPr>
              <w:t xml:space="preserve">These include restriction of fishing to licensed operators, mandatory reporting of all fishing activity via approved logbooks, unloading of catch to licensed fish receivers, and validation and reporting of received catch by the fish receivers. Fishers are also required to advise AFMA prior to departure and landing, and operate vessel monitoring systems at all times. This allows AFMA to monitor vessel activities and </w:t>
            </w:r>
            <w:r w:rsidR="00A6753C" w:rsidRPr="00176A13">
              <w:rPr>
                <w:rFonts w:cs="Arial"/>
                <w:sz w:val="18"/>
                <w:szCs w:val="18"/>
                <w:lang w:eastAsia="en-AU"/>
              </w:rPr>
              <w:t>undertake inspections as necessary.</w:t>
            </w:r>
          </w:p>
          <w:p w14:paraId="33D1DAE8" w14:textId="6746BC04" w:rsidR="00514900" w:rsidRPr="00176A13" w:rsidRDefault="00A6753C" w:rsidP="00514900">
            <w:pPr>
              <w:spacing w:after="120" w:line="240" w:lineRule="auto"/>
              <w:rPr>
                <w:rFonts w:cs="Arial"/>
                <w:sz w:val="18"/>
                <w:szCs w:val="18"/>
              </w:rPr>
            </w:pPr>
            <w:r w:rsidRPr="00176A13">
              <w:rPr>
                <w:rFonts w:cs="Arial"/>
                <w:sz w:val="18"/>
                <w:szCs w:val="18"/>
              </w:rPr>
              <w:t xml:space="preserve">There is also a relatively high level of </w:t>
            </w:r>
            <w:r w:rsidR="00514900" w:rsidRPr="00176A13">
              <w:rPr>
                <w:rFonts w:cs="Arial"/>
                <w:sz w:val="18"/>
                <w:szCs w:val="18"/>
              </w:rPr>
              <w:t xml:space="preserve">observer </w:t>
            </w:r>
            <w:r w:rsidRPr="00176A13">
              <w:rPr>
                <w:rFonts w:cs="Arial"/>
                <w:sz w:val="18"/>
                <w:szCs w:val="18"/>
              </w:rPr>
              <w:t>coverage (</w:t>
            </w:r>
            <w:r w:rsidR="00514900" w:rsidRPr="00176A13">
              <w:rPr>
                <w:rFonts w:cs="Arial"/>
                <w:sz w:val="18"/>
                <w:szCs w:val="18"/>
              </w:rPr>
              <w:t xml:space="preserve">between 10-100% of activity depending on the </w:t>
            </w:r>
            <w:r w:rsidRPr="00176A13">
              <w:rPr>
                <w:rFonts w:cs="Arial"/>
                <w:sz w:val="18"/>
                <w:szCs w:val="18"/>
              </w:rPr>
              <w:t xml:space="preserve">fishing </w:t>
            </w:r>
            <w:r w:rsidR="00514900" w:rsidRPr="00176A13">
              <w:rPr>
                <w:rFonts w:cs="Arial"/>
                <w:sz w:val="18"/>
                <w:szCs w:val="18"/>
              </w:rPr>
              <w:t>method</w:t>
            </w:r>
            <w:r w:rsidRPr="00176A13">
              <w:rPr>
                <w:rFonts w:cs="Arial"/>
                <w:sz w:val="18"/>
                <w:szCs w:val="18"/>
              </w:rPr>
              <w:t>s</w:t>
            </w:r>
            <w:r w:rsidR="00514900" w:rsidRPr="00176A13">
              <w:rPr>
                <w:rFonts w:cs="Arial"/>
                <w:sz w:val="18"/>
                <w:szCs w:val="18"/>
              </w:rPr>
              <w:t xml:space="preserve"> and areas fished)</w:t>
            </w:r>
            <w:r w:rsidRPr="00176A13">
              <w:rPr>
                <w:rFonts w:cs="Arial"/>
                <w:sz w:val="18"/>
                <w:szCs w:val="18"/>
              </w:rPr>
              <w:t>. This provides some level of independent data collection.</w:t>
            </w:r>
          </w:p>
          <w:p w14:paraId="25288688" w14:textId="71C8C4D5" w:rsidR="00A6753C" w:rsidRPr="00176A13" w:rsidRDefault="00A6753C" w:rsidP="00AA2570">
            <w:pPr>
              <w:spacing w:after="120" w:line="240" w:lineRule="auto"/>
              <w:rPr>
                <w:rFonts w:cs="Arial"/>
                <w:sz w:val="18"/>
                <w:szCs w:val="18"/>
              </w:rPr>
            </w:pPr>
            <w:r w:rsidRPr="00176A13">
              <w:rPr>
                <w:rFonts w:cs="Arial"/>
                <w:sz w:val="18"/>
                <w:szCs w:val="18"/>
              </w:rPr>
              <w:t xml:space="preserve">AFMA </w:t>
            </w:r>
            <w:r w:rsidR="00E70222">
              <w:rPr>
                <w:rFonts w:cs="Arial"/>
                <w:sz w:val="18"/>
                <w:szCs w:val="18"/>
              </w:rPr>
              <w:t>is seeking</w:t>
            </w:r>
            <w:r w:rsidRPr="00176A13">
              <w:rPr>
                <w:rFonts w:cs="Arial"/>
                <w:sz w:val="18"/>
                <w:szCs w:val="18"/>
              </w:rPr>
              <w:t>, through SPRFMO and SIOFA, to increase the use of vessel monitoring systems across all international vessels fishing the SPRFMO and SIOFA areas. This will enable better monitoring and managing of illegal, unreported and unregulated fishing activity</w:t>
            </w:r>
            <w:r w:rsidR="00AA2570" w:rsidRPr="00176A13">
              <w:rPr>
                <w:rFonts w:cs="Arial"/>
                <w:sz w:val="18"/>
                <w:szCs w:val="18"/>
              </w:rPr>
              <w:t>, and in doing so, improve estimates of total removals from the fisheries</w:t>
            </w:r>
            <w:r w:rsidRPr="00176A13">
              <w:rPr>
                <w:rFonts w:cs="Arial"/>
                <w:sz w:val="18"/>
                <w:szCs w:val="18"/>
              </w:rPr>
              <w:t>.</w:t>
            </w:r>
          </w:p>
          <w:p w14:paraId="7647E613" w14:textId="4F67B277" w:rsidR="00AA2570" w:rsidRPr="00176A13" w:rsidRDefault="00AA2570" w:rsidP="00AA2570">
            <w:pPr>
              <w:spacing w:after="120" w:line="240" w:lineRule="auto"/>
              <w:rPr>
                <w:rFonts w:cs="Arial"/>
                <w:sz w:val="18"/>
                <w:szCs w:val="18"/>
              </w:rPr>
            </w:pPr>
            <w:r w:rsidRPr="00176A13">
              <w:rPr>
                <w:rFonts w:cs="Arial"/>
                <w:sz w:val="18"/>
                <w:szCs w:val="18"/>
              </w:rPr>
              <w:t>Due to the remote location and depth of the fishery, there is no recreational or indigenous fishing.</w:t>
            </w:r>
          </w:p>
        </w:tc>
      </w:tr>
      <w:tr w:rsidR="00885298" w:rsidRPr="004649FA" w14:paraId="4048E040" w14:textId="77777777" w:rsidTr="00176A13">
        <w:trPr>
          <w:cantSplit/>
        </w:trPr>
        <w:tc>
          <w:tcPr>
            <w:tcW w:w="1500" w:type="pct"/>
          </w:tcPr>
          <w:p w14:paraId="1E766E2B" w14:textId="0DB1CD87" w:rsidR="004649FA" w:rsidRPr="004649FA" w:rsidRDefault="00885298" w:rsidP="004719AA">
            <w:pPr>
              <w:spacing w:after="120" w:line="240" w:lineRule="auto"/>
              <w:rPr>
                <w:rFonts w:cs="Arial"/>
                <w:sz w:val="18"/>
                <w:szCs w:val="18"/>
              </w:rPr>
            </w:pPr>
            <w:r w:rsidRPr="004649FA">
              <w:rPr>
                <w:rFonts w:cs="Arial"/>
                <w:b/>
                <w:bCs/>
                <w:i/>
                <w:iCs/>
                <w:sz w:val="18"/>
                <w:szCs w:val="18"/>
              </w:rPr>
              <w:t xml:space="preserve">1.1.5 </w:t>
            </w:r>
            <w:r w:rsidRPr="004649FA">
              <w:rPr>
                <w:rFonts w:cs="Arial"/>
                <w:sz w:val="18"/>
                <w:szCs w:val="18"/>
              </w:rPr>
              <w:t>There is a sound estimate of the potential productivity of the fished stock/s and the prop</w:t>
            </w:r>
            <w:r w:rsidR="006B6EF9" w:rsidRPr="004649FA">
              <w:rPr>
                <w:rFonts w:cs="Arial"/>
                <w:sz w:val="18"/>
                <w:szCs w:val="18"/>
              </w:rPr>
              <w:t>ortion that could be harvested.</w:t>
            </w:r>
          </w:p>
        </w:tc>
        <w:tc>
          <w:tcPr>
            <w:tcW w:w="3500" w:type="pct"/>
            <w:shd w:val="clear" w:color="auto" w:fill="FFC000"/>
          </w:tcPr>
          <w:p w14:paraId="047F2B38" w14:textId="64970441" w:rsidR="00C35389" w:rsidRDefault="002965D9" w:rsidP="00CC1C87">
            <w:pPr>
              <w:spacing w:after="0" w:line="240" w:lineRule="auto"/>
              <w:rPr>
                <w:rFonts w:cs="Arial"/>
                <w:sz w:val="18"/>
                <w:szCs w:val="18"/>
              </w:rPr>
            </w:pPr>
            <w:r w:rsidRPr="00176A13">
              <w:rPr>
                <w:rFonts w:cs="Arial"/>
                <w:b/>
                <w:sz w:val="18"/>
                <w:szCs w:val="18"/>
              </w:rPr>
              <w:t>Partially m</w:t>
            </w:r>
            <w:r w:rsidR="00F8472A" w:rsidRPr="00176A13">
              <w:rPr>
                <w:rFonts w:cs="Arial"/>
                <w:b/>
                <w:sz w:val="18"/>
                <w:szCs w:val="18"/>
              </w:rPr>
              <w:t>eet</w:t>
            </w:r>
            <w:r w:rsidRPr="00176A13">
              <w:rPr>
                <w:rFonts w:cs="Arial"/>
                <w:b/>
                <w:sz w:val="18"/>
                <w:szCs w:val="18"/>
              </w:rPr>
              <w:t>s</w:t>
            </w:r>
          </w:p>
          <w:p w14:paraId="18AD0295" w14:textId="7AAFD0E2" w:rsidR="00885298" w:rsidRPr="00176A13" w:rsidRDefault="0076582E" w:rsidP="0076582E">
            <w:pPr>
              <w:spacing w:after="120" w:line="240" w:lineRule="auto"/>
              <w:rPr>
                <w:rFonts w:cs="Arial"/>
                <w:sz w:val="18"/>
                <w:szCs w:val="18"/>
              </w:rPr>
            </w:pPr>
            <w:r w:rsidRPr="00176A13">
              <w:rPr>
                <w:rFonts w:cs="Arial"/>
                <w:sz w:val="18"/>
                <w:szCs w:val="18"/>
              </w:rPr>
              <w:t>There is very little information available on potential productivity or the amount that could be harvested.</w:t>
            </w:r>
            <w:r>
              <w:rPr>
                <w:rFonts w:cs="Arial"/>
                <w:sz w:val="18"/>
                <w:szCs w:val="18"/>
              </w:rPr>
              <w:t xml:space="preserve"> </w:t>
            </w:r>
            <w:r w:rsidR="000F4631" w:rsidRPr="000F4631">
              <w:rPr>
                <w:rFonts w:cs="Arial"/>
                <w:sz w:val="18"/>
                <w:szCs w:val="18"/>
              </w:rPr>
              <w:t>Only a small proportion of the total assumed habitat area for the target species has been fished by Australian vessels and none of the stocks targeted by Australia’s high-seas fishing operations have been classified as overfished or subject to overfishing (</w:t>
            </w:r>
            <w:proofErr w:type="spellStart"/>
            <w:r w:rsidR="003B7E92">
              <w:fldChar w:fldCharType="begin"/>
            </w:r>
            <w:r w:rsidR="003B7E92">
              <w:instrText xml:space="preserve"> HYPERLINK "http://www.afma.gov.au/wp-content/uploads/2014/02/High-Seas-Sustainabilty-Assessment-2012.pdf" </w:instrText>
            </w:r>
            <w:r w:rsidR="003B7E92">
              <w:fldChar w:fldCharType="separate"/>
            </w:r>
            <w:r w:rsidR="000F4631" w:rsidRPr="000F4631">
              <w:rPr>
                <w:rStyle w:val="Hyperlink"/>
                <w:rFonts w:cs="Arial"/>
                <w:sz w:val="18"/>
                <w:szCs w:val="18"/>
              </w:rPr>
              <w:t>Woodhams</w:t>
            </w:r>
            <w:proofErr w:type="spellEnd"/>
            <w:r w:rsidR="000F4631" w:rsidRPr="000F4631">
              <w:rPr>
                <w:rStyle w:val="Hyperlink"/>
                <w:rFonts w:cs="Arial"/>
                <w:sz w:val="18"/>
                <w:szCs w:val="18"/>
              </w:rPr>
              <w:t xml:space="preserve"> et al. 2012)</w:t>
            </w:r>
            <w:r w:rsidR="003B7E92">
              <w:rPr>
                <w:rStyle w:val="Hyperlink"/>
                <w:rFonts w:cs="Arial"/>
                <w:sz w:val="18"/>
                <w:szCs w:val="18"/>
              </w:rPr>
              <w:fldChar w:fldCharType="end"/>
            </w:r>
            <w:r w:rsidR="000F4631" w:rsidRPr="000F4631">
              <w:rPr>
                <w:rFonts w:cs="Arial"/>
                <w:sz w:val="18"/>
                <w:szCs w:val="18"/>
              </w:rPr>
              <w:t>.</w:t>
            </w:r>
            <w:r w:rsidR="000F4631">
              <w:rPr>
                <w:rFonts w:cs="Arial"/>
                <w:sz w:val="18"/>
                <w:szCs w:val="18"/>
              </w:rPr>
              <w:t xml:space="preserve"> </w:t>
            </w:r>
          </w:p>
        </w:tc>
      </w:tr>
      <w:tr w:rsidR="00867590" w:rsidRPr="004649FA" w14:paraId="56D2C7E4" w14:textId="77777777" w:rsidTr="002330E0">
        <w:trPr>
          <w:cantSplit/>
        </w:trPr>
        <w:tc>
          <w:tcPr>
            <w:tcW w:w="5000" w:type="pct"/>
            <w:gridSpan w:val="2"/>
            <w:shd w:val="clear" w:color="auto" w:fill="DAEEF3"/>
          </w:tcPr>
          <w:p w14:paraId="7D91A0CD" w14:textId="77777777" w:rsidR="00867590" w:rsidRPr="004649FA" w:rsidRDefault="00867590" w:rsidP="004719AA">
            <w:pPr>
              <w:spacing w:after="120" w:line="240" w:lineRule="auto"/>
              <w:rPr>
                <w:rFonts w:cs="Arial"/>
                <w:b/>
                <w:bCs/>
                <w:i/>
                <w:iCs/>
                <w:sz w:val="20"/>
                <w:szCs w:val="20"/>
              </w:rPr>
            </w:pPr>
            <w:r w:rsidRPr="004649FA">
              <w:rPr>
                <w:rFonts w:cs="Arial"/>
                <w:b/>
                <w:bCs/>
                <w:i/>
                <w:iCs/>
                <w:sz w:val="20"/>
                <w:szCs w:val="20"/>
              </w:rPr>
              <w:lastRenderedPageBreak/>
              <w:t xml:space="preserve">Management responses </w:t>
            </w:r>
          </w:p>
        </w:tc>
      </w:tr>
      <w:tr w:rsidR="00867590" w:rsidRPr="004649FA" w14:paraId="51F6B96C" w14:textId="77777777" w:rsidTr="00176A13">
        <w:trPr>
          <w:cantSplit/>
        </w:trPr>
        <w:tc>
          <w:tcPr>
            <w:tcW w:w="1500" w:type="pct"/>
          </w:tcPr>
          <w:p w14:paraId="37D19E12" w14:textId="6A9F55EC" w:rsidR="004649FA" w:rsidRPr="004649FA" w:rsidRDefault="00867590" w:rsidP="004719AA">
            <w:pPr>
              <w:spacing w:after="120" w:line="240" w:lineRule="auto"/>
              <w:rPr>
                <w:rFonts w:cs="Arial"/>
                <w:sz w:val="18"/>
                <w:szCs w:val="18"/>
              </w:rPr>
            </w:pPr>
            <w:r w:rsidRPr="004649FA">
              <w:rPr>
                <w:rFonts w:cs="Arial"/>
                <w:b/>
                <w:bCs/>
                <w:i/>
                <w:iCs/>
                <w:sz w:val="18"/>
                <w:szCs w:val="18"/>
              </w:rPr>
              <w:t xml:space="preserve">1.1.6 </w:t>
            </w:r>
            <w:r w:rsidRPr="004649FA">
              <w:rPr>
                <w:rFonts w:cs="Arial"/>
                <w:sz w:val="18"/>
                <w:szCs w:val="18"/>
              </w:rPr>
              <w:t>There are reference points (target and/or limit), that trigger management actions including a biological bottom line and/or a catch or effort upper limit beyond which the stock should not be</w:t>
            </w:r>
            <w:r w:rsidR="006B6EF9" w:rsidRPr="004649FA">
              <w:rPr>
                <w:rFonts w:cs="Arial"/>
                <w:sz w:val="18"/>
                <w:szCs w:val="18"/>
              </w:rPr>
              <w:t xml:space="preserve"> taken.</w:t>
            </w:r>
          </w:p>
        </w:tc>
        <w:tc>
          <w:tcPr>
            <w:tcW w:w="3500" w:type="pct"/>
            <w:shd w:val="clear" w:color="auto" w:fill="FFC000"/>
          </w:tcPr>
          <w:p w14:paraId="4D23A7F3" w14:textId="75FA7429" w:rsidR="00C35389" w:rsidRDefault="00F8472A" w:rsidP="00CC1C87">
            <w:pPr>
              <w:spacing w:after="0" w:line="240" w:lineRule="auto"/>
              <w:rPr>
                <w:rFonts w:cs="Arial"/>
                <w:sz w:val="18"/>
                <w:szCs w:val="18"/>
              </w:rPr>
            </w:pPr>
            <w:r w:rsidRPr="00176A13">
              <w:rPr>
                <w:rFonts w:cs="Arial"/>
                <w:b/>
                <w:sz w:val="18"/>
                <w:szCs w:val="18"/>
              </w:rPr>
              <w:t>Partially meets</w:t>
            </w:r>
          </w:p>
          <w:p w14:paraId="7B9374D2" w14:textId="3693F047" w:rsidR="00DD6B89" w:rsidRPr="00176A13" w:rsidRDefault="002965D9" w:rsidP="00DD6B89">
            <w:pPr>
              <w:spacing w:after="120" w:line="240" w:lineRule="auto"/>
              <w:rPr>
                <w:rFonts w:cs="Arial"/>
                <w:sz w:val="18"/>
                <w:szCs w:val="18"/>
              </w:rPr>
            </w:pPr>
            <w:r w:rsidRPr="00176A13">
              <w:rPr>
                <w:rFonts w:cs="Arial"/>
                <w:sz w:val="18"/>
                <w:szCs w:val="18"/>
              </w:rPr>
              <w:t>T</w:t>
            </w:r>
            <w:r w:rsidRPr="00176A13">
              <w:rPr>
                <w:rFonts w:eastAsia="Times New Roman" w:cs="Arial"/>
                <w:sz w:val="18"/>
                <w:szCs w:val="18"/>
              </w:rPr>
              <w:t xml:space="preserve">rigger limits </w:t>
            </w:r>
            <w:r w:rsidR="006A726E" w:rsidRPr="00176A13">
              <w:rPr>
                <w:rFonts w:eastAsia="Times New Roman" w:cs="Arial"/>
                <w:sz w:val="18"/>
                <w:szCs w:val="18"/>
              </w:rPr>
              <w:t>are based on historic catches</w:t>
            </w:r>
            <w:r w:rsidR="002F231C">
              <w:rPr>
                <w:rFonts w:eastAsia="Times New Roman" w:cs="Arial"/>
                <w:sz w:val="18"/>
                <w:szCs w:val="18"/>
              </w:rPr>
              <w:t xml:space="preserve"> not biology.</w:t>
            </w:r>
            <w:r w:rsidR="002F231C" w:rsidRPr="00176A13">
              <w:rPr>
                <w:rFonts w:eastAsia="Times New Roman" w:cs="Arial"/>
                <w:sz w:val="18"/>
                <w:szCs w:val="18"/>
              </w:rPr>
              <w:t xml:space="preserve"> </w:t>
            </w:r>
            <w:r w:rsidR="002F231C">
              <w:rPr>
                <w:rFonts w:eastAsia="Times New Roman" w:cs="Arial"/>
                <w:sz w:val="18"/>
                <w:szCs w:val="18"/>
              </w:rPr>
              <w:t xml:space="preserve">They </w:t>
            </w:r>
            <w:r w:rsidR="00DD6B89" w:rsidRPr="00176A13">
              <w:rPr>
                <w:rFonts w:eastAsia="Times New Roman" w:cs="Arial"/>
                <w:sz w:val="18"/>
                <w:szCs w:val="18"/>
              </w:rPr>
              <w:t xml:space="preserve">are </w:t>
            </w:r>
            <w:r w:rsidR="006A726E" w:rsidRPr="00176A13">
              <w:rPr>
                <w:rFonts w:eastAsia="Times New Roman" w:cs="Arial"/>
                <w:sz w:val="18"/>
                <w:szCs w:val="18"/>
              </w:rPr>
              <w:t xml:space="preserve">considered by the SPRFMO and SIOFA scientific committees and </w:t>
            </w:r>
            <w:r w:rsidRPr="00176A13">
              <w:rPr>
                <w:rFonts w:cs="Arial"/>
                <w:sz w:val="18"/>
                <w:szCs w:val="18"/>
              </w:rPr>
              <w:t xml:space="preserve">apply to total catch as well as catches of corals and sponges in the </w:t>
            </w:r>
            <w:r w:rsidRPr="00176A13">
              <w:rPr>
                <w:rFonts w:eastAsia="Times New Roman" w:cs="Arial"/>
                <w:sz w:val="18"/>
                <w:szCs w:val="18"/>
              </w:rPr>
              <w:t>SPRFMO and SIOFA areas</w:t>
            </w:r>
            <w:r w:rsidRPr="00176A13">
              <w:rPr>
                <w:rFonts w:cs="Arial"/>
                <w:sz w:val="18"/>
                <w:szCs w:val="18"/>
              </w:rPr>
              <w:t xml:space="preserve">. </w:t>
            </w:r>
            <w:r w:rsidR="00DD6B89" w:rsidRPr="00176A13">
              <w:rPr>
                <w:rFonts w:cs="Arial"/>
                <w:sz w:val="18"/>
                <w:szCs w:val="18"/>
              </w:rPr>
              <w:t xml:space="preserve">Stock assessments are however very limited and not used for setting target or limit management triggers. </w:t>
            </w:r>
          </w:p>
          <w:p w14:paraId="325A6C3A" w14:textId="10AC948C" w:rsidR="00867590" w:rsidRPr="00176A13" w:rsidRDefault="00DD6B89" w:rsidP="00DD6B89">
            <w:pPr>
              <w:spacing w:after="120" w:line="240" w:lineRule="auto"/>
              <w:rPr>
                <w:rFonts w:cs="Arial"/>
                <w:sz w:val="18"/>
                <w:szCs w:val="18"/>
              </w:rPr>
            </w:pPr>
            <w:r w:rsidRPr="00176A13">
              <w:rPr>
                <w:rFonts w:cs="Arial"/>
                <w:sz w:val="18"/>
                <w:szCs w:val="18"/>
              </w:rPr>
              <w:t>When the</w:t>
            </w:r>
            <w:r w:rsidR="002965D9" w:rsidRPr="00176A13">
              <w:rPr>
                <w:rFonts w:cs="Arial"/>
                <w:sz w:val="18"/>
                <w:szCs w:val="18"/>
              </w:rPr>
              <w:t xml:space="preserve"> </w:t>
            </w:r>
            <w:r w:rsidRPr="00176A13">
              <w:rPr>
                <w:rFonts w:cs="Arial"/>
                <w:sz w:val="18"/>
                <w:szCs w:val="18"/>
              </w:rPr>
              <w:t xml:space="preserve">triggers </w:t>
            </w:r>
            <w:r w:rsidR="002965D9" w:rsidRPr="00176A13">
              <w:rPr>
                <w:rFonts w:cs="Arial"/>
                <w:sz w:val="18"/>
                <w:szCs w:val="18"/>
              </w:rPr>
              <w:t xml:space="preserve">limits are reached </w:t>
            </w:r>
            <w:r w:rsidR="002965D9" w:rsidRPr="00176A13">
              <w:rPr>
                <w:rFonts w:eastAsia="Times New Roman" w:cs="Arial"/>
                <w:sz w:val="18"/>
                <w:szCs w:val="18"/>
              </w:rPr>
              <w:t xml:space="preserve">management arrangements </w:t>
            </w:r>
            <w:r w:rsidR="002965D9" w:rsidRPr="00176A13">
              <w:rPr>
                <w:rFonts w:cs="Arial"/>
                <w:sz w:val="18"/>
                <w:szCs w:val="18"/>
              </w:rPr>
              <w:t>are reviewed before fishing recommences in the relevant areas.</w:t>
            </w:r>
          </w:p>
        </w:tc>
      </w:tr>
      <w:tr w:rsidR="00867590" w:rsidRPr="004649FA" w14:paraId="31A6BE89" w14:textId="77777777" w:rsidTr="00176A13">
        <w:trPr>
          <w:cantSplit/>
        </w:trPr>
        <w:tc>
          <w:tcPr>
            <w:tcW w:w="1500" w:type="pct"/>
          </w:tcPr>
          <w:p w14:paraId="4CC54A7F" w14:textId="71C1E38C" w:rsidR="004649FA" w:rsidRPr="004649FA" w:rsidRDefault="00867590" w:rsidP="004719AA">
            <w:pPr>
              <w:spacing w:after="120" w:line="240" w:lineRule="auto"/>
              <w:rPr>
                <w:rFonts w:cs="Arial"/>
                <w:sz w:val="18"/>
                <w:szCs w:val="18"/>
              </w:rPr>
            </w:pPr>
            <w:r w:rsidRPr="004649FA">
              <w:rPr>
                <w:rFonts w:cs="Arial"/>
                <w:b/>
                <w:bCs/>
                <w:i/>
                <w:iCs/>
                <w:sz w:val="18"/>
                <w:szCs w:val="18"/>
              </w:rPr>
              <w:t xml:space="preserve">1.1.7 </w:t>
            </w:r>
            <w:r w:rsidRPr="004649FA">
              <w:rPr>
                <w:rFonts w:cs="Arial"/>
                <w:sz w:val="18"/>
                <w:szCs w:val="18"/>
              </w:rPr>
              <w:t xml:space="preserve">There are management strategies in place capable of controlling the level of take. </w:t>
            </w:r>
          </w:p>
        </w:tc>
        <w:tc>
          <w:tcPr>
            <w:tcW w:w="3500" w:type="pct"/>
            <w:shd w:val="clear" w:color="auto" w:fill="92D050"/>
          </w:tcPr>
          <w:p w14:paraId="2085C05F" w14:textId="1615B793" w:rsidR="00C35389" w:rsidRDefault="00F8472A" w:rsidP="00CC1C87">
            <w:pPr>
              <w:spacing w:after="0" w:line="240" w:lineRule="auto"/>
              <w:rPr>
                <w:rFonts w:cs="Arial"/>
                <w:sz w:val="18"/>
                <w:szCs w:val="18"/>
              </w:rPr>
            </w:pPr>
            <w:r w:rsidRPr="00176A13">
              <w:rPr>
                <w:rFonts w:cs="Arial"/>
                <w:b/>
                <w:sz w:val="18"/>
                <w:szCs w:val="18"/>
              </w:rPr>
              <w:t>Meets</w:t>
            </w:r>
          </w:p>
          <w:p w14:paraId="49D67B98" w14:textId="4631CC29" w:rsidR="002965D9" w:rsidRPr="00176A13" w:rsidRDefault="002965D9" w:rsidP="004719AA">
            <w:pPr>
              <w:spacing w:after="120" w:line="240" w:lineRule="auto"/>
              <w:rPr>
                <w:rFonts w:cs="Arial"/>
                <w:sz w:val="18"/>
                <w:szCs w:val="18"/>
              </w:rPr>
            </w:pPr>
            <w:r w:rsidRPr="00176A13">
              <w:rPr>
                <w:rFonts w:cs="Arial"/>
                <w:sz w:val="18"/>
                <w:szCs w:val="18"/>
              </w:rPr>
              <w:t>Demersal fishing on the high seas by Australian vessels occurs under permits issued by AFMA. These permits include conditions relating monitoring and reporting, catch processing, transhipping and disposal, catch limits, including restrictions on species that can be taken and on interactions with vulnerable marine ecosystems, areas that can be fished, gear that can be used and bycatch mitigation measures which must be used.</w:t>
            </w:r>
          </w:p>
          <w:p w14:paraId="44505EF8" w14:textId="5DDA71D9" w:rsidR="002965D9" w:rsidRPr="00176A13" w:rsidRDefault="002965D9" w:rsidP="004719AA">
            <w:pPr>
              <w:spacing w:after="120" w:line="240" w:lineRule="auto"/>
              <w:rPr>
                <w:rFonts w:cs="Arial"/>
                <w:sz w:val="18"/>
                <w:szCs w:val="18"/>
              </w:rPr>
            </w:pPr>
            <w:r w:rsidRPr="00176A13">
              <w:rPr>
                <w:rFonts w:cs="Arial"/>
                <w:sz w:val="18"/>
                <w:szCs w:val="18"/>
              </w:rPr>
              <w:t xml:space="preserve">Persons can apply at any time and there </w:t>
            </w:r>
            <w:r w:rsidR="008223F3">
              <w:rPr>
                <w:rFonts w:cs="Arial"/>
                <w:sz w:val="18"/>
                <w:szCs w:val="18"/>
              </w:rPr>
              <w:t>is no</w:t>
            </w:r>
            <w:r w:rsidRPr="00176A13">
              <w:rPr>
                <w:rFonts w:cs="Arial"/>
                <w:sz w:val="18"/>
                <w:szCs w:val="18"/>
              </w:rPr>
              <w:t xml:space="preserve"> limit to the number of permits available, but there are only six permits in the fishery at this time.</w:t>
            </w:r>
          </w:p>
          <w:p w14:paraId="0F14F279" w14:textId="5A582762" w:rsidR="00867590" w:rsidRPr="00176A13" w:rsidRDefault="002965D9" w:rsidP="004719AA">
            <w:pPr>
              <w:spacing w:after="120" w:line="240" w:lineRule="auto"/>
              <w:rPr>
                <w:rFonts w:cs="Arial"/>
                <w:sz w:val="18"/>
                <w:szCs w:val="18"/>
              </w:rPr>
            </w:pPr>
            <w:r w:rsidRPr="00176A13">
              <w:rPr>
                <w:rFonts w:cs="Arial"/>
                <w:sz w:val="18"/>
                <w:szCs w:val="18"/>
              </w:rPr>
              <w:t>To ensure fishers do not exceed the fishery catch limits, AFMA has set trigger limits which require fishers to cease fishing in the relevant area(s) when notified.</w:t>
            </w:r>
          </w:p>
        </w:tc>
      </w:tr>
      <w:tr w:rsidR="00867590" w:rsidRPr="004649FA" w14:paraId="2457E862" w14:textId="77777777" w:rsidTr="00176A13">
        <w:trPr>
          <w:cantSplit/>
        </w:trPr>
        <w:tc>
          <w:tcPr>
            <w:tcW w:w="1500" w:type="pct"/>
          </w:tcPr>
          <w:p w14:paraId="4099D757" w14:textId="20A70221" w:rsidR="004649FA" w:rsidRPr="004649FA" w:rsidRDefault="00867590" w:rsidP="004719AA">
            <w:pPr>
              <w:spacing w:after="120" w:line="240" w:lineRule="auto"/>
              <w:rPr>
                <w:rFonts w:cs="Arial"/>
                <w:sz w:val="18"/>
                <w:szCs w:val="18"/>
              </w:rPr>
            </w:pPr>
            <w:r w:rsidRPr="004649FA">
              <w:rPr>
                <w:rFonts w:cs="Arial"/>
                <w:b/>
                <w:bCs/>
                <w:i/>
                <w:iCs/>
                <w:sz w:val="18"/>
                <w:szCs w:val="18"/>
              </w:rPr>
              <w:t xml:space="preserve">1.1.8 </w:t>
            </w:r>
            <w:r w:rsidRPr="004649FA">
              <w:rPr>
                <w:rFonts w:cs="Arial"/>
                <w:sz w:val="18"/>
                <w:szCs w:val="18"/>
              </w:rPr>
              <w:t xml:space="preserve">Fishing is conducted in a manner that does not threaten stocks of </w:t>
            </w:r>
            <w:proofErr w:type="spellStart"/>
            <w:r w:rsidRPr="004649FA">
              <w:rPr>
                <w:rFonts w:cs="Arial"/>
                <w:sz w:val="18"/>
                <w:szCs w:val="18"/>
              </w:rPr>
              <w:t>byproduct</w:t>
            </w:r>
            <w:proofErr w:type="spellEnd"/>
            <w:r w:rsidRPr="004649FA">
              <w:rPr>
                <w:rFonts w:cs="Arial"/>
                <w:sz w:val="18"/>
                <w:szCs w:val="18"/>
              </w:rPr>
              <w:t xml:space="preserve"> species.</w:t>
            </w:r>
          </w:p>
        </w:tc>
        <w:tc>
          <w:tcPr>
            <w:tcW w:w="3500" w:type="pct"/>
            <w:shd w:val="clear" w:color="auto" w:fill="FFC000"/>
          </w:tcPr>
          <w:p w14:paraId="3EDA640A" w14:textId="7CB508FC" w:rsidR="00C35389" w:rsidRDefault="00F8472A" w:rsidP="00CC1C87">
            <w:pPr>
              <w:spacing w:after="0" w:line="240" w:lineRule="auto"/>
              <w:rPr>
                <w:rFonts w:cs="Arial"/>
                <w:sz w:val="18"/>
                <w:szCs w:val="18"/>
              </w:rPr>
            </w:pPr>
            <w:r w:rsidRPr="00176A13">
              <w:rPr>
                <w:rFonts w:cs="Arial"/>
                <w:b/>
                <w:sz w:val="18"/>
                <w:szCs w:val="18"/>
              </w:rPr>
              <w:t>Partially meets</w:t>
            </w:r>
          </w:p>
          <w:p w14:paraId="3C294B0A" w14:textId="356D0E37" w:rsidR="0052034A" w:rsidRDefault="0052034A" w:rsidP="00921E15">
            <w:pPr>
              <w:spacing w:after="120" w:line="240" w:lineRule="auto"/>
              <w:rPr>
                <w:rFonts w:cs="Arial"/>
                <w:sz w:val="18"/>
                <w:szCs w:val="18"/>
              </w:rPr>
            </w:pPr>
            <w:r>
              <w:rPr>
                <w:rFonts w:cs="Arial"/>
                <w:sz w:val="18"/>
                <w:szCs w:val="18"/>
              </w:rPr>
              <w:t xml:space="preserve">Given the </w:t>
            </w:r>
            <w:r w:rsidRPr="00176A13">
              <w:rPr>
                <w:rFonts w:cs="Arial"/>
                <w:sz w:val="18"/>
                <w:szCs w:val="18"/>
              </w:rPr>
              <w:t xml:space="preserve">relatively low levels of fishing and </w:t>
            </w:r>
            <w:r>
              <w:rPr>
                <w:rFonts w:cs="Arial"/>
                <w:sz w:val="18"/>
                <w:szCs w:val="18"/>
              </w:rPr>
              <w:t xml:space="preserve">low risk to target species, the risk to </w:t>
            </w:r>
            <w:proofErr w:type="spellStart"/>
            <w:r>
              <w:rPr>
                <w:rFonts w:cs="Arial"/>
                <w:sz w:val="18"/>
                <w:szCs w:val="18"/>
              </w:rPr>
              <w:t>byproduct</w:t>
            </w:r>
            <w:proofErr w:type="spellEnd"/>
            <w:r>
              <w:rPr>
                <w:rFonts w:cs="Arial"/>
                <w:sz w:val="18"/>
                <w:szCs w:val="18"/>
              </w:rPr>
              <w:t xml:space="preserve"> species is likely to be low.</w:t>
            </w:r>
          </w:p>
          <w:p w14:paraId="56574BF3" w14:textId="17309A20" w:rsidR="00921E15" w:rsidRDefault="00BF74C1" w:rsidP="00921E15">
            <w:pPr>
              <w:spacing w:after="120" w:line="240" w:lineRule="auto"/>
              <w:rPr>
                <w:rFonts w:cs="Arial"/>
                <w:sz w:val="18"/>
                <w:szCs w:val="18"/>
              </w:rPr>
            </w:pPr>
            <w:r>
              <w:rPr>
                <w:rFonts w:cs="Arial"/>
                <w:sz w:val="18"/>
                <w:szCs w:val="18"/>
              </w:rPr>
              <w:t xml:space="preserve">Although the </w:t>
            </w:r>
            <w:r w:rsidR="005079D0" w:rsidRPr="00176A13">
              <w:rPr>
                <w:rFonts w:cs="Arial"/>
                <w:sz w:val="18"/>
                <w:szCs w:val="18"/>
              </w:rPr>
              <w:t>sustainability of harvest rates has been considered for target species</w:t>
            </w:r>
            <w:r>
              <w:rPr>
                <w:rFonts w:cs="Arial"/>
                <w:sz w:val="18"/>
                <w:szCs w:val="18"/>
              </w:rPr>
              <w:t xml:space="preserve">, </w:t>
            </w:r>
            <w:r w:rsidR="005079D0" w:rsidRPr="00176A13">
              <w:rPr>
                <w:rFonts w:cs="Arial"/>
                <w:sz w:val="18"/>
                <w:szCs w:val="18"/>
              </w:rPr>
              <w:t xml:space="preserve">not </w:t>
            </w:r>
            <w:proofErr w:type="spellStart"/>
            <w:r w:rsidR="00921E15">
              <w:rPr>
                <w:rFonts w:cs="Arial"/>
                <w:sz w:val="18"/>
                <w:szCs w:val="18"/>
              </w:rPr>
              <w:t>byproduct</w:t>
            </w:r>
            <w:proofErr w:type="spellEnd"/>
            <w:r w:rsidR="00921E15">
              <w:rPr>
                <w:rFonts w:cs="Arial"/>
                <w:sz w:val="18"/>
                <w:szCs w:val="18"/>
              </w:rPr>
              <w:t xml:space="preserve"> species</w:t>
            </w:r>
            <w:r>
              <w:rPr>
                <w:rFonts w:cs="Arial"/>
                <w:sz w:val="18"/>
                <w:szCs w:val="18"/>
              </w:rPr>
              <w:t xml:space="preserve">, cumulative catch limits apply to the fishery and include all species landed (target and </w:t>
            </w:r>
            <w:proofErr w:type="spellStart"/>
            <w:r>
              <w:rPr>
                <w:rFonts w:cs="Arial"/>
                <w:sz w:val="18"/>
                <w:szCs w:val="18"/>
              </w:rPr>
              <w:t>byproduct</w:t>
            </w:r>
            <w:proofErr w:type="spellEnd"/>
            <w:r>
              <w:rPr>
                <w:rFonts w:cs="Arial"/>
                <w:sz w:val="18"/>
                <w:szCs w:val="18"/>
              </w:rPr>
              <w:t>).</w:t>
            </w:r>
          </w:p>
          <w:p w14:paraId="30F78FE4" w14:textId="6321A124" w:rsidR="00867590" w:rsidRPr="00176A13" w:rsidRDefault="005079D0">
            <w:pPr>
              <w:spacing w:after="120" w:line="240" w:lineRule="auto"/>
              <w:rPr>
                <w:rFonts w:cs="Arial"/>
                <w:sz w:val="18"/>
                <w:szCs w:val="18"/>
              </w:rPr>
            </w:pPr>
            <w:r w:rsidRPr="00176A13">
              <w:rPr>
                <w:rFonts w:cs="Arial"/>
                <w:sz w:val="18"/>
                <w:szCs w:val="18"/>
              </w:rPr>
              <w:t>Ecological risk assessments are being undertaken for the SPRFMO and SIOFA areas which should clarify any risks and better facilitate risk mitigation</w:t>
            </w:r>
            <w:r w:rsidR="00E70222" w:rsidRPr="00176A13">
              <w:rPr>
                <w:rFonts w:cs="Arial"/>
                <w:sz w:val="18"/>
                <w:szCs w:val="18"/>
              </w:rPr>
              <w:t>.</w:t>
            </w:r>
          </w:p>
        </w:tc>
      </w:tr>
      <w:tr w:rsidR="00867590" w:rsidRPr="004649FA" w14:paraId="4222D52C" w14:textId="77777777" w:rsidTr="00176A13">
        <w:trPr>
          <w:cantSplit/>
        </w:trPr>
        <w:tc>
          <w:tcPr>
            <w:tcW w:w="1500" w:type="pct"/>
          </w:tcPr>
          <w:p w14:paraId="4861A5F6" w14:textId="00700A87" w:rsidR="004649FA" w:rsidRPr="004649FA" w:rsidRDefault="00867590" w:rsidP="004719AA">
            <w:pPr>
              <w:spacing w:after="120" w:line="240" w:lineRule="auto"/>
              <w:rPr>
                <w:rFonts w:cs="Arial"/>
                <w:sz w:val="18"/>
                <w:szCs w:val="18"/>
              </w:rPr>
            </w:pPr>
            <w:r w:rsidRPr="004649FA">
              <w:rPr>
                <w:rFonts w:cs="Arial"/>
                <w:b/>
                <w:bCs/>
                <w:i/>
                <w:iCs/>
                <w:sz w:val="18"/>
                <w:szCs w:val="18"/>
              </w:rPr>
              <w:t xml:space="preserve">1.1.9 </w:t>
            </w:r>
            <w:r w:rsidRPr="004649FA">
              <w:rPr>
                <w:rFonts w:cs="Arial"/>
                <w:sz w:val="18"/>
                <w:szCs w:val="18"/>
              </w:rPr>
              <w:t>The management response, considering uncertainties in the assessment and precautionary management actions, has a high chance of achieving the objective.</w:t>
            </w:r>
          </w:p>
        </w:tc>
        <w:tc>
          <w:tcPr>
            <w:tcW w:w="3500" w:type="pct"/>
            <w:shd w:val="clear" w:color="auto" w:fill="92D050"/>
          </w:tcPr>
          <w:p w14:paraId="60467F26" w14:textId="578A9ABF" w:rsidR="00C35389" w:rsidRDefault="00991073" w:rsidP="00CC1C87">
            <w:pPr>
              <w:spacing w:after="0" w:line="240" w:lineRule="auto"/>
              <w:rPr>
                <w:rFonts w:cs="Arial"/>
                <w:sz w:val="18"/>
                <w:szCs w:val="18"/>
              </w:rPr>
            </w:pPr>
            <w:r w:rsidRPr="00176A13">
              <w:rPr>
                <w:rFonts w:cs="Arial"/>
                <w:b/>
                <w:sz w:val="18"/>
                <w:szCs w:val="18"/>
              </w:rPr>
              <w:t>Meets</w:t>
            </w:r>
          </w:p>
          <w:p w14:paraId="6EC2CC41" w14:textId="0B88ABE0" w:rsidR="00867590" w:rsidRPr="00176A13" w:rsidRDefault="00DD6B89" w:rsidP="004263AE">
            <w:pPr>
              <w:spacing w:after="0" w:line="240" w:lineRule="auto"/>
              <w:rPr>
                <w:rFonts w:cs="Arial"/>
                <w:sz w:val="18"/>
                <w:szCs w:val="18"/>
              </w:rPr>
            </w:pPr>
            <w:r w:rsidRPr="00176A13">
              <w:rPr>
                <w:rFonts w:cs="Arial"/>
                <w:sz w:val="18"/>
                <w:szCs w:val="18"/>
              </w:rPr>
              <w:t>The management arrangements have a high chance of</w:t>
            </w:r>
            <w:r w:rsidR="00FF5BBC" w:rsidRPr="00176A13">
              <w:rPr>
                <w:rFonts w:cs="Arial"/>
                <w:sz w:val="18"/>
                <w:szCs w:val="18"/>
              </w:rPr>
              <w:t xml:space="preserve"> managing catches to </w:t>
            </w:r>
            <w:r w:rsidRPr="00176A13">
              <w:rPr>
                <w:rFonts w:cs="Arial"/>
                <w:sz w:val="18"/>
                <w:szCs w:val="18"/>
              </w:rPr>
              <w:t>levels that maintain ecologically viable stock levels at an agreed point or range, with acceptable levels of probability.</w:t>
            </w:r>
          </w:p>
        </w:tc>
      </w:tr>
      <w:tr w:rsidR="00867590" w:rsidRPr="004649FA" w14:paraId="5014C200" w14:textId="77777777" w:rsidTr="002330E0">
        <w:trPr>
          <w:cantSplit/>
        </w:trPr>
        <w:tc>
          <w:tcPr>
            <w:tcW w:w="5000" w:type="pct"/>
            <w:gridSpan w:val="2"/>
            <w:shd w:val="clear" w:color="auto" w:fill="DAEEF3"/>
          </w:tcPr>
          <w:p w14:paraId="4D58C0B1" w14:textId="77777777" w:rsidR="00867590" w:rsidRPr="004649FA" w:rsidRDefault="00867590" w:rsidP="004719AA">
            <w:pPr>
              <w:spacing w:after="120" w:line="240" w:lineRule="auto"/>
              <w:rPr>
                <w:rFonts w:cs="Arial"/>
                <w:b/>
                <w:bCs/>
                <w:sz w:val="20"/>
                <w:szCs w:val="20"/>
              </w:rPr>
            </w:pPr>
            <w:r w:rsidRPr="004649FA">
              <w:rPr>
                <w:rFonts w:cs="Arial"/>
                <w:b/>
                <w:bCs/>
                <w:sz w:val="20"/>
                <w:szCs w:val="20"/>
              </w:rPr>
              <w:t>If overfished, go to Objective 2:</w:t>
            </w:r>
          </w:p>
          <w:p w14:paraId="60E5199F" w14:textId="77777777" w:rsidR="00867590" w:rsidRPr="004649FA" w:rsidRDefault="00867590" w:rsidP="004719AA">
            <w:pPr>
              <w:spacing w:after="120" w:line="240" w:lineRule="auto"/>
              <w:rPr>
                <w:rFonts w:cs="Arial"/>
                <w:b/>
                <w:bCs/>
                <w:sz w:val="20"/>
                <w:szCs w:val="20"/>
              </w:rPr>
            </w:pPr>
            <w:r w:rsidRPr="004649FA">
              <w:rPr>
                <w:rFonts w:cs="Arial"/>
                <w:b/>
                <w:bCs/>
                <w:sz w:val="20"/>
                <w:szCs w:val="20"/>
              </w:rPr>
              <w:t>If not overfished, go to PRINCIPLE 2:</w:t>
            </w:r>
          </w:p>
        </w:tc>
      </w:tr>
      <w:tr w:rsidR="00867590" w:rsidRPr="004649FA" w14:paraId="4A7FBAAA" w14:textId="77777777" w:rsidTr="002330E0">
        <w:trPr>
          <w:cantSplit/>
        </w:trPr>
        <w:tc>
          <w:tcPr>
            <w:tcW w:w="5000" w:type="pct"/>
            <w:gridSpan w:val="2"/>
            <w:shd w:val="clear" w:color="auto" w:fill="B6DDE8"/>
          </w:tcPr>
          <w:p w14:paraId="476360A7" w14:textId="77777777" w:rsidR="00867590" w:rsidRPr="004649FA" w:rsidRDefault="00867590" w:rsidP="004719AA">
            <w:pPr>
              <w:spacing w:after="120" w:line="240" w:lineRule="auto"/>
              <w:rPr>
                <w:rFonts w:cs="Arial"/>
                <w:b/>
                <w:bCs/>
                <w:sz w:val="20"/>
                <w:szCs w:val="20"/>
              </w:rPr>
            </w:pPr>
            <w:r w:rsidRPr="004649FA">
              <w:rPr>
                <w:rFonts w:cs="Arial"/>
                <w:b/>
                <w:bCs/>
                <w:sz w:val="20"/>
                <w:szCs w:val="20"/>
              </w:rPr>
              <w:t xml:space="preserve">Objective 2 - </w:t>
            </w:r>
            <w:r w:rsidRPr="004649FA">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4649FA" w14:paraId="36CC6979" w14:textId="77777777" w:rsidTr="002330E0">
        <w:trPr>
          <w:cantSplit/>
        </w:trPr>
        <w:tc>
          <w:tcPr>
            <w:tcW w:w="5000" w:type="pct"/>
            <w:gridSpan w:val="2"/>
            <w:shd w:val="clear" w:color="auto" w:fill="DAEEF3"/>
          </w:tcPr>
          <w:p w14:paraId="2128D6FD" w14:textId="77777777" w:rsidR="00867590" w:rsidRPr="004649FA" w:rsidRDefault="00867590" w:rsidP="004719AA">
            <w:pPr>
              <w:spacing w:after="120" w:line="240" w:lineRule="auto"/>
              <w:rPr>
                <w:rFonts w:cs="Arial"/>
                <w:b/>
                <w:bCs/>
                <w:i/>
                <w:iCs/>
                <w:sz w:val="20"/>
                <w:szCs w:val="20"/>
              </w:rPr>
            </w:pPr>
            <w:r w:rsidRPr="004649FA">
              <w:rPr>
                <w:rFonts w:cs="Arial"/>
                <w:b/>
                <w:bCs/>
                <w:i/>
                <w:iCs/>
                <w:sz w:val="20"/>
                <w:szCs w:val="20"/>
              </w:rPr>
              <w:t xml:space="preserve">Management responses </w:t>
            </w:r>
          </w:p>
        </w:tc>
      </w:tr>
      <w:tr w:rsidR="00867590" w:rsidRPr="004649FA" w14:paraId="51B761D2" w14:textId="77777777" w:rsidTr="00176A13">
        <w:trPr>
          <w:cantSplit/>
        </w:trPr>
        <w:tc>
          <w:tcPr>
            <w:tcW w:w="1500" w:type="pct"/>
            <w:tcBorders>
              <w:bottom w:val="single" w:sz="4" w:space="0" w:color="auto"/>
            </w:tcBorders>
          </w:tcPr>
          <w:p w14:paraId="5553280C" w14:textId="28B42B15" w:rsidR="004649FA" w:rsidRPr="004649FA" w:rsidRDefault="00867590" w:rsidP="004719AA">
            <w:pPr>
              <w:spacing w:after="120" w:line="240" w:lineRule="auto"/>
              <w:rPr>
                <w:rFonts w:cs="Arial"/>
                <w:sz w:val="18"/>
                <w:szCs w:val="18"/>
              </w:rPr>
            </w:pPr>
            <w:r w:rsidRPr="004649FA">
              <w:rPr>
                <w:rFonts w:cs="Arial"/>
                <w:b/>
                <w:bCs/>
                <w:i/>
                <w:iCs/>
                <w:sz w:val="18"/>
                <w:szCs w:val="18"/>
              </w:rPr>
              <w:lastRenderedPageBreak/>
              <w:t xml:space="preserve">1.2.1 </w:t>
            </w:r>
            <w:r w:rsidRPr="004649FA">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tcBorders>
              <w:bottom w:val="single" w:sz="4" w:space="0" w:color="auto"/>
            </w:tcBorders>
            <w:shd w:val="clear" w:color="auto" w:fill="FFC000"/>
          </w:tcPr>
          <w:p w14:paraId="5005AE49" w14:textId="165420DD" w:rsidR="00C35389" w:rsidRDefault="00F8472A" w:rsidP="00CC1C87">
            <w:pPr>
              <w:spacing w:after="0" w:line="240" w:lineRule="auto"/>
              <w:rPr>
                <w:rFonts w:cs="Arial"/>
                <w:sz w:val="18"/>
                <w:szCs w:val="18"/>
              </w:rPr>
            </w:pPr>
            <w:r w:rsidRPr="00176A13">
              <w:rPr>
                <w:rFonts w:cs="Arial"/>
                <w:b/>
                <w:sz w:val="18"/>
                <w:szCs w:val="18"/>
              </w:rPr>
              <w:t>Partially meets</w:t>
            </w:r>
          </w:p>
          <w:p w14:paraId="1943CEE3" w14:textId="4691BB39" w:rsidR="006A5308" w:rsidRDefault="00922743" w:rsidP="004719AA">
            <w:pPr>
              <w:spacing w:after="120" w:line="240" w:lineRule="auto"/>
              <w:rPr>
                <w:rFonts w:cs="Arial"/>
                <w:sz w:val="18"/>
                <w:szCs w:val="18"/>
              </w:rPr>
            </w:pPr>
            <w:r w:rsidRPr="00176A13">
              <w:rPr>
                <w:rFonts w:cs="Arial"/>
                <w:sz w:val="18"/>
                <w:szCs w:val="18"/>
              </w:rPr>
              <w:t xml:space="preserve">Orange </w:t>
            </w:r>
            <w:proofErr w:type="spellStart"/>
            <w:r w:rsidR="003670E2">
              <w:rPr>
                <w:rFonts w:cs="Arial"/>
                <w:sz w:val="18"/>
                <w:szCs w:val="18"/>
              </w:rPr>
              <w:t>R</w:t>
            </w:r>
            <w:r w:rsidRPr="00176A13">
              <w:rPr>
                <w:rFonts w:cs="Arial"/>
                <w:sz w:val="18"/>
                <w:szCs w:val="18"/>
              </w:rPr>
              <w:t>oughy</w:t>
            </w:r>
            <w:proofErr w:type="spellEnd"/>
            <w:r w:rsidRPr="00176A13">
              <w:rPr>
                <w:rFonts w:cs="Arial"/>
                <w:sz w:val="18"/>
                <w:szCs w:val="18"/>
              </w:rPr>
              <w:t xml:space="preserve"> (</w:t>
            </w:r>
            <w:proofErr w:type="spellStart"/>
            <w:r w:rsidRPr="00176A13">
              <w:rPr>
                <w:rFonts w:cs="Arial"/>
                <w:i/>
                <w:iCs/>
                <w:sz w:val="18"/>
                <w:szCs w:val="18"/>
              </w:rPr>
              <w:t>Hoplostethus</w:t>
            </w:r>
            <w:proofErr w:type="spellEnd"/>
            <w:r w:rsidRPr="00176A13">
              <w:rPr>
                <w:rFonts w:cs="Arial"/>
                <w:i/>
                <w:iCs/>
                <w:sz w:val="18"/>
                <w:szCs w:val="18"/>
              </w:rPr>
              <w:t xml:space="preserve"> </w:t>
            </w:r>
            <w:proofErr w:type="spellStart"/>
            <w:r w:rsidRPr="00176A13">
              <w:rPr>
                <w:rFonts w:cs="Arial"/>
                <w:i/>
                <w:iCs/>
                <w:sz w:val="18"/>
                <w:szCs w:val="18"/>
              </w:rPr>
              <w:t>atlanticus</w:t>
            </w:r>
            <w:proofErr w:type="spellEnd"/>
            <w:r w:rsidRPr="00176A13">
              <w:rPr>
                <w:rFonts w:cs="Arial"/>
                <w:sz w:val="18"/>
                <w:szCs w:val="18"/>
              </w:rPr>
              <w:t>) in the South Tasman Rise area was last surveyed in 2002 (16 years ago) and is classified as overfished (</w:t>
            </w:r>
            <w:hyperlink r:id="rId43" w:history="1">
              <w:r w:rsidRPr="00176A13">
                <w:rPr>
                  <w:rStyle w:val="Hyperlink"/>
                  <w:rFonts w:cs="Arial"/>
                  <w:sz w:val="18"/>
                  <w:szCs w:val="18"/>
                </w:rPr>
                <w:t>Patterson et al 2017</w:t>
              </w:r>
            </w:hyperlink>
            <w:r w:rsidRPr="00176A13">
              <w:rPr>
                <w:rFonts w:cs="Arial"/>
                <w:sz w:val="18"/>
                <w:szCs w:val="18"/>
              </w:rPr>
              <w:t xml:space="preserve">). </w:t>
            </w:r>
            <w:r w:rsidR="006A5308" w:rsidRPr="00176A13">
              <w:rPr>
                <w:rFonts w:cs="Arial"/>
                <w:sz w:val="18"/>
                <w:szCs w:val="18"/>
              </w:rPr>
              <w:t>The South Tasman Rise is closed to fishing</w:t>
            </w:r>
            <w:r w:rsidR="008856C8" w:rsidRPr="00176A13">
              <w:rPr>
                <w:rFonts w:cs="Arial"/>
                <w:sz w:val="18"/>
                <w:szCs w:val="18"/>
              </w:rPr>
              <w:t xml:space="preserve"> but no formal </w:t>
            </w:r>
            <w:r w:rsidR="006A5308" w:rsidRPr="00176A13">
              <w:rPr>
                <w:rFonts w:cs="Arial"/>
                <w:sz w:val="18"/>
                <w:szCs w:val="18"/>
              </w:rPr>
              <w:t>recovery strategy is in place</w:t>
            </w:r>
            <w:r w:rsidR="00921E15">
              <w:rPr>
                <w:rFonts w:cs="Arial"/>
                <w:sz w:val="18"/>
                <w:szCs w:val="18"/>
              </w:rPr>
              <w:t xml:space="preserve"> for the overfished stock in that area</w:t>
            </w:r>
            <w:r w:rsidR="008856C8" w:rsidRPr="00176A13">
              <w:rPr>
                <w:rFonts w:cs="Arial"/>
                <w:sz w:val="18"/>
                <w:szCs w:val="18"/>
              </w:rPr>
              <w:t>.</w:t>
            </w:r>
            <w:r w:rsidR="006A5308" w:rsidRPr="00176A13">
              <w:rPr>
                <w:rFonts w:cs="Arial"/>
                <w:sz w:val="18"/>
                <w:szCs w:val="18"/>
              </w:rPr>
              <w:t xml:space="preserve"> AFMA has advised that stock status and management arrangements will be reviewed in collaboration with New Zealand, before the South Tasm</w:t>
            </w:r>
            <w:r w:rsidR="008856C8" w:rsidRPr="00176A13">
              <w:rPr>
                <w:rFonts w:cs="Arial"/>
                <w:sz w:val="18"/>
                <w:szCs w:val="18"/>
              </w:rPr>
              <w:t>an Rise is reopened to fishing.</w:t>
            </w:r>
          </w:p>
          <w:p w14:paraId="51A91A8F" w14:textId="64CEE276" w:rsidR="00BF74C1" w:rsidRPr="00176A13" w:rsidRDefault="00BF74C1" w:rsidP="004719AA">
            <w:pPr>
              <w:spacing w:after="120" w:line="240" w:lineRule="auto"/>
              <w:rPr>
                <w:rFonts w:cs="Arial"/>
                <w:sz w:val="18"/>
                <w:szCs w:val="18"/>
              </w:rPr>
            </w:pPr>
            <w:r>
              <w:rPr>
                <w:rFonts w:cs="Arial"/>
                <w:sz w:val="18"/>
                <w:szCs w:val="18"/>
              </w:rPr>
              <w:t xml:space="preserve">Low information stock assessments for the Louisville Ridge and Tasman Sea orange </w:t>
            </w:r>
            <w:proofErr w:type="spellStart"/>
            <w:r>
              <w:rPr>
                <w:rFonts w:cs="Arial"/>
                <w:sz w:val="18"/>
                <w:szCs w:val="18"/>
              </w:rPr>
              <w:t>roughy</w:t>
            </w:r>
            <w:proofErr w:type="spellEnd"/>
            <w:r>
              <w:rPr>
                <w:rFonts w:cs="Arial"/>
                <w:sz w:val="18"/>
                <w:szCs w:val="18"/>
              </w:rPr>
              <w:t xml:space="preserve"> stocks were accepted by the SPRFMO Scientific Committee at its </w:t>
            </w:r>
            <w:hyperlink r:id="rId44" w:history="1">
              <w:r>
                <w:rPr>
                  <w:rStyle w:val="Hyperlink"/>
                  <w:rFonts w:cs="Arial"/>
                  <w:sz w:val="18"/>
                  <w:szCs w:val="18"/>
                </w:rPr>
                <w:t>5</w:t>
              </w:r>
              <w:r>
                <w:rPr>
                  <w:rStyle w:val="Hyperlink"/>
                  <w:rFonts w:cs="Arial"/>
                  <w:sz w:val="18"/>
                  <w:szCs w:val="18"/>
                  <w:vertAlign w:val="superscript"/>
                </w:rPr>
                <w:t>th</w:t>
              </w:r>
              <w:r>
                <w:rPr>
                  <w:rStyle w:val="Hyperlink"/>
                  <w:rFonts w:cs="Arial"/>
                  <w:sz w:val="18"/>
                  <w:szCs w:val="18"/>
                </w:rPr>
                <w:t xml:space="preserve"> meeting</w:t>
              </w:r>
            </w:hyperlink>
            <w:r>
              <w:rPr>
                <w:rFonts w:cs="Arial"/>
                <w:sz w:val="18"/>
                <w:szCs w:val="18"/>
              </w:rPr>
              <w:t xml:space="preserve"> in October 2017. These assessments estimated the Tasman Sea stock has</w:t>
            </w:r>
            <w:r w:rsidRPr="008F5532">
              <w:rPr>
                <w:sz w:val="18"/>
                <w:szCs w:val="18"/>
              </w:rPr>
              <w:t xml:space="preserve"> </w:t>
            </w:r>
            <w:r>
              <w:rPr>
                <w:rFonts w:cs="Arial"/>
                <w:sz w:val="18"/>
                <w:szCs w:val="18"/>
              </w:rPr>
              <w:t>a higher potential of being depleted, and recommendations for interim precautionary catch limits and increased data collection targets were recommended.</w:t>
            </w:r>
          </w:p>
          <w:p w14:paraId="170C6625" w14:textId="5454B783" w:rsidR="00867590" w:rsidRPr="00176A13" w:rsidRDefault="00922743" w:rsidP="004719AA">
            <w:pPr>
              <w:spacing w:after="120" w:line="240" w:lineRule="auto"/>
              <w:rPr>
                <w:rFonts w:cs="Arial"/>
                <w:sz w:val="18"/>
                <w:szCs w:val="18"/>
              </w:rPr>
            </w:pPr>
            <w:r w:rsidRPr="00176A13">
              <w:rPr>
                <w:rFonts w:cs="Arial"/>
                <w:sz w:val="18"/>
                <w:szCs w:val="18"/>
              </w:rPr>
              <w:t>There is insufficient catch data, stock assessments or stock structure information to determine the status of any other demersal stocks caught in the SPRFMO and SIOFA areas (</w:t>
            </w:r>
            <w:hyperlink r:id="rId45" w:history="1">
              <w:r w:rsidRPr="00176A13">
                <w:rPr>
                  <w:rStyle w:val="Hyperlink"/>
                  <w:rFonts w:cs="Arial"/>
                  <w:sz w:val="18"/>
                  <w:szCs w:val="18"/>
                </w:rPr>
                <w:t>Patterson et al 2017</w:t>
              </w:r>
            </w:hyperlink>
            <w:r w:rsidRPr="00176A13">
              <w:rPr>
                <w:rFonts w:cs="Arial"/>
                <w:sz w:val="18"/>
                <w:szCs w:val="18"/>
              </w:rPr>
              <w:t xml:space="preserve">). </w:t>
            </w:r>
          </w:p>
        </w:tc>
      </w:tr>
      <w:tr w:rsidR="00867590" w:rsidRPr="004649FA" w14:paraId="6B177681" w14:textId="77777777" w:rsidTr="00176A13">
        <w:trPr>
          <w:cantSplit/>
        </w:trPr>
        <w:tc>
          <w:tcPr>
            <w:tcW w:w="1500" w:type="pct"/>
            <w:tcBorders>
              <w:bottom w:val="single" w:sz="4" w:space="0" w:color="auto"/>
            </w:tcBorders>
          </w:tcPr>
          <w:p w14:paraId="7B9BD7E1" w14:textId="513F5416" w:rsidR="004649FA" w:rsidRPr="004649FA" w:rsidRDefault="00867590" w:rsidP="004719AA">
            <w:pPr>
              <w:spacing w:after="120" w:line="240" w:lineRule="auto"/>
              <w:rPr>
                <w:rFonts w:cs="Arial"/>
                <w:sz w:val="18"/>
                <w:szCs w:val="18"/>
              </w:rPr>
            </w:pPr>
            <w:r w:rsidRPr="004649FA">
              <w:rPr>
                <w:rFonts w:cs="Arial"/>
                <w:b/>
                <w:bCs/>
                <w:i/>
                <w:iCs/>
                <w:sz w:val="18"/>
                <w:szCs w:val="18"/>
              </w:rPr>
              <w:t xml:space="preserve">1.2.2 </w:t>
            </w:r>
            <w:r w:rsidRPr="004649FA">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92D050"/>
          </w:tcPr>
          <w:p w14:paraId="47B55A16" w14:textId="31559A54" w:rsidR="00C35389" w:rsidRDefault="00F8472A" w:rsidP="00CC1C87">
            <w:pPr>
              <w:spacing w:after="0" w:line="240" w:lineRule="auto"/>
              <w:rPr>
                <w:rFonts w:cs="Arial"/>
                <w:sz w:val="18"/>
                <w:szCs w:val="18"/>
              </w:rPr>
            </w:pPr>
            <w:r w:rsidRPr="00176A13">
              <w:rPr>
                <w:rFonts w:cs="Arial"/>
                <w:b/>
                <w:sz w:val="18"/>
                <w:szCs w:val="18"/>
              </w:rPr>
              <w:t>Meets</w:t>
            </w:r>
          </w:p>
          <w:p w14:paraId="24B5BCC4" w14:textId="134DCA6C" w:rsidR="00867590" w:rsidRPr="00176A13" w:rsidRDefault="00922743" w:rsidP="00C35389">
            <w:pPr>
              <w:spacing w:after="120" w:line="240" w:lineRule="auto"/>
              <w:rPr>
                <w:rFonts w:cs="Arial"/>
                <w:sz w:val="18"/>
                <w:szCs w:val="18"/>
              </w:rPr>
            </w:pPr>
            <w:r w:rsidRPr="00176A13">
              <w:rPr>
                <w:rFonts w:cs="Arial"/>
                <w:sz w:val="18"/>
                <w:szCs w:val="18"/>
              </w:rPr>
              <w:t>The South Tasman Rise is closed to fishing (</w:t>
            </w:r>
            <w:hyperlink r:id="rId46" w:history="1">
              <w:r w:rsidRPr="00176A13">
                <w:rPr>
                  <w:rStyle w:val="Hyperlink"/>
                  <w:rFonts w:cs="Arial"/>
                  <w:sz w:val="18"/>
                  <w:szCs w:val="18"/>
                </w:rPr>
                <w:t>Patterson et al 2017</w:t>
              </w:r>
            </w:hyperlink>
            <w:r w:rsidRPr="00176A13">
              <w:rPr>
                <w:rFonts w:cs="Arial"/>
                <w:sz w:val="18"/>
                <w:szCs w:val="18"/>
              </w:rPr>
              <w:t>).</w:t>
            </w:r>
          </w:p>
        </w:tc>
      </w:tr>
      <w:tr w:rsidR="00867590" w:rsidRPr="004649FA" w14:paraId="79CFA58D" w14:textId="77777777" w:rsidTr="002330E0">
        <w:trPr>
          <w:cantSplit/>
        </w:trPr>
        <w:tc>
          <w:tcPr>
            <w:tcW w:w="5000" w:type="pct"/>
            <w:gridSpan w:val="2"/>
            <w:tcBorders>
              <w:top w:val="single" w:sz="4" w:space="0" w:color="auto"/>
            </w:tcBorders>
            <w:shd w:val="clear" w:color="auto" w:fill="B2A1C7"/>
          </w:tcPr>
          <w:p w14:paraId="315DE2B9" w14:textId="23160CA3" w:rsidR="00867590" w:rsidRPr="004649FA" w:rsidRDefault="00867590" w:rsidP="004719AA">
            <w:pPr>
              <w:autoSpaceDE w:val="0"/>
              <w:autoSpaceDN w:val="0"/>
              <w:adjustRightInd w:val="0"/>
              <w:spacing w:after="120" w:line="240" w:lineRule="auto"/>
              <w:rPr>
                <w:rFonts w:cs="Arial"/>
                <w:sz w:val="20"/>
                <w:szCs w:val="20"/>
              </w:rPr>
            </w:pPr>
            <w:r w:rsidRPr="004649FA">
              <w:rPr>
                <w:rFonts w:cs="Arial"/>
                <w:b/>
                <w:bCs/>
                <w:sz w:val="20"/>
                <w:szCs w:val="20"/>
              </w:rPr>
              <w:t xml:space="preserve">PRINCIPLE 2 - </w:t>
            </w:r>
            <w:r w:rsidRPr="004649FA">
              <w:rPr>
                <w:rFonts w:cs="Arial"/>
                <w:sz w:val="20"/>
                <w:szCs w:val="20"/>
              </w:rPr>
              <w:t>Fishing operations should be managed to minimise</w:t>
            </w:r>
            <w:r w:rsidR="006B6EF9" w:rsidRPr="004649FA">
              <w:rPr>
                <w:rFonts w:cs="Arial"/>
                <w:sz w:val="20"/>
                <w:szCs w:val="20"/>
              </w:rPr>
              <w:t xml:space="preserve"> their impact on the structure, </w:t>
            </w:r>
            <w:r w:rsidRPr="004649FA">
              <w:rPr>
                <w:rFonts w:cs="Arial"/>
                <w:sz w:val="20"/>
                <w:szCs w:val="20"/>
              </w:rPr>
              <w:t>productivity, function and biological diversity of the ecosystem.</w:t>
            </w:r>
          </w:p>
        </w:tc>
      </w:tr>
      <w:tr w:rsidR="00867590" w:rsidRPr="004649FA" w14:paraId="5D87684C" w14:textId="77777777" w:rsidTr="002330E0">
        <w:trPr>
          <w:cantSplit/>
        </w:trPr>
        <w:tc>
          <w:tcPr>
            <w:tcW w:w="5000" w:type="pct"/>
            <w:gridSpan w:val="2"/>
            <w:shd w:val="clear" w:color="auto" w:fill="CCC0D9"/>
          </w:tcPr>
          <w:p w14:paraId="1117EA62" w14:textId="58F055E1" w:rsidR="00867590" w:rsidRPr="004649FA" w:rsidRDefault="00867590" w:rsidP="004719AA">
            <w:pPr>
              <w:autoSpaceDE w:val="0"/>
              <w:autoSpaceDN w:val="0"/>
              <w:adjustRightInd w:val="0"/>
              <w:spacing w:after="120" w:line="240" w:lineRule="auto"/>
              <w:rPr>
                <w:rFonts w:cs="Arial"/>
                <w:sz w:val="20"/>
                <w:szCs w:val="20"/>
              </w:rPr>
            </w:pPr>
            <w:r w:rsidRPr="004649FA">
              <w:rPr>
                <w:rFonts w:cs="Arial"/>
                <w:b/>
                <w:bCs/>
                <w:sz w:val="20"/>
                <w:szCs w:val="20"/>
              </w:rPr>
              <w:t xml:space="preserve">Objective 1 - </w:t>
            </w:r>
            <w:r w:rsidRPr="004649FA">
              <w:rPr>
                <w:rFonts w:cs="Arial"/>
                <w:sz w:val="20"/>
                <w:szCs w:val="20"/>
              </w:rPr>
              <w:t>The fishery is conducted in a manner that does not threat</w:t>
            </w:r>
            <w:r w:rsidR="006B6EF9" w:rsidRPr="004649FA">
              <w:rPr>
                <w:rFonts w:cs="Arial"/>
                <w:sz w:val="20"/>
                <w:szCs w:val="20"/>
              </w:rPr>
              <w:t xml:space="preserve">en bycatch </w:t>
            </w:r>
            <w:r w:rsidRPr="004649FA">
              <w:rPr>
                <w:rFonts w:cs="Arial"/>
                <w:sz w:val="20"/>
                <w:szCs w:val="20"/>
              </w:rPr>
              <w:t>species.</w:t>
            </w:r>
          </w:p>
        </w:tc>
      </w:tr>
      <w:tr w:rsidR="00867590" w:rsidRPr="004649FA" w14:paraId="0E8276E1" w14:textId="77777777" w:rsidTr="002330E0">
        <w:trPr>
          <w:cantSplit/>
        </w:trPr>
        <w:tc>
          <w:tcPr>
            <w:tcW w:w="5000" w:type="pct"/>
            <w:gridSpan w:val="2"/>
            <w:shd w:val="clear" w:color="auto" w:fill="E5DFEC"/>
          </w:tcPr>
          <w:p w14:paraId="2EB91C61" w14:textId="77777777" w:rsidR="00867590" w:rsidRPr="004649FA" w:rsidRDefault="00867590" w:rsidP="004719AA">
            <w:pPr>
              <w:spacing w:after="120" w:line="240" w:lineRule="auto"/>
              <w:rPr>
                <w:rFonts w:cs="Arial"/>
                <w:b/>
                <w:bCs/>
                <w:i/>
                <w:iCs/>
                <w:sz w:val="20"/>
                <w:szCs w:val="20"/>
              </w:rPr>
            </w:pPr>
            <w:r w:rsidRPr="004649FA">
              <w:rPr>
                <w:rFonts w:cs="Arial"/>
                <w:b/>
                <w:bCs/>
                <w:i/>
                <w:iCs/>
                <w:sz w:val="20"/>
                <w:szCs w:val="20"/>
              </w:rPr>
              <w:t>Information requirements</w:t>
            </w:r>
          </w:p>
        </w:tc>
      </w:tr>
      <w:tr w:rsidR="00867590" w:rsidRPr="004649FA" w14:paraId="5E08C7C1" w14:textId="77777777" w:rsidTr="00176A13">
        <w:trPr>
          <w:cantSplit/>
        </w:trPr>
        <w:tc>
          <w:tcPr>
            <w:tcW w:w="1500" w:type="pct"/>
          </w:tcPr>
          <w:p w14:paraId="1F0D0CE5" w14:textId="5A272727" w:rsidR="004649FA" w:rsidRPr="004649FA" w:rsidRDefault="00867590" w:rsidP="004719AA">
            <w:pPr>
              <w:spacing w:after="120" w:line="240" w:lineRule="auto"/>
              <w:rPr>
                <w:rFonts w:cs="Arial"/>
                <w:sz w:val="18"/>
                <w:szCs w:val="18"/>
              </w:rPr>
            </w:pPr>
            <w:r w:rsidRPr="004649FA">
              <w:rPr>
                <w:rFonts w:cs="Arial"/>
                <w:b/>
                <w:bCs/>
                <w:i/>
                <w:iCs/>
                <w:sz w:val="18"/>
                <w:szCs w:val="18"/>
              </w:rPr>
              <w:t xml:space="preserve">2.1.1 </w:t>
            </w:r>
            <w:r w:rsidRPr="004649FA">
              <w:rPr>
                <w:rFonts w:cs="Arial"/>
                <w:sz w:val="18"/>
                <w:szCs w:val="18"/>
              </w:rPr>
              <w:t>Reliable information, appropriate to the scale of the fishery, is collected on the composition and abundance of bycatch.</w:t>
            </w:r>
          </w:p>
        </w:tc>
        <w:tc>
          <w:tcPr>
            <w:tcW w:w="3500" w:type="pct"/>
            <w:shd w:val="clear" w:color="auto" w:fill="92D050"/>
          </w:tcPr>
          <w:p w14:paraId="32A1A702" w14:textId="46A7F67E" w:rsidR="00C35389" w:rsidRDefault="00F8472A" w:rsidP="00CC1C87">
            <w:pPr>
              <w:spacing w:after="0" w:line="240" w:lineRule="auto"/>
              <w:rPr>
                <w:rFonts w:cs="Arial"/>
                <w:sz w:val="18"/>
                <w:szCs w:val="18"/>
              </w:rPr>
            </w:pPr>
            <w:r w:rsidRPr="00176A13">
              <w:rPr>
                <w:rFonts w:cs="Arial"/>
                <w:b/>
                <w:sz w:val="18"/>
                <w:szCs w:val="18"/>
              </w:rPr>
              <w:t>Meets</w:t>
            </w:r>
          </w:p>
          <w:p w14:paraId="3AA701CC" w14:textId="7E90D755" w:rsidR="00867590" w:rsidRDefault="00B226B5" w:rsidP="00E43CD3">
            <w:pPr>
              <w:spacing w:after="120" w:line="240" w:lineRule="auto"/>
              <w:rPr>
                <w:rFonts w:cs="Arial"/>
                <w:sz w:val="18"/>
                <w:szCs w:val="18"/>
              </w:rPr>
            </w:pPr>
            <w:r w:rsidRPr="00176A13">
              <w:rPr>
                <w:rFonts w:cs="Arial"/>
                <w:sz w:val="18"/>
                <w:szCs w:val="18"/>
              </w:rPr>
              <w:t xml:space="preserve">There is a robust information </w:t>
            </w:r>
            <w:r w:rsidR="00F95F29" w:rsidRPr="00176A13">
              <w:rPr>
                <w:rFonts w:cs="Arial"/>
                <w:sz w:val="18"/>
                <w:szCs w:val="18"/>
              </w:rPr>
              <w:t>collection program in place</w:t>
            </w:r>
            <w:r w:rsidR="00991073" w:rsidRPr="00176A13">
              <w:rPr>
                <w:rFonts w:cs="Arial"/>
                <w:sz w:val="18"/>
                <w:szCs w:val="18"/>
              </w:rPr>
              <w:t xml:space="preserve"> which </w:t>
            </w:r>
            <w:r w:rsidR="00F95F29" w:rsidRPr="00176A13">
              <w:rPr>
                <w:rFonts w:cs="Arial"/>
                <w:sz w:val="18"/>
                <w:szCs w:val="18"/>
              </w:rPr>
              <w:t xml:space="preserve">provides a good insight into the activities of the fishery, but has limited capacity to inform on fishery </w:t>
            </w:r>
            <w:r w:rsidR="00991073" w:rsidRPr="00176A13">
              <w:rPr>
                <w:rFonts w:cs="Arial"/>
                <w:sz w:val="18"/>
                <w:szCs w:val="18"/>
              </w:rPr>
              <w:t>status more broadly</w:t>
            </w:r>
            <w:r w:rsidR="00F95F29" w:rsidRPr="00176A13">
              <w:rPr>
                <w:rFonts w:cs="Arial"/>
                <w:sz w:val="18"/>
                <w:szCs w:val="18"/>
              </w:rPr>
              <w:t xml:space="preserve"> due to the relatively limited fishing effort and scale of the fishery.</w:t>
            </w:r>
          </w:p>
          <w:p w14:paraId="2508CF63" w14:textId="40228A8E" w:rsidR="00BA11CE" w:rsidRPr="00176A13" w:rsidRDefault="00BA11CE">
            <w:pPr>
              <w:spacing w:after="120" w:line="240" w:lineRule="auto"/>
              <w:rPr>
                <w:rFonts w:cs="Arial"/>
                <w:sz w:val="18"/>
                <w:szCs w:val="18"/>
              </w:rPr>
            </w:pPr>
            <w:r>
              <w:rPr>
                <w:rFonts w:cs="Arial"/>
                <w:sz w:val="18"/>
                <w:szCs w:val="18"/>
              </w:rPr>
              <w:t>Catch is generally reported to species-level.</w:t>
            </w:r>
          </w:p>
        </w:tc>
      </w:tr>
      <w:tr w:rsidR="00570FD7" w:rsidRPr="004649FA" w14:paraId="3C6ED600" w14:textId="77777777" w:rsidTr="00515702">
        <w:trPr>
          <w:cantSplit/>
        </w:trPr>
        <w:tc>
          <w:tcPr>
            <w:tcW w:w="5000" w:type="pct"/>
            <w:gridSpan w:val="2"/>
            <w:shd w:val="clear" w:color="auto" w:fill="E5DFEC"/>
          </w:tcPr>
          <w:p w14:paraId="3EE398EF" w14:textId="49241661" w:rsidR="00570FD7" w:rsidRPr="004649FA" w:rsidRDefault="00570FD7" w:rsidP="00515702">
            <w:pPr>
              <w:spacing w:after="120" w:line="240" w:lineRule="auto"/>
              <w:rPr>
                <w:rFonts w:cs="Arial"/>
                <w:b/>
                <w:bCs/>
                <w:i/>
                <w:iCs/>
                <w:sz w:val="20"/>
                <w:szCs w:val="20"/>
              </w:rPr>
            </w:pPr>
            <w:r w:rsidRPr="004649FA">
              <w:rPr>
                <w:rFonts w:cs="Arial"/>
                <w:b/>
                <w:bCs/>
                <w:i/>
                <w:iCs/>
                <w:sz w:val="20"/>
                <w:szCs w:val="20"/>
              </w:rPr>
              <w:t xml:space="preserve">Assessment </w:t>
            </w:r>
          </w:p>
        </w:tc>
      </w:tr>
      <w:tr w:rsidR="00570FD7" w:rsidRPr="004649FA" w14:paraId="7D264198" w14:textId="77777777" w:rsidTr="00515702">
        <w:trPr>
          <w:cantSplit/>
        </w:trPr>
        <w:tc>
          <w:tcPr>
            <w:tcW w:w="1500" w:type="pct"/>
          </w:tcPr>
          <w:p w14:paraId="03149B4A" w14:textId="77777777" w:rsidR="00570FD7" w:rsidRPr="004649FA" w:rsidRDefault="00570FD7" w:rsidP="00515702">
            <w:pPr>
              <w:spacing w:after="120" w:line="240" w:lineRule="auto"/>
              <w:rPr>
                <w:rFonts w:cs="Arial"/>
                <w:sz w:val="18"/>
                <w:szCs w:val="18"/>
              </w:rPr>
            </w:pPr>
            <w:r w:rsidRPr="004649FA">
              <w:rPr>
                <w:rFonts w:cs="Arial"/>
                <w:b/>
                <w:bCs/>
                <w:i/>
                <w:iCs/>
                <w:sz w:val="18"/>
                <w:szCs w:val="18"/>
              </w:rPr>
              <w:t xml:space="preserve">2.1.2 </w:t>
            </w:r>
            <w:r w:rsidRPr="004649FA">
              <w:rPr>
                <w:rFonts w:cs="Arial"/>
                <w:sz w:val="18"/>
                <w:szCs w:val="18"/>
              </w:rPr>
              <w:t>There is a risk analysis of the bycatch with respect to its vulnerability to fishing.</w:t>
            </w:r>
          </w:p>
        </w:tc>
        <w:tc>
          <w:tcPr>
            <w:tcW w:w="3500" w:type="pct"/>
            <w:shd w:val="clear" w:color="auto" w:fill="FF0000"/>
          </w:tcPr>
          <w:p w14:paraId="48961ED4" w14:textId="77777777" w:rsidR="00570FD7" w:rsidRDefault="00570FD7" w:rsidP="00515702">
            <w:pPr>
              <w:spacing w:after="0" w:line="240" w:lineRule="auto"/>
              <w:rPr>
                <w:rFonts w:cs="Arial"/>
                <w:sz w:val="18"/>
                <w:szCs w:val="18"/>
              </w:rPr>
            </w:pPr>
            <w:r w:rsidRPr="002C189B">
              <w:rPr>
                <w:rFonts w:cs="Arial"/>
                <w:b/>
                <w:sz w:val="18"/>
                <w:szCs w:val="18"/>
              </w:rPr>
              <w:t>Does not meet</w:t>
            </w:r>
          </w:p>
          <w:p w14:paraId="422986A8" w14:textId="77777777" w:rsidR="00570FD7" w:rsidRDefault="00570FD7" w:rsidP="00515702">
            <w:pPr>
              <w:spacing w:after="120" w:line="240" w:lineRule="auto"/>
              <w:rPr>
                <w:rFonts w:cs="Arial"/>
                <w:sz w:val="18"/>
                <w:szCs w:val="18"/>
              </w:rPr>
            </w:pPr>
            <w:r>
              <w:rPr>
                <w:rFonts w:cs="Arial"/>
                <w:sz w:val="18"/>
                <w:szCs w:val="18"/>
              </w:rPr>
              <w:t>Although n</w:t>
            </w:r>
            <w:r w:rsidRPr="002C189B">
              <w:rPr>
                <w:rFonts w:cs="Arial"/>
                <w:sz w:val="18"/>
                <w:szCs w:val="18"/>
              </w:rPr>
              <w:t xml:space="preserve">o </w:t>
            </w:r>
            <w:r>
              <w:rPr>
                <w:rFonts w:cs="Arial"/>
                <w:sz w:val="18"/>
                <w:szCs w:val="18"/>
              </w:rPr>
              <w:t xml:space="preserve">ecological </w:t>
            </w:r>
            <w:r w:rsidRPr="002C189B">
              <w:rPr>
                <w:rFonts w:cs="Arial"/>
                <w:sz w:val="18"/>
                <w:szCs w:val="18"/>
              </w:rPr>
              <w:t>risk assessments have been undertaken</w:t>
            </w:r>
            <w:r>
              <w:rPr>
                <w:rFonts w:cs="Arial"/>
                <w:sz w:val="18"/>
                <w:szCs w:val="18"/>
              </w:rPr>
              <w:t>, bycatch is relatively low in the fishery</w:t>
            </w:r>
            <w:r w:rsidRPr="002C189B">
              <w:rPr>
                <w:rFonts w:cs="Arial"/>
                <w:sz w:val="18"/>
                <w:szCs w:val="18"/>
              </w:rPr>
              <w:t>.</w:t>
            </w:r>
          </w:p>
          <w:p w14:paraId="4E1FAB21" w14:textId="77777777" w:rsidR="00570FD7" w:rsidRDefault="00570FD7" w:rsidP="00515702">
            <w:pPr>
              <w:spacing w:after="120" w:line="240" w:lineRule="auto"/>
              <w:rPr>
                <w:rFonts w:cs="Arial"/>
                <w:sz w:val="18"/>
                <w:szCs w:val="18"/>
              </w:rPr>
            </w:pPr>
            <w:r w:rsidRPr="002C189B">
              <w:rPr>
                <w:rFonts w:cs="Arial"/>
                <w:sz w:val="18"/>
                <w:szCs w:val="18"/>
              </w:rPr>
              <w:t>The sustainability assessment undertaken in 2012 (</w:t>
            </w:r>
            <w:proofErr w:type="spellStart"/>
            <w:r w:rsidR="003B7E92">
              <w:fldChar w:fldCharType="begin"/>
            </w:r>
            <w:r w:rsidR="003B7E92">
              <w:instrText xml:space="preserve"> HYPERLINK "http://www.afma.gov.au/wp-content/uploads/2014/02/High-Seas-Sustainabilty-Assessment-2012.pdf" </w:instrText>
            </w:r>
            <w:r w:rsidR="003B7E92">
              <w:fldChar w:fldCharType="separate"/>
            </w:r>
            <w:r w:rsidRPr="002C189B">
              <w:rPr>
                <w:rStyle w:val="Hyperlink"/>
                <w:rFonts w:cs="Arial"/>
                <w:sz w:val="18"/>
                <w:szCs w:val="18"/>
              </w:rPr>
              <w:t>Woodhams</w:t>
            </w:r>
            <w:proofErr w:type="spellEnd"/>
            <w:r w:rsidRPr="002C189B">
              <w:rPr>
                <w:rStyle w:val="Hyperlink"/>
                <w:rFonts w:cs="Arial"/>
                <w:sz w:val="18"/>
                <w:szCs w:val="18"/>
              </w:rPr>
              <w:t xml:space="preserve"> et al. 2012)</w:t>
            </w:r>
            <w:r w:rsidR="003B7E92">
              <w:rPr>
                <w:rStyle w:val="Hyperlink"/>
                <w:rFonts w:cs="Arial"/>
                <w:sz w:val="18"/>
                <w:szCs w:val="18"/>
              </w:rPr>
              <w:fldChar w:fldCharType="end"/>
            </w:r>
            <w:r w:rsidRPr="002C189B">
              <w:rPr>
                <w:rFonts w:cs="Arial"/>
                <w:sz w:val="18"/>
                <w:szCs w:val="18"/>
              </w:rPr>
              <w:t xml:space="preserve"> assessed the harvest rates of species </w:t>
            </w:r>
            <w:r w:rsidRPr="004E615C">
              <w:rPr>
                <w:rFonts w:cs="Arial"/>
                <w:sz w:val="18"/>
                <w:szCs w:val="18"/>
              </w:rPr>
              <w:t>targeted</w:t>
            </w:r>
            <w:r w:rsidRPr="00E77B51">
              <w:rPr>
                <w:rFonts w:cs="Arial"/>
                <w:sz w:val="18"/>
                <w:szCs w:val="18"/>
              </w:rPr>
              <w:t xml:space="preserve"> </w:t>
            </w:r>
            <w:r w:rsidRPr="002C189B">
              <w:rPr>
                <w:rFonts w:cs="Arial"/>
                <w:sz w:val="18"/>
                <w:szCs w:val="18"/>
              </w:rPr>
              <w:t>by Australian vessels but did not consider bycatch species.</w:t>
            </w:r>
          </w:p>
          <w:p w14:paraId="2FF4F17F" w14:textId="77777777" w:rsidR="00570FD7" w:rsidRPr="002C189B" w:rsidRDefault="00570FD7" w:rsidP="00515702">
            <w:pPr>
              <w:spacing w:after="120" w:line="240" w:lineRule="auto"/>
              <w:rPr>
                <w:rFonts w:cs="Arial"/>
                <w:sz w:val="18"/>
                <w:szCs w:val="18"/>
              </w:rPr>
            </w:pPr>
            <w:r w:rsidRPr="002C189B">
              <w:rPr>
                <w:rFonts w:cs="Arial"/>
                <w:sz w:val="18"/>
                <w:szCs w:val="18"/>
              </w:rPr>
              <w:t xml:space="preserve">Australia and New Zealand governments are developing a new conservation and management measure for </w:t>
            </w:r>
            <w:r>
              <w:rPr>
                <w:rFonts w:cs="Arial"/>
                <w:sz w:val="18"/>
                <w:szCs w:val="18"/>
              </w:rPr>
              <w:t>b</w:t>
            </w:r>
            <w:r w:rsidRPr="002C189B">
              <w:rPr>
                <w:rFonts w:cs="Arial"/>
                <w:sz w:val="18"/>
                <w:szCs w:val="18"/>
              </w:rPr>
              <w:t xml:space="preserve">ottom </w:t>
            </w:r>
            <w:r>
              <w:rPr>
                <w:rFonts w:cs="Arial"/>
                <w:sz w:val="18"/>
                <w:szCs w:val="18"/>
              </w:rPr>
              <w:t>f</w:t>
            </w:r>
            <w:r w:rsidRPr="002C189B">
              <w:rPr>
                <w:rFonts w:cs="Arial"/>
                <w:sz w:val="18"/>
                <w:szCs w:val="18"/>
              </w:rPr>
              <w:t xml:space="preserve">ishing in the SPRFMO Convention Area. This includes the use of low-information stock assessment approaches, models for predicting the distribution of vulnerable marine ecosystems, and the application of spatial decision support tools. </w:t>
            </w:r>
          </w:p>
          <w:p w14:paraId="62E16D2D" w14:textId="325F8CDF" w:rsidR="00570FD7" w:rsidRPr="002C189B" w:rsidRDefault="00570FD7" w:rsidP="003670E2">
            <w:pPr>
              <w:spacing w:after="120" w:line="240" w:lineRule="auto"/>
              <w:rPr>
                <w:rFonts w:cs="Arial"/>
                <w:sz w:val="18"/>
                <w:szCs w:val="18"/>
              </w:rPr>
            </w:pPr>
            <w:r w:rsidRPr="002C189B">
              <w:rPr>
                <w:rFonts w:cs="Arial"/>
                <w:sz w:val="18"/>
                <w:szCs w:val="18"/>
              </w:rPr>
              <w:t xml:space="preserve">Catch limits will be based on each stock’s biological characteristics and a tiered stock assessment framework and risk analyses will be used to manage risks and uncertainties. So far this work has focussed on the main target species, </w:t>
            </w:r>
            <w:r w:rsidR="003670E2">
              <w:rPr>
                <w:rFonts w:cs="Arial"/>
                <w:sz w:val="18"/>
                <w:szCs w:val="18"/>
              </w:rPr>
              <w:t>O</w:t>
            </w:r>
            <w:r w:rsidRPr="002C189B">
              <w:rPr>
                <w:rFonts w:cs="Arial"/>
                <w:sz w:val="18"/>
                <w:szCs w:val="18"/>
              </w:rPr>
              <w:t xml:space="preserve">range </w:t>
            </w:r>
            <w:proofErr w:type="spellStart"/>
            <w:r w:rsidR="003670E2">
              <w:rPr>
                <w:rFonts w:cs="Arial"/>
                <w:sz w:val="18"/>
                <w:szCs w:val="18"/>
              </w:rPr>
              <w:t>R</w:t>
            </w:r>
            <w:r w:rsidRPr="002C189B">
              <w:rPr>
                <w:rFonts w:cs="Arial"/>
                <w:sz w:val="18"/>
                <w:szCs w:val="18"/>
              </w:rPr>
              <w:t>oughy</w:t>
            </w:r>
            <w:proofErr w:type="spellEnd"/>
            <w:r w:rsidRPr="002C189B">
              <w:rPr>
                <w:rFonts w:cs="Arial"/>
                <w:sz w:val="18"/>
                <w:szCs w:val="18"/>
              </w:rPr>
              <w:t xml:space="preserve"> (</w:t>
            </w:r>
            <w:proofErr w:type="spellStart"/>
            <w:r w:rsidRPr="002C189B">
              <w:rPr>
                <w:rFonts w:cs="Arial"/>
                <w:i/>
                <w:iCs/>
                <w:sz w:val="18"/>
                <w:szCs w:val="18"/>
              </w:rPr>
              <w:t>Hoplostethus</w:t>
            </w:r>
            <w:proofErr w:type="spellEnd"/>
            <w:r w:rsidRPr="002C189B">
              <w:rPr>
                <w:rFonts w:cs="Arial"/>
                <w:i/>
                <w:iCs/>
                <w:sz w:val="18"/>
                <w:szCs w:val="18"/>
              </w:rPr>
              <w:t xml:space="preserve"> </w:t>
            </w:r>
            <w:proofErr w:type="spellStart"/>
            <w:r w:rsidRPr="002C189B">
              <w:rPr>
                <w:rFonts w:cs="Arial"/>
                <w:i/>
                <w:iCs/>
                <w:sz w:val="18"/>
                <w:szCs w:val="18"/>
              </w:rPr>
              <w:t>atlanticus</w:t>
            </w:r>
            <w:proofErr w:type="spellEnd"/>
            <w:r w:rsidRPr="002C189B">
              <w:rPr>
                <w:rFonts w:cs="Arial"/>
                <w:sz w:val="18"/>
                <w:szCs w:val="18"/>
              </w:rPr>
              <w:t>), but approaches are being considered for other species, including bycatch species. These changes are outlined in COMM 6 – INF 09 which is available online (</w:t>
            </w:r>
            <w:hyperlink r:id="rId47" w:history="1">
              <w:r w:rsidRPr="002C189B">
                <w:rPr>
                  <w:rStyle w:val="Hyperlink"/>
                  <w:rFonts w:cs="Arial"/>
                  <w:sz w:val="18"/>
                  <w:szCs w:val="18"/>
                </w:rPr>
                <w:t>https://www.sprfmo.int/assets/00-2018-COMM6/COMM6-INF09-NZ-bottom-Fishing.pdf</w:t>
              </w:r>
            </w:hyperlink>
            <w:r w:rsidRPr="002C189B">
              <w:rPr>
                <w:rFonts w:cs="Arial"/>
                <w:sz w:val="18"/>
                <w:szCs w:val="18"/>
              </w:rPr>
              <w:t>) and are expected to be implemented in 2019.</w:t>
            </w:r>
          </w:p>
        </w:tc>
      </w:tr>
      <w:tr w:rsidR="00570FD7" w:rsidRPr="004649FA" w14:paraId="442E31B1" w14:textId="77777777" w:rsidTr="00515702">
        <w:trPr>
          <w:cantSplit/>
        </w:trPr>
        <w:tc>
          <w:tcPr>
            <w:tcW w:w="5000" w:type="pct"/>
            <w:gridSpan w:val="2"/>
            <w:shd w:val="clear" w:color="auto" w:fill="E5DFEC"/>
          </w:tcPr>
          <w:p w14:paraId="3FAF53CA" w14:textId="77777777" w:rsidR="00570FD7" w:rsidRPr="004649FA" w:rsidRDefault="00570FD7" w:rsidP="00515702">
            <w:pPr>
              <w:spacing w:after="120" w:line="240" w:lineRule="auto"/>
              <w:rPr>
                <w:rFonts w:cs="Arial"/>
                <w:b/>
                <w:bCs/>
                <w:i/>
                <w:iCs/>
                <w:sz w:val="20"/>
                <w:szCs w:val="20"/>
              </w:rPr>
            </w:pPr>
            <w:r w:rsidRPr="004649FA">
              <w:rPr>
                <w:rFonts w:cs="Arial"/>
                <w:b/>
                <w:bCs/>
                <w:i/>
                <w:iCs/>
                <w:sz w:val="20"/>
                <w:szCs w:val="20"/>
              </w:rPr>
              <w:t>Management responses</w:t>
            </w:r>
          </w:p>
        </w:tc>
      </w:tr>
      <w:tr w:rsidR="00570FD7" w:rsidRPr="004649FA" w14:paraId="0BD60F22" w14:textId="77777777" w:rsidTr="00515702">
        <w:trPr>
          <w:cantSplit/>
        </w:trPr>
        <w:tc>
          <w:tcPr>
            <w:tcW w:w="1500" w:type="pct"/>
          </w:tcPr>
          <w:p w14:paraId="3B352DD1" w14:textId="77777777" w:rsidR="00570FD7" w:rsidRPr="004649FA" w:rsidRDefault="00570FD7" w:rsidP="00515702">
            <w:pPr>
              <w:spacing w:after="120" w:line="240" w:lineRule="auto"/>
              <w:rPr>
                <w:rFonts w:cs="Arial"/>
                <w:sz w:val="18"/>
                <w:szCs w:val="18"/>
              </w:rPr>
            </w:pPr>
            <w:r w:rsidRPr="004649FA">
              <w:rPr>
                <w:rFonts w:cs="Arial"/>
                <w:b/>
                <w:bCs/>
                <w:i/>
                <w:iCs/>
                <w:sz w:val="18"/>
                <w:szCs w:val="18"/>
              </w:rPr>
              <w:lastRenderedPageBreak/>
              <w:t xml:space="preserve">2.1.3 </w:t>
            </w:r>
            <w:r w:rsidRPr="004649FA">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00" w:type="pct"/>
            <w:shd w:val="clear" w:color="auto" w:fill="92D050"/>
          </w:tcPr>
          <w:p w14:paraId="022B6E97" w14:textId="77777777" w:rsidR="00570FD7" w:rsidRDefault="00570FD7" w:rsidP="00515702">
            <w:pPr>
              <w:spacing w:after="0" w:line="240" w:lineRule="auto"/>
              <w:rPr>
                <w:rFonts w:cs="Arial"/>
                <w:sz w:val="18"/>
                <w:szCs w:val="18"/>
              </w:rPr>
            </w:pPr>
            <w:r w:rsidRPr="00176A13">
              <w:rPr>
                <w:rFonts w:cs="Arial"/>
                <w:b/>
                <w:sz w:val="18"/>
                <w:szCs w:val="18"/>
              </w:rPr>
              <w:t>Meets</w:t>
            </w:r>
          </w:p>
          <w:p w14:paraId="573E4B28" w14:textId="77777777" w:rsidR="00570FD7" w:rsidRPr="00176A13" w:rsidRDefault="00570FD7" w:rsidP="00515702">
            <w:pPr>
              <w:spacing w:after="120" w:line="240" w:lineRule="auto"/>
              <w:rPr>
                <w:rFonts w:cs="Arial"/>
                <w:sz w:val="18"/>
                <w:szCs w:val="18"/>
              </w:rPr>
            </w:pPr>
            <w:r w:rsidRPr="00176A13">
              <w:rPr>
                <w:rFonts w:cs="Arial"/>
                <w:sz w:val="18"/>
                <w:szCs w:val="18"/>
              </w:rPr>
              <w:t xml:space="preserve">Fishers are required to use tori lines while using longlines, bird bafflers when using trawl gear and to manage the discharge of biological material with both longline and trawl methods. </w:t>
            </w:r>
            <w:r>
              <w:rPr>
                <w:rFonts w:cs="Arial"/>
                <w:sz w:val="18"/>
                <w:szCs w:val="18"/>
              </w:rPr>
              <w:t>These measures mitigate risks to seabirds which are protected under the EPBC Act.</w:t>
            </w:r>
          </w:p>
        </w:tc>
      </w:tr>
      <w:tr w:rsidR="00570FD7" w:rsidRPr="004649FA" w14:paraId="0C4C3FEB" w14:textId="77777777" w:rsidTr="00515702">
        <w:trPr>
          <w:cantSplit/>
        </w:trPr>
        <w:tc>
          <w:tcPr>
            <w:tcW w:w="1500" w:type="pct"/>
          </w:tcPr>
          <w:p w14:paraId="2E0F4E6A" w14:textId="77777777" w:rsidR="00570FD7" w:rsidRPr="004649FA" w:rsidRDefault="00570FD7" w:rsidP="00515702">
            <w:pPr>
              <w:spacing w:after="120" w:line="240" w:lineRule="auto"/>
              <w:rPr>
                <w:rFonts w:cs="Arial"/>
                <w:sz w:val="18"/>
                <w:szCs w:val="18"/>
              </w:rPr>
            </w:pPr>
            <w:r w:rsidRPr="004649FA">
              <w:rPr>
                <w:rFonts w:cs="Arial"/>
                <w:b/>
                <w:bCs/>
                <w:i/>
                <w:iCs/>
                <w:sz w:val="18"/>
                <w:szCs w:val="18"/>
              </w:rPr>
              <w:t xml:space="preserve">2.1.4 </w:t>
            </w:r>
            <w:r w:rsidRPr="004649FA">
              <w:rPr>
                <w:rFonts w:cs="Arial"/>
                <w:sz w:val="18"/>
                <w:szCs w:val="18"/>
              </w:rPr>
              <w:t xml:space="preserve">An indicator group of bycatch species is monitored. </w:t>
            </w:r>
          </w:p>
        </w:tc>
        <w:tc>
          <w:tcPr>
            <w:tcW w:w="3500" w:type="pct"/>
            <w:shd w:val="clear" w:color="auto" w:fill="FF0000"/>
          </w:tcPr>
          <w:p w14:paraId="1C4001CA" w14:textId="77777777" w:rsidR="00570FD7" w:rsidRDefault="00570FD7" w:rsidP="00515702">
            <w:pPr>
              <w:spacing w:after="0" w:line="240" w:lineRule="auto"/>
              <w:rPr>
                <w:rFonts w:cs="Arial"/>
                <w:sz w:val="18"/>
                <w:szCs w:val="18"/>
              </w:rPr>
            </w:pPr>
            <w:r w:rsidRPr="00176A13">
              <w:rPr>
                <w:rFonts w:cs="Arial"/>
                <w:b/>
                <w:sz w:val="18"/>
                <w:szCs w:val="18"/>
              </w:rPr>
              <w:t>Does not meet</w:t>
            </w:r>
          </w:p>
          <w:p w14:paraId="5E916E95" w14:textId="77777777" w:rsidR="00570FD7" w:rsidRPr="00176A13" w:rsidRDefault="00570FD7" w:rsidP="00515702">
            <w:pPr>
              <w:spacing w:after="120" w:line="240" w:lineRule="auto"/>
              <w:rPr>
                <w:rFonts w:cs="Arial"/>
                <w:sz w:val="18"/>
                <w:szCs w:val="18"/>
              </w:rPr>
            </w:pPr>
            <w:r w:rsidRPr="00176A13">
              <w:rPr>
                <w:rFonts w:cs="Arial"/>
                <w:sz w:val="18"/>
                <w:szCs w:val="18"/>
              </w:rPr>
              <w:t>No indicator group of bycatch species is monitored.</w:t>
            </w:r>
          </w:p>
        </w:tc>
      </w:tr>
      <w:tr w:rsidR="00570FD7" w:rsidRPr="004649FA" w14:paraId="305040CE" w14:textId="77777777" w:rsidTr="00515702">
        <w:trPr>
          <w:cantSplit/>
        </w:trPr>
        <w:tc>
          <w:tcPr>
            <w:tcW w:w="1500" w:type="pct"/>
          </w:tcPr>
          <w:p w14:paraId="643CE286" w14:textId="77777777" w:rsidR="00570FD7" w:rsidRPr="0053422F" w:rsidRDefault="00570FD7" w:rsidP="00515702">
            <w:pPr>
              <w:spacing w:after="120" w:line="240" w:lineRule="auto"/>
              <w:rPr>
                <w:rFonts w:cs="Arial"/>
                <w:i/>
                <w:iCs/>
                <w:sz w:val="18"/>
                <w:szCs w:val="18"/>
              </w:rPr>
            </w:pPr>
            <w:r w:rsidRPr="004649FA">
              <w:rPr>
                <w:rFonts w:cs="Arial"/>
                <w:b/>
                <w:bCs/>
                <w:i/>
                <w:iCs/>
                <w:sz w:val="18"/>
                <w:szCs w:val="18"/>
              </w:rPr>
              <w:t xml:space="preserve">2.1.5 </w:t>
            </w:r>
            <w:r w:rsidRPr="004649FA">
              <w:rPr>
                <w:rFonts w:cs="Arial"/>
                <w:sz w:val="18"/>
                <w:szCs w:val="18"/>
              </w:rPr>
              <w:t>There are decision rules that trigger additional management measures when there are significant perturbations in the indicator species numbers</w:t>
            </w:r>
            <w:r w:rsidRPr="004649FA">
              <w:rPr>
                <w:rFonts w:cs="Arial"/>
                <w:i/>
                <w:iCs/>
                <w:sz w:val="18"/>
                <w:szCs w:val="18"/>
              </w:rPr>
              <w:t xml:space="preserve">. </w:t>
            </w:r>
          </w:p>
        </w:tc>
        <w:tc>
          <w:tcPr>
            <w:tcW w:w="3500" w:type="pct"/>
            <w:shd w:val="clear" w:color="auto" w:fill="FF0000"/>
          </w:tcPr>
          <w:p w14:paraId="0ECB2BD0" w14:textId="77777777" w:rsidR="00570FD7" w:rsidRDefault="00570FD7" w:rsidP="00515702">
            <w:pPr>
              <w:spacing w:after="0" w:line="240" w:lineRule="auto"/>
              <w:rPr>
                <w:rFonts w:cs="Arial"/>
                <w:sz w:val="18"/>
                <w:szCs w:val="18"/>
              </w:rPr>
            </w:pPr>
            <w:r w:rsidRPr="00176A13">
              <w:rPr>
                <w:rFonts w:cs="Arial"/>
                <w:b/>
                <w:sz w:val="18"/>
                <w:szCs w:val="18"/>
              </w:rPr>
              <w:t>Does not meet</w:t>
            </w:r>
          </w:p>
          <w:p w14:paraId="235C8B14" w14:textId="77777777" w:rsidR="00570FD7" w:rsidRPr="00176A13" w:rsidRDefault="00570FD7" w:rsidP="00515702">
            <w:pPr>
              <w:spacing w:after="120" w:line="240" w:lineRule="auto"/>
              <w:rPr>
                <w:rFonts w:cs="Arial"/>
                <w:sz w:val="18"/>
                <w:szCs w:val="18"/>
              </w:rPr>
            </w:pPr>
            <w:r w:rsidRPr="00176A13">
              <w:rPr>
                <w:rFonts w:cs="Arial"/>
                <w:sz w:val="18"/>
                <w:szCs w:val="18"/>
              </w:rPr>
              <w:t>No indicator group of bycatch species is monitored.</w:t>
            </w:r>
          </w:p>
        </w:tc>
      </w:tr>
      <w:tr w:rsidR="00570FD7" w:rsidRPr="004649FA" w14:paraId="70D975FB" w14:textId="77777777" w:rsidTr="00515702">
        <w:trPr>
          <w:cantSplit/>
        </w:trPr>
        <w:tc>
          <w:tcPr>
            <w:tcW w:w="1500" w:type="pct"/>
          </w:tcPr>
          <w:p w14:paraId="11D2DDB4" w14:textId="77777777" w:rsidR="00570FD7" w:rsidRPr="0053422F" w:rsidRDefault="00570FD7" w:rsidP="00515702">
            <w:pPr>
              <w:spacing w:after="120" w:line="240" w:lineRule="auto"/>
              <w:rPr>
                <w:rFonts w:cs="Arial"/>
                <w:sz w:val="18"/>
                <w:szCs w:val="18"/>
              </w:rPr>
            </w:pPr>
            <w:r w:rsidRPr="004649FA">
              <w:rPr>
                <w:rFonts w:cs="Arial"/>
                <w:b/>
                <w:bCs/>
                <w:i/>
                <w:iCs/>
                <w:sz w:val="18"/>
                <w:szCs w:val="18"/>
              </w:rPr>
              <w:t xml:space="preserve">2.1.6 </w:t>
            </w:r>
            <w:r w:rsidRPr="004649FA">
              <w:rPr>
                <w:rFonts w:cs="Arial"/>
                <w:sz w:val="18"/>
                <w:szCs w:val="18"/>
              </w:rPr>
              <w:t>The management response, considering uncertainties in the assessment and precautionary management actions, has a high chance of achieving the objective.</w:t>
            </w:r>
          </w:p>
        </w:tc>
        <w:tc>
          <w:tcPr>
            <w:tcW w:w="3500" w:type="pct"/>
            <w:shd w:val="clear" w:color="auto" w:fill="92D050"/>
          </w:tcPr>
          <w:p w14:paraId="61900513" w14:textId="77777777" w:rsidR="00570FD7" w:rsidRDefault="00570FD7" w:rsidP="00515702">
            <w:pPr>
              <w:spacing w:after="0" w:line="240" w:lineRule="auto"/>
              <w:rPr>
                <w:rFonts w:cs="Arial"/>
                <w:sz w:val="18"/>
                <w:szCs w:val="18"/>
              </w:rPr>
            </w:pPr>
            <w:r w:rsidRPr="00176A13">
              <w:rPr>
                <w:rFonts w:cs="Arial"/>
                <w:b/>
                <w:sz w:val="18"/>
                <w:szCs w:val="18"/>
              </w:rPr>
              <w:t>Meets</w:t>
            </w:r>
          </w:p>
          <w:p w14:paraId="6D1F9D11" w14:textId="77777777" w:rsidR="00570FD7" w:rsidRPr="00176A13" w:rsidRDefault="00570FD7" w:rsidP="00515702">
            <w:pPr>
              <w:spacing w:after="120" w:line="240" w:lineRule="auto"/>
              <w:rPr>
                <w:rFonts w:cs="Arial"/>
                <w:sz w:val="18"/>
                <w:szCs w:val="18"/>
              </w:rPr>
            </w:pPr>
            <w:r w:rsidRPr="00176A13">
              <w:rPr>
                <w:rFonts w:cs="Arial"/>
                <w:sz w:val="18"/>
                <w:szCs w:val="18"/>
              </w:rPr>
              <w:t>The management arrangements are unlikely to threaten bycatch species.</w:t>
            </w:r>
          </w:p>
        </w:tc>
      </w:tr>
      <w:tr w:rsidR="00570FD7" w:rsidRPr="004649FA" w14:paraId="6F1322EB" w14:textId="77777777" w:rsidTr="00515702">
        <w:trPr>
          <w:cantSplit/>
        </w:trPr>
        <w:tc>
          <w:tcPr>
            <w:tcW w:w="5000" w:type="pct"/>
            <w:gridSpan w:val="2"/>
            <w:shd w:val="clear" w:color="auto" w:fill="CCC0D9"/>
          </w:tcPr>
          <w:p w14:paraId="61901219" w14:textId="77777777" w:rsidR="00570FD7" w:rsidRPr="004649FA" w:rsidRDefault="00570FD7" w:rsidP="00515702">
            <w:pPr>
              <w:spacing w:after="120" w:line="240" w:lineRule="auto"/>
              <w:rPr>
                <w:rFonts w:cs="Arial"/>
                <w:b/>
                <w:bCs/>
                <w:sz w:val="20"/>
                <w:szCs w:val="20"/>
              </w:rPr>
            </w:pPr>
            <w:r w:rsidRPr="004649FA">
              <w:rPr>
                <w:rFonts w:cs="Arial"/>
                <w:b/>
                <w:bCs/>
                <w:sz w:val="20"/>
                <w:szCs w:val="20"/>
              </w:rPr>
              <w:t xml:space="preserve">Objective 2 - </w:t>
            </w:r>
            <w:r w:rsidRPr="004649FA">
              <w:rPr>
                <w:rFonts w:cs="Arial"/>
                <w:sz w:val="20"/>
                <w:szCs w:val="20"/>
              </w:rPr>
              <w:t>The fishery is conducted in a manner that avoids mortality of, or injuries to, endangered, threatened or protected species and avoids or minimises impacts on threatened ecological communities.</w:t>
            </w:r>
          </w:p>
        </w:tc>
      </w:tr>
      <w:tr w:rsidR="00570FD7" w:rsidRPr="004649FA" w14:paraId="56B73452" w14:textId="77777777" w:rsidTr="00515702">
        <w:trPr>
          <w:cantSplit/>
        </w:trPr>
        <w:tc>
          <w:tcPr>
            <w:tcW w:w="5000" w:type="pct"/>
            <w:gridSpan w:val="2"/>
            <w:shd w:val="clear" w:color="auto" w:fill="E5DFEC"/>
          </w:tcPr>
          <w:p w14:paraId="4C2F8968" w14:textId="77777777" w:rsidR="00570FD7" w:rsidRPr="004649FA" w:rsidRDefault="00570FD7" w:rsidP="00515702">
            <w:pPr>
              <w:spacing w:after="120" w:line="240" w:lineRule="auto"/>
              <w:rPr>
                <w:rFonts w:cs="Arial"/>
                <w:sz w:val="20"/>
                <w:szCs w:val="20"/>
              </w:rPr>
            </w:pPr>
            <w:r w:rsidRPr="004649FA">
              <w:rPr>
                <w:rFonts w:cs="Arial"/>
                <w:b/>
                <w:bCs/>
                <w:i/>
                <w:iCs/>
                <w:sz w:val="20"/>
                <w:szCs w:val="20"/>
              </w:rPr>
              <w:t xml:space="preserve">Information requirements </w:t>
            </w:r>
          </w:p>
        </w:tc>
      </w:tr>
      <w:tr w:rsidR="00570FD7" w:rsidRPr="004649FA" w14:paraId="52EEE008" w14:textId="77777777" w:rsidTr="00515702">
        <w:trPr>
          <w:cantSplit/>
        </w:trPr>
        <w:tc>
          <w:tcPr>
            <w:tcW w:w="1500" w:type="pct"/>
          </w:tcPr>
          <w:p w14:paraId="4D5F09F3" w14:textId="77777777" w:rsidR="00570FD7" w:rsidRPr="004649FA" w:rsidRDefault="00570FD7" w:rsidP="00515702">
            <w:pPr>
              <w:spacing w:after="120" w:line="240" w:lineRule="auto"/>
              <w:rPr>
                <w:rFonts w:cs="Arial"/>
                <w:sz w:val="18"/>
                <w:szCs w:val="18"/>
              </w:rPr>
            </w:pPr>
            <w:r w:rsidRPr="004649FA">
              <w:rPr>
                <w:rFonts w:cs="Arial"/>
                <w:b/>
                <w:bCs/>
                <w:i/>
                <w:iCs/>
                <w:sz w:val="18"/>
                <w:szCs w:val="18"/>
              </w:rPr>
              <w:t xml:space="preserve">2.2.1 </w:t>
            </w:r>
            <w:r w:rsidRPr="004649FA">
              <w:rPr>
                <w:rFonts w:cs="Arial"/>
                <w:sz w:val="18"/>
                <w:szCs w:val="18"/>
              </w:rPr>
              <w:t xml:space="preserve">Reliable information is collected on the interaction with endangered, threatened or protected species and threatened ecological communities. </w:t>
            </w:r>
          </w:p>
        </w:tc>
        <w:tc>
          <w:tcPr>
            <w:tcW w:w="3500" w:type="pct"/>
            <w:shd w:val="clear" w:color="auto" w:fill="92D050"/>
          </w:tcPr>
          <w:p w14:paraId="520D9926" w14:textId="77777777" w:rsidR="00570FD7" w:rsidRDefault="00570FD7" w:rsidP="00515702">
            <w:pPr>
              <w:spacing w:after="0" w:line="240" w:lineRule="auto"/>
              <w:rPr>
                <w:rFonts w:cs="Arial"/>
                <w:sz w:val="18"/>
                <w:szCs w:val="18"/>
              </w:rPr>
            </w:pPr>
            <w:r w:rsidRPr="00176A13">
              <w:rPr>
                <w:rFonts w:cs="Arial"/>
                <w:b/>
                <w:sz w:val="18"/>
                <w:szCs w:val="18"/>
              </w:rPr>
              <w:t>Meets</w:t>
            </w:r>
          </w:p>
          <w:p w14:paraId="4C906A5E" w14:textId="77777777" w:rsidR="00E70222" w:rsidRDefault="00570FD7">
            <w:pPr>
              <w:spacing w:after="120" w:line="240" w:lineRule="auto"/>
              <w:rPr>
                <w:rFonts w:cs="Arial"/>
                <w:sz w:val="18"/>
                <w:szCs w:val="18"/>
              </w:rPr>
            </w:pPr>
            <w:r>
              <w:rPr>
                <w:rFonts w:cs="Arial"/>
                <w:sz w:val="18"/>
                <w:szCs w:val="18"/>
              </w:rPr>
              <w:t>F</w:t>
            </w:r>
            <w:r w:rsidRPr="00176A13">
              <w:rPr>
                <w:rFonts w:cs="Arial"/>
                <w:sz w:val="18"/>
                <w:szCs w:val="18"/>
              </w:rPr>
              <w:t xml:space="preserve">ishers are required to report all interactions with </w:t>
            </w:r>
            <w:r w:rsidR="00E70222" w:rsidRPr="00E70222">
              <w:rPr>
                <w:rFonts w:cs="Arial"/>
                <w:sz w:val="18"/>
                <w:szCs w:val="18"/>
              </w:rPr>
              <w:t>endangered, threatened or protected species</w:t>
            </w:r>
            <w:r w:rsidR="00E70222">
              <w:rPr>
                <w:rFonts w:cs="Arial"/>
                <w:sz w:val="18"/>
                <w:szCs w:val="18"/>
              </w:rPr>
              <w:t xml:space="preserve"> </w:t>
            </w:r>
            <w:r w:rsidRPr="00176A13">
              <w:rPr>
                <w:rFonts w:cs="Arial"/>
                <w:sz w:val="18"/>
                <w:szCs w:val="18"/>
              </w:rPr>
              <w:t>using AFMA-approved logbooks. Unlike other Commonwealth fisheries, summaries of interactions in the High Seas Fishery are not published on the AFMA website.</w:t>
            </w:r>
          </w:p>
          <w:p w14:paraId="6EB939E4" w14:textId="2AEC6C58" w:rsidR="00570FD7" w:rsidRPr="00176A13" w:rsidRDefault="00F571FB">
            <w:pPr>
              <w:spacing w:after="120" w:line="240" w:lineRule="auto"/>
              <w:rPr>
                <w:rFonts w:cs="Arial"/>
                <w:sz w:val="18"/>
                <w:szCs w:val="18"/>
              </w:rPr>
            </w:pPr>
            <w:r>
              <w:rPr>
                <w:rFonts w:cs="Arial"/>
                <w:sz w:val="18"/>
                <w:szCs w:val="18"/>
              </w:rPr>
              <w:t xml:space="preserve">There are no </w:t>
            </w:r>
            <w:r w:rsidRPr="00E70222">
              <w:rPr>
                <w:rFonts w:cs="Arial"/>
                <w:sz w:val="18"/>
                <w:szCs w:val="18"/>
              </w:rPr>
              <w:t xml:space="preserve">threatened ecological communities </w:t>
            </w:r>
            <w:r>
              <w:rPr>
                <w:rFonts w:cs="Arial"/>
                <w:sz w:val="18"/>
                <w:szCs w:val="18"/>
              </w:rPr>
              <w:t>in the area of the fishery.</w:t>
            </w:r>
          </w:p>
        </w:tc>
      </w:tr>
      <w:tr w:rsidR="00570FD7" w:rsidRPr="004649FA" w14:paraId="49D2DBA6" w14:textId="77777777" w:rsidTr="00515702">
        <w:trPr>
          <w:cantSplit/>
        </w:trPr>
        <w:tc>
          <w:tcPr>
            <w:tcW w:w="5000" w:type="pct"/>
            <w:gridSpan w:val="2"/>
            <w:shd w:val="clear" w:color="auto" w:fill="E5DFEC"/>
          </w:tcPr>
          <w:p w14:paraId="7348C5A2" w14:textId="7F452A70" w:rsidR="00570FD7" w:rsidRPr="004649FA" w:rsidRDefault="00570FD7" w:rsidP="00515702">
            <w:pPr>
              <w:spacing w:after="120" w:line="240" w:lineRule="auto"/>
              <w:rPr>
                <w:rFonts w:cs="Arial"/>
                <w:b/>
                <w:bCs/>
                <w:i/>
                <w:iCs/>
                <w:sz w:val="20"/>
                <w:szCs w:val="20"/>
              </w:rPr>
            </w:pPr>
            <w:r w:rsidRPr="004649FA">
              <w:rPr>
                <w:rFonts w:cs="Arial"/>
                <w:b/>
                <w:bCs/>
                <w:i/>
                <w:iCs/>
                <w:sz w:val="20"/>
                <w:szCs w:val="20"/>
              </w:rPr>
              <w:t xml:space="preserve">Assessments </w:t>
            </w:r>
          </w:p>
        </w:tc>
      </w:tr>
      <w:tr w:rsidR="00570FD7" w:rsidRPr="004649FA" w14:paraId="5499060B" w14:textId="77777777" w:rsidTr="00515702">
        <w:trPr>
          <w:cantSplit/>
        </w:trPr>
        <w:tc>
          <w:tcPr>
            <w:tcW w:w="1500" w:type="pct"/>
          </w:tcPr>
          <w:p w14:paraId="39415CA0" w14:textId="77777777" w:rsidR="00570FD7" w:rsidRPr="004649FA" w:rsidRDefault="00570FD7" w:rsidP="00515702">
            <w:pPr>
              <w:spacing w:after="120" w:line="240" w:lineRule="auto"/>
              <w:rPr>
                <w:rFonts w:cs="Arial"/>
                <w:sz w:val="18"/>
                <w:szCs w:val="18"/>
              </w:rPr>
            </w:pPr>
            <w:r w:rsidRPr="004649FA">
              <w:rPr>
                <w:rFonts w:cs="Arial"/>
                <w:b/>
                <w:bCs/>
                <w:i/>
                <w:iCs/>
                <w:sz w:val="18"/>
                <w:szCs w:val="18"/>
              </w:rPr>
              <w:t xml:space="preserve">2.2.2 </w:t>
            </w:r>
            <w:r w:rsidRPr="004649FA">
              <w:rPr>
                <w:rFonts w:cs="Arial"/>
                <w:sz w:val="18"/>
                <w:szCs w:val="18"/>
              </w:rPr>
              <w:t xml:space="preserve">There is an assessment of the impact of the fishery on endangered, threatened or protected species. </w:t>
            </w:r>
          </w:p>
        </w:tc>
        <w:tc>
          <w:tcPr>
            <w:tcW w:w="3500" w:type="pct"/>
            <w:shd w:val="clear" w:color="auto" w:fill="FFC000"/>
          </w:tcPr>
          <w:p w14:paraId="1B8B407E" w14:textId="77777777" w:rsidR="00570FD7" w:rsidRDefault="00570FD7" w:rsidP="00515702">
            <w:pPr>
              <w:spacing w:after="0" w:line="240" w:lineRule="auto"/>
              <w:rPr>
                <w:rFonts w:cs="Arial"/>
                <w:sz w:val="18"/>
                <w:szCs w:val="18"/>
              </w:rPr>
            </w:pPr>
            <w:r>
              <w:rPr>
                <w:rFonts w:cs="Arial"/>
                <w:b/>
                <w:sz w:val="18"/>
                <w:szCs w:val="18"/>
              </w:rPr>
              <w:t>Partially m</w:t>
            </w:r>
            <w:r w:rsidRPr="00176A13">
              <w:rPr>
                <w:rFonts w:cs="Arial"/>
                <w:b/>
                <w:sz w:val="18"/>
                <w:szCs w:val="18"/>
              </w:rPr>
              <w:t>eets</w:t>
            </w:r>
          </w:p>
          <w:p w14:paraId="4835D77F" w14:textId="77777777" w:rsidR="00570FD7" w:rsidRPr="00176A13" w:rsidRDefault="00570FD7" w:rsidP="00515702">
            <w:pPr>
              <w:spacing w:after="120" w:line="240" w:lineRule="auto"/>
              <w:rPr>
                <w:rFonts w:cs="Arial"/>
                <w:sz w:val="18"/>
                <w:szCs w:val="18"/>
              </w:rPr>
            </w:pPr>
            <w:r w:rsidRPr="00176A13">
              <w:rPr>
                <w:rFonts w:cs="Arial"/>
                <w:sz w:val="18"/>
                <w:szCs w:val="18"/>
              </w:rPr>
              <w:t xml:space="preserve">No formal risk assessment has been undertaken. The sustainability assessment undertaken </w:t>
            </w:r>
            <w:r>
              <w:rPr>
                <w:rFonts w:cs="Arial"/>
                <w:sz w:val="18"/>
                <w:szCs w:val="18"/>
              </w:rPr>
              <w:t>in 2012 (</w:t>
            </w:r>
            <w:proofErr w:type="spellStart"/>
            <w:r w:rsidR="003B7E92">
              <w:fldChar w:fldCharType="begin"/>
            </w:r>
            <w:r w:rsidR="003B7E92">
              <w:instrText xml:space="preserve"> HYPERLINK "http://www.afma.gov.au/wp-co</w:instrText>
            </w:r>
            <w:r w:rsidR="003B7E92">
              <w:instrText xml:space="preserve">ntent/uploads/2014/02/High-Seas-Sustainabilty-Assessment-2012.pdf" </w:instrText>
            </w:r>
            <w:r w:rsidR="003B7E92">
              <w:fldChar w:fldCharType="separate"/>
            </w:r>
            <w:r>
              <w:rPr>
                <w:rStyle w:val="Hyperlink"/>
                <w:rFonts w:cs="Arial"/>
                <w:sz w:val="18"/>
                <w:szCs w:val="18"/>
              </w:rPr>
              <w:t>Woodhams</w:t>
            </w:r>
            <w:proofErr w:type="spellEnd"/>
            <w:r>
              <w:rPr>
                <w:rStyle w:val="Hyperlink"/>
                <w:rFonts w:cs="Arial"/>
                <w:sz w:val="18"/>
                <w:szCs w:val="18"/>
              </w:rPr>
              <w:t xml:space="preserve"> et al. </w:t>
            </w:r>
            <w:r w:rsidRPr="00176A13">
              <w:rPr>
                <w:rStyle w:val="Hyperlink"/>
                <w:rFonts w:cs="Arial"/>
                <w:sz w:val="18"/>
                <w:szCs w:val="18"/>
              </w:rPr>
              <w:t>2012)</w:t>
            </w:r>
            <w:r w:rsidR="003B7E92">
              <w:rPr>
                <w:rStyle w:val="Hyperlink"/>
                <w:rFonts w:cs="Arial"/>
                <w:sz w:val="18"/>
                <w:szCs w:val="18"/>
              </w:rPr>
              <w:fldChar w:fldCharType="end"/>
            </w:r>
            <w:r w:rsidRPr="00176A13">
              <w:rPr>
                <w:rFonts w:cs="Arial"/>
                <w:sz w:val="18"/>
                <w:szCs w:val="18"/>
              </w:rPr>
              <w:t xml:space="preserve"> assessed the harvest rates of species </w:t>
            </w:r>
            <w:r w:rsidRPr="00DC53E7">
              <w:rPr>
                <w:rFonts w:cs="Arial"/>
                <w:sz w:val="18"/>
                <w:szCs w:val="18"/>
              </w:rPr>
              <w:t>targeted</w:t>
            </w:r>
            <w:r w:rsidRPr="00176A13">
              <w:rPr>
                <w:rFonts w:cs="Arial"/>
                <w:sz w:val="18"/>
                <w:szCs w:val="18"/>
              </w:rPr>
              <w:t xml:space="preserve"> by Australian vessels in these high-seas fisheries</w:t>
            </w:r>
            <w:r>
              <w:rPr>
                <w:rFonts w:cs="Arial"/>
                <w:sz w:val="18"/>
                <w:szCs w:val="18"/>
              </w:rPr>
              <w:t xml:space="preserve">, but </w:t>
            </w:r>
            <w:r w:rsidRPr="00176A13">
              <w:rPr>
                <w:rFonts w:cs="Arial"/>
                <w:sz w:val="18"/>
                <w:szCs w:val="18"/>
              </w:rPr>
              <w:t>did not consider endangered, threatened or protected species.</w:t>
            </w:r>
            <w:r>
              <w:rPr>
                <w:rFonts w:cs="Arial"/>
                <w:sz w:val="18"/>
                <w:szCs w:val="18"/>
              </w:rPr>
              <w:t xml:space="preserve"> Notwithstanding, the fishery is relatively small-scale, has a number of risk-mitigation measures in place and reports relatively few interactions with endangered, threatened or protected species.</w:t>
            </w:r>
          </w:p>
        </w:tc>
      </w:tr>
      <w:tr w:rsidR="00570FD7" w:rsidRPr="004649FA" w14:paraId="6D493885" w14:textId="77777777" w:rsidTr="00515702">
        <w:trPr>
          <w:cantSplit/>
        </w:trPr>
        <w:tc>
          <w:tcPr>
            <w:tcW w:w="1500" w:type="pct"/>
          </w:tcPr>
          <w:p w14:paraId="0D89A4D9" w14:textId="77777777" w:rsidR="00570FD7" w:rsidRPr="004649FA" w:rsidRDefault="00570FD7" w:rsidP="00515702">
            <w:pPr>
              <w:spacing w:after="120" w:line="240" w:lineRule="auto"/>
              <w:rPr>
                <w:rFonts w:cs="Arial"/>
                <w:sz w:val="18"/>
                <w:szCs w:val="18"/>
              </w:rPr>
            </w:pPr>
            <w:r w:rsidRPr="004649FA">
              <w:rPr>
                <w:rFonts w:cs="Arial"/>
                <w:b/>
                <w:bCs/>
                <w:i/>
                <w:iCs/>
                <w:sz w:val="18"/>
                <w:szCs w:val="18"/>
              </w:rPr>
              <w:t xml:space="preserve">2.2.3 </w:t>
            </w:r>
            <w:r w:rsidRPr="004649FA">
              <w:rPr>
                <w:rFonts w:cs="Arial"/>
                <w:sz w:val="18"/>
                <w:szCs w:val="18"/>
              </w:rPr>
              <w:t xml:space="preserve">There is an assessment of the impact of the fishery on threatened ecological communities. </w:t>
            </w:r>
          </w:p>
        </w:tc>
        <w:tc>
          <w:tcPr>
            <w:tcW w:w="3500" w:type="pct"/>
            <w:shd w:val="clear" w:color="auto" w:fill="auto"/>
          </w:tcPr>
          <w:p w14:paraId="7485CBEE" w14:textId="77777777" w:rsidR="00570FD7" w:rsidRDefault="00570FD7" w:rsidP="00515702">
            <w:pPr>
              <w:spacing w:after="0" w:line="240" w:lineRule="auto"/>
              <w:rPr>
                <w:rFonts w:cs="Arial"/>
                <w:b/>
                <w:sz w:val="18"/>
                <w:szCs w:val="18"/>
              </w:rPr>
            </w:pPr>
            <w:r w:rsidRPr="007401EC">
              <w:rPr>
                <w:rFonts w:cs="Arial"/>
                <w:b/>
                <w:sz w:val="18"/>
                <w:szCs w:val="18"/>
              </w:rPr>
              <w:t>Not applicable</w:t>
            </w:r>
          </w:p>
          <w:p w14:paraId="4BED6504" w14:textId="77777777" w:rsidR="00570FD7" w:rsidRPr="007401EC" w:rsidRDefault="00570FD7" w:rsidP="00515702">
            <w:pPr>
              <w:spacing w:after="120" w:line="240" w:lineRule="auto"/>
              <w:rPr>
                <w:rFonts w:cs="Arial"/>
                <w:sz w:val="18"/>
                <w:szCs w:val="18"/>
              </w:rPr>
            </w:pPr>
            <w:r w:rsidRPr="007401EC">
              <w:rPr>
                <w:rFonts w:cs="Arial"/>
                <w:sz w:val="18"/>
                <w:szCs w:val="18"/>
              </w:rPr>
              <w:t>No threatened ecological communities have been identified in the area of the High Seas Fishery.</w:t>
            </w:r>
          </w:p>
        </w:tc>
      </w:tr>
      <w:tr w:rsidR="00570FD7" w:rsidRPr="004649FA" w14:paraId="7D46193C" w14:textId="77777777" w:rsidTr="00515702">
        <w:trPr>
          <w:cantSplit/>
        </w:trPr>
        <w:tc>
          <w:tcPr>
            <w:tcW w:w="5000" w:type="pct"/>
            <w:gridSpan w:val="2"/>
            <w:shd w:val="clear" w:color="auto" w:fill="E5DFEC"/>
          </w:tcPr>
          <w:p w14:paraId="2D0A4000" w14:textId="77777777" w:rsidR="00570FD7" w:rsidRPr="004649FA" w:rsidRDefault="00570FD7" w:rsidP="00515702">
            <w:pPr>
              <w:spacing w:after="120" w:line="240" w:lineRule="auto"/>
              <w:rPr>
                <w:rFonts w:cs="Arial"/>
                <w:b/>
                <w:bCs/>
                <w:i/>
                <w:iCs/>
                <w:sz w:val="20"/>
                <w:szCs w:val="20"/>
              </w:rPr>
            </w:pPr>
            <w:r w:rsidRPr="004649FA">
              <w:rPr>
                <w:rFonts w:cs="Arial"/>
                <w:b/>
                <w:bCs/>
                <w:i/>
                <w:iCs/>
                <w:sz w:val="20"/>
                <w:szCs w:val="20"/>
              </w:rPr>
              <w:t xml:space="preserve">Management responses </w:t>
            </w:r>
          </w:p>
        </w:tc>
      </w:tr>
      <w:tr w:rsidR="00570FD7" w:rsidRPr="004649FA" w14:paraId="3CCA0DF2" w14:textId="77777777" w:rsidTr="00515702">
        <w:trPr>
          <w:cantSplit/>
        </w:trPr>
        <w:tc>
          <w:tcPr>
            <w:tcW w:w="1500" w:type="pct"/>
          </w:tcPr>
          <w:p w14:paraId="05431FD1" w14:textId="77777777" w:rsidR="00570FD7" w:rsidRPr="004649FA" w:rsidRDefault="00570FD7" w:rsidP="00515702">
            <w:pPr>
              <w:spacing w:after="120" w:line="240" w:lineRule="auto"/>
              <w:rPr>
                <w:rFonts w:cs="Arial"/>
                <w:sz w:val="18"/>
                <w:szCs w:val="18"/>
              </w:rPr>
            </w:pPr>
            <w:r w:rsidRPr="004649FA">
              <w:rPr>
                <w:rFonts w:cs="Arial"/>
                <w:b/>
                <w:bCs/>
                <w:i/>
                <w:iCs/>
                <w:sz w:val="18"/>
                <w:szCs w:val="18"/>
              </w:rPr>
              <w:lastRenderedPageBreak/>
              <w:t xml:space="preserve">2.2.4 </w:t>
            </w:r>
            <w:r w:rsidRPr="004649FA">
              <w:rPr>
                <w:rFonts w:cs="Arial"/>
                <w:sz w:val="18"/>
                <w:szCs w:val="18"/>
              </w:rPr>
              <w:t xml:space="preserve">There are measures in place to avoid capture and/or mortality of endangered, threatened or protected species. </w:t>
            </w:r>
          </w:p>
        </w:tc>
        <w:tc>
          <w:tcPr>
            <w:tcW w:w="3500" w:type="pct"/>
            <w:shd w:val="clear" w:color="auto" w:fill="92D050"/>
          </w:tcPr>
          <w:p w14:paraId="7B2842B4" w14:textId="77777777" w:rsidR="00570FD7" w:rsidRDefault="00570FD7" w:rsidP="00515702">
            <w:pPr>
              <w:spacing w:after="0" w:line="240" w:lineRule="auto"/>
              <w:rPr>
                <w:rFonts w:cs="Arial"/>
                <w:sz w:val="18"/>
                <w:szCs w:val="18"/>
              </w:rPr>
            </w:pPr>
            <w:r w:rsidRPr="00176A13">
              <w:rPr>
                <w:rFonts w:cs="Arial"/>
                <w:b/>
                <w:sz w:val="18"/>
                <w:szCs w:val="18"/>
              </w:rPr>
              <w:t>Meets</w:t>
            </w:r>
          </w:p>
          <w:p w14:paraId="5293F2EB" w14:textId="77777777" w:rsidR="00570FD7" w:rsidRPr="00176A13" w:rsidRDefault="00570FD7" w:rsidP="00515702">
            <w:pPr>
              <w:spacing w:after="120" w:line="240" w:lineRule="auto"/>
              <w:rPr>
                <w:rFonts w:cs="Arial"/>
                <w:sz w:val="18"/>
                <w:szCs w:val="18"/>
              </w:rPr>
            </w:pPr>
            <w:r w:rsidRPr="00176A13">
              <w:rPr>
                <w:rFonts w:cs="Arial"/>
                <w:sz w:val="18"/>
                <w:szCs w:val="18"/>
              </w:rPr>
              <w:t>Although there has been no formal risk assessment to guide risk mitigation, some measures are in place and interactions with endangered, threatened and protected species are relatively low (102 sharks, 3 birds and 3 reptiles reported in the past five years).</w:t>
            </w:r>
          </w:p>
          <w:p w14:paraId="10DB0135" w14:textId="77777777" w:rsidR="00570FD7" w:rsidRPr="00176A13" w:rsidRDefault="00570FD7" w:rsidP="00515702">
            <w:pPr>
              <w:spacing w:after="120" w:line="240" w:lineRule="auto"/>
              <w:rPr>
                <w:rFonts w:cs="Arial"/>
                <w:sz w:val="18"/>
                <w:szCs w:val="18"/>
              </w:rPr>
            </w:pPr>
            <w:r w:rsidRPr="00176A13">
              <w:rPr>
                <w:rFonts w:cs="Arial"/>
                <w:sz w:val="18"/>
                <w:szCs w:val="18"/>
              </w:rPr>
              <w:t>Measures are in place to manage risks to seabirds which include the use of tori lines when using longlines, bird bafflers when using trawl gear and to manage the discharge of biological material with both longline and trawl methods.</w:t>
            </w:r>
            <w:r>
              <w:rPr>
                <w:rFonts w:cs="Arial"/>
                <w:sz w:val="18"/>
                <w:szCs w:val="18"/>
              </w:rPr>
              <w:t xml:space="preserve"> However t</w:t>
            </w:r>
            <w:r w:rsidRPr="00176A13">
              <w:rPr>
                <w:rFonts w:cs="Arial"/>
                <w:sz w:val="18"/>
                <w:szCs w:val="18"/>
              </w:rPr>
              <w:t>here are no specific measures in place to manage risks to other protected species.</w:t>
            </w:r>
          </w:p>
        </w:tc>
      </w:tr>
      <w:tr w:rsidR="00570FD7" w:rsidRPr="004649FA" w14:paraId="5D3B1683" w14:textId="77777777" w:rsidTr="00515702">
        <w:trPr>
          <w:cantSplit/>
        </w:trPr>
        <w:tc>
          <w:tcPr>
            <w:tcW w:w="1500" w:type="pct"/>
          </w:tcPr>
          <w:p w14:paraId="2E85BF87" w14:textId="77777777" w:rsidR="00570FD7" w:rsidRPr="004649FA" w:rsidRDefault="00570FD7" w:rsidP="00515702">
            <w:pPr>
              <w:spacing w:after="120" w:line="240" w:lineRule="auto"/>
              <w:rPr>
                <w:rFonts w:cs="Arial"/>
                <w:sz w:val="18"/>
                <w:szCs w:val="18"/>
              </w:rPr>
            </w:pPr>
            <w:r w:rsidRPr="004649FA">
              <w:rPr>
                <w:rFonts w:cs="Arial"/>
                <w:b/>
                <w:bCs/>
                <w:i/>
                <w:iCs/>
                <w:sz w:val="18"/>
                <w:szCs w:val="18"/>
              </w:rPr>
              <w:t xml:space="preserve">2.2.5 </w:t>
            </w:r>
            <w:r w:rsidRPr="004649FA">
              <w:rPr>
                <w:rFonts w:cs="Arial"/>
                <w:sz w:val="18"/>
                <w:szCs w:val="18"/>
              </w:rPr>
              <w:t xml:space="preserve">There are measures in place to avoid impact on threatened ecological communities. </w:t>
            </w:r>
          </w:p>
        </w:tc>
        <w:tc>
          <w:tcPr>
            <w:tcW w:w="3500" w:type="pct"/>
            <w:shd w:val="clear" w:color="auto" w:fill="auto"/>
          </w:tcPr>
          <w:p w14:paraId="5C1163E0" w14:textId="77777777" w:rsidR="00570FD7" w:rsidRDefault="00570FD7" w:rsidP="00515702">
            <w:pPr>
              <w:spacing w:after="0" w:line="240" w:lineRule="auto"/>
              <w:rPr>
                <w:rFonts w:cs="Arial"/>
                <w:sz w:val="18"/>
                <w:szCs w:val="18"/>
              </w:rPr>
            </w:pPr>
            <w:r w:rsidRPr="007401EC">
              <w:rPr>
                <w:rFonts w:cs="Arial"/>
                <w:b/>
                <w:sz w:val="18"/>
                <w:szCs w:val="18"/>
              </w:rPr>
              <w:t>Not applicable</w:t>
            </w:r>
          </w:p>
          <w:p w14:paraId="22316D4E" w14:textId="77777777" w:rsidR="00570FD7" w:rsidRPr="004649FA" w:rsidRDefault="00570FD7" w:rsidP="00515702">
            <w:pPr>
              <w:spacing w:after="120" w:line="240" w:lineRule="auto"/>
              <w:rPr>
                <w:rFonts w:cs="Arial"/>
                <w:sz w:val="18"/>
                <w:szCs w:val="18"/>
              </w:rPr>
            </w:pPr>
            <w:r w:rsidRPr="007401EC">
              <w:rPr>
                <w:rFonts w:cs="Arial"/>
                <w:sz w:val="18"/>
                <w:szCs w:val="18"/>
              </w:rPr>
              <w:t>No threatened ecological communities have been identified in the area of the High Seas Fishery.</w:t>
            </w:r>
          </w:p>
        </w:tc>
      </w:tr>
      <w:tr w:rsidR="00570FD7" w:rsidRPr="004649FA" w14:paraId="5CB4F413" w14:textId="77777777" w:rsidTr="00515702">
        <w:trPr>
          <w:cantSplit/>
        </w:trPr>
        <w:tc>
          <w:tcPr>
            <w:tcW w:w="1500" w:type="pct"/>
          </w:tcPr>
          <w:p w14:paraId="3EDB7CE0" w14:textId="77777777" w:rsidR="00570FD7" w:rsidRPr="004649FA" w:rsidRDefault="00570FD7" w:rsidP="00515702">
            <w:pPr>
              <w:spacing w:after="120" w:line="240" w:lineRule="auto"/>
              <w:rPr>
                <w:rFonts w:cs="Arial"/>
                <w:sz w:val="18"/>
                <w:szCs w:val="18"/>
              </w:rPr>
            </w:pPr>
            <w:r w:rsidRPr="004649FA">
              <w:rPr>
                <w:rFonts w:cs="Arial"/>
                <w:b/>
                <w:bCs/>
                <w:i/>
                <w:iCs/>
                <w:sz w:val="18"/>
                <w:szCs w:val="18"/>
              </w:rPr>
              <w:t xml:space="preserve">2.2.6 </w:t>
            </w:r>
            <w:r w:rsidRPr="004649FA">
              <w:rPr>
                <w:rFonts w:cs="Arial"/>
                <w:sz w:val="18"/>
                <w:szCs w:val="18"/>
              </w:rPr>
              <w:t xml:space="preserve">The management response, considering uncertainties in the assessment and precautionary management actions, has a high chance of achieving the objective. </w:t>
            </w:r>
          </w:p>
        </w:tc>
        <w:tc>
          <w:tcPr>
            <w:tcW w:w="3500" w:type="pct"/>
            <w:shd w:val="clear" w:color="auto" w:fill="92D050"/>
          </w:tcPr>
          <w:p w14:paraId="05527CB0" w14:textId="77777777" w:rsidR="00570FD7" w:rsidRDefault="00570FD7" w:rsidP="00515702">
            <w:pPr>
              <w:spacing w:after="0" w:line="240" w:lineRule="auto"/>
              <w:rPr>
                <w:rFonts w:cs="Arial"/>
                <w:sz w:val="18"/>
                <w:szCs w:val="18"/>
              </w:rPr>
            </w:pPr>
            <w:r w:rsidRPr="00176A13">
              <w:rPr>
                <w:rFonts w:cs="Arial"/>
                <w:b/>
                <w:sz w:val="18"/>
                <w:szCs w:val="18"/>
              </w:rPr>
              <w:t>Meets</w:t>
            </w:r>
          </w:p>
          <w:p w14:paraId="48862136" w14:textId="77777777" w:rsidR="00570FD7" w:rsidRPr="00176A13" w:rsidRDefault="00570FD7" w:rsidP="00515702">
            <w:pPr>
              <w:spacing w:after="120" w:line="240" w:lineRule="auto"/>
              <w:rPr>
                <w:rFonts w:cs="Arial"/>
                <w:sz w:val="18"/>
                <w:szCs w:val="18"/>
              </w:rPr>
            </w:pPr>
            <w:r w:rsidRPr="00176A13">
              <w:rPr>
                <w:rFonts w:cs="Arial"/>
                <w:sz w:val="18"/>
                <w:szCs w:val="18"/>
              </w:rPr>
              <w:t>The management arrangements have a high chance of avoiding mortality of, or injuries to, endangered, threatened or protected species, and avoiding or minimising impacts on threatened ecological communities.</w:t>
            </w:r>
          </w:p>
        </w:tc>
      </w:tr>
      <w:tr w:rsidR="00570FD7" w:rsidRPr="004649FA" w14:paraId="34DC2D8A" w14:textId="77777777" w:rsidTr="00515702">
        <w:trPr>
          <w:cantSplit/>
        </w:trPr>
        <w:tc>
          <w:tcPr>
            <w:tcW w:w="5000" w:type="pct"/>
            <w:gridSpan w:val="2"/>
            <w:shd w:val="clear" w:color="auto" w:fill="CCC0D9"/>
          </w:tcPr>
          <w:p w14:paraId="2504667A" w14:textId="77777777" w:rsidR="00570FD7" w:rsidRPr="004649FA" w:rsidRDefault="00570FD7" w:rsidP="00515702">
            <w:pPr>
              <w:keepNext/>
              <w:spacing w:after="120" w:line="240" w:lineRule="auto"/>
              <w:rPr>
                <w:rFonts w:cs="Arial"/>
                <w:b/>
                <w:bCs/>
                <w:sz w:val="20"/>
                <w:szCs w:val="20"/>
              </w:rPr>
            </w:pPr>
            <w:r w:rsidRPr="004649FA">
              <w:rPr>
                <w:rFonts w:cs="Arial"/>
                <w:b/>
                <w:bCs/>
                <w:sz w:val="20"/>
                <w:szCs w:val="20"/>
              </w:rPr>
              <w:t xml:space="preserve">Objective 3 </w:t>
            </w:r>
            <w:proofErr w:type="gramStart"/>
            <w:r w:rsidRPr="004649FA">
              <w:rPr>
                <w:rFonts w:cs="Arial"/>
                <w:b/>
                <w:bCs/>
                <w:sz w:val="20"/>
                <w:szCs w:val="20"/>
              </w:rPr>
              <w:t xml:space="preserve">-  </w:t>
            </w:r>
            <w:r w:rsidRPr="004649FA">
              <w:rPr>
                <w:rFonts w:cs="Arial"/>
                <w:sz w:val="20"/>
                <w:szCs w:val="20"/>
              </w:rPr>
              <w:t>The</w:t>
            </w:r>
            <w:proofErr w:type="gramEnd"/>
            <w:r w:rsidRPr="004649FA">
              <w:rPr>
                <w:rFonts w:cs="Arial"/>
                <w:sz w:val="20"/>
                <w:szCs w:val="20"/>
              </w:rPr>
              <w:t xml:space="preserve"> fishery is conducted, in a manner that minimises the impact of fishing operations on the ecosystem generally.</w:t>
            </w:r>
          </w:p>
        </w:tc>
      </w:tr>
      <w:tr w:rsidR="00570FD7" w:rsidRPr="004649FA" w14:paraId="0E3B27E5" w14:textId="77777777" w:rsidTr="00515702">
        <w:trPr>
          <w:cantSplit/>
        </w:trPr>
        <w:tc>
          <w:tcPr>
            <w:tcW w:w="5000" w:type="pct"/>
            <w:gridSpan w:val="2"/>
            <w:shd w:val="clear" w:color="auto" w:fill="E5DFEC"/>
          </w:tcPr>
          <w:p w14:paraId="7DCBCB17" w14:textId="77777777" w:rsidR="00570FD7" w:rsidRPr="004649FA" w:rsidRDefault="00570FD7" w:rsidP="00515702">
            <w:pPr>
              <w:keepNext/>
              <w:spacing w:after="120" w:line="240" w:lineRule="auto"/>
              <w:rPr>
                <w:rFonts w:cs="Arial"/>
                <w:b/>
                <w:bCs/>
                <w:i/>
                <w:iCs/>
                <w:sz w:val="20"/>
                <w:szCs w:val="20"/>
              </w:rPr>
            </w:pPr>
            <w:r w:rsidRPr="004649FA">
              <w:rPr>
                <w:rFonts w:cs="Arial"/>
                <w:b/>
                <w:bCs/>
                <w:i/>
                <w:iCs/>
                <w:sz w:val="20"/>
                <w:szCs w:val="20"/>
              </w:rPr>
              <w:t xml:space="preserve">Information requirements </w:t>
            </w:r>
          </w:p>
        </w:tc>
      </w:tr>
      <w:tr w:rsidR="00570FD7" w:rsidRPr="004649FA" w14:paraId="1AD9BC5E" w14:textId="77777777" w:rsidTr="00515702">
        <w:trPr>
          <w:cantSplit/>
        </w:trPr>
        <w:tc>
          <w:tcPr>
            <w:tcW w:w="1500" w:type="pct"/>
          </w:tcPr>
          <w:p w14:paraId="0E763D75" w14:textId="77777777" w:rsidR="00570FD7" w:rsidRPr="004649FA" w:rsidRDefault="00570FD7" w:rsidP="00515702">
            <w:pPr>
              <w:spacing w:after="120" w:line="240" w:lineRule="auto"/>
              <w:rPr>
                <w:rFonts w:cs="Arial"/>
                <w:sz w:val="18"/>
                <w:szCs w:val="18"/>
              </w:rPr>
            </w:pPr>
            <w:r w:rsidRPr="004649FA">
              <w:rPr>
                <w:rFonts w:cs="Arial"/>
                <w:b/>
                <w:bCs/>
                <w:iCs/>
                <w:sz w:val="18"/>
                <w:szCs w:val="18"/>
              </w:rPr>
              <w:t xml:space="preserve">2.3.1 </w:t>
            </w:r>
            <w:r w:rsidRPr="004649FA">
              <w:rPr>
                <w:rFonts w:cs="Arial"/>
                <w:sz w:val="18"/>
                <w:szCs w:val="18"/>
              </w:rPr>
              <w:t>Information appropriate for the analysis in 2.3.2 is collated and/or collected covering the fisheries impact on the ecosy</w:t>
            </w:r>
            <w:r>
              <w:rPr>
                <w:rFonts w:cs="Arial"/>
                <w:sz w:val="18"/>
                <w:szCs w:val="18"/>
              </w:rPr>
              <w:t>stem and environment generally.</w:t>
            </w:r>
          </w:p>
        </w:tc>
        <w:tc>
          <w:tcPr>
            <w:tcW w:w="3500" w:type="pct"/>
            <w:shd w:val="clear" w:color="auto" w:fill="92D050"/>
          </w:tcPr>
          <w:p w14:paraId="69206CFF" w14:textId="77777777" w:rsidR="00570FD7" w:rsidRDefault="00570FD7" w:rsidP="00515702">
            <w:pPr>
              <w:spacing w:after="0" w:line="240" w:lineRule="auto"/>
              <w:rPr>
                <w:rFonts w:cs="Arial"/>
                <w:sz w:val="18"/>
                <w:szCs w:val="18"/>
              </w:rPr>
            </w:pPr>
            <w:r w:rsidRPr="00176A13">
              <w:rPr>
                <w:rFonts w:cs="Arial"/>
                <w:b/>
                <w:sz w:val="18"/>
                <w:szCs w:val="18"/>
              </w:rPr>
              <w:t>Meets</w:t>
            </w:r>
          </w:p>
          <w:p w14:paraId="1C025505" w14:textId="77777777" w:rsidR="00570FD7" w:rsidRPr="00302D50" w:rsidRDefault="00570FD7" w:rsidP="00515702">
            <w:pPr>
              <w:spacing w:after="120" w:line="240" w:lineRule="auto"/>
              <w:rPr>
                <w:rFonts w:cs="Arial"/>
                <w:sz w:val="18"/>
                <w:szCs w:val="18"/>
              </w:rPr>
            </w:pPr>
            <w:r>
              <w:rPr>
                <w:rFonts w:cs="Arial"/>
                <w:sz w:val="18"/>
                <w:szCs w:val="18"/>
              </w:rPr>
              <w:t>A</w:t>
            </w:r>
            <w:r w:rsidRPr="00302D50">
              <w:rPr>
                <w:rFonts w:cs="Arial"/>
                <w:sz w:val="18"/>
                <w:szCs w:val="18"/>
              </w:rPr>
              <w:t xml:space="preserve">ssessments </w:t>
            </w:r>
            <w:r>
              <w:rPr>
                <w:rFonts w:cs="Arial"/>
                <w:sz w:val="18"/>
                <w:szCs w:val="18"/>
              </w:rPr>
              <w:t>have considered impacts to vulnerable marine ecosystems and target stocks, but do not appear to have been used to inform the data collection program for this fishery. However, risks are considered to be low and information collection and monitoring provides a good opportunity to detect issues should these occur.</w:t>
            </w:r>
          </w:p>
          <w:p w14:paraId="20846740" w14:textId="77777777" w:rsidR="00570FD7" w:rsidRDefault="00570FD7" w:rsidP="00515702">
            <w:pPr>
              <w:spacing w:after="120" w:line="240" w:lineRule="auto"/>
              <w:rPr>
                <w:rFonts w:cs="Arial"/>
                <w:sz w:val="18"/>
                <w:szCs w:val="18"/>
              </w:rPr>
            </w:pPr>
            <w:r w:rsidRPr="00176A13">
              <w:rPr>
                <w:rFonts w:cs="Arial"/>
                <w:sz w:val="18"/>
                <w:szCs w:val="18"/>
              </w:rPr>
              <w:t xml:space="preserve">Fishers </w:t>
            </w:r>
            <w:r>
              <w:rPr>
                <w:rFonts w:cs="Arial"/>
                <w:sz w:val="18"/>
                <w:szCs w:val="18"/>
              </w:rPr>
              <w:t xml:space="preserve">must </w:t>
            </w:r>
            <w:r w:rsidRPr="00176A13">
              <w:rPr>
                <w:rFonts w:cs="Arial"/>
                <w:sz w:val="18"/>
                <w:szCs w:val="18"/>
              </w:rPr>
              <w:t xml:space="preserve">report all catch as well as any interactions with corals, sponges or </w:t>
            </w:r>
            <w:r>
              <w:rPr>
                <w:rFonts w:cs="Arial"/>
                <w:sz w:val="18"/>
                <w:szCs w:val="18"/>
              </w:rPr>
              <w:t xml:space="preserve">endangered, threatened or </w:t>
            </w:r>
            <w:proofErr w:type="gramStart"/>
            <w:r>
              <w:rPr>
                <w:rFonts w:cs="Arial"/>
                <w:sz w:val="18"/>
                <w:szCs w:val="18"/>
              </w:rPr>
              <w:t xml:space="preserve">protected </w:t>
            </w:r>
            <w:r w:rsidRPr="00176A13">
              <w:rPr>
                <w:rFonts w:cs="Arial"/>
                <w:sz w:val="18"/>
                <w:szCs w:val="18"/>
              </w:rPr>
              <w:t xml:space="preserve"> species</w:t>
            </w:r>
            <w:proofErr w:type="gramEnd"/>
            <w:r w:rsidRPr="00176A13">
              <w:rPr>
                <w:rFonts w:cs="Arial"/>
                <w:sz w:val="18"/>
                <w:szCs w:val="18"/>
              </w:rPr>
              <w:t xml:space="preserve"> using AFMA-approved logbooks. All retained catch must also be landed to a licensed fish receiver who verifies </w:t>
            </w:r>
            <w:r>
              <w:rPr>
                <w:rFonts w:cs="Arial"/>
                <w:sz w:val="18"/>
                <w:szCs w:val="18"/>
              </w:rPr>
              <w:t xml:space="preserve">and reports </w:t>
            </w:r>
            <w:r w:rsidRPr="00176A13">
              <w:rPr>
                <w:rFonts w:cs="Arial"/>
                <w:sz w:val="18"/>
                <w:szCs w:val="18"/>
              </w:rPr>
              <w:t xml:space="preserve">the weight and </w:t>
            </w:r>
            <w:r>
              <w:rPr>
                <w:rFonts w:cs="Arial"/>
                <w:sz w:val="18"/>
                <w:szCs w:val="18"/>
              </w:rPr>
              <w:t xml:space="preserve">catch </w:t>
            </w:r>
            <w:r w:rsidRPr="00176A13">
              <w:rPr>
                <w:rFonts w:cs="Arial"/>
                <w:sz w:val="18"/>
                <w:szCs w:val="18"/>
              </w:rPr>
              <w:t>composition to AFMA.</w:t>
            </w:r>
            <w:r>
              <w:rPr>
                <w:rFonts w:cs="Arial"/>
                <w:sz w:val="18"/>
                <w:szCs w:val="18"/>
              </w:rPr>
              <w:t xml:space="preserve"> </w:t>
            </w:r>
            <w:r w:rsidRPr="00176A13">
              <w:rPr>
                <w:rFonts w:cs="Arial"/>
                <w:sz w:val="18"/>
                <w:szCs w:val="18"/>
              </w:rPr>
              <w:t xml:space="preserve">Fishers must </w:t>
            </w:r>
            <w:r>
              <w:rPr>
                <w:rFonts w:cs="Arial"/>
                <w:sz w:val="18"/>
                <w:szCs w:val="18"/>
              </w:rPr>
              <w:t xml:space="preserve">also </w:t>
            </w:r>
            <w:r w:rsidRPr="00176A13">
              <w:rPr>
                <w:rFonts w:cs="Arial"/>
                <w:sz w:val="18"/>
                <w:szCs w:val="18"/>
              </w:rPr>
              <w:t>report to AFMA prior to departure and landing</w:t>
            </w:r>
            <w:r>
              <w:rPr>
                <w:rFonts w:cs="Arial"/>
                <w:sz w:val="18"/>
                <w:szCs w:val="18"/>
              </w:rPr>
              <w:t xml:space="preserve"> and </w:t>
            </w:r>
            <w:r w:rsidRPr="00176A13">
              <w:rPr>
                <w:rFonts w:cs="Arial"/>
                <w:sz w:val="18"/>
                <w:szCs w:val="18"/>
              </w:rPr>
              <w:t xml:space="preserve">operate vessel </w:t>
            </w:r>
            <w:r>
              <w:rPr>
                <w:rFonts w:cs="Arial"/>
                <w:sz w:val="18"/>
                <w:szCs w:val="18"/>
              </w:rPr>
              <w:t>monitoring systems at all times which</w:t>
            </w:r>
            <w:r w:rsidRPr="00176A13">
              <w:rPr>
                <w:rFonts w:cs="Arial"/>
                <w:sz w:val="18"/>
                <w:szCs w:val="18"/>
              </w:rPr>
              <w:t xml:space="preserve"> assists with monitor</w:t>
            </w:r>
            <w:r>
              <w:rPr>
                <w:rFonts w:cs="Arial"/>
                <w:sz w:val="18"/>
                <w:szCs w:val="18"/>
              </w:rPr>
              <w:t xml:space="preserve">ing and compliance activities. </w:t>
            </w:r>
          </w:p>
          <w:p w14:paraId="1279D234" w14:textId="77777777" w:rsidR="00570FD7" w:rsidRPr="00176A13" w:rsidRDefault="00570FD7" w:rsidP="00515702">
            <w:pPr>
              <w:spacing w:after="120" w:line="240" w:lineRule="auto"/>
              <w:rPr>
                <w:rFonts w:cs="Arial"/>
                <w:sz w:val="18"/>
                <w:szCs w:val="18"/>
              </w:rPr>
            </w:pPr>
            <w:r w:rsidRPr="00176A13">
              <w:rPr>
                <w:rFonts w:cs="Arial"/>
                <w:sz w:val="18"/>
                <w:szCs w:val="18"/>
              </w:rPr>
              <w:t>Fishers must carry an AFMA observer when requested, covering all trawl fishing trips, and at</w:t>
            </w:r>
            <w:r>
              <w:rPr>
                <w:rFonts w:cs="Arial"/>
                <w:sz w:val="18"/>
                <w:szCs w:val="18"/>
              </w:rPr>
              <w:t xml:space="preserve"> least 10 per cent (per vessel)</w:t>
            </w:r>
            <w:r w:rsidRPr="00176A13">
              <w:rPr>
                <w:rFonts w:cs="Arial"/>
                <w:sz w:val="18"/>
                <w:szCs w:val="18"/>
              </w:rPr>
              <w:t xml:space="preserve"> of all non-trawl fishing trips.</w:t>
            </w:r>
            <w:r>
              <w:rPr>
                <w:rFonts w:cs="Arial"/>
                <w:sz w:val="18"/>
                <w:szCs w:val="18"/>
              </w:rPr>
              <w:t xml:space="preserve"> </w:t>
            </w:r>
            <w:r w:rsidRPr="00176A13">
              <w:rPr>
                <w:rFonts w:cs="Arial"/>
                <w:sz w:val="18"/>
                <w:szCs w:val="18"/>
              </w:rPr>
              <w:t>Observers collect a range of biological, environmental and operational information. This includes: information on catch composition (weight of retained and discarded species) and length frequencies and otoliths from certain target species; information on wildlife abundance, protected species interactions, and mitigation measures being used to prevent interactions; observations of marine pollution and lost fishing gear; vessel and gear details and information on fishing effort (i.e. number of shots, number of hooks).</w:t>
            </w:r>
          </w:p>
          <w:p w14:paraId="6681C119" w14:textId="77777777" w:rsidR="00570FD7" w:rsidRPr="00176A13" w:rsidRDefault="00570FD7" w:rsidP="00515702">
            <w:pPr>
              <w:spacing w:after="120" w:line="240" w:lineRule="auto"/>
              <w:rPr>
                <w:rFonts w:cs="Arial"/>
                <w:sz w:val="18"/>
                <w:szCs w:val="18"/>
              </w:rPr>
            </w:pPr>
            <w:r w:rsidRPr="00176A13">
              <w:rPr>
                <w:rFonts w:eastAsia="Times New Roman" w:cs="Arial"/>
                <w:sz w:val="18"/>
                <w:szCs w:val="18"/>
              </w:rPr>
              <w:t xml:space="preserve">Conservation and Management Measure </w:t>
            </w:r>
            <w:r>
              <w:rPr>
                <w:rFonts w:eastAsia="Times New Roman" w:cs="Arial"/>
                <w:sz w:val="18"/>
                <w:szCs w:val="18"/>
              </w:rPr>
              <w:t xml:space="preserve">set </w:t>
            </w:r>
            <w:r w:rsidRPr="00176A13">
              <w:rPr>
                <w:rFonts w:eastAsia="Times New Roman" w:cs="Arial"/>
                <w:sz w:val="18"/>
                <w:szCs w:val="18"/>
              </w:rPr>
              <w:t xml:space="preserve">data standards for the whole </w:t>
            </w:r>
            <w:r>
              <w:rPr>
                <w:rFonts w:eastAsia="Times New Roman" w:cs="Arial"/>
                <w:sz w:val="18"/>
                <w:szCs w:val="18"/>
              </w:rPr>
              <w:t xml:space="preserve">of the </w:t>
            </w:r>
            <w:r w:rsidRPr="00176A13">
              <w:rPr>
                <w:rFonts w:eastAsia="Times New Roman" w:cs="Arial"/>
                <w:sz w:val="18"/>
                <w:szCs w:val="18"/>
              </w:rPr>
              <w:t>SPRFMO and SIOFA areas</w:t>
            </w:r>
            <w:r>
              <w:rPr>
                <w:rFonts w:eastAsia="Times New Roman" w:cs="Arial"/>
                <w:sz w:val="18"/>
                <w:szCs w:val="18"/>
              </w:rPr>
              <w:t xml:space="preserve"> respectively; </w:t>
            </w:r>
            <w:r w:rsidRPr="00176A13">
              <w:rPr>
                <w:rFonts w:eastAsia="Times New Roman" w:cs="Arial"/>
                <w:sz w:val="18"/>
                <w:szCs w:val="18"/>
              </w:rPr>
              <w:t xml:space="preserve">these </w:t>
            </w:r>
            <w:r>
              <w:rPr>
                <w:rFonts w:eastAsia="Times New Roman" w:cs="Arial"/>
                <w:sz w:val="18"/>
                <w:szCs w:val="18"/>
              </w:rPr>
              <w:t xml:space="preserve">standards cover </w:t>
            </w:r>
            <w:r w:rsidRPr="00176A13">
              <w:rPr>
                <w:rFonts w:eastAsia="Times New Roman" w:cs="Arial"/>
                <w:sz w:val="18"/>
                <w:szCs w:val="18"/>
              </w:rPr>
              <w:t xml:space="preserve">collection, reporting, verification and data exchange requirements. Details of these requirements are outlined for SPRFMO at </w:t>
            </w:r>
            <w:hyperlink r:id="rId48" w:history="1">
              <w:r w:rsidRPr="00176A13">
                <w:rPr>
                  <w:rStyle w:val="Hyperlink"/>
                  <w:rFonts w:cs="Arial"/>
                  <w:sz w:val="18"/>
                  <w:szCs w:val="18"/>
                </w:rPr>
                <w:t>https://www.sprfmo.int/assets/Fisheries/Conservation-and-Management-Measures/CMM-02-2017-Data-Standards-27Feb17.pdf</w:t>
              </w:r>
            </w:hyperlink>
            <w:r w:rsidRPr="00176A13">
              <w:rPr>
                <w:rFonts w:eastAsia="Times New Roman" w:cs="Arial"/>
                <w:sz w:val="18"/>
                <w:szCs w:val="18"/>
              </w:rPr>
              <w:t xml:space="preserve"> and for SIOFA at </w:t>
            </w:r>
            <w:hyperlink r:id="rId49" w:history="1">
              <w:r w:rsidRPr="00176A13">
                <w:rPr>
                  <w:rStyle w:val="Hyperlink"/>
                  <w:rFonts w:cs="Arial"/>
                  <w:sz w:val="18"/>
                  <w:szCs w:val="18"/>
                </w:rPr>
                <w:t>http://www.siofa.org/node/52</w:t>
              </w:r>
            </w:hyperlink>
            <w:r w:rsidRPr="00176A13">
              <w:rPr>
                <w:rFonts w:eastAsia="Times New Roman" w:cs="Arial"/>
                <w:sz w:val="18"/>
                <w:szCs w:val="18"/>
              </w:rPr>
              <w:t>.</w:t>
            </w:r>
          </w:p>
        </w:tc>
      </w:tr>
    </w:tbl>
    <w:p w14:paraId="3F4D3D61" w14:textId="77777777" w:rsidR="007C5230" w:rsidRDefault="007C5230">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7"/>
        <w:gridCol w:w="10377"/>
      </w:tblGrid>
      <w:tr w:rsidR="00570FD7" w:rsidRPr="004649FA" w14:paraId="4956113F" w14:textId="77777777" w:rsidTr="00515702">
        <w:trPr>
          <w:cantSplit/>
        </w:trPr>
        <w:tc>
          <w:tcPr>
            <w:tcW w:w="5000" w:type="pct"/>
            <w:gridSpan w:val="2"/>
            <w:shd w:val="clear" w:color="auto" w:fill="E5DFEC"/>
          </w:tcPr>
          <w:p w14:paraId="14137401" w14:textId="43D436F5" w:rsidR="00570FD7" w:rsidRPr="004649FA" w:rsidRDefault="00570FD7" w:rsidP="00515702">
            <w:pPr>
              <w:spacing w:after="120" w:line="240" w:lineRule="auto"/>
              <w:rPr>
                <w:rFonts w:cs="Arial"/>
                <w:sz w:val="20"/>
                <w:szCs w:val="20"/>
              </w:rPr>
            </w:pPr>
            <w:r w:rsidRPr="004649FA">
              <w:rPr>
                <w:rFonts w:cs="Arial"/>
                <w:b/>
                <w:bCs/>
                <w:i/>
                <w:iCs/>
                <w:sz w:val="20"/>
                <w:szCs w:val="20"/>
              </w:rPr>
              <w:lastRenderedPageBreak/>
              <w:t>Assessment</w:t>
            </w:r>
          </w:p>
        </w:tc>
      </w:tr>
      <w:tr w:rsidR="00570FD7" w:rsidRPr="004649FA" w14:paraId="31D1D49B" w14:textId="77777777" w:rsidTr="00515702">
        <w:trPr>
          <w:cantSplit/>
        </w:trPr>
        <w:tc>
          <w:tcPr>
            <w:tcW w:w="1500" w:type="pct"/>
          </w:tcPr>
          <w:p w14:paraId="05E07149" w14:textId="77777777" w:rsidR="00570FD7" w:rsidRPr="004649FA" w:rsidRDefault="00570FD7" w:rsidP="00515702">
            <w:pPr>
              <w:spacing w:after="120" w:line="240" w:lineRule="auto"/>
              <w:rPr>
                <w:rFonts w:cs="Arial"/>
                <w:sz w:val="18"/>
                <w:szCs w:val="18"/>
              </w:rPr>
            </w:pPr>
            <w:r w:rsidRPr="004649FA">
              <w:rPr>
                <w:rFonts w:cs="Arial"/>
                <w:b/>
                <w:bCs/>
                <w:sz w:val="18"/>
                <w:szCs w:val="18"/>
              </w:rPr>
              <w:t xml:space="preserve">2.3.2 </w:t>
            </w:r>
            <w:r w:rsidRPr="004649FA">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0E66B75E" w14:textId="77777777" w:rsidR="00570FD7" w:rsidRPr="004649FA" w:rsidRDefault="00570FD7" w:rsidP="00515702">
            <w:pPr>
              <w:spacing w:after="120" w:line="240" w:lineRule="auto"/>
              <w:rPr>
                <w:rFonts w:cs="Arial"/>
                <w:sz w:val="18"/>
                <w:szCs w:val="18"/>
              </w:rPr>
            </w:pPr>
            <w:r w:rsidRPr="004649FA">
              <w:rPr>
                <w:rFonts w:cs="Arial"/>
                <w:sz w:val="18"/>
                <w:szCs w:val="18"/>
              </w:rPr>
              <w:t>1. Impacts on ecological communities</w:t>
            </w:r>
          </w:p>
          <w:p w14:paraId="15954D52" w14:textId="77777777" w:rsidR="00570FD7" w:rsidRPr="004649FA" w:rsidRDefault="00570FD7" w:rsidP="00515702">
            <w:pPr>
              <w:spacing w:after="120" w:line="240" w:lineRule="auto"/>
              <w:rPr>
                <w:rFonts w:cs="Arial"/>
                <w:sz w:val="18"/>
                <w:szCs w:val="18"/>
              </w:rPr>
            </w:pPr>
            <w:r w:rsidRPr="004649FA">
              <w:rPr>
                <w:rFonts w:cs="Arial"/>
                <w:sz w:val="18"/>
                <w:szCs w:val="18"/>
              </w:rPr>
              <w:t>• Benthic communities</w:t>
            </w:r>
          </w:p>
          <w:p w14:paraId="1BC3F0CC" w14:textId="77777777" w:rsidR="00570FD7" w:rsidRPr="004649FA" w:rsidRDefault="00570FD7" w:rsidP="00515702">
            <w:pPr>
              <w:spacing w:after="120" w:line="240" w:lineRule="auto"/>
              <w:rPr>
                <w:rFonts w:cs="Arial"/>
                <w:sz w:val="18"/>
                <w:szCs w:val="18"/>
              </w:rPr>
            </w:pPr>
            <w:r w:rsidRPr="004649FA">
              <w:rPr>
                <w:rFonts w:cs="Arial"/>
                <w:sz w:val="18"/>
                <w:szCs w:val="18"/>
              </w:rPr>
              <w:t>• Ecologically related, associated or dependent species</w:t>
            </w:r>
          </w:p>
          <w:p w14:paraId="46F989D1" w14:textId="77777777" w:rsidR="00570FD7" w:rsidRPr="004649FA" w:rsidRDefault="00570FD7" w:rsidP="00515702">
            <w:pPr>
              <w:spacing w:after="120" w:line="240" w:lineRule="auto"/>
              <w:rPr>
                <w:rFonts w:cs="Arial"/>
                <w:sz w:val="18"/>
                <w:szCs w:val="18"/>
              </w:rPr>
            </w:pPr>
            <w:r w:rsidRPr="004649FA">
              <w:rPr>
                <w:rFonts w:cs="Arial"/>
                <w:sz w:val="18"/>
                <w:szCs w:val="18"/>
              </w:rPr>
              <w:t>• Water column communities</w:t>
            </w:r>
          </w:p>
          <w:p w14:paraId="6E28EA3E" w14:textId="77777777" w:rsidR="00570FD7" w:rsidRPr="004649FA" w:rsidRDefault="00570FD7" w:rsidP="00515702">
            <w:pPr>
              <w:spacing w:after="120" w:line="240" w:lineRule="auto"/>
              <w:rPr>
                <w:rFonts w:cs="Arial"/>
                <w:sz w:val="18"/>
                <w:szCs w:val="18"/>
              </w:rPr>
            </w:pPr>
            <w:r w:rsidRPr="004649FA">
              <w:rPr>
                <w:rFonts w:cs="Arial"/>
                <w:sz w:val="18"/>
                <w:szCs w:val="18"/>
              </w:rPr>
              <w:t>2. Impacts on food chains</w:t>
            </w:r>
          </w:p>
          <w:p w14:paraId="32AF4C21" w14:textId="77777777" w:rsidR="00570FD7" w:rsidRPr="004649FA" w:rsidRDefault="00570FD7" w:rsidP="00515702">
            <w:pPr>
              <w:spacing w:after="120" w:line="240" w:lineRule="auto"/>
              <w:rPr>
                <w:rFonts w:cs="Arial"/>
                <w:sz w:val="18"/>
                <w:szCs w:val="18"/>
              </w:rPr>
            </w:pPr>
            <w:r w:rsidRPr="004649FA">
              <w:rPr>
                <w:rFonts w:cs="Arial"/>
                <w:sz w:val="18"/>
                <w:szCs w:val="18"/>
              </w:rPr>
              <w:t>• Structure</w:t>
            </w:r>
          </w:p>
          <w:p w14:paraId="0A084E5B" w14:textId="77777777" w:rsidR="00570FD7" w:rsidRPr="004649FA" w:rsidRDefault="00570FD7" w:rsidP="00515702">
            <w:pPr>
              <w:spacing w:after="120" w:line="240" w:lineRule="auto"/>
              <w:rPr>
                <w:rFonts w:cs="Arial"/>
                <w:sz w:val="18"/>
                <w:szCs w:val="18"/>
              </w:rPr>
            </w:pPr>
            <w:r w:rsidRPr="004649FA">
              <w:rPr>
                <w:rFonts w:cs="Arial"/>
                <w:sz w:val="18"/>
                <w:szCs w:val="18"/>
              </w:rPr>
              <w:t>• Productivity/flows</w:t>
            </w:r>
          </w:p>
          <w:p w14:paraId="7BB2ADA8" w14:textId="77777777" w:rsidR="00570FD7" w:rsidRPr="004649FA" w:rsidRDefault="00570FD7" w:rsidP="00515702">
            <w:pPr>
              <w:spacing w:after="120" w:line="240" w:lineRule="auto"/>
              <w:rPr>
                <w:rFonts w:cs="Arial"/>
                <w:sz w:val="18"/>
                <w:szCs w:val="18"/>
              </w:rPr>
            </w:pPr>
            <w:r w:rsidRPr="004649FA">
              <w:rPr>
                <w:rFonts w:cs="Arial"/>
                <w:sz w:val="18"/>
                <w:szCs w:val="18"/>
              </w:rPr>
              <w:t>3. Impacts on the physical environment</w:t>
            </w:r>
          </w:p>
          <w:p w14:paraId="10BCF381" w14:textId="77777777" w:rsidR="00570FD7" w:rsidRPr="004649FA" w:rsidRDefault="00570FD7" w:rsidP="00515702">
            <w:pPr>
              <w:spacing w:after="120" w:line="240" w:lineRule="auto"/>
              <w:rPr>
                <w:rFonts w:cs="Arial"/>
                <w:sz w:val="18"/>
                <w:szCs w:val="18"/>
              </w:rPr>
            </w:pPr>
            <w:r w:rsidRPr="004649FA">
              <w:rPr>
                <w:rFonts w:cs="Arial"/>
                <w:sz w:val="18"/>
                <w:szCs w:val="18"/>
              </w:rPr>
              <w:t>• Physical habitat</w:t>
            </w:r>
          </w:p>
          <w:p w14:paraId="3BD65DE0" w14:textId="77777777" w:rsidR="00570FD7" w:rsidRPr="007608B3" w:rsidRDefault="00570FD7" w:rsidP="00515702">
            <w:pPr>
              <w:spacing w:after="120" w:line="240" w:lineRule="auto"/>
              <w:rPr>
                <w:rFonts w:cs="Arial"/>
                <w:sz w:val="18"/>
                <w:szCs w:val="18"/>
              </w:rPr>
            </w:pPr>
            <w:r w:rsidRPr="004649FA">
              <w:rPr>
                <w:rFonts w:cs="Arial"/>
                <w:sz w:val="18"/>
                <w:szCs w:val="18"/>
              </w:rPr>
              <w:t>• Water quality</w:t>
            </w:r>
          </w:p>
        </w:tc>
        <w:tc>
          <w:tcPr>
            <w:tcW w:w="3500" w:type="pct"/>
            <w:shd w:val="clear" w:color="auto" w:fill="FFC000"/>
          </w:tcPr>
          <w:p w14:paraId="29DC3531" w14:textId="77777777" w:rsidR="00570FD7" w:rsidRDefault="00570FD7" w:rsidP="00515702">
            <w:pPr>
              <w:pStyle w:val="BodyText1"/>
              <w:spacing w:after="0" w:line="240" w:lineRule="auto"/>
              <w:rPr>
                <w:rFonts w:cs="Arial"/>
                <w:sz w:val="18"/>
                <w:szCs w:val="18"/>
              </w:rPr>
            </w:pPr>
            <w:r w:rsidRPr="00A944A3">
              <w:rPr>
                <w:rFonts w:cs="Arial"/>
                <w:b/>
                <w:sz w:val="18"/>
                <w:szCs w:val="18"/>
              </w:rPr>
              <w:t>Partially meets</w:t>
            </w:r>
          </w:p>
          <w:p w14:paraId="7FF151F8" w14:textId="77777777" w:rsidR="00570FD7" w:rsidRPr="00A944A3" w:rsidRDefault="00570FD7" w:rsidP="00515702">
            <w:pPr>
              <w:pStyle w:val="BodyText1"/>
              <w:spacing w:line="240" w:lineRule="auto"/>
              <w:rPr>
                <w:rFonts w:cs="Arial"/>
                <w:sz w:val="18"/>
                <w:szCs w:val="18"/>
              </w:rPr>
            </w:pPr>
            <w:r w:rsidRPr="00A944A3">
              <w:rPr>
                <w:rFonts w:cs="Arial"/>
                <w:sz w:val="18"/>
                <w:szCs w:val="18"/>
              </w:rPr>
              <w:t>Information on ecological communities, food chains or the physical environment is not collected but some limited risk assessment has been undertaken. This focussed on vulnerable marine ecosystems and target species.</w:t>
            </w:r>
          </w:p>
          <w:p w14:paraId="67E287A2" w14:textId="77777777" w:rsidR="00570FD7" w:rsidRPr="00977B2F" w:rsidRDefault="00570FD7" w:rsidP="00515702">
            <w:pPr>
              <w:pStyle w:val="BodyText1"/>
              <w:spacing w:line="240" w:lineRule="auto"/>
              <w:rPr>
                <w:rFonts w:cs="Arial"/>
                <w:sz w:val="18"/>
                <w:szCs w:val="18"/>
              </w:rPr>
            </w:pPr>
            <w:r w:rsidRPr="00A944A3">
              <w:rPr>
                <w:rFonts w:cs="Arial"/>
                <w:sz w:val="18"/>
                <w:szCs w:val="18"/>
              </w:rPr>
              <w:t>Impact assessments for Australia’s high seas fishing in SPRFMO and SIOFA areas (Williams et al. 2011a and 2011b)</w:t>
            </w:r>
            <w:r w:rsidRPr="00977B2F">
              <w:rPr>
                <w:rFonts w:cs="Arial"/>
                <w:sz w:val="18"/>
                <w:szCs w:val="18"/>
              </w:rPr>
              <w:t xml:space="preserve"> </w:t>
            </w:r>
            <w:r>
              <w:rPr>
                <w:rFonts w:cs="Arial"/>
                <w:sz w:val="18"/>
                <w:szCs w:val="18"/>
              </w:rPr>
              <w:t>concluded that t</w:t>
            </w:r>
            <w:r w:rsidRPr="00977B2F">
              <w:rPr>
                <w:rFonts w:cs="Arial"/>
                <w:sz w:val="18"/>
                <w:szCs w:val="18"/>
              </w:rPr>
              <w:t xml:space="preserve">he current overall risk of significant adverse impact on vulnerable marine ecosystems </w:t>
            </w:r>
            <w:r>
              <w:rPr>
                <w:rFonts w:cs="Arial"/>
                <w:sz w:val="18"/>
                <w:szCs w:val="18"/>
              </w:rPr>
              <w:t xml:space="preserve">was </w:t>
            </w:r>
            <w:r w:rsidRPr="00977B2F">
              <w:rPr>
                <w:rFonts w:cs="Arial"/>
                <w:sz w:val="18"/>
                <w:szCs w:val="18"/>
              </w:rPr>
              <w:t>low</w:t>
            </w:r>
            <w:r>
              <w:rPr>
                <w:rFonts w:cs="Arial"/>
                <w:sz w:val="18"/>
                <w:szCs w:val="18"/>
              </w:rPr>
              <w:t xml:space="preserve"> for </w:t>
            </w:r>
            <w:r w:rsidRPr="00977B2F">
              <w:rPr>
                <w:rFonts w:cs="Arial"/>
                <w:sz w:val="18"/>
                <w:szCs w:val="18"/>
              </w:rPr>
              <w:t>Australian vessels fishing using bottom trawl and bottom-set auto-longline, and</w:t>
            </w:r>
            <w:r>
              <w:rPr>
                <w:rFonts w:cs="Arial"/>
                <w:sz w:val="18"/>
                <w:szCs w:val="18"/>
              </w:rPr>
              <w:t xml:space="preserve"> </w:t>
            </w:r>
            <w:r w:rsidRPr="00977B2F">
              <w:rPr>
                <w:rFonts w:cs="Arial"/>
                <w:sz w:val="18"/>
                <w:szCs w:val="18"/>
              </w:rPr>
              <w:t>negligible</w:t>
            </w:r>
            <w:r>
              <w:rPr>
                <w:rFonts w:cs="Arial"/>
                <w:sz w:val="18"/>
                <w:szCs w:val="18"/>
              </w:rPr>
              <w:t xml:space="preserve"> for </w:t>
            </w:r>
            <w:r w:rsidRPr="00977B2F">
              <w:rPr>
                <w:rFonts w:cs="Arial"/>
                <w:sz w:val="18"/>
                <w:szCs w:val="18"/>
              </w:rPr>
              <w:t>Australian vessels fishing using mid-water trawl and drop</w:t>
            </w:r>
            <w:r>
              <w:rPr>
                <w:rFonts w:cs="Arial"/>
                <w:sz w:val="18"/>
                <w:szCs w:val="18"/>
              </w:rPr>
              <w:t>-</w:t>
            </w:r>
            <w:r w:rsidRPr="00977B2F">
              <w:rPr>
                <w:rFonts w:cs="Arial"/>
                <w:sz w:val="18"/>
                <w:szCs w:val="18"/>
              </w:rPr>
              <w:t>lining.</w:t>
            </w:r>
            <w:r>
              <w:rPr>
                <w:rFonts w:cs="Arial"/>
                <w:sz w:val="18"/>
                <w:szCs w:val="18"/>
              </w:rPr>
              <w:t xml:space="preserve"> A</w:t>
            </w:r>
            <w:r w:rsidRPr="00977B2F">
              <w:rPr>
                <w:rFonts w:cs="Arial"/>
                <w:sz w:val="18"/>
                <w:szCs w:val="18"/>
              </w:rPr>
              <w:t xml:space="preserve"> sustainability assessment of the harvest levels of deep-sea stocks</w:t>
            </w:r>
            <w:r>
              <w:rPr>
                <w:rFonts w:cs="Arial"/>
                <w:sz w:val="18"/>
                <w:szCs w:val="18"/>
              </w:rPr>
              <w:t xml:space="preserve"> also </w:t>
            </w:r>
            <w:r w:rsidRPr="00977B2F">
              <w:rPr>
                <w:rFonts w:cs="Arial"/>
                <w:sz w:val="18"/>
                <w:szCs w:val="18"/>
              </w:rPr>
              <w:t>judged that none of the stocks assessed were ‘subject to overfishing’ by Australian vessels, although some stocks were classified as ‘uncertain’.</w:t>
            </w:r>
          </w:p>
          <w:p w14:paraId="787A4B75" w14:textId="77777777" w:rsidR="00570FD7" w:rsidRDefault="00570FD7" w:rsidP="00515702">
            <w:pPr>
              <w:pStyle w:val="BodyText1"/>
              <w:spacing w:line="240" w:lineRule="auto"/>
              <w:rPr>
                <w:rFonts w:cs="Arial"/>
                <w:sz w:val="18"/>
                <w:szCs w:val="18"/>
              </w:rPr>
            </w:pPr>
            <w:r w:rsidRPr="00977B2F">
              <w:rPr>
                <w:rFonts w:cs="Arial"/>
                <w:sz w:val="18"/>
                <w:szCs w:val="18"/>
              </w:rPr>
              <w:t xml:space="preserve">The </w:t>
            </w:r>
            <w:r>
              <w:rPr>
                <w:rFonts w:cs="Arial"/>
                <w:sz w:val="18"/>
                <w:szCs w:val="18"/>
              </w:rPr>
              <w:t>D</w:t>
            </w:r>
            <w:r w:rsidRPr="00977B2F">
              <w:rPr>
                <w:rFonts w:cs="Arial"/>
                <w:sz w:val="18"/>
                <w:szCs w:val="18"/>
              </w:rPr>
              <w:t xml:space="preserve">epartment considers that, based on the findings of the bottom fishery impact assessments and the sustainability assessment, the likely impact of current fishing operations under Australia’s High Seas Permits on the ecosystem </w:t>
            </w:r>
            <w:r>
              <w:rPr>
                <w:rFonts w:cs="Arial"/>
                <w:sz w:val="18"/>
                <w:szCs w:val="18"/>
              </w:rPr>
              <w:t>is</w:t>
            </w:r>
            <w:r w:rsidRPr="00977B2F">
              <w:rPr>
                <w:rFonts w:cs="Arial"/>
                <w:sz w:val="18"/>
                <w:szCs w:val="18"/>
              </w:rPr>
              <w:t xml:space="preserve"> minimal.</w:t>
            </w:r>
          </w:p>
          <w:p w14:paraId="06ADC024" w14:textId="77777777" w:rsidR="00570FD7" w:rsidRPr="00D86C6D" w:rsidRDefault="00570FD7" w:rsidP="00515702">
            <w:pPr>
              <w:pStyle w:val="BodyText1"/>
              <w:spacing w:line="240" w:lineRule="auto"/>
              <w:rPr>
                <w:rFonts w:cs="Arial"/>
                <w:sz w:val="18"/>
                <w:szCs w:val="18"/>
              </w:rPr>
            </w:pPr>
            <w:r>
              <w:rPr>
                <w:rFonts w:cs="Arial"/>
                <w:sz w:val="18"/>
                <w:szCs w:val="18"/>
              </w:rPr>
              <w:t xml:space="preserve">Ecological risk assessments are </w:t>
            </w:r>
            <w:r w:rsidRPr="00D86C6D">
              <w:rPr>
                <w:rFonts w:cs="Arial"/>
                <w:sz w:val="18"/>
                <w:szCs w:val="18"/>
              </w:rPr>
              <w:t>being undertaken for the whole of the SPRFMO and SIOFA areas</w:t>
            </w:r>
            <w:r>
              <w:rPr>
                <w:rFonts w:cs="Arial"/>
                <w:sz w:val="18"/>
                <w:szCs w:val="18"/>
              </w:rPr>
              <w:t xml:space="preserve"> (</w:t>
            </w:r>
            <w:r w:rsidRPr="00D86C6D">
              <w:rPr>
                <w:rFonts w:cs="Arial"/>
                <w:sz w:val="18"/>
                <w:szCs w:val="18"/>
              </w:rPr>
              <w:t>not just the Australian footprint)</w:t>
            </w:r>
            <w:r>
              <w:rPr>
                <w:rFonts w:cs="Arial"/>
                <w:sz w:val="18"/>
                <w:szCs w:val="18"/>
              </w:rPr>
              <w:t>. The</w:t>
            </w:r>
            <w:r w:rsidRPr="00D86C6D">
              <w:rPr>
                <w:rFonts w:cs="Arial"/>
                <w:sz w:val="18"/>
                <w:szCs w:val="18"/>
              </w:rPr>
              <w:t xml:space="preserve"> </w:t>
            </w:r>
            <w:r>
              <w:rPr>
                <w:rFonts w:cs="Arial"/>
                <w:sz w:val="18"/>
                <w:szCs w:val="18"/>
              </w:rPr>
              <w:t xml:space="preserve">risk assessments </w:t>
            </w:r>
            <w:r w:rsidRPr="00D86C6D">
              <w:rPr>
                <w:rFonts w:cs="Arial"/>
                <w:sz w:val="18"/>
                <w:szCs w:val="18"/>
              </w:rPr>
              <w:t xml:space="preserve">consider the potential risks to these species from the use of demersal trawl, midwater trawl, </w:t>
            </w:r>
            <w:proofErr w:type="gramStart"/>
            <w:r w:rsidRPr="00D86C6D">
              <w:rPr>
                <w:rFonts w:cs="Arial"/>
                <w:sz w:val="18"/>
                <w:szCs w:val="18"/>
              </w:rPr>
              <w:t>demer</w:t>
            </w:r>
            <w:r>
              <w:rPr>
                <w:rFonts w:cs="Arial"/>
                <w:sz w:val="18"/>
                <w:szCs w:val="18"/>
              </w:rPr>
              <w:t>sal</w:t>
            </w:r>
            <w:proofErr w:type="gramEnd"/>
            <w:r>
              <w:rPr>
                <w:rFonts w:cs="Arial"/>
                <w:sz w:val="18"/>
                <w:szCs w:val="18"/>
              </w:rPr>
              <w:t xml:space="preserve"> longline and gillnet gears.</w:t>
            </w:r>
          </w:p>
          <w:p w14:paraId="52B0E9A3" w14:textId="77777777" w:rsidR="00570FD7" w:rsidRPr="00D86C6D" w:rsidRDefault="00570FD7" w:rsidP="00515702">
            <w:pPr>
              <w:pStyle w:val="BodyText1"/>
              <w:spacing w:line="240" w:lineRule="auto"/>
              <w:rPr>
                <w:rFonts w:cs="Arial"/>
                <w:sz w:val="18"/>
                <w:szCs w:val="18"/>
              </w:rPr>
            </w:pPr>
            <w:r>
              <w:rPr>
                <w:rFonts w:cs="Arial"/>
                <w:sz w:val="18"/>
                <w:szCs w:val="18"/>
              </w:rPr>
              <w:t>T</w:t>
            </w:r>
            <w:r w:rsidRPr="00D86C6D">
              <w:rPr>
                <w:rFonts w:cs="Arial"/>
                <w:sz w:val="18"/>
                <w:szCs w:val="18"/>
              </w:rPr>
              <w:t xml:space="preserve">he </w:t>
            </w:r>
            <w:r>
              <w:rPr>
                <w:rFonts w:cs="Arial"/>
                <w:sz w:val="18"/>
                <w:szCs w:val="18"/>
              </w:rPr>
              <w:t xml:space="preserve">risk assessments are unlikely to cover all species and will not include assessment of </w:t>
            </w:r>
            <w:r w:rsidRPr="00D86C6D">
              <w:rPr>
                <w:rFonts w:cs="Arial"/>
                <w:sz w:val="18"/>
                <w:szCs w:val="18"/>
              </w:rPr>
              <w:t xml:space="preserve">habitats </w:t>
            </w:r>
            <w:r>
              <w:rPr>
                <w:rFonts w:cs="Arial"/>
                <w:sz w:val="18"/>
                <w:szCs w:val="18"/>
              </w:rPr>
              <w:t xml:space="preserve">or </w:t>
            </w:r>
            <w:r w:rsidRPr="00D86C6D">
              <w:rPr>
                <w:rFonts w:cs="Arial"/>
                <w:sz w:val="18"/>
                <w:szCs w:val="18"/>
              </w:rPr>
              <w:t>communities</w:t>
            </w:r>
            <w:r>
              <w:rPr>
                <w:rFonts w:cs="Arial"/>
                <w:sz w:val="18"/>
                <w:szCs w:val="18"/>
              </w:rPr>
              <w:t xml:space="preserve">. They will however assess </w:t>
            </w:r>
            <w:proofErr w:type="spellStart"/>
            <w:r w:rsidRPr="00D86C6D">
              <w:rPr>
                <w:rFonts w:cs="Arial"/>
                <w:sz w:val="18"/>
                <w:szCs w:val="18"/>
              </w:rPr>
              <w:t>deepwater</w:t>
            </w:r>
            <w:proofErr w:type="spellEnd"/>
            <w:r w:rsidRPr="00D86C6D">
              <w:rPr>
                <w:rFonts w:cs="Arial"/>
                <w:sz w:val="18"/>
                <w:szCs w:val="18"/>
              </w:rPr>
              <w:t xml:space="preserve"> </w:t>
            </w:r>
            <w:proofErr w:type="spellStart"/>
            <w:r w:rsidRPr="00D86C6D">
              <w:rPr>
                <w:rFonts w:cs="Arial"/>
                <w:sz w:val="18"/>
                <w:szCs w:val="18"/>
              </w:rPr>
              <w:t>chondrichthyans</w:t>
            </w:r>
            <w:proofErr w:type="spellEnd"/>
            <w:r>
              <w:rPr>
                <w:rFonts w:cs="Arial"/>
                <w:sz w:val="18"/>
                <w:szCs w:val="18"/>
              </w:rPr>
              <w:t xml:space="preserve"> and a number of </w:t>
            </w:r>
            <w:r w:rsidRPr="00D86C6D">
              <w:rPr>
                <w:rFonts w:cs="Arial"/>
                <w:sz w:val="18"/>
                <w:szCs w:val="18"/>
              </w:rPr>
              <w:t>teleost species</w:t>
            </w:r>
            <w:r>
              <w:rPr>
                <w:rFonts w:cs="Arial"/>
                <w:sz w:val="18"/>
                <w:szCs w:val="18"/>
              </w:rPr>
              <w:t xml:space="preserve">, including some </w:t>
            </w:r>
            <w:r w:rsidRPr="00D86C6D">
              <w:rPr>
                <w:rFonts w:cs="Arial"/>
                <w:sz w:val="18"/>
                <w:szCs w:val="18"/>
              </w:rPr>
              <w:t>low-information species</w:t>
            </w:r>
            <w:r>
              <w:rPr>
                <w:rFonts w:cs="Arial"/>
                <w:sz w:val="18"/>
                <w:szCs w:val="18"/>
              </w:rPr>
              <w:t xml:space="preserve"> which are </w:t>
            </w:r>
            <w:r w:rsidRPr="00D86C6D">
              <w:rPr>
                <w:rFonts w:cs="Arial"/>
                <w:sz w:val="18"/>
                <w:szCs w:val="18"/>
              </w:rPr>
              <w:t>taken as bycatch</w:t>
            </w:r>
            <w:r>
              <w:rPr>
                <w:rFonts w:cs="Arial"/>
                <w:sz w:val="18"/>
                <w:szCs w:val="18"/>
              </w:rPr>
              <w:t xml:space="preserve"> and or </w:t>
            </w:r>
            <w:proofErr w:type="spellStart"/>
            <w:r>
              <w:rPr>
                <w:rFonts w:cs="Arial"/>
                <w:sz w:val="18"/>
                <w:szCs w:val="18"/>
              </w:rPr>
              <w:t>byproduct</w:t>
            </w:r>
            <w:proofErr w:type="spellEnd"/>
            <w:r>
              <w:rPr>
                <w:rFonts w:cs="Arial"/>
                <w:sz w:val="18"/>
                <w:szCs w:val="18"/>
              </w:rPr>
              <w:t>. The risk assessments</w:t>
            </w:r>
            <w:r w:rsidRPr="00D86C6D">
              <w:rPr>
                <w:rFonts w:cs="Arial"/>
                <w:sz w:val="18"/>
                <w:szCs w:val="18"/>
              </w:rPr>
              <w:t xml:space="preserve"> for </w:t>
            </w:r>
            <w:proofErr w:type="spellStart"/>
            <w:r w:rsidRPr="00D86C6D">
              <w:rPr>
                <w:rFonts w:cs="Arial"/>
                <w:sz w:val="18"/>
                <w:szCs w:val="18"/>
              </w:rPr>
              <w:t>deepwater</w:t>
            </w:r>
            <w:proofErr w:type="spellEnd"/>
            <w:r w:rsidRPr="00D86C6D">
              <w:rPr>
                <w:rFonts w:cs="Arial"/>
                <w:sz w:val="18"/>
                <w:szCs w:val="18"/>
              </w:rPr>
              <w:t xml:space="preserve"> </w:t>
            </w:r>
            <w:proofErr w:type="spellStart"/>
            <w:r w:rsidRPr="00D86C6D">
              <w:rPr>
                <w:rFonts w:cs="Arial"/>
                <w:sz w:val="18"/>
                <w:szCs w:val="18"/>
              </w:rPr>
              <w:t>chondrichthyans</w:t>
            </w:r>
            <w:proofErr w:type="spellEnd"/>
            <w:r w:rsidRPr="00D86C6D">
              <w:rPr>
                <w:rFonts w:cs="Arial"/>
                <w:sz w:val="18"/>
                <w:szCs w:val="18"/>
              </w:rPr>
              <w:t xml:space="preserve"> are expected to be completed during 2018</w:t>
            </w:r>
            <w:r>
              <w:rPr>
                <w:rFonts w:cs="Arial"/>
                <w:sz w:val="18"/>
                <w:szCs w:val="18"/>
              </w:rPr>
              <w:t xml:space="preserve"> and the assessments for </w:t>
            </w:r>
            <w:r w:rsidRPr="00D86C6D">
              <w:rPr>
                <w:rFonts w:cs="Arial"/>
                <w:sz w:val="18"/>
                <w:szCs w:val="18"/>
              </w:rPr>
              <w:t xml:space="preserve">teleosts are expected to be undertaken </w:t>
            </w:r>
            <w:r>
              <w:rPr>
                <w:rFonts w:cs="Arial"/>
                <w:sz w:val="18"/>
                <w:szCs w:val="18"/>
              </w:rPr>
              <w:t xml:space="preserve">in </w:t>
            </w:r>
            <w:r w:rsidRPr="00D86C6D">
              <w:rPr>
                <w:rFonts w:cs="Arial"/>
                <w:sz w:val="18"/>
                <w:szCs w:val="18"/>
              </w:rPr>
              <w:t>2019</w:t>
            </w:r>
            <w:r>
              <w:rPr>
                <w:rFonts w:cs="Arial"/>
                <w:sz w:val="18"/>
                <w:szCs w:val="18"/>
              </w:rPr>
              <w:t>.</w:t>
            </w:r>
          </w:p>
          <w:p w14:paraId="67FFF3C5" w14:textId="77777777" w:rsidR="00570FD7" w:rsidRPr="00D86C6D" w:rsidRDefault="00570FD7" w:rsidP="00515702">
            <w:pPr>
              <w:pStyle w:val="BodyText1"/>
              <w:spacing w:line="240" w:lineRule="auto"/>
              <w:rPr>
                <w:rFonts w:cs="Arial"/>
                <w:sz w:val="18"/>
                <w:szCs w:val="18"/>
              </w:rPr>
            </w:pPr>
            <w:r>
              <w:rPr>
                <w:rFonts w:cs="Arial"/>
                <w:sz w:val="18"/>
                <w:szCs w:val="18"/>
              </w:rPr>
              <w:t xml:space="preserve">Separate processes are </w:t>
            </w:r>
            <w:r w:rsidRPr="00D86C6D">
              <w:rPr>
                <w:rFonts w:cs="Arial"/>
                <w:sz w:val="18"/>
                <w:szCs w:val="18"/>
              </w:rPr>
              <w:t xml:space="preserve">underway in both </w:t>
            </w:r>
            <w:r>
              <w:rPr>
                <w:rFonts w:cs="Arial"/>
                <w:sz w:val="18"/>
                <w:szCs w:val="18"/>
              </w:rPr>
              <w:t xml:space="preserve">SPRFMO and SIOFA areas </w:t>
            </w:r>
            <w:r w:rsidRPr="00D86C6D">
              <w:rPr>
                <w:rFonts w:cs="Arial"/>
                <w:sz w:val="18"/>
                <w:szCs w:val="18"/>
              </w:rPr>
              <w:t>to consider the risk of fishing to habitats and communities (e.g. spatial management, bottom fishing impact assessments, consideration of fishery closures/protected areas)</w:t>
            </w:r>
            <w:r>
              <w:rPr>
                <w:rFonts w:cs="Arial"/>
                <w:sz w:val="18"/>
                <w:szCs w:val="18"/>
              </w:rPr>
              <w:t>.</w:t>
            </w:r>
          </w:p>
          <w:p w14:paraId="6137B96F" w14:textId="4275FBA6" w:rsidR="00570FD7" w:rsidRPr="004649FA" w:rsidRDefault="00570FD7" w:rsidP="004D61C5">
            <w:pPr>
              <w:pStyle w:val="BodyText1"/>
              <w:spacing w:line="240" w:lineRule="auto"/>
              <w:rPr>
                <w:rFonts w:cs="Arial"/>
                <w:sz w:val="18"/>
                <w:szCs w:val="18"/>
              </w:rPr>
            </w:pPr>
            <w:r w:rsidRPr="00D86C6D">
              <w:rPr>
                <w:rFonts w:cs="Arial"/>
                <w:sz w:val="18"/>
                <w:szCs w:val="18"/>
              </w:rPr>
              <w:t xml:space="preserve">The </w:t>
            </w:r>
            <w:r>
              <w:rPr>
                <w:rFonts w:cs="Arial"/>
                <w:sz w:val="18"/>
                <w:szCs w:val="18"/>
              </w:rPr>
              <w:t xml:space="preserve">risk assessment for the </w:t>
            </w:r>
            <w:r w:rsidRPr="00D86C6D">
              <w:rPr>
                <w:rFonts w:cs="Arial"/>
                <w:sz w:val="18"/>
                <w:szCs w:val="18"/>
              </w:rPr>
              <w:t xml:space="preserve">SIOFA </w:t>
            </w:r>
            <w:r>
              <w:rPr>
                <w:rFonts w:cs="Arial"/>
                <w:sz w:val="18"/>
                <w:szCs w:val="18"/>
              </w:rPr>
              <w:t xml:space="preserve">area </w:t>
            </w:r>
            <w:r w:rsidRPr="00D86C6D">
              <w:rPr>
                <w:rFonts w:cs="Arial"/>
                <w:sz w:val="18"/>
                <w:szCs w:val="18"/>
              </w:rPr>
              <w:t>is nearing completion</w:t>
            </w:r>
            <w:r>
              <w:rPr>
                <w:rFonts w:cs="Arial"/>
                <w:sz w:val="18"/>
                <w:szCs w:val="18"/>
              </w:rPr>
              <w:t xml:space="preserve"> and t</w:t>
            </w:r>
            <w:r w:rsidRPr="00D86C6D">
              <w:rPr>
                <w:rFonts w:cs="Arial"/>
                <w:sz w:val="18"/>
                <w:szCs w:val="18"/>
              </w:rPr>
              <w:t xml:space="preserve">he SIOFA Scientific Committee </w:t>
            </w:r>
            <w:r>
              <w:rPr>
                <w:rFonts w:cs="Arial"/>
                <w:sz w:val="18"/>
                <w:szCs w:val="18"/>
              </w:rPr>
              <w:t>present</w:t>
            </w:r>
            <w:r w:rsidR="004D61C5">
              <w:rPr>
                <w:rFonts w:cs="Arial"/>
                <w:sz w:val="18"/>
                <w:szCs w:val="18"/>
              </w:rPr>
              <w:t>ed</w:t>
            </w:r>
            <w:r>
              <w:rPr>
                <w:rFonts w:cs="Arial"/>
                <w:sz w:val="18"/>
                <w:szCs w:val="18"/>
              </w:rPr>
              <w:t xml:space="preserve"> </w:t>
            </w:r>
            <w:r w:rsidRPr="00D86C6D">
              <w:rPr>
                <w:rFonts w:cs="Arial"/>
                <w:sz w:val="18"/>
                <w:szCs w:val="18"/>
              </w:rPr>
              <w:t>risk mitigation</w:t>
            </w:r>
            <w:r>
              <w:rPr>
                <w:rFonts w:cs="Arial"/>
                <w:sz w:val="18"/>
                <w:szCs w:val="18"/>
              </w:rPr>
              <w:t xml:space="preserve"> and </w:t>
            </w:r>
            <w:r w:rsidRPr="00D86C6D">
              <w:rPr>
                <w:rFonts w:cs="Arial"/>
                <w:sz w:val="18"/>
                <w:szCs w:val="18"/>
              </w:rPr>
              <w:t xml:space="preserve">management advice </w:t>
            </w:r>
            <w:r>
              <w:rPr>
                <w:rFonts w:cs="Arial"/>
                <w:sz w:val="18"/>
                <w:szCs w:val="18"/>
              </w:rPr>
              <w:t xml:space="preserve">at </w:t>
            </w:r>
            <w:r w:rsidRPr="00D86C6D">
              <w:rPr>
                <w:rFonts w:cs="Arial"/>
                <w:sz w:val="18"/>
                <w:szCs w:val="18"/>
              </w:rPr>
              <w:t>the SIOFA Meeting of the Parties</w:t>
            </w:r>
            <w:r w:rsidR="004D61C5">
              <w:rPr>
                <w:rFonts w:cs="Arial"/>
                <w:sz w:val="18"/>
                <w:szCs w:val="18"/>
              </w:rPr>
              <w:t xml:space="preserve"> in </w:t>
            </w:r>
            <w:r w:rsidRPr="00D86C6D">
              <w:rPr>
                <w:rFonts w:cs="Arial"/>
                <w:sz w:val="18"/>
                <w:szCs w:val="18"/>
              </w:rPr>
              <w:t>March 2018.</w:t>
            </w:r>
            <w:r w:rsidR="00972FBE">
              <w:rPr>
                <w:rFonts w:cs="Arial"/>
                <w:sz w:val="18"/>
                <w:szCs w:val="18"/>
              </w:rPr>
              <w:t xml:space="preserve"> The committee found that information on stock structure for </w:t>
            </w:r>
            <w:proofErr w:type="spellStart"/>
            <w:r w:rsidR="00972FBE">
              <w:rPr>
                <w:rFonts w:cs="Arial"/>
                <w:sz w:val="18"/>
                <w:szCs w:val="18"/>
              </w:rPr>
              <w:t>deepwater</w:t>
            </w:r>
            <w:proofErr w:type="spellEnd"/>
            <w:r w:rsidR="00972FBE">
              <w:rPr>
                <w:rFonts w:cs="Arial"/>
                <w:sz w:val="18"/>
                <w:szCs w:val="18"/>
              </w:rPr>
              <w:t xml:space="preserve"> </w:t>
            </w:r>
            <w:proofErr w:type="spellStart"/>
            <w:r w:rsidR="00972FBE">
              <w:rPr>
                <w:rFonts w:cs="Arial"/>
                <w:sz w:val="18"/>
                <w:szCs w:val="18"/>
              </w:rPr>
              <w:t>chondrichtyans</w:t>
            </w:r>
            <w:proofErr w:type="spellEnd"/>
            <w:r w:rsidR="00972FBE">
              <w:rPr>
                <w:rFonts w:cs="Arial"/>
                <w:sz w:val="18"/>
                <w:szCs w:val="18"/>
              </w:rPr>
              <w:t xml:space="preserve"> is lacking and considered this to be a key uncertainty. They also noted that better information is needed for some species that management actions may be required to address this. Further details are available in the </w:t>
            </w:r>
            <w:hyperlink r:id="rId50" w:history="1">
              <w:r w:rsidR="00972FBE">
                <w:rPr>
                  <w:rStyle w:val="Hyperlink"/>
                  <w:rFonts w:cs="Arial"/>
                  <w:sz w:val="18"/>
                  <w:szCs w:val="18"/>
                </w:rPr>
                <w:t>report of the third meeting of the SIOFA Scientific Committee</w:t>
              </w:r>
            </w:hyperlink>
            <w:r w:rsidR="00972FBE">
              <w:rPr>
                <w:rFonts w:cs="Arial"/>
                <w:sz w:val="18"/>
                <w:szCs w:val="18"/>
              </w:rPr>
              <w:t>.</w:t>
            </w:r>
          </w:p>
        </w:tc>
      </w:tr>
      <w:tr w:rsidR="00570FD7" w:rsidRPr="004649FA" w14:paraId="03B44F23" w14:textId="77777777" w:rsidTr="00515702">
        <w:trPr>
          <w:cantSplit/>
          <w:trHeight w:val="77"/>
        </w:trPr>
        <w:tc>
          <w:tcPr>
            <w:tcW w:w="5000" w:type="pct"/>
            <w:gridSpan w:val="2"/>
            <w:shd w:val="clear" w:color="auto" w:fill="E5DFEC"/>
          </w:tcPr>
          <w:p w14:paraId="59D60CC2" w14:textId="77777777" w:rsidR="00570FD7" w:rsidRPr="004649FA" w:rsidRDefault="00570FD7" w:rsidP="00515702">
            <w:pPr>
              <w:spacing w:after="120" w:line="240" w:lineRule="auto"/>
              <w:rPr>
                <w:rFonts w:cs="Arial"/>
                <w:b/>
                <w:bCs/>
                <w:i/>
                <w:iCs/>
                <w:sz w:val="20"/>
                <w:szCs w:val="20"/>
              </w:rPr>
            </w:pPr>
            <w:r w:rsidRPr="004649FA">
              <w:rPr>
                <w:rFonts w:cs="Arial"/>
                <w:b/>
                <w:bCs/>
                <w:i/>
                <w:iCs/>
                <w:sz w:val="20"/>
                <w:szCs w:val="20"/>
              </w:rPr>
              <w:t>Management responses</w:t>
            </w:r>
          </w:p>
        </w:tc>
      </w:tr>
      <w:tr w:rsidR="00570FD7" w:rsidRPr="004649FA" w14:paraId="24C62C7B" w14:textId="77777777" w:rsidTr="00515702">
        <w:trPr>
          <w:cantSplit/>
          <w:trHeight w:val="77"/>
        </w:trPr>
        <w:tc>
          <w:tcPr>
            <w:tcW w:w="1500" w:type="pct"/>
          </w:tcPr>
          <w:p w14:paraId="374CB154" w14:textId="77777777" w:rsidR="00570FD7" w:rsidRPr="00DC0307" w:rsidRDefault="00570FD7" w:rsidP="00515702">
            <w:pPr>
              <w:spacing w:after="120" w:line="240" w:lineRule="auto"/>
              <w:rPr>
                <w:rFonts w:cs="Arial"/>
                <w:sz w:val="18"/>
                <w:szCs w:val="18"/>
              </w:rPr>
            </w:pPr>
            <w:r w:rsidRPr="004649FA">
              <w:rPr>
                <w:rFonts w:cs="Arial"/>
                <w:b/>
                <w:bCs/>
                <w:i/>
                <w:iCs/>
                <w:sz w:val="18"/>
                <w:szCs w:val="18"/>
              </w:rPr>
              <w:t xml:space="preserve">2.3.3 </w:t>
            </w:r>
            <w:r w:rsidRPr="004649FA">
              <w:rPr>
                <w:rFonts w:cs="Arial"/>
                <w:sz w:val="18"/>
                <w:szCs w:val="18"/>
              </w:rPr>
              <w:t>Management actions are in place to ensure significant damage to ecosystems does not arise from the impacts described in 2.3.1.</w:t>
            </w:r>
          </w:p>
        </w:tc>
        <w:tc>
          <w:tcPr>
            <w:tcW w:w="3500" w:type="pct"/>
            <w:shd w:val="clear" w:color="auto" w:fill="FFC000"/>
          </w:tcPr>
          <w:p w14:paraId="143BC586" w14:textId="77777777" w:rsidR="00570FD7" w:rsidRDefault="00570FD7" w:rsidP="00515702">
            <w:pPr>
              <w:pStyle w:val="BodyText1"/>
              <w:spacing w:after="0" w:line="240" w:lineRule="auto"/>
              <w:rPr>
                <w:rFonts w:cs="Arial"/>
                <w:sz w:val="18"/>
                <w:szCs w:val="18"/>
              </w:rPr>
            </w:pPr>
            <w:r w:rsidRPr="00A944A3">
              <w:rPr>
                <w:rFonts w:cs="Arial"/>
                <w:b/>
                <w:sz w:val="18"/>
                <w:szCs w:val="18"/>
              </w:rPr>
              <w:t>Partially meets</w:t>
            </w:r>
          </w:p>
          <w:p w14:paraId="54156FA2" w14:textId="77777777" w:rsidR="00570FD7" w:rsidRPr="00A944A3" w:rsidRDefault="00570FD7" w:rsidP="00515702">
            <w:pPr>
              <w:pStyle w:val="BodyText1"/>
              <w:spacing w:line="240" w:lineRule="auto"/>
              <w:rPr>
                <w:rFonts w:cs="Arial"/>
                <w:sz w:val="18"/>
                <w:szCs w:val="18"/>
              </w:rPr>
            </w:pPr>
            <w:r w:rsidRPr="00A944A3">
              <w:rPr>
                <w:rFonts w:cs="Arial"/>
                <w:sz w:val="18"/>
                <w:szCs w:val="18"/>
              </w:rPr>
              <w:t>Trigger limits apply to total catch, as well as catches of corals and sponges in the SPRFMO and SIOFA areas. When these limits are reached management arrangements are reviewed before fishing recommences in the relevant areas. Fishing activity is also restricted to areas historically fished during the relevant reference periods.</w:t>
            </w:r>
          </w:p>
          <w:p w14:paraId="55687E68" w14:textId="7A93E0F4" w:rsidR="00570FD7" w:rsidRPr="00A944A3" w:rsidRDefault="00570FD7" w:rsidP="003670E2">
            <w:pPr>
              <w:pStyle w:val="BodyText1"/>
              <w:spacing w:line="240" w:lineRule="auto"/>
              <w:rPr>
                <w:rFonts w:cs="Arial"/>
                <w:sz w:val="18"/>
                <w:szCs w:val="18"/>
              </w:rPr>
            </w:pPr>
            <w:r w:rsidRPr="00A944A3">
              <w:rPr>
                <w:rFonts w:cs="Arial"/>
                <w:sz w:val="18"/>
                <w:szCs w:val="18"/>
              </w:rPr>
              <w:t xml:space="preserve">A spatial management approach is expected to form the basis for a new conservation and management measure in the SPRFMO area. This will permit bottom fishing within agreed catch limits (for target species, e.g. </w:t>
            </w:r>
            <w:r w:rsidR="003670E2">
              <w:rPr>
                <w:rFonts w:cs="Arial"/>
                <w:sz w:val="18"/>
                <w:szCs w:val="18"/>
              </w:rPr>
              <w:t>O</w:t>
            </w:r>
            <w:r w:rsidRPr="00A944A3">
              <w:rPr>
                <w:rFonts w:cs="Arial"/>
                <w:sz w:val="18"/>
                <w:szCs w:val="18"/>
              </w:rPr>
              <w:t xml:space="preserve">range </w:t>
            </w:r>
            <w:proofErr w:type="spellStart"/>
            <w:r w:rsidR="003670E2">
              <w:rPr>
                <w:rFonts w:cs="Arial"/>
                <w:sz w:val="18"/>
                <w:szCs w:val="18"/>
              </w:rPr>
              <w:t>R</w:t>
            </w:r>
            <w:r w:rsidRPr="00A944A3">
              <w:rPr>
                <w:rFonts w:cs="Arial"/>
                <w:sz w:val="18"/>
                <w:szCs w:val="18"/>
              </w:rPr>
              <w:t>oughy</w:t>
            </w:r>
            <w:proofErr w:type="spellEnd"/>
            <w:r w:rsidRPr="00A944A3">
              <w:rPr>
                <w:rFonts w:cs="Arial"/>
                <w:sz w:val="18"/>
                <w:szCs w:val="18"/>
              </w:rPr>
              <w:t xml:space="preserve">, </w:t>
            </w:r>
            <w:proofErr w:type="spellStart"/>
            <w:r w:rsidRPr="00A944A3">
              <w:rPr>
                <w:rFonts w:cs="Arial"/>
                <w:i/>
                <w:iCs/>
                <w:sz w:val="18"/>
                <w:szCs w:val="18"/>
              </w:rPr>
              <w:t>Hoplostethus</w:t>
            </w:r>
            <w:proofErr w:type="spellEnd"/>
            <w:r w:rsidRPr="00A944A3">
              <w:rPr>
                <w:rFonts w:cs="Arial"/>
                <w:i/>
                <w:iCs/>
                <w:sz w:val="18"/>
                <w:szCs w:val="18"/>
              </w:rPr>
              <w:t xml:space="preserve"> </w:t>
            </w:r>
            <w:proofErr w:type="spellStart"/>
            <w:r w:rsidRPr="00A944A3">
              <w:rPr>
                <w:rFonts w:cs="Arial"/>
                <w:i/>
                <w:iCs/>
                <w:sz w:val="18"/>
                <w:szCs w:val="18"/>
              </w:rPr>
              <w:t>atlanticus</w:t>
            </w:r>
            <w:proofErr w:type="spellEnd"/>
            <w:r w:rsidRPr="00A944A3">
              <w:rPr>
                <w:rFonts w:cs="Arial"/>
                <w:sz w:val="18"/>
                <w:szCs w:val="18"/>
              </w:rPr>
              <w:t>) while preventing significant adverse impacts on vulnerable marine ecosystems. A large section of the western Pacific Ocean has already been modelled for vulnerable marine ecosystems, and the results provide a network of areas than can be opened and closed to fishing. AFMA expects to implement these arrangements through changes to the High Seas Permit conditions in 2019. More information on the anticipated changes is outlined in COMM 6 – INF 09 (</w:t>
            </w:r>
            <w:hyperlink r:id="rId51" w:history="1">
              <w:r w:rsidRPr="00A944A3">
                <w:rPr>
                  <w:rStyle w:val="Hyperlink"/>
                  <w:rFonts w:cs="Arial"/>
                  <w:sz w:val="18"/>
                  <w:szCs w:val="18"/>
                </w:rPr>
                <w:t>https://www.sprfmo.int/assets/00-2018-COMM6/COMM6-INF09-NZ-bottom-Fishing.pdf</w:t>
              </w:r>
            </w:hyperlink>
            <w:r w:rsidRPr="00A944A3">
              <w:rPr>
                <w:rFonts w:cs="Arial"/>
                <w:sz w:val="18"/>
                <w:szCs w:val="18"/>
              </w:rPr>
              <w:t>).</w:t>
            </w:r>
          </w:p>
        </w:tc>
      </w:tr>
      <w:tr w:rsidR="00570FD7" w:rsidRPr="004649FA" w14:paraId="28726B7E" w14:textId="77777777" w:rsidTr="00515702">
        <w:trPr>
          <w:cantSplit/>
        </w:trPr>
        <w:tc>
          <w:tcPr>
            <w:tcW w:w="1500" w:type="pct"/>
          </w:tcPr>
          <w:p w14:paraId="61A53636" w14:textId="77777777" w:rsidR="00570FD7" w:rsidRPr="004649FA" w:rsidRDefault="00570FD7" w:rsidP="00515702">
            <w:pPr>
              <w:spacing w:after="120" w:line="240" w:lineRule="auto"/>
              <w:rPr>
                <w:rFonts w:cs="Arial"/>
                <w:sz w:val="18"/>
                <w:szCs w:val="18"/>
              </w:rPr>
            </w:pPr>
            <w:r w:rsidRPr="004649FA">
              <w:rPr>
                <w:rFonts w:cs="Arial"/>
                <w:b/>
                <w:bCs/>
                <w:i/>
                <w:iCs/>
                <w:sz w:val="18"/>
                <w:szCs w:val="18"/>
              </w:rPr>
              <w:lastRenderedPageBreak/>
              <w:t xml:space="preserve">2.3.4 </w:t>
            </w:r>
            <w:r w:rsidRPr="004649FA">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FFC000"/>
          </w:tcPr>
          <w:p w14:paraId="1A1D930E" w14:textId="77777777" w:rsidR="00570FD7" w:rsidRDefault="00570FD7" w:rsidP="00515702">
            <w:pPr>
              <w:spacing w:after="0" w:line="240" w:lineRule="auto"/>
              <w:rPr>
                <w:rFonts w:cs="Arial"/>
                <w:sz w:val="18"/>
                <w:szCs w:val="18"/>
              </w:rPr>
            </w:pPr>
            <w:r w:rsidRPr="00176A13">
              <w:rPr>
                <w:rFonts w:cs="Arial"/>
                <w:b/>
                <w:sz w:val="18"/>
                <w:szCs w:val="18"/>
              </w:rPr>
              <w:t>Partially meets</w:t>
            </w:r>
          </w:p>
          <w:p w14:paraId="7B9F46F7" w14:textId="77777777" w:rsidR="00570FD7" w:rsidRPr="00176A13" w:rsidRDefault="00570FD7" w:rsidP="00515702">
            <w:pPr>
              <w:spacing w:after="120" w:line="240" w:lineRule="auto"/>
              <w:rPr>
                <w:rFonts w:cs="Arial"/>
                <w:sz w:val="18"/>
                <w:szCs w:val="18"/>
              </w:rPr>
            </w:pPr>
            <w:r w:rsidRPr="00176A13">
              <w:rPr>
                <w:rFonts w:cs="Arial"/>
                <w:sz w:val="18"/>
                <w:szCs w:val="18"/>
              </w:rPr>
              <w:t>T</w:t>
            </w:r>
            <w:r w:rsidRPr="00176A13">
              <w:rPr>
                <w:rFonts w:eastAsia="Times New Roman" w:cs="Arial"/>
                <w:sz w:val="18"/>
                <w:szCs w:val="18"/>
              </w:rPr>
              <w:t xml:space="preserve">rigger limits </w:t>
            </w:r>
            <w:r w:rsidRPr="00176A13">
              <w:rPr>
                <w:rFonts w:cs="Arial"/>
                <w:sz w:val="18"/>
                <w:szCs w:val="18"/>
              </w:rPr>
              <w:t xml:space="preserve">apply to total catch, as well as catches of corals and sponges in the </w:t>
            </w:r>
            <w:r w:rsidRPr="00176A13">
              <w:rPr>
                <w:rFonts w:eastAsia="Times New Roman" w:cs="Arial"/>
                <w:sz w:val="18"/>
                <w:szCs w:val="18"/>
              </w:rPr>
              <w:t>SPRFMO and SIOFA areas</w:t>
            </w:r>
            <w:r w:rsidRPr="00176A13">
              <w:rPr>
                <w:rFonts w:cs="Arial"/>
                <w:sz w:val="18"/>
                <w:szCs w:val="18"/>
              </w:rPr>
              <w:t xml:space="preserve">. When these limits are reached </w:t>
            </w:r>
            <w:r w:rsidRPr="00176A13">
              <w:rPr>
                <w:rFonts w:eastAsia="Times New Roman" w:cs="Arial"/>
                <w:sz w:val="18"/>
                <w:szCs w:val="18"/>
              </w:rPr>
              <w:t xml:space="preserve">management arrangements </w:t>
            </w:r>
            <w:r w:rsidRPr="00176A13">
              <w:rPr>
                <w:rFonts w:cs="Arial"/>
                <w:sz w:val="18"/>
                <w:szCs w:val="18"/>
              </w:rPr>
              <w:t>are reviewed by the relevant (SPRFMO or SIOFA) scientific committee before fishing is allowed to recommence in the relevant area(s). There is however no process or framework to guide these reviews or decisions on whether to recommence fishing.</w:t>
            </w:r>
          </w:p>
        </w:tc>
      </w:tr>
      <w:tr w:rsidR="00570FD7" w:rsidRPr="004649FA" w14:paraId="2EB350D5" w14:textId="77777777" w:rsidTr="004263AE">
        <w:trPr>
          <w:cantSplit/>
        </w:trPr>
        <w:tc>
          <w:tcPr>
            <w:tcW w:w="1500" w:type="pct"/>
          </w:tcPr>
          <w:p w14:paraId="48927AB1" w14:textId="77777777" w:rsidR="00570FD7" w:rsidRPr="004649FA" w:rsidRDefault="00570FD7" w:rsidP="00515702">
            <w:pPr>
              <w:spacing w:after="120" w:line="240" w:lineRule="auto"/>
              <w:rPr>
                <w:rFonts w:cs="Arial"/>
                <w:sz w:val="18"/>
                <w:szCs w:val="18"/>
              </w:rPr>
            </w:pPr>
            <w:r w:rsidRPr="004649FA">
              <w:rPr>
                <w:rFonts w:cs="Arial"/>
                <w:b/>
                <w:bCs/>
                <w:i/>
                <w:iCs/>
                <w:sz w:val="18"/>
                <w:szCs w:val="18"/>
              </w:rPr>
              <w:t>2.3.5</w:t>
            </w:r>
            <w:r w:rsidRPr="004649FA">
              <w:rPr>
                <w:rFonts w:cs="Arial"/>
                <w:sz w:val="18"/>
                <w:szCs w:val="18"/>
              </w:rPr>
              <w:t xml:space="preserve"> The management response, considering uncertainties in the assessment and precautionary management actions, has a high chance of achieving the objective.</w:t>
            </w:r>
          </w:p>
        </w:tc>
        <w:tc>
          <w:tcPr>
            <w:tcW w:w="3500" w:type="pct"/>
            <w:shd w:val="clear" w:color="auto" w:fill="FFC000"/>
          </w:tcPr>
          <w:p w14:paraId="3679C1CD" w14:textId="6EAD9384" w:rsidR="00570FD7" w:rsidRDefault="00F571FB" w:rsidP="00515702">
            <w:pPr>
              <w:spacing w:after="0" w:line="240" w:lineRule="auto"/>
              <w:rPr>
                <w:rFonts w:cs="Arial"/>
                <w:sz w:val="18"/>
                <w:szCs w:val="18"/>
              </w:rPr>
            </w:pPr>
            <w:r>
              <w:rPr>
                <w:rFonts w:cs="Arial"/>
                <w:b/>
                <w:sz w:val="18"/>
                <w:szCs w:val="18"/>
              </w:rPr>
              <w:t>Partially meets</w:t>
            </w:r>
          </w:p>
          <w:p w14:paraId="780CA5B8" w14:textId="77777777" w:rsidR="00570FD7" w:rsidRPr="00176A13" w:rsidRDefault="00570FD7" w:rsidP="00515702">
            <w:pPr>
              <w:spacing w:after="120" w:line="240" w:lineRule="auto"/>
              <w:rPr>
                <w:rFonts w:cs="Arial"/>
                <w:sz w:val="18"/>
                <w:szCs w:val="18"/>
              </w:rPr>
            </w:pPr>
            <w:r w:rsidRPr="00176A13">
              <w:rPr>
                <w:rFonts w:cs="Arial"/>
                <w:sz w:val="18"/>
                <w:szCs w:val="18"/>
              </w:rPr>
              <w:t>Although there is relatively little fishing effort and information to guide management decisions, data collection, monitoring and management measures are precautionary, SIOFA and SPRFMO scientific committees are engaged in review and decision processes, and efforts are underway to improve understanding and management of the fisheries.</w:t>
            </w:r>
          </w:p>
          <w:p w14:paraId="183E724A" w14:textId="77777777" w:rsidR="00570FD7" w:rsidRPr="00176A13" w:rsidRDefault="00570FD7" w:rsidP="00515702">
            <w:pPr>
              <w:spacing w:after="120" w:line="240" w:lineRule="auto"/>
              <w:rPr>
                <w:rFonts w:cs="Arial"/>
                <w:sz w:val="18"/>
                <w:szCs w:val="18"/>
              </w:rPr>
            </w:pPr>
            <w:r w:rsidRPr="00176A13">
              <w:rPr>
                <w:rFonts w:cs="Arial"/>
                <w:sz w:val="18"/>
                <w:szCs w:val="18"/>
              </w:rPr>
              <w:t>A Conservation and Management Measure (CMM 13-2016) is also in place for the SPRFMO area which governs the management of new and exploratory fisheries and aims to ensure that sufficient information is available to evaluate the long term potential of new and exploratory fisheries, assist the formulation of management advice, evaluate the possible impacts on target stocks and non-target and associated and dependent species, ensure new and exploratory fishery resources are developed on a precautionary and gradual basis, and to promote the sustainable management of new and exploratory fisheries.</w:t>
            </w:r>
          </w:p>
        </w:tc>
      </w:tr>
    </w:tbl>
    <w:p w14:paraId="0E01B888" w14:textId="72BF21C2" w:rsidR="002330E0" w:rsidRDefault="002330E0"/>
    <w:p w14:paraId="16F06667" w14:textId="77777777" w:rsidR="00AF3E81" w:rsidRDefault="00AF3E81">
      <w:pPr>
        <w:spacing w:after="0" w:line="240" w:lineRule="auto"/>
        <w:rPr>
          <w:rFonts w:cs="Arial"/>
          <w:b/>
          <w:caps/>
        </w:rPr>
      </w:pPr>
      <w:r>
        <w:br w:type="page"/>
      </w:r>
    </w:p>
    <w:p w14:paraId="7F6F019E" w14:textId="14011190" w:rsidR="00AF3E81" w:rsidRDefault="006B6EF9" w:rsidP="00F10B2F">
      <w:pPr>
        <w:pStyle w:val="Heading1"/>
        <w:spacing w:after="120" w:line="240" w:lineRule="auto"/>
      </w:pPr>
      <w:bookmarkStart w:id="8" w:name="_Toc513464264"/>
      <w:bookmarkStart w:id="9" w:name="_Toc513712779"/>
      <w:r w:rsidRPr="006B6EF9">
        <w:lastRenderedPageBreak/>
        <w:t>Section</w:t>
      </w:r>
      <w:r w:rsidR="0027138D" w:rsidRPr="006B6EF9">
        <w:t xml:space="preserve"> 3</w:t>
      </w:r>
      <w:r w:rsidR="00223C3E" w:rsidRPr="006B6EF9">
        <w:t xml:space="preserve">: </w:t>
      </w:r>
      <w:r w:rsidR="00AF3E81">
        <w:t xml:space="preserve">Assessment of </w:t>
      </w:r>
      <w:r w:rsidR="00AC5AB3">
        <w:rPr>
          <w:rStyle w:val="Emphasis"/>
          <w:i w:val="0"/>
          <w:iCs w:val="0"/>
        </w:rPr>
        <w:t>Australia’s High Seas permits</w:t>
      </w:r>
      <w:r w:rsidR="00AF3E81">
        <w:t xml:space="preserve"> Against the Requirements of the EPBC Act</w:t>
      </w:r>
      <w:bookmarkEnd w:id="8"/>
      <w:bookmarkEnd w:id="9"/>
    </w:p>
    <w:p w14:paraId="7FCE71B0" w14:textId="4359E207" w:rsidR="009F053A" w:rsidRPr="004649FA" w:rsidRDefault="009F053A" w:rsidP="00F10B2F">
      <w:pPr>
        <w:spacing w:before="60" w:after="0" w:line="240" w:lineRule="auto"/>
        <w:rPr>
          <w:rFonts w:cs="Arial"/>
          <w:sz w:val="18"/>
          <w:szCs w:val="18"/>
        </w:rPr>
      </w:pPr>
      <w:r w:rsidRPr="004649FA">
        <w:rPr>
          <w:rFonts w:cs="Arial"/>
          <w:sz w:val="18"/>
          <w:szCs w:val="18"/>
        </w:rPr>
        <w:t xml:space="preserve">The table below is not a complete or exact representation of the EPBC Act. It is intended </w:t>
      </w:r>
      <w:r w:rsidR="007361FC" w:rsidRPr="004649FA">
        <w:rPr>
          <w:rFonts w:cs="Arial"/>
          <w:sz w:val="18"/>
          <w:szCs w:val="18"/>
        </w:rPr>
        <w:t xml:space="preserve">to show that the </w:t>
      </w:r>
      <w:r w:rsidRPr="004649FA">
        <w:rPr>
          <w:rFonts w:cs="Arial"/>
          <w:sz w:val="18"/>
          <w:szCs w:val="18"/>
        </w:rPr>
        <w:t xml:space="preserve">relevant sections and components of the EPBC Act </w:t>
      </w:r>
      <w:r w:rsidR="00897628" w:rsidRPr="004649FA">
        <w:rPr>
          <w:rFonts w:cs="Arial"/>
          <w:sz w:val="18"/>
          <w:szCs w:val="18"/>
        </w:rPr>
        <w:t xml:space="preserve">have been taken into account in the formulation of </w:t>
      </w:r>
      <w:r w:rsidRPr="004649FA">
        <w:rPr>
          <w:rFonts w:cs="Arial"/>
          <w:sz w:val="18"/>
          <w:szCs w:val="18"/>
        </w:rPr>
        <w:t xml:space="preserve">advice on the fishery in relation to decisions under Part 13 and Part 13A. </w:t>
      </w:r>
    </w:p>
    <w:p w14:paraId="63A4FE7E" w14:textId="33C3D986" w:rsidR="009F053A" w:rsidRPr="00D40B13" w:rsidRDefault="009F053A" w:rsidP="00F10B2F">
      <w:pPr>
        <w:spacing w:before="60" w:after="0" w:line="240" w:lineRule="auto"/>
        <w:rPr>
          <w:rFonts w:cs="Arial"/>
          <w:b/>
        </w:rPr>
      </w:pPr>
      <w:r w:rsidRPr="00D40B13">
        <w:rPr>
          <w:rFonts w:cs="Arial"/>
          <w:b/>
        </w:rPr>
        <w:t>Part 12</w:t>
      </w:r>
    </w:p>
    <w:tbl>
      <w:tblPr>
        <w:tblStyle w:val="TableGrid"/>
        <w:tblW w:w="5000" w:type="pct"/>
        <w:tblLook w:val="04A0" w:firstRow="1" w:lastRow="0" w:firstColumn="1" w:lastColumn="0" w:noHBand="0" w:noVBand="1"/>
      </w:tblPr>
      <w:tblGrid>
        <w:gridCol w:w="7393"/>
        <w:gridCol w:w="7393"/>
      </w:tblGrid>
      <w:tr w:rsidR="009F053A" w:rsidRPr="00D95E5E" w14:paraId="503FF0BC"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4BC41F5C" w14:textId="35615BB6" w:rsidR="009F053A" w:rsidRPr="00D95E5E" w:rsidRDefault="00400844" w:rsidP="008364B9">
            <w:pPr>
              <w:spacing w:before="60" w:after="60" w:line="240" w:lineRule="auto"/>
              <w:ind w:left="426" w:hanging="426"/>
              <w:rPr>
                <w:rFonts w:cs="Arial"/>
                <w:b/>
                <w:sz w:val="20"/>
                <w:szCs w:val="20"/>
              </w:rPr>
            </w:pPr>
            <w:r w:rsidRPr="00D95E5E">
              <w:rPr>
                <w:rFonts w:cs="Arial"/>
                <w:b/>
                <w:sz w:val="20"/>
                <w:szCs w:val="20"/>
              </w:rPr>
              <w:t>Section 176 Bioregional Plans</w:t>
            </w:r>
          </w:p>
        </w:tc>
        <w:tc>
          <w:tcPr>
            <w:tcW w:w="2500" w:type="pct"/>
            <w:shd w:val="clear" w:color="auto" w:fill="D9D9D9" w:themeFill="background1" w:themeFillShade="D9"/>
          </w:tcPr>
          <w:p w14:paraId="3DF3E25D" w14:textId="77777777" w:rsidR="009F053A" w:rsidRPr="00D95E5E" w:rsidRDefault="009F053A" w:rsidP="008364B9">
            <w:pPr>
              <w:spacing w:before="60" w:after="60" w:line="240" w:lineRule="auto"/>
              <w:rPr>
                <w:rFonts w:cs="Arial"/>
                <w:b/>
                <w:sz w:val="20"/>
                <w:szCs w:val="20"/>
              </w:rPr>
            </w:pPr>
            <w:r w:rsidRPr="00D95E5E">
              <w:rPr>
                <w:rFonts w:cs="Arial"/>
                <w:b/>
                <w:sz w:val="20"/>
                <w:szCs w:val="20"/>
              </w:rPr>
              <w:t>Comment</w:t>
            </w:r>
          </w:p>
        </w:tc>
      </w:tr>
      <w:tr w:rsidR="009F053A" w:rsidRPr="00D95E5E" w14:paraId="50519DE6"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2F4C8136" w14:textId="20E01AEE" w:rsidR="00D40B13" w:rsidRPr="008F5532" w:rsidRDefault="009F053A" w:rsidP="00AA4237">
            <w:pPr>
              <w:pStyle w:val="ListNumber"/>
              <w:rPr>
                <w:sz w:val="20"/>
                <w:szCs w:val="20"/>
              </w:rPr>
            </w:pPr>
            <w:r w:rsidRPr="008F5532">
              <w:rPr>
                <w:sz w:val="20"/>
                <w:szCs w:val="20"/>
              </w:rPr>
              <w:t>(5) Minister must have regar</w:t>
            </w:r>
            <w:r w:rsidR="00AA4237" w:rsidRPr="008F5532">
              <w:rPr>
                <w:sz w:val="20"/>
                <w:szCs w:val="20"/>
              </w:rPr>
              <w:t>d to relevant bioregional plans</w:t>
            </w:r>
          </w:p>
        </w:tc>
        <w:tc>
          <w:tcPr>
            <w:tcW w:w="2500" w:type="pct"/>
            <w:shd w:val="clear" w:color="auto" w:fill="auto"/>
          </w:tcPr>
          <w:p w14:paraId="7B519510" w14:textId="139D5835" w:rsidR="00C35389" w:rsidRPr="008F5532" w:rsidRDefault="006C4563" w:rsidP="00C35389">
            <w:pPr>
              <w:spacing w:before="60" w:after="60" w:line="240" w:lineRule="auto"/>
              <w:rPr>
                <w:rFonts w:cs="Arial"/>
                <w:b/>
                <w:sz w:val="20"/>
                <w:szCs w:val="20"/>
              </w:rPr>
            </w:pPr>
            <w:r w:rsidRPr="008F5532">
              <w:rPr>
                <w:rFonts w:cs="Arial"/>
                <w:b/>
                <w:sz w:val="20"/>
                <w:szCs w:val="20"/>
              </w:rPr>
              <w:t>Not applicable</w:t>
            </w:r>
          </w:p>
          <w:p w14:paraId="6852ECC1" w14:textId="080B764A" w:rsidR="009F053A" w:rsidRPr="008F5532" w:rsidRDefault="00073DDD" w:rsidP="00C35389">
            <w:pPr>
              <w:spacing w:before="60" w:after="60" w:line="240" w:lineRule="auto"/>
              <w:rPr>
                <w:rFonts w:cs="Arial"/>
                <w:sz w:val="20"/>
                <w:szCs w:val="20"/>
              </w:rPr>
            </w:pPr>
            <w:r>
              <w:rPr>
                <w:rFonts w:cs="Arial"/>
                <w:sz w:val="20"/>
                <w:szCs w:val="20"/>
              </w:rPr>
              <w:t xml:space="preserve">Australia’s </w:t>
            </w:r>
            <w:r w:rsidRPr="008F5532">
              <w:rPr>
                <w:rFonts w:cs="Arial"/>
                <w:sz w:val="20"/>
                <w:szCs w:val="20"/>
              </w:rPr>
              <w:t xml:space="preserve">High Seas </w:t>
            </w:r>
            <w:r>
              <w:rPr>
                <w:rFonts w:cs="Arial"/>
                <w:sz w:val="20"/>
                <w:szCs w:val="20"/>
              </w:rPr>
              <w:t>Permits</w:t>
            </w:r>
            <w:r w:rsidRPr="008F5532">
              <w:rPr>
                <w:rFonts w:cs="Arial"/>
                <w:sz w:val="20"/>
                <w:szCs w:val="20"/>
              </w:rPr>
              <w:t xml:space="preserve"> </w:t>
            </w:r>
            <w:r w:rsidR="006C4563" w:rsidRPr="008F5532">
              <w:rPr>
                <w:rFonts w:cs="Arial"/>
                <w:sz w:val="20"/>
                <w:szCs w:val="20"/>
              </w:rPr>
              <w:t>operates on the high seas</w:t>
            </w:r>
            <w:r w:rsidR="00517D00" w:rsidRPr="008F5532">
              <w:rPr>
                <w:rFonts w:cs="Arial"/>
                <w:sz w:val="20"/>
                <w:szCs w:val="20"/>
              </w:rPr>
              <w:t xml:space="preserve"> which are </w:t>
            </w:r>
            <w:r w:rsidR="006C4563" w:rsidRPr="008F5532">
              <w:rPr>
                <w:rFonts w:cs="Arial"/>
                <w:sz w:val="20"/>
                <w:szCs w:val="20"/>
              </w:rPr>
              <w:t>outside Australia’s exclusive economic zone. Bioregional plans do not apply outside Australia’s exclusive economic zone.</w:t>
            </w:r>
          </w:p>
        </w:tc>
      </w:tr>
    </w:tbl>
    <w:p w14:paraId="6F9840FF" w14:textId="67AB5AB6" w:rsidR="009F053A" w:rsidRPr="00D40B13" w:rsidRDefault="009F053A" w:rsidP="00F10B2F">
      <w:pPr>
        <w:spacing w:before="60" w:after="0" w:line="240" w:lineRule="auto"/>
        <w:rPr>
          <w:rFonts w:cs="Arial"/>
          <w:b/>
        </w:rPr>
      </w:pPr>
      <w:r w:rsidRPr="00D40B13">
        <w:rPr>
          <w:rFonts w:cs="Arial"/>
          <w:b/>
        </w:rPr>
        <w:t>Part 13</w:t>
      </w:r>
    </w:p>
    <w:tbl>
      <w:tblPr>
        <w:tblStyle w:val="TableGrid"/>
        <w:tblW w:w="5000" w:type="pct"/>
        <w:tblLook w:val="04A0" w:firstRow="1" w:lastRow="0" w:firstColumn="1" w:lastColumn="0" w:noHBand="0" w:noVBand="1"/>
      </w:tblPr>
      <w:tblGrid>
        <w:gridCol w:w="7393"/>
        <w:gridCol w:w="7393"/>
      </w:tblGrid>
      <w:tr w:rsidR="00400844" w:rsidRPr="008364B9" w14:paraId="65C1624E" w14:textId="77777777" w:rsidTr="00517D00">
        <w:trPr>
          <w:cnfStyle w:val="100000000000" w:firstRow="1" w:lastRow="0" w:firstColumn="0" w:lastColumn="0" w:oddVBand="0" w:evenVBand="0" w:oddHBand="0" w:evenHBand="0" w:firstRowFirstColumn="0" w:firstRowLastColumn="0" w:lastRowFirstColumn="0" w:lastRowLastColumn="0"/>
          <w:cantSplit/>
        </w:trPr>
        <w:tc>
          <w:tcPr>
            <w:tcW w:w="2500" w:type="pct"/>
            <w:shd w:val="clear" w:color="auto" w:fill="D9D9D9" w:themeFill="background1" w:themeFillShade="D9"/>
          </w:tcPr>
          <w:p w14:paraId="585CA78D" w14:textId="4EBFA111" w:rsidR="00400844" w:rsidRPr="008364B9" w:rsidRDefault="00400844" w:rsidP="008364B9">
            <w:pPr>
              <w:spacing w:before="60" w:after="60" w:line="240" w:lineRule="auto"/>
              <w:ind w:left="426" w:hanging="426"/>
              <w:rPr>
                <w:rFonts w:cs="Arial"/>
                <w:b/>
                <w:sz w:val="20"/>
                <w:szCs w:val="20"/>
              </w:rPr>
            </w:pPr>
            <w:proofErr w:type="spellStart"/>
            <w:r w:rsidRPr="008364B9">
              <w:rPr>
                <w:rFonts w:cs="Arial"/>
                <w:b/>
                <w:sz w:val="20"/>
                <w:szCs w:val="20"/>
              </w:rPr>
              <w:t>Accreditable</w:t>
            </w:r>
            <w:proofErr w:type="spellEnd"/>
            <w:r w:rsidRPr="008364B9">
              <w:rPr>
                <w:rFonts w:cs="Arial"/>
                <w:b/>
                <w:sz w:val="20"/>
                <w:szCs w:val="20"/>
              </w:rPr>
              <w:t xml:space="preserve"> plan, regime or policy  (Division 1, Division 2, Division 3, Division 4)</w:t>
            </w:r>
          </w:p>
        </w:tc>
        <w:tc>
          <w:tcPr>
            <w:tcW w:w="2500" w:type="pct"/>
            <w:shd w:val="clear" w:color="auto" w:fill="D9D9D9" w:themeFill="background1" w:themeFillShade="D9"/>
          </w:tcPr>
          <w:p w14:paraId="7594BA70"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9F053A" w:rsidRPr="008364B9" w14:paraId="3F60E2B3" w14:textId="77777777" w:rsidTr="00517D00">
        <w:trPr>
          <w:cnfStyle w:val="000000100000" w:firstRow="0" w:lastRow="0" w:firstColumn="0" w:lastColumn="0" w:oddVBand="0" w:evenVBand="0" w:oddHBand="1" w:evenHBand="0" w:firstRowFirstColumn="0" w:firstRowLastColumn="0" w:lastRowFirstColumn="0" w:lastRowLastColumn="0"/>
          <w:cantSplit/>
        </w:trPr>
        <w:tc>
          <w:tcPr>
            <w:tcW w:w="2500" w:type="pct"/>
          </w:tcPr>
          <w:p w14:paraId="44A13340" w14:textId="5DC1EDB4" w:rsidR="006C4563" w:rsidRPr="008F5532" w:rsidRDefault="002C189B" w:rsidP="006C4563">
            <w:pPr>
              <w:pStyle w:val="ListNumber"/>
              <w:rPr>
                <w:sz w:val="20"/>
                <w:szCs w:val="20"/>
              </w:rPr>
            </w:pPr>
            <w:r w:rsidRPr="008F5532">
              <w:rPr>
                <w:sz w:val="20"/>
                <w:szCs w:val="20"/>
              </w:rPr>
              <w:t>s. 208A (1) (a-e)</w:t>
            </w:r>
            <w:r w:rsidR="009F053A" w:rsidRPr="008F5532">
              <w:rPr>
                <w:sz w:val="20"/>
                <w:szCs w:val="20"/>
              </w:rPr>
              <w:t>, s.222A (1) (a-e), s.245 (1) (a-e)</w:t>
            </w:r>
            <w:r w:rsidRPr="008F5532">
              <w:rPr>
                <w:sz w:val="20"/>
                <w:szCs w:val="20"/>
              </w:rPr>
              <w:t xml:space="preserve">, </w:t>
            </w:r>
            <w:r w:rsidR="009F053A" w:rsidRPr="008F5532">
              <w:rPr>
                <w:sz w:val="20"/>
                <w:szCs w:val="20"/>
              </w:rPr>
              <w:t>s.265 (1) (a-e)</w:t>
            </w:r>
          </w:p>
          <w:p w14:paraId="10E1301B" w14:textId="773801C0" w:rsidR="00D40B13" w:rsidRPr="008F5532" w:rsidRDefault="009F053A" w:rsidP="006C4563">
            <w:pPr>
              <w:pStyle w:val="ListNumber"/>
              <w:rPr>
                <w:sz w:val="20"/>
                <w:szCs w:val="20"/>
              </w:rPr>
            </w:pPr>
            <w:r w:rsidRPr="008F5532">
              <w:rPr>
                <w:sz w:val="20"/>
                <w:szCs w:val="20"/>
              </w:rPr>
              <w:t xml:space="preserve">Does the fishery have an </w:t>
            </w:r>
            <w:proofErr w:type="spellStart"/>
            <w:r w:rsidRPr="008F5532">
              <w:rPr>
                <w:sz w:val="20"/>
                <w:szCs w:val="20"/>
              </w:rPr>
              <w:t>accreditable</w:t>
            </w:r>
            <w:proofErr w:type="spellEnd"/>
            <w:r w:rsidRPr="008F5532">
              <w:rPr>
                <w:sz w:val="20"/>
                <w:szCs w:val="20"/>
              </w:rPr>
              <w:t xml:space="preserve"> plan of management, </w:t>
            </w:r>
            <w:r w:rsidR="00C40AD0" w:rsidRPr="008F5532">
              <w:rPr>
                <w:sz w:val="20"/>
                <w:szCs w:val="20"/>
              </w:rPr>
              <w:t>regime</w:t>
            </w:r>
            <w:r w:rsidRPr="008F5532">
              <w:rPr>
                <w:sz w:val="20"/>
                <w:szCs w:val="20"/>
              </w:rPr>
              <w:t xml:space="preserve"> or policy? </w:t>
            </w:r>
          </w:p>
        </w:tc>
        <w:tc>
          <w:tcPr>
            <w:tcW w:w="2500" w:type="pct"/>
            <w:shd w:val="clear" w:color="auto" w:fill="92D050"/>
          </w:tcPr>
          <w:p w14:paraId="4DA30511" w14:textId="2C4C15C3" w:rsidR="00C35389" w:rsidRPr="008F5532" w:rsidRDefault="004F43E3" w:rsidP="0069645F">
            <w:pPr>
              <w:spacing w:before="60" w:after="60" w:line="240" w:lineRule="auto"/>
              <w:rPr>
                <w:rFonts w:cs="Arial"/>
                <w:b/>
                <w:sz w:val="20"/>
                <w:szCs w:val="20"/>
              </w:rPr>
            </w:pPr>
            <w:r w:rsidRPr="008F5532">
              <w:rPr>
                <w:rFonts w:cs="Arial"/>
                <w:b/>
                <w:sz w:val="20"/>
                <w:szCs w:val="20"/>
              </w:rPr>
              <w:t>Meets</w:t>
            </w:r>
          </w:p>
          <w:p w14:paraId="5458AA59" w14:textId="4E42A74A" w:rsidR="0069645F" w:rsidRPr="008F5532" w:rsidRDefault="004F43E3" w:rsidP="0069645F">
            <w:pPr>
              <w:spacing w:before="60" w:after="60" w:line="240" w:lineRule="auto"/>
              <w:rPr>
                <w:rFonts w:cs="Arial"/>
                <w:sz w:val="20"/>
                <w:szCs w:val="20"/>
              </w:rPr>
            </w:pPr>
            <w:r w:rsidRPr="008F5532">
              <w:rPr>
                <w:rFonts w:cs="Arial"/>
                <w:b/>
                <w:sz w:val="20"/>
                <w:szCs w:val="20"/>
              </w:rPr>
              <w:t>Y</w:t>
            </w:r>
            <w:r w:rsidR="00317609" w:rsidRPr="008F5532">
              <w:rPr>
                <w:rFonts w:cs="Arial"/>
                <w:b/>
                <w:sz w:val="20"/>
                <w:szCs w:val="20"/>
              </w:rPr>
              <w:t>es</w:t>
            </w:r>
            <w:r w:rsidR="00566552" w:rsidRPr="008F5532">
              <w:rPr>
                <w:rFonts w:cs="Arial"/>
                <w:sz w:val="20"/>
                <w:szCs w:val="20"/>
              </w:rPr>
              <w:t>.</w:t>
            </w:r>
            <w:r w:rsidR="00317609" w:rsidRPr="008F5532">
              <w:rPr>
                <w:rFonts w:cs="Arial"/>
                <w:sz w:val="20"/>
                <w:szCs w:val="20"/>
              </w:rPr>
              <w:t xml:space="preserve"> </w:t>
            </w:r>
            <w:r w:rsidR="00566552" w:rsidRPr="008F5532">
              <w:rPr>
                <w:rFonts w:cs="Arial"/>
                <w:sz w:val="20"/>
                <w:szCs w:val="20"/>
              </w:rPr>
              <w:t xml:space="preserve">There is an </w:t>
            </w:r>
            <w:proofErr w:type="spellStart"/>
            <w:r w:rsidR="00566552" w:rsidRPr="008F5532">
              <w:rPr>
                <w:rFonts w:cs="Arial"/>
                <w:sz w:val="20"/>
                <w:szCs w:val="20"/>
              </w:rPr>
              <w:t>accreditable</w:t>
            </w:r>
            <w:proofErr w:type="spellEnd"/>
            <w:r w:rsidR="00566552" w:rsidRPr="008F5532">
              <w:rPr>
                <w:rFonts w:cs="Arial"/>
                <w:sz w:val="20"/>
                <w:szCs w:val="20"/>
              </w:rPr>
              <w:t xml:space="preserve"> regime in place for </w:t>
            </w:r>
            <w:r w:rsidR="00073DDD">
              <w:rPr>
                <w:rFonts w:cs="Arial"/>
                <w:sz w:val="20"/>
                <w:szCs w:val="20"/>
              </w:rPr>
              <w:t xml:space="preserve">Australia’s </w:t>
            </w:r>
            <w:r w:rsidR="00566552" w:rsidRPr="008F5532">
              <w:rPr>
                <w:rFonts w:cs="Arial"/>
                <w:sz w:val="20"/>
                <w:szCs w:val="20"/>
              </w:rPr>
              <w:t xml:space="preserve">High Seas </w:t>
            </w:r>
            <w:r w:rsidR="00073DDD">
              <w:rPr>
                <w:rFonts w:cs="Arial"/>
                <w:sz w:val="20"/>
                <w:szCs w:val="20"/>
              </w:rPr>
              <w:t>Permits</w:t>
            </w:r>
            <w:r w:rsidR="00566552" w:rsidRPr="008F5532">
              <w:rPr>
                <w:rFonts w:cs="Arial"/>
                <w:sz w:val="20"/>
                <w:szCs w:val="20"/>
              </w:rPr>
              <w:t xml:space="preserve"> for the purposes of section 245 of the EPBC Act. This has been determined in writing by AFMA under the </w:t>
            </w:r>
            <w:r w:rsidR="00566552" w:rsidRPr="008F5532">
              <w:rPr>
                <w:rFonts w:cs="Arial"/>
                <w:i/>
                <w:sz w:val="20"/>
                <w:szCs w:val="20"/>
              </w:rPr>
              <w:t>Fisheries Administration Act 1991</w:t>
            </w:r>
            <w:r w:rsidR="00566552" w:rsidRPr="008F5532">
              <w:rPr>
                <w:rFonts w:cs="Arial"/>
                <w:sz w:val="20"/>
                <w:szCs w:val="20"/>
              </w:rPr>
              <w:t xml:space="preserve"> and is outlined in the </w:t>
            </w:r>
            <w:hyperlink r:id="rId52" w:history="1">
              <w:r w:rsidR="00566552" w:rsidRPr="008F5532">
                <w:rPr>
                  <w:rStyle w:val="Hyperlink"/>
                  <w:rFonts w:cs="Arial"/>
                  <w:i/>
                  <w:sz w:val="20"/>
                  <w:szCs w:val="20"/>
                </w:rPr>
                <w:t>High Seas Permits Management Arrangements Booklet 2017</w:t>
              </w:r>
            </w:hyperlink>
            <w:r w:rsidR="00566552" w:rsidRPr="008F5532">
              <w:rPr>
                <w:rFonts w:cs="Arial"/>
                <w:sz w:val="20"/>
                <w:szCs w:val="20"/>
              </w:rPr>
              <w:t>.</w:t>
            </w:r>
            <w:r w:rsidR="00DF7119" w:rsidRPr="008F5532">
              <w:rPr>
                <w:rFonts w:cs="Arial"/>
                <w:sz w:val="20"/>
                <w:szCs w:val="20"/>
              </w:rPr>
              <w:t xml:space="preserve"> There are no records to suggest this management regime has previously been accredited.</w:t>
            </w:r>
          </w:p>
          <w:p w14:paraId="29FF3A00" w14:textId="407CC0FE" w:rsidR="00D61AC9" w:rsidRPr="008F5532" w:rsidRDefault="007A3F0E" w:rsidP="004263AE">
            <w:pPr>
              <w:spacing w:before="60" w:after="60" w:line="240" w:lineRule="auto"/>
              <w:rPr>
                <w:rFonts w:cs="Arial"/>
                <w:sz w:val="20"/>
                <w:szCs w:val="20"/>
              </w:rPr>
            </w:pPr>
            <w:r w:rsidRPr="008F5532">
              <w:rPr>
                <w:rFonts w:cs="Arial"/>
                <w:sz w:val="20"/>
                <w:szCs w:val="20"/>
              </w:rPr>
              <w:t>Sections 208A, 222A and 265 do not apply outside Australia’s exclusive economic z</w:t>
            </w:r>
            <w:r w:rsidR="00566552" w:rsidRPr="008F5532">
              <w:rPr>
                <w:rFonts w:cs="Arial"/>
                <w:sz w:val="20"/>
                <w:szCs w:val="20"/>
              </w:rPr>
              <w:t xml:space="preserve">one (i.e. not applicable to </w:t>
            </w:r>
            <w:r w:rsidR="00073DDD">
              <w:rPr>
                <w:rFonts w:cs="Arial"/>
                <w:sz w:val="20"/>
                <w:szCs w:val="20"/>
              </w:rPr>
              <w:t xml:space="preserve">Australia’s </w:t>
            </w:r>
            <w:r w:rsidR="00073DDD" w:rsidRPr="008F5532">
              <w:rPr>
                <w:rFonts w:cs="Arial"/>
                <w:sz w:val="20"/>
                <w:szCs w:val="20"/>
              </w:rPr>
              <w:t xml:space="preserve">High Seas </w:t>
            </w:r>
            <w:r w:rsidR="00073DDD">
              <w:rPr>
                <w:rFonts w:cs="Arial"/>
                <w:sz w:val="20"/>
                <w:szCs w:val="20"/>
              </w:rPr>
              <w:t>Permits</w:t>
            </w:r>
            <w:r w:rsidR="00566552" w:rsidRPr="008F5532">
              <w:rPr>
                <w:rFonts w:cs="Arial"/>
                <w:sz w:val="20"/>
                <w:szCs w:val="20"/>
              </w:rPr>
              <w:t>).</w:t>
            </w:r>
          </w:p>
        </w:tc>
      </w:tr>
      <w:tr w:rsidR="00400844" w:rsidRPr="008364B9" w14:paraId="47E2188F" w14:textId="77777777" w:rsidTr="00517D00">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D9D9D9" w:themeFill="background1" w:themeFillShade="D9"/>
          </w:tcPr>
          <w:p w14:paraId="1EF1F9E9" w14:textId="47A73FF1" w:rsidR="00400844" w:rsidRPr="008364B9" w:rsidRDefault="00400844" w:rsidP="008364B9">
            <w:pPr>
              <w:spacing w:before="60" w:after="60" w:line="240" w:lineRule="auto"/>
              <w:ind w:left="426" w:hanging="426"/>
              <w:rPr>
                <w:rFonts w:cs="Arial"/>
                <w:b/>
                <w:sz w:val="20"/>
                <w:szCs w:val="20"/>
              </w:rPr>
            </w:pPr>
            <w:r w:rsidRPr="008364B9">
              <w:rPr>
                <w:rFonts w:cs="Arial"/>
                <w:b/>
                <w:sz w:val="20"/>
                <w:szCs w:val="20"/>
              </w:rPr>
              <w:t>Division 1 Listed threatened species, Section 208A Minister may accredit plans or regimes</w:t>
            </w:r>
          </w:p>
        </w:tc>
        <w:tc>
          <w:tcPr>
            <w:tcW w:w="2500" w:type="pct"/>
            <w:shd w:val="clear" w:color="auto" w:fill="D9D9D9" w:themeFill="background1" w:themeFillShade="D9"/>
          </w:tcPr>
          <w:p w14:paraId="440D28C6"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9A1276" w:rsidRPr="008364B9" w14:paraId="38239CBE" w14:textId="77777777" w:rsidTr="00517D00">
        <w:trPr>
          <w:cnfStyle w:val="000000100000" w:firstRow="0" w:lastRow="0" w:firstColumn="0" w:lastColumn="0" w:oddVBand="0" w:evenVBand="0" w:oddHBand="1" w:evenHBand="0" w:firstRowFirstColumn="0" w:firstRowLastColumn="0" w:lastRowFirstColumn="0" w:lastRowLastColumn="0"/>
          <w:cantSplit/>
        </w:trPr>
        <w:tc>
          <w:tcPr>
            <w:tcW w:w="2500" w:type="pct"/>
          </w:tcPr>
          <w:p w14:paraId="28A6FD13" w14:textId="06280A13" w:rsidR="009A1276" w:rsidRPr="008F5532" w:rsidRDefault="009A1276" w:rsidP="008364B9">
            <w:pPr>
              <w:pStyle w:val="ListNumber2"/>
              <w:rPr>
                <w:sz w:val="20"/>
                <w:szCs w:val="20"/>
              </w:rPr>
            </w:pPr>
            <w:r w:rsidRPr="008F5532">
              <w:rPr>
                <w:sz w:val="20"/>
                <w:szCs w:val="20"/>
              </w:rPr>
              <w:t>(f)</w:t>
            </w:r>
            <w:r w:rsidRPr="008F5532">
              <w:rPr>
                <w:sz w:val="20"/>
                <w:szCs w:val="20"/>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auto"/>
          </w:tcPr>
          <w:p w14:paraId="692943BB" w14:textId="7DEB9D92" w:rsidR="00C35389" w:rsidRPr="008F5532" w:rsidRDefault="00DB0F52" w:rsidP="008364B9">
            <w:pPr>
              <w:spacing w:before="60" w:after="60" w:line="240" w:lineRule="auto"/>
              <w:rPr>
                <w:rFonts w:cs="Arial"/>
                <w:b/>
                <w:sz w:val="20"/>
                <w:szCs w:val="20"/>
              </w:rPr>
            </w:pPr>
            <w:r w:rsidRPr="008F5532">
              <w:rPr>
                <w:rFonts w:cs="Arial"/>
                <w:b/>
                <w:sz w:val="20"/>
                <w:szCs w:val="20"/>
              </w:rPr>
              <w:t>Not applicable</w:t>
            </w:r>
          </w:p>
          <w:p w14:paraId="294C05CB" w14:textId="066972F0" w:rsidR="00DB0F52" w:rsidRPr="008F5532" w:rsidRDefault="00DB0F52" w:rsidP="008364B9">
            <w:pPr>
              <w:spacing w:before="60" w:after="60" w:line="240" w:lineRule="auto"/>
              <w:rPr>
                <w:rFonts w:cs="Arial"/>
                <w:sz w:val="20"/>
                <w:szCs w:val="20"/>
              </w:rPr>
            </w:pPr>
            <w:r w:rsidRPr="008F5532">
              <w:rPr>
                <w:rFonts w:cs="Arial"/>
                <w:sz w:val="20"/>
                <w:szCs w:val="20"/>
              </w:rPr>
              <w:t xml:space="preserve">Section 208A does not apply outside Australia’s exclusive economic zone (i.e. not applicable to </w:t>
            </w:r>
            <w:r w:rsidR="00073DDD">
              <w:rPr>
                <w:rFonts w:cs="Arial"/>
                <w:sz w:val="20"/>
                <w:szCs w:val="20"/>
              </w:rPr>
              <w:t xml:space="preserve">Australia’s </w:t>
            </w:r>
            <w:r w:rsidR="00073DDD" w:rsidRPr="008F5532">
              <w:rPr>
                <w:rFonts w:cs="Arial"/>
                <w:sz w:val="20"/>
                <w:szCs w:val="20"/>
              </w:rPr>
              <w:t xml:space="preserve">High Seas </w:t>
            </w:r>
            <w:r w:rsidR="00073DDD">
              <w:rPr>
                <w:rFonts w:cs="Arial"/>
                <w:sz w:val="20"/>
                <w:szCs w:val="20"/>
              </w:rPr>
              <w:t>Permits</w:t>
            </w:r>
            <w:r w:rsidRPr="008F5532">
              <w:rPr>
                <w:rFonts w:cs="Arial"/>
                <w:sz w:val="20"/>
                <w:szCs w:val="20"/>
              </w:rPr>
              <w:t>).</w:t>
            </w:r>
          </w:p>
          <w:p w14:paraId="29478770" w14:textId="5930FC92" w:rsidR="009A1276" w:rsidRPr="008F5532" w:rsidRDefault="009A1276" w:rsidP="00DB0F52">
            <w:pPr>
              <w:spacing w:before="60" w:after="60" w:line="240" w:lineRule="auto"/>
              <w:rPr>
                <w:rFonts w:cs="Arial"/>
                <w:b/>
                <w:sz w:val="20"/>
                <w:szCs w:val="20"/>
              </w:rPr>
            </w:pPr>
          </w:p>
        </w:tc>
      </w:tr>
      <w:tr w:rsidR="009A1276" w:rsidRPr="008364B9" w14:paraId="19444D6C" w14:textId="77777777" w:rsidTr="00517D00">
        <w:trPr>
          <w:cnfStyle w:val="000000010000" w:firstRow="0" w:lastRow="0" w:firstColumn="0" w:lastColumn="0" w:oddVBand="0" w:evenVBand="0" w:oddHBand="0" w:evenHBand="1" w:firstRowFirstColumn="0" w:firstRowLastColumn="0" w:lastRowFirstColumn="0" w:lastRowLastColumn="0"/>
          <w:cantSplit/>
        </w:trPr>
        <w:tc>
          <w:tcPr>
            <w:tcW w:w="2500" w:type="pct"/>
          </w:tcPr>
          <w:p w14:paraId="1CA7993E" w14:textId="205CB946" w:rsidR="009A1276" w:rsidRPr="008F5532" w:rsidRDefault="009A1276" w:rsidP="008364B9">
            <w:pPr>
              <w:pStyle w:val="ListNumber2"/>
              <w:rPr>
                <w:sz w:val="20"/>
                <w:szCs w:val="20"/>
              </w:rPr>
            </w:pPr>
            <w:r w:rsidRPr="008F5532">
              <w:rPr>
                <w:sz w:val="20"/>
                <w:szCs w:val="20"/>
              </w:rPr>
              <w:t>(g)</w:t>
            </w:r>
            <w:r w:rsidRPr="008F5532">
              <w:rPr>
                <w:sz w:val="20"/>
                <w:szCs w:val="20"/>
              </w:rPr>
              <w:tab/>
              <w:t>And, is the fishery likely to adversely affect the survival or recovery in nature of the species?</w:t>
            </w:r>
          </w:p>
        </w:tc>
        <w:tc>
          <w:tcPr>
            <w:tcW w:w="2500" w:type="pct"/>
            <w:shd w:val="clear" w:color="auto" w:fill="auto"/>
          </w:tcPr>
          <w:p w14:paraId="47FCAB87" w14:textId="5308F208" w:rsidR="00C35389" w:rsidRPr="008F5532" w:rsidRDefault="005A17C5" w:rsidP="00C35389">
            <w:pPr>
              <w:spacing w:before="60" w:after="60" w:line="240" w:lineRule="auto"/>
              <w:rPr>
                <w:rFonts w:cs="Arial"/>
                <w:b/>
                <w:sz w:val="20"/>
                <w:szCs w:val="20"/>
              </w:rPr>
            </w:pPr>
            <w:r w:rsidRPr="008F5532">
              <w:rPr>
                <w:rFonts w:cs="Arial"/>
                <w:b/>
                <w:sz w:val="20"/>
                <w:szCs w:val="20"/>
              </w:rPr>
              <w:t>Not applicable</w:t>
            </w:r>
          </w:p>
          <w:p w14:paraId="64AE9984" w14:textId="1C424C0E" w:rsidR="009A1276" w:rsidRPr="008F5532" w:rsidRDefault="005A17C5">
            <w:pPr>
              <w:spacing w:before="60" w:after="60" w:line="240" w:lineRule="auto"/>
              <w:rPr>
                <w:rFonts w:cs="Arial"/>
                <w:sz w:val="20"/>
                <w:szCs w:val="20"/>
              </w:rPr>
            </w:pPr>
            <w:r w:rsidRPr="008F5532">
              <w:rPr>
                <w:rFonts w:cs="Arial"/>
                <w:sz w:val="20"/>
                <w:szCs w:val="20"/>
              </w:rPr>
              <w:t>Section 208A does not apply outside Australia’s exclusive economic zone (i.e. not applicable to</w:t>
            </w:r>
            <w:r w:rsidR="00F10B2F" w:rsidRPr="008F5532">
              <w:rPr>
                <w:rFonts w:cs="Arial"/>
                <w:sz w:val="20"/>
                <w:szCs w:val="20"/>
              </w:rPr>
              <w:t xml:space="preserve"> </w:t>
            </w:r>
            <w:r w:rsidR="00073DDD">
              <w:rPr>
                <w:rFonts w:cs="Arial"/>
                <w:sz w:val="20"/>
                <w:szCs w:val="20"/>
              </w:rPr>
              <w:t xml:space="preserve">Australia’s </w:t>
            </w:r>
            <w:r w:rsidR="00073DDD" w:rsidRPr="008F5532">
              <w:rPr>
                <w:rFonts w:cs="Arial"/>
                <w:sz w:val="20"/>
                <w:szCs w:val="20"/>
              </w:rPr>
              <w:t xml:space="preserve">High Seas </w:t>
            </w:r>
            <w:r w:rsidR="00073DDD">
              <w:rPr>
                <w:rFonts w:cs="Arial"/>
                <w:sz w:val="20"/>
                <w:szCs w:val="20"/>
              </w:rPr>
              <w:t>Permits</w:t>
            </w:r>
            <w:r w:rsidR="00F10B2F" w:rsidRPr="008F5532">
              <w:rPr>
                <w:rFonts w:cs="Arial"/>
                <w:sz w:val="20"/>
                <w:szCs w:val="20"/>
              </w:rPr>
              <w:t xml:space="preserve">). </w:t>
            </w:r>
          </w:p>
        </w:tc>
      </w:tr>
      <w:tr w:rsidR="00517D00" w:rsidRPr="008364B9" w14:paraId="5E7691EA" w14:textId="77777777" w:rsidTr="004E2C8E">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424B16CE" w14:textId="0FB5A801" w:rsidR="00517D00" w:rsidRPr="008364B9" w:rsidRDefault="00517D00" w:rsidP="004E2C8E">
            <w:pPr>
              <w:spacing w:before="60" w:after="60" w:line="240" w:lineRule="auto"/>
              <w:ind w:left="426" w:hanging="426"/>
              <w:rPr>
                <w:rFonts w:cs="Arial"/>
                <w:b/>
                <w:sz w:val="20"/>
                <w:szCs w:val="20"/>
              </w:rPr>
            </w:pPr>
            <w:r w:rsidRPr="008364B9">
              <w:rPr>
                <w:rFonts w:cs="Arial"/>
                <w:b/>
                <w:sz w:val="20"/>
                <w:szCs w:val="20"/>
              </w:rPr>
              <w:t>Division 2 Migratory species, Section 222A Minister may accredit plans or regimes</w:t>
            </w:r>
          </w:p>
        </w:tc>
        <w:tc>
          <w:tcPr>
            <w:tcW w:w="2500" w:type="pct"/>
            <w:shd w:val="clear" w:color="auto" w:fill="D9D9D9" w:themeFill="background1" w:themeFillShade="D9"/>
          </w:tcPr>
          <w:p w14:paraId="55B6BCD1" w14:textId="77777777" w:rsidR="00517D00" w:rsidRPr="008364B9" w:rsidRDefault="00517D00" w:rsidP="004E2C8E">
            <w:pPr>
              <w:spacing w:before="60" w:after="60" w:line="240" w:lineRule="auto"/>
              <w:rPr>
                <w:rFonts w:cs="Arial"/>
                <w:b/>
                <w:sz w:val="20"/>
                <w:szCs w:val="20"/>
              </w:rPr>
            </w:pPr>
            <w:r w:rsidRPr="008364B9">
              <w:rPr>
                <w:rFonts w:cs="Arial"/>
                <w:b/>
                <w:sz w:val="20"/>
                <w:szCs w:val="20"/>
              </w:rPr>
              <w:t>Comment</w:t>
            </w:r>
          </w:p>
        </w:tc>
      </w:tr>
      <w:tr w:rsidR="00517D00" w:rsidRPr="008364B9" w14:paraId="2D018D92" w14:textId="77777777" w:rsidTr="004E2C8E">
        <w:trPr>
          <w:cnfStyle w:val="000000010000" w:firstRow="0" w:lastRow="0" w:firstColumn="0" w:lastColumn="0" w:oddVBand="0" w:evenVBand="0" w:oddHBand="0" w:evenHBand="1" w:firstRowFirstColumn="0" w:firstRowLastColumn="0" w:lastRowFirstColumn="0" w:lastRowLastColumn="0"/>
        </w:trPr>
        <w:tc>
          <w:tcPr>
            <w:tcW w:w="2500" w:type="pct"/>
          </w:tcPr>
          <w:p w14:paraId="05C89EBE" w14:textId="77777777" w:rsidR="00517D00" w:rsidRPr="008F5532" w:rsidRDefault="00517D00" w:rsidP="004E2C8E">
            <w:pPr>
              <w:pStyle w:val="ListNumber2"/>
              <w:rPr>
                <w:sz w:val="20"/>
                <w:szCs w:val="20"/>
              </w:rPr>
            </w:pPr>
            <w:r w:rsidRPr="008F5532">
              <w:rPr>
                <w:sz w:val="20"/>
                <w:szCs w:val="20"/>
              </w:rPr>
              <w:t>(f)</w:t>
            </w:r>
            <w:r w:rsidRPr="008F5532">
              <w:rPr>
                <w:sz w:val="20"/>
                <w:szCs w:val="20"/>
              </w:rPr>
              <w:tab/>
              <w:t>Will the plan, regime or policy require fishers to take all reasonable steps to ensure that members of listed migratory species are not killed or injured as a result of the fishing?</w:t>
            </w:r>
          </w:p>
        </w:tc>
        <w:tc>
          <w:tcPr>
            <w:tcW w:w="2500" w:type="pct"/>
            <w:shd w:val="clear" w:color="auto" w:fill="auto"/>
          </w:tcPr>
          <w:p w14:paraId="732C155A" w14:textId="193A10D3" w:rsidR="00C35389" w:rsidRPr="008F5532" w:rsidRDefault="00517D00" w:rsidP="00C35389">
            <w:pPr>
              <w:spacing w:before="60" w:after="60" w:line="240" w:lineRule="auto"/>
              <w:rPr>
                <w:rFonts w:cs="Arial"/>
                <w:b/>
                <w:sz w:val="20"/>
                <w:szCs w:val="20"/>
              </w:rPr>
            </w:pPr>
            <w:r w:rsidRPr="008F5532">
              <w:rPr>
                <w:rFonts w:cs="Arial"/>
                <w:b/>
                <w:sz w:val="20"/>
                <w:szCs w:val="20"/>
              </w:rPr>
              <w:t>Not applicable</w:t>
            </w:r>
          </w:p>
          <w:p w14:paraId="21A40932" w14:textId="475671D8" w:rsidR="00517D00" w:rsidRPr="008F5532" w:rsidRDefault="00517D00">
            <w:pPr>
              <w:spacing w:before="60" w:after="60" w:line="240" w:lineRule="auto"/>
              <w:rPr>
                <w:rFonts w:cs="Arial"/>
                <w:sz w:val="20"/>
                <w:szCs w:val="20"/>
              </w:rPr>
            </w:pPr>
            <w:r w:rsidRPr="008F5532">
              <w:rPr>
                <w:rFonts w:cs="Arial"/>
                <w:sz w:val="20"/>
                <w:szCs w:val="20"/>
              </w:rPr>
              <w:t>Section 222A does not apply outside Australia’s exclusive economic zone (i.e. not applic</w:t>
            </w:r>
            <w:r w:rsidR="00F10B2F" w:rsidRPr="008F5532">
              <w:rPr>
                <w:rFonts w:cs="Arial"/>
                <w:sz w:val="20"/>
                <w:szCs w:val="20"/>
              </w:rPr>
              <w:t xml:space="preserve">able to </w:t>
            </w:r>
            <w:r w:rsidR="00073DDD">
              <w:rPr>
                <w:rFonts w:cs="Arial"/>
                <w:sz w:val="20"/>
                <w:szCs w:val="20"/>
              </w:rPr>
              <w:t xml:space="preserve">Australia’s </w:t>
            </w:r>
            <w:r w:rsidR="00073DDD" w:rsidRPr="008F5532">
              <w:rPr>
                <w:rFonts w:cs="Arial"/>
                <w:sz w:val="20"/>
                <w:szCs w:val="20"/>
              </w:rPr>
              <w:t xml:space="preserve">High Seas </w:t>
            </w:r>
            <w:r w:rsidR="00073DDD">
              <w:rPr>
                <w:rFonts w:cs="Arial"/>
                <w:sz w:val="20"/>
                <w:szCs w:val="20"/>
              </w:rPr>
              <w:t>Permits</w:t>
            </w:r>
            <w:r w:rsidR="00F10B2F" w:rsidRPr="008F5532">
              <w:rPr>
                <w:rFonts w:cs="Arial"/>
                <w:sz w:val="20"/>
                <w:szCs w:val="20"/>
              </w:rPr>
              <w:t xml:space="preserve">). </w:t>
            </w:r>
          </w:p>
        </w:tc>
      </w:tr>
      <w:tr w:rsidR="00517D00" w:rsidRPr="008364B9" w14:paraId="68039580" w14:textId="77777777" w:rsidTr="004E2C8E">
        <w:trPr>
          <w:cnfStyle w:val="000000100000" w:firstRow="0" w:lastRow="0" w:firstColumn="0" w:lastColumn="0" w:oddVBand="0" w:evenVBand="0" w:oddHBand="1" w:evenHBand="0" w:firstRowFirstColumn="0" w:firstRowLastColumn="0" w:lastRowFirstColumn="0" w:lastRowLastColumn="0"/>
        </w:trPr>
        <w:tc>
          <w:tcPr>
            <w:tcW w:w="2500" w:type="pct"/>
          </w:tcPr>
          <w:p w14:paraId="2FA0DBAD" w14:textId="77777777" w:rsidR="00517D00" w:rsidRPr="008F5532" w:rsidRDefault="00517D00" w:rsidP="004E2C8E">
            <w:pPr>
              <w:pStyle w:val="ListNumber2"/>
              <w:rPr>
                <w:sz w:val="20"/>
                <w:szCs w:val="20"/>
              </w:rPr>
            </w:pPr>
            <w:r w:rsidRPr="008F5532">
              <w:rPr>
                <w:sz w:val="20"/>
                <w:szCs w:val="20"/>
              </w:rPr>
              <w:lastRenderedPageBreak/>
              <w:t>(g)</w:t>
            </w:r>
            <w:r w:rsidRPr="008F5532">
              <w:rPr>
                <w:sz w:val="20"/>
                <w:szCs w:val="20"/>
              </w:rPr>
              <w:tab/>
              <w:t>And, is the fishery likely to adversely affect the conservation status of a listed migratory species or a population of that species?</w:t>
            </w:r>
          </w:p>
        </w:tc>
        <w:tc>
          <w:tcPr>
            <w:tcW w:w="2500" w:type="pct"/>
            <w:shd w:val="clear" w:color="auto" w:fill="auto"/>
          </w:tcPr>
          <w:p w14:paraId="22DCF14B" w14:textId="63A4220D" w:rsidR="00C35389" w:rsidRPr="008F5532" w:rsidRDefault="00517D00" w:rsidP="00C35389">
            <w:pPr>
              <w:spacing w:before="60" w:after="60" w:line="240" w:lineRule="auto"/>
              <w:rPr>
                <w:rFonts w:cs="Arial"/>
                <w:b/>
                <w:sz w:val="20"/>
                <w:szCs w:val="20"/>
              </w:rPr>
            </w:pPr>
            <w:r w:rsidRPr="008F5532">
              <w:rPr>
                <w:rFonts w:cs="Arial"/>
                <w:b/>
                <w:sz w:val="20"/>
                <w:szCs w:val="20"/>
              </w:rPr>
              <w:t>Not applicable</w:t>
            </w:r>
          </w:p>
          <w:p w14:paraId="46488ADA" w14:textId="67C73F05" w:rsidR="00517D00" w:rsidRPr="008F5532" w:rsidRDefault="00517D00">
            <w:pPr>
              <w:spacing w:before="60" w:after="60" w:line="240" w:lineRule="auto"/>
              <w:rPr>
                <w:rFonts w:cs="Arial"/>
                <w:sz w:val="20"/>
                <w:szCs w:val="20"/>
              </w:rPr>
            </w:pPr>
            <w:r w:rsidRPr="008F5532">
              <w:rPr>
                <w:rFonts w:cs="Arial"/>
                <w:sz w:val="20"/>
                <w:szCs w:val="20"/>
              </w:rPr>
              <w:t>Section 222A does not apply outside Australia’s exclusive economic zone (i.e. not applic</w:t>
            </w:r>
            <w:r w:rsidR="00F10B2F" w:rsidRPr="008F5532">
              <w:rPr>
                <w:rFonts w:cs="Arial"/>
                <w:sz w:val="20"/>
                <w:szCs w:val="20"/>
              </w:rPr>
              <w:t xml:space="preserve">able to </w:t>
            </w:r>
            <w:r w:rsidR="00073DDD">
              <w:rPr>
                <w:rFonts w:cs="Arial"/>
                <w:sz w:val="20"/>
                <w:szCs w:val="20"/>
              </w:rPr>
              <w:t xml:space="preserve">Australia’s </w:t>
            </w:r>
            <w:r w:rsidR="00073DDD" w:rsidRPr="008F5532">
              <w:rPr>
                <w:rFonts w:cs="Arial"/>
                <w:sz w:val="20"/>
                <w:szCs w:val="20"/>
              </w:rPr>
              <w:t xml:space="preserve">High Seas </w:t>
            </w:r>
            <w:r w:rsidR="00073DDD">
              <w:rPr>
                <w:rFonts w:cs="Arial"/>
                <w:sz w:val="20"/>
                <w:szCs w:val="20"/>
              </w:rPr>
              <w:t>Permits</w:t>
            </w:r>
            <w:r w:rsidR="00F10B2F" w:rsidRPr="008F5532">
              <w:rPr>
                <w:rFonts w:cs="Arial"/>
                <w:sz w:val="20"/>
                <w:szCs w:val="20"/>
              </w:rPr>
              <w:t xml:space="preserve">). </w:t>
            </w:r>
          </w:p>
        </w:tc>
      </w:tr>
      <w:tr w:rsidR="00517D00" w:rsidRPr="008364B9" w14:paraId="4D683767" w14:textId="77777777" w:rsidTr="004E2C8E">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6C8B3434" w14:textId="77777777" w:rsidR="00517D00" w:rsidRPr="008364B9" w:rsidRDefault="00517D00" w:rsidP="004E2C8E">
            <w:pPr>
              <w:spacing w:before="60" w:after="60" w:line="240" w:lineRule="auto"/>
              <w:ind w:left="426" w:hanging="426"/>
              <w:rPr>
                <w:rFonts w:cs="Arial"/>
                <w:b/>
                <w:sz w:val="20"/>
                <w:szCs w:val="20"/>
              </w:rPr>
            </w:pPr>
            <w:r w:rsidRPr="008364B9">
              <w:rPr>
                <w:rFonts w:cs="Arial"/>
                <w:b/>
                <w:sz w:val="20"/>
                <w:szCs w:val="20"/>
              </w:rPr>
              <w:t>Division 3 Whales and other cetaceans, Section 245 Minister may accredit plans or regimes</w:t>
            </w:r>
          </w:p>
        </w:tc>
        <w:tc>
          <w:tcPr>
            <w:tcW w:w="2500" w:type="pct"/>
            <w:shd w:val="clear" w:color="auto" w:fill="D9D9D9" w:themeFill="background1" w:themeFillShade="D9"/>
          </w:tcPr>
          <w:p w14:paraId="335E8D87" w14:textId="77777777" w:rsidR="00517D00" w:rsidRPr="008364B9" w:rsidRDefault="00517D00" w:rsidP="004E2C8E">
            <w:pPr>
              <w:spacing w:before="60" w:after="60" w:line="240" w:lineRule="auto"/>
              <w:rPr>
                <w:rFonts w:cs="Arial"/>
                <w:b/>
                <w:sz w:val="20"/>
                <w:szCs w:val="20"/>
              </w:rPr>
            </w:pPr>
            <w:r w:rsidRPr="008364B9">
              <w:rPr>
                <w:rFonts w:cs="Arial"/>
                <w:b/>
                <w:sz w:val="20"/>
                <w:szCs w:val="20"/>
              </w:rPr>
              <w:t>Comment</w:t>
            </w:r>
          </w:p>
        </w:tc>
      </w:tr>
      <w:tr w:rsidR="00517D00" w:rsidRPr="008364B9" w14:paraId="62956F81" w14:textId="77777777" w:rsidTr="004E2C8E">
        <w:trPr>
          <w:cnfStyle w:val="000000100000" w:firstRow="0" w:lastRow="0" w:firstColumn="0" w:lastColumn="0" w:oddVBand="0" w:evenVBand="0" w:oddHBand="1" w:evenHBand="0" w:firstRowFirstColumn="0" w:firstRowLastColumn="0" w:lastRowFirstColumn="0" w:lastRowLastColumn="0"/>
        </w:trPr>
        <w:tc>
          <w:tcPr>
            <w:tcW w:w="2500" w:type="pct"/>
          </w:tcPr>
          <w:p w14:paraId="32224F93" w14:textId="77777777" w:rsidR="00517D00" w:rsidRPr="008F5532" w:rsidRDefault="00517D00" w:rsidP="004E2C8E">
            <w:pPr>
              <w:pStyle w:val="ListNumber2"/>
              <w:rPr>
                <w:sz w:val="20"/>
                <w:szCs w:val="20"/>
              </w:rPr>
            </w:pPr>
            <w:r w:rsidRPr="008F5532">
              <w:rPr>
                <w:sz w:val="20"/>
                <w:szCs w:val="20"/>
              </w:rPr>
              <w:t>(f)</w:t>
            </w:r>
            <w:r w:rsidRPr="008F5532">
              <w:rPr>
                <w:sz w:val="20"/>
                <w:szCs w:val="20"/>
              </w:rPr>
              <w:tab/>
              <w:t>Will the plan, regime or policy require fishers to take all reasonable steps to ensure that cetaceans are not killed or injured as a result of the fishing?</w:t>
            </w:r>
          </w:p>
        </w:tc>
        <w:tc>
          <w:tcPr>
            <w:tcW w:w="2500" w:type="pct"/>
            <w:shd w:val="clear" w:color="auto" w:fill="92D050"/>
          </w:tcPr>
          <w:p w14:paraId="07FF6816" w14:textId="2CF25E0B" w:rsidR="00C35389" w:rsidRPr="008F5532" w:rsidRDefault="00517D00" w:rsidP="004E2C8E">
            <w:pPr>
              <w:spacing w:before="60" w:after="60" w:line="240" w:lineRule="auto"/>
              <w:rPr>
                <w:rFonts w:cs="Arial"/>
                <w:b/>
                <w:sz w:val="20"/>
                <w:szCs w:val="20"/>
              </w:rPr>
            </w:pPr>
            <w:r w:rsidRPr="008F5532">
              <w:rPr>
                <w:rFonts w:cs="Arial"/>
                <w:b/>
                <w:sz w:val="20"/>
                <w:szCs w:val="20"/>
              </w:rPr>
              <w:t>Meets</w:t>
            </w:r>
          </w:p>
          <w:p w14:paraId="6953761E" w14:textId="6C48D0AF" w:rsidR="00517D00" w:rsidRPr="008F5532" w:rsidRDefault="00517D00" w:rsidP="004E2C8E">
            <w:pPr>
              <w:spacing w:before="60" w:after="60" w:line="240" w:lineRule="auto"/>
              <w:rPr>
                <w:rFonts w:cs="Arial"/>
                <w:sz w:val="20"/>
                <w:szCs w:val="20"/>
              </w:rPr>
            </w:pPr>
            <w:r w:rsidRPr="008F5532">
              <w:rPr>
                <w:rFonts w:cs="Arial"/>
                <w:b/>
                <w:sz w:val="20"/>
                <w:szCs w:val="20"/>
              </w:rPr>
              <w:t>Yes</w:t>
            </w:r>
            <w:r w:rsidRPr="008F5532">
              <w:rPr>
                <w:rFonts w:cs="Arial"/>
                <w:sz w:val="20"/>
                <w:szCs w:val="20"/>
              </w:rPr>
              <w:t>. Although there are no specific measures in place to mitigate the risk to whales and other cetaceans, there is a relatively high level of independent monitoring and no reported interactions by scientific observers or fishers, at least in the past ten years.</w:t>
            </w:r>
          </w:p>
          <w:p w14:paraId="41E7542F" w14:textId="76052C6F" w:rsidR="00517D00" w:rsidRPr="008F5532" w:rsidRDefault="00A0399E">
            <w:pPr>
              <w:spacing w:before="60" w:after="60" w:line="240" w:lineRule="auto"/>
              <w:rPr>
                <w:rFonts w:cs="Arial"/>
                <w:sz w:val="20"/>
                <w:szCs w:val="20"/>
              </w:rPr>
            </w:pPr>
            <w:r w:rsidRPr="008F5532">
              <w:rPr>
                <w:rFonts w:cs="Arial"/>
                <w:sz w:val="20"/>
                <w:szCs w:val="20"/>
              </w:rPr>
              <w:t xml:space="preserve">Current management is considered to constitute all reasonable steps, given the known risks. </w:t>
            </w:r>
            <w:r w:rsidR="00517D00" w:rsidRPr="008F5532">
              <w:rPr>
                <w:rFonts w:cs="Arial"/>
                <w:sz w:val="20"/>
                <w:szCs w:val="20"/>
              </w:rPr>
              <w:t>Ecological risk assessments are being undertaken which will allow AFMA to target mitigation to any identified risks.</w:t>
            </w:r>
          </w:p>
        </w:tc>
      </w:tr>
      <w:tr w:rsidR="00517D00" w:rsidRPr="008364B9" w14:paraId="030F2436" w14:textId="77777777" w:rsidTr="004E2C8E">
        <w:trPr>
          <w:cnfStyle w:val="000000010000" w:firstRow="0" w:lastRow="0" w:firstColumn="0" w:lastColumn="0" w:oddVBand="0" w:evenVBand="0" w:oddHBand="0" w:evenHBand="1" w:firstRowFirstColumn="0" w:firstRowLastColumn="0" w:lastRowFirstColumn="0" w:lastRowLastColumn="0"/>
        </w:trPr>
        <w:tc>
          <w:tcPr>
            <w:tcW w:w="2500" w:type="pct"/>
          </w:tcPr>
          <w:p w14:paraId="19E39F4D" w14:textId="77777777" w:rsidR="00517D00" w:rsidRPr="008F5532" w:rsidRDefault="00517D00" w:rsidP="004E2C8E">
            <w:pPr>
              <w:pStyle w:val="ListNumber2"/>
              <w:rPr>
                <w:sz w:val="20"/>
                <w:szCs w:val="20"/>
              </w:rPr>
            </w:pPr>
            <w:r w:rsidRPr="008F5532">
              <w:rPr>
                <w:sz w:val="20"/>
                <w:szCs w:val="20"/>
              </w:rPr>
              <w:t>(g)</w:t>
            </w:r>
            <w:r w:rsidRPr="008F5532">
              <w:rPr>
                <w:sz w:val="20"/>
                <w:szCs w:val="20"/>
              </w:rPr>
              <w:tab/>
              <w:t>And, is the fishery likely to adversely affect the conservation status of a species of cetacean or a population of that species?</w:t>
            </w:r>
          </w:p>
        </w:tc>
        <w:tc>
          <w:tcPr>
            <w:tcW w:w="2500" w:type="pct"/>
            <w:shd w:val="clear" w:color="auto" w:fill="92D050"/>
          </w:tcPr>
          <w:p w14:paraId="4BF40D34" w14:textId="3CEBD734" w:rsidR="00C35389" w:rsidRPr="008F5532" w:rsidRDefault="00517D00" w:rsidP="004E2C8E">
            <w:pPr>
              <w:spacing w:before="60" w:after="60" w:line="240" w:lineRule="auto"/>
              <w:rPr>
                <w:rFonts w:cs="Arial"/>
                <w:b/>
                <w:sz w:val="20"/>
                <w:szCs w:val="20"/>
              </w:rPr>
            </w:pPr>
            <w:r w:rsidRPr="008F5532">
              <w:rPr>
                <w:rFonts w:cs="Arial"/>
                <w:b/>
                <w:sz w:val="20"/>
                <w:szCs w:val="20"/>
              </w:rPr>
              <w:t>Meets</w:t>
            </w:r>
          </w:p>
          <w:p w14:paraId="4C6314FA" w14:textId="6CAB5496" w:rsidR="00517D00" w:rsidRPr="008F5532" w:rsidRDefault="00517D00" w:rsidP="004E2C8E">
            <w:pPr>
              <w:spacing w:before="60" w:after="60" w:line="240" w:lineRule="auto"/>
              <w:rPr>
                <w:rFonts w:cs="Arial"/>
                <w:color w:val="808080" w:themeColor="background1" w:themeShade="80"/>
                <w:sz w:val="20"/>
                <w:szCs w:val="20"/>
              </w:rPr>
            </w:pPr>
            <w:r w:rsidRPr="008F5532">
              <w:rPr>
                <w:rFonts w:cs="Arial"/>
                <w:b/>
                <w:sz w:val="20"/>
                <w:szCs w:val="20"/>
              </w:rPr>
              <w:t>No</w:t>
            </w:r>
            <w:r w:rsidRPr="008F5532">
              <w:rPr>
                <w:rFonts w:cs="Arial"/>
                <w:sz w:val="20"/>
                <w:szCs w:val="20"/>
              </w:rPr>
              <w:t>, There is a relatively high level of independent monitoring and no reported interactions by scientific observers or fishers, at least in the past ten years.</w:t>
            </w:r>
            <w:r w:rsidRPr="008F5532">
              <w:rPr>
                <w:rFonts w:cs="Arial"/>
                <w:color w:val="808080" w:themeColor="background1" w:themeShade="80"/>
                <w:sz w:val="20"/>
                <w:szCs w:val="20"/>
              </w:rPr>
              <w:t xml:space="preserve"> </w:t>
            </w:r>
          </w:p>
          <w:p w14:paraId="1028AA04" w14:textId="77777777" w:rsidR="00517D00" w:rsidRPr="008F5532" w:rsidRDefault="00517D00" w:rsidP="004E2C8E">
            <w:pPr>
              <w:spacing w:before="60" w:after="60" w:line="240" w:lineRule="auto"/>
              <w:rPr>
                <w:rFonts w:cs="Arial"/>
                <w:b/>
                <w:sz w:val="20"/>
                <w:szCs w:val="20"/>
              </w:rPr>
            </w:pPr>
            <w:r w:rsidRPr="008F5532">
              <w:rPr>
                <w:rFonts w:cs="Arial"/>
                <w:sz w:val="20"/>
                <w:szCs w:val="20"/>
              </w:rPr>
              <w:t>The fishery is not expected to adversely affect the conservation status of a species of cetacean or a population of that species.</w:t>
            </w:r>
          </w:p>
        </w:tc>
      </w:tr>
      <w:tr w:rsidR="00517D00" w:rsidRPr="008364B9" w14:paraId="47F586D6" w14:textId="77777777" w:rsidTr="004E2C8E">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76ECED67" w14:textId="77777777" w:rsidR="00517D00" w:rsidRPr="008364B9" w:rsidRDefault="00517D00" w:rsidP="004E2C8E">
            <w:pPr>
              <w:spacing w:before="60" w:after="60" w:line="240" w:lineRule="auto"/>
              <w:ind w:left="426" w:hanging="426"/>
              <w:rPr>
                <w:rFonts w:cs="Arial"/>
                <w:b/>
                <w:sz w:val="20"/>
                <w:szCs w:val="20"/>
              </w:rPr>
            </w:pPr>
            <w:r w:rsidRPr="008364B9">
              <w:rPr>
                <w:rFonts w:cs="Arial"/>
                <w:b/>
                <w:sz w:val="20"/>
                <w:szCs w:val="20"/>
              </w:rPr>
              <w:t>Division 4 Listed marine species, Section 265 Minister may accredit plans or regimes</w:t>
            </w:r>
          </w:p>
        </w:tc>
        <w:tc>
          <w:tcPr>
            <w:tcW w:w="2500" w:type="pct"/>
            <w:shd w:val="clear" w:color="auto" w:fill="D9D9D9" w:themeFill="background1" w:themeFillShade="D9"/>
          </w:tcPr>
          <w:p w14:paraId="7A5C74B0" w14:textId="77777777" w:rsidR="00517D00" w:rsidRPr="008364B9" w:rsidRDefault="00517D00" w:rsidP="004E2C8E">
            <w:pPr>
              <w:spacing w:before="60" w:after="60" w:line="240" w:lineRule="auto"/>
              <w:rPr>
                <w:rFonts w:cs="Arial"/>
                <w:b/>
                <w:sz w:val="20"/>
                <w:szCs w:val="20"/>
              </w:rPr>
            </w:pPr>
            <w:r w:rsidRPr="008364B9">
              <w:rPr>
                <w:rFonts w:cs="Arial"/>
                <w:b/>
                <w:sz w:val="20"/>
                <w:szCs w:val="20"/>
              </w:rPr>
              <w:t>Comment</w:t>
            </w:r>
          </w:p>
        </w:tc>
      </w:tr>
      <w:tr w:rsidR="00517D00" w:rsidRPr="008364B9" w14:paraId="105A4594" w14:textId="77777777" w:rsidTr="004E2C8E">
        <w:trPr>
          <w:cnfStyle w:val="000000010000" w:firstRow="0" w:lastRow="0" w:firstColumn="0" w:lastColumn="0" w:oddVBand="0" w:evenVBand="0" w:oddHBand="0" w:evenHBand="1" w:firstRowFirstColumn="0" w:firstRowLastColumn="0" w:lastRowFirstColumn="0" w:lastRowLastColumn="0"/>
        </w:trPr>
        <w:tc>
          <w:tcPr>
            <w:tcW w:w="2500" w:type="pct"/>
          </w:tcPr>
          <w:p w14:paraId="3142A62C" w14:textId="77777777" w:rsidR="00517D00" w:rsidRPr="008F5532" w:rsidRDefault="00517D00" w:rsidP="004E2C8E">
            <w:pPr>
              <w:pStyle w:val="ListNumber2"/>
              <w:rPr>
                <w:sz w:val="20"/>
                <w:szCs w:val="20"/>
              </w:rPr>
            </w:pPr>
            <w:r w:rsidRPr="008F5532">
              <w:rPr>
                <w:sz w:val="20"/>
                <w:szCs w:val="20"/>
              </w:rPr>
              <w:t>(f)</w:t>
            </w:r>
            <w:r w:rsidRPr="008F5532">
              <w:rPr>
                <w:sz w:val="20"/>
                <w:szCs w:val="20"/>
              </w:rPr>
              <w:tab/>
              <w:t>Will the plan, regime or policy require fishers to take all reasonable steps to ensure that members of listed marine species are not killed or injured as a result of the fishing?</w:t>
            </w:r>
          </w:p>
        </w:tc>
        <w:tc>
          <w:tcPr>
            <w:tcW w:w="2500" w:type="pct"/>
            <w:shd w:val="clear" w:color="auto" w:fill="auto"/>
          </w:tcPr>
          <w:p w14:paraId="7C32E6CB" w14:textId="3EABCC78" w:rsidR="00C35389" w:rsidRPr="008F5532" w:rsidRDefault="00517D00" w:rsidP="00C35389">
            <w:pPr>
              <w:spacing w:before="60" w:after="60" w:line="240" w:lineRule="auto"/>
              <w:rPr>
                <w:rFonts w:cs="Arial"/>
                <w:b/>
                <w:sz w:val="20"/>
                <w:szCs w:val="20"/>
              </w:rPr>
            </w:pPr>
            <w:r w:rsidRPr="008F5532">
              <w:rPr>
                <w:rFonts w:cs="Arial"/>
                <w:b/>
                <w:sz w:val="20"/>
                <w:szCs w:val="20"/>
              </w:rPr>
              <w:t>Not applicable</w:t>
            </w:r>
          </w:p>
          <w:p w14:paraId="0BE2A17F" w14:textId="61B08D68" w:rsidR="00517D00" w:rsidRPr="008F5532" w:rsidRDefault="00517D00">
            <w:pPr>
              <w:spacing w:before="60" w:after="60" w:line="240" w:lineRule="auto"/>
              <w:rPr>
                <w:rFonts w:cs="Arial"/>
                <w:sz w:val="20"/>
                <w:szCs w:val="20"/>
              </w:rPr>
            </w:pPr>
            <w:r w:rsidRPr="008F5532">
              <w:rPr>
                <w:rFonts w:cs="Arial"/>
                <w:sz w:val="20"/>
                <w:szCs w:val="20"/>
              </w:rPr>
              <w:t>Section 265 does not apply outside Australia’s exclusive economic zone (i.e. not applic</w:t>
            </w:r>
            <w:r w:rsidR="00F10B2F" w:rsidRPr="008F5532">
              <w:rPr>
                <w:rFonts w:cs="Arial"/>
                <w:sz w:val="20"/>
                <w:szCs w:val="20"/>
              </w:rPr>
              <w:t xml:space="preserve">able to </w:t>
            </w:r>
            <w:r w:rsidR="00073DDD">
              <w:rPr>
                <w:rFonts w:cs="Arial"/>
                <w:sz w:val="20"/>
                <w:szCs w:val="20"/>
              </w:rPr>
              <w:t xml:space="preserve">Australia’s </w:t>
            </w:r>
            <w:r w:rsidR="00073DDD" w:rsidRPr="008F5532">
              <w:rPr>
                <w:rFonts w:cs="Arial"/>
                <w:sz w:val="20"/>
                <w:szCs w:val="20"/>
              </w:rPr>
              <w:t xml:space="preserve">High Seas </w:t>
            </w:r>
            <w:r w:rsidR="00073DDD">
              <w:rPr>
                <w:rFonts w:cs="Arial"/>
                <w:sz w:val="20"/>
                <w:szCs w:val="20"/>
              </w:rPr>
              <w:t>Permits</w:t>
            </w:r>
            <w:r w:rsidR="00F10B2F" w:rsidRPr="008F5532">
              <w:rPr>
                <w:rFonts w:cs="Arial"/>
                <w:sz w:val="20"/>
                <w:szCs w:val="20"/>
              </w:rPr>
              <w:t xml:space="preserve">). </w:t>
            </w:r>
          </w:p>
        </w:tc>
      </w:tr>
      <w:tr w:rsidR="00517D00" w:rsidRPr="008364B9" w14:paraId="5B9AFC73" w14:textId="77777777" w:rsidTr="004E2C8E">
        <w:trPr>
          <w:cnfStyle w:val="000000100000" w:firstRow="0" w:lastRow="0" w:firstColumn="0" w:lastColumn="0" w:oddVBand="0" w:evenVBand="0" w:oddHBand="1" w:evenHBand="0" w:firstRowFirstColumn="0" w:firstRowLastColumn="0" w:lastRowFirstColumn="0" w:lastRowLastColumn="0"/>
        </w:trPr>
        <w:tc>
          <w:tcPr>
            <w:tcW w:w="2500" w:type="pct"/>
          </w:tcPr>
          <w:p w14:paraId="722BFA55" w14:textId="77777777" w:rsidR="00517D00" w:rsidRPr="008F5532" w:rsidRDefault="00517D00" w:rsidP="004E2C8E">
            <w:pPr>
              <w:pStyle w:val="ListNumber2"/>
              <w:rPr>
                <w:sz w:val="20"/>
                <w:szCs w:val="20"/>
              </w:rPr>
            </w:pPr>
            <w:r w:rsidRPr="008F5532">
              <w:rPr>
                <w:sz w:val="20"/>
                <w:szCs w:val="20"/>
              </w:rPr>
              <w:t>(g)</w:t>
            </w:r>
            <w:r w:rsidRPr="008F5532">
              <w:rPr>
                <w:sz w:val="20"/>
                <w:szCs w:val="20"/>
              </w:rPr>
              <w:tab/>
              <w:t>And, is the fishery likely to adversely affect the conservation status of a listed marine species or a population of that species?</w:t>
            </w:r>
          </w:p>
        </w:tc>
        <w:tc>
          <w:tcPr>
            <w:tcW w:w="2500" w:type="pct"/>
            <w:shd w:val="clear" w:color="auto" w:fill="auto"/>
          </w:tcPr>
          <w:p w14:paraId="13EED17F" w14:textId="5FCFE49E" w:rsidR="00C35389" w:rsidRPr="008F5532" w:rsidRDefault="00517D00" w:rsidP="00C35389">
            <w:pPr>
              <w:spacing w:before="60" w:after="60" w:line="240" w:lineRule="auto"/>
              <w:rPr>
                <w:rFonts w:cs="Arial"/>
                <w:b/>
                <w:sz w:val="20"/>
                <w:szCs w:val="20"/>
              </w:rPr>
            </w:pPr>
            <w:r w:rsidRPr="008F5532">
              <w:rPr>
                <w:rFonts w:cs="Arial"/>
                <w:b/>
                <w:sz w:val="20"/>
                <w:szCs w:val="20"/>
              </w:rPr>
              <w:t>Not applicable</w:t>
            </w:r>
          </w:p>
          <w:p w14:paraId="642431E5" w14:textId="0C995679" w:rsidR="00517D00" w:rsidRPr="008F5532" w:rsidRDefault="00517D00">
            <w:pPr>
              <w:spacing w:before="60" w:after="60" w:line="240" w:lineRule="auto"/>
              <w:rPr>
                <w:rFonts w:cs="Arial"/>
                <w:sz w:val="20"/>
                <w:szCs w:val="20"/>
              </w:rPr>
            </w:pPr>
            <w:r w:rsidRPr="008F5532">
              <w:rPr>
                <w:rFonts w:cs="Arial"/>
                <w:sz w:val="20"/>
                <w:szCs w:val="20"/>
              </w:rPr>
              <w:t>Section 265 does not apply outside Australia’s exclusive economic zone (i.e. not applic</w:t>
            </w:r>
            <w:r w:rsidR="00F10B2F" w:rsidRPr="008F5532">
              <w:rPr>
                <w:rFonts w:cs="Arial"/>
                <w:sz w:val="20"/>
                <w:szCs w:val="20"/>
              </w:rPr>
              <w:t xml:space="preserve">able to </w:t>
            </w:r>
            <w:r w:rsidR="00073DDD">
              <w:rPr>
                <w:rFonts w:cs="Arial"/>
                <w:sz w:val="20"/>
                <w:szCs w:val="20"/>
              </w:rPr>
              <w:t xml:space="preserve">Australia’s </w:t>
            </w:r>
            <w:r w:rsidR="00073DDD" w:rsidRPr="008F5532">
              <w:rPr>
                <w:rFonts w:cs="Arial"/>
                <w:sz w:val="20"/>
                <w:szCs w:val="20"/>
              </w:rPr>
              <w:t xml:space="preserve">High Seas </w:t>
            </w:r>
            <w:r w:rsidR="00073DDD">
              <w:rPr>
                <w:rFonts w:cs="Arial"/>
                <w:sz w:val="20"/>
                <w:szCs w:val="20"/>
              </w:rPr>
              <w:t>Permits</w:t>
            </w:r>
            <w:r w:rsidR="00F10B2F" w:rsidRPr="008F5532">
              <w:rPr>
                <w:rFonts w:cs="Arial"/>
                <w:sz w:val="20"/>
                <w:szCs w:val="20"/>
              </w:rPr>
              <w:t xml:space="preserve">). </w:t>
            </w:r>
          </w:p>
        </w:tc>
      </w:tr>
      <w:tr w:rsidR="00F10B2F" w:rsidRPr="008364B9" w14:paraId="75159860" w14:textId="77777777" w:rsidTr="004E2C8E">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7C576B74" w14:textId="784E66AB" w:rsidR="00F10B2F" w:rsidRPr="008364B9" w:rsidRDefault="00F10B2F" w:rsidP="004E2C8E">
            <w:pPr>
              <w:spacing w:before="60" w:after="60" w:line="240" w:lineRule="auto"/>
              <w:ind w:left="426" w:hanging="426"/>
              <w:rPr>
                <w:rFonts w:cs="Arial"/>
                <w:b/>
                <w:sz w:val="20"/>
                <w:szCs w:val="20"/>
              </w:rPr>
            </w:pPr>
            <w:r w:rsidRPr="008364B9">
              <w:rPr>
                <w:rFonts w:cs="Arial"/>
                <w:b/>
                <w:sz w:val="20"/>
                <w:szCs w:val="20"/>
              </w:rPr>
              <w:t>Section 303AA Conditions relating to accreditation of plans, regimes and policies</w:t>
            </w:r>
          </w:p>
        </w:tc>
        <w:tc>
          <w:tcPr>
            <w:tcW w:w="2500" w:type="pct"/>
            <w:shd w:val="clear" w:color="auto" w:fill="D9D9D9" w:themeFill="background1" w:themeFillShade="D9"/>
          </w:tcPr>
          <w:p w14:paraId="40C2326F" w14:textId="77777777" w:rsidR="00F10B2F" w:rsidRPr="008364B9" w:rsidRDefault="00F10B2F" w:rsidP="004E2C8E">
            <w:pPr>
              <w:spacing w:before="60" w:after="60" w:line="240" w:lineRule="auto"/>
              <w:rPr>
                <w:rFonts w:cs="Arial"/>
                <w:b/>
                <w:sz w:val="20"/>
                <w:szCs w:val="20"/>
              </w:rPr>
            </w:pPr>
            <w:r w:rsidRPr="008364B9">
              <w:rPr>
                <w:rFonts w:cs="Arial"/>
                <w:b/>
                <w:sz w:val="20"/>
                <w:szCs w:val="20"/>
              </w:rPr>
              <w:t>Comment</w:t>
            </w:r>
          </w:p>
        </w:tc>
      </w:tr>
      <w:tr w:rsidR="00F10B2F" w:rsidRPr="008364B9" w14:paraId="22002288" w14:textId="77777777" w:rsidTr="004E2C8E">
        <w:trPr>
          <w:cnfStyle w:val="000000100000" w:firstRow="0" w:lastRow="0" w:firstColumn="0" w:lastColumn="0" w:oddVBand="0" w:evenVBand="0" w:oddHBand="1" w:evenHBand="0" w:firstRowFirstColumn="0" w:firstRowLastColumn="0" w:lastRowFirstColumn="0" w:lastRowLastColumn="0"/>
          <w:trHeight w:val="2560"/>
        </w:trPr>
        <w:tc>
          <w:tcPr>
            <w:tcW w:w="2500" w:type="pct"/>
            <w:shd w:val="clear" w:color="auto" w:fill="auto"/>
          </w:tcPr>
          <w:p w14:paraId="588382B9" w14:textId="77777777" w:rsidR="00F10B2F" w:rsidRPr="008F5532" w:rsidRDefault="00F10B2F" w:rsidP="004E2C8E">
            <w:pPr>
              <w:pStyle w:val="ListNumber"/>
              <w:rPr>
                <w:sz w:val="20"/>
                <w:szCs w:val="20"/>
              </w:rPr>
            </w:pPr>
            <w:r w:rsidRPr="008F5532">
              <w:rPr>
                <w:sz w:val="20"/>
                <w:szCs w:val="20"/>
              </w:rPr>
              <w:lastRenderedPageBreak/>
              <w:t>(1)</w:t>
            </w:r>
            <w:r w:rsidRPr="008F5532">
              <w:rPr>
                <w:sz w:val="20"/>
                <w:szCs w:val="20"/>
              </w:rPr>
              <w:tab/>
              <w:t>This section applies to an accreditation of a plan, regime or policy under section 208A, 222A, 245 or 265.</w:t>
            </w:r>
          </w:p>
          <w:p w14:paraId="483AEA1E" w14:textId="77777777" w:rsidR="00F10B2F" w:rsidRPr="008F5532" w:rsidRDefault="00F10B2F" w:rsidP="004E2C8E">
            <w:pPr>
              <w:pStyle w:val="ListNumber"/>
              <w:rPr>
                <w:sz w:val="20"/>
                <w:szCs w:val="20"/>
              </w:rPr>
            </w:pPr>
            <w:r w:rsidRPr="008F5532">
              <w:rPr>
                <w:sz w:val="20"/>
                <w:szCs w:val="20"/>
              </w:rPr>
              <w:t>(2)</w:t>
            </w:r>
            <w:r w:rsidRPr="008F5532">
              <w:rPr>
                <w:sz w:val="20"/>
                <w:szCs w:val="20"/>
              </w:rPr>
              <w:tab/>
              <w:t>The Minister may accredit a plan, regime or policy under that section even though he or she considers that the plan, regime or policy should be accredited only:</w:t>
            </w:r>
          </w:p>
          <w:p w14:paraId="173464DB" w14:textId="77777777" w:rsidR="00F10B2F" w:rsidRPr="008F5532" w:rsidRDefault="00F10B2F" w:rsidP="004E2C8E">
            <w:pPr>
              <w:pStyle w:val="ListNumber2"/>
              <w:rPr>
                <w:sz w:val="20"/>
                <w:szCs w:val="20"/>
              </w:rPr>
            </w:pPr>
            <w:r w:rsidRPr="008F5532">
              <w:rPr>
                <w:sz w:val="20"/>
                <w:szCs w:val="20"/>
              </w:rPr>
              <w:t>(a)</w:t>
            </w:r>
            <w:r w:rsidRPr="008F5532">
              <w:rPr>
                <w:sz w:val="20"/>
                <w:szCs w:val="20"/>
              </w:rPr>
              <w:tab/>
              <w:t>during a particular period; or</w:t>
            </w:r>
          </w:p>
          <w:p w14:paraId="500DE4DF" w14:textId="77777777" w:rsidR="00F10B2F" w:rsidRPr="008F5532" w:rsidRDefault="00F10B2F" w:rsidP="004E2C8E">
            <w:pPr>
              <w:pStyle w:val="ListNumber2"/>
              <w:rPr>
                <w:sz w:val="20"/>
                <w:szCs w:val="20"/>
              </w:rPr>
            </w:pPr>
            <w:r w:rsidRPr="008F5532">
              <w:rPr>
                <w:sz w:val="20"/>
                <w:szCs w:val="20"/>
              </w:rPr>
              <w:t>(b)</w:t>
            </w:r>
            <w:r w:rsidRPr="008F5532">
              <w:rPr>
                <w:sz w:val="20"/>
                <w:szCs w:val="20"/>
              </w:rPr>
              <w:tab/>
              <w:t>while certain circumstances exist; or</w:t>
            </w:r>
          </w:p>
          <w:p w14:paraId="40122B82" w14:textId="77777777" w:rsidR="00F10B2F" w:rsidRPr="008F5532" w:rsidRDefault="00F10B2F" w:rsidP="004E2C8E">
            <w:pPr>
              <w:pStyle w:val="ListNumber2"/>
              <w:rPr>
                <w:sz w:val="20"/>
                <w:szCs w:val="20"/>
              </w:rPr>
            </w:pPr>
            <w:r w:rsidRPr="008F5532">
              <w:rPr>
                <w:sz w:val="20"/>
                <w:szCs w:val="20"/>
              </w:rPr>
              <w:t>(c)</w:t>
            </w:r>
            <w:r w:rsidRPr="008F5532">
              <w:rPr>
                <w:sz w:val="20"/>
                <w:szCs w:val="20"/>
              </w:rPr>
              <w:tab/>
            </w:r>
            <w:proofErr w:type="gramStart"/>
            <w:r w:rsidRPr="008F5532">
              <w:rPr>
                <w:sz w:val="20"/>
                <w:szCs w:val="20"/>
              </w:rPr>
              <w:t>while</w:t>
            </w:r>
            <w:proofErr w:type="gramEnd"/>
            <w:r w:rsidRPr="008F5532">
              <w:rPr>
                <w:sz w:val="20"/>
                <w:szCs w:val="20"/>
              </w:rPr>
              <w:t xml:space="preserve"> a certain condition is complied with.</w:t>
            </w:r>
          </w:p>
          <w:p w14:paraId="141BF4AB" w14:textId="77777777" w:rsidR="00F10B2F" w:rsidRPr="008F5532" w:rsidRDefault="00F10B2F" w:rsidP="004E2C8E">
            <w:pPr>
              <w:spacing w:before="60" w:after="60" w:line="240" w:lineRule="auto"/>
              <w:rPr>
                <w:rFonts w:cs="Arial"/>
                <w:sz w:val="20"/>
                <w:szCs w:val="20"/>
              </w:rPr>
            </w:pPr>
            <w:r w:rsidRPr="008F5532">
              <w:rPr>
                <w:rFonts w:cs="Arial"/>
                <w:sz w:val="20"/>
                <w:szCs w:val="20"/>
              </w:rPr>
              <w:t>In such a case, the instrument of accreditation is to specify the period, circumstances or condition.</w:t>
            </w:r>
          </w:p>
        </w:tc>
        <w:tc>
          <w:tcPr>
            <w:tcW w:w="2500" w:type="pct"/>
            <w:shd w:val="clear" w:color="auto" w:fill="92D050"/>
          </w:tcPr>
          <w:p w14:paraId="0F8600D1" w14:textId="77777777" w:rsidR="00F10B2F" w:rsidRPr="008F5532" w:rsidRDefault="00F10B2F" w:rsidP="004E2C8E">
            <w:pPr>
              <w:spacing w:before="60" w:after="60" w:line="240" w:lineRule="auto"/>
              <w:rPr>
                <w:rFonts w:cs="Arial"/>
                <w:sz w:val="20"/>
                <w:szCs w:val="20"/>
              </w:rPr>
            </w:pPr>
            <w:r w:rsidRPr="008F5532">
              <w:rPr>
                <w:rFonts w:cs="Arial"/>
                <w:b/>
                <w:sz w:val="20"/>
                <w:szCs w:val="20"/>
              </w:rPr>
              <w:t>Accreditation is recommended for the management regime, under section 245 of the EPBC Act. No specific period, circumstances or conditions required.</w:t>
            </w:r>
          </w:p>
          <w:p w14:paraId="22DA0A59" w14:textId="77777777" w:rsidR="00F10B2F" w:rsidRPr="008F5532" w:rsidRDefault="00F10B2F" w:rsidP="004E2C8E">
            <w:pPr>
              <w:spacing w:before="60" w:after="60" w:line="240" w:lineRule="auto"/>
              <w:rPr>
                <w:rFonts w:cs="Arial"/>
                <w:sz w:val="20"/>
                <w:szCs w:val="20"/>
              </w:rPr>
            </w:pPr>
          </w:p>
          <w:p w14:paraId="21CBC98E" w14:textId="684E3C0B" w:rsidR="00F10B2F" w:rsidRPr="008F5532" w:rsidRDefault="00F10B2F" w:rsidP="004E2C8E">
            <w:pPr>
              <w:spacing w:before="60" w:after="60" w:line="240" w:lineRule="auto"/>
              <w:rPr>
                <w:rFonts w:cs="Arial"/>
                <w:sz w:val="20"/>
                <w:szCs w:val="20"/>
              </w:rPr>
            </w:pPr>
            <w:r w:rsidRPr="008F5532">
              <w:rPr>
                <w:rFonts w:cs="Arial"/>
                <w:sz w:val="20"/>
                <w:szCs w:val="20"/>
              </w:rPr>
              <w:t xml:space="preserve">Accreditation is not applicable under sections 208A, 222A and 265 of the EPBC Act as these sections do not apply outside Australia’s exclusive economic zone (i.e. not applicable to </w:t>
            </w:r>
            <w:r w:rsidR="00073DDD">
              <w:rPr>
                <w:rFonts w:cs="Arial"/>
                <w:sz w:val="20"/>
                <w:szCs w:val="20"/>
              </w:rPr>
              <w:t xml:space="preserve">Australia’s </w:t>
            </w:r>
            <w:r w:rsidR="00073DDD" w:rsidRPr="008F5532">
              <w:rPr>
                <w:rFonts w:cs="Arial"/>
                <w:sz w:val="20"/>
                <w:szCs w:val="20"/>
              </w:rPr>
              <w:t xml:space="preserve">High Seas </w:t>
            </w:r>
            <w:r w:rsidR="00073DDD">
              <w:rPr>
                <w:rFonts w:cs="Arial"/>
                <w:sz w:val="20"/>
                <w:szCs w:val="20"/>
              </w:rPr>
              <w:t>Permits</w:t>
            </w:r>
            <w:r w:rsidRPr="008F5532">
              <w:rPr>
                <w:rFonts w:cs="Arial"/>
                <w:sz w:val="20"/>
                <w:szCs w:val="20"/>
              </w:rPr>
              <w:t>).</w:t>
            </w:r>
          </w:p>
        </w:tc>
      </w:tr>
      <w:tr w:rsidR="00F10B2F" w:rsidRPr="008364B9" w14:paraId="3A89D943" w14:textId="77777777" w:rsidTr="004E2C8E">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7A397BFE" w14:textId="77777777" w:rsidR="00F10B2F" w:rsidRPr="008F5532" w:rsidRDefault="00F10B2F" w:rsidP="004E2C8E">
            <w:pPr>
              <w:pStyle w:val="ListNumber"/>
              <w:rPr>
                <w:sz w:val="20"/>
                <w:szCs w:val="20"/>
              </w:rPr>
            </w:pPr>
            <w:r w:rsidRPr="008F5532">
              <w:rPr>
                <w:sz w:val="20"/>
                <w:szCs w:val="20"/>
              </w:rPr>
              <w:t>(7)</w:t>
            </w:r>
            <w:r w:rsidRPr="008F5532">
              <w:rPr>
                <w:sz w:val="20"/>
                <w:szCs w:val="20"/>
              </w:rPr>
              <w:tab/>
              <w:t>The Minister must, in writing, revoke an accreditation if he or she is satisfied that a condition of the accreditation has been contravened.</w:t>
            </w:r>
          </w:p>
        </w:tc>
        <w:tc>
          <w:tcPr>
            <w:tcW w:w="2500" w:type="pct"/>
            <w:shd w:val="clear" w:color="auto" w:fill="auto"/>
          </w:tcPr>
          <w:p w14:paraId="0A56AF25" w14:textId="77777777" w:rsidR="00F10B2F" w:rsidRPr="008F5532" w:rsidRDefault="00F10B2F" w:rsidP="004E2C8E">
            <w:pPr>
              <w:spacing w:before="60" w:after="60" w:line="240" w:lineRule="auto"/>
              <w:rPr>
                <w:rFonts w:cs="Arial"/>
                <w:b/>
                <w:sz w:val="20"/>
                <w:szCs w:val="20"/>
              </w:rPr>
            </w:pPr>
            <w:r w:rsidRPr="008F5532">
              <w:rPr>
                <w:rFonts w:cs="Arial"/>
                <w:b/>
                <w:sz w:val="20"/>
                <w:szCs w:val="20"/>
              </w:rPr>
              <w:t>Not applicable</w:t>
            </w:r>
          </w:p>
        </w:tc>
      </w:tr>
    </w:tbl>
    <w:p w14:paraId="105E9217" w14:textId="4847A669" w:rsidR="007F1ABC" w:rsidRPr="00F10B2F" w:rsidRDefault="007F1ABC" w:rsidP="00F10B2F"/>
    <w:p w14:paraId="7CF63A23" w14:textId="1321F90C" w:rsidR="009D5019" w:rsidRPr="00D40B13" w:rsidRDefault="009D5019" w:rsidP="009D5019">
      <w:pPr>
        <w:spacing w:after="0" w:line="240" w:lineRule="auto"/>
        <w:rPr>
          <w:rFonts w:cs="Arial"/>
          <w:b/>
        </w:rPr>
      </w:pPr>
      <w:r w:rsidRPr="00D40B13">
        <w:rPr>
          <w:rFonts w:cs="Arial"/>
          <w:b/>
        </w:rPr>
        <w:t>Part 13A</w:t>
      </w:r>
    </w:p>
    <w:tbl>
      <w:tblPr>
        <w:tblStyle w:val="TableGrid1"/>
        <w:tblW w:w="5000" w:type="pct"/>
        <w:tblLook w:val="04A0" w:firstRow="1" w:lastRow="0" w:firstColumn="1" w:lastColumn="0" w:noHBand="0" w:noVBand="1"/>
      </w:tblPr>
      <w:tblGrid>
        <w:gridCol w:w="7393"/>
        <w:gridCol w:w="7393"/>
      </w:tblGrid>
      <w:tr w:rsidR="00D40B13" w:rsidRPr="006F60BC" w14:paraId="3C655134" w14:textId="77777777" w:rsidTr="00807BB8">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tcPr>
          <w:p w14:paraId="0F5148DF" w14:textId="01036097" w:rsidR="00D40B13" w:rsidRPr="006F60BC" w:rsidRDefault="00D40B13" w:rsidP="00E91B0F">
            <w:pPr>
              <w:spacing w:before="60" w:after="60" w:line="240" w:lineRule="auto"/>
              <w:rPr>
                <w:rFonts w:cs="Arial"/>
                <w:b/>
                <w:sz w:val="20"/>
                <w:szCs w:val="20"/>
              </w:rPr>
            </w:pPr>
            <w:r w:rsidRPr="006F60BC">
              <w:rPr>
                <w:rFonts w:cs="Arial"/>
                <w:b/>
                <w:bCs/>
                <w:noProof/>
                <w:sz w:val="20"/>
                <w:szCs w:val="20"/>
              </w:rPr>
              <w:t>Section 303BA Objects of Part 13A</w:t>
            </w:r>
          </w:p>
        </w:tc>
      </w:tr>
      <w:tr w:rsidR="00D40B13" w:rsidRPr="006F60BC" w14:paraId="2C296CF2" w14:textId="77777777" w:rsidTr="00807BB8">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214AF701" w14:textId="48F00C58" w:rsidR="00227603" w:rsidRPr="008F5532" w:rsidRDefault="00A961C6" w:rsidP="00A961C6">
            <w:pPr>
              <w:pStyle w:val="ListNumber"/>
              <w:rPr>
                <w:sz w:val="20"/>
                <w:szCs w:val="20"/>
              </w:rPr>
            </w:pPr>
            <w:r w:rsidRPr="008F5532">
              <w:rPr>
                <w:sz w:val="20"/>
                <w:szCs w:val="20"/>
              </w:rPr>
              <w:t>(1)</w:t>
            </w:r>
            <w:r w:rsidRPr="008F5532">
              <w:rPr>
                <w:sz w:val="20"/>
                <w:szCs w:val="20"/>
              </w:rPr>
              <w:tab/>
              <w:t>The objects of this Part are as follows:</w:t>
            </w:r>
          </w:p>
          <w:p w14:paraId="53F2A16D" w14:textId="7F2BF5AB" w:rsidR="00227603" w:rsidRPr="008F5532" w:rsidRDefault="00625229" w:rsidP="00215FE3">
            <w:pPr>
              <w:pStyle w:val="ListNumber2"/>
              <w:rPr>
                <w:sz w:val="20"/>
                <w:szCs w:val="20"/>
              </w:rPr>
            </w:pPr>
            <w:r w:rsidRPr="008F5532">
              <w:rPr>
                <w:sz w:val="20"/>
                <w:szCs w:val="20"/>
              </w:rPr>
              <w:t>(a)</w:t>
            </w:r>
            <w:r w:rsidR="00A961C6" w:rsidRPr="008F5532">
              <w:rPr>
                <w:sz w:val="20"/>
                <w:szCs w:val="20"/>
              </w:rPr>
              <w:tab/>
            </w:r>
            <w:r w:rsidR="00227603" w:rsidRPr="008F5532">
              <w:rPr>
                <w:sz w:val="20"/>
                <w:szCs w:val="20"/>
              </w:rPr>
              <w:t>to ensure that Australia complies with its obligations under CITES and the Biodiversity Convention;</w:t>
            </w:r>
          </w:p>
          <w:p w14:paraId="1E27B80E" w14:textId="1B22B1A9" w:rsidR="00227603" w:rsidRPr="008F5532" w:rsidRDefault="00625229" w:rsidP="00215FE3">
            <w:pPr>
              <w:pStyle w:val="ListNumber2"/>
              <w:rPr>
                <w:sz w:val="20"/>
                <w:szCs w:val="20"/>
              </w:rPr>
            </w:pPr>
            <w:r w:rsidRPr="008F5532">
              <w:rPr>
                <w:sz w:val="20"/>
                <w:szCs w:val="20"/>
              </w:rPr>
              <w:t>(b)</w:t>
            </w:r>
            <w:r w:rsidR="00A961C6" w:rsidRPr="008F5532">
              <w:rPr>
                <w:sz w:val="20"/>
                <w:szCs w:val="20"/>
              </w:rPr>
              <w:tab/>
            </w:r>
            <w:r w:rsidR="00227603" w:rsidRPr="008F5532">
              <w:rPr>
                <w:sz w:val="20"/>
                <w:szCs w:val="20"/>
              </w:rPr>
              <w:t>to protect wildlife that may be adversely affected by trade;</w:t>
            </w:r>
          </w:p>
          <w:p w14:paraId="74CCA250" w14:textId="13E9C6DB" w:rsidR="00227603" w:rsidRPr="008F5532" w:rsidRDefault="00625229" w:rsidP="00215FE3">
            <w:pPr>
              <w:pStyle w:val="ListNumber2"/>
              <w:rPr>
                <w:sz w:val="20"/>
                <w:szCs w:val="20"/>
              </w:rPr>
            </w:pPr>
            <w:r w:rsidRPr="008F5532">
              <w:rPr>
                <w:sz w:val="20"/>
                <w:szCs w:val="20"/>
              </w:rPr>
              <w:t>(c)</w:t>
            </w:r>
            <w:r w:rsidR="00A961C6" w:rsidRPr="008F5532">
              <w:rPr>
                <w:sz w:val="20"/>
                <w:szCs w:val="20"/>
              </w:rPr>
              <w:tab/>
            </w:r>
            <w:r w:rsidR="00227603" w:rsidRPr="008F5532">
              <w:rPr>
                <w:sz w:val="20"/>
                <w:szCs w:val="20"/>
              </w:rPr>
              <w:t>to promote the conservation of biodiversity in Australia and other countries;</w:t>
            </w:r>
          </w:p>
          <w:p w14:paraId="697BBDDD" w14:textId="6AC6B2A9" w:rsidR="00227603" w:rsidRPr="008F5532" w:rsidRDefault="00625229" w:rsidP="00306B34">
            <w:pPr>
              <w:pStyle w:val="ListNumber2"/>
              <w:rPr>
                <w:sz w:val="20"/>
                <w:szCs w:val="20"/>
              </w:rPr>
            </w:pPr>
            <w:r w:rsidRPr="008F5532">
              <w:rPr>
                <w:sz w:val="20"/>
                <w:szCs w:val="20"/>
              </w:rPr>
              <w:t>(d)</w:t>
            </w:r>
            <w:r w:rsidR="00A961C6" w:rsidRPr="008F5532">
              <w:rPr>
                <w:sz w:val="20"/>
                <w:szCs w:val="20"/>
              </w:rPr>
              <w:tab/>
            </w:r>
            <w:r w:rsidR="00227603" w:rsidRPr="008F5532">
              <w:rPr>
                <w:sz w:val="20"/>
                <w:szCs w:val="20"/>
              </w:rPr>
              <w:t>to ensure that any commercial utilisation of Australian native wildlife for the purposes of export is managed in an ecologically sustainable way;</w:t>
            </w:r>
          </w:p>
          <w:p w14:paraId="4B2FA937" w14:textId="5D0D5A2B" w:rsidR="00227603" w:rsidRPr="008F5532" w:rsidRDefault="00625229" w:rsidP="00F9004A">
            <w:pPr>
              <w:pStyle w:val="ListNumber2"/>
              <w:rPr>
                <w:sz w:val="20"/>
                <w:szCs w:val="20"/>
              </w:rPr>
            </w:pPr>
            <w:r w:rsidRPr="008F5532">
              <w:rPr>
                <w:sz w:val="20"/>
                <w:szCs w:val="20"/>
              </w:rPr>
              <w:t>(e)</w:t>
            </w:r>
            <w:r w:rsidR="00A961C6" w:rsidRPr="008F5532">
              <w:rPr>
                <w:sz w:val="20"/>
                <w:szCs w:val="20"/>
              </w:rPr>
              <w:tab/>
            </w:r>
            <w:r w:rsidR="00227603" w:rsidRPr="008F5532">
              <w:rPr>
                <w:sz w:val="20"/>
                <w:szCs w:val="20"/>
              </w:rPr>
              <w:t>to promote the humane treatment of wildlife;</w:t>
            </w:r>
          </w:p>
          <w:p w14:paraId="6AD2A0DA" w14:textId="62626182" w:rsidR="00227603" w:rsidRPr="008F5532" w:rsidRDefault="00A961C6" w:rsidP="00F9004A">
            <w:pPr>
              <w:pStyle w:val="ListNumber2"/>
              <w:rPr>
                <w:sz w:val="20"/>
                <w:szCs w:val="20"/>
              </w:rPr>
            </w:pPr>
            <w:r w:rsidRPr="008F5532">
              <w:rPr>
                <w:sz w:val="20"/>
                <w:szCs w:val="20"/>
              </w:rPr>
              <w:t>(f)</w:t>
            </w:r>
            <w:r w:rsidRPr="008F5532">
              <w:rPr>
                <w:sz w:val="20"/>
                <w:szCs w:val="20"/>
              </w:rPr>
              <w:tab/>
            </w:r>
            <w:r w:rsidR="00227603" w:rsidRPr="008F5532">
              <w:rPr>
                <w:sz w:val="20"/>
                <w:szCs w:val="20"/>
              </w:rPr>
              <w:t>to ensure ethical conduct during any research associated with the utilisation of wildlife; and</w:t>
            </w:r>
          </w:p>
          <w:p w14:paraId="0FEDAD98" w14:textId="136AB00D" w:rsidR="00227603" w:rsidRPr="008F5532" w:rsidRDefault="00625229" w:rsidP="00A961C6">
            <w:pPr>
              <w:pStyle w:val="ListNumber2"/>
              <w:rPr>
                <w:sz w:val="20"/>
                <w:szCs w:val="20"/>
              </w:rPr>
            </w:pPr>
            <w:r w:rsidRPr="008F5532">
              <w:rPr>
                <w:sz w:val="20"/>
                <w:szCs w:val="20"/>
              </w:rPr>
              <w:t>(h)</w:t>
            </w:r>
            <w:r w:rsidR="00A961C6" w:rsidRPr="008F5532">
              <w:rPr>
                <w:sz w:val="20"/>
                <w:szCs w:val="20"/>
              </w:rPr>
              <w:tab/>
            </w:r>
            <w:proofErr w:type="gramStart"/>
            <w:r w:rsidR="00227603" w:rsidRPr="008F5532">
              <w:rPr>
                <w:sz w:val="20"/>
                <w:szCs w:val="20"/>
              </w:rPr>
              <w:t>to</w:t>
            </w:r>
            <w:proofErr w:type="gramEnd"/>
            <w:r w:rsidR="00227603" w:rsidRPr="008F5532">
              <w:rPr>
                <w:sz w:val="20"/>
                <w:szCs w:val="20"/>
              </w:rPr>
              <w:t xml:space="preserve"> ensure the precautionary principle is taken into account in making decisions relating to the utilisation of wildlife.</w:t>
            </w:r>
          </w:p>
        </w:tc>
      </w:tr>
      <w:tr w:rsidR="00D40B13" w:rsidRPr="006F60BC" w14:paraId="4624BC86"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22E737C0" w14:textId="4706CC4F" w:rsidR="00D40B13" w:rsidRPr="006F60BC" w:rsidRDefault="00D40B13" w:rsidP="00E91B0F">
            <w:pPr>
              <w:spacing w:before="60" w:after="60" w:line="240" w:lineRule="auto"/>
              <w:ind w:left="426" w:hanging="426"/>
              <w:rPr>
                <w:rFonts w:cs="Arial"/>
                <w:b/>
                <w:sz w:val="20"/>
                <w:szCs w:val="20"/>
              </w:rPr>
            </w:pPr>
            <w:r w:rsidRPr="006F60BC">
              <w:rPr>
                <w:rFonts w:cs="Arial"/>
                <w:b/>
                <w:sz w:val="20"/>
                <w:szCs w:val="20"/>
              </w:rPr>
              <w:t>Section 303 CG Minister may issue permits (CITES species)</w:t>
            </w:r>
          </w:p>
        </w:tc>
        <w:tc>
          <w:tcPr>
            <w:tcW w:w="2500" w:type="pct"/>
            <w:shd w:val="clear" w:color="auto" w:fill="D9D9D9" w:themeFill="background1" w:themeFillShade="D9"/>
          </w:tcPr>
          <w:p w14:paraId="1B527A26" w14:textId="7EE96AA8" w:rsidR="00D40B13" w:rsidRPr="006F60BC" w:rsidRDefault="00D40B13" w:rsidP="00E91B0F">
            <w:pPr>
              <w:spacing w:before="60" w:after="60" w:line="240" w:lineRule="auto"/>
              <w:rPr>
                <w:rFonts w:cs="Arial"/>
                <w:b/>
                <w:sz w:val="20"/>
                <w:szCs w:val="20"/>
              </w:rPr>
            </w:pPr>
            <w:r w:rsidRPr="006F60BC">
              <w:rPr>
                <w:rFonts w:cs="Arial"/>
                <w:b/>
                <w:sz w:val="20"/>
                <w:szCs w:val="20"/>
              </w:rPr>
              <w:t xml:space="preserve">Comment </w:t>
            </w:r>
          </w:p>
        </w:tc>
      </w:tr>
      <w:tr w:rsidR="00D40B13" w:rsidRPr="006F60BC" w14:paraId="6658FC4B"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34E2FBCB" w14:textId="3C165E9D" w:rsidR="00D40B13" w:rsidRPr="008F5532" w:rsidRDefault="00D40B13" w:rsidP="00215FE3">
            <w:pPr>
              <w:pStyle w:val="ListNumber"/>
              <w:rPr>
                <w:sz w:val="20"/>
                <w:szCs w:val="20"/>
              </w:rPr>
            </w:pPr>
            <w:r w:rsidRPr="008F5532">
              <w:rPr>
                <w:sz w:val="20"/>
                <w:szCs w:val="20"/>
              </w:rPr>
              <w:t>(3)</w:t>
            </w:r>
            <w:r w:rsidR="00A961C6" w:rsidRPr="008F5532">
              <w:rPr>
                <w:sz w:val="20"/>
                <w:szCs w:val="20"/>
              </w:rPr>
              <w:tab/>
            </w:r>
            <w:r w:rsidRPr="008F5532">
              <w:rPr>
                <w:sz w:val="20"/>
                <w:szCs w:val="20"/>
              </w:rPr>
              <w:t>The Minister must not issue a permit unless the Minister is satisfied that:</w:t>
            </w:r>
          </w:p>
          <w:p w14:paraId="415815ED" w14:textId="3C4D10A3" w:rsidR="00D40B13" w:rsidRPr="008F5532" w:rsidRDefault="00A961C6" w:rsidP="00215FE3">
            <w:pPr>
              <w:pStyle w:val="ListNumber2"/>
              <w:rPr>
                <w:sz w:val="20"/>
                <w:szCs w:val="20"/>
              </w:rPr>
            </w:pPr>
            <w:r w:rsidRPr="008F5532">
              <w:rPr>
                <w:sz w:val="20"/>
                <w:szCs w:val="20"/>
              </w:rPr>
              <w:t>(a)</w:t>
            </w:r>
            <w:r w:rsidR="00D40B13" w:rsidRPr="008F5532">
              <w:rPr>
                <w:sz w:val="20"/>
                <w:szCs w:val="20"/>
              </w:rPr>
              <w:tab/>
              <w:t>the action or actions specified in the permit will not be detrimental to, or contribute to trade which is detrimental to:</w:t>
            </w:r>
          </w:p>
          <w:p w14:paraId="62DB65E5" w14:textId="77777777" w:rsidR="00F10B2F" w:rsidRPr="008F5532" w:rsidRDefault="00111796" w:rsidP="001E6B54">
            <w:pPr>
              <w:pStyle w:val="ListNumber3"/>
              <w:rPr>
                <w:sz w:val="20"/>
                <w:szCs w:val="20"/>
              </w:rPr>
            </w:pPr>
            <w:r w:rsidRPr="008F5532">
              <w:rPr>
                <w:sz w:val="20"/>
                <w:szCs w:val="20"/>
              </w:rPr>
              <w:t>(</w:t>
            </w:r>
            <w:proofErr w:type="spellStart"/>
            <w:r w:rsidRPr="008F5532">
              <w:rPr>
                <w:sz w:val="20"/>
                <w:szCs w:val="20"/>
              </w:rPr>
              <w:t>i</w:t>
            </w:r>
            <w:proofErr w:type="spellEnd"/>
            <w:r w:rsidRPr="008F5532">
              <w:rPr>
                <w:sz w:val="20"/>
                <w:szCs w:val="20"/>
              </w:rPr>
              <w:t>)</w:t>
            </w:r>
            <w:r w:rsidRPr="008F5532">
              <w:rPr>
                <w:sz w:val="20"/>
                <w:szCs w:val="20"/>
              </w:rPr>
              <w:tab/>
              <w:t>the survival of any taxon to whic</w:t>
            </w:r>
            <w:r w:rsidR="001E6B54" w:rsidRPr="008F5532">
              <w:rPr>
                <w:sz w:val="20"/>
                <w:szCs w:val="20"/>
              </w:rPr>
              <w:t>h the specimen belongs; or</w:t>
            </w:r>
          </w:p>
          <w:p w14:paraId="57BDC803" w14:textId="77777777" w:rsidR="00F10B2F" w:rsidRPr="008F5532" w:rsidRDefault="00F10B2F" w:rsidP="001E6B54">
            <w:pPr>
              <w:pStyle w:val="ListNumber3"/>
              <w:rPr>
                <w:sz w:val="20"/>
                <w:szCs w:val="20"/>
              </w:rPr>
            </w:pPr>
            <w:r w:rsidRPr="008F5532">
              <w:rPr>
                <w:sz w:val="20"/>
                <w:szCs w:val="20"/>
              </w:rPr>
              <w:t>(ii)</w:t>
            </w:r>
            <w:r w:rsidRPr="008F5532">
              <w:rPr>
                <w:sz w:val="20"/>
                <w:szCs w:val="20"/>
              </w:rPr>
              <w:tab/>
              <w:t>the recovery in nature of any taxon to which the specimen belongs; or</w:t>
            </w:r>
          </w:p>
          <w:p w14:paraId="5A0FB4C6" w14:textId="4582771C" w:rsidR="00807BB8" w:rsidRPr="008F5532" w:rsidRDefault="00F10B2F" w:rsidP="00BB311C">
            <w:pPr>
              <w:pStyle w:val="ListNumber3"/>
              <w:rPr>
                <w:sz w:val="20"/>
                <w:szCs w:val="20"/>
              </w:rPr>
            </w:pPr>
            <w:r w:rsidRPr="008F5532">
              <w:rPr>
                <w:sz w:val="20"/>
                <w:szCs w:val="20"/>
              </w:rPr>
              <w:t>(iii)</w:t>
            </w:r>
            <w:r w:rsidRPr="008F5532">
              <w:rPr>
                <w:sz w:val="20"/>
                <w:szCs w:val="20"/>
              </w:rPr>
              <w:tab/>
              <w:t xml:space="preserve">any relevant ecosystem (for example, detriment to habitat or biodiversity); </w:t>
            </w:r>
          </w:p>
        </w:tc>
        <w:tc>
          <w:tcPr>
            <w:tcW w:w="2500" w:type="pct"/>
          </w:tcPr>
          <w:p w14:paraId="1F805FD0" w14:textId="392054B9" w:rsidR="00C35389" w:rsidRPr="008F5532" w:rsidRDefault="00056E19" w:rsidP="00C35389">
            <w:pPr>
              <w:spacing w:before="60" w:after="60" w:line="240" w:lineRule="auto"/>
              <w:rPr>
                <w:rFonts w:cs="Arial"/>
                <w:sz w:val="20"/>
                <w:szCs w:val="20"/>
              </w:rPr>
            </w:pPr>
            <w:r w:rsidRPr="008F5532">
              <w:rPr>
                <w:rFonts w:cs="Arial"/>
                <w:b/>
                <w:sz w:val="20"/>
                <w:szCs w:val="20"/>
              </w:rPr>
              <w:t>N</w:t>
            </w:r>
            <w:r w:rsidR="00324BF4" w:rsidRPr="008F5532">
              <w:rPr>
                <w:rFonts w:cs="Arial"/>
                <w:b/>
                <w:sz w:val="20"/>
                <w:szCs w:val="20"/>
              </w:rPr>
              <w:t>ot applicable</w:t>
            </w:r>
          </w:p>
          <w:p w14:paraId="2796FC47" w14:textId="1AE8845C" w:rsidR="00056E19" w:rsidRPr="008F5532" w:rsidRDefault="00056E19" w:rsidP="00C35389">
            <w:pPr>
              <w:spacing w:before="60" w:after="60" w:line="240" w:lineRule="auto"/>
              <w:rPr>
                <w:rFonts w:cs="Arial"/>
                <w:sz w:val="20"/>
                <w:szCs w:val="20"/>
              </w:rPr>
            </w:pPr>
            <w:r w:rsidRPr="008F5532">
              <w:rPr>
                <w:rFonts w:cs="Arial"/>
                <w:sz w:val="20"/>
                <w:szCs w:val="20"/>
              </w:rPr>
              <w:t>The fishery does not harvest species listed under</w:t>
            </w:r>
            <w:r w:rsidR="002D58F2" w:rsidRPr="008F5532">
              <w:rPr>
                <w:rFonts w:cs="Arial"/>
                <w:sz w:val="20"/>
                <w:szCs w:val="20"/>
              </w:rPr>
              <w:t xml:space="preserve"> CITES.</w:t>
            </w:r>
          </w:p>
        </w:tc>
      </w:tr>
      <w:tr w:rsidR="00570FD7" w:rsidRPr="006F60BC" w14:paraId="0D1C3131" w14:textId="77777777" w:rsidTr="00515702">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3D681F6F" w14:textId="0132D7AC" w:rsidR="00570FD7" w:rsidRPr="006F60BC" w:rsidRDefault="00570FD7" w:rsidP="00515702">
            <w:pPr>
              <w:spacing w:before="60" w:after="60" w:line="240" w:lineRule="auto"/>
              <w:ind w:left="426" w:hanging="426"/>
              <w:rPr>
                <w:rFonts w:cs="Arial"/>
                <w:b/>
                <w:sz w:val="20"/>
                <w:szCs w:val="20"/>
              </w:rPr>
            </w:pPr>
            <w:r w:rsidRPr="006F60BC">
              <w:rPr>
                <w:rFonts w:cs="Arial"/>
                <w:b/>
                <w:sz w:val="20"/>
                <w:szCs w:val="20"/>
              </w:rPr>
              <w:t>Section 303DC Minister may amend list (non CITES species)</w:t>
            </w:r>
          </w:p>
        </w:tc>
        <w:tc>
          <w:tcPr>
            <w:tcW w:w="2500" w:type="pct"/>
            <w:shd w:val="clear" w:color="auto" w:fill="D9D9D9" w:themeFill="background1" w:themeFillShade="D9"/>
          </w:tcPr>
          <w:p w14:paraId="5E8AC7B4" w14:textId="77777777" w:rsidR="00570FD7" w:rsidRPr="006F60BC" w:rsidRDefault="00570FD7" w:rsidP="00515702">
            <w:pPr>
              <w:spacing w:before="60" w:after="60" w:line="240" w:lineRule="auto"/>
              <w:rPr>
                <w:rFonts w:cs="Arial"/>
                <w:b/>
                <w:sz w:val="20"/>
                <w:szCs w:val="20"/>
              </w:rPr>
            </w:pPr>
            <w:r w:rsidRPr="006F60BC">
              <w:rPr>
                <w:rFonts w:cs="Arial"/>
                <w:b/>
                <w:sz w:val="20"/>
                <w:szCs w:val="20"/>
              </w:rPr>
              <w:t xml:space="preserve">Comment </w:t>
            </w:r>
          </w:p>
        </w:tc>
      </w:tr>
      <w:tr w:rsidR="00570FD7" w:rsidRPr="006F60BC" w14:paraId="4C0A5AB2" w14:textId="77777777" w:rsidTr="00515702">
        <w:trPr>
          <w:cnfStyle w:val="000000100000" w:firstRow="0" w:lastRow="0" w:firstColumn="0" w:lastColumn="0" w:oddVBand="0" w:evenVBand="0" w:oddHBand="1" w:evenHBand="0" w:firstRowFirstColumn="0" w:firstRowLastColumn="0" w:lastRowFirstColumn="0" w:lastRowLastColumn="0"/>
        </w:trPr>
        <w:tc>
          <w:tcPr>
            <w:tcW w:w="2500" w:type="pct"/>
          </w:tcPr>
          <w:p w14:paraId="0D97CE64" w14:textId="77777777" w:rsidR="00570FD7" w:rsidRPr="008F5532" w:rsidRDefault="00570FD7" w:rsidP="00515702">
            <w:pPr>
              <w:pStyle w:val="ListNumber"/>
              <w:rPr>
                <w:sz w:val="20"/>
                <w:szCs w:val="20"/>
              </w:rPr>
            </w:pPr>
            <w:r w:rsidRPr="008F5532">
              <w:rPr>
                <w:sz w:val="20"/>
                <w:szCs w:val="20"/>
              </w:rPr>
              <w:lastRenderedPageBreak/>
              <w:t>(1)</w:t>
            </w:r>
            <w:r w:rsidRPr="008F5532">
              <w:rPr>
                <w:sz w:val="20"/>
                <w:szCs w:val="20"/>
              </w:rPr>
              <w:tab/>
            </w:r>
            <w:r w:rsidRPr="008F5532">
              <w:rPr>
                <w:sz w:val="20"/>
                <w:szCs w:val="20"/>
              </w:rPr>
              <w:tab/>
              <w:t>The Minister may, by legislative instrument, amend the list referred to in section 303DB [list of exempt native specimens] by:</w:t>
            </w:r>
          </w:p>
          <w:p w14:paraId="13D57E8A" w14:textId="77777777" w:rsidR="00570FD7" w:rsidRPr="008F5532" w:rsidRDefault="00570FD7" w:rsidP="00515702">
            <w:pPr>
              <w:pStyle w:val="ListNumber2"/>
              <w:rPr>
                <w:sz w:val="20"/>
                <w:szCs w:val="20"/>
              </w:rPr>
            </w:pPr>
            <w:r w:rsidRPr="008F5532">
              <w:rPr>
                <w:sz w:val="20"/>
                <w:szCs w:val="20"/>
              </w:rPr>
              <w:t>(a)</w:t>
            </w:r>
            <w:r w:rsidRPr="008F5532">
              <w:rPr>
                <w:sz w:val="20"/>
                <w:szCs w:val="20"/>
              </w:rPr>
              <w:tab/>
              <w:t>doing any of the following:</w:t>
            </w:r>
          </w:p>
          <w:p w14:paraId="00642E0E" w14:textId="77777777" w:rsidR="00570FD7" w:rsidRPr="008F5532" w:rsidRDefault="00570FD7" w:rsidP="00515702">
            <w:pPr>
              <w:pStyle w:val="ListNumber3"/>
              <w:rPr>
                <w:sz w:val="20"/>
                <w:szCs w:val="20"/>
              </w:rPr>
            </w:pPr>
            <w:r w:rsidRPr="008F5532">
              <w:rPr>
                <w:sz w:val="20"/>
                <w:szCs w:val="20"/>
              </w:rPr>
              <w:t>(</w:t>
            </w:r>
            <w:proofErr w:type="spellStart"/>
            <w:r w:rsidRPr="008F5532">
              <w:rPr>
                <w:sz w:val="20"/>
                <w:szCs w:val="20"/>
              </w:rPr>
              <w:t>i</w:t>
            </w:r>
            <w:proofErr w:type="spellEnd"/>
            <w:r w:rsidRPr="008F5532">
              <w:rPr>
                <w:sz w:val="20"/>
                <w:szCs w:val="20"/>
              </w:rPr>
              <w:t>)</w:t>
            </w:r>
            <w:r w:rsidRPr="008F5532">
              <w:rPr>
                <w:sz w:val="20"/>
                <w:szCs w:val="20"/>
              </w:rPr>
              <w:tab/>
              <w:t>including items in the list;</w:t>
            </w:r>
          </w:p>
          <w:p w14:paraId="1E479239" w14:textId="77777777" w:rsidR="00570FD7" w:rsidRPr="008F5532" w:rsidRDefault="00570FD7" w:rsidP="00515702">
            <w:pPr>
              <w:pStyle w:val="ListNumber3"/>
              <w:rPr>
                <w:sz w:val="20"/>
                <w:szCs w:val="20"/>
              </w:rPr>
            </w:pPr>
            <w:r w:rsidRPr="008F5532">
              <w:rPr>
                <w:sz w:val="20"/>
                <w:szCs w:val="20"/>
              </w:rPr>
              <w:t>(ii)</w:t>
            </w:r>
            <w:r w:rsidRPr="008F5532">
              <w:rPr>
                <w:sz w:val="20"/>
                <w:szCs w:val="20"/>
              </w:rPr>
              <w:tab/>
              <w:t>deleting items from the list;</w:t>
            </w:r>
          </w:p>
          <w:p w14:paraId="3AC164F5" w14:textId="77777777" w:rsidR="00570FD7" w:rsidRPr="008F5532" w:rsidRDefault="00570FD7" w:rsidP="00515702">
            <w:pPr>
              <w:pStyle w:val="ListNumber3"/>
              <w:rPr>
                <w:sz w:val="20"/>
                <w:szCs w:val="20"/>
              </w:rPr>
            </w:pPr>
            <w:r w:rsidRPr="008F5532">
              <w:rPr>
                <w:sz w:val="20"/>
                <w:szCs w:val="20"/>
              </w:rPr>
              <w:t>(iii)</w:t>
            </w:r>
            <w:r w:rsidRPr="008F5532">
              <w:rPr>
                <w:sz w:val="20"/>
                <w:szCs w:val="20"/>
              </w:rPr>
              <w:tab/>
              <w:t>imposing a condition or restriction to which the inclusion of a specimen in the list is subject;</w:t>
            </w:r>
          </w:p>
          <w:p w14:paraId="284AE179" w14:textId="77777777" w:rsidR="00570FD7" w:rsidRPr="008F5532" w:rsidRDefault="00570FD7" w:rsidP="00515702">
            <w:pPr>
              <w:pStyle w:val="ListNumber3"/>
              <w:rPr>
                <w:sz w:val="20"/>
                <w:szCs w:val="20"/>
              </w:rPr>
            </w:pPr>
            <w:r w:rsidRPr="008F5532">
              <w:rPr>
                <w:sz w:val="20"/>
                <w:szCs w:val="20"/>
              </w:rPr>
              <w:t>(iv)</w:t>
            </w:r>
            <w:r w:rsidRPr="008F5532">
              <w:rPr>
                <w:sz w:val="20"/>
                <w:szCs w:val="20"/>
              </w:rPr>
              <w:tab/>
              <w:t>varying or revoking a condition or restriction to which the inclusion of a specimen in the list is subject; or</w:t>
            </w:r>
          </w:p>
          <w:p w14:paraId="5BB8A9F5" w14:textId="77777777" w:rsidR="00570FD7" w:rsidRPr="008F5532" w:rsidRDefault="00570FD7" w:rsidP="00515702">
            <w:pPr>
              <w:pStyle w:val="ListNumber2"/>
              <w:rPr>
                <w:sz w:val="20"/>
                <w:szCs w:val="20"/>
              </w:rPr>
            </w:pPr>
            <w:r w:rsidRPr="008F5532">
              <w:rPr>
                <w:sz w:val="20"/>
                <w:szCs w:val="20"/>
              </w:rPr>
              <w:t>(b)</w:t>
            </w:r>
            <w:r w:rsidRPr="008F5532">
              <w:rPr>
                <w:sz w:val="20"/>
                <w:szCs w:val="20"/>
              </w:rPr>
              <w:tab/>
            </w:r>
            <w:proofErr w:type="gramStart"/>
            <w:r w:rsidRPr="008F5532">
              <w:rPr>
                <w:sz w:val="20"/>
                <w:szCs w:val="20"/>
              </w:rPr>
              <w:t>correcting</w:t>
            </w:r>
            <w:proofErr w:type="gramEnd"/>
            <w:r w:rsidRPr="008F5532">
              <w:rPr>
                <w:sz w:val="20"/>
                <w:szCs w:val="20"/>
              </w:rPr>
              <w:t xml:space="preserve"> an inaccuracy or updating the name of a species.</w:t>
            </w:r>
          </w:p>
        </w:tc>
        <w:tc>
          <w:tcPr>
            <w:tcW w:w="2500" w:type="pct"/>
            <w:shd w:val="clear" w:color="auto" w:fill="92D050"/>
          </w:tcPr>
          <w:p w14:paraId="26FC26FD" w14:textId="62F35352" w:rsidR="00301355" w:rsidRPr="007C7A38" w:rsidRDefault="00301355" w:rsidP="00301355">
            <w:pPr>
              <w:pStyle w:val="Default"/>
              <w:spacing w:before="60" w:after="60"/>
              <w:rPr>
                <w:rFonts w:ascii="Arial" w:hAnsi="Arial" w:cs="Arial"/>
                <w:color w:val="3366FF"/>
                <w:sz w:val="20"/>
                <w:szCs w:val="20"/>
              </w:rPr>
            </w:pPr>
            <w:r w:rsidRPr="007C7A38">
              <w:rPr>
                <w:rFonts w:ascii="Arial" w:hAnsi="Arial" w:cs="Arial"/>
                <w:sz w:val="20"/>
                <w:szCs w:val="20"/>
              </w:rPr>
              <w:t xml:space="preserve">The Department </w:t>
            </w:r>
            <w:r w:rsidRPr="007C7A38">
              <w:rPr>
                <w:rFonts w:ascii="Arial" w:hAnsi="Arial" w:cs="Arial"/>
                <w:b/>
                <w:sz w:val="20"/>
                <w:szCs w:val="20"/>
              </w:rPr>
              <w:t>recommends</w:t>
            </w:r>
            <w:r w:rsidRPr="007C7A38">
              <w:rPr>
                <w:rFonts w:ascii="Arial" w:hAnsi="Arial" w:cs="Arial"/>
                <w:sz w:val="20"/>
                <w:szCs w:val="20"/>
              </w:rPr>
              <w:t xml:space="preserve"> that specimens derived from species harvested </w:t>
            </w:r>
            <w:r w:rsidR="00073DDD">
              <w:rPr>
                <w:rFonts w:ascii="Arial" w:hAnsi="Arial" w:cs="Arial"/>
                <w:sz w:val="20"/>
                <w:szCs w:val="20"/>
              </w:rPr>
              <w:t>under</w:t>
            </w:r>
            <w:r w:rsidRPr="007C7A38">
              <w:rPr>
                <w:rFonts w:ascii="Arial" w:hAnsi="Arial" w:cs="Arial"/>
                <w:sz w:val="20"/>
                <w:szCs w:val="20"/>
              </w:rPr>
              <w:t xml:space="preserve"> </w:t>
            </w:r>
            <w:r w:rsidR="00AC5AB3">
              <w:rPr>
                <w:rFonts w:ascii="Arial" w:hAnsi="Arial" w:cs="Arial"/>
                <w:sz w:val="20"/>
                <w:szCs w:val="20"/>
              </w:rPr>
              <w:t xml:space="preserve">Australia’s </w:t>
            </w:r>
            <w:r>
              <w:rPr>
                <w:rFonts w:ascii="Arial" w:hAnsi="Arial" w:cs="Arial"/>
                <w:sz w:val="20"/>
                <w:szCs w:val="20"/>
              </w:rPr>
              <w:t xml:space="preserve">High Seas </w:t>
            </w:r>
            <w:r w:rsidR="00AC5AB3">
              <w:rPr>
                <w:rFonts w:ascii="Arial" w:hAnsi="Arial" w:cs="Arial"/>
                <w:sz w:val="20"/>
                <w:szCs w:val="20"/>
              </w:rPr>
              <w:t>Permits</w:t>
            </w:r>
            <w:r w:rsidRPr="007C7A38">
              <w:rPr>
                <w:rFonts w:ascii="Arial" w:hAnsi="Arial" w:cs="Arial"/>
                <w:color w:val="auto"/>
                <w:sz w:val="20"/>
                <w:szCs w:val="20"/>
              </w:rPr>
              <w:t>, but not including:</w:t>
            </w:r>
          </w:p>
          <w:p w14:paraId="32707B32" w14:textId="77777777" w:rsidR="00301355" w:rsidRPr="007C7A38" w:rsidRDefault="00301355" w:rsidP="00301355">
            <w:pPr>
              <w:pStyle w:val="ListParagraph"/>
              <w:numPr>
                <w:ilvl w:val="0"/>
                <w:numId w:val="46"/>
              </w:numPr>
              <w:tabs>
                <w:tab w:val="left" w:pos="1096"/>
              </w:tabs>
              <w:spacing w:before="60" w:after="60" w:line="240" w:lineRule="auto"/>
              <w:ind w:left="227" w:hanging="227"/>
              <w:rPr>
                <w:rFonts w:cs="Arial"/>
                <w:sz w:val="20"/>
                <w:szCs w:val="20"/>
              </w:rPr>
            </w:pPr>
            <w:r w:rsidRPr="007C7A38">
              <w:rPr>
                <w:rFonts w:cs="Arial"/>
                <w:sz w:val="20"/>
                <w:szCs w:val="20"/>
              </w:rPr>
              <w:t xml:space="preserve">specimens that belong to eligible listed threatened species, as defined under section 303BC of the EPBC Act, or </w:t>
            </w:r>
          </w:p>
          <w:p w14:paraId="20330B5A" w14:textId="2FEB435F" w:rsidR="00301355" w:rsidRPr="007C7A38" w:rsidRDefault="00301355" w:rsidP="00301355">
            <w:pPr>
              <w:pStyle w:val="ListParagraph"/>
              <w:numPr>
                <w:ilvl w:val="0"/>
                <w:numId w:val="46"/>
              </w:numPr>
              <w:tabs>
                <w:tab w:val="left" w:pos="1096"/>
              </w:tabs>
              <w:spacing w:before="60" w:after="60" w:line="240" w:lineRule="auto"/>
              <w:ind w:left="227" w:hanging="227"/>
              <w:rPr>
                <w:rFonts w:cs="Arial"/>
                <w:sz w:val="20"/>
                <w:szCs w:val="20"/>
              </w:rPr>
            </w:pPr>
            <w:r w:rsidRPr="007C7A38">
              <w:rPr>
                <w:rFonts w:cs="Arial"/>
                <w:sz w:val="20"/>
                <w:szCs w:val="20"/>
              </w:rPr>
              <w:t>specimens that belong to taxa listed under section 303CA of the EPBC Act (Australia’s CITES List)</w:t>
            </w:r>
            <w:r>
              <w:rPr>
                <w:rFonts w:cs="Arial"/>
                <w:sz w:val="20"/>
                <w:szCs w:val="20"/>
              </w:rPr>
              <w:t>,</w:t>
            </w:r>
          </w:p>
          <w:p w14:paraId="565D1563" w14:textId="4271479A" w:rsidR="00301355" w:rsidRPr="008F5532" w:rsidRDefault="00301355" w:rsidP="00301355">
            <w:pPr>
              <w:pStyle w:val="Default"/>
              <w:spacing w:before="60" w:after="60"/>
              <w:rPr>
                <w:rFonts w:ascii="Arial" w:hAnsi="Arial" w:cs="Arial"/>
                <w:sz w:val="20"/>
                <w:szCs w:val="20"/>
              </w:rPr>
            </w:pPr>
            <w:proofErr w:type="gramStart"/>
            <w:r w:rsidRPr="00B36B04">
              <w:rPr>
                <w:rFonts w:ascii="Arial" w:hAnsi="Arial" w:cs="Arial"/>
                <w:sz w:val="20"/>
                <w:szCs w:val="20"/>
              </w:rPr>
              <w:t>be</w:t>
            </w:r>
            <w:proofErr w:type="gramEnd"/>
            <w:r w:rsidRPr="00B36B04">
              <w:rPr>
                <w:rFonts w:ascii="Arial" w:hAnsi="Arial" w:cs="Arial"/>
                <w:sz w:val="20"/>
                <w:szCs w:val="20"/>
              </w:rPr>
              <w:t xml:space="preserve"> </w:t>
            </w:r>
            <w:r w:rsidRPr="00B36B04">
              <w:rPr>
                <w:rFonts w:ascii="Arial" w:hAnsi="Arial" w:cs="Arial"/>
                <w:color w:val="auto"/>
                <w:sz w:val="20"/>
                <w:szCs w:val="20"/>
              </w:rPr>
              <w:t>included</w:t>
            </w:r>
            <w:r w:rsidRPr="00D47226">
              <w:rPr>
                <w:rFonts w:ascii="Arial" w:hAnsi="Arial" w:cs="Arial"/>
                <w:color w:val="auto"/>
                <w:sz w:val="20"/>
                <w:szCs w:val="20"/>
              </w:rPr>
              <w:t xml:space="preserve"> in </w:t>
            </w:r>
            <w:r w:rsidRPr="00D47226">
              <w:rPr>
                <w:rFonts w:ascii="Arial" w:hAnsi="Arial" w:cs="Arial"/>
                <w:sz w:val="20"/>
                <w:szCs w:val="20"/>
              </w:rPr>
              <w:t>the list of exempt native specimens</w:t>
            </w:r>
            <w:r>
              <w:rPr>
                <w:rFonts w:ascii="Arial" w:hAnsi="Arial" w:cs="Arial"/>
                <w:sz w:val="20"/>
                <w:szCs w:val="20"/>
              </w:rPr>
              <w:t xml:space="preserve"> until 9 October 2026.</w:t>
            </w:r>
          </w:p>
        </w:tc>
      </w:tr>
      <w:tr w:rsidR="00570FD7" w:rsidRPr="006F60BC" w14:paraId="56A51A63" w14:textId="77777777" w:rsidTr="00515702">
        <w:trPr>
          <w:cnfStyle w:val="000000010000" w:firstRow="0" w:lastRow="0" w:firstColumn="0" w:lastColumn="0" w:oddVBand="0" w:evenVBand="0" w:oddHBand="0" w:evenHBand="1" w:firstRowFirstColumn="0" w:firstRowLastColumn="0" w:lastRowFirstColumn="0" w:lastRowLastColumn="0"/>
        </w:trPr>
        <w:tc>
          <w:tcPr>
            <w:tcW w:w="2500" w:type="pct"/>
          </w:tcPr>
          <w:p w14:paraId="44462F70" w14:textId="77777777" w:rsidR="00570FD7" w:rsidRPr="008F5532" w:rsidRDefault="00570FD7" w:rsidP="00515702">
            <w:pPr>
              <w:pStyle w:val="ListNumber"/>
              <w:rPr>
                <w:sz w:val="20"/>
                <w:szCs w:val="20"/>
              </w:rPr>
            </w:pPr>
            <w:r w:rsidRPr="008F5532">
              <w:rPr>
                <w:sz w:val="20"/>
                <w:szCs w:val="20"/>
              </w:rPr>
              <w:t>(1A)</w:t>
            </w:r>
            <w:r w:rsidRPr="008F5532">
              <w:rPr>
                <w:sz w:val="20"/>
                <w:szCs w:val="20"/>
              </w:rPr>
              <w:tab/>
              <w:t xml:space="preserve">In deciding to amend the LENS, the Minister must rely primarily on outcomes of Part 10, </w:t>
            </w:r>
            <w:proofErr w:type="spellStart"/>
            <w:r w:rsidRPr="008F5532">
              <w:rPr>
                <w:sz w:val="20"/>
                <w:szCs w:val="20"/>
              </w:rPr>
              <w:t>Div</w:t>
            </w:r>
            <w:proofErr w:type="spellEnd"/>
            <w:r w:rsidRPr="008F5532">
              <w:rPr>
                <w:sz w:val="20"/>
                <w:szCs w:val="20"/>
              </w:rPr>
              <w:t xml:space="preserve"> 1 or 2 assessment</w:t>
            </w:r>
          </w:p>
        </w:tc>
        <w:tc>
          <w:tcPr>
            <w:tcW w:w="2500" w:type="pct"/>
            <w:shd w:val="clear" w:color="auto" w:fill="auto"/>
          </w:tcPr>
          <w:p w14:paraId="5396AE2F" w14:textId="72726125" w:rsidR="00570FD7" w:rsidRPr="008F5532" w:rsidRDefault="00570FD7">
            <w:pPr>
              <w:spacing w:before="60" w:after="60" w:line="240" w:lineRule="auto"/>
              <w:rPr>
                <w:rFonts w:cs="Arial"/>
                <w:sz w:val="20"/>
                <w:szCs w:val="20"/>
              </w:rPr>
            </w:pPr>
            <w:r w:rsidRPr="006A2CAF">
              <w:rPr>
                <w:rFonts w:cs="Arial"/>
                <w:b/>
                <w:sz w:val="20"/>
                <w:szCs w:val="20"/>
              </w:rPr>
              <w:t>Does not meet</w:t>
            </w:r>
            <w:r w:rsidRPr="008F5532">
              <w:rPr>
                <w:rFonts w:cs="Arial"/>
                <w:b/>
                <w:sz w:val="20"/>
                <w:szCs w:val="20"/>
              </w:rPr>
              <w:t xml:space="preserve"> </w:t>
            </w:r>
            <w:r w:rsidRPr="008F5532">
              <w:rPr>
                <w:rFonts w:cs="Arial"/>
                <w:sz w:val="20"/>
                <w:szCs w:val="20"/>
              </w:rPr>
              <w:t xml:space="preserve">– </w:t>
            </w:r>
            <w:r w:rsidR="00CA56ED">
              <w:rPr>
                <w:rFonts w:cs="Arial"/>
                <w:sz w:val="20"/>
                <w:szCs w:val="20"/>
              </w:rPr>
              <w:t>No assessment of Australia’s High Seas Permits has been carried out under Part 10 of the EPBC Act</w:t>
            </w:r>
            <w:r w:rsidRPr="008F5532">
              <w:rPr>
                <w:rFonts w:cs="Arial"/>
                <w:sz w:val="20"/>
                <w:szCs w:val="20"/>
              </w:rPr>
              <w:t>.</w:t>
            </w:r>
          </w:p>
        </w:tc>
      </w:tr>
      <w:tr w:rsidR="00570FD7" w:rsidRPr="006F60BC" w14:paraId="5ECD8A27" w14:textId="77777777" w:rsidTr="00515702">
        <w:trPr>
          <w:cnfStyle w:val="000000100000" w:firstRow="0" w:lastRow="0" w:firstColumn="0" w:lastColumn="0" w:oddVBand="0" w:evenVBand="0" w:oddHBand="1" w:evenHBand="0" w:firstRowFirstColumn="0" w:firstRowLastColumn="0" w:lastRowFirstColumn="0" w:lastRowLastColumn="0"/>
        </w:trPr>
        <w:tc>
          <w:tcPr>
            <w:tcW w:w="2500" w:type="pct"/>
          </w:tcPr>
          <w:p w14:paraId="16F23596" w14:textId="77777777" w:rsidR="00570FD7" w:rsidRPr="008F5532" w:rsidRDefault="00570FD7" w:rsidP="00515702">
            <w:pPr>
              <w:pStyle w:val="ListNumber"/>
              <w:rPr>
                <w:sz w:val="20"/>
                <w:szCs w:val="20"/>
              </w:rPr>
            </w:pPr>
            <w:r w:rsidRPr="008F5532">
              <w:rPr>
                <w:sz w:val="20"/>
                <w:szCs w:val="20"/>
              </w:rPr>
              <w:t>(1C)</w:t>
            </w:r>
            <w:r w:rsidRPr="008F5532">
              <w:rPr>
                <w:sz w:val="20"/>
                <w:szCs w:val="20"/>
              </w:rPr>
              <w:tab/>
            </w:r>
            <w:proofErr w:type="gramStart"/>
            <w:r w:rsidRPr="008F5532">
              <w:rPr>
                <w:sz w:val="20"/>
                <w:szCs w:val="20"/>
              </w:rPr>
              <w:t>The</w:t>
            </w:r>
            <w:proofErr w:type="gramEnd"/>
            <w:r w:rsidRPr="008F5532">
              <w:rPr>
                <w:sz w:val="20"/>
                <w:szCs w:val="20"/>
              </w:rPr>
              <w:t xml:space="preserve"> above does not limit matters that may be considered when deciding to amend LENS.</w:t>
            </w:r>
          </w:p>
        </w:tc>
        <w:tc>
          <w:tcPr>
            <w:tcW w:w="2500" w:type="pct"/>
            <w:shd w:val="clear" w:color="auto" w:fill="92D050"/>
          </w:tcPr>
          <w:p w14:paraId="64FE8B5D" w14:textId="77777777" w:rsidR="00570FD7" w:rsidRPr="008F5532" w:rsidRDefault="00570FD7" w:rsidP="00515702">
            <w:pPr>
              <w:spacing w:before="60" w:after="60" w:line="240" w:lineRule="auto"/>
              <w:rPr>
                <w:rFonts w:cs="Arial"/>
                <w:sz w:val="20"/>
                <w:szCs w:val="20"/>
              </w:rPr>
            </w:pPr>
            <w:r w:rsidRPr="008F5532">
              <w:rPr>
                <w:rFonts w:cs="Arial"/>
                <w:b/>
                <w:sz w:val="20"/>
                <w:szCs w:val="20"/>
              </w:rPr>
              <w:t>Meets</w:t>
            </w:r>
          </w:p>
          <w:p w14:paraId="143560C1" w14:textId="77777777" w:rsidR="00570FD7" w:rsidRPr="008F5532" w:rsidRDefault="00570FD7" w:rsidP="00515702">
            <w:pPr>
              <w:spacing w:before="60" w:after="60" w:line="240" w:lineRule="auto"/>
              <w:rPr>
                <w:rFonts w:cs="Arial"/>
                <w:sz w:val="20"/>
                <w:szCs w:val="20"/>
              </w:rPr>
            </w:pPr>
            <w:r w:rsidRPr="008F5532">
              <w:rPr>
                <w:rFonts w:cs="Arial"/>
                <w:sz w:val="20"/>
                <w:szCs w:val="20"/>
              </w:rPr>
              <w:t>The Department considers that it has taken into account all matters relevant to making an informed decision to amend the list of exempt native specimens to include product taken in this fishery.</w:t>
            </w:r>
          </w:p>
        </w:tc>
      </w:tr>
      <w:tr w:rsidR="00570FD7" w:rsidRPr="006F60BC" w14:paraId="5D4D7C19" w14:textId="77777777" w:rsidTr="00515702">
        <w:trPr>
          <w:cnfStyle w:val="000000010000" w:firstRow="0" w:lastRow="0" w:firstColumn="0" w:lastColumn="0" w:oddVBand="0" w:evenVBand="0" w:oddHBand="0" w:evenHBand="1" w:firstRowFirstColumn="0" w:firstRowLastColumn="0" w:lastRowFirstColumn="0" w:lastRowLastColumn="0"/>
        </w:trPr>
        <w:tc>
          <w:tcPr>
            <w:tcW w:w="2500" w:type="pct"/>
          </w:tcPr>
          <w:p w14:paraId="0E39E34C" w14:textId="77777777" w:rsidR="00570FD7" w:rsidRPr="008F5532" w:rsidRDefault="00570FD7" w:rsidP="00515702">
            <w:pPr>
              <w:pStyle w:val="ListNumber"/>
              <w:rPr>
                <w:sz w:val="20"/>
                <w:szCs w:val="20"/>
              </w:rPr>
            </w:pPr>
            <w:r w:rsidRPr="008F5532">
              <w:rPr>
                <w:sz w:val="20"/>
                <w:szCs w:val="20"/>
              </w:rPr>
              <w:t>(3)</w:t>
            </w:r>
            <w:r w:rsidRPr="008F5532">
              <w:rPr>
                <w:sz w:val="20"/>
                <w:szCs w:val="20"/>
              </w:rPr>
              <w:tab/>
              <w:t>Before amending the LENS, the Minister must consult:</w:t>
            </w:r>
          </w:p>
          <w:p w14:paraId="5DD18804" w14:textId="77777777" w:rsidR="00570FD7" w:rsidRPr="008F5532" w:rsidRDefault="00570FD7" w:rsidP="00515702">
            <w:pPr>
              <w:pStyle w:val="ListNumber2"/>
              <w:rPr>
                <w:sz w:val="20"/>
                <w:szCs w:val="20"/>
              </w:rPr>
            </w:pPr>
            <w:r w:rsidRPr="008F5532">
              <w:rPr>
                <w:sz w:val="20"/>
                <w:szCs w:val="20"/>
              </w:rPr>
              <w:t>(a)</w:t>
            </w:r>
            <w:r w:rsidRPr="008F5532">
              <w:rPr>
                <w:sz w:val="20"/>
                <w:szCs w:val="20"/>
              </w:rPr>
              <w:tab/>
              <w:t>other Minister or Ministers as appropriate; and</w:t>
            </w:r>
          </w:p>
          <w:p w14:paraId="4A5BDE24" w14:textId="77777777" w:rsidR="00570FD7" w:rsidRPr="008F5532" w:rsidRDefault="00570FD7" w:rsidP="00515702">
            <w:pPr>
              <w:pStyle w:val="ListNumber2"/>
              <w:rPr>
                <w:sz w:val="20"/>
                <w:szCs w:val="20"/>
              </w:rPr>
            </w:pPr>
            <w:r w:rsidRPr="008F5532">
              <w:rPr>
                <w:sz w:val="20"/>
                <w:szCs w:val="20"/>
              </w:rPr>
              <w:t>(b)</w:t>
            </w:r>
            <w:r w:rsidRPr="008F5532">
              <w:rPr>
                <w:sz w:val="20"/>
                <w:szCs w:val="20"/>
              </w:rPr>
              <w:tab/>
              <w:t>other Minister or Ministers of each State and self-governing Territory as appropriate; and</w:t>
            </w:r>
          </w:p>
          <w:p w14:paraId="4165D901" w14:textId="77777777" w:rsidR="00570FD7" w:rsidRPr="008F5532" w:rsidRDefault="00570FD7" w:rsidP="00515702">
            <w:pPr>
              <w:pStyle w:val="ListNumber2"/>
              <w:rPr>
                <w:sz w:val="20"/>
                <w:szCs w:val="20"/>
              </w:rPr>
            </w:pPr>
            <w:r w:rsidRPr="008F5532">
              <w:rPr>
                <w:sz w:val="20"/>
                <w:szCs w:val="20"/>
              </w:rPr>
              <w:t>(c)</w:t>
            </w:r>
            <w:r w:rsidRPr="008F5532">
              <w:rPr>
                <w:sz w:val="20"/>
                <w:szCs w:val="20"/>
              </w:rPr>
              <w:tab/>
            </w:r>
            <w:proofErr w:type="gramStart"/>
            <w:r w:rsidRPr="008F5532">
              <w:rPr>
                <w:sz w:val="20"/>
                <w:szCs w:val="20"/>
              </w:rPr>
              <w:t>other</w:t>
            </w:r>
            <w:proofErr w:type="gramEnd"/>
            <w:r w:rsidRPr="008F5532">
              <w:rPr>
                <w:sz w:val="20"/>
                <w:szCs w:val="20"/>
              </w:rPr>
              <w:t xml:space="preserve"> persons and organisations as appropriate.</w:t>
            </w:r>
          </w:p>
        </w:tc>
        <w:tc>
          <w:tcPr>
            <w:tcW w:w="2500" w:type="pct"/>
            <w:shd w:val="clear" w:color="auto" w:fill="92D050"/>
          </w:tcPr>
          <w:p w14:paraId="7B42D19A" w14:textId="77777777" w:rsidR="00570FD7" w:rsidRPr="008F5532" w:rsidRDefault="00570FD7" w:rsidP="00515702">
            <w:pPr>
              <w:spacing w:before="60" w:after="60" w:line="240" w:lineRule="auto"/>
              <w:rPr>
                <w:rFonts w:cs="Arial"/>
                <w:sz w:val="20"/>
                <w:szCs w:val="20"/>
              </w:rPr>
            </w:pPr>
            <w:r w:rsidRPr="008F5532">
              <w:rPr>
                <w:rFonts w:cs="Arial"/>
                <w:b/>
                <w:sz w:val="20"/>
                <w:szCs w:val="20"/>
              </w:rPr>
              <w:t>Meets</w:t>
            </w:r>
          </w:p>
          <w:p w14:paraId="4D7003C5" w14:textId="77777777" w:rsidR="00570FD7" w:rsidRPr="008F5532" w:rsidRDefault="00570FD7" w:rsidP="00515702">
            <w:pPr>
              <w:spacing w:before="60" w:after="60" w:line="240" w:lineRule="auto"/>
              <w:rPr>
                <w:rFonts w:cs="Arial"/>
                <w:sz w:val="20"/>
                <w:szCs w:val="20"/>
              </w:rPr>
            </w:pPr>
            <w:r w:rsidRPr="008F5532">
              <w:rPr>
                <w:rFonts w:cs="Arial"/>
                <w:sz w:val="20"/>
                <w:szCs w:val="20"/>
              </w:rPr>
              <w:t xml:space="preserve">The submission from the Australian Fisheries Management Authority was made available on the </w:t>
            </w:r>
            <w:proofErr w:type="spellStart"/>
            <w:r w:rsidRPr="008F5532">
              <w:rPr>
                <w:rFonts w:cs="Arial"/>
                <w:sz w:val="20"/>
                <w:szCs w:val="20"/>
              </w:rPr>
              <w:t>DoEE</w:t>
            </w:r>
            <w:proofErr w:type="spellEnd"/>
            <w:r w:rsidRPr="008F5532">
              <w:rPr>
                <w:rFonts w:cs="Arial"/>
                <w:sz w:val="20"/>
                <w:szCs w:val="20"/>
              </w:rPr>
              <w:t xml:space="preserve"> website and registered interested parties were advised that comments were open from 14 February 2018 until 6 April 2018. </w:t>
            </w:r>
            <w:r w:rsidRPr="004263AE">
              <w:rPr>
                <w:rFonts w:cs="Arial"/>
                <w:sz w:val="20"/>
                <w:szCs w:val="20"/>
              </w:rPr>
              <w:t>No</w:t>
            </w:r>
            <w:r w:rsidRPr="008F5532">
              <w:rPr>
                <w:rFonts w:cs="Arial"/>
                <w:b/>
                <w:sz w:val="20"/>
                <w:szCs w:val="20"/>
              </w:rPr>
              <w:t xml:space="preserve"> </w:t>
            </w:r>
            <w:r w:rsidRPr="008F5532">
              <w:rPr>
                <w:rFonts w:cs="Arial"/>
                <w:sz w:val="20"/>
                <w:szCs w:val="20"/>
              </w:rPr>
              <w:t>comments received.</w:t>
            </w:r>
          </w:p>
        </w:tc>
      </w:tr>
    </w:tbl>
    <w:p w14:paraId="28DAF230" w14:textId="285F1819" w:rsidR="00F10B2F" w:rsidRDefault="00F10B2F"/>
    <w:p w14:paraId="14E9DF07" w14:textId="3DEA5804" w:rsidR="009F053A" w:rsidRPr="00D40B13" w:rsidRDefault="009F053A" w:rsidP="009F053A">
      <w:pPr>
        <w:spacing w:after="0" w:line="240" w:lineRule="auto"/>
        <w:rPr>
          <w:rFonts w:cs="Arial"/>
          <w:b/>
        </w:rPr>
      </w:pPr>
      <w:r w:rsidRPr="00D40B13">
        <w:rPr>
          <w:rFonts w:cs="Arial"/>
          <w:b/>
        </w:rPr>
        <w:t>Part 16</w:t>
      </w:r>
    </w:p>
    <w:tbl>
      <w:tblPr>
        <w:tblStyle w:val="TableGrid"/>
        <w:tblW w:w="5000" w:type="pct"/>
        <w:tblLook w:val="04A0" w:firstRow="1" w:lastRow="0" w:firstColumn="1" w:lastColumn="0" w:noHBand="0" w:noVBand="1"/>
      </w:tblPr>
      <w:tblGrid>
        <w:gridCol w:w="7393"/>
        <w:gridCol w:w="7393"/>
      </w:tblGrid>
      <w:tr w:rsidR="00227603" w:rsidRPr="00D95E5E" w14:paraId="3BE2E755"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6B1DC830" w14:textId="7492A6B0" w:rsidR="00227603" w:rsidRPr="00D95E5E" w:rsidRDefault="00227603" w:rsidP="00503A8B">
            <w:pPr>
              <w:ind w:left="426" w:hanging="426"/>
              <w:contextualSpacing/>
              <w:rPr>
                <w:rFonts w:cs="Arial"/>
                <w:b/>
                <w:sz w:val="20"/>
                <w:szCs w:val="20"/>
              </w:rPr>
            </w:pPr>
            <w:r w:rsidRPr="00D95E5E">
              <w:rPr>
                <w:rFonts w:cs="Arial"/>
                <w:b/>
                <w:sz w:val="20"/>
                <w:szCs w:val="20"/>
              </w:rPr>
              <w:t>Section 391 Minister must consider precautionary principle in making decisions</w:t>
            </w:r>
          </w:p>
        </w:tc>
        <w:tc>
          <w:tcPr>
            <w:tcW w:w="2500" w:type="pct"/>
            <w:shd w:val="clear" w:color="auto" w:fill="D9D9D9" w:themeFill="background1" w:themeFillShade="D9"/>
          </w:tcPr>
          <w:p w14:paraId="7095BF90" w14:textId="77777777" w:rsidR="00227603" w:rsidRPr="00D95E5E" w:rsidRDefault="00227603" w:rsidP="00503A8B">
            <w:pPr>
              <w:contextualSpacing/>
              <w:rPr>
                <w:rFonts w:cs="Arial"/>
                <w:b/>
                <w:sz w:val="20"/>
                <w:szCs w:val="20"/>
              </w:rPr>
            </w:pPr>
            <w:r w:rsidRPr="00D95E5E">
              <w:rPr>
                <w:rFonts w:cs="Arial"/>
                <w:b/>
                <w:sz w:val="20"/>
                <w:szCs w:val="20"/>
              </w:rPr>
              <w:t>Comment</w:t>
            </w:r>
          </w:p>
        </w:tc>
      </w:tr>
      <w:tr w:rsidR="00227603" w:rsidRPr="00D95E5E" w14:paraId="2C506DC9" w14:textId="77777777" w:rsidTr="00176A13">
        <w:trPr>
          <w:cnfStyle w:val="000000100000" w:firstRow="0" w:lastRow="0" w:firstColumn="0" w:lastColumn="0" w:oddVBand="0" w:evenVBand="0" w:oddHBand="1" w:evenHBand="0" w:firstRowFirstColumn="0" w:firstRowLastColumn="0" w:lastRowFirstColumn="0" w:lastRowLastColumn="0"/>
        </w:trPr>
        <w:tc>
          <w:tcPr>
            <w:tcW w:w="2500" w:type="pct"/>
          </w:tcPr>
          <w:p w14:paraId="3CA4F7CF" w14:textId="1AD57C1B" w:rsidR="00287189" w:rsidRPr="008F5532" w:rsidRDefault="00A961C6" w:rsidP="00215FE3">
            <w:pPr>
              <w:pStyle w:val="ListNumber"/>
              <w:rPr>
                <w:sz w:val="20"/>
                <w:szCs w:val="20"/>
              </w:rPr>
            </w:pPr>
            <w:r w:rsidRPr="008F5532">
              <w:rPr>
                <w:sz w:val="20"/>
                <w:szCs w:val="20"/>
              </w:rPr>
              <w:t>(1)</w:t>
            </w:r>
            <w:r w:rsidRPr="008F5532">
              <w:rPr>
                <w:sz w:val="20"/>
                <w:szCs w:val="20"/>
              </w:rPr>
              <w:tab/>
            </w:r>
            <w:r w:rsidR="00227603" w:rsidRPr="008F5532">
              <w:rPr>
                <w:sz w:val="20"/>
                <w:szCs w:val="20"/>
              </w:rPr>
              <w:t xml:space="preserve">Minister must take account of </w:t>
            </w:r>
            <w:r w:rsidR="00403196" w:rsidRPr="008F5532">
              <w:rPr>
                <w:sz w:val="20"/>
                <w:szCs w:val="20"/>
              </w:rPr>
              <w:t xml:space="preserve">the </w:t>
            </w:r>
            <w:r w:rsidR="00227603" w:rsidRPr="008F5532">
              <w:rPr>
                <w:sz w:val="20"/>
                <w:szCs w:val="20"/>
              </w:rPr>
              <w:t>precautionary principle</w:t>
            </w:r>
            <w:r w:rsidR="00403196" w:rsidRPr="008F5532">
              <w:rPr>
                <w:sz w:val="20"/>
                <w:szCs w:val="20"/>
              </w:rPr>
              <w:t xml:space="preserve"> in making a decision, to the extent that the decision is consistent with other provisions under this Act</w:t>
            </w:r>
            <w:r w:rsidR="00287189" w:rsidRPr="008F5532">
              <w:rPr>
                <w:sz w:val="20"/>
                <w:szCs w:val="20"/>
              </w:rPr>
              <w:t>.</w:t>
            </w:r>
          </w:p>
          <w:p w14:paraId="2AA9EF46" w14:textId="1F12E4E8" w:rsidR="00111796" w:rsidRPr="008F5532" w:rsidRDefault="00287189" w:rsidP="009772C5">
            <w:pPr>
              <w:pStyle w:val="ListNumber"/>
              <w:rPr>
                <w:sz w:val="20"/>
                <w:szCs w:val="20"/>
              </w:rPr>
            </w:pPr>
            <w:r w:rsidRPr="008F5532">
              <w:rPr>
                <w:sz w:val="20"/>
                <w:szCs w:val="20"/>
              </w:rPr>
              <w:t>(2)</w:t>
            </w:r>
            <w:r w:rsidR="00A961C6" w:rsidRPr="008F5532">
              <w:rPr>
                <w:sz w:val="20"/>
                <w:szCs w:val="20"/>
              </w:rPr>
              <w:tab/>
            </w:r>
            <w:r w:rsidRPr="008F5532">
              <w:rPr>
                <w:sz w:val="20"/>
                <w:szCs w:val="20"/>
              </w:rPr>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shd w:val="clear" w:color="auto" w:fill="92D050"/>
          </w:tcPr>
          <w:p w14:paraId="3F45AD8C" w14:textId="7274D405" w:rsidR="00B740C1" w:rsidRPr="008F5532" w:rsidRDefault="00403196" w:rsidP="00B740C1">
            <w:pPr>
              <w:contextualSpacing/>
              <w:rPr>
                <w:rFonts w:cs="Arial"/>
                <w:b/>
                <w:sz w:val="20"/>
                <w:szCs w:val="20"/>
              </w:rPr>
            </w:pPr>
            <w:r w:rsidRPr="008F5532">
              <w:rPr>
                <w:rFonts w:cs="Arial"/>
                <w:b/>
                <w:sz w:val="20"/>
                <w:szCs w:val="20"/>
              </w:rPr>
              <w:t>Meets</w:t>
            </w:r>
          </w:p>
          <w:p w14:paraId="544D15F6" w14:textId="3E63AE62" w:rsidR="00227603" w:rsidRPr="008F5532" w:rsidRDefault="00AC5AB3">
            <w:pPr>
              <w:spacing w:line="240" w:lineRule="auto"/>
              <w:contextualSpacing/>
              <w:rPr>
                <w:rFonts w:cs="Arial"/>
                <w:sz w:val="20"/>
                <w:szCs w:val="20"/>
              </w:rPr>
            </w:pPr>
            <w:r>
              <w:rPr>
                <w:rFonts w:cs="Arial"/>
                <w:sz w:val="20"/>
                <w:szCs w:val="20"/>
              </w:rPr>
              <w:t>Australia’s High Seas Permits</w:t>
            </w:r>
            <w:r w:rsidR="003632D4" w:rsidRPr="008F5532">
              <w:rPr>
                <w:rFonts w:cs="Arial"/>
                <w:sz w:val="20"/>
                <w:szCs w:val="20"/>
              </w:rPr>
              <w:t xml:space="preserve"> demonstrates a precautionary approach to managing uncertainty and risk. The fishery’s data collection, monitoring, risk assessment and management are considered sufficient to </w:t>
            </w:r>
            <w:r w:rsidR="00287189" w:rsidRPr="008F5532">
              <w:rPr>
                <w:rFonts w:cs="Arial"/>
                <w:sz w:val="20"/>
                <w:szCs w:val="20"/>
              </w:rPr>
              <w:t>prevent serious or irreversible environmental damage being caused by this fishery.</w:t>
            </w:r>
          </w:p>
        </w:tc>
      </w:tr>
    </w:tbl>
    <w:p w14:paraId="4F13199B" w14:textId="77777777" w:rsidR="00ED0F91" w:rsidRDefault="00ED0F91" w:rsidP="006E4EA3">
      <w:pPr>
        <w:pStyle w:val="Heading1"/>
        <w:sectPr w:rsidR="00ED0F91" w:rsidSect="001955CD">
          <w:pgSz w:w="16838" w:h="11906" w:orient="landscape"/>
          <w:pgMar w:top="1021" w:right="1021" w:bottom="1021" w:left="1021" w:header="709" w:footer="709" w:gutter="0"/>
          <w:cols w:space="708"/>
          <w:docGrid w:linePitch="360"/>
        </w:sectPr>
      </w:pPr>
      <w:bookmarkStart w:id="10" w:name="_Toc316301052"/>
      <w:bookmarkEnd w:id="5"/>
    </w:p>
    <w:p w14:paraId="3FD16CD5" w14:textId="77777777" w:rsidR="00B6012C" w:rsidRPr="006E4EA3" w:rsidRDefault="00B6012C" w:rsidP="006E4EA3">
      <w:pPr>
        <w:pStyle w:val="Heading1"/>
      </w:pPr>
      <w:bookmarkStart w:id="11" w:name="_Toc316301053"/>
      <w:bookmarkStart w:id="12" w:name="_Toc513464265"/>
      <w:bookmarkStart w:id="13" w:name="_Toc513712780"/>
      <w:bookmarkEnd w:id="10"/>
      <w:r w:rsidRPr="006E4EA3">
        <w:lastRenderedPageBreak/>
        <w:t>References</w:t>
      </w:r>
      <w:bookmarkEnd w:id="11"/>
      <w:bookmarkEnd w:id="12"/>
      <w:bookmarkEnd w:id="13"/>
    </w:p>
    <w:p w14:paraId="3E0B43DF" w14:textId="0A42E5CB" w:rsidR="0032076F" w:rsidRPr="0032076F" w:rsidRDefault="0032076F" w:rsidP="001955CD">
      <w:pPr>
        <w:tabs>
          <w:tab w:val="left" w:pos="360"/>
        </w:tabs>
        <w:rPr>
          <w:rFonts w:cs="Arial"/>
          <w:color w:val="464646"/>
        </w:rPr>
      </w:pPr>
      <w:proofErr w:type="spellStart"/>
      <w:r w:rsidRPr="0032076F">
        <w:rPr>
          <w:rFonts w:cs="Arial"/>
        </w:rPr>
        <w:t>Georgeson</w:t>
      </w:r>
      <w:proofErr w:type="spellEnd"/>
      <w:r w:rsidRPr="0032076F">
        <w:rPr>
          <w:rFonts w:cs="Arial"/>
        </w:rPr>
        <w:t xml:space="preserve">, L. and Hansen, S., </w:t>
      </w:r>
      <w:r w:rsidRPr="0032076F">
        <w:rPr>
          <w:rFonts w:cs="Arial"/>
          <w:color w:val="464646"/>
        </w:rPr>
        <w:t xml:space="preserve">2015. Orange </w:t>
      </w:r>
      <w:proofErr w:type="spellStart"/>
      <w:r w:rsidRPr="0032076F">
        <w:rPr>
          <w:rFonts w:cs="Arial"/>
          <w:color w:val="464646"/>
        </w:rPr>
        <w:t>Roughy</w:t>
      </w:r>
      <w:proofErr w:type="spellEnd"/>
      <w:r w:rsidRPr="0032076F">
        <w:rPr>
          <w:rFonts w:cs="Arial"/>
          <w:color w:val="464646"/>
        </w:rPr>
        <w:t xml:space="preserve"> </w:t>
      </w:r>
      <w:proofErr w:type="spellStart"/>
      <w:r w:rsidRPr="0032076F">
        <w:rPr>
          <w:rFonts w:cs="Arial"/>
          <w:i/>
          <w:iCs/>
          <w:color w:val="464646"/>
        </w:rPr>
        <w:t>Hoplostethus</w:t>
      </w:r>
      <w:proofErr w:type="spellEnd"/>
      <w:r w:rsidRPr="0032076F">
        <w:rPr>
          <w:rFonts w:cs="Arial"/>
          <w:i/>
          <w:iCs/>
          <w:color w:val="464646"/>
        </w:rPr>
        <w:t xml:space="preserve"> </w:t>
      </w:r>
      <w:proofErr w:type="spellStart"/>
      <w:r w:rsidRPr="0032076F">
        <w:rPr>
          <w:rFonts w:cs="Arial"/>
          <w:i/>
          <w:iCs/>
          <w:color w:val="464646"/>
        </w:rPr>
        <w:t>atlanticus</w:t>
      </w:r>
      <w:proofErr w:type="spellEnd"/>
      <w:r w:rsidRPr="0032076F">
        <w:rPr>
          <w:rFonts w:cs="Arial"/>
          <w:color w:val="464646"/>
        </w:rPr>
        <w:t xml:space="preserve">, in Stewardson, C., Andrews, J., Ashby, C., Haddon, M., Hartmann, K., Hone, P., </w:t>
      </w:r>
      <w:proofErr w:type="spellStart"/>
      <w:r w:rsidRPr="0032076F">
        <w:rPr>
          <w:rFonts w:cs="Arial"/>
          <w:color w:val="464646"/>
        </w:rPr>
        <w:t>Horvat</w:t>
      </w:r>
      <w:proofErr w:type="spellEnd"/>
      <w:r w:rsidRPr="0032076F">
        <w:rPr>
          <w:rFonts w:cs="Arial"/>
          <w:color w:val="464646"/>
        </w:rPr>
        <w:t xml:space="preserve">, P., Mayfield, S., </w:t>
      </w:r>
      <w:proofErr w:type="spellStart"/>
      <w:r w:rsidRPr="0032076F">
        <w:rPr>
          <w:rFonts w:cs="Arial"/>
          <w:color w:val="464646"/>
        </w:rPr>
        <w:t>Roelofs</w:t>
      </w:r>
      <w:proofErr w:type="spellEnd"/>
      <w:r w:rsidRPr="0032076F">
        <w:rPr>
          <w:rFonts w:cs="Arial"/>
          <w:color w:val="464646"/>
        </w:rPr>
        <w:t xml:space="preserve">, A., Sainsbury, K., Saunders, T., Stewart, J., </w:t>
      </w:r>
      <w:proofErr w:type="spellStart"/>
      <w:r w:rsidRPr="0032076F">
        <w:rPr>
          <w:rFonts w:cs="Arial"/>
          <w:color w:val="464646"/>
        </w:rPr>
        <w:t>Stobutzki</w:t>
      </w:r>
      <w:proofErr w:type="spellEnd"/>
      <w:r w:rsidRPr="0032076F">
        <w:rPr>
          <w:rFonts w:cs="Arial"/>
          <w:color w:val="464646"/>
        </w:rPr>
        <w:t xml:space="preserve"> </w:t>
      </w:r>
      <w:r>
        <w:rPr>
          <w:rFonts w:cs="Arial"/>
          <w:color w:val="464646"/>
        </w:rPr>
        <w:t>I.</w:t>
      </w:r>
      <w:r w:rsidRPr="0032076F">
        <w:rPr>
          <w:rFonts w:cs="Arial"/>
          <w:color w:val="464646"/>
        </w:rPr>
        <w:t xml:space="preserve"> and Wise </w:t>
      </w:r>
      <w:r>
        <w:rPr>
          <w:rFonts w:cs="Arial"/>
          <w:color w:val="464646"/>
        </w:rPr>
        <w:t>B.</w:t>
      </w:r>
      <w:r w:rsidRPr="0032076F">
        <w:rPr>
          <w:rFonts w:cs="Arial"/>
          <w:color w:val="464646"/>
        </w:rPr>
        <w:t xml:space="preserve"> (</w:t>
      </w:r>
      <w:proofErr w:type="spellStart"/>
      <w:r w:rsidRPr="0032076F">
        <w:rPr>
          <w:rFonts w:cs="Arial"/>
          <w:color w:val="464646"/>
        </w:rPr>
        <w:t>eds</w:t>
      </w:r>
      <w:proofErr w:type="spellEnd"/>
      <w:r w:rsidRPr="0032076F">
        <w:rPr>
          <w:rFonts w:cs="Arial"/>
          <w:color w:val="464646"/>
        </w:rPr>
        <w:t>)</w:t>
      </w:r>
      <w:r>
        <w:rPr>
          <w:rFonts w:cs="Arial"/>
          <w:color w:val="464646"/>
        </w:rPr>
        <w:t>,</w:t>
      </w:r>
      <w:r w:rsidRPr="0032076F">
        <w:rPr>
          <w:rFonts w:cs="Arial"/>
          <w:color w:val="464646"/>
        </w:rPr>
        <w:t xml:space="preserve"> 2016,</w:t>
      </w:r>
      <w:r w:rsidRPr="0032076F">
        <w:rPr>
          <w:rStyle w:val="apple-converted-space"/>
          <w:rFonts w:cs="Arial"/>
          <w:color w:val="464646"/>
        </w:rPr>
        <w:t> </w:t>
      </w:r>
      <w:r w:rsidRPr="0032076F">
        <w:rPr>
          <w:rStyle w:val="Emphasis"/>
          <w:rFonts w:cs="Arial"/>
          <w:color w:val="464646"/>
        </w:rPr>
        <w:t>Status of Australian fish stocks reports 2016</w:t>
      </w:r>
      <w:r w:rsidRPr="0032076F">
        <w:rPr>
          <w:rFonts w:cs="Arial"/>
          <w:color w:val="464646"/>
        </w:rPr>
        <w:t>, Fisheries Research and Development Corporation, Canberra.</w:t>
      </w:r>
      <w:r w:rsidRPr="0032076F">
        <w:rPr>
          <w:rFonts w:cs="Arial"/>
        </w:rPr>
        <w:t xml:space="preserve"> Accessed 19 March 2018. </w:t>
      </w:r>
      <w:r w:rsidRPr="008F5532">
        <w:rPr>
          <w:rFonts w:cs="Arial"/>
        </w:rPr>
        <w:t>http://fish.gov.au/report/44-Orange-Roughy-2016</w:t>
      </w:r>
      <w:r w:rsidRPr="0032076F">
        <w:rPr>
          <w:rFonts w:cs="Arial"/>
        </w:rPr>
        <w:t xml:space="preserve"> </w:t>
      </w:r>
    </w:p>
    <w:p w14:paraId="5878486B" w14:textId="129D07C2" w:rsidR="00753673" w:rsidRDefault="00ED3CDB" w:rsidP="001955CD">
      <w:pPr>
        <w:tabs>
          <w:tab w:val="left" w:pos="360"/>
        </w:tabs>
        <w:rPr>
          <w:rFonts w:cs="Arial"/>
        </w:rPr>
      </w:pPr>
      <w:r w:rsidRPr="00ED3CDB">
        <w:rPr>
          <w:rFonts w:cs="Arial"/>
        </w:rPr>
        <w:t>Patterson, H</w:t>
      </w:r>
      <w:r w:rsidR="0022597E">
        <w:rPr>
          <w:rFonts w:cs="Arial"/>
        </w:rPr>
        <w:t>.</w:t>
      </w:r>
      <w:r w:rsidRPr="00ED3CDB">
        <w:rPr>
          <w:rFonts w:cs="Arial"/>
        </w:rPr>
        <w:t>, Noriega</w:t>
      </w:r>
      <w:r w:rsidR="0022597E">
        <w:rPr>
          <w:rFonts w:cs="Arial"/>
        </w:rPr>
        <w:t>,</w:t>
      </w:r>
      <w:r w:rsidRPr="00ED3CDB">
        <w:rPr>
          <w:rFonts w:cs="Arial"/>
        </w:rPr>
        <w:t xml:space="preserve"> R</w:t>
      </w:r>
      <w:r w:rsidR="0022597E">
        <w:rPr>
          <w:rFonts w:cs="Arial"/>
        </w:rPr>
        <w:t>.</w:t>
      </w:r>
      <w:r w:rsidRPr="00ED3CDB">
        <w:rPr>
          <w:rFonts w:cs="Arial"/>
        </w:rPr>
        <w:t xml:space="preserve">, </w:t>
      </w:r>
      <w:proofErr w:type="spellStart"/>
      <w:r w:rsidRPr="00ED3CDB">
        <w:rPr>
          <w:rFonts w:cs="Arial"/>
        </w:rPr>
        <w:t>Georgeson</w:t>
      </w:r>
      <w:proofErr w:type="spellEnd"/>
      <w:r w:rsidRPr="00ED3CDB">
        <w:rPr>
          <w:rFonts w:cs="Arial"/>
        </w:rPr>
        <w:t>, L</w:t>
      </w:r>
      <w:r w:rsidR="0022597E">
        <w:rPr>
          <w:rFonts w:cs="Arial"/>
        </w:rPr>
        <w:t>.</w:t>
      </w:r>
      <w:r w:rsidRPr="00ED3CDB">
        <w:rPr>
          <w:rFonts w:cs="Arial"/>
        </w:rPr>
        <w:t xml:space="preserve">, </w:t>
      </w:r>
      <w:proofErr w:type="spellStart"/>
      <w:r w:rsidRPr="00ED3CDB">
        <w:rPr>
          <w:rFonts w:cs="Arial"/>
        </w:rPr>
        <w:t>Larcombe</w:t>
      </w:r>
      <w:proofErr w:type="spellEnd"/>
      <w:r w:rsidRPr="00ED3CDB">
        <w:rPr>
          <w:rFonts w:cs="Arial"/>
        </w:rPr>
        <w:t>, J</w:t>
      </w:r>
      <w:r w:rsidR="0022597E">
        <w:rPr>
          <w:rFonts w:cs="Arial"/>
        </w:rPr>
        <w:t>.</w:t>
      </w:r>
      <w:r w:rsidRPr="00ED3CDB">
        <w:rPr>
          <w:rFonts w:cs="Arial"/>
        </w:rPr>
        <w:t xml:space="preserve"> and </w:t>
      </w:r>
      <w:proofErr w:type="spellStart"/>
      <w:r w:rsidRPr="00ED3CDB">
        <w:rPr>
          <w:rFonts w:cs="Arial"/>
        </w:rPr>
        <w:t>Curtotti</w:t>
      </w:r>
      <w:proofErr w:type="spellEnd"/>
      <w:r w:rsidRPr="00ED3CDB">
        <w:rPr>
          <w:rFonts w:cs="Arial"/>
        </w:rPr>
        <w:t>, R</w:t>
      </w:r>
      <w:r w:rsidR="0022597E">
        <w:rPr>
          <w:rFonts w:cs="Arial"/>
        </w:rPr>
        <w:t>.,</w:t>
      </w:r>
      <w:r w:rsidRPr="00ED3CDB">
        <w:rPr>
          <w:rFonts w:cs="Arial"/>
        </w:rPr>
        <w:t xml:space="preserve"> 2017</w:t>
      </w:r>
      <w:r w:rsidR="0022597E">
        <w:rPr>
          <w:rFonts w:cs="Arial"/>
        </w:rPr>
        <w:t>.</w:t>
      </w:r>
      <w:r w:rsidRPr="00ED3CDB">
        <w:rPr>
          <w:rFonts w:cs="Arial"/>
        </w:rPr>
        <w:t xml:space="preserve"> </w:t>
      </w:r>
      <w:r w:rsidRPr="00ED3CDB">
        <w:rPr>
          <w:rFonts w:cs="Arial"/>
          <w:i/>
          <w:iCs/>
        </w:rPr>
        <w:t>Fishery status reports 2017</w:t>
      </w:r>
      <w:r w:rsidRPr="00ED3CDB">
        <w:rPr>
          <w:rFonts w:cs="Arial"/>
        </w:rPr>
        <w:t>, Australian Bureau of Agricultural and Resource Economics and Sciences, Canberra.</w:t>
      </w:r>
      <w:r w:rsidR="00753673">
        <w:rPr>
          <w:rFonts w:cs="Arial"/>
        </w:rPr>
        <w:t xml:space="preserve"> </w:t>
      </w:r>
      <w:r w:rsidR="005C6490" w:rsidRPr="00753673">
        <w:rPr>
          <w:rFonts w:cs="Arial"/>
        </w:rPr>
        <w:t>Pp. 452-465.</w:t>
      </w:r>
      <w:r w:rsidR="005C6490">
        <w:rPr>
          <w:rFonts w:cs="Arial"/>
        </w:rPr>
        <w:t xml:space="preserve"> </w:t>
      </w:r>
      <w:r w:rsidR="00753673" w:rsidRPr="00753673">
        <w:rPr>
          <w:rFonts w:cs="Arial"/>
        </w:rPr>
        <w:t xml:space="preserve">Accessed 16 February 2018. </w:t>
      </w:r>
      <w:r w:rsidRPr="008F5532">
        <w:rPr>
          <w:rFonts w:cs="Arial"/>
        </w:rPr>
        <w:t>http://www.agriculture.gov.au/abares/</w:t>
      </w:r>
      <w:r w:rsidR="00753673" w:rsidRPr="00753673">
        <w:rPr>
          <w:rFonts w:cs="Arial"/>
        </w:rPr>
        <w:t xml:space="preserve"> </w:t>
      </w:r>
      <w:r w:rsidRPr="008F5532">
        <w:rPr>
          <w:rFonts w:cs="Arial"/>
        </w:rPr>
        <w:t>publications/display?url=http://143.188.17.20/anrdl/DAFFService/display.php?fid=pb_fsr17d9abm_20170929.xml</w:t>
      </w:r>
      <w:r>
        <w:rPr>
          <w:rFonts w:cs="Arial"/>
        </w:rPr>
        <w:t xml:space="preserve"> </w:t>
      </w:r>
    </w:p>
    <w:p w14:paraId="07691DBA" w14:textId="08D17AEF" w:rsidR="002330E0" w:rsidRPr="002330E0" w:rsidRDefault="002330E0" w:rsidP="002330E0">
      <w:pPr>
        <w:tabs>
          <w:tab w:val="left" w:pos="360"/>
        </w:tabs>
        <w:rPr>
          <w:rFonts w:cs="Arial"/>
        </w:rPr>
      </w:pPr>
      <w:r w:rsidRPr="002330E0">
        <w:rPr>
          <w:rFonts w:cs="Arial"/>
        </w:rPr>
        <w:t>Williams, A</w:t>
      </w:r>
      <w:r>
        <w:rPr>
          <w:rFonts w:cs="Arial"/>
        </w:rPr>
        <w:t>.,</w:t>
      </w:r>
      <w:r w:rsidRPr="002330E0">
        <w:rPr>
          <w:rFonts w:cs="Arial"/>
        </w:rPr>
        <w:t xml:space="preserve"> </w:t>
      </w:r>
      <w:proofErr w:type="spellStart"/>
      <w:r w:rsidRPr="002330E0">
        <w:rPr>
          <w:rFonts w:cs="Arial"/>
        </w:rPr>
        <w:t>Althaus</w:t>
      </w:r>
      <w:proofErr w:type="spellEnd"/>
      <w:r w:rsidRPr="002330E0">
        <w:rPr>
          <w:rFonts w:cs="Arial"/>
        </w:rPr>
        <w:t>, F</w:t>
      </w:r>
      <w:r>
        <w:rPr>
          <w:rFonts w:cs="Arial"/>
        </w:rPr>
        <w:t>.</w:t>
      </w:r>
      <w:r w:rsidRPr="002330E0">
        <w:rPr>
          <w:rFonts w:cs="Arial"/>
        </w:rPr>
        <w:t>, Fuller, M</w:t>
      </w:r>
      <w:r>
        <w:rPr>
          <w:rFonts w:cs="Arial"/>
        </w:rPr>
        <w:t>.</w:t>
      </w:r>
      <w:r w:rsidRPr="002330E0">
        <w:rPr>
          <w:rFonts w:cs="Arial"/>
        </w:rPr>
        <w:t xml:space="preserve">, </w:t>
      </w:r>
      <w:proofErr w:type="spellStart"/>
      <w:r w:rsidRPr="002330E0">
        <w:rPr>
          <w:rFonts w:cs="Arial"/>
        </w:rPr>
        <w:t>Klaer</w:t>
      </w:r>
      <w:proofErr w:type="spellEnd"/>
      <w:r w:rsidRPr="002330E0">
        <w:rPr>
          <w:rFonts w:cs="Arial"/>
        </w:rPr>
        <w:t>, N</w:t>
      </w:r>
      <w:r>
        <w:rPr>
          <w:rFonts w:cs="Arial"/>
        </w:rPr>
        <w:t>.</w:t>
      </w:r>
      <w:r w:rsidRPr="002330E0">
        <w:rPr>
          <w:rFonts w:cs="Arial"/>
        </w:rPr>
        <w:t xml:space="preserve"> </w:t>
      </w:r>
      <w:r>
        <w:rPr>
          <w:rFonts w:cs="Arial"/>
        </w:rPr>
        <w:t>and</w:t>
      </w:r>
      <w:r w:rsidRPr="002330E0">
        <w:rPr>
          <w:rFonts w:cs="Arial"/>
        </w:rPr>
        <w:t xml:space="preserve"> Barker, B</w:t>
      </w:r>
      <w:r>
        <w:rPr>
          <w:rFonts w:cs="Arial"/>
        </w:rPr>
        <w:t>.,</w:t>
      </w:r>
      <w:r w:rsidRPr="002330E0">
        <w:rPr>
          <w:rFonts w:cs="Arial"/>
        </w:rPr>
        <w:t xml:space="preserve"> 2011a</w:t>
      </w:r>
      <w:r>
        <w:rPr>
          <w:rFonts w:cs="Arial"/>
        </w:rPr>
        <w:t>.</w:t>
      </w:r>
      <w:r w:rsidRPr="002330E0">
        <w:rPr>
          <w:rFonts w:cs="Arial"/>
        </w:rPr>
        <w:t xml:space="preserve"> </w:t>
      </w:r>
      <w:r w:rsidRPr="002330E0">
        <w:rPr>
          <w:rFonts w:cs="Arial"/>
          <w:i/>
          <w:iCs/>
        </w:rPr>
        <w:t>Bottom fishery impact assessment: Australian report for the South Pacific Regional Fisheries Management Organisation (SPRFMO)</w:t>
      </w:r>
      <w:r w:rsidRPr="002330E0">
        <w:rPr>
          <w:rFonts w:cs="Arial"/>
        </w:rPr>
        <w:t>, SWG-10-DW-01a, CSIRO Marine an</w:t>
      </w:r>
      <w:r w:rsidR="00753673">
        <w:rPr>
          <w:rFonts w:cs="Arial"/>
        </w:rPr>
        <w:t xml:space="preserve">d Atmospheric Research, Hobart. Accessed 16 February 2018. </w:t>
      </w:r>
      <w:r w:rsidR="00753673" w:rsidRPr="008F5532">
        <w:rPr>
          <w:rFonts w:cs="Arial"/>
        </w:rPr>
        <w:t>http://www.afma.gov.au/wp-content/uploads/2011/11/bottom_fishery_impact_assessment_sprfmo.pdf</w:t>
      </w:r>
    </w:p>
    <w:p w14:paraId="2172F5C5" w14:textId="11229A5A" w:rsidR="00753673" w:rsidRDefault="00753673" w:rsidP="00753673">
      <w:pPr>
        <w:tabs>
          <w:tab w:val="left" w:pos="360"/>
        </w:tabs>
        <w:rPr>
          <w:rFonts w:cs="Arial"/>
        </w:rPr>
      </w:pPr>
      <w:r w:rsidRPr="002330E0">
        <w:rPr>
          <w:rFonts w:cs="Arial"/>
        </w:rPr>
        <w:t>Williams, A</w:t>
      </w:r>
      <w:r>
        <w:rPr>
          <w:rFonts w:cs="Arial"/>
        </w:rPr>
        <w:t>.,</w:t>
      </w:r>
      <w:r w:rsidRPr="002330E0">
        <w:rPr>
          <w:rFonts w:cs="Arial"/>
        </w:rPr>
        <w:t xml:space="preserve"> </w:t>
      </w:r>
      <w:proofErr w:type="spellStart"/>
      <w:r w:rsidRPr="002330E0">
        <w:rPr>
          <w:rFonts w:cs="Arial"/>
        </w:rPr>
        <w:t>Althaus</w:t>
      </w:r>
      <w:proofErr w:type="spellEnd"/>
      <w:r w:rsidRPr="002330E0">
        <w:rPr>
          <w:rFonts w:cs="Arial"/>
        </w:rPr>
        <w:t>, F</w:t>
      </w:r>
      <w:r>
        <w:rPr>
          <w:rFonts w:cs="Arial"/>
        </w:rPr>
        <w:t>.</w:t>
      </w:r>
      <w:r w:rsidRPr="002330E0">
        <w:rPr>
          <w:rFonts w:cs="Arial"/>
        </w:rPr>
        <w:t>, Fuller, M</w:t>
      </w:r>
      <w:r>
        <w:rPr>
          <w:rFonts w:cs="Arial"/>
        </w:rPr>
        <w:t>.</w:t>
      </w:r>
      <w:r w:rsidRPr="002330E0">
        <w:rPr>
          <w:rFonts w:cs="Arial"/>
        </w:rPr>
        <w:t xml:space="preserve">, </w:t>
      </w:r>
      <w:proofErr w:type="spellStart"/>
      <w:r w:rsidRPr="002330E0">
        <w:rPr>
          <w:rFonts w:cs="Arial"/>
        </w:rPr>
        <w:t>Klaer</w:t>
      </w:r>
      <w:proofErr w:type="spellEnd"/>
      <w:r w:rsidRPr="002330E0">
        <w:rPr>
          <w:rFonts w:cs="Arial"/>
        </w:rPr>
        <w:t>, N</w:t>
      </w:r>
      <w:r>
        <w:rPr>
          <w:rFonts w:cs="Arial"/>
        </w:rPr>
        <w:t>.</w:t>
      </w:r>
      <w:r w:rsidRPr="002330E0">
        <w:rPr>
          <w:rFonts w:cs="Arial"/>
        </w:rPr>
        <w:t xml:space="preserve"> </w:t>
      </w:r>
      <w:r>
        <w:rPr>
          <w:rFonts w:cs="Arial"/>
        </w:rPr>
        <w:t>and</w:t>
      </w:r>
      <w:r w:rsidRPr="002330E0">
        <w:rPr>
          <w:rFonts w:cs="Arial"/>
        </w:rPr>
        <w:t xml:space="preserve"> Barker, B</w:t>
      </w:r>
      <w:r>
        <w:rPr>
          <w:rFonts w:cs="Arial"/>
        </w:rPr>
        <w:t>.,</w:t>
      </w:r>
      <w:r w:rsidRPr="002330E0">
        <w:rPr>
          <w:rFonts w:cs="Arial"/>
        </w:rPr>
        <w:t xml:space="preserve"> </w:t>
      </w:r>
      <w:r w:rsidR="002330E0" w:rsidRPr="002330E0">
        <w:rPr>
          <w:rFonts w:cs="Arial"/>
        </w:rPr>
        <w:t>2011b</w:t>
      </w:r>
      <w:r>
        <w:rPr>
          <w:rFonts w:cs="Arial"/>
        </w:rPr>
        <w:t>.</w:t>
      </w:r>
      <w:r w:rsidR="002330E0" w:rsidRPr="002330E0">
        <w:rPr>
          <w:rFonts w:cs="Arial"/>
        </w:rPr>
        <w:t xml:space="preserve"> </w:t>
      </w:r>
      <w:r w:rsidR="002330E0" w:rsidRPr="002330E0">
        <w:rPr>
          <w:rFonts w:cs="Arial"/>
          <w:i/>
          <w:iCs/>
        </w:rPr>
        <w:t>Bottom Fishery Impact Assessment: Australian report for the Southern Indian Ocean Fisheries Agreement (SIOFA)</w:t>
      </w:r>
      <w:r w:rsidR="002330E0" w:rsidRPr="002330E0">
        <w:rPr>
          <w:rFonts w:cs="Arial"/>
        </w:rPr>
        <w:t>, CSIRO Marine and Atmospheric Research, Hobart.</w:t>
      </w:r>
      <w:r>
        <w:rPr>
          <w:rFonts w:cs="Arial"/>
        </w:rPr>
        <w:t xml:space="preserve"> Accessed 16 February 2018. </w:t>
      </w:r>
      <w:r w:rsidRPr="008F5532">
        <w:rPr>
          <w:rFonts w:cs="Arial"/>
        </w:rPr>
        <w:t>http://www.afma.gov.au/wp-content/uploads/2014/02/bottom_fishery_impact_assessment_siofa.pdf</w:t>
      </w:r>
      <w:r>
        <w:rPr>
          <w:rFonts w:cs="Arial"/>
        </w:rPr>
        <w:t xml:space="preserve"> </w:t>
      </w:r>
    </w:p>
    <w:p w14:paraId="60406D87" w14:textId="0D0EBB9E" w:rsidR="002330E0" w:rsidRPr="00744608" w:rsidRDefault="00753673" w:rsidP="002330E0">
      <w:pPr>
        <w:tabs>
          <w:tab w:val="left" w:pos="360"/>
        </w:tabs>
        <w:rPr>
          <w:rFonts w:cs="Arial"/>
          <w:color w:val="0000FF"/>
          <w:u w:val="single"/>
        </w:rPr>
      </w:pPr>
      <w:proofErr w:type="spellStart"/>
      <w:r w:rsidRPr="00EC2C8B">
        <w:rPr>
          <w:rFonts w:cs="Arial"/>
        </w:rPr>
        <w:t>Woodhams</w:t>
      </w:r>
      <w:proofErr w:type="spellEnd"/>
      <w:r w:rsidRPr="00EC2C8B">
        <w:rPr>
          <w:rFonts w:cs="Arial"/>
        </w:rPr>
        <w:t>, J</w:t>
      </w:r>
      <w:r>
        <w:rPr>
          <w:rFonts w:cs="Arial"/>
        </w:rPr>
        <w:t>.</w:t>
      </w:r>
      <w:r w:rsidRPr="00EC2C8B">
        <w:rPr>
          <w:rFonts w:cs="Arial"/>
        </w:rPr>
        <w:t xml:space="preserve">, </w:t>
      </w:r>
      <w:proofErr w:type="spellStart"/>
      <w:r w:rsidRPr="00EC2C8B">
        <w:rPr>
          <w:rFonts w:cs="Arial"/>
        </w:rPr>
        <w:t>Stobutzki</w:t>
      </w:r>
      <w:proofErr w:type="spellEnd"/>
      <w:r w:rsidRPr="00EC2C8B">
        <w:rPr>
          <w:rFonts w:cs="Arial"/>
        </w:rPr>
        <w:t>, I</w:t>
      </w:r>
      <w:r>
        <w:rPr>
          <w:rFonts w:cs="Arial"/>
        </w:rPr>
        <w:t>.</w:t>
      </w:r>
      <w:r w:rsidRPr="00EC2C8B">
        <w:rPr>
          <w:rFonts w:cs="Arial"/>
        </w:rPr>
        <w:t>, Noriega, R</w:t>
      </w:r>
      <w:r>
        <w:rPr>
          <w:rFonts w:cs="Arial"/>
        </w:rPr>
        <w:t>.</w:t>
      </w:r>
      <w:r w:rsidRPr="00EC2C8B">
        <w:rPr>
          <w:rFonts w:cs="Arial"/>
        </w:rPr>
        <w:t xml:space="preserve"> </w:t>
      </w:r>
      <w:r>
        <w:rPr>
          <w:rFonts w:cs="Arial"/>
        </w:rPr>
        <w:t>and</w:t>
      </w:r>
      <w:r w:rsidRPr="00EC2C8B">
        <w:rPr>
          <w:rFonts w:cs="Arial"/>
        </w:rPr>
        <w:t xml:space="preserve"> Roach, J</w:t>
      </w:r>
      <w:r>
        <w:rPr>
          <w:rFonts w:cs="Arial"/>
        </w:rPr>
        <w:t>.,</w:t>
      </w:r>
      <w:r w:rsidRPr="00EC2C8B">
        <w:rPr>
          <w:rFonts w:cs="Arial"/>
        </w:rPr>
        <w:t xml:space="preserve"> 2012</w:t>
      </w:r>
      <w:r>
        <w:rPr>
          <w:rFonts w:cs="Arial"/>
        </w:rPr>
        <w:t>.</w:t>
      </w:r>
      <w:r w:rsidRPr="00EC2C8B">
        <w:rPr>
          <w:rFonts w:cs="Arial"/>
        </w:rPr>
        <w:t xml:space="preserve"> </w:t>
      </w:r>
      <w:r w:rsidRPr="00753673">
        <w:rPr>
          <w:rFonts w:cs="Arial"/>
          <w:i/>
          <w:iCs/>
        </w:rPr>
        <w:t xml:space="preserve">Sustainability of harvest levels by Australian flagged vessels in the high seas areas of the South Pacific Ocean and South Indian Ocean, </w:t>
      </w:r>
      <w:r w:rsidRPr="00753673">
        <w:rPr>
          <w:rFonts w:cs="Arial"/>
        </w:rPr>
        <w:t xml:space="preserve">ABARES report to client prepared for the Australian Fisheries Management Authority, Canberra, </w:t>
      </w:r>
      <w:proofErr w:type="gramStart"/>
      <w:r w:rsidRPr="00753673">
        <w:rPr>
          <w:rFonts w:cs="Arial"/>
        </w:rPr>
        <w:t>November</w:t>
      </w:r>
      <w:proofErr w:type="gramEnd"/>
      <w:r w:rsidRPr="00753673">
        <w:rPr>
          <w:rFonts w:cs="Arial"/>
        </w:rPr>
        <w:t xml:space="preserve"> 2012.</w:t>
      </w:r>
      <w:r w:rsidR="00744608" w:rsidRPr="00744608">
        <w:rPr>
          <w:rFonts w:cs="Arial"/>
        </w:rPr>
        <w:t xml:space="preserve"> </w:t>
      </w:r>
      <w:r w:rsidR="00744608">
        <w:rPr>
          <w:rFonts w:cs="Arial"/>
        </w:rPr>
        <w:t xml:space="preserve">Accessed 16 February 2018. </w:t>
      </w:r>
      <w:r w:rsidR="00744608" w:rsidRPr="008F5532">
        <w:rPr>
          <w:rFonts w:cs="Arial"/>
        </w:rPr>
        <w:t>http://www.afma.gov.au/wp-content/uploads/2014/02/High-Seas-Sustainabilty-Assessment-2012.pdf</w:t>
      </w:r>
    </w:p>
    <w:sectPr w:rsidR="002330E0" w:rsidRPr="00744608" w:rsidSect="00231C67">
      <w:headerReference w:type="even" r:id="rId53"/>
      <w:headerReference w:type="default" r:id="rId54"/>
      <w:footerReference w:type="even" r:id="rId55"/>
      <w:footerReference w:type="default" r:id="rId56"/>
      <w:headerReference w:type="first" r:id="rId57"/>
      <w:footerReference w:type="first" r:id="rId58"/>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02A59" w14:textId="77777777" w:rsidR="0052034A" w:rsidRDefault="0052034A" w:rsidP="00A60185">
      <w:pPr>
        <w:spacing w:after="0" w:line="240" w:lineRule="auto"/>
      </w:pPr>
      <w:r>
        <w:separator/>
      </w:r>
    </w:p>
  </w:endnote>
  <w:endnote w:type="continuationSeparator" w:id="0">
    <w:p w14:paraId="27BEAB32" w14:textId="77777777" w:rsidR="0052034A" w:rsidRDefault="0052034A" w:rsidP="00A60185">
      <w:pPr>
        <w:spacing w:after="0" w:line="240" w:lineRule="auto"/>
      </w:pPr>
      <w:r>
        <w:continuationSeparator/>
      </w:r>
    </w:p>
  </w:endnote>
  <w:endnote w:type="continuationNotice" w:id="1">
    <w:p w14:paraId="5937537B" w14:textId="77777777" w:rsidR="0052034A" w:rsidRDefault="005203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7400C" w14:textId="77777777" w:rsidR="003B7E92" w:rsidRDefault="003B7E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52034A" w:rsidRDefault="0052034A">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52034A" w:rsidRDefault="0052034A">
    <w:pPr>
      <w:pStyle w:val="Footer"/>
      <w:jc w:val="right"/>
    </w:pPr>
  </w:p>
  <w:p w14:paraId="6627FCF2" w14:textId="77777777" w:rsidR="0052034A" w:rsidRDefault="0052034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52034A" w:rsidRPr="008676DA" w:rsidRDefault="0052034A">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3B7E92">
      <w:rPr>
        <w:rFonts w:cs="Arial"/>
        <w:noProof/>
      </w:rPr>
      <w:t>17</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52034A" w:rsidRPr="00E5103E" w:rsidRDefault="0052034A">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52034A" w:rsidRDefault="0052034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52034A" w:rsidRDefault="0052034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52034A" w:rsidRDefault="0052034A">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52034A" w:rsidRDefault="005203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0FAD3" w14:textId="77777777" w:rsidR="0052034A" w:rsidRDefault="0052034A" w:rsidP="00A60185">
      <w:pPr>
        <w:spacing w:after="0" w:line="240" w:lineRule="auto"/>
      </w:pPr>
      <w:r>
        <w:separator/>
      </w:r>
    </w:p>
  </w:footnote>
  <w:footnote w:type="continuationSeparator" w:id="0">
    <w:p w14:paraId="09830EB9" w14:textId="77777777" w:rsidR="0052034A" w:rsidRDefault="0052034A" w:rsidP="00A60185">
      <w:pPr>
        <w:spacing w:after="0" w:line="240" w:lineRule="auto"/>
      </w:pPr>
      <w:r>
        <w:continuationSeparator/>
      </w:r>
    </w:p>
  </w:footnote>
  <w:footnote w:type="continuationNotice" w:id="1">
    <w:p w14:paraId="1CD946BD" w14:textId="77777777" w:rsidR="0052034A" w:rsidRDefault="0052034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59660" w14:textId="77777777" w:rsidR="003B7E92" w:rsidRDefault="003B7E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4296D" w14:textId="77777777" w:rsidR="003B7E92" w:rsidRDefault="003B7E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E2761" w14:textId="77777777" w:rsidR="003B7E92" w:rsidRDefault="003B7E9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52034A" w:rsidRDefault="0052034A"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52034A" w:rsidRDefault="0052034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52034A" w:rsidRDefault="005203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F745BC2"/>
    <w:multiLevelType w:val="multilevel"/>
    <w:tmpl w:val="E5E89F92"/>
    <w:numStyleLink w:val="BulletList"/>
  </w:abstractNum>
  <w:abstractNum w:abstractNumId="11"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D3802E9"/>
    <w:multiLevelType w:val="hybridMultilevel"/>
    <w:tmpl w:val="C96477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1EE28AA"/>
    <w:multiLevelType w:val="hybridMultilevel"/>
    <w:tmpl w:val="A266910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685244C"/>
    <w:multiLevelType w:val="hybridMultilevel"/>
    <w:tmpl w:val="599AF84E"/>
    <w:lvl w:ilvl="0" w:tplc="6B40EA68">
      <w:numFmt w:val="bullet"/>
      <w:lvlText w:val="-"/>
      <w:lvlJc w:val="left"/>
      <w:pPr>
        <w:ind w:left="1440" w:hanging="360"/>
      </w:pPr>
      <w:rPr>
        <w:rFonts w:ascii="Times New Roman" w:eastAsia="Times New Roman" w:hAnsi="Times New Roman"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44D1F3A"/>
    <w:multiLevelType w:val="hybridMultilevel"/>
    <w:tmpl w:val="64A0A478"/>
    <w:lvl w:ilvl="0" w:tplc="312CED8C">
      <w:numFmt w:val="bullet"/>
      <w:lvlText w:val=""/>
      <w:lvlJc w:val="left"/>
      <w:pPr>
        <w:ind w:left="720" w:hanging="360"/>
      </w:pPr>
      <w:rPr>
        <w:rFonts w:ascii="Wingdings 2" w:eastAsia="Times New Roman" w:hAnsi="Wingdings 2" w:cs="Times New Roman"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5456429"/>
    <w:multiLevelType w:val="multilevel"/>
    <w:tmpl w:val="E898CC72"/>
    <w:numStyleLink w:val="KeyPoints"/>
  </w:abstractNum>
  <w:abstractNum w:abstractNumId="36"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0"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15:restartNumberingAfterBreak="0">
    <w:nsid w:val="79712AD7"/>
    <w:multiLevelType w:val="hybridMultilevel"/>
    <w:tmpl w:val="72CA1676"/>
    <w:lvl w:ilvl="0" w:tplc="0C090001">
      <w:start w:val="1"/>
      <w:numFmt w:val="bullet"/>
      <w:lvlText w:val=""/>
      <w:lvlJc w:val="left"/>
      <w:pPr>
        <w:ind w:left="2520" w:hanging="360"/>
      </w:pPr>
      <w:rPr>
        <w:rFonts w:ascii="Symbol" w:hAnsi="Symbol" w:hint="default"/>
      </w:rPr>
    </w:lvl>
    <w:lvl w:ilvl="1" w:tplc="0C090003">
      <w:start w:val="1"/>
      <w:numFmt w:val="bullet"/>
      <w:lvlText w:val="o"/>
      <w:lvlJc w:val="left"/>
      <w:pPr>
        <w:ind w:left="3240" w:hanging="360"/>
      </w:pPr>
      <w:rPr>
        <w:rFonts w:ascii="Courier New" w:hAnsi="Courier New" w:cs="Courier New" w:hint="default"/>
      </w:rPr>
    </w:lvl>
    <w:lvl w:ilvl="2" w:tplc="0C090005">
      <w:start w:val="1"/>
      <w:numFmt w:val="bullet"/>
      <w:lvlText w:val=""/>
      <w:lvlJc w:val="left"/>
      <w:pPr>
        <w:ind w:left="3960" w:hanging="360"/>
      </w:pPr>
      <w:rPr>
        <w:rFonts w:ascii="Wingdings" w:hAnsi="Wingdings" w:hint="default"/>
      </w:rPr>
    </w:lvl>
    <w:lvl w:ilvl="3" w:tplc="0C090001">
      <w:start w:val="1"/>
      <w:numFmt w:val="bullet"/>
      <w:lvlText w:val=""/>
      <w:lvlJc w:val="left"/>
      <w:pPr>
        <w:ind w:left="4680" w:hanging="360"/>
      </w:pPr>
      <w:rPr>
        <w:rFonts w:ascii="Symbol" w:hAnsi="Symbol" w:hint="default"/>
      </w:rPr>
    </w:lvl>
    <w:lvl w:ilvl="4" w:tplc="0C090003">
      <w:start w:val="1"/>
      <w:numFmt w:val="bullet"/>
      <w:lvlText w:val="o"/>
      <w:lvlJc w:val="left"/>
      <w:pPr>
        <w:ind w:left="5400" w:hanging="360"/>
      </w:pPr>
      <w:rPr>
        <w:rFonts w:ascii="Courier New" w:hAnsi="Courier New" w:cs="Courier New" w:hint="default"/>
      </w:rPr>
    </w:lvl>
    <w:lvl w:ilvl="5" w:tplc="0C090005">
      <w:start w:val="1"/>
      <w:numFmt w:val="bullet"/>
      <w:lvlText w:val=""/>
      <w:lvlJc w:val="left"/>
      <w:pPr>
        <w:ind w:left="6120" w:hanging="360"/>
      </w:pPr>
      <w:rPr>
        <w:rFonts w:ascii="Wingdings" w:hAnsi="Wingdings" w:hint="default"/>
      </w:rPr>
    </w:lvl>
    <w:lvl w:ilvl="6" w:tplc="0C090001">
      <w:start w:val="1"/>
      <w:numFmt w:val="bullet"/>
      <w:lvlText w:val=""/>
      <w:lvlJc w:val="left"/>
      <w:pPr>
        <w:ind w:left="6840" w:hanging="360"/>
      </w:pPr>
      <w:rPr>
        <w:rFonts w:ascii="Symbol" w:hAnsi="Symbol" w:hint="default"/>
      </w:rPr>
    </w:lvl>
    <w:lvl w:ilvl="7" w:tplc="0C090003">
      <w:start w:val="1"/>
      <w:numFmt w:val="bullet"/>
      <w:lvlText w:val="o"/>
      <w:lvlJc w:val="left"/>
      <w:pPr>
        <w:ind w:left="7560" w:hanging="360"/>
      </w:pPr>
      <w:rPr>
        <w:rFonts w:ascii="Courier New" w:hAnsi="Courier New" w:cs="Courier New" w:hint="default"/>
      </w:rPr>
    </w:lvl>
    <w:lvl w:ilvl="8" w:tplc="0C090005">
      <w:start w:val="1"/>
      <w:numFmt w:val="bullet"/>
      <w:lvlText w:val=""/>
      <w:lvlJc w:val="left"/>
      <w:pPr>
        <w:ind w:left="8280" w:hanging="360"/>
      </w:pPr>
      <w:rPr>
        <w:rFonts w:ascii="Wingdings" w:hAnsi="Wingdings" w:hint="default"/>
      </w:rPr>
    </w:lvl>
  </w:abstractNum>
  <w:abstractNum w:abstractNumId="42"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3"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0"/>
  </w:num>
  <w:num w:numId="2">
    <w:abstractNumId w:val="1"/>
  </w:num>
  <w:num w:numId="3">
    <w:abstractNumId w:val="21"/>
  </w:num>
  <w:num w:numId="4">
    <w:abstractNumId w:val="0"/>
  </w:num>
  <w:num w:numId="5">
    <w:abstractNumId w:val="19"/>
  </w:num>
  <w:num w:numId="6">
    <w:abstractNumId w:val="35"/>
  </w:num>
  <w:num w:numId="7">
    <w:abstractNumId w:val="10"/>
  </w:num>
  <w:num w:numId="8">
    <w:abstractNumId w:val="5"/>
  </w:num>
  <w:num w:numId="9">
    <w:abstractNumId w:val="24"/>
  </w:num>
  <w:num w:numId="10">
    <w:abstractNumId w:val="37"/>
  </w:num>
  <w:num w:numId="11">
    <w:abstractNumId w:val="29"/>
  </w:num>
  <w:num w:numId="12">
    <w:abstractNumId w:val="6"/>
  </w:num>
  <w:num w:numId="13">
    <w:abstractNumId w:val="16"/>
  </w:num>
  <w:num w:numId="14">
    <w:abstractNumId w:val="38"/>
  </w:num>
  <w:num w:numId="15">
    <w:abstractNumId w:val="30"/>
  </w:num>
  <w:num w:numId="16">
    <w:abstractNumId w:val="2"/>
  </w:num>
  <w:num w:numId="17">
    <w:abstractNumId w:val="17"/>
  </w:num>
  <w:num w:numId="18">
    <w:abstractNumId w:val="12"/>
  </w:num>
  <w:num w:numId="19">
    <w:abstractNumId w:val="28"/>
  </w:num>
  <w:num w:numId="20">
    <w:abstractNumId w:val="14"/>
  </w:num>
  <w:num w:numId="21">
    <w:abstractNumId w:val="9"/>
  </w:num>
  <w:num w:numId="22">
    <w:abstractNumId w:val="13"/>
  </w:num>
  <w:num w:numId="23">
    <w:abstractNumId w:val="25"/>
  </w:num>
  <w:num w:numId="24">
    <w:abstractNumId w:val="33"/>
  </w:num>
  <w:num w:numId="25">
    <w:abstractNumId w:val="22"/>
  </w:num>
  <w:num w:numId="26">
    <w:abstractNumId w:val="7"/>
  </w:num>
  <w:num w:numId="27">
    <w:abstractNumId w:val="8"/>
  </w:num>
  <w:num w:numId="28">
    <w:abstractNumId w:val="32"/>
  </w:num>
  <w:num w:numId="29">
    <w:abstractNumId w:val="39"/>
  </w:num>
  <w:num w:numId="30">
    <w:abstractNumId w:val="42"/>
  </w:num>
  <w:num w:numId="31">
    <w:abstractNumId w:val="36"/>
  </w:num>
  <w:num w:numId="32">
    <w:abstractNumId w:val="0"/>
    <w:lvlOverride w:ilvl="0">
      <w:startOverride w:val="1"/>
    </w:lvlOverride>
  </w:num>
  <w:num w:numId="33">
    <w:abstractNumId w:val="3"/>
  </w:num>
  <w:num w:numId="34">
    <w:abstractNumId w:val="4"/>
  </w:num>
  <w:num w:numId="35">
    <w:abstractNumId w:val="11"/>
  </w:num>
  <w:num w:numId="36">
    <w:abstractNumId w:val="43"/>
  </w:num>
  <w:num w:numId="37">
    <w:abstractNumId w:val="10"/>
    <w:lvlOverride w:ilvl="0">
      <w:lvl w:ilvl="0">
        <w:start w:val="1"/>
        <w:numFmt w:val="bullet"/>
        <w:pStyle w:val="ListBullet"/>
        <w:lvlText w:val=""/>
        <w:lvlJc w:val="left"/>
        <w:pPr>
          <w:ind w:left="369" w:hanging="369"/>
        </w:pPr>
        <w:rPr>
          <w:rFonts w:ascii="Symbol" w:hAnsi="Symbol" w:hint="default"/>
        </w:rPr>
      </w:lvl>
    </w:lvlOverride>
  </w:num>
  <w:num w:numId="38">
    <w:abstractNumId w:val="31"/>
  </w:num>
  <w:num w:numId="39">
    <w:abstractNumId w:val="23"/>
  </w:num>
  <w:num w:numId="40">
    <w:abstractNumId w:val="18"/>
  </w:num>
  <w:num w:numId="41">
    <w:abstractNumId w:val="27"/>
  </w:num>
  <w:num w:numId="42">
    <w:abstractNumId w:val="34"/>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num>
  <w:num w:numId="46">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1A27"/>
    <w:rsid w:val="00004AEE"/>
    <w:rsid w:val="00005CAA"/>
    <w:rsid w:val="00010210"/>
    <w:rsid w:val="00012D66"/>
    <w:rsid w:val="0001595B"/>
    <w:rsid w:val="00015ADA"/>
    <w:rsid w:val="00020C99"/>
    <w:rsid w:val="000226E2"/>
    <w:rsid w:val="00023ED4"/>
    <w:rsid w:val="0002707B"/>
    <w:rsid w:val="00042E80"/>
    <w:rsid w:val="0005148E"/>
    <w:rsid w:val="0005272D"/>
    <w:rsid w:val="00056E19"/>
    <w:rsid w:val="00072C5A"/>
    <w:rsid w:val="00073DDD"/>
    <w:rsid w:val="000759E5"/>
    <w:rsid w:val="00077E0E"/>
    <w:rsid w:val="00080479"/>
    <w:rsid w:val="00084AC6"/>
    <w:rsid w:val="00091608"/>
    <w:rsid w:val="00092864"/>
    <w:rsid w:val="0009333C"/>
    <w:rsid w:val="00095EBB"/>
    <w:rsid w:val="0009704F"/>
    <w:rsid w:val="000A0F11"/>
    <w:rsid w:val="000A125A"/>
    <w:rsid w:val="000A4D7F"/>
    <w:rsid w:val="000A57CD"/>
    <w:rsid w:val="000B2634"/>
    <w:rsid w:val="000B3758"/>
    <w:rsid w:val="000B3BD8"/>
    <w:rsid w:val="000B7681"/>
    <w:rsid w:val="000B7B42"/>
    <w:rsid w:val="000C02B7"/>
    <w:rsid w:val="000C162F"/>
    <w:rsid w:val="000C5100"/>
    <w:rsid w:val="000C5342"/>
    <w:rsid w:val="000C54EB"/>
    <w:rsid w:val="000C62E7"/>
    <w:rsid w:val="000C706A"/>
    <w:rsid w:val="000D0D3A"/>
    <w:rsid w:val="000D1893"/>
    <w:rsid w:val="000D2887"/>
    <w:rsid w:val="000D5CB2"/>
    <w:rsid w:val="000D6D63"/>
    <w:rsid w:val="000E0081"/>
    <w:rsid w:val="000E07CF"/>
    <w:rsid w:val="000E2FDE"/>
    <w:rsid w:val="000E31C1"/>
    <w:rsid w:val="000F0450"/>
    <w:rsid w:val="000F2CF2"/>
    <w:rsid w:val="000F4631"/>
    <w:rsid w:val="000F486F"/>
    <w:rsid w:val="000F670B"/>
    <w:rsid w:val="000F7DB8"/>
    <w:rsid w:val="00100BEF"/>
    <w:rsid w:val="0010448B"/>
    <w:rsid w:val="00111326"/>
    <w:rsid w:val="00111796"/>
    <w:rsid w:val="00114139"/>
    <w:rsid w:val="0011498E"/>
    <w:rsid w:val="00114B53"/>
    <w:rsid w:val="00117A45"/>
    <w:rsid w:val="001201B5"/>
    <w:rsid w:val="00120D57"/>
    <w:rsid w:val="0012241F"/>
    <w:rsid w:val="001224AE"/>
    <w:rsid w:val="00127133"/>
    <w:rsid w:val="001337D4"/>
    <w:rsid w:val="00134108"/>
    <w:rsid w:val="00134C7B"/>
    <w:rsid w:val="00137780"/>
    <w:rsid w:val="00142C28"/>
    <w:rsid w:val="001452B2"/>
    <w:rsid w:val="00147C12"/>
    <w:rsid w:val="001527A1"/>
    <w:rsid w:val="001530DC"/>
    <w:rsid w:val="00154989"/>
    <w:rsid w:val="00155A9F"/>
    <w:rsid w:val="0015659C"/>
    <w:rsid w:val="00157139"/>
    <w:rsid w:val="00160262"/>
    <w:rsid w:val="0016780A"/>
    <w:rsid w:val="001709EF"/>
    <w:rsid w:val="001713FA"/>
    <w:rsid w:val="00173704"/>
    <w:rsid w:val="00173CFF"/>
    <w:rsid w:val="00173EBF"/>
    <w:rsid w:val="00175ED3"/>
    <w:rsid w:val="00176A13"/>
    <w:rsid w:val="001842A2"/>
    <w:rsid w:val="001843CC"/>
    <w:rsid w:val="00187FA8"/>
    <w:rsid w:val="00192F5E"/>
    <w:rsid w:val="001955CD"/>
    <w:rsid w:val="001973F5"/>
    <w:rsid w:val="00197645"/>
    <w:rsid w:val="00197772"/>
    <w:rsid w:val="001A34A7"/>
    <w:rsid w:val="001A51C8"/>
    <w:rsid w:val="001A70BC"/>
    <w:rsid w:val="001B007B"/>
    <w:rsid w:val="001B3A80"/>
    <w:rsid w:val="001B4CA8"/>
    <w:rsid w:val="001B5AA8"/>
    <w:rsid w:val="001B5EA1"/>
    <w:rsid w:val="001B5EDC"/>
    <w:rsid w:val="001C4F3D"/>
    <w:rsid w:val="001C603C"/>
    <w:rsid w:val="001C68E7"/>
    <w:rsid w:val="001D0CDC"/>
    <w:rsid w:val="001D1D82"/>
    <w:rsid w:val="001E1182"/>
    <w:rsid w:val="001E4DC3"/>
    <w:rsid w:val="001E6B54"/>
    <w:rsid w:val="001F0991"/>
    <w:rsid w:val="001F4CAA"/>
    <w:rsid w:val="00202C90"/>
    <w:rsid w:val="0020733E"/>
    <w:rsid w:val="00211AA4"/>
    <w:rsid w:val="00213DE8"/>
    <w:rsid w:val="00215128"/>
    <w:rsid w:val="00215FE3"/>
    <w:rsid w:val="00216118"/>
    <w:rsid w:val="00216DC7"/>
    <w:rsid w:val="0021756E"/>
    <w:rsid w:val="002209AB"/>
    <w:rsid w:val="0022119C"/>
    <w:rsid w:val="002223FD"/>
    <w:rsid w:val="00223C3E"/>
    <w:rsid w:val="002251E3"/>
    <w:rsid w:val="002257CB"/>
    <w:rsid w:val="0022597E"/>
    <w:rsid w:val="00227603"/>
    <w:rsid w:val="00227A95"/>
    <w:rsid w:val="002316BD"/>
    <w:rsid w:val="00231C67"/>
    <w:rsid w:val="002330E0"/>
    <w:rsid w:val="0023366D"/>
    <w:rsid w:val="00237D40"/>
    <w:rsid w:val="00244621"/>
    <w:rsid w:val="0024646F"/>
    <w:rsid w:val="002473FC"/>
    <w:rsid w:val="00252E3C"/>
    <w:rsid w:val="00252EF5"/>
    <w:rsid w:val="002559FD"/>
    <w:rsid w:val="00256A47"/>
    <w:rsid w:val="00261448"/>
    <w:rsid w:val="00261E51"/>
    <w:rsid w:val="00262198"/>
    <w:rsid w:val="00265044"/>
    <w:rsid w:val="0027138D"/>
    <w:rsid w:val="0027147E"/>
    <w:rsid w:val="002725F9"/>
    <w:rsid w:val="00273326"/>
    <w:rsid w:val="0027415B"/>
    <w:rsid w:val="002746B4"/>
    <w:rsid w:val="00274B3E"/>
    <w:rsid w:val="00285F1B"/>
    <w:rsid w:val="00287189"/>
    <w:rsid w:val="00291560"/>
    <w:rsid w:val="002924C7"/>
    <w:rsid w:val="00292B81"/>
    <w:rsid w:val="002965D9"/>
    <w:rsid w:val="0029751A"/>
    <w:rsid w:val="002B18AE"/>
    <w:rsid w:val="002B5638"/>
    <w:rsid w:val="002B5843"/>
    <w:rsid w:val="002B79B0"/>
    <w:rsid w:val="002C081F"/>
    <w:rsid w:val="002C148C"/>
    <w:rsid w:val="002C189B"/>
    <w:rsid w:val="002C1A02"/>
    <w:rsid w:val="002C1C93"/>
    <w:rsid w:val="002C5066"/>
    <w:rsid w:val="002C51E9"/>
    <w:rsid w:val="002C5813"/>
    <w:rsid w:val="002D4AAC"/>
    <w:rsid w:val="002D58F2"/>
    <w:rsid w:val="002F045A"/>
    <w:rsid w:val="002F0B87"/>
    <w:rsid w:val="002F231C"/>
    <w:rsid w:val="002F712A"/>
    <w:rsid w:val="002F753C"/>
    <w:rsid w:val="0030039D"/>
    <w:rsid w:val="00301355"/>
    <w:rsid w:val="00302D50"/>
    <w:rsid w:val="0030326F"/>
    <w:rsid w:val="00306B34"/>
    <w:rsid w:val="00310701"/>
    <w:rsid w:val="00310F46"/>
    <w:rsid w:val="00313B17"/>
    <w:rsid w:val="003156EF"/>
    <w:rsid w:val="00315980"/>
    <w:rsid w:val="003161E7"/>
    <w:rsid w:val="00316F7F"/>
    <w:rsid w:val="00317609"/>
    <w:rsid w:val="0032076F"/>
    <w:rsid w:val="003218E8"/>
    <w:rsid w:val="003227AD"/>
    <w:rsid w:val="00324BF4"/>
    <w:rsid w:val="00325A2F"/>
    <w:rsid w:val="00325E34"/>
    <w:rsid w:val="00326536"/>
    <w:rsid w:val="00330DCE"/>
    <w:rsid w:val="00331E11"/>
    <w:rsid w:val="00332F90"/>
    <w:rsid w:val="00334761"/>
    <w:rsid w:val="00334EED"/>
    <w:rsid w:val="00335101"/>
    <w:rsid w:val="00337EBC"/>
    <w:rsid w:val="00341DCD"/>
    <w:rsid w:val="003425DD"/>
    <w:rsid w:val="0034477D"/>
    <w:rsid w:val="0034563E"/>
    <w:rsid w:val="003518D6"/>
    <w:rsid w:val="0035342F"/>
    <w:rsid w:val="0035460C"/>
    <w:rsid w:val="003556BD"/>
    <w:rsid w:val="00356E9C"/>
    <w:rsid w:val="00360D05"/>
    <w:rsid w:val="003632D4"/>
    <w:rsid w:val="00365147"/>
    <w:rsid w:val="0036518F"/>
    <w:rsid w:val="0036577C"/>
    <w:rsid w:val="00365F93"/>
    <w:rsid w:val="003670E2"/>
    <w:rsid w:val="0037016E"/>
    <w:rsid w:val="00372908"/>
    <w:rsid w:val="00372CD9"/>
    <w:rsid w:val="003818D2"/>
    <w:rsid w:val="00383020"/>
    <w:rsid w:val="00384670"/>
    <w:rsid w:val="003849BC"/>
    <w:rsid w:val="0038555B"/>
    <w:rsid w:val="00387D68"/>
    <w:rsid w:val="00390F43"/>
    <w:rsid w:val="00394D7E"/>
    <w:rsid w:val="003975FD"/>
    <w:rsid w:val="003A15C6"/>
    <w:rsid w:val="003A1B56"/>
    <w:rsid w:val="003A1B86"/>
    <w:rsid w:val="003A1C65"/>
    <w:rsid w:val="003A37E3"/>
    <w:rsid w:val="003A7E3F"/>
    <w:rsid w:val="003B057D"/>
    <w:rsid w:val="003B227D"/>
    <w:rsid w:val="003B3154"/>
    <w:rsid w:val="003B4B40"/>
    <w:rsid w:val="003B5945"/>
    <w:rsid w:val="003B60CC"/>
    <w:rsid w:val="003B7E92"/>
    <w:rsid w:val="003C1546"/>
    <w:rsid w:val="003C1B25"/>
    <w:rsid w:val="003C1C43"/>
    <w:rsid w:val="003C2443"/>
    <w:rsid w:val="003C5DA3"/>
    <w:rsid w:val="003D18E5"/>
    <w:rsid w:val="003D4BCD"/>
    <w:rsid w:val="003D6C2B"/>
    <w:rsid w:val="003E01D8"/>
    <w:rsid w:val="003E2100"/>
    <w:rsid w:val="003E3DA9"/>
    <w:rsid w:val="003E4571"/>
    <w:rsid w:val="003F6F5B"/>
    <w:rsid w:val="00400625"/>
    <w:rsid w:val="00400844"/>
    <w:rsid w:val="00400CCC"/>
    <w:rsid w:val="004024F6"/>
    <w:rsid w:val="0040270A"/>
    <w:rsid w:val="00403196"/>
    <w:rsid w:val="0040342D"/>
    <w:rsid w:val="00405920"/>
    <w:rsid w:val="0041192D"/>
    <w:rsid w:val="00413EE1"/>
    <w:rsid w:val="0042128E"/>
    <w:rsid w:val="004263AE"/>
    <w:rsid w:val="004269C2"/>
    <w:rsid w:val="00432B60"/>
    <w:rsid w:val="00440698"/>
    <w:rsid w:val="00444568"/>
    <w:rsid w:val="00446EEE"/>
    <w:rsid w:val="00450F8B"/>
    <w:rsid w:val="004540E2"/>
    <w:rsid w:val="00454454"/>
    <w:rsid w:val="00456E01"/>
    <w:rsid w:val="004606C9"/>
    <w:rsid w:val="00463A45"/>
    <w:rsid w:val="004649FA"/>
    <w:rsid w:val="00467924"/>
    <w:rsid w:val="004712A5"/>
    <w:rsid w:val="004719AA"/>
    <w:rsid w:val="0047266F"/>
    <w:rsid w:val="004758B2"/>
    <w:rsid w:val="00476D6B"/>
    <w:rsid w:val="00482A7C"/>
    <w:rsid w:val="00482AC4"/>
    <w:rsid w:val="00483D4D"/>
    <w:rsid w:val="00484710"/>
    <w:rsid w:val="00484C62"/>
    <w:rsid w:val="00486C85"/>
    <w:rsid w:val="00492C16"/>
    <w:rsid w:val="00497159"/>
    <w:rsid w:val="004979F0"/>
    <w:rsid w:val="004A0678"/>
    <w:rsid w:val="004A10C3"/>
    <w:rsid w:val="004A48A3"/>
    <w:rsid w:val="004B0D92"/>
    <w:rsid w:val="004B0EC0"/>
    <w:rsid w:val="004B66F1"/>
    <w:rsid w:val="004B747A"/>
    <w:rsid w:val="004C3EA0"/>
    <w:rsid w:val="004C4525"/>
    <w:rsid w:val="004C49FC"/>
    <w:rsid w:val="004D238D"/>
    <w:rsid w:val="004D5FCD"/>
    <w:rsid w:val="004D61C5"/>
    <w:rsid w:val="004E2C8E"/>
    <w:rsid w:val="004E56F3"/>
    <w:rsid w:val="004E5E68"/>
    <w:rsid w:val="004E7333"/>
    <w:rsid w:val="004F43E3"/>
    <w:rsid w:val="004F7169"/>
    <w:rsid w:val="00500D66"/>
    <w:rsid w:val="005037E3"/>
    <w:rsid w:val="00503A8B"/>
    <w:rsid w:val="005079D0"/>
    <w:rsid w:val="00514900"/>
    <w:rsid w:val="00514C8E"/>
    <w:rsid w:val="00515702"/>
    <w:rsid w:val="00517D00"/>
    <w:rsid w:val="0052034A"/>
    <w:rsid w:val="005266CC"/>
    <w:rsid w:val="00531C7B"/>
    <w:rsid w:val="00531DBF"/>
    <w:rsid w:val="0053422F"/>
    <w:rsid w:val="00537B5C"/>
    <w:rsid w:val="00545759"/>
    <w:rsid w:val="00545BE0"/>
    <w:rsid w:val="00546930"/>
    <w:rsid w:val="005470C4"/>
    <w:rsid w:val="00552423"/>
    <w:rsid w:val="00554C6A"/>
    <w:rsid w:val="00560B6D"/>
    <w:rsid w:val="00562E85"/>
    <w:rsid w:val="0056332F"/>
    <w:rsid w:val="00566552"/>
    <w:rsid w:val="00570FD7"/>
    <w:rsid w:val="005719B3"/>
    <w:rsid w:val="0057295E"/>
    <w:rsid w:val="00572F1E"/>
    <w:rsid w:val="00574DD7"/>
    <w:rsid w:val="005751AC"/>
    <w:rsid w:val="00581C39"/>
    <w:rsid w:val="00585C24"/>
    <w:rsid w:val="00586908"/>
    <w:rsid w:val="00586EBF"/>
    <w:rsid w:val="005903B6"/>
    <w:rsid w:val="005A0247"/>
    <w:rsid w:val="005A126E"/>
    <w:rsid w:val="005A17C5"/>
    <w:rsid w:val="005A2209"/>
    <w:rsid w:val="005A452F"/>
    <w:rsid w:val="005A4E9D"/>
    <w:rsid w:val="005A59BB"/>
    <w:rsid w:val="005A680D"/>
    <w:rsid w:val="005B0BA4"/>
    <w:rsid w:val="005B140D"/>
    <w:rsid w:val="005B5D4D"/>
    <w:rsid w:val="005C1FEA"/>
    <w:rsid w:val="005C3495"/>
    <w:rsid w:val="005C6490"/>
    <w:rsid w:val="005D1583"/>
    <w:rsid w:val="005E212E"/>
    <w:rsid w:val="005E3DFC"/>
    <w:rsid w:val="005E5942"/>
    <w:rsid w:val="005E60AF"/>
    <w:rsid w:val="005F1BCF"/>
    <w:rsid w:val="005F1DEA"/>
    <w:rsid w:val="005F2814"/>
    <w:rsid w:val="00607FC9"/>
    <w:rsid w:val="00611557"/>
    <w:rsid w:val="006130C3"/>
    <w:rsid w:val="00622FE1"/>
    <w:rsid w:val="0062521C"/>
    <w:rsid w:val="00625229"/>
    <w:rsid w:val="006263EC"/>
    <w:rsid w:val="00627E54"/>
    <w:rsid w:val="00630A2B"/>
    <w:rsid w:val="00632DC7"/>
    <w:rsid w:val="006330AE"/>
    <w:rsid w:val="006357FB"/>
    <w:rsid w:val="00636B81"/>
    <w:rsid w:val="006406FC"/>
    <w:rsid w:val="006407CF"/>
    <w:rsid w:val="00640E57"/>
    <w:rsid w:val="00645C89"/>
    <w:rsid w:val="00646122"/>
    <w:rsid w:val="00653E16"/>
    <w:rsid w:val="00657220"/>
    <w:rsid w:val="00657362"/>
    <w:rsid w:val="0066104B"/>
    <w:rsid w:val="006655EE"/>
    <w:rsid w:val="00667C10"/>
    <w:rsid w:val="00667EF4"/>
    <w:rsid w:val="00670428"/>
    <w:rsid w:val="00676FCA"/>
    <w:rsid w:val="00677177"/>
    <w:rsid w:val="006855D5"/>
    <w:rsid w:val="0068612E"/>
    <w:rsid w:val="00687C92"/>
    <w:rsid w:val="0069534E"/>
    <w:rsid w:val="0069645F"/>
    <w:rsid w:val="0069669C"/>
    <w:rsid w:val="006A1200"/>
    <w:rsid w:val="006A1EF5"/>
    <w:rsid w:val="006A2CAF"/>
    <w:rsid w:val="006A32D6"/>
    <w:rsid w:val="006A4F4E"/>
    <w:rsid w:val="006A5308"/>
    <w:rsid w:val="006A576E"/>
    <w:rsid w:val="006A58D7"/>
    <w:rsid w:val="006A6C23"/>
    <w:rsid w:val="006A726E"/>
    <w:rsid w:val="006B14DB"/>
    <w:rsid w:val="006B21C4"/>
    <w:rsid w:val="006B6EF9"/>
    <w:rsid w:val="006C1B78"/>
    <w:rsid w:val="006C28AA"/>
    <w:rsid w:val="006C4563"/>
    <w:rsid w:val="006C4A1A"/>
    <w:rsid w:val="006C6531"/>
    <w:rsid w:val="006C7727"/>
    <w:rsid w:val="006D0393"/>
    <w:rsid w:val="006D1A83"/>
    <w:rsid w:val="006D6FD5"/>
    <w:rsid w:val="006D7FF0"/>
    <w:rsid w:val="006E0F01"/>
    <w:rsid w:val="006E1CFE"/>
    <w:rsid w:val="006E47F9"/>
    <w:rsid w:val="006E4EA3"/>
    <w:rsid w:val="006E5DFE"/>
    <w:rsid w:val="006E6432"/>
    <w:rsid w:val="006F0453"/>
    <w:rsid w:val="006F10C4"/>
    <w:rsid w:val="006F40E9"/>
    <w:rsid w:val="006F5603"/>
    <w:rsid w:val="006F60BC"/>
    <w:rsid w:val="006F7B87"/>
    <w:rsid w:val="0070036B"/>
    <w:rsid w:val="00701400"/>
    <w:rsid w:val="007037CF"/>
    <w:rsid w:val="00710186"/>
    <w:rsid w:val="00712801"/>
    <w:rsid w:val="007167C0"/>
    <w:rsid w:val="00720481"/>
    <w:rsid w:val="00726008"/>
    <w:rsid w:val="00732B28"/>
    <w:rsid w:val="00733193"/>
    <w:rsid w:val="00735ABB"/>
    <w:rsid w:val="00735EF4"/>
    <w:rsid w:val="007361FC"/>
    <w:rsid w:val="007401EC"/>
    <w:rsid w:val="007402A6"/>
    <w:rsid w:val="007430E0"/>
    <w:rsid w:val="00744608"/>
    <w:rsid w:val="00744DDA"/>
    <w:rsid w:val="00745E03"/>
    <w:rsid w:val="00746C63"/>
    <w:rsid w:val="00753673"/>
    <w:rsid w:val="00756997"/>
    <w:rsid w:val="0075732A"/>
    <w:rsid w:val="007600F8"/>
    <w:rsid w:val="00760262"/>
    <w:rsid w:val="007608B3"/>
    <w:rsid w:val="007613D9"/>
    <w:rsid w:val="0076310C"/>
    <w:rsid w:val="0076582E"/>
    <w:rsid w:val="0076744F"/>
    <w:rsid w:val="00767BCE"/>
    <w:rsid w:val="00767EFC"/>
    <w:rsid w:val="007707DE"/>
    <w:rsid w:val="00770B5D"/>
    <w:rsid w:val="007752F1"/>
    <w:rsid w:val="007762EF"/>
    <w:rsid w:val="00776768"/>
    <w:rsid w:val="007777A6"/>
    <w:rsid w:val="007808E7"/>
    <w:rsid w:val="00780C96"/>
    <w:rsid w:val="0078187A"/>
    <w:rsid w:val="007824EB"/>
    <w:rsid w:val="00782776"/>
    <w:rsid w:val="00783ABD"/>
    <w:rsid w:val="007877D8"/>
    <w:rsid w:val="0079041C"/>
    <w:rsid w:val="007946F0"/>
    <w:rsid w:val="00794855"/>
    <w:rsid w:val="00794ED8"/>
    <w:rsid w:val="007A2573"/>
    <w:rsid w:val="007A3F0E"/>
    <w:rsid w:val="007B106C"/>
    <w:rsid w:val="007B1A4E"/>
    <w:rsid w:val="007B23A0"/>
    <w:rsid w:val="007B3D05"/>
    <w:rsid w:val="007B5503"/>
    <w:rsid w:val="007C179C"/>
    <w:rsid w:val="007C21E3"/>
    <w:rsid w:val="007C4BE2"/>
    <w:rsid w:val="007C5230"/>
    <w:rsid w:val="007C6BB3"/>
    <w:rsid w:val="007D0B98"/>
    <w:rsid w:val="007D14B4"/>
    <w:rsid w:val="007D209F"/>
    <w:rsid w:val="007D398C"/>
    <w:rsid w:val="007D3AD7"/>
    <w:rsid w:val="007D67D6"/>
    <w:rsid w:val="007E24F6"/>
    <w:rsid w:val="007E33AD"/>
    <w:rsid w:val="007E4BC8"/>
    <w:rsid w:val="007E6086"/>
    <w:rsid w:val="007F1ABC"/>
    <w:rsid w:val="00800F64"/>
    <w:rsid w:val="00801050"/>
    <w:rsid w:val="00802F0B"/>
    <w:rsid w:val="0080417B"/>
    <w:rsid w:val="00807BB8"/>
    <w:rsid w:val="00810A67"/>
    <w:rsid w:val="00813368"/>
    <w:rsid w:val="008164CC"/>
    <w:rsid w:val="008223F3"/>
    <w:rsid w:val="0083074F"/>
    <w:rsid w:val="00833CF7"/>
    <w:rsid w:val="00834CDE"/>
    <w:rsid w:val="008364B9"/>
    <w:rsid w:val="00837589"/>
    <w:rsid w:val="00842128"/>
    <w:rsid w:val="00842464"/>
    <w:rsid w:val="0084431D"/>
    <w:rsid w:val="00845601"/>
    <w:rsid w:val="00850519"/>
    <w:rsid w:val="00855A8A"/>
    <w:rsid w:val="00855C5C"/>
    <w:rsid w:val="00865A2F"/>
    <w:rsid w:val="00867590"/>
    <w:rsid w:val="008679B5"/>
    <w:rsid w:val="00867A70"/>
    <w:rsid w:val="0087312F"/>
    <w:rsid w:val="00876600"/>
    <w:rsid w:val="00885298"/>
    <w:rsid w:val="008856C8"/>
    <w:rsid w:val="00893305"/>
    <w:rsid w:val="008971AC"/>
    <w:rsid w:val="00897628"/>
    <w:rsid w:val="008A2023"/>
    <w:rsid w:val="008A3C96"/>
    <w:rsid w:val="008B4019"/>
    <w:rsid w:val="008B65C9"/>
    <w:rsid w:val="008B6D03"/>
    <w:rsid w:val="008C004D"/>
    <w:rsid w:val="008C2D4A"/>
    <w:rsid w:val="008D3900"/>
    <w:rsid w:val="008D4392"/>
    <w:rsid w:val="008D5C91"/>
    <w:rsid w:val="008D6E1D"/>
    <w:rsid w:val="008D7601"/>
    <w:rsid w:val="008E6DCE"/>
    <w:rsid w:val="008F3739"/>
    <w:rsid w:val="008F39B4"/>
    <w:rsid w:val="008F4162"/>
    <w:rsid w:val="008F5532"/>
    <w:rsid w:val="009006F0"/>
    <w:rsid w:val="00901FF8"/>
    <w:rsid w:val="00903E02"/>
    <w:rsid w:val="00912A4D"/>
    <w:rsid w:val="00913175"/>
    <w:rsid w:val="00916EDB"/>
    <w:rsid w:val="0092000C"/>
    <w:rsid w:val="00920861"/>
    <w:rsid w:val="00921E15"/>
    <w:rsid w:val="00922743"/>
    <w:rsid w:val="00922B13"/>
    <w:rsid w:val="009242EF"/>
    <w:rsid w:val="00924E19"/>
    <w:rsid w:val="009313D9"/>
    <w:rsid w:val="00931460"/>
    <w:rsid w:val="009314D6"/>
    <w:rsid w:val="00932291"/>
    <w:rsid w:val="00932861"/>
    <w:rsid w:val="00933B8C"/>
    <w:rsid w:val="0093408E"/>
    <w:rsid w:val="00942134"/>
    <w:rsid w:val="00943483"/>
    <w:rsid w:val="00946177"/>
    <w:rsid w:val="00952DDF"/>
    <w:rsid w:val="009610A3"/>
    <w:rsid w:val="00963B6A"/>
    <w:rsid w:val="00964A47"/>
    <w:rsid w:val="00967C57"/>
    <w:rsid w:val="00970255"/>
    <w:rsid w:val="00970950"/>
    <w:rsid w:val="00971EF4"/>
    <w:rsid w:val="00972FBE"/>
    <w:rsid w:val="00974D65"/>
    <w:rsid w:val="009772C5"/>
    <w:rsid w:val="00977B2F"/>
    <w:rsid w:val="00977BF3"/>
    <w:rsid w:val="009812D4"/>
    <w:rsid w:val="00991073"/>
    <w:rsid w:val="009920D8"/>
    <w:rsid w:val="00993066"/>
    <w:rsid w:val="009952F5"/>
    <w:rsid w:val="00997AE6"/>
    <w:rsid w:val="009A1276"/>
    <w:rsid w:val="009A4046"/>
    <w:rsid w:val="009B1F22"/>
    <w:rsid w:val="009B38BE"/>
    <w:rsid w:val="009B730E"/>
    <w:rsid w:val="009C3D0F"/>
    <w:rsid w:val="009D135B"/>
    <w:rsid w:val="009D5019"/>
    <w:rsid w:val="009D63FA"/>
    <w:rsid w:val="009E1B19"/>
    <w:rsid w:val="009E69BC"/>
    <w:rsid w:val="009F053A"/>
    <w:rsid w:val="009F35E2"/>
    <w:rsid w:val="009F65F9"/>
    <w:rsid w:val="009F68BA"/>
    <w:rsid w:val="00A0399E"/>
    <w:rsid w:val="00A03C48"/>
    <w:rsid w:val="00A06277"/>
    <w:rsid w:val="00A079DC"/>
    <w:rsid w:val="00A111C2"/>
    <w:rsid w:val="00A13842"/>
    <w:rsid w:val="00A21EB8"/>
    <w:rsid w:val="00A25A33"/>
    <w:rsid w:val="00A338E7"/>
    <w:rsid w:val="00A35CAA"/>
    <w:rsid w:val="00A36E7F"/>
    <w:rsid w:val="00A378D9"/>
    <w:rsid w:val="00A411F4"/>
    <w:rsid w:val="00A41E65"/>
    <w:rsid w:val="00A42DA1"/>
    <w:rsid w:val="00A43B8C"/>
    <w:rsid w:val="00A43E0A"/>
    <w:rsid w:val="00A51D03"/>
    <w:rsid w:val="00A530C7"/>
    <w:rsid w:val="00A54B36"/>
    <w:rsid w:val="00A55F5B"/>
    <w:rsid w:val="00A57C8D"/>
    <w:rsid w:val="00A60185"/>
    <w:rsid w:val="00A6060C"/>
    <w:rsid w:val="00A61A6E"/>
    <w:rsid w:val="00A661EA"/>
    <w:rsid w:val="00A6753C"/>
    <w:rsid w:val="00A67E13"/>
    <w:rsid w:val="00A74EDE"/>
    <w:rsid w:val="00A7740B"/>
    <w:rsid w:val="00A830E5"/>
    <w:rsid w:val="00A87135"/>
    <w:rsid w:val="00A8777B"/>
    <w:rsid w:val="00A905E7"/>
    <w:rsid w:val="00A93280"/>
    <w:rsid w:val="00A93817"/>
    <w:rsid w:val="00A944A3"/>
    <w:rsid w:val="00A951EA"/>
    <w:rsid w:val="00A961C6"/>
    <w:rsid w:val="00AA2548"/>
    <w:rsid w:val="00AA2570"/>
    <w:rsid w:val="00AA4237"/>
    <w:rsid w:val="00AA58C4"/>
    <w:rsid w:val="00AA7003"/>
    <w:rsid w:val="00AB11C8"/>
    <w:rsid w:val="00AB194A"/>
    <w:rsid w:val="00AB3B0D"/>
    <w:rsid w:val="00AB607B"/>
    <w:rsid w:val="00AC08A8"/>
    <w:rsid w:val="00AC0B92"/>
    <w:rsid w:val="00AC1FF7"/>
    <w:rsid w:val="00AC4144"/>
    <w:rsid w:val="00AC5AB3"/>
    <w:rsid w:val="00AC622D"/>
    <w:rsid w:val="00AC7B20"/>
    <w:rsid w:val="00AD316A"/>
    <w:rsid w:val="00AD356C"/>
    <w:rsid w:val="00AD56C8"/>
    <w:rsid w:val="00AD58F2"/>
    <w:rsid w:val="00AD7B61"/>
    <w:rsid w:val="00AE0C16"/>
    <w:rsid w:val="00AE1623"/>
    <w:rsid w:val="00AE1A40"/>
    <w:rsid w:val="00AF3E81"/>
    <w:rsid w:val="00B0512A"/>
    <w:rsid w:val="00B0529F"/>
    <w:rsid w:val="00B077B7"/>
    <w:rsid w:val="00B114BE"/>
    <w:rsid w:val="00B120AD"/>
    <w:rsid w:val="00B133C2"/>
    <w:rsid w:val="00B1418B"/>
    <w:rsid w:val="00B17DDE"/>
    <w:rsid w:val="00B20E92"/>
    <w:rsid w:val="00B21195"/>
    <w:rsid w:val="00B226B5"/>
    <w:rsid w:val="00B23A93"/>
    <w:rsid w:val="00B24B22"/>
    <w:rsid w:val="00B25310"/>
    <w:rsid w:val="00B304E5"/>
    <w:rsid w:val="00B325AB"/>
    <w:rsid w:val="00B32F8F"/>
    <w:rsid w:val="00B3492A"/>
    <w:rsid w:val="00B37F42"/>
    <w:rsid w:val="00B41FBA"/>
    <w:rsid w:val="00B44388"/>
    <w:rsid w:val="00B51861"/>
    <w:rsid w:val="00B5309A"/>
    <w:rsid w:val="00B54DE9"/>
    <w:rsid w:val="00B553EC"/>
    <w:rsid w:val="00B55E3F"/>
    <w:rsid w:val="00B6012C"/>
    <w:rsid w:val="00B62F35"/>
    <w:rsid w:val="00B63C1E"/>
    <w:rsid w:val="00B70019"/>
    <w:rsid w:val="00B703E3"/>
    <w:rsid w:val="00B71366"/>
    <w:rsid w:val="00B717DC"/>
    <w:rsid w:val="00B740C1"/>
    <w:rsid w:val="00B86380"/>
    <w:rsid w:val="00B93DD0"/>
    <w:rsid w:val="00B972C4"/>
    <w:rsid w:val="00B97732"/>
    <w:rsid w:val="00B97B40"/>
    <w:rsid w:val="00BA11CE"/>
    <w:rsid w:val="00BA5EF6"/>
    <w:rsid w:val="00BA65A8"/>
    <w:rsid w:val="00BA6D19"/>
    <w:rsid w:val="00BA7440"/>
    <w:rsid w:val="00BA7461"/>
    <w:rsid w:val="00BA7A53"/>
    <w:rsid w:val="00BA7DA9"/>
    <w:rsid w:val="00BB311C"/>
    <w:rsid w:val="00BC1F7F"/>
    <w:rsid w:val="00BC4215"/>
    <w:rsid w:val="00BC5432"/>
    <w:rsid w:val="00BD1A6F"/>
    <w:rsid w:val="00BD27D0"/>
    <w:rsid w:val="00BD4ED8"/>
    <w:rsid w:val="00BE0F48"/>
    <w:rsid w:val="00BE40B4"/>
    <w:rsid w:val="00BE68A0"/>
    <w:rsid w:val="00BE6D3C"/>
    <w:rsid w:val="00BE7852"/>
    <w:rsid w:val="00BF3070"/>
    <w:rsid w:val="00BF74C1"/>
    <w:rsid w:val="00BF7CEE"/>
    <w:rsid w:val="00C01076"/>
    <w:rsid w:val="00C025D7"/>
    <w:rsid w:val="00C03880"/>
    <w:rsid w:val="00C135CF"/>
    <w:rsid w:val="00C22844"/>
    <w:rsid w:val="00C2683F"/>
    <w:rsid w:val="00C3184D"/>
    <w:rsid w:val="00C35389"/>
    <w:rsid w:val="00C40AC6"/>
    <w:rsid w:val="00C40AD0"/>
    <w:rsid w:val="00C442A8"/>
    <w:rsid w:val="00C449F8"/>
    <w:rsid w:val="00C47030"/>
    <w:rsid w:val="00C4714E"/>
    <w:rsid w:val="00C51A96"/>
    <w:rsid w:val="00C51CCA"/>
    <w:rsid w:val="00C5504F"/>
    <w:rsid w:val="00C57B55"/>
    <w:rsid w:val="00C61F76"/>
    <w:rsid w:val="00C63376"/>
    <w:rsid w:val="00C743A7"/>
    <w:rsid w:val="00C74F97"/>
    <w:rsid w:val="00C8276E"/>
    <w:rsid w:val="00C83B59"/>
    <w:rsid w:val="00C842AC"/>
    <w:rsid w:val="00C90D66"/>
    <w:rsid w:val="00C93B12"/>
    <w:rsid w:val="00C95293"/>
    <w:rsid w:val="00C9643F"/>
    <w:rsid w:val="00C96688"/>
    <w:rsid w:val="00CA024A"/>
    <w:rsid w:val="00CA0723"/>
    <w:rsid w:val="00CA2421"/>
    <w:rsid w:val="00CA56ED"/>
    <w:rsid w:val="00CA5BD9"/>
    <w:rsid w:val="00CB1690"/>
    <w:rsid w:val="00CB503C"/>
    <w:rsid w:val="00CC1C87"/>
    <w:rsid w:val="00CC4365"/>
    <w:rsid w:val="00CD0543"/>
    <w:rsid w:val="00CD11B0"/>
    <w:rsid w:val="00CE2094"/>
    <w:rsid w:val="00CE5C2A"/>
    <w:rsid w:val="00CE71C2"/>
    <w:rsid w:val="00CF1DE5"/>
    <w:rsid w:val="00CF34E9"/>
    <w:rsid w:val="00CF42D5"/>
    <w:rsid w:val="00CF4EDA"/>
    <w:rsid w:val="00CF5421"/>
    <w:rsid w:val="00CF6A36"/>
    <w:rsid w:val="00CF7D7F"/>
    <w:rsid w:val="00D021CB"/>
    <w:rsid w:val="00D057D0"/>
    <w:rsid w:val="00D10F1A"/>
    <w:rsid w:val="00D116F8"/>
    <w:rsid w:val="00D16C5F"/>
    <w:rsid w:val="00D17596"/>
    <w:rsid w:val="00D21D54"/>
    <w:rsid w:val="00D22640"/>
    <w:rsid w:val="00D2475A"/>
    <w:rsid w:val="00D262E4"/>
    <w:rsid w:val="00D26381"/>
    <w:rsid w:val="00D26D3A"/>
    <w:rsid w:val="00D27B23"/>
    <w:rsid w:val="00D40B13"/>
    <w:rsid w:val="00D44501"/>
    <w:rsid w:val="00D45EE3"/>
    <w:rsid w:val="00D50618"/>
    <w:rsid w:val="00D509E9"/>
    <w:rsid w:val="00D53B1C"/>
    <w:rsid w:val="00D541C1"/>
    <w:rsid w:val="00D61AC9"/>
    <w:rsid w:val="00D61CBE"/>
    <w:rsid w:val="00D63066"/>
    <w:rsid w:val="00D67A84"/>
    <w:rsid w:val="00D7416C"/>
    <w:rsid w:val="00D75CBA"/>
    <w:rsid w:val="00D836EA"/>
    <w:rsid w:val="00D838BB"/>
    <w:rsid w:val="00D86C6D"/>
    <w:rsid w:val="00D95E5E"/>
    <w:rsid w:val="00D97CBC"/>
    <w:rsid w:val="00DA1B12"/>
    <w:rsid w:val="00DA54C9"/>
    <w:rsid w:val="00DA6739"/>
    <w:rsid w:val="00DA6CAE"/>
    <w:rsid w:val="00DB0F52"/>
    <w:rsid w:val="00DB1A9E"/>
    <w:rsid w:val="00DB31D6"/>
    <w:rsid w:val="00DB342C"/>
    <w:rsid w:val="00DB4005"/>
    <w:rsid w:val="00DB4D33"/>
    <w:rsid w:val="00DB771E"/>
    <w:rsid w:val="00DC0307"/>
    <w:rsid w:val="00DC2B74"/>
    <w:rsid w:val="00DC34EB"/>
    <w:rsid w:val="00DD1548"/>
    <w:rsid w:val="00DD1783"/>
    <w:rsid w:val="00DD4118"/>
    <w:rsid w:val="00DD6B89"/>
    <w:rsid w:val="00DD7A6B"/>
    <w:rsid w:val="00DE0238"/>
    <w:rsid w:val="00DF080D"/>
    <w:rsid w:val="00DF1E5B"/>
    <w:rsid w:val="00DF2275"/>
    <w:rsid w:val="00DF25A8"/>
    <w:rsid w:val="00DF27FA"/>
    <w:rsid w:val="00DF2B4E"/>
    <w:rsid w:val="00DF3F5E"/>
    <w:rsid w:val="00DF5653"/>
    <w:rsid w:val="00DF7119"/>
    <w:rsid w:val="00DF78CD"/>
    <w:rsid w:val="00E0046F"/>
    <w:rsid w:val="00E00CC0"/>
    <w:rsid w:val="00E03D6A"/>
    <w:rsid w:val="00E0596E"/>
    <w:rsid w:val="00E06F66"/>
    <w:rsid w:val="00E308BB"/>
    <w:rsid w:val="00E3190E"/>
    <w:rsid w:val="00E34C39"/>
    <w:rsid w:val="00E356E5"/>
    <w:rsid w:val="00E357E4"/>
    <w:rsid w:val="00E36F81"/>
    <w:rsid w:val="00E3768F"/>
    <w:rsid w:val="00E40A6F"/>
    <w:rsid w:val="00E415FE"/>
    <w:rsid w:val="00E43CD3"/>
    <w:rsid w:val="00E445BD"/>
    <w:rsid w:val="00E45765"/>
    <w:rsid w:val="00E5098C"/>
    <w:rsid w:val="00E5343F"/>
    <w:rsid w:val="00E60213"/>
    <w:rsid w:val="00E65D65"/>
    <w:rsid w:val="00E661B2"/>
    <w:rsid w:val="00E70222"/>
    <w:rsid w:val="00E7196B"/>
    <w:rsid w:val="00E74D29"/>
    <w:rsid w:val="00E77469"/>
    <w:rsid w:val="00E77B51"/>
    <w:rsid w:val="00E83C74"/>
    <w:rsid w:val="00E83CEE"/>
    <w:rsid w:val="00E86F8F"/>
    <w:rsid w:val="00E91B0F"/>
    <w:rsid w:val="00E91F18"/>
    <w:rsid w:val="00E9226D"/>
    <w:rsid w:val="00E92652"/>
    <w:rsid w:val="00E9304F"/>
    <w:rsid w:val="00E943AB"/>
    <w:rsid w:val="00E96833"/>
    <w:rsid w:val="00EA416C"/>
    <w:rsid w:val="00EA48C9"/>
    <w:rsid w:val="00EA5941"/>
    <w:rsid w:val="00EA6DB3"/>
    <w:rsid w:val="00EB1365"/>
    <w:rsid w:val="00EB60CE"/>
    <w:rsid w:val="00EB7D53"/>
    <w:rsid w:val="00EC2C8B"/>
    <w:rsid w:val="00ED0F91"/>
    <w:rsid w:val="00ED2589"/>
    <w:rsid w:val="00ED3CDB"/>
    <w:rsid w:val="00ED530F"/>
    <w:rsid w:val="00EE3146"/>
    <w:rsid w:val="00EE4C18"/>
    <w:rsid w:val="00EE5046"/>
    <w:rsid w:val="00EF50BB"/>
    <w:rsid w:val="00EF53FF"/>
    <w:rsid w:val="00EF6A50"/>
    <w:rsid w:val="00F00192"/>
    <w:rsid w:val="00F01CDA"/>
    <w:rsid w:val="00F01DF6"/>
    <w:rsid w:val="00F02ABE"/>
    <w:rsid w:val="00F0340D"/>
    <w:rsid w:val="00F04D13"/>
    <w:rsid w:val="00F04FCE"/>
    <w:rsid w:val="00F059A6"/>
    <w:rsid w:val="00F10B2F"/>
    <w:rsid w:val="00F20EFA"/>
    <w:rsid w:val="00F23756"/>
    <w:rsid w:val="00F23AC0"/>
    <w:rsid w:val="00F23AF1"/>
    <w:rsid w:val="00F2523A"/>
    <w:rsid w:val="00F25FFA"/>
    <w:rsid w:val="00F310D2"/>
    <w:rsid w:val="00F33E26"/>
    <w:rsid w:val="00F36F3D"/>
    <w:rsid w:val="00F45F0F"/>
    <w:rsid w:val="00F477BD"/>
    <w:rsid w:val="00F530B6"/>
    <w:rsid w:val="00F53491"/>
    <w:rsid w:val="00F54B0D"/>
    <w:rsid w:val="00F571FB"/>
    <w:rsid w:val="00F60C1A"/>
    <w:rsid w:val="00F61DE4"/>
    <w:rsid w:val="00F62416"/>
    <w:rsid w:val="00F63254"/>
    <w:rsid w:val="00F65A1C"/>
    <w:rsid w:val="00F66F50"/>
    <w:rsid w:val="00F66F59"/>
    <w:rsid w:val="00F72DCB"/>
    <w:rsid w:val="00F7301F"/>
    <w:rsid w:val="00F7370F"/>
    <w:rsid w:val="00F74FEC"/>
    <w:rsid w:val="00F82FF8"/>
    <w:rsid w:val="00F8330D"/>
    <w:rsid w:val="00F84305"/>
    <w:rsid w:val="00F8472A"/>
    <w:rsid w:val="00F8485C"/>
    <w:rsid w:val="00F8613A"/>
    <w:rsid w:val="00F87149"/>
    <w:rsid w:val="00F876B7"/>
    <w:rsid w:val="00F87FFE"/>
    <w:rsid w:val="00F9004A"/>
    <w:rsid w:val="00F94F52"/>
    <w:rsid w:val="00F954C9"/>
    <w:rsid w:val="00F95F29"/>
    <w:rsid w:val="00FA3398"/>
    <w:rsid w:val="00FA4CF0"/>
    <w:rsid w:val="00FA61AA"/>
    <w:rsid w:val="00FA69A4"/>
    <w:rsid w:val="00FA796C"/>
    <w:rsid w:val="00FB09C7"/>
    <w:rsid w:val="00FB1279"/>
    <w:rsid w:val="00FB1495"/>
    <w:rsid w:val="00FB32F0"/>
    <w:rsid w:val="00FB656E"/>
    <w:rsid w:val="00FB7D7D"/>
    <w:rsid w:val="00FC4A88"/>
    <w:rsid w:val="00FC55DE"/>
    <w:rsid w:val="00FD0FC5"/>
    <w:rsid w:val="00FD1694"/>
    <w:rsid w:val="00FD25EC"/>
    <w:rsid w:val="00FD6682"/>
    <w:rsid w:val="00FD6893"/>
    <w:rsid w:val="00FD7636"/>
    <w:rsid w:val="00FE3229"/>
    <w:rsid w:val="00FE74C3"/>
    <w:rsid w:val="00FF215C"/>
    <w:rsid w:val="00FF49E8"/>
    <w:rsid w:val="00FF560F"/>
    <w:rsid w:val="00FF5BBC"/>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215FE3"/>
    <w:pPr>
      <w:spacing w:before="60" w:after="60"/>
      <w:ind w:left="720" w:hanging="720"/>
    </w:pPr>
    <w:rPr>
      <w:rFonts w:ascii="Arial" w:hAnsi="Arial" w:cs="Arial"/>
      <w:sz w:val="18"/>
      <w:szCs w:val="18"/>
    </w:rPr>
  </w:style>
  <w:style w:type="paragraph" w:styleId="ListNumber2">
    <w:name w:val="List Number 2"/>
    <w:basedOn w:val="paragraph"/>
    <w:uiPriority w:val="99"/>
    <w:rsid w:val="00215FE3"/>
    <w:pPr>
      <w:spacing w:before="60" w:after="60"/>
      <w:ind w:left="901" w:hanging="720"/>
    </w:pPr>
    <w:rPr>
      <w:rFonts w:ascii="Arial" w:hAnsi="Arial" w:cs="Arial"/>
      <w:sz w:val="18"/>
      <w:szCs w:val="18"/>
    </w:rPr>
  </w:style>
  <w:style w:type="paragraph" w:styleId="ListNumber3">
    <w:name w:val="List Number 3"/>
    <w:basedOn w:val="Normal"/>
    <w:uiPriority w:val="99"/>
    <w:rsid w:val="00807BB8"/>
    <w:pPr>
      <w:spacing w:before="60" w:after="60" w:line="240" w:lineRule="auto"/>
      <w:ind w:left="1077" w:hanging="720"/>
    </w:pPr>
    <w:rPr>
      <w:rFonts w:cs="Arial"/>
      <w:sz w:val="18"/>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character" w:styleId="FollowedHyperlink">
    <w:name w:val="FollowedHyperlink"/>
    <w:basedOn w:val="DefaultParagraphFont"/>
    <w:uiPriority w:val="99"/>
    <w:semiHidden/>
    <w:unhideWhenUsed/>
    <w:rsid w:val="00335101"/>
    <w:rPr>
      <w:color w:val="800080" w:themeColor="followedHyperlink"/>
      <w:u w:val="single"/>
    </w:rPr>
  </w:style>
  <w:style w:type="character" w:customStyle="1" w:styleId="apple-converted-space">
    <w:name w:val="apple-converted-space"/>
    <w:basedOn w:val="DefaultParagraphFont"/>
    <w:rsid w:val="0032076F"/>
  </w:style>
  <w:style w:type="character" w:customStyle="1" w:styleId="ListParagraphChar">
    <w:name w:val="List Paragraph Char"/>
    <w:link w:val="ListParagraph"/>
    <w:uiPriority w:val="34"/>
    <w:rsid w:val="0030135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47916">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25296140">
      <w:bodyDiv w:val="1"/>
      <w:marLeft w:val="0"/>
      <w:marRight w:val="0"/>
      <w:marTop w:val="0"/>
      <w:marBottom w:val="0"/>
      <w:divBdr>
        <w:top w:val="none" w:sz="0" w:space="0" w:color="auto"/>
        <w:left w:val="none" w:sz="0" w:space="0" w:color="auto"/>
        <w:bottom w:val="none" w:sz="0" w:space="0" w:color="auto"/>
        <w:right w:val="none" w:sz="0" w:space="0" w:color="auto"/>
      </w:divBdr>
    </w:div>
    <w:div w:id="1383822136">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80078890">
      <w:bodyDiv w:val="1"/>
      <w:marLeft w:val="0"/>
      <w:marRight w:val="0"/>
      <w:marTop w:val="0"/>
      <w:marBottom w:val="0"/>
      <w:divBdr>
        <w:top w:val="none" w:sz="0" w:space="0" w:color="auto"/>
        <w:left w:val="none" w:sz="0" w:space="0" w:color="auto"/>
        <w:bottom w:val="none" w:sz="0" w:space="0" w:color="auto"/>
        <w:right w:val="none" w:sz="0" w:space="0" w:color="auto"/>
      </w:divBdr>
    </w:div>
    <w:div w:id="1567955254">
      <w:bodyDiv w:val="1"/>
      <w:marLeft w:val="0"/>
      <w:marRight w:val="0"/>
      <w:marTop w:val="0"/>
      <w:marBottom w:val="0"/>
      <w:divBdr>
        <w:top w:val="none" w:sz="0" w:space="0" w:color="auto"/>
        <w:left w:val="none" w:sz="0" w:space="0" w:color="auto"/>
        <w:bottom w:val="none" w:sz="0" w:space="0" w:color="auto"/>
        <w:right w:val="none" w:sz="0" w:space="0" w:color="auto"/>
      </w:divBdr>
      <w:divsChild>
        <w:div w:id="1578245081">
          <w:marLeft w:val="0"/>
          <w:marRight w:val="0"/>
          <w:marTop w:val="0"/>
          <w:marBottom w:val="0"/>
          <w:divBdr>
            <w:top w:val="none" w:sz="0" w:space="0" w:color="auto"/>
            <w:left w:val="none" w:sz="0" w:space="0" w:color="auto"/>
            <w:bottom w:val="none" w:sz="0" w:space="0" w:color="auto"/>
            <w:right w:val="none" w:sz="0" w:space="0" w:color="auto"/>
          </w:divBdr>
          <w:divsChild>
            <w:div w:id="896862461">
              <w:marLeft w:val="0"/>
              <w:marRight w:val="0"/>
              <w:marTop w:val="0"/>
              <w:marBottom w:val="0"/>
              <w:divBdr>
                <w:top w:val="none" w:sz="0" w:space="0" w:color="auto"/>
                <w:left w:val="none" w:sz="0" w:space="0" w:color="auto"/>
                <w:bottom w:val="none" w:sz="0" w:space="0" w:color="auto"/>
                <w:right w:val="none" w:sz="0" w:space="0" w:color="auto"/>
              </w:divBdr>
              <w:divsChild>
                <w:div w:id="1848251635">
                  <w:marLeft w:val="0"/>
                  <w:marRight w:val="0"/>
                  <w:marTop w:val="0"/>
                  <w:marBottom w:val="0"/>
                  <w:divBdr>
                    <w:top w:val="none" w:sz="0" w:space="0" w:color="auto"/>
                    <w:left w:val="none" w:sz="0" w:space="0" w:color="auto"/>
                    <w:bottom w:val="none" w:sz="0" w:space="0" w:color="auto"/>
                    <w:right w:val="none" w:sz="0" w:space="0" w:color="auto"/>
                  </w:divBdr>
                  <w:divsChild>
                    <w:div w:id="1842696701">
                      <w:marLeft w:val="0"/>
                      <w:marRight w:val="0"/>
                      <w:marTop w:val="0"/>
                      <w:marBottom w:val="0"/>
                      <w:divBdr>
                        <w:top w:val="none" w:sz="0" w:space="0" w:color="auto"/>
                        <w:left w:val="none" w:sz="0" w:space="0" w:color="auto"/>
                        <w:bottom w:val="none" w:sz="0" w:space="0" w:color="auto"/>
                        <w:right w:val="none" w:sz="0" w:space="0" w:color="auto"/>
                      </w:divBdr>
                      <w:divsChild>
                        <w:div w:id="1070426529">
                          <w:marLeft w:val="0"/>
                          <w:marRight w:val="0"/>
                          <w:marTop w:val="0"/>
                          <w:marBottom w:val="0"/>
                          <w:divBdr>
                            <w:top w:val="none" w:sz="0" w:space="0" w:color="auto"/>
                            <w:left w:val="none" w:sz="0" w:space="0" w:color="auto"/>
                            <w:bottom w:val="none" w:sz="0" w:space="0" w:color="auto"/>
                            <w:right w:val="none" w:sz="0" w:space="0" w:color="auto"/>
                          </w:divBdr>
                          <w:divsChild>
                            <w:div w:id="389839972">
                              <w:marLeft w:val="0"/>
                              <w:marRight w:val="0"/>
                              <w:marTop w:val="0"/>
                              <w:marBottom w:val="0"/>
                              <w:divBdr>
                                <w:top w:val="none" w:sz="0" w:space="0" w:color="auto"/>
                                <w:left w:val="none" w:sz="0" w:space="0" w:color="auto"/>
                                <w:bottom w:val="none" w:sz="0" w:space="0" w:color="auto"/>
                                <w:right w:val="none" w:sz="0" w:space="0" w:color="auto"/>
                              </w:divBdr>
                              <w:divsChild>
                                <w:div w:id="806050199">
                                  <w:marLeft w:val="0"/>
                                  <w:marRight w:val="0"/>
                                  <w:marTop w:val="0"/>
                                  <w:marBottom w:val="0"/>
                                  <w:divBdr>
                                    <w:top w:val="none" w:sz="0" w:space="0" w:color="auto"/>
                                    <w:left w:val="none" w:sz="0" w:space="0" w:color="auto"/>
                                    <w:bottom w:val="none" w:sz="0" w:space="0" w:color="auto"/>
                                    <w:right w:val="none" w:sz="0" w:space="0" w:color="auto"/>
                                  </w:divBdr>
                                  <w:divsChild>
                                    <w:div w:id="1028218524">
                                      <w:marLeft w:val="0"/>
                                      <w:marRight w:val="0"/>
                                      <w:marTop w:val="0"/>
                                      <w:marBottom w:val="0"/>
                                      <w:divBdr>
                                        <w:top w:val="none" w:sz="0" w:space="0" w:color="auto"/>
                                        <w:left w:val="none" w:sz="0" w:space="0" w:color="auto"/>
                                        <w:bottom w:val="none" w:sz="0" w:space="0" w:color="auto"/>
                                        <w:right w:val="none" w:sz="0" w:space="0" w:color="auto"/>
                                      </w:divBdr>
                                      <w:divsChild>
                                        <w:div w:id="284506127">
                                          <w:marLeft w:val="0"/>
                                          <w:marRight w:val="0"/>
                                          <w:marTop w:val="0"/>
                                          <w:marBottom w:val="0"/>
                                          <w:divBdr>
                                            <w:top w:val="none" w:sz="0" w:space="0" w:color="auto"/>
                                            <w:left w:val="none" w:sz="0" w:space="0" w:color="auto"/>
                                            <w:bottom w:val="none" w:sz="0" w:space="0" w:color="auto"/>
                                            <w:right w:val="none" w:sz="0" w:space="0" w:color="auto"/>
                                          </w:divBdr>
                                          <w:divsChild>
                                            <w:div w:id="1226839455">
                                              <w:marLeft w:val="0"/>
                                              <w:marRight w:val="0"/>
                                              <w:marTop w:val="0"/>
                                              <w:marBottom w:val="0"/>
                                              <w:divBdr>
                                                <w:top w:val="none" w:sz="0" w:space="0" w:color="auto"/>
                                                <w:left w:val="none" w:sz="0" w:space="0" w:color="auto"/>
                                                <w:bottom w:val="none" w:sz="0" w:space="0" w:color="auto"/>
                                                <w:right w:val="none" w:sz="0" w:space="0" w:color="auto"/>
                                              </w:divBdr>
                                              <w:divsChild>
                                                <w:div w:id="635453833">
                                                  <w:marLeft w:val="0"/>
                                                  <w:marRight w:val="0"/>
                                                  <w:marTop w:val="0"/>
                                                  <w:marBottom w:val="0"/>
                                                  <w:divBdr>
                                                    <w:top w:val="none" w:sz="0" w:space="0" w:color="auto"/>
                                                    <w:left w:val="none" w:sz="0" w:space="0" w:color="auto"/>
                                                    <w:bottom w:val="none" w:sz="0" w:space="0" w:color="auto"/>
                                                    <w:right w:val="none" w:sz="0" w:space="0" w:color="auto"/>
                                                  </w:divBdr>
                                                  <w:divsChild>
                                                    <w:div w:id="894926828">
                                                      <w:marLeft w:val="0"/>
                                                      <w:marRight w:val="0"/>
                                                      <w:marTop w:val="0"/>
                                                      <w:marBottom w:val="0"/>
                                                      <w:divBdr>
                                                        <w:top w:val="none" w:sz="0" w:space="0" w:color="auto"/>
                                                        <w:left w:val="none" w:sz="0" w:space="0" w:color="auto"/>
                                                        <w:bottom w:val="none" w:sz="0" w:space="0" w:color="auto"/>
                                                        <w:right w:val="none" w:sz="0" w:space="0" w:color="auto"/>
                                                      </w:divBdr>
                                                      <w:divsChild>
                                                        <w:div w:id="81206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962229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afma.gov.au/wp-content/uploads/2017/11/9683RRR-AFMA-Annual-Report-2016-17-Tagged-update.pdf" TargetMode="External"/><Relationship Id="rId26" Type="http://schemas.openxmlformats.org/officeDocument/2006/relationships/hyperlink" Target="https://www.legislation.gov.au/Details/F2017C00241" TargetMode="External"/><Relationship Id="rId39" Type="http://schemas.openxmlformats.org/officeDocument/2006/relationships/hyperlink" Target="http://www.siofa.org/node/52" TargetMode="External"/><Relationship Id="rId21" Type="http://schemas.openxmlformats.org/officeDocument/2006/relationships/hyperlink" Target="http://www.siofa.org/fisheries-management" TargetMode="External"/><Relationship Id="rId34" Type="http://schemas.openxmlformats.org/officeDocument/2006/relationships/hyperlink" Target="http://www.afma.gov.au/about/consultations/" TargetMode="External"/><Relationship Id="rId42" Type="http://schemas.openxmlformats.org/officeDocument/2006/relationships/hyperlink" Target="https://www.sprfmo.int/assets/00-SC5-2017/SC05-Report-Final-4Oct2017.pdf" TargetMode="External"/><Relationship Id="rId47" Type="http://schemas.openxmlformats.org/officeDocument/2006/relationships/hyperlink" Target="https://www.sprfmo.int/assets/00-2018-COMM6/COMM6-INF09-NZ-bottom-Fishing.pdf" TargetMode="External"/><Relationship Id="rId50" Type="http://schemas.openxmlformats.org/officeDocument/2006/relationships/hyperlink" Target="http://www.siofa.org/sites/siofa.org/files/documents/meetings/Report%20of%20the%20Third%20Meeting%20of%20the%20SIOFA%20Scientific%20Committee_0.pdf" TargetMode="External"/><Relationship Id="rId55" Type="http://schemas.openxmlformats.org/officeDocument/2006/relationships/footer" Target="footer6.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www.environment.gov.au/marine/fisheries/commonwealth/high-seas" TargetMode="External"/><Relationship Id="rId25" Type="http://schemas.openxmlformats.org/officeDocument/2006/relationships/hyperlink" Target="https://www.legislation.gov.au/Details/C2017C00363" TargetMode="External"/><Relationship Id="rId33" Type="http://schemas.openxmlformats.org/officeDocument/2006/relationships/hyperlink" Target="http://www.southpacificrfmo.org/conservation-measures/" TargetMode="External"/><Relationship Id="rId38" Type="http://schemas.openxmlformats.org/officeDocument/2006/relationships/hyperlink" Target="https://www.sprfmo.int/assets/Fisheries/Conservation-and-Management-Measures/CMM-02-2017-Data-Standards-27Feb17.pdf" TargetMode="External"/><Relationship Id="rId46" Type="http://schemas.openxmlformats.org/officeDocument/2006/relationships/hyperlink" Target="http://data.daff.gov.au/data/warehouse/9aam/fsrXXd9abm_/fsr17d9abm_20170929/28_FishStatus2017HighSeas_1.0.0.pdf"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afma.gov.au/fisheries/high-seas-permits/" TargetMode="External"/><Relationship Id="rId29" Type="http://schemas.openxmlformats.org/officeDocument/2006/relationships/hyperlink" Target="http://www.afma.gov.au/wp-content/uploads/2014/02/bottom_fishery_impact_assessment_siofa.pdf" TargetMode="External"/><Relationship Id="rId41" Type="http://schemas.openxmlformats.org/officeDocument/2006/relationships/hyperlink" Target="https://www.sprfmo.int/assets/00-SC5-2017/SC05-Report-Final-4Oct2017.pdf" TargetMode="External"/><Relationship Id="rId54"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afma.gov.au/wp-content/uploads/2017/02/High-Seas-Management-Arrangements-Booklet-2017-FINAL.pdf" TargetMode="External"/><Relationship Id="rId32" Type="http://schemas.openxmlformats.org/officeDocument/2006/relationships/hyperlink" Target="http://www.siofa.org/fisheries-management" TargetMode="External"/><Relationship Id="rId37" Type="http://schemas.openxmlformats.org/officeDocument/2006/relationships/hyperlink" Target="https://www.sprfmo.int/assets/Fisheries/Conservation-and-Management-Measures/2018-CMMs/CMM-09-2017-Seabirds-8March2018.pdf" TargetMode="External"/><Relationship Id="rId40" Type="http://schemas.openxmlformats.org/officeDocument/2006/relationships/hyperlink" Target="http://data.daff.gov.au/data/warehouse/9aam/fsrXXd9abm_/fsr17d9abm_20170929/28_FishStatus2017HighSeas_1.0.0.pdf" TargetMode="External"/><Relationship Id="rId45" Type="http://schemas.openxmlformats.org/officeDocument/2006/relationships/hyperlink" Target="http://data.daff.gov.au/data/warehouse/9aam/fsrXXd9abm_/fsr17d9abm_20170929/28_FishStatus2017HighSeas_1.0.0.pdf" TargetMode="External"/><Relationship Id="rId53" Type="http://schemas.openxmlformats.org/officeDocument/2006/relationships/header" Target="header4.xml"/><Relationship Id="rId58"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legislation.gov.au/Details/C2017C00363" TargetMode="External"/><Relationship Id="rId28" Type="http://schemas.openxmlformats.org/officeDocument/2006/relationships/hyperlink" Target="http://www.afma.gov.au/wp-content/uploads/2014/02/bottom_fishery_impact_assessment_sprfmo.pdf" TargetMode="External"/><Relationship Id="rId36" Type="http://schemas.openxmlformats.org/officeDocument/2006/relationships/hyperlink" Target="http://www.afma.gov.au/wp-content/uploads/2014/02/bottom_fishery_impact_assessment_siofa.pdf" TargetMode="External"/><Relationship Id="rId49" Type="http://schemas.openxmlformats.org/officeDocument/2006/relationships/hyperlink" Target="http://www.siofa.org/node/52" TargetMode="External"/><Relationship Id="rId57"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data.daff.gov.au/data/warehouse/9aam/fsrXXd9abm_/fsr17d9abm_20170929/28_FishStatus2017HighSeas_1.0.0.pdf" TargetMode="External"/><Relationship Id="rId31" Type="http://schemas.openxmlformats.org/officeDocument/2006/relationships/hyperlink" Target="http://www.afma.gov.au/wp-content/uploads/2017/07/High-Seas-General-Condition-2017.docx" TargetMode="External"/><Relationship Id="rId44" Type="http://schemas.openxmlformats.org/officeDocument/2006/relationships/hyperlink" Target="https://www.sprfmo.int/assets/00-SC5-2017/SC05-Report-Final-4Oct2017.pdf" TargetMode="External"/><Relationship Id="rId52" Type="http://schemas.openxmlformats.org/officeDocument/2006/relationships/hyperlink" Target="http://www.afma.gov.au/wp-content/uploads/2017/02/High-Seas-Management-Arrangements-Booklet-2017-FINAL.pdf"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www.southpacificrfmo.org/conservation-measures/" TargetMode="External"/><Relationship Id="rId27" Type="http://schemas.openxmlformats.org/officeDocument/2006/relationships/hyperlink" Target="http://www.agriculture.gov.au/SiteCollectionDocuments/fisheries/domestic/hsp.pdf" TargetMode="External"/><Relationship Id="rId30" Type="http://schemas.openxmlformats.org/officeDocument/2006/relationships/hyperlink" Target="http://www.afma.gov.au/wp-content/uploads/2017/02/High-Seas-Management-Arrangements-Booklet-2017-FINAL.pdf" TargetMode="External"/><Relationship Id="rId35" Type="http://schemas.openxmlformats.org/officeDocument/2006/relationships/hyperlink" Target="http://www.afma.gov.au/wp-content/uploads/2011/11/bottom_fishery_impact_assessment_sprfmo.pdf" TargetMode="External"/><Relationship Id="rId43" Type="http://schemas.openxmlformats.org/officeDocument/2006/relationships/hyperlink" Target="http://data.daff.gov.au/data/warehouse/9aam/fsrXXd9abm_/fsr17d9abm_20170929/28_FishStatus2017HighSeas_1.0.0.pdf" TargetMode="External"/><Relationship Id="rId48" Type="http://schemas.openxmlformats.org/officeDocument/2006/relationships/hyperlink" Target="https://www.sprfmo.int/assets/Fisheries/Conservation-and-Management-Measures/CMM-02-2017-Data-Standards-27Feb17.pdf" TargetMode="External"/><Relationship Id="rId56" Type="http://schemas.openxmlformats.org/officeDocument/2006/relationships/footer" Target="footer7.xml"/><Relationship Id="rId8" Type="http://schemas.openxmlformats.org/officeDocument/2006/relationships/header" Target="header1.xml"/><Relationship Id="rId51" Type="http://schemas.openxmlformats.org/officeDocument/2006/relationships/hyperlink" Target="https://www.sprfmo.int/assets/00-2018-COMM6/COMM6-INF09-NZ-bottom-Fishing.pdf"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D4626194.dotm</Template>
  <TotalTime>1</TotalTime>
  <Pages>21</Pages>
  <Words>8973</Words>
  <Characters>51147</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Australia’s High Seas Permits</dc:title>
  <dc:creator>Department of the Environment and Energy</dc:creator>
  <cp:lastModifiedBy>Durack, Bec</cp:lastModifiedBy>
  <cp:revision>2</cp:revision>
  <dcterms:created xsi:type="dcterms:W3CDTF">2018-05-29T06:22:00Z</dcterms:created>
  <dcterms:modified xsi:type="dcterms:W3CDTF">2018-05-29T06:22:00Z</dcterms:modified>
</cp:coreProperties>
</file>