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90B" w:rsidRDefault="0036390B">
      <w:pPr>
        <w:widowControl/>
        <w:spacing w:after="240"/>
        <w:jc w:val="center"/>
        <w:rPr>
          <w:b/>
          <w:sz w:val="28"/>
          <w:szCs w:val="28"/>
          <w:lang w:val="en-GB"/>
        </w:rPr>
      </w:pPr>
      <w:r>
        <w:rPr>
          <w:b/>
          <w:sz w:val="28"/>
          <w:szCs w:val="28"/>
          <w:lang w:val="en-GB"/>
        </w:rPr>
        <w:t>Wildlife Trade Operation Application</w:t>
      </w:r>
    </w:p>
    <w:p w:rsidR="0036390B" w:rsidRDefault="0036390B">
      <w:pPr>
        <w:widowControl/>
        <w:spacing w:after="240"/>
        <w:jc w:val="center"/>
        <w:rPr>
          <w:b/>
          <w:sz w:val="32"/>
          <w:szCs w:val="32"/>
          <w:lang w:val="en-GB"/>
        </w:rPr>
      </w:pPr>
      <w:r>
        <w:rPr>
          <w:b/>
          <w:sz w:val="32"/>
          <w:szCs w:val="32"/>
          <w:lang w:val="en-GB"/>
        </w:rPr>
        <w:t>Management Plan for the Commercial Harvest and Export of Bennett’s Wallaby Skins from Tasmania</w:t>
      </w:r>
    </w:p>
    <w:p w:rsidR="0036390B" w:rsidRPr="00256E12" w:rsidRDefault="0036390B">
      <w:pPr>
        <w:widowControl/>
        <w:spacing w:after="240"/>
        <w:jc w:val="center"/>
        <w:rPr>
          <w:b/>
          <w:sz w:val="28"/>
          <w:szCs w:val="28"/>
          <w:lang w:val="en-GB"/>
        </w:rPr>
      </w:pPr>
      <w:r w:rsidRPr="00256E12">
        <w:rPr>
          <w:b/>
          <w:sz w:val="28"/>
          <w:szCs w:val="28"/>
          <w:lang w:val="en-GB"/>
        </w:rPr>
        <w:t>201</w:t>
      </w:r>
      <w:r w:rsidR="0023714D">
        <w:rPr>
          <w:b/>
          <w:sz w:val="28"/>
          <w:szCs w:val="28"/>
          <w:lang w:val="en-GB"/>
        </w:rPr>
        <w:t>5 to 2018</w:t>
      </w:r>
    </w:p>
    <w:p w:rsidR="0036390B" w:rsidRPr="00256E12" w:rsidRDefault="0036390B" w:rsidP="00B9545C">
      <w:pPr>
        <w:widowControl/>
        <w:jc w:val="center"/>
        <w:rPr>
          <w:b/>
          <w:sz w:val="28"/>
          <w:szCs w:val="28"/>
          <w:lang w:val="en-GB"/>
        </w:rPr>
      </w:pPr>
      <w:r w:rsidRPr="00256E12">
        <w:rPr>
          <w:b/>
          <w:sz w:val="28"/>
          <w:szCs w:val="28"/>
          <w:lang w:val="en-GB"/>
        </w:rPr>
        <w:t>Lenah Game Meats Pty. Ltd.</w:t>
      </w:r>
    </w:p>
    <w:p w:rsidR="0036390B" w:rsidRDefault="0036390B" w:rsidP="00B9545C">
      <w:pPr>
        <w:widowControl/>
        <w:jc w:val="center"/>
        <w:rPr>
          <w:b/>
          <w:sz w:val="24"/>
          <w:szCs w:val="24"/>
          <w:lang w:val="en-GB"/>
        </w:rPr>
      </w:pPr>
    </w:p>
    <w:p w:rsidR="00982569" w:rsidRDefault="00982569" w:rsidP="008D694B">
      <w:pPr>
        <w:jc w:val="center"/>
        <w:rPr>
          <w:rFonts w:ascii="Arial Narrow" w:hAnsi="Arial Narrow"/>
          <w:lang w:val="en-GB"/>
        </w:rPr>
      </w:pPr>
      <w:r>
        <w:rPr>
          <w:rFonts w:ascii="Arial Narrow" w:hAnsi="Arial Narrow"/>
          <w:lang w:val="en-GB"/>
        </w:rPr>
        <w:t>The Tasmanian Department of Primary Industries, Parks, Water and the Environment confirms that the monitoring and regulatory processes for which it is responsible are accurately described in this document.</w:t>
      </w:r>
    </w:p>
    <w:p w:rsidR="0036390B" w:rsidRPr="009F04EE" w:rsidRDefault="0036390B">
      <w:pPr>
        <w:widowControl/>
        <w:spacing w:after="240"/>
        <w:jc w:val="center"/>
        <w:rPr>
          <w:b/>
          <w:i/>
          <w:lang w:val="en-GB"/>
        </w:rPr>
      </w:pPr>
    </w:p>
    <w:p w:rsidR="0036390B" w:rsidRDefault="0036390B">
      <w:pPr>
        <w:widowControl/>
        <w:spacing w:before="240" w:after="240"/>
        <w:rPr>
          <w:b/>
          <w:sz w:val="28"/>
          <w:szCs w:val="28"/>
          <w:lang w:val="en-GB"/>
        </w:rPr>
      </w:pPr>
      <w:r>
        <w:rPr>
          <w:b/>
          <w:sz w:val="28"/>
          <w:szCs w:val="28"/>
          <w:lang w:val="en-GB"/>
        </w:rPr>
        <w:t>1. Introduction</w:t>
      </w:r>
    </w:p>
    <w:p w:rsidR="0036390B" w:rsidRDefault="0036390B">
      <w:pPr>
        <w:widowControl/>
        <w:spacing w:after="120"/>
        <w:rPr>
          <w:sz w:val="24"/>
          <w:szCs w:val="24"/>
          <w:lang w:val="en-GB"/>
        </w:rPr>
      </w:pPr>
      <w:r>
        <w:rPr>
          <w:sz w:val="24"/>
          <w:szCs w:val="24"/>
          <w:lang w:val="en-GB"/>
        </w:rPr>
        <w:t xml:space="preserve">This Management Plan </w:t>
      </w:r>
      <w:r w:rsidR="00FF1257">
        <w:rPr>
          <w:sz w:val="24"/>
          <w:szCs w:val="24"/>
          <w:lang w:val="en-GB"/>
        </w:rPr>
        <w:t>details</w:t>
      </w:r>
      <w:r>
        <w:rPr>
          <w:sz w:val="24"/>
          <w:szCs w:val="24"/>
          <w:lang w:val="en-GB"/>
        </w:rPr>
        <w:t xml:space="preserve"> a mechanism</w:t>
      </w:r>
      <w:r w:rsidR="00FF1257">
        <w:rPr>
          <w:sz w:val="24"/>
          <w:szCs w:val="24"/>
          <w:lang w:val="en-GB"/>
        </w:rPr>
        <w:t xml:space="preserve"> to be followed by Lenah Game Meats Pty Ltd</w:t>
      </w:r>
      <w:r>
        <w:rPr>
          <w:sz w:val="24"/>
          <w:szCs w:val="24"/>
          <w:lang w:val="en-GB"/>
        </w:rPr>
        <w:t xml:space="preserve"> </w:t>
      </w:r>
      <w:r w:rsidR="00FF1257">
        <w:rPr>
          <w:sz w:val="24"/>
          <w:szCs w:val="24"/>
          <w:lang w:val="en-GB"/>
        </w:rPr>
        <w:t>that will</w:t>
      </w:r>
      <w:r>
        <w:rPr>
          <w:sz w:val="24"/>
          <w:szCs w:val="24"/>
          <w:lang w:val="en-GB"/>
        </w:rPr>
        <w:t xml:space="preserve"> </w:t>
      </w:r>
      <w:r w:rsidR="00FF1257">
        <w:rPr>
          <w:sz w:val="24"/>
          <w:szCs w:val="24"/>
          <w:lang w:val="en-GB"/>
        </w:rPr>
        <w:t>permit</w:t>
      </w:r>
      <w:r>
        <w:rPr>
          <w:sz w:val="24"/>
          <w:szCs w:val="24"/>
          <w:lang w:val="en-GB"/>
        </w:rPr>
        <w:t xml:space="preserve"> </w:t>
      </w:r>
      <w:r w:rsidR="00FF1257">
        <w:rPr>
          <w:sz w:val="24"/>
          <w:szCs w:val="24"/>
          <w:lang w:val="en-GB"/>
        </w:rPr>
        <w:t xml:space="preserve">the </w:t>
      </w:r>
      <w:r>
        <w:rPr>
          <w:sz w:val="24"/>
          <w:szCs w:val="24"/>
          <w:lang w:val="en-GB"/>
        </w:rPr>
        <w:t>overseas export of skins, or fur removed from the skins, obtained as a by-product from Bennett’s wallaby (</w:t>
      </w:r>
      <w:proofErr w:type="spellStart"/>
      <w:r>
        <w:rPr>
          <w:i/>
          <w:sz w:val="24"/>
          <w:szCs w:val="24"/>
          <w:lang w:val="en-GB"/>
        </w:rPr>
        <w:t>Macropus</w:t>
      </w:r>
      <w:proofErr w:type="spellEnd"/>
      <w:r>
        <w:rPr>
          <w:i/>
          <w:sz w:val="24"/>
          <w:szCs w:val="24"/>
          <w:lang w:val="en-GB"/>
        </w:rPr>
        <w:t xml:space="preserve"> </w:t>
      </w:r>
      <w:proofErr w:type="spellStart"/>
      <w:r>
        <w:rPr>
          <w:i/>
          <w:sz w:val="24"/>
          <w:szCs w:val="24"/>
          <w:lang w:val="en-GB"/>
        </w:rPr>
        <w:t>rufogriseus</w:t>
      </w:r>
      <w:proofErr w:type="spellEnd"/>
      <w:r>
        <w:rPr>
          <w:i/>
          <w:sz w:val="24"/>
          <w:szCs w:val="24"/>
          <w:lang w:val="en-GB"/>
        </w:rPr>
        <w:t xml:space="preserve"> </w:t>
      </w:r>
      <w:proofErr w:type="spellStart"/>
      <w:r>
        <w:rPr>
          <w:i/>
          <w:sz w:val="24"/>
          <w:szCs w:val="24"/>
          <w:lang w:val="en-GB"/>
        </w:rPr>
        <w:t>rufogriseus</w:t>
      </w:r>
      <w:proofErr w:type="spellEnd"/>
      <w:r>
        <w:rPr>
          <w:sz w:val="24"/>
          <w:szCs w:val="24"/>
          <w:lang w:val="en-GB"/>
        </w:rPr>
        <w:t xml:space="preserve">) harvested </w:t>
      </w:r>
      <w:r w:rsidR="00DB4765">
        <w:rPr>
          <w:sz w:val="24"/>
          <w:szCs w:val="24"/>
          <w:lang w:val="en-GB"/>
        </w:rPr>
        <w:t>in</w:t>
      </w:r>
      <w:r>
        <w:rPr>
          <w:sz w:val="24"/>
          <w:szCs w:val="24"/>
          <w:lang w:val="en-GB"/>
        </w:rPr>
        <w:t xml:space="preserve"> Tasmania to supply domestic meat markets. </w:t>
      </w:r>
    </w:p>
    <w:p w:rsidR="0036390B" w:rsidRDefault="0036390B">
      <w:pPr>
        <w:widowControl/>
        <w:spacing w:after="120"/>
        <w:rPr>
          <w:sz w:val="24"/>
          <w:szCs w:val="24"/>
          <w:lang w:val="en-GB"/>
        </w:rPr>
      </w:pPr>
      <w:r>
        <w:rPr>
          <w:sz w:val="24"/>
          <w:szCs w:val="24"/>
          <w:lang w:val="en-GB"/>
        </w:rPr>
        <w:t xml:space="preserve">In order to do this, it aims to satisfy the requirements for a small-scale, </w:t>
      </w:r>
      <w:r>
        <w:rPr>
          <w:i/>
          <w:sz w:val="24"/>
          <w:szCs w:val="24"/>
          <w:lang w:val="en-GB"/>
        </w:rPr>
        <w:t>Approved Wildlife Trade Operation</w:t>
      </w:r>
      <w:r>
        <w:rPr>
          <w:sz w:val="24"/>
          <w:szCs w:val="24"/>
          <w:lang w:val="en-GB"/>
        </w:rPr>
        <w:t xml:space="preserve"> (WTO) under Section 303FN of the Commonwealth </w:t>
      </w:r>
      <w:r>
        <w:rPr>
          <w:i/>
          <w:sz w:val="24"/>
          <w:szCs w:val="24"/>
          <w:lang w:val="en-GB"/>
        </w:rPr>
        <w:t xml:space="preserve">Environment Protection and Biodiversity Conservation Act 1999 </w:t>
      </w:r>
      <w:r>
        <w:rPr>
          <w:sz w:val="24"/>
          <w:szCs w:val="24"/>
          <w:lang w:val="en-GB"/>
        </w:rPr>
        <w:t>(EPBC Act).</w:t>
      </w:r>
    </w:p>
    <w:p w:rsidR="0036390B" w:rsidRPr="00731C37" w:rsidRDefault="0036390B">
      <w:pPr>
        <w:widowControl/>
        <w:spacing w:after="120"/>
        <w:rPr>
          <w:b/>
          <w:sz w:val="24"/>
          <w:szCs w:val="24"/>
          <w:lang w:val="en-GB"/>
        </w:rPr>
      </w:pPr>
      <w:r w:rsidRPr="00731C37">
        <w:rPr>
          <w:b/>
          <w:sz w:val="24"/>
          <w:szCs w:val="24"/>
          <w:lang w:val="en-GB"/>
        </w:rPr>
        <w:t>Scale of Proposed Operation</w:t>
      </w:r>
    </w:p>
    <w:p w:rsidR="0036390B" w:rsidRDefault="0036390B">
      <w:pPr>
        <w:widowControl/>
        <w:spacing w:after="120"/>
        <w:rPr>
          <w:sz w:val="24"/>
          <w:szCs w:val="24"/>
          <w:lang w:val="en-GB"/>
        </w:rPr>
      </w:pPr>
      <w:r>
        <w:rPr>
          <w:sz w:val="24"/>
          <w:szCs w:val="24"/>
          <w:lang w:val="en-GB"/>
        </w:rPr>
        <w:t>Under the EPBC Act and its associated regulations, an operation is a small-scale operation if it has a low impact on the survival or conservation status of the species to which it relates. The proposed operation can be considered small-scale because the number of specimens it proposes to make available for export represents only a small proportion of the reported annual take of Bennett’s wallaby in Tasmania and is well below what could be considered a maximum sustainable yield from the Tasmanian population.</w:t>
      </w:r>
    </w:p>
    <w:p w:rsidR="0036390B" w:rsidRDefault="0036390B">
      <w:pPr>
        <w:widowControl/>
        <w:spacing w:after="120"/>
        <w:rPr>
          <w:sz w:val="24"/>
          <w:szCs w:val="24"/>
          <w:lang w:val="en-GB"/>
        </w:rPr>
      </w:pPr>
      <w:r>
        <w:rPr>
          <w:sz w:val="24"/>
          <w:szCs w:val="24"/>
          <w:lang w:val="en-GB"/>
        </w:rPr>
        <w:t xml:space="preserve">This WTO allows for the export of skins and fibre from </w:t>
      </w:r>
      <w:r w:rsidR="00E60EAE">
        <w:rPr>
          <w:sz w:val="24"/>
          <w:szCs w:val="24"/>
          <w:lang w:val="en-GB"/>
        </w:rPr>
        <w:t>6</w:t>
      </w:r>
      <w:r>
        <w:rPr>
          <w:sz w:val="24"/>
          <w:szCs w:val="24"/>
          <w:lang w:val="en-GB"/>
        </w:rPr>
        <w:t xml:space="preserve">0,000 Bennett’s wallaby taken annually to supply domestic meat markets. This </w:t>
      </w:r>
      <w:r w:rsidR="00DB04F6">
        <w:rPr>
          <w:sz w:val="24"/>
          <w:szCs w:val="24"/>
          <w:lang w:val="en-GB"/>
        </w:rPr>
        <w:t xml:space="preserve">represents </w:t>
      </w:r>
      <w:r w:rsidR="00846A92">
        <w:rPr>
          <w:sz w:val="24"/>
          <w:szCs w:val="24"/>
          <w:lang w:val="en-GB"/>
        </w:rPr>
        <w:t>less than 10%</w:t>
      </w:r>
      <w:r w:rsidR="009F04EE">
        <w:rPr>
          <w:sz w:val="24"/>
          <w:szCs w:val="24"/>
          <w:lang w:val="en-GB"/>
        </w:rPr>
        <w:t xml:space="preserve"> percent</w:t>
      </w:r>
      <w:r>
        <w:rPr>
          <w:sz w:val="24"/>
          <w:szCs w:val="24"/>
          <w:lang w:val="en-GB"/>
        </w:rPr>
        <w:t xml:space="preserve"> of the average </w:t>
      </w:r>
      <w:r w:rsidR="008B2A15">
        <w:rPr>
          <w:sz w:val="24"/>
          <w:szCs w:val="24"/>
          <w:lang w:val="en-GB"/>
        </w:rPr>
        <w:t xml:space="preserve">total estimated </w:t>
      </w:r>
      <w:r>
        <w:rPr>
          <w:sz w:val="24"/>
          <w:szCs w:val="24"/>
          <w:lang w:val="en-GB"/>
        </w:rPr>
        <w:t>annual take of Bennett’s wallaby across Tasmania over the past ten years.</w:t>
      </w:r>
      <w:r w:rsidR="00846A92">
        <w:rPr>
          <w:sz w:val="24"/>
          <w:szCs w:val="24"/>
          <w:lang w:val="en-GB"/>
        </w:rPr>
        <w:t xml:space="preserve">  </w:t>
      </w:r>
      <w:proofErr w:type="gramStart"/>
      <w:r w:rsidR="00846A92">
        <w:rPr>
          <w:sz w:val="24"/>
          <w:szCs w:val="24"/>
          <w:lang w:val="en-GB"/>
        </w:rPr>
        <w:t>A take which has had no obvious impact on population trends.</w:t>
      </w:r>
      <w:proofErr w:type="gramEnd"/>
    </w:p>
    <w:p w:rsidR="0036390B" w:rsidRPr="0075104A" w:rsidRDefault="0036390B">
      <w:pPr>
        <w:widowControl/>
        <w:spacing w:after="120"/>
        <w:rPr>
          <w:b/>
          <w:sz w:val="24"/>
          <w:szCs w:val="24"/>
          <w:lang w:val="en-GB"/>
        </w:rPr>
      </w:pPr>
      <w:r w:rsidRPr="0075104A">
        <w:rPr>
          <w:b/>
          <w:sz w:val="24"/>
          <w:szCs w:val="24"/>
          <w:lang w:val="en-GB"/>
        </w:rPr>
        <w:t xml:space="preserve">Scale of the Existing Bennett’s Wallaby Harvest </w:t>
      </w:r>
    </w:p>
    <w:p w:rsidR="0036390B" w:rsidRDefault="0036390B">
      <w:pPr>
        <w:widowControl/>
        <w:spacing w:after="120"/>
        <w:rPr>
          <w:sz w:val="24"/>
          <w:szCs w:val="24"/>
          <w:lang w:val="en-GB"/>
        </w:rPr>
      </w:pPr>
      <w:r>
        <w:rPr>
          <w:sz w:val="24"/>
          <w:szCs w:val="24"/>
          <w:lang w:val="en-GB"/>
        </w:rPr>
        <w:t xml:space="preserve">The </w:t>
      </w:r>
      <w:r w:rsidR="00FF2526">
        <w:rPr>
          <w:sz w:val="24"/>
          <w:szCs w:val="24"/>
          <w:lang w:val="en-GB"/>
        </w:rPr>
        <w:t>annual cull</w:t>
      </w:r>
      <w:r>
        <w:rPr>
          <w:sz w:val="24"/>
          <w:szCs w:val="24"/>
          <w:lang w:val="en-GB"/>
        </w:rPr>
        <w:t xml:space="preserve"> of Bennett’s wallaby has averaged approximately </w:t>
      </w:r>
      <w:r w:rsidR="00FF2526">
        <w:rPr>
          <w:sz w:val="24"/>
          <w:szCs w:val="24"/>
          <w:lang w:val="en-GB"/>
        </w:rPr>
        <w:t>620-630,00</w:t>
      </w:r>
      <w:r>
        <w:rPr>
          <w:sz w:val="24"/>
          <w:szCs w:val="24"/>
          <w:lang w:val="en-GB"/>
        </w:rPr>
        <w:t>0 animals per year since 2002</w:t>
      </w:r>
      <w:r w:rsidR="005623A1">
        <w:rPr>
          <w:sz w:val="24"/>
          <w:szCs w:val="24"/>
          <w:lang w:val="en-GB"/>
        </w:rPr>
        <w:t>.</w:t>
      </w:r>
      <w:r>
        <w:rPr>
          <w:sz w:val="24"/>
          <w:szCs w:val="24"/>
          <w:lang w:val="en-GB"/>
        </w:rPr>
        <w:t xml:space="preserve"> </w:t>
      </w:r>
      <w:r w:rsidR="00FF2526">
        <w:rPr>
          <w:sz w:val="24"/>
          <w:szCs w:val="24"/>
          <w:lang w:val="en-GB"/>
        </w:rPr>
        <w:t>This</w:t>
      </w:r>
      <w:r w:rsidR="005623A1">
        <w:rPr>
          <w:sz w:val="24"/>
          <w:szCs w:val="24"/>
          <w:lang w:val="en-GB"/>
        </w:rPr>
        <w:t xml:space="preserve"> total</w:t>
      </w:r>
      <w:r w:rsidR="00FF2526">
        <w:rPr>
          <w:sz w:val="24"/>
          <w:szCs w:val="24"/>
          <w:lang w:val="en-GB"/>
        </w:rPr>
        <w:t xml:space="preserve"> has comprised a commercial harvest of 20-30,000 a</w:t>
      </w:r>
      <w:r w:rsidR="005623A1">
        <w:rPr>
          <w:sz w:val="24"/>
          <w:szCs w:val="24"/>
          <w:lang w:val="en-GB"/>
        </w:rPr>
        <w:t>long with</w:t>
      </w:r>
      <w:r w:rsidR="00FF2526">
        <w:rPr>
          <w:sz w:val="24"/>
          <w:szCs w:val="24"/>
          <w:lang w:val="en-GB"/>
        </w:rPr>
        <w:t xml:space="preserve"> a non-commercial cull of ap</w:t>
      </w:r>
      <w:r>
        <w:rPr>
          <w:sz w:val="24"/>
          <w:szCs w:val="24"/>
          <w:lang w:val="en-GB"/>
        </w:rPr>
        <w:t xml:space="preserve">proximately 597,000 annually (WMB, unpublished data). This level of harvest has had no observable impact on wallaby populations (see Figure 1) and has been shown to be sustainable in all management regions of the state. The current commercial harvest </w:t>
      </w:r>
      <w:r w:rsidR="00FF2526">
        <w:rPr>
          <w:sz w:val="24"/>
          <w:szCs w:val="24"/>
          <w:lang w:val="en-GB"/>
        </w:rPr>
        <w:t xml:space="preserve">at approx. 30,000 animals </w:t>
      </w:r>
      <w:r>
        <w:rPr>
          <w:sz w:val="24"/>
          <w:szCs w:val="24"/>
          <w:lang w:val="en-GB"/>
        </w:rPr>
        <w:t xml:space="preserve">only represents approximately 5% of the total number of Bennett’s wallabies taken annually in Tasmania. </w:t>
      </w:r>
      <w:r w:rsidR="00FF2526">
        <w:rPr>
          <w:sz w:val="24"/>
          <w:szCs w:val="24"/>
          <w:lang w:val="en-GB"/>
        </w:rPr>
        <w:t xml:space="preserve">Even allowing for substantial predicted growth to 60,000 animals </w:t>
      </w:r>
      <w:r w:rsidR="007B4E13">
        <w:rPr>
          <w:sz w:val="24"/>
          <w:szCs w:val="24"/>
          <w:lang w:val="en-GB"/>
        </w:rPr>
        <w:t xml:space="preserve">based on increased demand for meat, </w:t>
      </w:r>
      <w:r w:rsidR="00FF2526">
        <w:rPr>
          <w:sz w:val="24"/>
          <w:szCs w:val="24"/>
          <w:lang w:val="en-GB"/>
        </w:rPr>
        <w:t>the commercial harvest will still only be 10% of the</w:t>
      </w:r>
      <w:r w:rsidR="000B0308">
        <w:rPr>
          <w:sz w:val="24"/>
          <w:szCs w:val="24"/>
          <w:lang w:val="en-GB"/>
        </w:rPr>
        <w:t xml:space="preserve"> total combined</w:t>
      </w:r>
      <w:r w:rsidR="00FF2526">
        <w:rPr>
          <w:sz w:val="24"/>
          <w:szCs w:val="24"/>
          <w:lang w:val="en-GB"/>
        </w:rPr>
        <w:t xml:space="preserve"> existing cull</w:t>
      </w:r>
      <w:r w:rsidR="005623A1">
        <w:rPr>
          <w:sz w:val="24"/>
          <w:szCs w:val="24"/>
          <w:lang w:val="en-GB"/>
        </w:rPr>
        <w:t xml:space="preserve"> and is likely to simply replaced that level of non commercial cull rather than leading to overall-all increase in the cull. </w:t>
      </w:r>
      <w:r>
        <w:rPr>
          <w:sz w:val="24"/>
          <w:szCs w:val="24"/>
          <w:lang w:val="en-GB"/>
        </w:rPr>
        <w:t>This WTO</w:t>
      </w:r>
      <w:r w:rsidR="00A12277">
        <w:rPr>
          <w:sz w:val="24"/>
          <w:szCs w:val="24"/>
          <w:lang w:val="en-GB"/>
        </w:rPr>
        <w:t xml:space="preserve"> simply</w:t>
      </w:r>
      <w:r>
        <w:rPr>
          <w:sz w:val="24"/>
          <w:szCs w:val="24"/>
          <w:lang w:val="en-GB"/>
        </w:rPr>
        <w:t xml:space="preserve"> seeks to allow skins and fibre from this small percentage</w:t>
      </w:r>
      <w:r w:rsidR="00E60EAE">
        <w:rPr>
          <w:sz w:val="24"/>
          <w:szCs w:val="24"/>
          <w:lang w:val="en-GB"/>
        </w:rPr>
        <w:t xml:space="preserve"> </w:t>
      </w:r>
      <w:r>
        <w:rPr>
          <w:sz w:val="24"/>
          <w:szCs w:val="24"/>
          <w:lang w:val="en-GB"/>
        </w:rPr>
        <w:t>of the total state-wide annual take to be exported. Given the size of the total harvest of this species, the lack of observable impact of this on the total population and the relatively small size of the proposed export activity, the operation can therefore be considered small scale.</w:t>
      </w:r>
    </w:p>
    <w:p w:rsidR="0036390B" w:rsidRDefault="0036390B">
      <w:pPr>
        <w:widowControl/>
        <w:tabs>
          <w:tab w:val="left" w:pos="1134"/>
        </w:tabs>
        <w:spacing w:after="120"/>
        <w:rPr>
          <w:b/>
          <w:sz w:val="24"/>
          <w:szCs w:val="24"/>
          <w:lang w:val="en-GB"/>
        </w:rPr>
      </w:pPr>
      <w:r w:rsidRPr="00AA0A34">
        <w:rPr>
          <w:b/>
          <w:sz w:val="24"/>
          <w:szCs w:val="24"/>
          <w:lang w:val="en-GB"/>
        </w:rPr>
        <w:lastRenderedPageBreak/>
        <w:t>The Proposed Wildlife Trade Operation</w:t>
      </w:r>
    </w:p>
    <w:p w:rsidR="00982569" w:rsidRPr="00AA0A34" w:rsidRDefault="00982569">
      <w:pPr>
        <w:widowControl/>
        <w:tabs>
          <w:tab w:val="left" w:pos="1134"/>
        </w:tabs>
        <w:spacing w:after="120"/>
        <w:rPr>
          <w:b/>
          <w:sz w:val="24"/>
          <w:szCs w:val="24"/>
          <w:lang w:val="en-GB"/>
        </w:rPr>
      </w:pPr>
    </w:p>
    <w:p w:rsidR="0036390B" w:rsidRDefault="0036390B" w:rsidP="00F454FF">
      <w:pPr>
        <w:widowControl/>
        <w:spacing w:after="120"/>
        <w:rPr>
          <w:sz w:val="24"/>
          <w:szCs w:val="24"/>
          <w:lang w:val="en-GB"/>
        </w:rPr>
      </w:pPr>
      <w:r>
        <w:rPr>
          <w:sz w:val="24"/>
          <w:szCs w:val="24"/>
          <w:lang w:val="en-GB"/>
        </w:rPr>
        <w:t xml:space="preserve">This Plan presents an auditable process </w:t>
      </w:r>
      <w:r w:rsidR="00FF1257">
        <w:rPr>
          <w:sz w:val="24"/>
          <w:szCs w:val="24"/>
          <w:lang w:val="en-GB"/>
        </w:rPr>
        <w:t xml:space="preserve">to be strictly adhered to by </w:t>
      </w:r>
      <w:r>
        <w:rPr>
          <w:sz w:val="24"/>
          <w:szCs w:val="24"/>
          <w:lang w:val="en-GB"/>
        </w:rPr>
        <w:t xml:space="preserve">Lenah Game Meats to source wallaby skins and fibre for export. The proposed WTO is based entirely on wallaby skins sourced from animals harvested for domestic meat markets.  The Plan </w:t>
      </w:r>
      <w:r w:rsidR="00FF1257">
        <w:rPr>
          <w:sz w:val="24"/>
          <w:szCs w:val="24"/>
          <w:lang w:val="en-GB"/>
        </w:rPr>
        <w:t xml:space="preserve">details </w:t>
      </w:r>
      <w:r>
        <w:rPr>
          <w:sz w:val="24"/>
          <w:szCs w:val="24"/>
          <w:lang w:val="en-GB"/>
        </w:rPr>
        <w:t>a process to ensure the WTO operates in a manner which satisfies government requirements and minimises public concerns about welfare and sustainability issues.</w:t>
      </w:r>
    </w:p>
    <w:p w:rsidR="0036390B" w:rsidRDefault="0036390B">
      <w:pPr>
        <w:widowControl/>
        <w:tabs>
          <w:tab w:val="left" w:pos="1134"/>
        </w:tabs>
        <w:spacing w:after="120"/>
        <w:rPr>
          <w:sz w:val="24"/>
          <w:szCs w:val="24"/>
          <w:lang w:val="en-GB"/>
        </w:rPr>
      </w:pPr>
      <w:r>
        <w:rPr>
          <w:sz w:val="24"/>
          <w:szCs w:val="24"/>
          <w:lang w:val="en-GB"/>
        </w:rPr>
        <w:t xml:space="preserve">The WTO will apply for three years from approval or until approval of a state-wide wallaby management plan, whichever is sooner. The intent of this WTO is to facilitate the export of skins or fibre from animals harvested and processed commercially for domestic meat markets.   No animals will be harvested specifically to service this WTO. Consequently, the development of an export fur and fibre trade under this WTO will not result in any additional take of Bennett’s wallaby. </w:t>
      </w:r>
    </w:p>
    <w:p w:rsidR="00FF1257" w:rsidRDefault="007B4E13">
      <w:pPr>
        <w:widowControl/>
        <w:spacing w:after="120"/>
        <w:rPr>
          <w:sz w:val="24"/>
          <w:szCs w:val="24"/>
          <w:lang w:val="en-GB"/>
        </w:rPr>
      </w:pPr>
      <w:r>
        <w:rPr>
          <w:sz w:val="24"/>
          <w:szCs w:val="24"/>
          <w:lang w:val="en-GB"/>
        </w:rPr>
        <w:t>Unless exported</w:t>
      </w:r>
      <w:r w:rsidR="0036390B">
        <w:rPr>
          <w:sz w:val="24"/>
          <w:szCs w:val="24"/>
          <w:lang w:val="en-GB"/>
        </w:rPr>
        <w:t xml:space="preserve">, almost all of the skins from commercially harvested animals </w:t>
      </w:r>
      <w:r>
        <w:rPr>
          <w:sz w:val="24"/>
          <w:szCs w:val="24"/>
          <w:lang w:val="en-GB"/>
        </w:rPr>
        <w:t>would be</w:t>
      </w:r>
      <w:r w:rsidR="0036390B">
        <w:rPr>
          <w:sz w:val="24"/>
          <w:szCs w:val="24"/>
          <w:lang w:val="en-GB"/>
        </w:rPr>
        <w:t xml:space="preserve"> discarded as waste as there is no viable domestic market for this</w:t>
      </w:r>
      <w:r w:rsidR="00F86B64">
        <w:rPr>
          <w:sz w:val="24"/>
          <w:szCs w:val="24"/>
          <w:lang w:val="en-GB"/>
        </w:rPr>
        <w:t xml:space="preserve"> </w:t>
      </w:r>
      <w:r w:rsidR="0036390B">
        <w:rPr>
          <w:sz w:val="24"/>
          <w:szCs w:val="24"/>
          <w:lang w:val="en-GB"/>
        </w:rPr>
        <w:t>resource. Bennett’s wallaby skins do not make very good leather since the skin surface is generally highly scratched from fences and fighting. They do however make a very useable fur product. Unfortunately for Tasmanian wallaby</w:t>
      </w:r>
      <w:r w:rsidR="008B2A15">
        <w:rPr>
          <w:sz w:val="24"/>
          <w:szCs w:val="24"/>
          <w:lang w:val="en-GB"/>
        </w:rPr>
        <w:t xml:space="preserve"> harvesters and processors</w:t>
      </w:r>
      <w:r w:rsidR="0036390B">
        <w:rPr>
          <w:sz w:val="24"/>
          <w:szCs w:val="24"/>
          <w:lang w:val="en-GB"/>
        </w:rPr>
        <w:t xml:space="preserve">, there is only a very small domestic market for fur skins. </w:t>
      </w:r>
    </w:p>
    <w:p w:rsidR="00982569" w:rsidRDefault="0036390B">
      <w:pPr>
        <w:widowControl/>
        <w:spacing w:after="120"/>
        <w:rPr>
          <w:sz w:val="24"/>
          <w:szCs w:val="24"/>
          <w:lang w:val="en-GB"/>
        </w:rPr>
      </w:pPr>
      <w:r>
        <w:rPr>
          <w:sz w:val="24"/>
          <w:szCs w:val="24"/>
          <w:lang w:val="en-GB"/>
        </w:rPr>
        <w:t xml:space="preserve">Lenah Game Meats (LGM) has reliable export markets for Bennett’s wallaby skins for use in the international fur trade. In addition, Lenah has been attempting to develop a market for the fibre (fur) from skins.  The fur is removed from the skin and sold as a separate product.  The markets for this product are entirely overseas.  </w:t>
      </w:r>
    </w:p>
    <w:p w:rsidR="00FF2526" w:rsidRDefault="00FF2526">
      <w:pPr>
        <w:widowControl/>
        <w:spacing w:after="120"/>
        <w:rPr>
          <w:b/>
          <w:sz w:val="24"/>
          <w:szCs w:val="24"/>
          <w:lang w:val="en-GB"/>
        </w:rPr>
      </w:pPr>
    </w:p>
    <w:p w:rsidR="0036390B" w:rsidRDefault="0036390B">
      <w:pPr>
        <w:widowControl/>
        <w:spacing w:after="120"/>
        <w:rPr>
          <w:b/>
          <w:sz w:val="24"/>
          <w:szCs w:val="24"/>
          <w:lang w:val="en-GB"/>
        </w:rPr>
      </w:pPr>
      <w:r w:rsidRPr="001E617D">
        <w:rPr>
          <w:b/>
          <w:sz w:val="24"/>
          <w:szCs w:val="24"/>
          <w:lang w:val="en-GB"/>
        </w:rPr>
        <w:t>State Regulation of the wallaby harvest</w:t>
      </w:r>
    </w:p>
    <w:p w:rsidR="00982569" w:rsidRPr="001E617D" w:rsidRDefault="00982569">
      <w:pPr>
        <w:widowControl/>
        <w:spacing w:after="120"/>
        <w:rPr>
          <w:b/>
          <w:sz w:val="24"/>
          <w:szCs w:val="24"/>
          <w:lang w:val="en-GB"/>
        </w:rPr>
      </w:pPr>
    </w:p>
    <w:p w:rsidR="0036390B" w:rsidRDefault="0036390B">
      <w:pPr>
        <w:widowControl/>
        <w:spacing w:after="120"/>
        <w:rPr>
          <w:sz w:val="24"/>
          <w:szCs w:val="24"/>
          <w:lang w:val="en-GB"/>
        </w:rPr>
      </w:pPr>
      <w:r>
        <w:rPr>
          <w:sz w:val="24"/>
          <w:szCs w:val="24"/>
          <w:lang w:val="en-GB"/>
        </w:rPr>
        <w:t xml:space="preserve">Bennett’s wallaby are harvested and processed in Tasmania for human consumption and pet food under the control of the </w:t>
      </w:r>
      <w:r>
        <w:rPr>
          <w:i/>
          <w:sz w:val="24"/>
          <w:szCs w:val="24"/>
          <w:lang w:val="en-GB"/>
        </w:rPr>
        <w:t>Nature Conservation Act 2002</w:t>
      </w:r>
      <w:r w:rsidR="00FF1257">
        <w:rPr>
          <w:i/>
          <w:sz w:val="24"/>
          <w:szCs w:val="24"/>
          <w:lang w:val="en-GB"/>
        </w:rPr>
        <w:t xml:space="preserve"> </w:t>
      </w:r>
      <w:r w:rsidR="00F5388F" w:rsidRPr="00F5388F">
        <w:rPr>
          <w:sz w:val="24"/>
          <w:szCs w:val="24"/>
          <w:lang w:val="en-GB"/>
        </w:rPr>
        <w:t>and</w:t>
      </w:r>
      <w:r w:rsidR="00F5388F">
        <w:rPr>
          <w:i/>
          <w:sz w:val="24"/>
          <w:szCs w:val="24"/>
          <w:lang w:val="en-GB"/>
        </w:rPr>
        <w:t xml:space="preserve"> </w:t>
      </w:r>
      <w:r w:rsidR="00FF1257">
        <w:rPr>
          <w:sz w:val="24"/>
          <w:szCs w:val="24"/>
          <w:lang w:val="en-GB"/>
        </w:rPr>
        <w:t xml:space="preserve">the </w:t>
      </w:r>
      <w:r w:rsidR="00FF1257">
        <w:rPr>
          <w:i/>
          <w:sz w:val="24"/>
          <w:szCs w:val="24"/>
          <w:lang w:val="en-GB"/>
        </w:rPr>
        <w:t>Meat Hygiene Act 1985</w:t>
      </w:r>
      <w:r w:rsidR="00F5388F">
        <w:rPr>
          <w:i/>
          <w:sz w:val="24"/>
          <w:szCs w:val="24"/>
          <w:lang w:val="en-GB"/>
        </w:rPr>
        <w:t xml:space="preserve">, </w:t>
      </w:r>
      <w:r w:rsidR="00F5388F">
        <w:rPr>
          <w:sz w:val="24"/>
          <w:szCs w:val="24"/>
          <w:lang w:val="en-GB"/>
        </w:rPr>
        <w:t>respectively</w:t>
      </w:r>
      <w:r>
        <w:rPr>
          <w:sz w:val="24"/>
          <w:szCs w:val="24"/>
          <w:lang w:val="en-GB"/>
        </w:rPr>
        <w:t>.</w:t>
      </w:r>
      <w:r w:rsidR="00F5388F">
        <w:rPr>
          <w:sz w:val="24"/>
          <w:szCs w:val="24"/>
          <w:lang w:val="en-GB"/>
        </w:rPr>
        <w:t xml:space="preserve"> </w:t>
      </w:r>
      <w:r>
        <w:rPr>
          <w:sz w:val="24"/>
          <w:szCs w:val="24"/>
          <w:lang w:val="en-GB"/>
        </w:rPr>
        <w:t xml:space="preserve"> Meat processing premises and harvesters are registered and licensed by the Food Safety Branch (FSB) and Wildlife Management Branch (WMB) respectively of the Department of Primary Industries, Parks, Water and Environment (DPIPWE).</w:t>
      </w:r>
    </w:p>
    <w:p w:rsidR="0036390B" w:rsidRDefault="0036390B">
      <w:pPr>
        <w:widowControl/>
        <w:spacing w:after="120"/>
        <w:rPr>
          <w:sz w:val="24"/>
          <w:szCs w:val="24"/>
          <w:lang w:val="en-GB"/>
        </w:rPr>
      </w:pPr>
      <w:r>
        <w:rPr>
          <w:sz w:val="24"/>
          <w:szCs w:val="24"/>
          <w:lang w:val="en-GB"/>
        </w:rPr>
        <w:t xml:space="preserve">Bennett’s wallaby are listed as </w:t>
      </w:r>
      <w:r w:rsidR="00F5388F">
        <w:rPr>
          <w:sz w:val="24"/>
          <w:szCs w:val="24"/>
          <w:lang w:val="en-GB"/>
        </w:rPr>
        <w:t xml:space="preserve">Partly Protected Wildlife </w:t>
      </w:r>
      <w:r>
        <w:rPr>
          <w:sz w:val="24"/>
          <w:szCs w:val="24"/>
          <w:lang w:val="en-GB"/>
        </w:rPr>
        <w:t xml:space="preserve">under Schedule 4 of the </w:t>
      </w:r>
      <w:r>
        <w:rPr>
          <w:i/>
          <w:sz w:val="24"/>
          <w:szCs w:val="24"/>
          <w:lang w:val="en-GB"/>
        </w:rPr>
        <w:t>Wildlife (General) Regulations 2010</w:t>
      </w:r>
      <w:r>
        <w:rPr>
          <w:sz w:val="24"/>
          <w:szCs w:val="24"/>
          <w:lang w:val="en-GB"/>
        </w:rPr>
        <w:t xml:space="preserve"> of the </w:t>
      </w:r>
      <w:r>
        <w:rPr>
          <w:i/>
          <w:sz w:val="24"/>
          <w:szCs w:val="24"/>
          <w:lang w:val="en-GB"/>
        </w:rPr>
        <w:t>Nature Conservation Act 2002</w:t>
      </w:r>
      <w:r>
        <w:rPr>
          <w:sz w:val="24"/>
          <w:szCs w:val="24"/>
          <w:lang w:val="en-GB"/>
        </w:rPr>
        <w:t>. As such, they can be taken by licensed hunters during an open season and permits can be issued to allow them to be taken at any time for crop protection, or other approved purposes.</w:t>
      </w:r>
    </w:p>
    <w:p w:rsidR="0036390B" w:rsidRDefault="0036390B">
      <w:pPr>
        <w:widowControl/>
        <w:spacing w:after="120"/>
        <w:rPr>
          <w:sz w:val="24"/>
          <w:szCs w:val="24"/>
          <w:lang w:val="en-GB"/>
        </w:rPr>
      </w:pPr>
      <w:r>
        <w:rPr>
          <w:sz w:val="24"/>
          <w:szCs w:val="24"/>
          <w:lang w:val="en-GB"/>
        </w:rPr>
        <w:t xml:space="preserve">In endorsing this WTO, the DPIPWE acknowledges its </w:t>
      </w:r>
      <w:r w:rsidR="00F5388F">
        <w:rPr>
          <w:sz w:val="24"/>
          <w:szCs w:val="24"/>
          <w:lang w:val="en-GB"/>
        </w:rPr>
        <w:t>intention to</w:t>
      </w:r>
      <w:r w:rsidR="005958FD">
        <w:rPr>
          <w:sz w:val="24"/>
          <w:szCs w:val="24"/>
          <w:lang w:val="en-GB"/>
        </w:rPr>
        <w:t xml:space="preserve"> </w:t>
      </w:r>
      <w:r>
        <w:rPr>
          <w:sz w:val="24"/>
          <w:szCs w:val="24"/>
          <w:lang w:val="en-GB"/>
        </w:rPr>
        <w:t>monitor</w:t>
      </w:r>
      <w:r w:rsidR="00F5388F">
        <w:rPr>
          <w:sz w:val="24"/>
          <w:szCs w:val="24"/>
          <w:lang w:val="en-GB"/>
        </w:rPr>
        <w:t xml:space="preserve"> the</w:t>
      </w:r>
      <w:r>
        <w:rPr>
          <w:sz w:val="24"/>
          <w:szCs w:val="24"/>
          <w:lang w:val="en-GB"/>
        </w:rPr>
        <w:t xml:space="preserve"> </w:t>
      </w:r>
      <w:r w:rsidR="00F5388F">
        <w:rPr>
          <w:sz w:val="24"/>
          <w:szCs w:val="24"/>
          <w:lang w:val="en-GB"/>
        </w:rPr>
        <w:t xml:space="preserve">Tasmanian </w:t>
      </w:r>
      <w:r>
        <w:rPr>
          <w:sz w:val="24"/>
          <w:szCs w:val="24"/>
          <w:lang w:val="en-GB"/>
        </w:rPr>
        <w:t xml:space="preserve">Bennett’s wallaby population through the undertaking of annual spotlight surveys (Section 5), monitoring the </w:t>
      </w:r>
      <w:r w:rsidR="00F5388F">
        <w:rPr>
          <w:sz w:val="24"/>
          <w:szCs w:val="24"/>
          <w:lang w:val="en-GB"/>
        </w:rPr>
        <w:t xml:space="preserve">commercial </w:t>
      </w:r>
      <w:r>
        <w:rPr>
          <w:sz w:val="24"/>
          <w:szCs w:val="24"/>
          <w:lang w:val="en-GB"/>
        </w:rPr>
        <w:t xml:space="preserve">take of Bennett’s wallaby and providing the resulting data to LGM for reporting to the Commonwealth as required under Section 10. The DPIPWE also acknowledges its responsibilities for ensuring activities undertaken under this WTO comply with the </w:t>
      </w:r>
      <w:r>
        <w:rPr>
          <w:i/>
          <w:sz w:val="24"/>
          <w:szCs w:val="24"/>
          <w:lang w:val="en-GB"/>
        </w:rPr>
        <w:t xml:space="preserve">Wildlife (General) Regulations 2010 </w:t>
      </w:r>
      <w:r>
        <w:rPr>
          <w:sz w:val="24"/>
          <w:szCs w:val="24"/>
          <w:lang w:val="en-GB"/>
        </w:rPr>
        <w:t xml:space="preserve">of the </w:t>
      </w:r>
      <w:r>
        <w:rPr>
          <w:i/>
          <w:sz w:val="24"/>
          <w:szCs w:val="24"/>
          <w:lang w:val="en-GB"/>
        </w:rPr>
        <w:t>Nature</w:t>
      </w:r>
      <w:r>
        <w:rPr>
          <w:sz w:val="24"/>
          <w:szCs w:val="24"/>
          <w:lang w:val="en-GB"/>
        </w:rPr>
        <w:t xml:space="preserve"> </w:t>
      </w:r>
      <w:r>
        <w:rPr>
          <w:i/>
          <w:sz w:val="24"/>
          <w:szCs w:val="24"/>
          <w:lang w:val="en-GB"/>
        </w:rPr>
        <w:t>Conservation Act 2002</w:t>
      </w:r>
      <w:r>
        <w:rPr>
          <w:sz w:val="24"/>
          <w:szCs w:val="24"/>
          <w:lang w:val="en-GB"/>
        </w:rPr>
        <w:t xml:space="preserve"> (Section 7) and the </w:t>
      </w:r>
      <w:r>
        <w:rPr>
          <w:i/>
          <w:sz w:val="24"/>
          <w:szCs w:val="24"/>
          <w:lang w:val="en-GB"/>
        </w:rPr>
        <w:t>Animal Welfare Act 1993</w:t>
      </w:r>
      <w:r>
        <w:rPr>
          <w:sz w:val="24"/>
          <w:szCs w:val="24"/>
          <w:lang w:val="en-GB"/>
        </w:rPr>
        <w:t xml:space="preserve"> (Section 8). All other requirements outlined under this WTO remain the responsibility of LGM.</w:t>
      </w:r>
    </w:p>
    <w:p w:rsidR="0036390B" w:rsidRDefault="0036390B">
      <w:pPr>
        <w:widowControl/>
        <w:spacing w:before="240" w:after="240"/>
        <w:rPr>
          <w:sz w:val="28"/>
          <w:szCs w:val="28"/>
          <w:lang w:val="en-GB"/>
        </w:rPr>
      </w:pPr>
    </w:p>
    <w:p w:rsidR="0036390B" w:rsidRDefault="0036390B">
      <w:pPr>
        <w:widowControl/>
        <w:numPr>
          <w:ilvl w:val="0"/>
          <w:numId w:val="1"/>
        </w:numPr>
        <w:spacing w:before="240" w:after="240"/>
        <w:ind w:left="0" w:firstLine="0"/>
        <w:rPr>
          <w:sz w:val="28"/>
          <w:szCs w:val="28"/>
          <w:lang w:val="en-GB"/>
        </w:rPr>
      </w:pPr>
      <w:r>
        <w:rPr>
          <w:b/>
          <w:sz w:val="28"/>
          <w:szCs w:val="28"/>
          <w:lang w:val="en-GB"/>
        </w:rPr>
        <w:lastRenderedPageBreak/>
        <w:t>Harvest details</w:t>
      </w:r>
    </w:p>
    <w:p w:rsidR="0036390B" w:rsidRDefault="0036390B">
      <w:pPr>
        <w:widowControl/>
        <w:rPr>
          <w:sz w:val="24"/>
          <w:szCs w:val="24"/>
          <w:lang w:val="en-GB"/>
        </w:rPr>
      </w:pPr>
      <w:r>
        <w:rPr>
          <w:b/>
          <w:sz w:val="24"/>
          <w:szCs w:val="24"/>
          <w:lang w:val="en-GB"/>
        </w:rPr>
        <w:t>3.1 Region of Harvest.</w:t>
      </w:r>
    </w:p>
    <w:p w:rsidR="0036390B" w:rsidRDefault="0036390B" w:rsidP="00C134CE">
      <w:pPr>
        <w:pStyle w:val="Text"/>
        <w:widowControl/>
        <w:spacing w:before="240"/>
        <w:rPr>
          <w:rFonts w:ascii="Times New Roman" w:hAnsi="Times New Roman"/>
          <w:szCs w:val="24"/>
          <w:lang w:val="en-GB"/>
        </w:rPr>
      </w:pPr>
      <w:r>
        <w:rPr>
          <w:rFonts w:ascii="Times New Roman" w:hAnsi="Times New Roman"/>
          <w:szCs w:val="24"/>
          <w:lang w:val="en-GB"/>
        </w:rPr>
        <w:t xml:space="preserve">Bennett’s wallaby occur widely throughout </w:t>
      </w:r>
      <w:smartTag w:uri="urn:schemas-microsoft-com:office:smarttags" w:element="place">
        <w:smartTag w:uri="urn:schemas-microsoft-com:office:smarttags" w:element="State">
          <w:r>
            <w:rPr>
              <w:rFonts w:ascii="Times New Roman" w:hAnsi="Times New Roman"/>
              <w:szCs w:val="24"/>
              <w:lang w:val="en-GB"/>
            </w:rPr>
            <w:t>Tasmania</w:t>
          </w:r>
        </w:smartTag>
      </w:smartTag>
      <w:r>
        <w:rPr>
          <w:rFonts w:ascii="Times New Roman" w:hAnsi="Times New Roman"/>
          <w:szCs w:val="24"/>
          <w:lang w:val="en-GB"/>
        </w:rPr>
        <w:t xml:space="preserve"> and occur in most vegetation types with the exception of extensive areas of cleared land (</w:t>
      </w:r>
      <w:proofErr w:type="spellStart"/>
      <w:r>
        <w:rPr>
          <w:rFonts w:ascii="Times New Roman" w:hAnsi="Times New Roman"/>
          <w:szCs w:val="24"/>
          <w:lang w:val="en-GB"/>
        </w:rPr>
        <w:t>Rounsevell</w:t>
      </w:r>
      <w:proofErr w:type="spellEnd"/>
      <w:r>
        <w:rPr>
          <w:rFonts w:ascii="Times New Roman" w:hAnsi="Times New Roman"/>
          <w:szCs w:val="24"/>
          <w:lang w:val="en-GB"/>
        </w:rPr>
        <w:t xml:space="preserve"> </w:t>
      </w:r>
      <w:r>
        <w:rPr>
          <w:rFonts w:ascii="Times New Roman" w:hAnsi="Times New Roman"/>
          <w:i/>
          <w:szCs w:val="24"/>
          <w:lang w:val="en-GB"/>
        </w:rPr>
        <w:t>et al</w:t>
      </w:r>
      <w:r>
        <w:rPr>
          <w:rFonts w:ascii="Times New Roman" w:hAnsi="Times New Roman"/>
          <w:szCs w:val="24"/>
          <w:lang w:val="en-GB"/>
        </w:rPr>
        <w:t xml:space="preserve"> 1991). Consequently, they may be harvested from all regions of the state except the South west region, which consists predominantly of areas designated as conservation reserves (e.g. World Heritage and National Parks) where hunting is not permitted. </w:t>
      </w:r>
    </w:p>
    <w:p w:rsidR="0036390B" w:rsidRDefault="0036390B">
      <w:pPr>
        <w:widowControl/>
        <w:spacing w:after="120"/>
        <w:rPr>
          <w:sz w:val="24"/>
          <w:szCs w:val="24"/>
          <w:lang w:val="en-GB"/>
        </w:rPr>
      </w:pPr>
      <w:r>
        <w:rPr>
          <w:sz w:val="24"/>
          <w:szCs w:val="24"/>
          <w:lang w:val="en-GB"/>
        </w:rPr>
        <w:t xml:space="preserve">All harvesting will take place on land used for primary production. </w:t>
      </w:r>
    </w:p>
    <w:p w:rsidR="0036390B" w:rsidRDefault="0036390B">
      <w:pPr>
        <w:widowControl/>
        <w:tabs>
          <w:tab w:val="left" w:pos="709"/>
        </w:tabs>
        <w:rPr>
          <w:b/>
          <w:sz w:val="24"/>
          <w:szCs w:val="24"/>
          <w:lang w:val="en-GB"/>
        </w:rPr>
      </w:pPr>
      <w:r>
        <w:rPr>
          <w:b/>
          <w:sz w:val="24"/>
          <w:szCs w:val="24"/>
          <w:lang w:val="en-GB"/>
        </w:rPr>
        <w:t>3.2</w:t>
      </w:r>
      <w:r>
        <w:rPr>
          <w:b/>
          <w:sz w:val="24"/>
          <w:szCs w:val="24"/>
          <w:lang w:val="en-GB"/>
        </w:rPr>
        <w:tab/>
        <w:t>Source of skins and fibre.</w:t>
      </w:r>
    </w:p>
    <w:p w:rsidR="005C6D75" w:rsidRDefault="0036390B" w:rsidP="005C6D75">
      <w:pPr>
        <w:widowControl/>
        <w:spacing w:after="120"/>
        <w:rPr>
          <w:sz w:val="24"/>
          <w:szCs w:val="24"/>
          <w:lang w:val="en-GB"/>
        </w:rPr>
      </w:pPr>
      <w:r>
        <w:rPr>
          <w:sz w:val="24"/>
          <w:szCs w:val="24"/>
          <w:lang w:val="en-GB"/>
        </w:rPr>
        <w:t xml:space="preserve">All skins and fibre for export will be sourced </w:t>
      </w:r>
      <w:r>
        <w:rPr>
          <w:sz w:val="24"/>
          <w:szCs w:val="24"/>
          <w:u w:val="single"/>
          <w:lang w:val="en-GB"/>
        </w:rPr>
        <w:t>only</w:t>
      </w:r>
      <w:r>
        <w:rPr>
          <w:sz w:val="24"/>
          <w:szCs w:val="24"/>
          <w:lang w:val="en-GB"/>
        </w:rPr>
        <w:t xml:space="preserve"> from animals taken and processed commercially for their meat in premises licensed by FSB. Mechanisms to ensure the export will not threaten the abundance of the species across its existing range are </w:t>
      </w:r>
      <w:r w:rsidR="008B2A15">
        <w:rPr>
          <w:sz w:val="24"/>
          <w:szCs w:val="24"/>
          <w:lang w:val="en-GB"/>
        </w:rPr>
        <w:t>described</w:t>
      </w:r>
      <w:r w:rsidR="005958FD">
        <w:rPr>
          <w:sz w:val="24"/>
          <w:szCs w:val="24"/>
          <w:lang w:val="en-GB"/>
        </w:rPr>
        <w:t xml:space="preserve"> </w:t>
      </w:r>
      <w:r>
        <w:rPr>
          <w:sz w:val="24"/>
          <w:szCs w:val="24"/>
          <w:lang w:val="en-GB"/>
        </w:rPr>
        <w:t>at Section</w:t>
      </w:r>
      <w:r w:rsidR="000F05F8">
        <w:rPr>
          <w:sz w:val="24"/>
          <w:szCs w:val="24"/>
          <w:lang w:val="en-GB"/>
        </w:rPr>
        <w:t> 6</w:t>
      </w:r>
      <w:r>
        <w:rPr>
          <w:sz w:val="24"/>
          <w:szCs w:val="24"/>
          <w:lang w:val="en-GB"/>
        </w:rPr>
        <w:t>.</w:t>
      </w:r>
    </w:p>
    <w:p w:rsidR="0036390B" w:rsidRDefault="0036390B">
      <w:pPr>
        <w:widowControl/>
        <w:rPr>
          <w:sz w:val="24"/>
          <w:szCs w:val="24"/>
          <w:lang w:val="en-GB"/>
        </w:rPr>
      </w:pPr>
      <w:r>
        <w:rPr>
          <w:b/>
          <w:sz w:val="24"/>
          <w:szCs w:val="24"/>
          <w:lang w:val="en-GB"/>
        </w:rPr>
        <w:t xml:space="preserve">3.3 </w:t>
      </w:r>
      <w:r>
        <w:rPr>
          <w:b/>
          <w:sz w:val="24"/>
          <w:szCs w:val="24"/>
          <w:lang w:val="en-GB"/>
        </w:rPr>
        <w:tab/>
        <w:t>Method of Harvest.</w:t>
      </w:r>
    </w:p>
    <w:p w:rsidR="0036390B" w:rsidRDefault="0036390B">
      <w:pPr>
        <w:widowControl/>
        <w:spacing w:after="120"/>
        <w:rPr>
          <w:sz w:val="24"/>
          <w:szCs w:val="24"/>
          <w:u w:val="single"/>
          <w:lang w:val="en-GB"/>
        </w:rPr>
      </w:pPr>
      <w:r>
        <w:rPr>
          <w:sz w:val="24"/>
          <w:szCs w:val="24"/>
          <w:lang w:val="en-GB"/>
        </w:rPr>
        <w:t xml:space="preserve">Wallabies </w:t>
      </w:r>
      <w:r w:rsidR="00157545">
        <w:rPr>
          <w:sz w:val="24"/>
          <w:szCs w:val="24"/>
          <w:lang w:val="en-GB"/>
        </w:rPr>
        <w:t>are</w:t>
      </w:r>
      <w:r>
        <w:rPr>
          <w:sz w:val="24"/>
          <w:szCs w:val="24"/>
          <w:lang w:val="en-GB"/>
        </w:rPr>
        <w:t xml:space="preserve"> harvested by shooting at night with the aid of a spotlight. Harvesters </w:t>
      </w:r>
      <w:r w:rsidR="00157545">
        <w:rPr>
          <w:sz w:val="24"/>
          <w:szCs w:val="24"/>
          <w:lang w:val="en-GB"/>
        </w:rPr>
        <w:t>are</w:t>
      </w:r>
      <w:r>
        <w:rPr>
          <w:sz w:val="24"/>
          <w:szCs w:val="24"/>
          <w:lang w:val="en-GB"/>
        </w:rPr>
        <w:t xml:space="preserve"> licensed by the WMB and accredited by the FSB. In order for a licensed harvester to take wallaby from land at night with the aid of a spotlight, the landowner must have a current crop protection permit issued by the DPIPWE. FSB requires that animals entering the commercial trade must be taken according to the </w:t>
      </w:r>
      <w:r>
        <w:rPr>
          <w:i/>
          <w:sz w:val="24"/>
          <w:szCs w:val="24"/>
          <w:lang w:val="en-GB"/>
        </w:rPr>
        <w:t>Animal Welfare Standard for the Hunting of Wallabies in Tasmania</w:t>
      </w:r>
      <w:r>
        <w:rPr>
          <w:sz w:val="24"/>
          <w:szCs w:val="24"/>
          <w:lang w:val="en-GB"/>
        </w:rPr>
        <w:t xml:space="preserve"> and </w:t>
      </w:r>
      <w:r>
        <w:rPr>
          <w:sz w:val="24"/>
          <w:szCs w:val="24"/>
          <w:u w:val="single"/>
          <w:lang w:val="en-GB"/>
        </w:rPr>
        <w:t>must</w:t>
      </w:r>
      <w:r>
        <w:rPr>
          <w:sz w:val="24"/>
          <w:szCs w:val="24"/>
          <w:lang w:val="en-GB"/>
        </w:rPr>
        <w:t xml:space="preserve"> be brain-shot. This is regulated by FSB through regular audits of processing premises (quarterly) and harvesters (at least annually, often more regularly).</w:t>
      </w:r>
    </w:p>
    <w:p w:rsidR="0036390B" w:rsidRDefault="0036390B">
      <w:pPr>
        <w:widowControl/>
        <w:rPr>
          <w:sz w:val="24"/>
          <w:szCs w:val="24"/>
          <w:lang w:val="en-GB"/>
        </w:rPr>
      </w:pPr>
      <w:r>
        <w:rPr>
          <w:b/>
          <w:sz w:val="24"/>
          <w:szCs w:val="24"/>
          <w:lang w:val="en-GB"/>
        </w:rPr>
        <w:t xml:space="preserve">3.4 </w:t>
      </w:r>
      <w:r>
        <w:rPr>
          <w:b/>
          <w:sz w:val="24"/>
          <w:szCs w:val="24"/>
          <w:lang w:val="en-GB"/>
        </w:rPr>
        <w:tab/>
        <w:t>Harvest season</w:t>
      </w:r>
      <w:r>
        <w:rPr>
          <w:sz w:val="24"/>
          <w:szCs w:val="24"/>
          <w:lang w:val="en-GB"/>
        </w:rPr>
        <w:t>.</w:t>
      </w:r>
    </w:p>
    <w:p w:rsidR="0036390B" w:rsidRDefault="0036390B">
      <w:pPr>
        <w:widowControl/>
        <w:spacing w:after="120"/>
        <w:rPr>
          <w:sz w:val="24"/>
          <w:szCs w:val="24"/>
          <w:lang w:val="en-GB"/>
        </w:rPr>
      </w:pPr>
      <w:r>
        <w:rPr>
          <w:sz w:val="24"/>
          <w:szCs w:val="24"/>
          <w:lang w:val="en-GB"/>
        </w:rPr>
        <w:t>The harvest is and will be undertaken throughout the year.</w:t>
      </w:r>
    </w:p>
    <w:p w:rsidR="0036390B" w:rsidRDefault="0036390B">
      <w:pPr>
        <w:widowControl/>
        <w:rPr>
          <w:sz w:val="24"/>
          <w:szCs w:val="24"/>
          <w:lang w:val="en-GB"/>
        </w:rPr>
      </w:pPr>
      <w:r>
        <w:rPr>
          <w:b/>
          <w:sz w:val="24"/>
          <w:szCs w:val="24"/>
          <w:lang w:val="en-GB"/>
        </w:rPr>
        <w:t>3.5</w:t>
      </w:r>
      <w:r>
        <w:rPr>
          <w:sz w:val="24"/>
          <w:szCs w:val="24"/>
          <w:lang w:val="en-GB"/>
        </w:rPr>
        <w:t xml:space="preserve"> </w:t>
      </w:r>
      <w:r>
        <w:rPr>
          <w:sz w:val="24"/>
          <w:szCs w:val="24"/>
          <w:lang w:val="en-GB"/>
        </w:rPr>
        <w:tab/>
      </w:r>
      <w:r>
        <w:rPr>
          <w:b/>
          <w:sz w:val="24"/>
          <w:szCs w:val="24"/>
          <w:lang w:val="en-GB"/>
        </w:rPr>
        <w:t>Size of the Harvest.</w:t>
      </w:r>
    </w:p>
    <w:p w:rsidR="0036390B" w:rsidRDefault="0036390B">
      <w:pPr>
        <w:widowControl/>
        <w:spacing w:after="120"/>
        <w:rPr>
          <w:sz w:val="24"/>
          <w:szCs w:val="24"/>
          <w:lang w:val="en-GB"/>
        </w:rPr>
      </w:pPr>
      <w:r>
        <w:rPr>
          <w:sz w:val="24"/>
          <w:szCs w:val="24"/>
          <w:lang w:val="en-GB"/>
        </w:rPr>
        <w:t>The total export of Bennett’s wallaby skins and fibre from Tasmania</w:t>
      </w:r>
      <w:r w:rsidR="0023714D">
        <w:rPr>
          <w:sz w:val="24"/>
          <w:szCs w:val="24"/>
          <w:lang w:val="en-GB"/>
        </w:rPr>
        <w:t xml:space="preserve"> will be set at a maximum of </w:t>
      </w:r>
      <w:r w:rsidR="00E60EAE">
        <w:rPr>
          <w:sz w:val="24"/>
          <w:szCs w:val="24"/>
          <w:lang w:val="en-GB"/>
        </w:rPr>
        <w:t>6</w:t>
      </w:r>
      <w:r>
        <w:rPr>
          <w:sz w:val="24"/>
          <w:szCs w:val="24"/>
          <w:lang w:val="en-GB"/>
        </w:rPr>
        <w:t>0,0</w:t>
      </w:r>
      <w:r w:rsidR="0023714D">
        <w:rPr>
          <w:sz w:val="24"/>
          <w:szCs w:val="24"/>
          <w:lang w:val="en-GB"/>
        </w:rPr>
        <w:t xml:space="preserve">00 animals. </w:t>
      </w:r>
    </w:p>
    <w:p w:rsidR="0036390B" w:rsidRDefault="0036390B">
      <w:pPr>
        <w:widowControl/>
        <w:spacing w:before="240" w:after="240"/>
        <w:rPr>
          <w:sz w:val="28"/>
          <w:szCs w:val="28"/>
          <w:lang w:val="en-GB"/>
        </w:rPr>
      </w:pPr>
      <w:r>
        <w:rPr>
          <w:b/>
          <w:sz w:val="28"/>
          <w:szCs w:val="28"/>
          <w:lang w:val="en-GB"/>
        </w:rPr>
        <w:t>4. Impact on the harvested species</w:t>
      </w:r>
    </w:p>
    <w:p w:rsidR="0036390B" w:rsidRDefault="001F6DE8">
      <w:pPr>
        <w:widowControl/>
        <w:spacing w:after="120"/>
        <w:rPr>
          <w:sz w:val="24"/>
          <w:szCs w:val="24"/>
          <w:lang w:val="en-GB"/>
        </w:rPr>
      </w:pPr>
      <w:r>
        <w:rPr>
          <w:sz w:val="24"/>
          <w:szCs w:val="24"/>
          <w:lang w:val="en-GB"/>
        </w:rPr>
        <w:t>As noted above the combined commercial and non-commercial w</w:t>
      </w:r>
      <w:r w:rsidR="0036390B">
        <w:rPr>
          <w:sz w:val="24"/>
          <w:szCs w:val="24"/>
          <w:lang w:val="en-GB"/>
        </w:rPr>
        <w:t xml:space="preserve">allaby </w:t>
      </w:r>
      <w:r>
        <w:rPr>
          <w:sz w:val="24"/>
          <w:szCs w:val="24"/>
          <w:lang w:val="en-GB"/>
        </w:rPr>
        <w:t xml:space="preserve">culled in </w:t>
      </w:r>
      <w:r w:rsidR="0036390B">
        <w:rPr>
          <w:sz w:val="24"/>
          <w:szCs w:val="24"/>
          <w:lang w:val="en-GB"/>
        </w:rPr>
        <w:t xml:space="preserve">Tasmania </w:t>
      </w:r>
      <w:r>
        <w:rPr>
          <w:sz w:val="24"/>
          <w:szCs w:val="24"/>
          <w:lang w:val="en-GB"/>
        </w:rPr>
        <w:t>exceeds 60</w:t>
      </w:r>
      <w:r w:rsidR="0023714D">
        <w:rPr>
          <w:sz w:val="24"/>
          <w:szCs w:val="24"/>
          <w:lang w:val="en-GB"/>
        </w:rPr>
        <w:t>0</w:t>
      </w:r>
      <w:r w:rsidR="0036390B">
        <w:rPr>
          <w:sz w:val="24"/>
          <w:szCs w:val="24"/>
          <w:lang w:val="en-GB"/>
        </w:rPr>
        <w:t xml:space="preserve">,000 animals per year. This rate of harvest has had no observable impact on the viability of the Tasmanian wallaby population (see Figure 1). It should also be noted that </w:t>
      </w:r>
      <w:r>
        <w:rPr>
          <w:sz w:val="24"/>
          <w:szCs w:val="24"/>
          <w:lang w:val="en-GB"/>
        </w:rPr>
        <w:t xml:space="preserve">current </w:t>
      </w:r>
      <w:r w:rsidR="0036390B">
        <w:rPr>
          <w:sz w:val="24"/>
          <w:szCs w:val="24"/>
          <w:lang w:val="en-GB"/>
        </w:rPr>
        <w:t xml:space="preserve">the commercial harvest constitutes </w:t>
      </w:r>
      <w:r w:rsidR="00FB418C">
        <w:rPr>
          <w:sz w:val="24"/>
          <w:szCs w:val="24"/>
          <w:lang w:val="en-GB"/>
        </w:rPr>
        <w:t>approximately</w:t>
      </w:r>
      <w:r w:rsidR="00FF2526">
        <w:rPr>
          <w:sz w:val="24"/>
          <w:szCs w:val="24"/>
          <w:lang w:val="en-GB"/>
        </w:rPr>
        <w:t xml:space="preserve"> </w:t>
      </w:r>
      <w:r w:rsidR="00157545">
        <w:rPr>
          <w:sz w:val="24"/>
          <w:szCs w:val="24"/>
          <w:lang w:val="en-GB"/>
        </w:rPr>
        <w:t>5</w:t>
      </w:r>
      <w:r w:rsidR="0036390B">
        <w:rPr>
          <w:sz w:val="24"/>
          <w:szCs w:val="24"/>
          <w:lang w:val="en-GB"/>
        </w:rPr>
        <w:t>% of the total annual take of Bennett’s wallaby</w:t>
      </w:r>
      <w:r w:rsidR="00FF2526">
        <w:rPr>
          <w:sz w:val="24"/>
          <w:szCs w:val="24"/>
          <w:lang w:val="en-GB"/>
        </w:rPr>
        <w:t xml:space="preserve"> and even with predicted growth will still be only 10% of the long term average total State-wide cull</w:t>
      </w:r>
    </w:p>
    <w:p w:rsidR="0036390B" w:rsidRDefault="0036390B">
      <w:pPr>
        <w:widowControl/>
        <w:spacing w:after="120"/>
        <w:rPr>
          <w:sz w:val="24"/>
          <w:szCs w:val="24"/>
          <w:lang w:val="en-GB"/>
        </w:rPr>
      </w:pPr>
      <w:r>
        <w:rPr>
          <w:sz w:val="24"/>
          <w:szCs w:val="24"/>
          <w:lang w:val="en-GB"/>
        </w:rPr>
        <w:t xml:space="preserve">The WTO has mechanisms in place to ensure that if wallaby densities fall </w:t>
      </w:r>
      <w:proofErr w:type="gramStart"/>
      <w:r>
        <w:rPr>
          <w:sz w:val="24"/>
          <w:szCs w:val="24"/>
          <w:lang w:val="en-GB"/>
        </w:rPr>
        <w:t>below  conservatively</w:t>
      </w:r>
      <w:proofErr w:type="gramEnd"/>
      <w:r>
        <w:rPr>
          <w:sz w:val="24"/>
          <w:szCs w:val="24"/>
          <w:lang w:val="en-GB"/>
        </w:rPr>
        <w:t xml:space="preserve"> set trigger points, the exports of skins will cease. The trigger point mechanisms are </w:t>
      </w:r>
      <w:r w:rsidR="00157545">
        <w:rPr>
          <w:sz w:val="24"/>
          <w:szCs w:val="24"/>
          <w:lang w:val="en-GB"/>
        </w:rPr>
        <w:t>described</w:t>
      </w:r>
      <w:r>
        <w:rPr>
          <w:sz w:val="24"/>
          <w:szCs w:val="24"/>
          <w:lang w:val="en-GB"/>
        </w:rPr>
        <w:t xml:space="preserve"> in Section 6.1. They are designed to ensure the trade in skins facilitated by export does not contribute to a trade that will be detrimental to wallaby populations.</w:t>
      </w:r>
    </w:p>
    <w:p w:rsidR="0036390B" w:rsidRDefault="0036390B">
      <w:pPr>
        <w:widowControl/>
        <w:rPr>
          <w:sz w:val="24"/>
          <w:szCs w:val="24"/>
          <w:lang w:val="en-GB"/>
        </w:rPr>
      </w:pPr>
    </w:p>
    <w:p w:rsidR="0036390B" w:rsidRDefault="006B3D7A">
      <w:pPr>
        <w:widowControl/>
        <w:jc w:val="center"/>
        <w:rPr>
          <w:sz w:val="24"/>
          <w:szCs w:val="24"/>
          <w:lang w:val="en-GB"/>
        </w:rPr>
      </w:pPr>
      <w:r w:rsidRPr="00F84887">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i1025" type="#_x0000_t75" style="width:331.8pt;height:200.4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">
            <v:imagedata r:id="rId8" o:title=""/>
            <o:lock v:ext="edit" aspectratio="f"/>
          </v:shape>
        </w:pict>
      </w:r>
    </w:p>
    <w:p w:rsidR="0036390B" w:rsidRDefault="0036390B" w:rsidP="00941D3D">
      <w:pPr>
        <w:widowControl/>
        <w:spacing w:before="120"/>
        <w:jc w:val="center"/>
        <w:rPr>
          <w:sz w:val="24"/>
          <w:szCs w:val="24"/>
          <w:lang w:val="en-GB"/>
        </w:rPr>
      </w:pPr>
      <w:r>
        <w:rPr>
          <w:b/>
          <w:lang w:val="en-GB"/>
        </w:rPr>
        <w:t xml:space="preserve">Figure 1: Density trends for Bennett’s wallabies in </w:t>
      </w:r>
      <w:smartTag w:uri="urn:schemas-microsoft-com:office:smarttags" w:element="place">
        <w:smartTag w:uri="urn:schemas-microsoft-com:office:smarttags" w:element="State">
          <w:r>
            <w:rPr>
              <w:b/>
              <w:lang w:val="en-GB"/>
            </w:rPr>
            <w:t>Tasmania</w:t>
          </w:r>
        </w:smartTag>
      </w:smartTag>
      <w:r>
        <w:rPr>
          <w:b/>
          <w:lang w:val="en-GB"/>
        </w:rPr>
        <w:t xml:space="preserve"> for the period since 2002. Solid line represents the mean density (wallabies per km</w:t>
      </w:r>
      <w:r w:rsidRPr="007112FB">
        <w:rPr>
          <w:b/>
          <w:vertAlign w:val="superscript"/>
          <w:lang w:val="en-GB"/>
        </w:rPr>
        <w:t>2</w:t>
      </w:r>
      <w:r>
        <w:rPr>
          <w:b/>
          <w:lang w:val="en-GB"/>
        </w:rPr>
        <w:t>) the dotted lines represent the 95% confidence limits</w:t>
      </w:r>
      <w:r w:rsidR="0034430D">
        <w:rPr>
          <w:b/>
          <w:lang w:val="en-GB"/>
        </w:rPr>
        <w:t xml:space="preserve"> and the thin straight line shows the long term trend</w:t>
      </w:r>
      <w:r>
        <w:rPr>
          <w:b/>
          <w:lang w:val="en-GB"/>
        </w:rPr>
        <w:t>.</w:t>
      </w:r>
    </w:p>
    <w:p w:rsidR="0036390B" w:rsidRDefault="0036390B">
      <w:pPr>
        <w:widowControl/>
        <w:numPr>
          <w:ilvl w:val="0"/>
          <w:numId w:val="3"/>
        </w:numPr>
        <w:spacing w:before="240" w:after="240"/>
        <w:ind w:left="0" w:firstLine="0"/>
        <w:rPr>
          <w:b/>
          <w:sz w:val="28"/>
          <w:szCs w:val="28"/>
          <w:lang w:val="en-GB"/>
        </w:rPr>
      </w:pPr>
      <w:r>
        <w:rPr>
          <w:b/>
          <w:sz w:val="28"/>
          <w:szCs w:val="28"/>
          <w:lang w:val="en-GB"/>
        </w:rPr>
        <w:t xml:space="preserve"> Monitoring and assessment</w:t>
      </w:r>
    </w:p>
    <w:p w:rsidR="0036390B" w:rsidRDefault="0036390B">
      <w:pPr>
        <w:pStyle w:val="Heading2"/>
        <w:widowControl/>
        <w:spacing w:before="0" w:after="0"/>
        <w:rPr>
          <w:rFonts w:ascii="Times New Roman" w:hAnsi="Times New Roman"/>
          <w:sz w:val="24"/>
          <w:szCs w:val="24"/>
          <w:lang w:val="en-GB"/>
        </w:rPr>
      </w:pPr>
      <w:r>
        <w:rPr>
          <w:rFonts w:ascii="Times New Roman" w:hAnsi="Times New Roman"/>
          <w:sz w:val="24"/>
          <w:szCs w:val="24"/>
          <w:lang w:val="en-GB"/>
        </w:rPr>
        <w:t xml:space="preserve">5.1 </w:t>
      </w:r>
      <w:bookmarkStart w:id="0" w:name="_Hlt51222578"/>
      <w:bookmarkStart w:id="1" w:name="_Hlt51224954"/>
      <w:bookmarkStart w:id="2" w:name="_Ref51210861"/>
      <w:bookmarkStart w:id="3" w:name="_Toc52163505"/>
      <w:bookmarkStart w:id="4" w:name="_Hlt50271972"/>
      <w:bookmarkEnd w:id="0"/>
      <w:bookmarkEnd w:id="1"/>
      <w:r>
        <w:rPr>
          <w:rFonts w:ascii="Times New Roman" w:hAnsi="Times New Roman"/>
          <w:sz w:val="24"/>
          <w:szCs w:val="24"/>
          <w:lang w:val="en-GB"/>
        </w:rPr>
        <w:t>Monitoring of Wallaby Population</w:t>
      </w:r>
      <w:bookmarkEnd w:id="2"/>
      <w:bookmarkEnd w:id="3"/>
      <w:r>
        <w:rPr>
          <w:rFonts w:ascii="Times New Roman" w:hAnsi="Times New Roman"/>
          <w:sz w:val="24"/>
          <w:szCs w:val="24"/>
          <w:lang w:val="en-GB"/>
        </w:rPr>
        <w:t>s.</w:t>
      </w:r>
    </w:p>
    <w:bookmarkEnd w:id="4"/>
    <w:p w:rsidR="0036390B" w:rsidRDefault="0036390B">
      <w:pPr>
        <w:pStyle w:val="Text"/>
        <w:widowControl/>
        <w:spacing w:before="0"/>
        <w:rPr>
          <w:rFonts w:ascii="Times New Roman" w:hAnsi="Times New Roman"/>
          <w:szCs w:val="24"/>
          <w:lang w:val="en-GB"/>
        </w:rPr>
      </w:pPr>
      <w:r>
        <w:rPr>
          <w:rFonts w:ascii="Times New Roman" w:hAnsi="Times New Roman"/>
          <w:szCs w:val="24"/>
          <w:lang w:val="en-GB"/>
        </w:rPr>
        <w:t>Monitoring of trends in populations of Bennett’s wallaby in Tasmania is undertaken annually by DPIPWE through a system of</w:t>
      </w:r>
      <w:r w:rsidR="00B14D9C">
        <w:rPr>
          <w:rFonts w:ascii="Times New Roman" w:hAnsi="Times New Roman"/>
          <w:szCs w:val="24"/>
          <w:lang w:val="en-GB"/>
        </w:rPr>
        <w:t xml:space="preserve"> standardised spotlight surveys</w:t>
      </w:r>
      <w:r>
        <w:rPr>
          <w:rFonts w:ascii="Times New Roman" w:hAnsi="Times New Roman"/>
          <w:szCs w:val="24"/>
          <w:lang w:val="en-GB"/>
        </w:rPr>
        <w:t xml:space="preserve">. The surveys are carried out in accordance with the method set out in the </w:t>
      </w:r>
      <w:r>
        <w:rPr>
          <w:rFonts w:ascii="Times New Roman" w:hAnsi="Times New Roman"/>
          <w:i/>
          <w:szCs w:val="24"/>
          <w:lang w:val="en-GB"/>
        </w:rPr>
        <w:t xml:space="preserve">Tasmanian Spotlight Survey Manual </w:t>
      </w:r>
      <w:r w:rsidR="00B14D9C">
        <w:rPr>
          <w:rFonts w:ascii="Times New Roman" w:hAnsi="Times New Roman"/>
          <w:szCs w:val="24"/>
          <w:lang w:val="en-GB"/>
        </w:rPr>
        <w:t xml:space="preserve">(Hocking and </w:t>
      </w:r>
      <w:proofErr w:type="spellStart"/>
      <w:r w:rsidR="00B14D9C">
        <w:rPr>
          <w:rFonts w:ascii="Times New Roman" w:hAnsi="Times New Roman"/>
          <w:szCs w:val="24"/>
          <w:lang w:val="en-GB"/>
        </w:rPr>
        <w:t>Driessen</w:t>
      </w:r>
      <w:proofErr w:type="spellEnd"/>
      <w:r w:rsidR="00B14D9C">
        <w:rPr>
          <w:rFonts w:ascii="Times New Roman" w:hAnsi="Times New Roman"/>
          <w:szCs w:val="24"/>
          <w:lang w:val="en-GB"/>
        </w:rPr>
        <w:t xml:space="preserve"> 1992</w:t>
      </w:r>
      <w:r>
        <w:rPr>
          <w:rFonts w:ascii="Times New Roman" w:hAnsi="Times New Roman"/>
          <w:szCs w:val="24"/>
          <w:lang w:val="en-GB"/>
        </w:rPr>
        <w:t>) and have been undertaken annually since 1975. The survey methodology was modified in 2002 to include line transect sampling in an effort to improve survey precision and assist in minimising observer variation and seasonal differences.</w:t>
      </w:r>
    </w:p>
    <w:p w:rsidR="0036390B" w:rsidRDefault="0036390B">
      <w:pPr>
        <w:pStyle w:val="Text"/>
        <w:widowControl/>
        <w:spacing w:before="0"/>
        <w:rPr>
          <w:rFonts w:ascii="Times New Roman" w:hAnsi="Times New Roman"/>
          <w:szCs w:val="24"/>
          <w:lang w:val="en-GB"/>
        </w:rPr>
      </w:pPr>
      <w:r>
        <w:rPr>
          <w:rFonts w:ascii="Times New Roman" w:hAnsi="Times New Roman"/>
          <w:szCs w:val="24"/>
          <w:lang w:val="en-GB"/>
        </w:rPr>
        <w:t>Line transect sampling involves an observer moving along a transect line; in this case the survey route, recording perpendicular distances to detected objects. Objects away from the line are less certain to be detected than those that are on or near the line, which are assumed to be seen with certainty. The sample of detection distances allows a detection function to be modelled and the proportion of objects detected in a strip transect (= detection probability) to be estimated. An estimate of wallaby density along the transect lines can then be determined.</w:t>
      </w:r>
    </w:p>
    <w:p w:rsidR="0036390B" w:rsidRDefault="0036390B" w:rsidP="00A8473C">
      <w:pPr>
        <w:pStyle w:val="Text"/>
        <w:tabs>
          <w:tab w:val="left" w:pos="851"/>
        </w:tabs>
        <w:spacing w:before="0"/>
        <w:ind w:right="-1"/>
        <w:rPr>
          <w:rFonts w:ascii="Times New Roman" w:hAnsi="Times New Roman"/>
          <w:szCs w:val="24"/>
          <w:lang w:val="en-GB"/>
        </w:rPr>
      </w:pPr>
      <w:r>
        <w:rPr>
          <w:rFonts w:ascii="Times New Roman" w:hAnsi="Times New Roman"/>
          <w:szCs w:val="24"/>
          <w:lang w:val="en-GB"/>
        </w:rPr>
        <w:t>There are currently 173 standard 10 km spotlight survey routes.</w:t>
      </w:r>
      <w:r w:rsidR="00AE4C8F" w:rsidDel="00AE4C8F">
        <w:rPr>
          <w:rFonts w:ascii="Times New Roman" w:hAnsi="Times New Roman"/>
        </w:rPr>
        <w:t xml:space="preserve"> </w:t>
      </w:r>
      <w:r>
        <w:rPr>
          <w:rFonts w:ascii="Times New Roman" w:hAnsi="Times New Roman"/>
          <w:szCs w:val="24"/>
          <w:lang w:val="en-GB"/>
        </w:rPr>
        <w:t xml:space="preserve">Data is collected and reported on a regional basis. Tasmania is divided into 5 regions, one of which is the South West of the state in which no commercial harvesting takes place. The standard spotlight survey routes are surveyed in November-January each year. </w:t>
      </w:r>
    </w:p>
    <w:p w:rsidR="00AE4C8F" w:rsidRDefault="0036390B">
      <w:pPr>
        <w:pStyle w:val="Text"/>
        <w:widowControl/>
        <w:spacing w:before="0"/>
        <w:rPr>
          <w:rFonts w:ascii="Times New Roman" w:hAnsi="Times New Roman"/>
          <w:szCs w:val="24"/>
          <w:lang w:val="en-GB"/>
        </w:rPr>
      </w:pPr>
      <w:r>
        <w:rPr>
          <w:rFonts w:ascii="Times New Roman" w:hAnsi="Times New Roman"/>
          <w:szCs w:val="24"/>
          <w:lang w:val="en-GB"/>
        </w:rPr>
        <w:t xml:space="preserve">The results obtained by this method should be regarded as a repeatable </w:t>
      </w:r>
      <w:r>
        <w:rPr>
          <w:rFonts w:ascii="Times New Roman" w:hAnsi="Times New Roman"/>
          <w:i/>
          <w:szCs w:val="24"/>
          <w:lang w:val="en-GB"/>
        </w:rPr>
        <w:t xml:space="preserve">index </w:t>
      </w:r>
      <w:r>
        <w:rPr>
          <w:rFonts w:ascii="Times New Roman" w:hAnsi="Times New Roman"/>
          <w:szCs w:val="24"/>
          <w:lang w:val="en-GB"/>
        </w:rPr>
        <w:t xml:space="preserve">of population density rather than an estimate of total population size. </w:t>
      </w:r>
    </w:p>
    <w:p w:rsidR="0036390B" w:rsidRDefault="0036390B">
      <w:pPr>
        <w:pStyle w:val="Text"/>
        <w:widowControl/>
        <w:spacing w:before="0"/>
        <w:rPr>
          <w:rFonts w:ascii="Times New Roman" w:hAnsi="Times New Roman"/>
          <w:szCs w:val="24"/>
          <w:lang w:val="en-GB"/>
        </w:rPr>
      </w:pPr>
      <w:r>
        <w:rPr>
          <w:rFonts w:ascii="Times New Roman" w:hAnsi="Times New Roman"/>
          <w:szCs w:val="24"/>
          <w:lang w:val="en-GB"/>
        </w:rPr>
        <w:t>The results of the spotlight surveys are used to assess changes in density of wallaby species and will be presented in the Annual Report to the Commonwealth (see section 10). The trends in density will be used to assess the impact of harvesting on wallaby populations against Trigger Point 1 and the annual report will recommend if exports are to continue.</w:t>
      </w:r>
    </w:p>
    <w:p w:rsidR="0036390B" w:rsidRDefault="0034430D">
      <w:pPr>
        <w:pStyle w:val="Text"/>
        <w:widowControl/>
        <w:spacing w:before="0"/>
        <w:rPr>
          <w:rFonts w:ascii="Times New Roman" w:hAnsi="Times New Roman"/>
          <w:szCs w:val="24"/>
          <w:lang w:val="en-GB"/>
        </w:rPr>
      </w:pPr>
      <w:r>
        <w:rPr>
          <w:rFonts w:ascii="Times New Roman" w:hAnsi="Times New Roman"/>
          <w:szCs w:val="24"/>
          <w:lang w:val="en-GB"/>
        </w:rPr>
        <w:t>T</w:t>
      </w:r>
      <w:r w:rsidR="0036390B">
        <w:rPr>
          <w:rFonts w:ascii="Times New Roman" w:hAnsi="Times New Roman"/>
          <w:szCs w:val="24"/>
          <w:lang w:val="en-GB"/>
        </w:rPr>
        <w:t>hese densit</w:t>
      </w:r>
      <w:r>
        <w:rPr>
          <w:rFonts w:ascii="Times New Roman" w:hAnsi="Times New Roman"/>
          <w:szCs w:val="24"/>
          <w:lang w:val="en-GB"/>
        </w:rPr>
        <w:t>y estimates</w:t>
      </w:r>
      <w:r w:rsidR="0036390B">
        <w:rPr>
          <w:rFonts w:ascii="Times New Roman" w:hAnsi="Times New Roman"/>
          <w:szCs w:val="24"/>
          <w:lang w:val="en-GB"/>
        </w:rPr>
        <w:t xml:space="preserve"> cannot be extrapolated into estimates of absolute population size. However, estimates of population size are not essential for the management of the commercial harvest under this WTO, as the total quota of exportable skins has been set at </w:t>
      </w:r>
      <w:r w:rsidR="00FC2EE2">
        <w:rPr>
          <w:rFonts w:ascii="Times New Roman" w:hAnsi="Times New Roman"/>
          <w:szCs w:val="24"/>
          <w:lang w:val="en-GB"/>
        </w:rPr>
        <w:t xml:space="preserve">less than 10% of the average annual </w:t>
      </w:r>
      <w:r w:rsidR="00FF2526">
        <w:rPr>
          <w:rFonts w:ascii="Times New Roman" w:hAnsi="Times New Roman"/>
          <w:szCs w:val="24"/>
          <w:lang w:val="en-GB"/>
        </w:rPr>
        <w:t>cull</w:t>
      </w:r>
      <w:r w:rsidR="00FC2EE2">
        <w:rPr>
          <w:rFonts w:ascii="Times New Roman" w:hAnsi="Times New Roman"/>
          <w:szCs w:val="24"/>
          <w:lang w:val="en-GB"/>
        </w:rPr>
        <w:t xml:space="preserve"> and is </w:t>
      </w:r>
      <w:r w:rsidR="0036390B">
        <w:rPr>
          <w:rFonts w:ascii="Times New Roman" w:hAnsi="Times New Roman"/>
          <w:szCs w:val="24"/>
          <w:lang w:val="en-GB"/>
        </w:rPr>
        <w:t>a figure well below what would normally be considered a sustainable take.</w:t>
      </w:r>
    </w:p>
    <w:p w:rsidR="0036390B" w:rsidRDefault="0036390B">
      <w:pPr>
        <w:widowControl/>
        <w:spacing w:after="120"/>
        <w:rPr>
          <w:sz w:val="24"/>
          <w:szCs w:val="24"/>
          <w:lang w:val="en-GB"/>
        </w:rPr>
      </w:pPr>
      <w:r>
        <w:rPr>
          <w:sz w:val="24"/>
          <w:szCs w:val="24"/>
          <w:lang w:val="en-GB"/>
        </w:rPr>
        <w:t xml:space="preserve">The long term trends in the data collected in these surveys (shown in Figure 1) </w:t>
      </w:r>
      <w:r w:rsidR="008B148F">
        <w:rPr>
          <w:sz w:val="24"/>
          <w:szCs w:val="24"/>
          <w:lang w:val="en-GB"/>
        </w:rPr>
        <w:t xml:space="preserve">indicate </w:t>
      </w:r>
      <w:r>
        <w:rPr>
          <w:sz w:val="24"/>
          <w:szCs w:val="24"/>
          <w:lang w:val="en-GB"/>
        </w:rPr>
        <w:t xml:space="preserve">a stable population. </w:t>
      </w:r>
    </w:p>
    <w:p w:rsidR="0036390B" w:rsidRDefault="0036390B">
      <w:pPr>
        <w:pStyle w:val="Text"/>
        <w:widowControl/>
        <w:spacing w:before="0"/>
        <w:rPr>
          <w:rFonts w:ascii="Times New Roman" w:hAnsi="Times New Roman"/>
          <w:szCs w:val="24"/>
          <w:lang w:val="en-GB"/>
        </w:rPr>
      </w:pPr>
      <w:r>
        <w:rPr>
          <w:rFonts w:ascii="Times New Roman" w:hAnsi="Times New Roman"/>
          <w:szCs w:val="24"/>
          <w:lang w:val="en-GB"/>
        </w:rPr>
        <w:t>The density indices for Bennett’s wallabies (as determined from spo</w:t>
      </w:r>
      <w:r w:rsidR="003A796E">
        <w:rPr>
          <w:rFonts w:ascii="Times New Roman" w:hAnsi="Times New Roman"/>
          <w:szCs w:val="24"/>
          <w:lang w:val="en-GB"/>
        </w:rPr>
        <w:t>tlight surveys conducted in 2014</w:t>
      </w:r>
      <w:r w:rsidR="004948D1">
        <w:rPr>
          <w:rFonts w:ascii="Times New Roman" w:hAnsi="Times New Roman"/>
          <w:szCs w:val="24"/>
          <w:lang w:val="en-GB"/>
        </w:rPr>
        <w:t xml:space="preserve">) currently range from </w:t>
      </w:r>
      <w:r w:rsidR="0034430D">
        <w:rPr>
          <w:rFonts w:ascii="Times New Roman" w:hAnsi="Times New Roman"/>
          <w:szCs w:val="24"/>
          <w:lang w:val="en-GB"/>
        </w:rPr>
        <w:t>9.7-78.2</w:t>
      </w:r>
      <w:r>
        <w:rPr>
          <w:rFonts w:ascii="Times New Roman" w:hAnsi="Times New Roman"/>
          <w:szCs w:val="24"/>
          <w:lang w:val="en-GB"/>
        </w:rPr>
        <w:t xml:space="preserve"> </w:t>
      </w:r>
      <w:r w:rsidRPr="00592940">
        <w:rPr>
          <w:rFonts w:ascii="Times New Roman" w:hAnsi="Times New Roman"/>
          <w:b/>
          <w:szCs w:val="24"/>
          <w:lang w:val="en-GB"/>
        </w:rPr>
        <w:t>wallabies/km</w:t>
      </w:r>
      <w:r w:rsidRPr="00592940">
        <w:rPr>
          <w:rFonts w:ascii="Times New Roman" w:hAnsi="Times New Roman"/>
          <w:b/>
          <w:szCs w:val="24"/>
          <w:vertAlign w:val="superscript"/>
          <w:lang w:val="en-GB"/>
        </w:rPr>
        <w:t>2</w:t>
      </w:r>
      <w:r w:rsidRPr="00592940">
        <w:rPr>
          <w:rFonts w:ascii="Times New Roman" w:hAnsi="Times New Roman"/>
          <w:szCs w:val="24"/>
          <w:lang w:val="en-GB"/>
        </w:rPr>
        <w:t xml:space="preserve"> across</w:t>
      </w:r>
      <w:r>
        <w:rPr>
          <w:rFonts w:ascii="Times New Roman" w:hAnsi="Times New Roman"/>
          <w:szCs w:val="24"/>
          <w:lang w:val="en-GB"/>
        </w:rPr>
        <w:t xml:space="preserve"> mainland Tasmania (see Table 2).</w:t>
      </w:r>
    </w:p>
    <w:p w:rsidR="0036390B" w:rsidRDefault="0036390B">
      <w:pPr>
        <w:widowControl/>
        <w:numPr>
          <w:ilvl w:val="0"/>
          <w:numId w:val="4"/>
        </w:numPr>
        <w:ind w:left="709" w:hanging="709"/>
        <w:rPr>
          <w:b/>
          <w:sz w:val="24"/>
          <w:szCs w:val="24"/>
          <w:lang w:val="en-GB"/>
        </w:rPr>
      </w:pPr>
      <w:r>
        <w:rPr>
          <w:b/>
          <w:sz w:val="24"/>
          <w:szCs w:val="24"/>
          <w:lang w:val="en-GB"/>
        </w:rPr>
        <w:t>Monitoring the take.</w:t>
      </w:r>
    </w:p>
    <w:p w:rsidR="0036390B" w:rsidRDefault="0036390B">
      <w:pPr>
        <w:widowControl/>
        <w:rPr>
          <w:sz w:val="24"/>
          <w:szCs w:val="24"/>
          <w:lang w:val="en-GB"/>
        </w:rPr>
      </w:pPr>
      <w:r>
        <w:rPr>
          <w:b/>
          <w:sz w:val="24"/>
          <w:szCs w:val="24"/>
          <w:lang w:val="en-GB"/>
        </w:rPr>
        <w:t xml:space="preserve">5.2.1 </w:t>
      </w:r>
      <w:r>
        <w:rPr>
          <w:b/>
          <w:sz w:val="24"/>
          <w:szCs w:val="24"/>
          <w:lang w:val="en-GB"/>
        </w:rPr>
        <w:tab/>
        <w:t>Existing Controls.</w:t>
      </w:r>
    </w:p>
    <w:p w:rsidR="0036390B" w:rsidRDefault="0036390B">
      <w:pPr>
        <w:widowControl/>
        <w:spacing w:after="120"/>
        <w:rPr>
          <w:sz w:val="24"/>
          <w:szCs w:val="24"/>
          <w:lang w:val="en-GB"/>
        </w:rPr>
      </w:pPr>
      <w:r>
        <w:rPr>
          <w:sz w:val="24"/>
          <w:szCs w:val="24"/>
          <w:lang w:val="en-GB"/>
        </w:rPr>
        <w:t xml:space="preserve">Under the Meat Hygiene Act, licensed wallaby meat processors in </w:t>
      </w:r>
      <w:smartTag w:uri="urn:schemas-microsoft-com:office:smarttags" w:element="place">
        <w:smartTag w:uri="urn:schemas-microsoft-com:office:smarttags" w:element="State">
          <w:r>
            <w:rPr>
              <w:sz w:val="24"/>
              <w:szCs w:val="24"/>
              <w:lang w:val="en-GB"/>
            </w:rPr>
            <w:t>Tasmania</w:t>
          </w:r>
        </w:smartTag>
      </w:smartTag>
      <w:r>
        <w:rPr>
          <w:sz w:val="24"/>
          <w:szCs w:val="24"/>
          <w:lang w:val="en-GB"/>
        </w:rPr>
        <w:t xml:space="preserve"> can only purchase wallaby from harvesters licensed by the Wildlife Management Branch (WMB). All wallaby meat processors in Tasmania are required by DPIPWE to report monthly to </w:t>
      </w:r>
      <w:r w:rsidR="00982569">
        <w:rPr>
          <w:sz w:val="24"/>
          <w:szCs w:val="24"/>
          <w:lang w:val="en-GB"/>
        </w:rPr>
        <w:t>WMB</w:t>
      </w:r>
      <w:r>
        <w:rPr>
          <w:sz w:val="24"/>
          <w:szCs w:val="24"/>
          <w:lang w:val="en-GB"/>
        </w:rPr>
        <w:t xml:space="preserve">, on the number of wallaby they process. </w:t>
      </w:r>
    </w:p>
    <w:p w:rsidR="0036390B" w:rsidRDefault="0036390B">
      <w:pPr>
        <w:widowControl/>
        <w:spacing w:after="120"/>
        <w:rPr>
          <w:sz w:val="24"/>
          <w:szCs w:val="24"/>
          <w:lang w:val="en-GB"/>
        </w:rPr>
      </w:pPr>
      <w:r>
        <w:rPr>
          <w:sz w:val="24"/>
          <w:szCs w:val="24"/>
          <w:lang w:val="en-GB"/>
        </w:rPr>
        <w:t>DPIPWE require any person wishing to purchase and possess wallaby skins to be in possession of a Fauna Dealers (Skins) Licence from WMB and report monthly</w:t>
      </w:r>
      <w:r w:rsidR="008B148F">
        <w:rPr>
          <w:sz w:val="24"/>
          <w:szCs w:val="24"/>
          <w:lang w:val="en-GB"/>
        </w:rPr>
        <w:t xml:space="preserve"> on</w:t>
      </w:r>
      <w:r>
        <w:rPr>
          <w:sz w:val="24"/>
          <w:szCs w:val="24"/>
          <w:lang w:val="en-GB"/>
        </w:rPr>
        <w:t xml:space="preserve"> the number of skins they purchase and from whom. All skins or fibre retained for trading are subject to a royalty payment to the WMB within 28 days of purchase or prior to export from </w:t>
      </w:r>
      <w:smartTag w:uri="urn:schemas-microsoft-com:office:smarttags" w:element="place">
        <w:smartTag w:uri="urn:schemas-microsoft-com:office:smarttags" w:element="State">
          <w:r>
            <w:rPr>
              <w:sz w:val="24"/>
              <w:szCs w:val="24"/>
              <w:lang w:val="en-GB"/>
            </w:rPr>
            <w:t>Tasmania</w:t>
          </w:r>
        </w:smartTag>
      </w:smartTag>
      <w:r>
        <w:rPr>
          <w:sz w:val="24"/>
          <w:szCs w:val="24"/>
          <w:lang w:val="en-GB"/>
        </w:rPr>
        <w:t xml:space="preserve">, whichever is sooner.  </w:t>
      </w:r>
      <w:r w:rsidR="007172DF">
        <w:rPr>
          <w:sz w:val="24"/>
          <w:szCs w:val="24"/>
          <w:lang w:val="en-GB"/>
        </w:rPr>
        <w:t xml:space="preserve">On </w:t>
      </w:r>
      <w:r>
        <w:rPr>
          <w:sz w:val="24"/>
          <w:szCs w:val="24"/>
          <w:lang w:val="en-GB"/>
        </w:rPr>
        <w:t>average 0.0</w:t>
      </w:r>
      <w:r w:rsidR="007B4E13">
        <w:rPr>
          <w:sz w:val="24"/>
          <w:szCs w:val="24"/>
          <w:lang w:val="en-GB"/>
        </w:rPr>
        <w:t>5</w:t>
      </w:r>
      <w:r w:rsidR="007172DF">
        <w:rPr>
          <w:sz w:val="24"/>
          <w:szCs w:val="24"/>
          <w:lang w:val="en-GB"/>
        </w:rPr>
        <w:t>5</w:t>
      </w:r>
      <w:r>
        <w:rPr>
          <w:sz w:val="24"/>
          <w:szCs w:val="24"/>
          <w:lang w:val="en-GB"/>
        </w:rPr>
        <w:t>kg of fibre is equivalent to one skin of one wallaby.</w:t>
      </w:r>
    </w:p>
    <w:p w:rsidR="0036390B" w:rsidRDefault="0036390B">
      <w:pPr>
        <w:widowControl/>
        <w:spacing w:after="120"/>
        <w:rPr>
          <w:sz w:val="24"/>
          <w:szCs w:val="24"/>
          <w:lang w:val="en-GB"/>
        </w:rPr>
      </w:pPr>
      <w:r>
        <w:rPr>
          <w:sz w:val="24"/>
          <w:szCs w:val="24"/>
          <w:lang w:val="en-GB"/>
        </w:rPr>
        <w:t>All skin or fibre exports must be accompanied by permits issued by both WMB and the Australian Government Department of the Environment, (DE).</w:t>
      </w:r>
    </w:p>
    <w:p w:rsidR="0036390B" w:rsidRDefault="0036390B">
      <w:pPr>
        <w:widowControl/>
        <w:rPr>
          <w:b/>
          <w:sz w:val="24"/>
          <w:szCs w:val="24"/>
          <w:lang w:val="en-GB"/>
        </w:rPr>
      </w:pPr>
      <w:r>
        <w:rPr>
          <w:b/>
          <w:sz w:val="24"/>
          <w:szCs w:val="24"/>
          <w:lang w:val="en-GB"/>
        </w:rPr>
        <w:t>5.2.2</w:t>
      </w:r>
      <w:r>
        <w:rPr>
          <w:b/>
          <w:sz w:val="24"/>
          <w:szCs w:val="24"/>
          <w:lang w:val="en-GB"/>
        </w:rPr>
        <w:tab/>
        <w:t>Verification.</w:t>
      </w:r>
    </w:p>
    <w:p w:rsidR="0036390B" w:rsidRDefault="0036390B">
      <w:pPr>
        <w:widowControl/>
        <w:spacing w:after="120"/>
        <w:rPr>
          <w:sz w:val="24"/>
          <w:szCs w:val="24"/>
          <w:lang w:val="en-GB"/>
        </w:rPr>
      </w:pPr>
      <w:r>
        <w:rPr>
          <w:sz w:val="24"/>
          <w:szCs w:val="24"/>
          <w:lang w:val="en-GB"/>
        </w:rPr>
        <w:t>Table 1 charts the extensive licensing, reporting and verification controls in the supply chain.</w:t>
      </w:r>
    </w:p>
    <w:p w:rsidR="00592940" w:rsidRDefault="00592940" w:rsidP="00592940">
      <w:pPr>
        <w:widowControl/>
        <w:spacing w:after="120"/>
        <w:rPr>
          <w:sz w:val="24"/>
          <w:szCs w:val="24"/>
          <w:lang w:val="en-GB"/>
        </w:rPr>
      </w:pPr>
      <w:r>
        <w:rPr>
          <w:b/>
          <w:lang w:val="en-GB"/>
        </w:rPr>
        <w:t xml:space="preserve">Table 1:  Supply chain controls for the export of Bennett’s wallaby skins and fibre from </w:t>
      </w:r>
      <w:smartTag w:uri="urn:schemas-microsoft-com:office:smarttags" w:element="place">
        <w:smartTag w:uri="urn:schemas-microsoft-com:office:smarttags" w:element="State">
          <w:r>
            <w:rPr>
              <w:b/>
              <w:lang w:val="en-GB"/>
            </w:rPr>
            <w:t>Tasmania</w:t>
          </w:r>
        </w:smartTag>
      </w:smartTag>
    </w:p>
    <w:tbl>
      <w:tblPr>
        <w:tblW w:w="9755" w:type="dxa"/>
        <w:tblInd w:w="-112" w:type="dxa"/>
        <w:tblBorders>
          <w:top w:val="single" w:sz="6" w:space="0" w:color="auto"/>
          <w:left w:val="single" w:sz="6" w:space="0" w:color="auto"/>
          <w:bottom w:val="single" w:sz="6" w:space="0" w:color="auto"/>
          <w:right w:val="single" w:sz="6" w:space="0" w:color="auto"/>
        </w:tblBorders>
        <w:tblLayout w:type="fixed"/>
        <w:tblCellMar>
          <w:left w:w="30" w:type="dxa"/>
          <w:right w:w="30" w:type="dxa"/>
        </w:tblCellMar>
        <w:tblLook w:val="0000"/>
      </w:tblPr>
      <w:tblGrid>
        <w:gridCol w:w="1122"/>
        <w:gridCol w:w="1011"/>
        <w:gridCol w:w="1010"/>
        <w:gridCol w:w="827"/>
        <w:gridCol w:w="184"/>
        <w:gridCol w:w="204"/>
        <w:gridCol w:w="93"/>
        <w:gridCol w:w="1011"/>
        <w:gridCol w:w="1010"/>
        <w:gridCol w:w="1121"/>
        <w:gridCol w:w="141"/>
        <w:gridCol w:w="1011"/>
        <w:gridCol w:w="1010"/>
      </w:tblGrid>
      <w:tr w:rsidR="0036390B" w:rsidTr="008D694B">
        <w:trPr>
          <w:cantSplit/>
          <w:trHeight w:val="362"/>
        </w:trPr>
        <w:tc>
          <w:tcPr>
            <w:tcW w:w="1122" w:type="dxa"/>
            <w:tcBorders>
              <w:top w:val="single" w:sz="6" w:space="0" w:color="auto"/>
              <w:bottom w:val="single" w:sz="6" w:space="0" w:color="auto"/>
            </w:tcBorders>
          </w:tcPr>
          <w:p w:rsidR="0036390B" w:rsidRPr="00592940" w:rsidRDefault="0036390B">
            <w:pPr>
              <w:widowControl/>
              <w:jc w:val="right"/>
              <w:rPr>
                <w:color w:val="000000"/>
                <w:sz w:val="22"/>
                <w:szCs w:val="22"/>
                <w:lang w:val="en-GB"/>
              </w:rPr>
            </w:pPr>
          </w:p>
        </w:tc>
        <w:tc>
          <w:tcPr>
            <w:tcW w:w="1011" w:type="dxa"/>
            <w:tcBorders>
              <w:top w:val="single" w:sz="6" w:space="0" w:color="auto"/>
              <w:bottom w:val="single" w:sz="6" w:space="0" w:color="auto"/>
            </w:tcBorders>
          </w:tcPr>
          <w:p w:rsidR="0036390B" w:rsidRPr="00592940" w:rsidRDefault="0036390B">
            <w:pPr>
              <w:widowControl/>
              <w:jc w:val="right"/>
              <w:rPr>
                <w:color w:val="000000"/>
                <w:sz w:val="22"/>
                <w:szCs w:val="22"/>
                <w:lang w:val="en-GB"/>
              </w:rPr>
            </w:pPr>
          </w:p>
        </w:tc>
        <w:tc>
          <w:tcPr>
            <w:tcW w:w="1010" w:type="dxa"/>
            <w:tcBorders>
              <w:top w:val="single" w:sz="6" w:space="0" w:color="auto"/>
              <w:bottom w:val="single" w:sz="6" w:space="0" w:color="auto"/>
            </w:tcBorders>
          </w:tcPr>
          <w:p w:rsidR="0036390B" w:rsidRPr="00592940" w:rsidRDefault="0036390B">
            <w:pPr>
              <w:widowControl/>
              <w:jc w:val="right"/>
              <w:rPr>
                <w:color w:val="000000"/>
                <w:sz w:val="22"/>
                <w:szCs w:val="22"/>
                <w:lang w:val="en-GB"/>
              </w:rPr>
            </w:pPr>
          </w:p>
        </w:tc>
        <w:tc>
          <w:tcPr>
            <w:tcW w:w="3329" w:type="dxa"/>
            <w:gridSpan w:val="6"/>
            <w:tcBorders>
              <w:top w:val="single" w:sz="6" w:space="0" w:color="auto"/>
              <w:bottom w:val="single" w:sz="6" w:space="0" w:color="auto"/>
            </w:tcBorders>
          </w:tcPr>
          <w:p w:rsidR="0036390B" w:rsidRPr="00592940" w:rsidRDefault="0036390B">
            <w:pPr>
              <w:widowControl/>
              <w:rPr>
                <w:b/>
                <w:color w:val="000000"/>
                <w:sz w:val="22"/>
                <w:szCs w:val="22"/>
                <w:lang w:val="en-GB"/>
              </w:rPr>
            </w:pPr>
            <w:r w:rsidRPr="00592940">
              <w:rPr>
                <w:b/>
                <w:color w:val="000000"/>
                <w:sz w:val="22"/>
                <w:szCs w:val="22"/>
                <w:lang w:val="en-GB"/>
              </w:rPr>
              <w:t>Supply Verification Chart</w:t>
            </w:r>
          </w:p>
        </w:tc>
        <w:tc>
          <w:tcPr>
            <w:tcW w:w="1121" w:type="dxa"/>
            <w:tcBorders>
              <w:top w:val="single" w:sz="6" w:space="0" w:color="auto"/>
              <w:bottom w:val="single" w:sz="6" w:space="0" w:color="auto"/>
            </w:tcBorders>
          </w:tcPr>
          <w:p w:rsidR="0036390B" w:rsidRPr="00592940" w:rsidRDefault="0036390B">
            <w:pPr>
              <w:widowControl/>
              <w:jc w:val="right"/>
              <w:rPr>
                <w:color w:val="000000"/>
                <w:sz w:val="22"/>
                <w:szCs w:val="22"/>
                <w:lang w:val="en-GB"/>
              </w:rPr>
            </w:pPr>
          </w:p>
        </w:tc>
        <w:tc>
          <w:tcPr>
            <w:tcW w:w="141" w:type="dxa"/>
            <w:tcBorders>
              <w:top w:val="single" w:sz="6" w:space="0" w:color="auto"/>
              <w:bottom w:val="single" w:sz="6" w:space="0" w:color="auto"/>
            </w:tcBorders>
          </w:tcPr>
          <w:p w:rsidR="0036390B" w:rsidRPr="00592940" w:rsidRDefault="0036390B">
            <w:pPr>
              <w:widowControl/>
              <w:jc w:val="right"/>
              <w:rPr>
                <w:color w:val="000000"/>
                <w:sz w:val="22"/>
                <w:szCs w:val="22"/>
                <w:lang w:val="en-GB"/>
              </w:rPr>
            </w:pPr>
          </w:p>
        </w:tc>
        <w:tc>
          <w:tcPr>
            <w:tcW w:w="1011" w:type="dxa"/>
            <w:tcBorders>
              <w:top w:val="single" w:sz="6" w:space="0" w:color="auto"/>
              <w:bottom w:val="single" w:sz="6" w:space="0" w:color="auto"/>
            </w:tcBorders>
          </w:tcPr>
          <w:p w:rsidR="0036390B" w:rsidRPr="00592940" w:rsidRDefault="0036390B">
            <w:pPr>
              <w:widowControl/>
              <w:jc w:val="right"/>
              <w:rPr>
                <w:color w:val="000000"/>
                <w:sz w:val="22"/>
                <w:szCs w:val="22"/>
                <w:lang w:val="en-GB"/>
              </w:rPr>
            </w:pPr>
          </w:p>
        </w:tc>
        <w:tc>
          <w:tcPr>
            <w:tcW w:w="1010" w:type="dxa"/>
            <w:tcBorders>
              <w:top w:val="single" w:sz="6" w:space="0" w:color="auto"/>
              <w:bottom w:val="single" w:sz="6" w:space="0" w:color="auto"/>
            </w:tcBorders>
          </w:tcPr>
          <w:p w:rsidR="0036390B" w:rsidRDefault="0036390B">
            <w:pPr>
              <w:widowControl/>
              <w:jc w:val="right"/>
              <w:rPr>
                <w:color w:val="000000"/>
                <w:sz w:val="24"/>
                <w:szCs w:val="24"/>
                <w:lang w:val="en-GB"/>
              </w:rPr>
            </w:pPr>
          </w:p>
        </w:tc>
      </w:tr>
      <w:tr w:rsidR="0036390B" w:rsidTr="008D694B">
        <w:trPr>
          <w:cantSplit/>
          <w:trHeight w:val="305"/>
        </w:trPr>
        <w:tc>
          <w:tcPr>
            <w:tcW w:w="2133" w:type="dxa"/>
            <w:gridSpan w:val="2"/>
          </w:tcPr>
          <w:p w:rsidR="0036390B" w:rsidRPr="00592940" w:rsidRDefault="0036390B">
            <w:pPr>
              <w:widowControl/>
              <w:rPr>
                <w:b/>
                <w:color w:val="000000"/>
                <w:sz w:val="22"/>
                <w:szCs w:val="22"/>
                <w:lang w:val="en-GB"/>
              </w:rPr>
            </w:pPr>
            <w:r w:rsidRPr="00592940">
              <w:rPr>
                <w:b/>
                <w:color w:val="000000"/>
                <w:sz w:val="22"/>
                <w:szCs w:val="22"/>
                <w:lang w:val="en-GB"/>
              </w:rPr>
              <w:t>Supply Link</w:t>
            </w:r>
          </w:p>
        </w:tc>
        <w:tc>
          <w:tcPr>
            <w:tcW w:w="2021" w:type="dxa"/>
            <w:gridSpan w:val="3"/>
          </w:tcPr>
          <w:p w:rsidR="0036390B" w:rsidRPr="00592940" w:rsidRDefault="0036390B">
            <w:pPr>
              <w:widowControl/>
              <w:rPr>
                <w:b/>
                <w:color w:val="000000"/>
                <w:sz w:val="22"/>
                <w:szCs w:val="22"/>
                <w:lang w:val="en-GB"/>
              </w:rPr>
            </w:pPr>
            <w:r w:rsidRPr="00592940">
              <w:rPr>
                <w:b/>
                <w:color w:val="000000"/>
                <w:sz w:val="22"/>
                <w:szCs w:val="22"/>
                <w:lang w:val="en-GB"/>
              </w:rPr>
              <w:t>Authority Required</w:t>
            </w:r>
          </w:p>
        </w:tc>
        <w:tc>
          <w:tcPr>
            <w:tcW w:w="204" w:type="dxa"/>
          </w:tcPr>
          <w:p w:rsidR="0036390B" w:rsidRPr="00592940" w:rsidRDefault="0036390B">
            <w:pPr>
              <w:widowControl/>
              <w:jc w:val="right"/>
              <w:rPr>
                <w:b/>
                <w:color w:val="000000"/>
                <w:sz w:val="22"/>
                <w:szCs w:val="22"/>
                <w:lang w:val="en-GB"/>
              </w:rPr>
            </w:pPr>
          </w:p>
        </w:tc>
        <w:tc>
          <w:tcPr>
            <w:tcW w:w="93" w:type="dxa"/>
          </w:tcPr>
          <w:p w:rsidR="0036390B" w:rsidRPr="00592940" w:rsidRDefault="0036390B">
            <w:pPr>
              <w:widowControl/>
              <w:jc w:val="right"/>
              <w:rPr>
                <w:b/>
                <w:color w:val="000000"/>
                <w:sz w:val="22"/>
                <w:szCs w:val="22"/>
                <w:lang w:val="en-GB"/>
              </w:rPr>
            </w:pPr>
          </w:p>
        </w:tc>
        <w:tc>
          <w:tcPr>
            <w:tcW w:w="3142" w:type="dxa"/>
            <w:gridSpan w:val="3"/>
          </w:tcPr>
          <w:p w:rsidR="0036390B" w:rsidRPr="00592940" w:rsidRDefault="0036390B">
            <w:pPr>
              <w:widowControl/>
              <w:rPr>
                <w:b/>
                <w:color w:val="000000"/>
                <w:sz w:val="22"/>
                <w:szCs w:val="22"/>
                <w:lang w:val="en-GB"/>
              </w:rPr>
            </w:pPr>
            <w:r w:rsidRPr="00592940">
              <w:rPr>
                <w:b/>
                <w:color w:val="000000"/>
                <w:sz w:val="22"/>
                <w:szCs w:val="22"/>
                <w:lang w:val="en-GB"/>
              </w:rPr>
              <w:t>Reporting Required</w:t>
            </w:r>
          </w:p>
        </w:tc>
        <w:tc>
          <w:tcPr>
            <w:tcW w:w="141" w:type="dxa"/>
          </w:tcPr>
          <w:p w:rsidR="0036390B" w:rsidRPr="00592940" w:rsidRDefault="0036390B">
            <w:pPr>
              <w:widowControl/>
              <w:jc w:val="right"/>
              <w:rPr>
                <w:b/>
                <w:color w:val="000000"/>
                <w:sz w:val="22"/>
                <w:szCs w:val="22"/>
                <w:lang w:val="en-GB"/>
              </w:rPr>
            </w:pPr>
          </w:p>
        </w:tc>
        <w:tc>
          <w:tcPr>
            <w:tcW w:w="2021" w:type="dxa"/>
            <w:gridSpan w:val="2"/>
          </w:tcPr>
          <w:p w:rsidR="0036390B" w:rsidRPr="00592940" w:rsidRDefault="0036390B">
            <w:pPr>
              <w:widowControl/>
              <w:rPr>
                <w:b/>
                <w:color w:val="000000"/>
                <w:sz w:val="22"/>
                <w:szCs w:val="22"/>
                <w:lang w:val="en-GB"/>
              </w:rPr>
            </w:pPr>
            <w:r w:rsidRPr="00592940">
              <w:rPr>
                <w:b/>
                <w:color w:val="000000"/>
                <w:sz w:val="22"/>
                <w:szCs w:val="22"/>
                <w:lang w:val="en-GB"/>
              </w:rPr>
              <w:t xml:space="preserve">Verification </w:t>
            </w:r>
          </w:p>
        </w:tc>
      </w:tr>
      <w:tr w:rsidR="0036390B" w:rsidTr="008D694B">
        <w:trPr>
          <w:cantSplit/>
          <w:trHeight w:val="305"/>
        </w:trPr>
        <w:tc>
          <w:tcPr>
            <w:tcW w:w="1122" w:type="dxa"/>
          </w:tcPr>
          <w:p w:rsidR="0036390B" w:rsidRPr="00592940" w:rsidRDefault="0036390B">
            <w:pPr>
              <w:widowControl/>
              <w:jc w:val="right"/>
              <w:rPr>
                <w:color w:val="000000"/>
                <w:sz w:val="22"/>
                <w:szCs w:val="22"/>
                <w:lang w:val="en-GB"/>
              </w:rPr>
            </w:pPr>
          </w:p>
        </w:tc>
        <w:tc>
          <w:tcPr>
            <w:tcW w:w="1011" w:type="dxa"/>
          </w:tcPr>
          <w:p w:rsidR="0036390B" w:rsidRPr="00592940" w:rsidRDefault="0036390B">
            <w:pPr>
              <w:widowControl/>
              <w:jc w:val="right"/>
              <w:rPr>
                <w:color w:val="000000"/>
                <w:sz w:val="22"/>
                <w:szCs w:val="22"/>
                <w:lang w:val="en-GB"/>
              </w:rPr>
            </w:pPr>
          </w:p>
        </w:tc>
        <w:tc>
          <w:tcPr>
            <w:tcW w:w="1010" w:type="dxa"/>
          </w:tcPr>
          <w:p w:rsidR="0036390B" w:rsidRPr="00592940" w:rsidRDefault="0036390B">
            <w:pPr>
              <w:widowControl/>
              <w:jc w:val="right"/>
              <w:rPr>
                <w:color w:val="000000"/>
                <w:sz w:val="22"/>
                <w:szCs w:val="22"/>
                <w:lang w:val="en-GB"/>
              </w:rPr>
            </w:pPr>
          </w:p>
        </w:tc>
        <w:tc>
          <w:tcPr>
            <w:tcW w:w="1011" w:type="dxa"/>
            <w:gridSpan w:val="2"/>
          </w:tcPr>
          <w:p w:rsidR="0036390B" w:rsidRPr="00592940" w:rsidRDefault="0036390B">
            <w:pPr>
              <w:widowControl/>
              <w:jc w:val="right"/>
              <w:rPr>
                <w:color w:val="000000"/>
                <w:sz w:val="22"/>
                <w:szCs w:val="22"/>
                <w:lang w:val="en-GB"/>
              </w:rPr>
            </w:pPr>
          </w:p>
        </w:tc>
        <w:tc>
          <w:tcPr>
            <w:tcW w:w="204" w:type="dxa"/>
          </w:tcPr>
          <w:p w:rsidR="0036390B" w:rsidRPr="00592940" w:rsidRDefault="0036390B">
            <w:pPr>
              <w:widowControl/>
              <w:jc w:val="right"/>
              <w:rPr>
                <w:color w:val="000000"/>
                <w:sz w:val="22"/>
                <w:szCs w:val="22"/>
                <w:lang w:val="en-GB"/>
              </w:rPr>
            </w:pPr>
          </w:p>
        </w:tc>
        <w:tc>
          <w:tcPr>
            <w:tcW w:w="93" w:type="dxa"/>
          </w:tcPr>
          <w:p w:rsidR="0036390B" w:rsidRPr="00592940" w:rsidRDefault="0036390B">
            <w:pPr>
              <w:widowControl/>
              <w:jc w:val="right"/>
              <w:rPr>
                <w:color w:val="000000"/>
                <w:sz w:val="22"/>
                <w:szCs w:val="22"/>
                <w:lang w:val="en-GB"/>
              </w:rPr>
            </w:pPr>
          </w:p>
        </w:tc>
        <w:tc>
          <w:tcPr>
            <w:tcW w:w="1011" w:type="dxa"/>
          </w:tcPr>
          <w:p w:rsidR="0036390B" w:rsidRPr="00592940" w:rsidRDefault="0036390B">
            <w:pPr>
              <w:widowControl/>
              <w:jc w:val="right"/>
              <w:rPr>
                <w:color w:val="000000"/>
                <w:sz w:val="22"/>
                <w:szCs w:val="22"/>
                <w:lang w:val="en-GB"/>
              </w:rPr>
            </w:pPr>
          </w:p>
        </w:tc>
        <w:tc>
          <w:tcPr>
            <w:tcW w:w="1010" w:type="dxa"/>
          </w:tcPr>
          <w:p w:rsidR="0036390B" w:rsidRPr="00592940" w:rsidRDefault="0036390B">
            <w:pPr>
              <w:widowControl/>
              <w:jc w:val="right"/>
              <w:rPr>
                <w:color w:val="000000"/>
                <w:sz w:val="22"/>
                <w:szCs w:val="22"/>
                <w:lang w:val="en-GB"/>
              </w:rPr>
            </w:pPr>
          </w:p>
        </w:tc>
        <w:tc>
          <w:tcPr>
            <w:tcW w:w="1121" w:type="dxa"/>
          </w:tcPr>
          <w:p w:rsidR="0036390B" w:rsidRPr="00592940" w:rsidRDefault="0036390B">
            <w:pPr>
              <w:widowControl/>
              <w:jc w:val="right"/>
              <w:rPr>
                <w:color w:val="000000"/>
                <w:sz w:val="22"/>
                <w:szCs w:val="22"/>
                <w:lang w:val="en-GB"/>
              </w:rPr>
            </w:pPr>
          </w:p>
        </w:tc>
        <w:tc>
          <w:tcPr>
            <w:tcW w:w="141" w:type="dxa"/>
          </w:tcPr>
          <w:p w:rsidR="0036390B" w:rsidRPr="00592940" w:rsidRDefault="0036390B">
            <w:pPr>
              <w:widowControl/>
              <w:jc w:val="right"/>
              <w:rPr>
                <w:color w:val="000000"/>
                <w:sz w:val="22"/>
                <w:szCs w:val="22"/>
                <w:lang w:val="en-GB"/>
              </w:rPr>
            </w:pPr>
          </w:p>
        </w:tc>
        <w:tc>
          <w:tcPr>
            <w:tcW w:w="1011" w:type="dxa"/>
          </w:tcPr>
          <w:p w:rsidR="0036390B" w:rsidRPr="00592940" w:rsidRDefault="0036390B">
            <w:pPr>
              <w:widowControl/>
              <w:rPr>
                <w:b/>
                <w:color w:val="000000"/>
                <w:sz w:val="22"/>
                <w:szCs w:val="22"/>
                <w:lang w:val="en-GB"/>
              </w:rPr>
            </w:pPr>
            <w:r w:rsidRPr="00592940">
              <w:rPr>
                <w:b/>
                <w:color w:val="000000"/>
                <w:sz w:val="22"/>
                <w:szCs w:val="22"/>
                <w:lang w:val="en-GB"/>
              </w:rPr>
              <w:t>available</w:t>
            </w:r>
          </w:p>
        </w:tc>
        <w:tc>
          <w:tcPr>
            <w:tcW w:w="1010" w:type="dxa"/>
          </w:tcPr>
          <w:p w:rsidR="0036390B" w:rsidRDefault="0036390B">
            <w:pPr>
              <w:widowControl/>
              <w:jc w:val="right"/>
              <w:rPr>
                <w:color w:val="000000"/>
                <w:sz w:val="24"/>
                <w:szCs w:val="24"/>
                <w:lang w:val="en-GB"/>
              </w:rPr>
            </w:pPr>
          </w:p>
        </w:tc>
      </w:tr>
      <w:tr w:rsidR="0036390B" w:rsidTr="008D694B">
        <w:trPr>
          <w:cantSplit/>
          <w:trHeight w:val="247"/>
        </w:trPr>
        <w:tc>
          <w:tcPr>
            <w:tcW w:w="2133" w:type="dxa"/>
            <w:gridSpan w:val="2"/>
            <w:tcBorders>
              <w:top w:val="single" w:sz="6" w:space="0" w:color="auto"/>
              <w:bottom w:val="single" w:sz="6" w:space="0" w:color="auto"/>
            </w:tcBorders>
          </w:tcPr>
          <w:p w:rsidR="0036390B" w:rsidRPr="00592940" w:rsidRDefault="0036390B">
            <w:pPr>
              <w:widowControl/>
              <w:rPr>
                <w:color w:val="000000"/>
                <w:sz w:val="22"/>
                <w:szCs w:val="22"/>
                <w:lang w:val="en-GB"/>
              </w:rPr>
            </w:pPr>
            <w:r w:rsidRPr="00592940">
              <w:rPr>
                <w:color w:val="000000"/>
                <w:sz w:val="22"/>
                <w:szCs w:val="22"/>
                <w:lang w:val="en-GB"/>
              </w:rPr>
              <w:t>Private property</w:t>
            </w:r>
          </w:p>
        </w:tc>
        <w:tc>
          <w:tcPr>
            <w:tcW w:w="2021" w:type="dxa"/>
            <w:gridSpan w:val="3"/>
            <w:tcBorders>
              <w:top w:val="single" w:sz="6" w:space="0" w:color="auto"/>
              <w:bottom w:val="single" w:sz="6" w:space="0" w:color="auto"/>
            </w:tcBorders>
          </w:tcPr>
          <w:p w:rsidR="0036390B" w:rsidRPr="00592940" w:rsidRDefault="0036390B">
            <w:pPr>
              <w:widowControl/>
              <w:jc w:val="left"/>
              <w:rPr>
                <w:color w:val="000000"/>
                <w:sz w:val="22"/>
                <w:szCs w:val="22"/>
                <w:lang w:val="en-GB"/>
              </w:rPr>
            </w:pPr>
            <w:r w:rsidRPr="00592940">
              <w:rPr>
                <w:color w:val="000000"/>
                <w:sz w:val="22"/>
                <w:szCs w:val="22"/>
                <w:lang w:val="en-GB"/>
              </w:rPr>
              <w:t>Crop Protection Permit</w:t>
            </w:r>
          </w:p>
        </w:tc>
        <w:tc>
          <w:tcPr>
            <w:tcW w:w="204" w:type="dxa"/>
            <w:tcBorders>
              <w:top w:val="single" w:sz="6" w:space="0" w:color="auto"/>
              <w:bottom w:val="single" w:sz="6" w:space="0" w:color="auto"/>
            </w:tcBorders>
          </w:tcPr>
          <w:p w:rsidR="0036390B" w:rsidRPr="00592940" w:rsidRDefault="0036390B">
            <w:pPr>
              <w:widowControl/>
              <w:jc w:val="left"/>
              <w:rPr>
                <w:color w:val="000000"/>
                <w:sz w:val="22"/>
                <w:szCs w:val="22"/>
                <w:lang w:val="en-GB"/>
              </w:rPr>
            </w:pPr>
          </w:p>
        </w:tc>
        <w:tc>
          <w:tcPr>
            <w:tcW w:w="93" w:type="dxa"/>
            <w:tcBorders>
              <w:top w:val="single" w:sz="6" w:space="0" w:color="auto"/>
              <w:bottom w:val="single" w:sz="6" w:space="0" w:color="auto"/>
            </w:tcBorders>
          </w:tcPr>
          <w:p w:rsidR="0036390B" w:rsidRPr="00592940" w:rsidRDefault="0036390B">
            <w:pPr>
              <w:widowControl/>
              <w:jc w:val="left"/>
              <w:rPr>
                <w:color w:val="000000"/>
                <w:sz w:val="22"/>
                <w:szCs w:val="22"/>
                <w:lang w:val="en-GB"/>
              </w:rPr>
            </w:pPr>
          </w:p>
        </w:tc>
        <w:tc>
          <w:tcPr>
            <w:tcW w:w="1011" w:type="dxa"/>
            <w:tcBorders>
              <w:top w:val="single" w:sz="6" w:space="0" w:color="auto"/>
              <w:bottom w:val="single" w:sz="6" w:space="0" w:color="auto"/>
            </w:tcBorders>
          </w:tcPr>
          <w:p w:rsidR="0036390B" w:rsidRPr="00592940" w:rsidRDefault="0036390B">
            <w:pPr>
              <w:widowControl/>
              <w:jc w:val="left"/>
              <w:rPr>
                <w:color w:val="000000"/>
                <w:sz w:val="22"/>
                <w:szCs w:val="22"/>
                <w:lang w:val="en-GB"/>
              </w:rPr>
            </w:pPr>
          </w:p>
        </w:tc>
        <w:tc>
          <w:tcPr>
            <w:tcW w:w="1010" w:type="dxa"/>
            <w:tcBorders>
              <w:top w:val="single" w:sz="6" w:space="0" w:color="auto"/>
              <w:bottom w:val="single" w:sz="6" w:space="0" w:color="auto"/>
            </w:tcBorders>
          </w:tcPr>
          <w:p w:rsidR="0036390B" w:rsidRPr="00592940" w:rsidRDefault="0036390B">
            <w:pPr>
              <w:widowControl/>
              <w:jc w:val="left"/>
              <w:rPr>
                <w:color w:val="000000"/>
                <w:sz w:val="22"/>
                <w:szCs w:val="22"/>
                <w:lang w:val="en-GB"/>
              </w:rPr>
            </w:pPr>
          </w:p>
        </w:tc>
        <w:tc>
          <w:tcPr>
            <w:tcW w:w="1121" w:type="dxa"/>
            <w:tcBorders>
              <w:top w:val="single" w:sz="6" w:space="0" w:color="auto"/>
              <w:bottom w:val="single" w:sz="6" w:space="0" w:color="auto"/>
            </w:tcBorders>
          </w:tcPr>
          <w:p w:rsidR="0036390B" w:rsidRPr="00592940" w:rsidRDefault="0036390B">
            <w:pPr>
              <w:widowControl/>
              <w:jc w:val="left"/>
              <w:rPr>
                <w:color w:val="000000"/>
                <w:sz w:val="22"/>
                <w:szCs w:val="22"/>
                <w:lang w:val="en-GB"/>
              </w:rPr>
            </w:pPr>
          </w:p>
        </w:tc>
        <w:tc>
          <w:tcPr>
            <w:tcW w:w="141" w:type="dxa"/>
            <w:tcBorders>
              <w:top w:val="single" w:sz="6" w:space="0" w:color="auto"/>
              <w:bottom w:val="single" w:sz="6" w:space="0" w:color="auto"/>
            </w:tcBorders>
          </w:tcPr>
          <w:p w:rsidR="0036390B" w:rsidRPr="00592940" w:rsidRDefault="0036390B">
            <w:pPr>
              <w:widowControl/>
              <w:jc w:val="left"/>
              <w:rPr>
                <w:color w:val="000000"/>
                <w:sz w:val="22"/>
                <w:szCs w:val="22"/>
                <w:lang w:val="en-GB"/>
              </w:rPr>
            </w:pPr>
          </w:p>
        </w:tc>
        <w:tc>
          <w:tcPr>
            <w:tcW w:w="1011" w:type="dxa"/>
            <w:tcBorders>
              <w:top w:val="single" w:sz="6" w:space="0" w:color="auto"/>
              <w:bottom w:val="single" w:sz="6" w:space="0" w:color="auto"/>
            </w:tcBorders>
          </w:tcPr>
          <w:p w:rsidR="0036390B" w:rsidRPr="00592940" w:rsidRDefault="0036390B">
            <w:pPr>
              <w:widowControl/>
              <w:jc w:val="left"/>
              <w:rPr>
                <w:color w:val="000000"/>
                <w:sz w:val="22"/>
                <w:szCs w:val="22"/>
                <w:lang w:val="en-GB"/>
              </w:rPr>
            </w:pPr>
          </w:p>
        </w:tc>
        <w:tc>
          <w:tcPr>
            <w:tcW w:w="1010" w:type="dxa"/>
            <w:tcBorders>
              <w:top w:val="single" w:sz="6" w:space="0" w:color="auto"/>
              <w:bottom w:val="single" w:sz="6" w:space="0" w:color="auto"/>
            </w:tcBorders>
          </w:tcPr>
          <w:p w:rsidR="0036390B" w:rsidRDefault="0036390B">
            <w:pPr>
              <w:widowControl/>
              <w:jc w:val="right"/>
              <w:rPr>
                <w:color w:val="000000"/>
                <w:sz w:val="24"/>
                <w:szCs w:val="24"/>
                <w:lang w:val="en-GB"/>
              </w:rPr>
            </w:pPr>
          </w:p>
        </w:tc>
      </w:tr>
      <w:tr w:rsidR="0036390B" w:rsidTr="008D694B">
        <w:trPr>
          <w:cantSplit/>
          <w:trHeight w:val="247"/>
        </w:trPr>
        <w:tc>
          <w:tcPr>
            <w:tcW w:w="2133" w:type="dxa"/>
            <w:gridSpan w:val="2"/>
            <w:tcBorders>
              <w:top w:val="single" w:sz="6" w:space="0" w:color="auto"/>
              <w:bottom w:val="nil"/>
            </w:tcBorders>
          </w:tcPr>
          <w:p w:rsidR="0036390B" w:rsidRPr="00592940" w:rsidRDefault="0036390B">
            <w:pPr>
              <w:widowControl/>
              <w:rPr>
                <w:color w:val="000000"/>
                <w:sz w:val="22"/>
                <w:szCs w:val="22"/>
                <w:lang w:val="en-GB"/>
              </w:rPr>
            </w:pPr>
            <w:r w:rsidRPr="00592940">
              <w:rPr>
                <w:color w:val="000000"/>
                <w:sz w:val="22"/>
                <w:szCs w:val="22"/>
                <w:lang w:val="en-GB"/>
              </w:rPr>
              <w:t>Licensed harvesters</w:t>
            </w:r>
          </w:p>
        </w:tc>
        <w:tc>
          <w:tcPr>
            <w:tcW w:w="2021" w:type="dxa"/>
            <w:gridSpan w:val="3"/>
            <w:tcBorders>
              <w:top w:val="single" w:sz="6" w:space="0" w:color="auto"/>
              <w:bottom w:val="nil"/>
            </w:tcBorders>
          </w:tcPr>
          <w:p w:rsidR="0036390B" w:rsidRPr="00592940" w:rsidRDefault="0036390B">
            <w:pPr>
              <w:widowControl/>
              <w:jc w:val="left"/>
              <w:rPr>
                <w:color w:val="000000"/>
                <w:sz w:val="22"/>
                <w:szCs w:val="22"/>
                <w:lang w:val="en-GB"/>
              </w:rPr>
            </w:pPr>
            <w:r w:rsidRPr="00592940">
              <w:rPr>
                <w:color w:val="000000"/>
                <w:sz w:val="22"/>
                <w:szCs w:val="22"/>
                <w:lang w:val="en-GB"/>
              </w:rPr>
              <w:t>WMB Commercial Wallaby licence</w:t>
            </w:r>
          </w:p>
        </w:tc>
        <w:tc>
          <w:tcPr>
            <w:tcW w:w="204" w:type="dxa"/>
            <w:tcBorders>
              <w:top w:val="single" w:sz="6" w:space="0" w:color="auto"/>
              <w:bottom w:val="nil"/>
            </w:tcBorders>
          </w:tcPr>
          <w:p w:rsidR="0036390B" w:rsidRPr="00592940" w:rsidRDefault="0036390B">
            <w:pPr>
              <w:widowControl/>
              <w:jc w:val="left"/>
              <w:rPr>
                <w:color w:val="000000"/>
                <w:sz w:val="22"/>
                <w:szCs w:val="22"/>
                <w:lang w:val="en-GB"/>
              </w:rPr>
            </w:pPr>
          </w:p>
        </w:tc>
        <w:tc>
          <w:tcPr>
            <w:tcW w:w="93" w:type="dxa"/>
            <w:tcBorders>
              <w:top w:val="single" w:sz="6" w:space="0" w:color="auto"/>
              <w:bottom w:val="nil"/>
            </w:tcBorders>
          </w:tcPr>
          <w:p w:rsidR="0036390B" w:rsidRPr="00592940" w:rsidRDefault="0036390B">
            <w:pPr>
              <w:widowControl/>
              <w:jc w:val="left"/>
              <w:rPr>
                <w:color w:val="000000"/>
                <w:sz w:val="22"/>
                <w:szCs w:val="22"/>
                <w:lang w:val="en-GB"/>
              </w:rPr>
            </w:pPr>
          </w:p>
        </w:tc>
        <w:tc>
          <w:tcPr>
            <w:tcW w:w="2021" w:type="dxa"/>
            <w:gridSpan w:val="2"/>
            <w:tcBorders>
              <w:top w:val="single" w:sz="6" w:space="0" w:color="auto"/>
              <w:bottom w:val="nil"/>
            </w:tcBorders>
          </w:tcPr>
          <w:p w:rsidR="0036390B" w:rsidRPr="00592940" w:rsidRDefault="0036390B">
            <w:pPr>
              <w:widowControl/>
              <w:jc w:val="left"/>
              <w:rPr>
                <w:color w:val="000000"/>
                <w:sz w:val="22"/>
                <w:szCs w:val="22"/>
                <w:lang w:val="en-GB"/>
              </w:rPr>
            </w:pPr>
            <w:r w:rsidRPr="00592940">
              <w:rPr>
                <w:color w:val="000000"/>
                <w:sz w:val="22"/>
                <w:szCs w:val="22"/>
                <w:lang w:val="en-GB"/>
              </w:rPr>
              <w:t>monthly return to WMB</w:t>
            </w:r>
          </w:p>
        </w:tc>
        <w:tc>
          <w:tcPr>
            <w:tcW w:w="1121" w:type="dxa"/>
            <w:tcBorders>
              <w:top w:val="single" w:sz="6" w:space="0" w:color="auto"/>
              <w:bottom w:val="nil"/>
            </w:tcBorders>
          </w:tcPr>
          <w:p w:rsidR="0036390B" w:rsidRPr="00592940" w:rsidRDefault="0036390B">
            <w:pPr>
              <w:widowControl/>
              <w:jc w:val="left"/>
              <w:rPr>
                <w:color w:val="000000"/>
                <w:sz w:val="22"/>
                <w:szCs w:val="22"/>
                <w:lang w:val="en-GB"/>
              </w:rPr>
            </w:pPr>
          </w:p>
        </w:tc>
        <w:tc>
          <w:tcPr>
            <w:tcW w:w="141" w:type="dxa"/>
            <w:tcBorders>
              <w:top w:val="single" w:sz="6" w:space="0" w:color="auto"/>
              <w:bottom w:val="nil"/>
            </w:tcBorders>
          </w:tcPr>
          <w:p w:rsidR="0036390B" w:rsidRPr="00592940" w:rsidRDefault="0036390B">
            <w:pPr>
              <w:widowControl/>
              <w:jc w:val="left"/>
              <w:rPr>
                <w:color w:val="000000"/>
                <w:sz w:val="22"/>
                <w:szCs w:val="22"/>
                <w:lang w:val="en-GB"/>
              </w:rPr>
            </w:pPr>
          </w:p>
        </w:tc>
        <w:tc>
          <w:tcPr>
            <w:tcW w:w="1011" w:type="dxa"/>
            <w:tcBorders>
              <w:top w:val="single" w:sz="6" w:space="0" w:color="auto"/>
              <w:bottom w:val="nil"/>
            </w:tcBorders>
          </w:tcPr>
          <w:p w:rsidR="0036390B" w:rsidRPr="00592940" w:rsidRDefault="0036390B">
            <w:pPr>
              <w:widowControl/>
              <w:jc w:val="left"/>
              <w:rPr>
                <w:color w:val="000000"/>
                <w:sz w:val="22"/>
                <w:szCs w:val="22"/>
                <w:lang w:val="en-GB"/>
              </w:rPr>
            </w:pPr>
          </w:p>
        </w:tc>
        <w:tc>
          <w:tcPr>
            <w:tcW w:w="1010" w:type="dxa"/>
            <w:tcBorders>
              <w:top w:val="single" w:sz="6" w:space="0" w:color="auto"/>
              <w:bottom w:val="nil"/>
            </w:tcBorders>
          </w:tcPr>
          <w:p w:rsidR="0036390B" w:rsidRDefault="0036390B">
            <w:pPr>
              <w:widowControl/>
              <w:jc w:val="right"/>
              <w:rPr>
                <w:color w:val="000000"/>
                <w:sz w:val="24"/>
                <w:szCs w:val="24"/>
                <w:lang w:val="en-GB"/>
              </w:rPr>
            </w:pPr>
          </w:p>
        </w:tc>
      </w:tr>
      <w:tr w:rsidR="0036390B" w:rsidTr="008D694B">
        <w:trPr>
          <w:cantSplit/>
          <w:trHeight w:val="247"/>
        </w:trPr>
        <w:tc>
          <w:tcPr>
            <w:tcW w:w="1122" w:type="dxa"/>
            <w:tcBorders>
              <w:top w:val="single" w:sz="6" w:space="0" w:color="auto"/>
              <w:bottom w:val="nil"/>
            </w:tcBorders>
          </w:tcPr>
          <w:p w:rsidR="0036390B" w:rsidRPr="00592940" w:rsidRDefault="0036390B">
            <w:pPr>
              <w:widowControl/>
              <w:jc w:val="right"/>
              <w:rPr>
                <w:color w:val="000000"/>
                <w:sz w:val="22"/>
                <w:szCs w:val="22"/>
                <w:lang w:val="en-GB"/>
              </w:rPr>
            </w:pPr>
          </w:p>
        </w:tc>
        <w:tc>
          <w:tcPr>
            <w:tcW w:w="1011" w:type="dxa"/>
            <w:tcBorders>
              <w:top w:val="single" w:sz="6" w:space="0" w:color="auto"/>
              <w:bottom w:val="nil"/>
            </w:tcBorders>
          </w:tcPr>
          <w:p w:rsidR="0036390B" w:rsidRPr="00592940" w:rsidRDefault="0036390B">
            <w:pPr>
              <w:widowControl/>
              <w:jc w:val="right"/>
              <w:rPr>
                <w:color w:val="000000"/>
                <w:sz w:val="22"/>
                <w:szCs w:val="22"/>
                <w:lang w:val="en-GB"/>
              </w:rPr>
            </w:pPr>
          </w:p>
        </w:tc>
        <w:tc>
          <w:tcPr>
            <w:tcW w:w="2021" w:type="dxa"/>
            <w:gridSpan w:val="3"/>
            <w:tcBorders>
              <w:top w:val="single" w:sz="6" w:space="0" w:color="auto"/>
              <w:bottom w:val="nil"/>
            </w:tcBorders>
          </w:tcPr>
          <w:p w:rsidR="0036390B" w:rsidRPr="00592940" w:rsidRDefault="0036390B">
            <w:pPr>
              <w:widowControl/>
              <w:jc w:val="left"/>
              <w:rPr>
                <w:color w:val="000000"/>
                <w:sz w:val="22"/>
                <w:szCs w:val="22"/>
                <w:lang w:val="en-GB"/>
              </w:rPr>
            </w:pPr>
            <w:r w:rsidRPr="00592940">
              <w:rPr>
                <w:color w:val="000000"/>
                <w:sz w:val="22"/>
                <w:szCs w:val="22"/>
                <w:lang w:val="en-GB"/>
              </w:rPr>
              <w:t>FSB accreditation</w:t>
            </w:r>
          </w:p>
        </w:tc>
        <w:tc>
          <w:tcPr>
            <w:tcW w:w="204" w:type="dxa"/>
            <w:tcBorders>
              <w:top w:val="single" w:sz="6" w:space="0" w:color="auto"/>
              <w:bottom w:val="nil"/>
            </w:tcBorders>
          </w:tcPr>
          <w:p w:rsidR="0036390B" w:rsidRPr="00592940" w:rsidRDefault="0036390B">
            <w:pPr>
              <w:widowControl/>
              <w:jc w:val="left"/>
              <w:rPr>
                <w:color w:val="000000"/>
                <w:sz w:val="22"/>
                <w:szCs w:val="22"/>
                <w:lang w:val="en-GB"/>
              </w:rPr>
            </w:pPr>
          </w:p>
        </w:tc>
        <w:tc>
          <w:tcPr>
            <w:tcW w:w="93" w:type="dxa"/>
            <w:tcBorders>
              <w:top w:val="single" w:sz="6" w:space="0" w:color="auto"/>
              <w:bottom w:val="nil"/>
            </w:tcBorders>
          </w:tcPr>
          <w:p w:rsidR="0036390B" w:rsidRPr="00592940" w:rsidRDefault="0036390B">
            <w:pPr>
              <w:widowControl/>
              <w:jc w:val="left"/>
              <w:rPr>
                <w:color w:val="000000"/>
                <w:sz w:val="22"/>
                <w:szCs w:val="22"/>
                <w:lang w:val="en-GB"/>
              </w:rPr>
            </w:pPr>
          </w:p>
        </w:tc>
        <w:tc>
          <w:tcPr>
            <w:tcW w:w="1011" w:type="dxa"/>
            <w:tcBorders>
              <w:top w:val="single" w:sz="6" w:space="0" w:color="auto"/>
              <w:bottom w:val="nil"/>
            </w:tcBorders>
          </w:tcPr>
          <w:p w:rsidR="0036390B" w:rsidRPr="00592940" w:rsidRDefault="0036390B">
            <w:pPr>
              <w:widowControl/>
              <w:jc w:val="left"/>
              <w:rPr>
                <w:color w:val="000000"/>
                <w:sz w:val="22"/>
                <w:szCs w:val="22"/>
                <w:lang w:val="en-GB"/>
              </w:rPr>
            </w:pPr>
          </w:p>
        </w:tc>
        <w:tc>
          <w:tcPr>
            <w:tcW w:w="1010" w:type="dxa"/>
            <w:tcBorders>
              <w:top w:val="single" w:sz="6" w:space="0" w:color="auto"/>
              <w:bottom w:val="nil"/>
            </w:tcBorders>
          </w:tcPr>
          <w:p w:rsidR="0036390B" w:rsidRPr="00592940" w:rsidRDefault="0036390B">
            <w:pPr>
              <w:widowControl/>
              <w:jc w:val="left"/>
              <w:rPr>
                <w:color w:val="000000"/>
                <w:sz w:val="22"/>
                <w:szCs w:val="22"/>
                <w:lang w:val="en-GB"/>
              </w:rPr>
            </w:pPr>
          </w:p>
        </w:tc>
        <w:tc>
          <w:tcPr>
            <w:tcW w:w="1121" w:type="dxa"/>
            <w:tcBorders>
              <w:top w:val="single" w:sz="6" w:space="0" w:color="auto"/>
              <w:bottom w:val="nil"/>
            </w:tcBorders>
          </w:tcPr>
          <w:p w:rsidR="0036390B" w:rsidRPr="00592940" w:rsidRDefault="0036390B">
            <w:pPr>
              <w:widowControl/>
              <w:jc w:val="left"/>
              <w:rPr>
                <w:color w:val="000000"/>
                <w:sz w:val="22"/>
                <w:szCs w:val="22"/>
                <w:lang w:val="en-GB"/>
              </w:rPr>
            </w:pPr>
          </w:p>
        </w:tc>
        <w:tc>
          <w:tcPr>
            <w:tcW w:w="141" w:type="dxa"/>
            <w:tcBorders>
              <w:top w:val="single" w:sz="6" w:space="0" w:color="auto"/>
              <w:bottom w:val="nil"/>
            </w:tcBorders>
          </w:tcPr>
          <w:p w:rsidR="0036390B" w:rsidRPr="00592940" w:rsidRDefault="0036390B">
            <w:pPr>
              <w:widowControl/>
              <w:jc w:val="left"/>
              <w:rPr>
                <w:color w:val="000000"/>
                <w:sz w:val="22"/>
                <w:szCs w:val="22"/>
                <w:lang w:val="en-GB"/>
              </w:rPr>
            </w:pPr>
          </w:p>
        </w:tc>
        <w:tc>
          <w:tcPr>
            <w:tcW w:w="2021" w:type="dxa"/>
            <w:gridSpan w:val="2"/>
            <w:tcBorders>
              <w:top w:val="single" w:sz="6" w:space="0" w:color="auto"/>
              <w:bottom w:val="nil"/>
            </w:tcBorders>
          </w:tcPr>
          <w:p w:rsidR="0036390B" w:rsidRPr="00592940" w:rsidRDefault="0036390B">
            <w:pPr>
              <w:widowControl/>
              <w:jc w:val="left"/>
              <w:rPr>
                <w:color w:val="000000"/>
                <w:sz w:val="22"/>
                <w:szCs w:val="22"/>
                <w:lang w:val="en-GB"/>
              </w:rPr>
            </w:pPr>
            <w:r w:rsidRPr="00592940">
              <w:rPr>
                <w:color w:val="000000"/>
                <w:sz w:val="22"/>
                <w:szCs w:val="22"/>
                <w:lang w:val="en-GB"/>
              </w:rPr>
              <w:t xml:space="preserve">annual reassessment </w:t>
            </w:r>
          </w:p>
        </w:tc>
      </w:tr>
      <w:tr w:rsidR="0036390B" w:rsidTr="008D694B">
        <w:trPr>
          <w:cantSplit/>
          <w:trHeight w:val="247"/>
        </w:trPr>
        <w:tc>
          <w:tcPr>
            <w:tcW w:w="1122" w:type="dxa"/>
            <w:tcBorders>
              <w:top w:val="nil"/>
            </w:tcBorders>
          </w:tcPr>
          <w:p w:rsidR="0036390B" w:rsidRPr="00592940" w:rsidRDefault="0036390B">
            <w:pPr>
              <w:widowControl/>
              <w:jc w:val="right"/>
              <w:rPr>
                <w:color w:val="000000"/>
                <w:sz w:val="22"/>
                <w:szCs w:val="22"/>
                <w:lang w:val="en-GB"/>
              </w:rPr>
            </w:pPr>
          </w:p>
        </w:tc>
        <w:tc>
          <w:tcPr>
            <w:tcW w:w="1011" w:type="dxa"/>
            <w:tcBorders>
              <w:top w:val="nil"/>
            </w:tcBorders>
          </w:tcPr>
          <w:p w:rsidR="0036390B" w:rsidRPr="00592940" w:rsidRDefault="0036390B">
            <w:pPr>
              <w:widowControl/>
              <w:jc w:val="right"/>
              <w:rPr>
                <w:color w:val="000000"/>
                <w:sz w:val="22"/>
                <w:szCs w:val="22"/>
                <w:lang w:val="en-GB"/>
              </w:rPr>
            </w:pPr>
          </w:p>
        </w:tc>
        <w:tc>
          <w:tcPr>
            <w:tcW w:w="1010" w:type="dxa"/>
            <w:tcBorders>
              <w:top w:val="nil"/>
            </w:tcBorders>
          </w:tcPr>
          <w:p w:rsidR="0036390B" w:rsidRPr="00592940" w:rsidRDefault="0036390B">
            <w:pPr>
              <w:widowControl/>
              <w:jc w:val="left"/>
              <w:rPr>
                <w:color w:val="000000"/>
                <w:sz w:val="22"/>
                <w:szCs w:val="22"/>
                <w:lang w:val="en-GB"/>
              </w:rPr>
            </w:pPr>
          </w:p>
        </w:tc>
        <w:tc>
          <w:tcPr>
            <w:tcW w:w="1011" w:type="dxa"/>
            <w:gridSpan w:val="2"/>
            <w:tcBorders>
              <w:top w:val="nil"/>
            </w:tcBorders>
          </w:tcPr>
          <w:p w:rsidR="0036390B" w:rsidRPr="00592940" w:rsidRDefault="0036390B">
            <w:pPr>
              <w:widowControl/>
              <w:jc w:val="left"/>
              <w:rPr>
                <w:color w:val="000000"/>
                <w:sz w:val="22"/>
                <w:szCs w:val="22"/>
                <w:lang w:val="en-GB"/>
              </w:rPr>
            </w:pPr>
          </w:p>
        </w:tc>
        <w:tc>
          <w:tcPr>
            <w:tcW w:w="204" w:type="dxa"/>
            <w:tcBorders>
              <w:top w:val="nil"/>
            </w:tcBorders>
          </w:tcPr>
          <w:p w:rsidR="0036390B" w:rsidRPr="00592940" w:rsidRDefault="0036390B">
            <w:pPr>
              <w:widowControl/>
              <w:jc w:val="left"/>
              <w:rPr>
                <w:color w:val="000000"/>
                <w:sz w:val="22"/>
                <w:szCs w:val="22"/>
                <w:lang w:val="en-GB"/>
              </w:rPr>
            </w:pPr>
          </w:p>
        </w:tc>
        <w:tc>
          <w:tcPr>
            <w:tcW w:w="93" w:type="dxa"/>
            <w:tcBorders>
              <w:top w:val="nil"/>
            </w:tcBorders>
          </w:tcPr>
          <w:p w:rsidR="0036390B" w:rsidRPr="00592940" w:rsidRDefault="0036390B">
            <w:pPr>
              <w:widowControl/>
              <w:jc w:val="left"/>
              <w:rPr>
                <w:color w:val="000000"/>
                <w:sz w:val="22"/>
                <w:szCs w:val="22"/>
                <w:lang w:val="en-GB"/>
              </w:rPr>
            </w:pPr>
          </w:p>
        </w:tc>
        <w:tc>
          <w:tcPr>
            <w:tcW w:w="1011" w:type="dxa"/>
            <w:tcBorders>
              <w:top w:val="nil"/>
            </w:tcBorders>
          </w:tcPr>
          <w:p w:rsidR="0036390B" w:rsidRPr="00592940" w:rsidRDefault="0036390B">
            <w:pPr>
              <w:widowControl/>
              <w:jc w:val="left"/>
              <w:rPr>
                <w:color w:val="000000"/>
                <w:sz w:val="22"/>
                <w:szCs w:val="22"/>
                <w:lang w:val="en-GB"/>
              </w:rPr>
            </w:pPr>
          </w:p>
        </w:tc>
        <w:tc>
          <w:tcPr>
            <w:tcW w:w="1010" w:type="dxa"/>
            <w:tcBorders>
              <w:top w:val="nil"/>
            </w:tcBorders>
          </w:tcPr>
          <w:p w:rsidR="0036390B" w:rsidRPr="00592940" w:rsidRDefault="0036390B">
            <w:pPr>
              <w:widowControl/>
              <w:jc w:val="left"/>
              <w:rPr>
                <w:color w:val="000000"/>
                <w:sz w:val="22"/>
                <w:szCs w:val="22"/>
                <w:lang w:val="en-GB"/>
              </w:rPr>
            </w:pPr>
          </w:p>
        </w:tc>
        <w:tc>
          <w:tcPr>
            <w:tcW w:w="1121" w:type="dxa"/>
            <w:tcBorders>
              <w:top w:val="nil"/>
            </w:tcBorders>
          </w:tcPr>
          <w:p w:rsidR="0036390B" w:rsidRPr="00592940" w:rsidRDefault="0036390B">
            <w:pPr>
              <w:widowControl/>
              <w:jc w:val="left"/>
              <w:rPr>
                <w:color w:val="000000"/>
                <w:sz w:val="22"/>
                <w:szCs w:val="22"/>
                <w:lang w:val="en-GB"/>
              </w:rPr>
            </w:pPr>
          </w:p>
        </w:tc>
        <w:tc>
          <w:tcPr>
            <w:tcW w:w="141" w:type="dxa"/>
            <w:tcBorders>
              <w:top w:val="nil"/>
            </w:tcBorders>
          </w:tcPr>
          <w:p w:rsidR="0036390B" w:rsidRPr="00592940" w:rsidRDefault="0036390B">
            <w:pPr>
              <w:widowControl/>
              <w:jc w:val="left"/>
              <w:rPr>
                <w:color w:val="000000"/>
                <w:sz w:val="22"/>
                <w:szCs w:val="22"/>
                <w:lang w:val="en-GB"/>
              </w:rPr>
            </w:pPr>
          </w:p>
        </w:tc>
        <w:tc>
          <w:tcPr>
            <w:tcW w:w="2021" w:type="dxa"/>
            <w:gridSpan w:val="2"/>
            <w:tcBorders>
              <w:top w:val="nil"/>
            </w:tcBorders>
          </w:tcPr>
          <w:p w:rsidR="0036390B" w:rsidRPr="00592940" w:rsidRDefault="0036390B">
            <w:pPr>
              <w:widowControl/>
              <w:jc w:val="left"/>
              <w:rPr>
                <w:color w:val="000000"/>
                <w:sz w:val="22"/>
                <w:szCs w:val="22"/>
                <w:lang w:val="en-GB"/>
              </w:rPr>
            </w:pPr>
            <w:r w:rsidRPr="00592940">
              <w:rPr>
                <w:color w:val="000000"/>
                <w:sz w:val="22"/>
                <w:szCs w:val="22"/>
                <w:lang w:val="en-GB"/>
              </w:rPr>
              <w:t>against Welfare Code</w:t>
            </w:r>
          </w:p>
        </w:tc>
      </w:tr>
      <w:tr w:rsidR="0036390B" w:rsidTr="008D694B">
        <w:trPr>
          <w:cantSplit/>
          <w:trHeight w:val="247"/>
        </w:trPr>
        <w:tc>
          <w:tcPr>
            <w:tcW w:w="2133" w:type="dxa"/>
            <w:gridSpan w:val="2"/>
            <w:tcBorders>
              <w:top w:val="single" w:sz="6" w:space="0" w:color="auto"/>
              <w:bottom w:val="nil"/>
            </w:tcBorders>
          </w:tcPr>
          <w:p w:rsidR="0036390B" w:rsidRPr="00592940" w:rsidRDefault="008B148F">
            <w:pPr>
              <w:widowControl/>
              <w:rPr>
                <w:color w:val="000000"/>
                <w:sz w:val="22"/>
                <w:szCs w:val="22"/>
                <w:lang w:val="en-GB"/>
              </w:rPr>
            </w:pPr>
            <w:r>
              <w:rPr>
                <w:color w:val="000000"/>
                <w:sz w:val="22"/>
                <w:szCs w:val="22"/>
                <w:lang w:val="en-GB"/>
              </w:rPr>
              <w:t>Lenah Game Meats</w:t>
            </w:r>
          </w:p>
        </w:tc>
        <w:tc>
          <w:tcPr>
            <w:tcW w:w="2021" w:type="dxa"/>
            <w:gridSpan w:val="3"/>
            <w:tcBorders>
              <w:top w:val="single" w:sz="6" w:space="0" w:color="auto"/>
              <w:bottom w:val="nil"/>
            </w:tcBorders>
          </w:tcPr>
          <w:p w:rsidR="0036390B" w:rsidRPr="00592940" w:rsidRDefault="0036390B">
            <w:pPr>
              <w:widowControl/>
              <w:jc w:val="left"/>
              <w:rPr>
                <w:color w:val="000000"/>
                <w:sz w:val="22"/>
                <w:szCs w:val="22"/>
                <w:lang w:val="en-GB"/>
              </w:rPr>
            </w:pPr>
            <w:r w:rsidRPr="00592940">
              <w:rPr>
                <w:color w:val="000000"/>
                <w:sz w:val="22"/>
                <w:szCs w:val="22"/>
                <w:lang w:val="en-GB"/>
              </w:rPr>
              <w:t>FSB licence</w:t>
            </w:r>
          </w:p>
        </w:tc>
        <w:tc>
          <w:tcPr>
            <w:tcW w:w="204" w:type="dxa"/>
            <w:tcBorders>
              <w:top w:val="single" w:sz="6" w:space="0" w:color="auto"/>
              <w:bottom w:val="nil"/>
            </w:tcBorders>
          </w:tcPr>
          <w:p w:rsidR="0036390B" w:rsidRPr="00592940" w:rsidRDefault="0036390B">
            <w:pPr>
              <w:widowControl/>
              <w:jc w:val="left"/>
              <w:rPr>
                <w:color w:val="000000"/>
                <w:sz w:val="22"/>
                <w:szCs w:val="22"/>
                <w:lang w:val="en-GB"/>
              </w:rPr>
            </w:pPr>
          </w:p>
        </w:tc>
        <w:tc>
          <w:tcPr>
            <w:tcW w:w="93" w:type="dxa"/>
            <w:tcBorders>
              <w:top w:val="single" w:sz="6" w:space="0" w:color="auto"/>
              <w:bottom w:val="nil"/>
            </w:tcBorders>
          </w:tcPr>
          <w:p w:rsidR="0036390B" w:rsidRPr="00592940" w:rsidRDefault="0036390B">
            <w:pPr>
              <w:widowControl/>
              <w:jc w:val="left"/>
              <w:rPr>
                <w:color w:val="000000"/>
                <w:sz w:val="22"/>
                <w:szCs w:val="22"/>
                <w:lang w:val="en-GB"/>
              </w:rPr>
            </w:pPr>
          </w:p>
        </w:tc>
        <w:tc>
          <w:tcPr>
            <w:tcW w:w="3142" w:type="dxa"/>
            <w:gridSpan w:val="3"/>
            <w:tcBorders>
              <w:top w:val="single" w:sz="6" w:space="0" w:color="auto"/>
              <w:bottom w:val="nil"/>
            </w:tcBorders>
          </w:tcPr>
          <w:p w:rsidR="0036390B" w:rsidRPr="00592940" w:rsidRDefault="0036390B" w:rsidP="008B148F">
            <w:pPr>
              <w:widowControl/>
              <w:jc w:val="left"/>
              <w:rPr>
                <w:color w:val="000000"/>
                <w:sz w:val="22"/>
                <w:szCs w:val="22"/>
                <w:lang w:val="en-GB"/>
              </w:rPr>
            </w:pPr>
            <w:r w:rsidRPr="00592940">
              <w:rPr>
                <w:color w:val="000000"/>
                <w:sz w:val="22"/>
                <w:szCs w:val="22"/>
                <w:lang w:val="en-GB"/>
              </w:rPr>
              <w:t>monthly returns</w:t>
            </w:r>
            <w:r w:rsidR="008B148F">
              <w:rPr>
                <w:color w:val="000000"/>
                <w:sz w:val="22"/>
                <w:szCs w:val="22"/>
                <w:lang w:val="en-GB"/>
              </w:rPr>
              <w:t xml:space="preserve"> of wallabies processed</w:t>
            </w:r>
            <w:r w:rsidRPr="00592940">
              <w:rPr>
                <w:color w:val="000000"/>
                <w:sz w:val="22"/>
                <w:szCs w:val="22"/>
                <w:lang w:val="en-GB"/>
              </w:rPr>
              <w:t xml:space="preserve"> </w:t>
            </w:r>
            <w:r w:rsidR="008B148F">
              <w:rPr>
                <w:color w:val="000000"/>
                <w:sz w:val="22"/>
                <w:szCs w:val="22"/>
                <w:lang w:val="en-GB"/>
              </w:rPr>
              <w:t>WMB</w:t>
            </w:r>
          </w:p>
        </w:tc>
        <w:tc>
          <w:tcPr>
            <w:tcW w:w="141" w:type="dxa"/>
            <w:vMerge w:val="restart"/>
            <w:tcBorders>
              <w:top w:val="single" w:sz="6" w:space="0" w:color="auto"/>
            </w:tcBorders>
          </w:tcPr>
          <w:p w:rsidR="0036390B" w:rsidRPr="00592940" w:rsidRDefault="0036390B">
            <w:pPr>
              <w:widowControl/>
              <w:jc w:val="left"/>
              <w:rPr>
                <w:color w:val="000000"/>
                <w:sz w:val="22"/>
                <w:szCs w:val="22"/>
                <w:lang w:val="en-GB"/>
              </w:rPr>
            </w:pPr>
            <w:r w:rsidRPr="00592940">
              <w:rPr>
                <w:color w:val="000000"/>
                <w:sz w:val="22"/>
                <w:szCs w:val="22"/>
                <w:lang w:val="en-GB"/>
              </w:rPr>
              <w:t>}</w:t>
            </w:r>
          </w:p>
          <w:p w:rsidR="0036390B" w:rsidRPr="00592940" w:rsidRDefault="0036390B">
            <w:pPr>
              <w:widowControl/>
              <w:jc w:val="left"/>
              <w:rPr>
                <w:color w:val="000000"/>
                <w:sz w:val="22"/>
                <w:szCs w:val="22"/>
                <w:lang w:val="en-GB"/>
              </w:rPr>
            </w:pPr>
            <w:r w:rsidRPr="00592940">
              <w:rPr>
                <w:color w:val="000000"/>
                <w:sz w:val="22"/>
                <w:szCs w:val="22"/>
                <w:lang w:val="en-GB"/>
              </w:rPr>
              <w:t>}</w:t>
            </w:r>
          </w:p>
          <w:p w:rsidR="0036390B" w:rsidRPr="00592940" w:rsidRDefault="0036390B">
            <w:pPr>
              <w:widowControl/>
              <w:jc w:val="left"/>
              <w:rPr>
                <w:color w:val="000000"/>
                <w:sz w:val="22"/>
                <w:szCs w:val="22"/>
                <w:lang w:val="en-GB"/>
              </w:rPr>
            </w:pPr>
            <w:r w:rsidRPr="00592940">
              <w:rPr>
                <w:color w:val="000000"/>
                <w:sz w:val="22"/>
                <w:szCs w:val="22"/>
                <w:lang w:val="en-GB"/>
              </w:rPr>
              <w:t>}</w:t>
            </w:r>
          </w:p>
          <w:p w:rsidR="0036390B" w:rsidRPr="00592940" w:rsidRDefault="0036390B">
            <w:pPr>
              <w:widowControl/>
              <w:jc w:val="left"/>
              <w:rPr>
                <w:color w:val="000000"/>
                <w:sz w:val="22"/>
                <w:szCs w:val="22"/>
                <w:lang w:val="en-GB"/>
              </w:rPr>
            </w:pPr>
            <w:r w:rsidRPr="00592940">
              <w:rPr>
                <w:color w:val="000000"/>
                <w:sz w:val="22"/>
                <w:szCs w:val="22"/>
                <w:lang w:val="en-GB"/>
              </w:rPr>
              <w:t>}</w:t>
            </w:r>
          </w:p>
          <w:p w:rsidR="0036390B" w:rsidRPr="00592940" w:rsidRDefault="0036390B">
            <w:pPr>
              <w:widowControl/>
              <w:jc w:val="left"/>
              <w:rPr>
                <w:color w:val="000000"/>
                <w:sz w:val="22"/>
                <w:szCs w:val="22"/>
                <w:lang w:val="en-GB"/>
              </w:rPr>
            </w:pPr>
            <w:r w:rsidRPr="00592940">
              <w:rPr>
                <w:color w:val="000000"/>
                <w:sz w:val="22"/>
                <w:szCs w:val="22"/>
                <w:lang w:val="en-GB"/>
              </w:rPr>
              <w:t>}</w:t>
            </w:r>
          </w:p>
          <w:p w:rsidR="0036390B" w:rsidRPr="00592940" w:rsidRDefault="0036390B">
            <w:pPr>
              <w:jc w:val="left"/>
              <w:rPr>
                <w:color w:val="000000"/>
                <w:sz w:val="22"/>
                <w:szCs w:val="22"/>
                <w:lang w:val="en-GB"/>
              </w:rPr>
            </w:pPr>
            <w:r w:rsidRPr="00592940">
              <w:rPr>
                <w:color w:val="000000"/>
                <w:sz w:val="22"/>
                <w:szCs w:val="22"/>
                <w:lang w:val="en-GB"/>
              </w:rPr>
              <w:t>}</w:t>
            </w:r>
          </w:p>
          <w:p w:rsidR="0036390B" w:rsidRPr="00592940" w:rsidRDefault="0036390B">
            <w:pPr>
              <w:jc w:val="left"/>
              <w:rPr>
                <w:color w:val="000000"/>
                <w:sz w:val="22"/>
                <w:szCs w:val="22"/>
                <w:lang w:val="en-GB"/>
              </w:rPr>
            </w:pPr>
            <w:r w:rsidRPr="00592940">
              <w:rPr>
                <w:color w:val="000000"/>
                <w:sz w:val="22"/>
                <w:szCs w:val="22"/>
                <w:lang w:val="en-GB"/>
              </w:rPr>
              <w:t>}</w:t>
            </w:r>
          </w:p>
        </w:tc>
        <w:tc>
          <w:tcPr>
            <w:tcW w:w="1011" w:type="dxa"/>
            <w:tcBorders>
              <w:top w:val="single" w:sz="6" w:space="0" w:color="auto"/>
              <w:bottom w:val="nil"/>
            </w:tcBorders>
          </w:tcPr>
          <w:p w:rsidR="0036390B" w:rsidRPr="00592940" w:rsidRDefault="0036390B">
            <w:pPr>
              <w:widowControl/>
              <w:jc w:val="left"/>
              <w:rPr>
                <w:color w:val="000000"/>
                <w:sz w:val="22"/>
                <w:szCs w:val="22"/>
                <w:lang w:val="en-GB"/>
              </w:rPr>
            </w:pPr>
          </w:p>
        </w:tc>
        <w:tc>
          <w:tcPr>
            <w:tcW w:w="1010" w:type="dxa"/>
            <w:tcBorders>
              <w:top w:val="single" w:sz="6" w:space="0" w:color="auto"/>
              <w:bottom w:val="nil"/>
            </w:tcBorders>
          </w:tcPr>
          <w:p w:rsidR="0036390B" w:rsidRDefault="0036390B">
            <w:pPr>
              <w:widowControl/>
              <w:jc w:val="right"/>
              <w:rPr>
                <w:color w:val="000000"/>
                <w:sz w:val="24"/>
                <w:szCs w:val="24"/>
                <w:lang w:val="en-GB"/>
              </w:rPr>
            </w:pPr>
          </w:p>
        </w:tc>
      </w:tr>
      <w:tr w:rsidR="0036390B" w:rsidTr="008D694B">
        <w:trPr>
          <w:cantSplit/>
          <w:trHeight w:val="247"/>
        </w:trPr>
        <w:tc>
          <w:tcPr>
            <w:tcW w:w="1122" w:type="dxa"/>
            <w:tcBorders>
              <w:top w:val="nil"/>
            </w:tcBorders>
          </w:tcPr>
          <w:p w:rsidR="0036390B" w:rsidRPr="00592940" w:rsidRDefault="0036390B">
            <w:pPr>
              <w:widowControl/>
              <w:rPr>
                <w:color w:val="000000"/>
                <w:sz w:val="22"/>
                <w:szCs w:val="22"/>
                <w:lang w:val="en-GB"/>
              </w:rPr>
            </w:pPr>
          </w:p>
        </w:tc>
        <w:tc>
          <w:tcPr>
            <w:tcW w:w="1011" w:type="dxa"/>
            <w:tcBorders>
              <w:top w:val="nil"/>
            </w:tcBorders>
          </w:tcPr>
          <w:p w:rsidR="0036390B" w:rsidRPr="00592940" w:rsidRDefault="0036390B">
            <w:pPr>
              <w:widowControl/>
              <w:jc w:val="right"/>
              <w:rPr>
                <w:color w:val="000000"/>
                <w:sz w:val="22"/>
                <w:szCs w:val="22"/>
                <w:lang w:val="en-GB"/>
              </w:rPr>
            </w:pPr>
          </w:p>
        </w:tc>
        <w:tc>
          <w:tcPr>
            <w:tcW w:w="1010" w:type="dxa"/>
            <w:tcBorders>
              <w:top w:val="nil"/>
            </w:tcBorders>
          </w:tcPr>
          <w:p w:rsidR="0036390B" w:rsidRPr="00592940" w:rsidRDefault="0036390B">
            <w:pPr>
              <w:widowControl/>
              <w:jc w:val="left"/>
              <w:rPr>
                <w:color w:val="000000"/>
                <w:sz w:val="22"/>
                <w:szCs w:val="22"/>
                <w:lang w:val="en-GB"/>
              </w:rPr>
            </w:pPr>
          </w:p>
        </w:tc>
        <w:tc>
          <w:tcPr>
            <w:tcW w:w="1011" w:type="dxa"/>
            <w:gridSpan w:val="2"/>
            <w:tcBorders>
              <w:top w:val="nil"/>
            </w:tcBorders>
          </w:tcPr>
          <w:p w:rsidR="0036390B" w:rsidRPr="00592940" w:rsidRDefault="0036390B">
            <w:pPr>
              <w:widowControl/>
              <w:jc w:val="left"/>
              <w:rPr>
                <w:color w:val="000000"/>
                <w:sz w:val="22"/>
                <w:szCs w:val="22"/>
                <w:lang w:val="en-GB"/>
              </w:rPr>
            </w:pPr>
          </w:p>
        </w:tc>
        <w:tc>
          <w:tcPr>
            <w:tcW w:w="204" w:type="dxa"/>
            <w:tcBorders>
              <w:top w:val="nil"/>
            </w:tcBorders>
          </w:tcPr>
          <w:p w:rsidR="0036390B" w:rsidRPr="00592940" w:rsidRDefault="0036390B">
            <w:pPr>
              <w:widowControl/>
              <w:jc w:val="left"/>
              <w:rPr>
                <w:color w:val="000000"/>
                <w:sz w:val="22"/>
                <w:szCs w:val="22"/>
                <w:lang w:val="en-GB"/>
              </w:rPr>
            </w:pPr>
          </w:p>
        </w:tc>
        <w:tc>
          <w:tcPr>
            <w:tcW w:w="93" w:type="dxa"/>
            <w:tcBorders>
              <w:top w:val="nil"/>
            </w:tcBorders>
          </w:tcPr>
          <w:p w:rsidR="0036390B" w:rsidRPr="00592940" w:rsidRDefault="0036390B">
            <w:pPr>
              <w:widowControl/>
              <w:jc w:val="left"/>
              <w:rPr>
                <w:color w:val="000000"/>
                <w:sz w:val="22"/>
                <w:szCs w:val="22"/>
                <w:lang w:val="en-GB"/>
              </w:rPr>
            </w:pPr>
          </w:p>
        </w:tc>
        <w:tc>
          <w:tcPr>
            <w:tcW w:w="1011" w:type="dxa"/>
            <w:tcBorders>
              <w:top w:val="nil"/>
            </w:tcBorders>
          </w:tcPr>
          <w:p w:rsidR="0036390B" w:rsidRPr="00592940" w:rsidRDefault="0036390B">
            <w:pPr>
              <w:widowControl/>
              <w:jc w:val="left"/>
              <w:rPr>
                <w:color w:val="000000"/>
                <w:sz w:val="22"/>
                <w:szCs w:val="22"/>
                <w:lang w:val="en-GB"/>
              </w:rPr>
            </w:pPr>
          </w:p>
        </w:tc>
        <w:tc>
          <w:tcPr>
            <w:tcW w:w="1010" w:type="dxa"/>
            <w:tcBorders>
              <w:top w:val="nil"/>
            </w:tcBorders>
          </w:tcPr>
          <w:p w:rsidR="0036390B" w:rsidRPr="00592940" w:rsidRDefault="0036390B">
            <w:pPr>
              <w:widowControl/>
              <w:jc w:val="left"/>
              <w:rPr>
                <w:color w:val="000000"/>
                <w:sz w:val="22"/>
                <w:szCs w:val="22"/>
                <w:lang w:val="en-GB"/>
              </w:rPr>
            </w:pPr>
          </w:p>
        </w:tc>
        <w:tc>
          <w:tcPr>
            <w:tcW w:w="1121" w:type="dxa"/>
            <w:tcBorders>
              <w:top w:val="nil"/>
            </w:tcBorders>
          </w:tcPr>
          <w:p w:rsidR="0036390B" w:rsidRPr="00592940" w:rsidRDefault="0036390B">
            <w:pPr>
              <w:widowControl/>
              <w:jc w:val="left"/>
              <w:rPr>
                <w:color w:val="000000"/>
                <w:sz w:val="22"/>
                <w:szCs w:val="22"/>
                <w:lang w:val="en-GB"/>
              </w:rPr>
            </w:pPr>
          </w:p>
        </w:tc>
        <w:tc>
          <w:tcPr>
            <w:tcW w:w="141" w:type="dxa"/>
            <w:vMerge/>
          </w:tcPr>
          <w:p w:rsidR="0036390B" w:rsidRPr="00592940" w:rsidRDefault="0036390B">
            <w:pPr>
              <w:jc w:val="left"/>
              <w:rPr>
                <w:color w:val="000000"/>
                <w:sz w:val="22"/>
                <w:szCs w:val="22"/>
                <w:lang w:val="en-GB"/>
              </w:rPr>
            </w:pPr>
          </w:p>
        </w:tc>
        <w:tc>
          <w:tcPr>
            <w:tcW w:w="1011" w:type="dxa"/>
            <w:tcBorders>
              <w:top w:val="nil"/>
            </w:tcBorders>
          </w:tcPr>
          <w:p w:rsidR="0036390B" w:rsidRPr="00592940" w:rsidRDefault="0036390B">
            <w:pPr>
              <w:widowControl/>
              <w:jc w:val="left"/>
              <w:rPr>
                <w:color w:val="000000"/>
                <w:sz w:val="22"/>
                <w:szCs w:val="22"/>
                <w:lang w:val="en-GB"/>
              </w:rPr>
            </w:pPr>
          </w:p>
        </w:tc>
        <w:tc>
          <w:tcPr>
            <w:tcW w:w="1010" w:type="dxa"/>
            <w:tcBorders>
              <w:top w:val="nil"/>
            </w:tcBorders>
          </w:tcPr>
          <w:p w:rsidR="0036390B" w:rsidRDefault="0036390B">
            <w:pPr>
              <w:widowControl/>
              <w:jc w:val="right"/>
              <w:rPr>
                <w:color w:val="000000"/>
                <w:sz w:val="24"/>
                <w:szCs w:val="24"/>
                <w:lang w:val="en-GB"/>
              </w:rPr>
            </w:pPr>
          </w:p>
        </w:tc>
      </w:tr>
      <w:tr w:rsidR="0036390B" w:rsidTr="008D694B">
        <w:trPr>
          <w:cantSplit/>
          <w:trHeight w:val="247"/>
        </w:trPr>
        <w:tc>
          <w:tcPr>
            <w:tcW w:w="1122" w:type="dxa"/>
          </w:tcPr>
          <w:p w:rsidR="0036390B" w:rsidRPr="00592940" w:rsidRDefault="0036390B" w:rsidP="008D694B">
            <w:pPr>
              <w:widowControl/>
              <w:jc w:val="left"/>
              <w:rPr>
                <w:color w:val="000000"/>
                <w:sz w:val="22"/>
                <w:szCs w:val="22"/>
                <w:lang w:val="en-GB"/>
              </w:rPr>
            </w:pPr>
          </w:p>
        </w:tc>
        <w:tc>
          <w:tcPr>
            <w:tcW w:w="1011" w:type="dxa"/>
          </w:tcPr>
          <w:p w:rsidR="0036390B" w:rsidRPr="00592940" w:rsidRDefault="0036390B">
            <w:pPr>
              <w:widowControl/>
              <w:jc w:val="right"/>
              <w:rPr>
                <w:color w:val="000000"/>
                <w:sz w:val="22"/>
                <w:szCs w:val="22"/>
                <w:lang w:val="en-GB"/>
              </w:rPr>
            </w:pPr>
          </w:p>
        </w:tc>
        <w:tc>
          <w:tcPr>
            <w:tcW w:w="2021" w:type="dxa"/>
            <w:gridSpan w:val="3"/>
          </w:tcPr>
          <w:p w:rsidR="0036390B" w:rsidRPr="00592940" w:rsidRDefault="0036390B">
            <w:pPr>
              <w:widowControl/>
              <w:jc w:val="left"/>
              <w:rPr>
                <w:color w:val="000000"/>
                <w:sz w:val="22"/>
                <w:szCs w:val="22"/>
                <w:lang w:val="en-GB"/>
              </w:rPr>
            </w:pPr>
            <w:r w:rsidRPr="00592940">
              <w:rPr>
                <w:color w:val="000000"/>
                <w:sz w:val="22"/>
                <w:szCs w:val="22"/>
                <w:lang w:val="en-GB"/>
              </w:rPr>
              <w:t>WMB Skin Dealers Licence.</w:t>
            </w:r>
          </w:p>
        </w:tc>
        <w:tc>
          <w:tcPr>
            <w:tcW w:w="204" w:type="dxa"/>
          </w:tcPr>
          <w:p w:rsidR="0036390B" w:rsidRPr="00592940" w:rsidRDefault="0036390B">
            <w:pPr>
              <w:widowControl/>
              <w:jc w:val="left"/>
              <w:rPr>
                <w:color w:val="000000"/>
                <w:sz w:val="22"/>
                <w:szCs w:val="22"/>
                <w:lang w:val="en-GB"/>
              </w:rPr>
            </w:pPr>
          </w:p>
        </w:tc>
        <w:tc>
          <w:tcPr>
            <w:tcW w:w="93" w:type="dxa"/>
          </w:tcPr>
          <w:p w:rsidR="0036390B" w:rsidRPr="00592940" w:rsidRDefault="0036390B">
            <w:pPr>
              <w:widowControl/>
              <w:jc w:val="left"/>
              <w:rPr>
                <w:color w:val="000000"/>
                <w:sz w:val="22"/>
                <w:szCs w:val="22"/>
                <w:lang w:val="en-GB"/>
              </w:rPr>
            </w:pPr>
          </w:p>
        </w:tc>
        <w:tc>
          <w:tcPr>
            <w:tcW w:w="3142" w:type="dxa"/>
            <w:gridSpan w:val="3"/>
          </w:tcPr>
          <w:p w:rsidR="0036390B" w:rsidRPr="00592940" w:rsidRDefault="0036390B">
            <w:pPr>
              <w:widowControl/>
              <w:jc w:val="left"/>
              <w:rPr>
                <w:color w:val="000000"/>
                <w:sz w:val="22"/>
                <w:szCs w:val="22"/>
                <w:lang w:val="en-GB"/>
              </w:rPr>
            </w:pPr>
            <w:r w:rsidRPr="00592940">
              <w:rPr>
                <w:color w:val="000000"/>
                <w:sz w:val="22"/>
                <w:szCs w:val="22"/>
                <w:lang w:val="en-GB"/>
              </w:rPr>
              <w:t>monthly returns</w:t>
            </w:r>
            <w:r w:rsidR="008B148F">
              <w:rPr>
                <w:color w:val="000000"/>
                <w:sz w:val="22"/>
                <w:szCs w:val="22"/>
                <w:lang w:val="en-GB"/>
              </w:rPr>
              <w:t xml:space="preserve"> of skins purchased</w:t>
            </w:r>
            <w:r w:rsidRPr="00592940">
              <w:rPr>
                <w:color w:val="000000"/>
                <w:sz w:val="22"/>
                <w:szCs w:val="22"/>
                <w:lang w:val="en-GB"/>
              </w:rPr>
              <w:t xml:space="preserve"> to WMB</w:t>
            </w:r>
          </w:p>
        </w:tc>
        <w:tc>
          <w:tcPr>
            <w:tcW w:w="141" w:type="dxa"/>
            <w:vMerge/>
          </w:tcPr>
          <w:p w:rsidR="0036390B" w:rsidRPr="00592940" w:rsidRDefault="0036390B">
            <w:pPr>
              <w:jc w:val="left"/>
              <w:rPr>
                <w:color w:val="000000"/>
                <w:sz w:val="22"/>
                <w:szCs w:val="22"/>
                <w:lang w:val="en-GB"/>
              </w:rPr>
            </w:pPr>
          </w:p>
        </w:tc>
        <w:tc>
          <w:tcPr>
            <w:tcW w:w="2021" w:type="dxa"/>
            <w:gridSpan w:val="2"/>
          </w:tcPr>
          <w:p w:rsidR="0036390B" w:rsidRPr="00592940" w:rsidRDefault="0036390B">
            <w:pPr>
              <w:widowControl/>
              <w:jc w:val="left"/>
              <w:rPr>
                <w:color w:val="000000"/>
                <w:sz w:val="22"/>
                <w:szCs w:val="22"/>
                <w:lang w:val="en-GB"/>
              </w:rPr>
            </w:pPr>
            <w:r w:rsidRPr="00592940">
              <w:rPr>
                <w:color w:val="000000"/>
                <w:sz w:val="22"/>
                <w:szCs w:val="22"/>
                <w:lang w:val="en-GB"/>
              </w:rPr>
              <w:t>collate</w:t>
            </w:r>
          </w:p>
          <w:p w:rsidR="0036390B" w:rsidRPr="00592940" w:rsidRDefault="0036390B">
            <w:pPr>
              <w:widowControl/>
              <w:jc w:val="left"/>
              <w:rPr>
                <w:color w:val="000000"/>
                <w:sz w:val="22"/>
                <w:szCs w:val="22"/>
                <w:lang w:val="en-GB"/>
              </w:rPr>
            </w:pPr>
            <w:r w:rsidRPr="00592940">
              <w:rPr>
                <w:color w:val="000000"/>
                <w:sz w:val="22"/>
                <w:szCs w:val="22"/>
                <w:lang w:val="en-GB"/>
              </w:rPr>
              <w:t>to</w:t>
            </w:r>
          </w:p>
          <w:p w:rsidR="0036390B" w:rsidRPr="00592940" w:rsidRDefault="0036390B">
            <w:pPr>
              <w:widowControl/>
              <w:jc w:val="left"/>
              <w:rPr>
                <w:color w:val="000000"/>
                <w:sz w:val="22"/>
                <w:szCs w:val="22"/>
                <w:lang w:val="en-GB"/>
              </w:rPr>
            </w:pPr>
            <w:r w:rsidRPr="00592940">
              <w:rPr>
                <w:color w:val="000000"/>
                <w:sz w:val="22"/>
                <w:szCs w:val="22"/>
                <w:lang w:val="en-GB"/>
              </w:rPr>
              <w:t>ensure all</w:t>
            </w:r>
          </w:p>
        </w:tc>
      </w:tr>
      <w:tr w:rsidR="0036390B" w:rsidTr="008D694B">
        <w:trPr>
          <w:cantSplit/>
          <w:trHeight w:val="247"/>
        </w:trPr>
        <w:tc>
          <w:tcPr>
            <w:tcW w:w="2133" w:type="dxa"/>
            <w:gridSpan w:val="2"/>
          </w:tcPr>
          <w:p w:rsidR="0036390B" w:rsidRPr="00592940" w:rsidRDefault="0036390B">
            <w:pPr>
              <w:widowControl/>
              <w:rPr>
                <w:color w:val="000000"/>
                <w:sz w:val="22"/>
                <w:szCs w:val="22"/>
                <w:lang w:val="en-GB"/>
              </w:rPr>
            </w:pPr>
            <w:r w:rsidRPr="00592940">
              <w:rPr>
                <w:color w:val="000000"/>
                <w:sz w:val="22"/>
                <w:szCs w:val="22"/>
                <w:lang w:val="en-GB"/>
              </w:rPr>
              <w:t>Lenah Game Meats</w:t>
            </w:r>
          </w:p>
        </w:tc>
        <w:tc>
          <w:tcPr>
            <w:tcW w:w="2021" w:type="dxa"/>
            <w:gridSpan w:val="3"/>
          </w:tcPr>
          <w:p w:rsidR="0036390B" w:rsidRPr="00592940" w:rsidRDefault="0036390B">
            <w:pPr>
              <w:widowControl/>
              <w:jc w:val="left"/>
              <w:rPr>
                <w:color w:val="000000"/>
                <w:sz w:val="22"/>
                <w:szCs w:val="22"/>
                <w:lang w:val="en-GB"/>
              </w:rPr>
            </w:pPr>
            <w:r w:rsidRPr="00592940">
              <w:rPr>
                <w:color w:val="000000"/>
                <w:sz w:val="22"/>
                <w:szCs w:val="22"/>
                <w:lang w:val="en-GB"/>
              </w:rPr>
              <w:t>WMB Skin Dealers Licence.</w:t>
            </w:r>
          </w:p>
        </w:tc>
        <w:tc>
          <w:tcPr>
            <w:tcW w:w="204" w:type="dxa"/>
          </w:tcPr>
          <w:p w:rsidR="0036390B" w:rsidRPr="00592940" w:rsidRDefault="0036390B">
            <w:pPr>
              <w:widowControl/>
              <w:jc w:val="left"/>
              <w:rPr>
                <w:color w:val="000000"/>
                <w:sz w:val="22"/>
                <w:szCs w:val="22"/>
                <w:lang w:val="en-GB"/>
              </w:rPr>
            </w:pPr>
          </w:p>
        </w:tc>
        <w:tc>
          <w:tcPr>
            <w:tcW w:w="93" w:type="dxa"/>
          </w:tcPr>
          <w:p w:rsidR="0036390B" w:rsidRPr="00592940" w:rsidRDefault="0036390B">
            <w:pPr>
              <w:widowControl/>
              <w:jc w:val="left"/>
              <w:rPr>
                <w:color w:val="000000"/>
                <w:sz w:val="22"/>
                <w:szCs w:val="22"/>
                <w:lang w:val="en-GB"/>
              </w:rPr>
            </w:pPr>
          </w:p>
        </w:tc>
        <w:tc>
          <w:tcPr>
            <w:tcW w:w="3142" w:type="dxa"/>
            <w:gridSpan w:val="3"/>
          </w:tcPr>
          <w:p w:rsidR="0036390B" w:rsidRPr="00592940" w:rsidRDefault="0036390B">
            <w:pPr>
              <w:widowControl/>
              <w:jc w:val="left"/>
              <w:rPr>
                <w:color w:val="000000"/>
                <w:sz w:val="22"/>
                <w:szCs w:val="22"/>
                <w:lang w:val="en-GB"/>
              </w:rPr>
            </w:pPr>
            <w:r w:rsidRPr="00592940">
              <w:rPr>
                <w:color w:val="000000"/>
                <w:sz w:val="22"/>
                <w:szCs w:val="22"/>
                <w:lang w:val="en-GB"/>
              </w:rPr>
              <w:t>monthly returns to WMB</w:t>
            </w:r>
          </w:p>
          <w:p w:rsidR="0036390B" w:rsidRPr="00592940" w:rsidRDefault="0036390B" w:rsidP="008D694B">
            <w:pPr>
              <w:widowControl/>
              <w:jc w:val="left"/>
              <w:rPr>
                <w:color w:val="000000"/>
                <w:sz w:val="22"/>
                <w:szCs w:val="22"/>
                <w:lang w:val="en-GB"/>
              </w:rPr>
            </w:pPr>
            <w:r w:rsidRPr="00592940">
              <w:rPr>
                <w:color w:val="000000"/>
                <w:sz w:val="22"/>
                <w:szCs w:val="22"/>
                <w:lang w:val="en-GB"/>
              </w:rPr>
              <w:t xml:space="preserve">Monthly royalty payments to WMB </w:t>
            </w:r>
            <w:r w:rsidRPr="008D694B">
              <w:rPr>
                <w:color w:val="000000"/>
                <w:sz w:val="22"/>
                <w:szCs w:val="22"/>
                <w:lang w:val="en-GB"/>
              </w:rPr>
              <w:t>(</w:t>
            </w:r>
            <w:r w:rsidR="00FA629E" w:rsidRPr="00FA629E">
              <w:rPr>
                <w:sz w:val="22"/>
                <w:szCs w:val="22"/>
                <w:lang w:val="en-GB"/>
              </w:rPr>
              <w:t>0.055kg</w:t>
            </w:r>
            <w:r w:rsidRPr="008D694B">
              <w:rPr>
                <w:sz w:val="22"/>
                <w:szCs w:val="22"/>
                <w:lang w:val="en-GB"/>
              </w:rPr>
              <w:t xml:space="preserve"> of fibre is equivalent to one skin of one wallaby)</w:t>
            </w:r>
          </w:p>
        </w:tc>
        <w:tc>
          <w:tcPr>
            <w:tcW w:w="141" w:type="dxa"/>
            <w:vMerge/>
          </w:tcPr>
          <w:p w:rsidR="0036390B" w:rsidRPr="00592940" w:rsidRDefault="0036390B">
            <w:pPr>
              <w:widowControl/>
              <w:jc w:val="left"/>
              <w:rPr>
                <w:color w:val="000000"/>
                <w:sz w:val="22"/>
                <w:szCs w:val="22"/>
                <w:lang w:val="en-GB"/>
              </w:rPr>
            </w:pPr>
          </w:p>
        </w:tc>
        <w:tc>
          <w:tcPr>
            <w:tcW w:w="1011" w:type="dxa"/>
          </w:tcPr>
          <w:p w:rsidR="0036390B" w:rsidRPr="00592940" w:rsidRDefault="0036390B">
            <w:pPr>
              <w:widowControl/>
              <w:jc w:val="left"/>
              <w:rPr>
                <w:color w:val="000000"/>
                <w:sz w:val="22"/>
                <w:szCs w:val="22"/>
                <w:lang w:val="en-GB"/>
              </w:rPr>
            </w:pPr>
            <w:r w:rsidRPr="00592940">
              <w:rPr>
                <w:color w:val="000000"/>
                <w:sz w:val="22"/>
                <w:szCs w:val="22"/>
                <w:lang w:val="en-GB"/>
              </w:rPr>
              <w:t>data matches</w:t>
            </w:r>
          </w:p>
        </w:tc>
        <w:tc>
          <w:tcPr>
            <w:tcW w:w="1010" w:type="dxa"/>
          </w:tcPr>
          <w:p w:rsidR="0036390B" w:rsidRDefault="0036390B">
            <w:pPr>
              <w:widowControl/>
              <w:jc w:val="right"/>
              <w:rPr>
                <w:color w:val="000000"/>
                <w:sz w:val="24"/>
                <w:szCs w:val="24"/>
                <w:lang w:val="en-GB"/>
              </w:rPr>
            </w:pPr>
          </w:p>
        </w:tc>
      </w:tr>
      <w:tr w:rsidR="0036390B" w:rsidTr="008D694B">
        <w:trPr>
          <w:cantSplit/>
          <w:trHeight w:val="247"/>
        </w:trPr>
        <w:tc>
          <w:tcPr>
            <w:tcW w:w="1122" w:type="dxa"/>
          </w:tcPr>
          <w:p w:rsidR="0036390B" w:rsidRPr="00592940" w:rsidRDefault="0036390B">
            <w:pPr>
              <w:widowControl/>
              <w:jc w:val="right"/>
              <w:rPr>
                <w:color w:val="000000"/>
                <w:sz w:val="22"/>
                <w:szCs w:val="22"/>
                <w:lang w:val="en-GB"/>
              </w:rPr>
            </w:pPr>
          </w:p>
        </w:tc>
        <w:tc>
          <w:tcPr>
            <w:tcW w:w="1011" w:type="dxa"/>
          </w:tcPr>
          <w:p w:rsidR="0036390B" w:rsidRPr="00592940" w:rsidRDefault="0036390B">
            <w:pPr>
              <w:widowControl/>
              <w:jc w:val="right"/>
              <w:rPr>
                <w:color w:val="000000"/>
                <w:sz w:val="22"/>
                <w:szCs w:val="22"/>
                <w:lang w:val="en-GB"/>
              </w:rPr>
            </w:pPr>
          </w:p>
        </w:tc>
        <w:tc>
          <w:tcPr>
            <w:tcW w:w="1837" w:type="dxa"/>
            <w:gridSpan w:val="2"/>
          </w:tcPr>
          <w:p w:rsidR="0036390B" w:rsidRPr="00592940" w:rsidRDefault="0036390B">
            <w:pPr>
              <w:widowControl/>
              <w:jc w:val="left"/>
              <w:rPr>
                <w:color w:val="000000"/>
                <w:sz w:val="22"/>
                <w:szCs w:val="22"/>
                <w:lang w:val="en-GB"/>
              </w:rPr>
            </w:pPr>
          </w:p>
        </w:tc>
        <w:tc>
          <w:tcPr>
            <w:tcW w:w="184" w:type="dxa"/>
          </w:tcPr>
          <w:p w:rsidR="0036390B" w:rsidRPr="00592940" w:rsidRDefault="0036390B">
            <w:pPr>
              <w:widowControl/>
              <w:jc w:val="left"/>
              <w:rPr>
                <w:color w:val="000000"/>
                <w:sz w:val="22"/>
                <w:szCs w:val="22"/>
                <w:lang w:val="en-GB"/>
              </w:rPr>
            </w:pPr>
          </w:p>
        </w:tc>
        <w:tc>
          <w:tcPr>
            <w:tcW w:w="204" w:type="dxa"/>
          </w:tcPr>
          <w:p w:rsidR="0036390B" w:rsidRPr="00592940" w:rsidRDefault="0036390B">
            <w:pPr>
              <w:widowControl/>
              <w:jc w:val="left"/>
              <w:rPr>
                <w:color w:val="000000"/>
                <w:sz w:val="22"/>
                <w:szCs w:val="22"/>
                <w:lang w:val="en-GB"/>
              </w:rPr>
            </w:pPr>
          </w:p>
        </w:tc>
        <w:tc>
          <w:tcPr>
            <w:tcW w:w="93" w:type="dxa"/>
          </w:tcPr>
          <w:p w:rsidR="0036390B" w:rsidRPr="00592940" w:rsidRDefault="0036390B">
            <w:pPr>
              <w:widowControl/>
              <w:jc w:val="left"/>
              <w:rPr>
                <w:color w:val="000000"/>
                <w:sz w:val="22"/>
                <w:szCs w:val="22"/>
                <w:lang w:val="en-GB"/>
              </w:rPr>
            </w:pPr>
          </w:p>
        </w:tc>
        <w:tc>
          <w:tcPr>
            <w:tcW w:w="1011" w:type="dxa"/>
          </w:tcPr>
          <w:p w:rsidR="0036390B" w:rsidRPr="00592940" w:rsidRDefault="0036390B">
            <w:pPr>
              <w:widowControl/>
              <w:jc w:val="left"/>
              <w:rPr>
                <w:color w:val="000000"/>
                <w:sz w:val="22"/>
                <w:szCs w:val="22"/>
                <w:lang w:val="en-GB"/>
              </w:rPr>
            </w:pPr>
          </w:p>
        </w:tc>
        <w:tc>
          <w:tcPr>
            <w:tcW w:w="1010" w:type="dxa"/>
          </w:tcPr>
          <w:p w:rsidR="0036390B" w:rsidRPr="00592940" w:rsidRDefault="0036390B">
            <w:pPr>
              <w:widowControl/>
              <w:jc w:val="left"/>
              <w:rPr>
                <w:color w:val="000000"/>
                <w:sz w:val="22"/>
                <w:szCs w:val="22"/>
                <w:lang w:val="en-GB"/>
              </w:rPr>
            </w:pPr>
          </w:p>
        </w:tc>
        <w:tc>
          <w:tcPr>
            <w:tcW w:w="1121" w:type="dxa"/>
          </w:tcPr>
          <w:p w:rsidR="0036390B" w:rsidRPr="00592940" w:rsidRDefault="0036390B">
            <w:pPr>
              <w:widowControl/>
              <w:jc w:val="left"/>
              <w:rPr>
                <w:color w:val="000000"/>
                <w:sz w:val="22"/>
                <w:szCs w:val="22"/>
                <w:lang w:val="en-GB"/>
              </w:rPr>
            </w:pPr>
          </w:p>
        </w:tc>
        <w:tc>
          <w:tcPr>
            <w:tcW w:w="141" w:type="dxa"/>
          </w:tcPr>
          <w:p w:rsidR="0036390B" w:rsidRPr="00592940" w:rsidRDefault="0036390B">
            <w:pPr>
              <w:widowControl/>
              <w:jc w:val="left"/>
              <w:rPr>
                <w:color w:val="000000"/>
                <w:sz w:val="22"/>
                <w:szCs w:val="22"/>
                <w:lang w:val="en-GB"/>
              </w:rPr>
            </w:pPr>
          </w:p>
        </w:tc>
        <w:tc>
          <w:tcPr>
            <w:tcW w:w="1011" w:type="dxa"/>
          </w:tcPr>
          <w:p w:rsidR="0036390B" w:rsidRPr="00592940" w:rsidRDefault="0036390B">
            <w:pPr>
              <w:widowControl/>
              <w:jc w:val="left"/>
              <w:rPr>
                <w:color w:val="000000"/>
                <w:sz w:val="22"/>
                <w:szCs w:val="22"/>
                <w:lang w:val="en-GB"/>
              </w:rPr>
            </w:pPr>
          </w:p>
        </w:tc>
        <w:tc>
          <w:tcPr>
            <w:tcW w:w="1010" w:type="dxa"/>
          </w:tcPr>
          <w:p w:rsidR="0036390B" w:rsidRDefault="0036390B">
            <w:pPr>
              <w:widowControl/>
              <w:jc w:val="right"/>
              <w:rPr>
                <w:color w:val="000000"/>
                <w:sz w:val="24"/>
                <w:szCs w:val="24"/>
                <w:lang w:val="en-GB"/>
              </w:rPr>
            </w:pPr>
          </w:p>
        </w:tc>
      </w:tr>
      <w:tr w:rsidR="0036390B" w:rsidTr="008D694B">
        <w:trPr>
          <w:cantSplit/>
          <w:trHeight w:val="247"/>
        </w:trPr>
        <w:tc>
          <w:tcPr>
            <w:tcW w:w="1122" w:type="dxa"/>
          </w:tcPr>
          <w:p w:rsidR="0036390B" w:rsidRPr="00592940" w:rsidRDefault="0036390B">
            <w:pPr>
              <w:widowControl/>
              <w:jc w:val="right"/>
              <w:rPr>
                <w:color w:val="000000"/>
                <w:sz w:val="22"/>
                <w:szCs w:val="22"/>
                <w:lang w:val="en-GB"/>
              </w:rPr>
            </w:pPr>
          </w:p>
        </w:tc>
        <w:tc>
          <w:tcPr>
            <w:tcW w:w="1011" w:type="dxa"/>
          </w:tcPr>
          <w:p w:rsidR="0036390B" w:rsidRPr="00592940" w:rsidRDefault="0036390B">
            <w:pPr>
              <w:widowControl/>
              <w:jc w:val="right"/>
              <w:rPr>
                <w:color w:val="000000"/>
                <w:sz w:val="22"/>
                <w:szCs w:val="22"/>
                <w:lang w:val="en-GB"/>
              </w:rPr>
            </w:pPr>
          </w:p>
        </w:tc>
        <w:tc>
          <w:tcPr>
            <w:tcW w:w="1837" w:type="dxa"/>
            <w:gridSpan w:val="2"/>
          </w:tcPr>
          <w:p w:rsidR="0036390B" w:rsidRPr="00592940" w:rsidRDefault="0036390B">
            <w:pPr>
              <w:widowControl/>
              <w:jc w:val="left"/>
              <w:rPr>
                <w:color w:val="000000"/>
                <w:sz w:val="22"/>
                <w:szCs w:val="22"/>
                <w:lang w:val="en-GB"/>
              </w:rPr>
            </w:pPr>
          </w:p>
        </w:tc>
        <w:tc>
          <w:tcPr>
            <w:tcW w:w="184" w:type="dxa"/>
          </w:tcPr>
          <w:p w:rsidR="0036390B" w:rsidRPr="00592940" w:rsidRDefault="0036390B">
            <w:pPr>
              <w:widowControl/>
              <w:jc w:val="left"/>
              <w:rPr>
                <w:color w:val="000000"/>
                <w:sz w:val="22"/>
                <w:szCs w:val="22"/>
                <w:lang w:val="en-GB"/>
              </w:rPr>
            </w:pPr>
          </w:p>
        </w:tc>
        <w:tc>
          <w:tcPr>
            <w:tcW w:w="204" w:type="dxa"/>
          </w:tcPr>
          <w:p w:rsidR="0036390B" w:rsidRPr="00592940" w:rsidRDefault="0036390B">
            <w:pPr>
              <w:widowControl/>
              <w:jc w:val="left"/>
              <w:rPr>
                <w:color w:val="000000"/>
                <w:sz w:val="22"/>
                <w:szCs w:val="22"/>
                <w:lang w:val="en-GB"/>
              </w:rPr>
            </w:pPr>
          </w:p>
        </w:tc>
        <w:tc>
          <w:tcPr>
            <w:tcW w:w="93" w:type="dxa"/>
          </w:tcPr>
          <w:p w:rsidR="0036390B" w:rsidRPr="00592940" w:rsidRDefault="0036390B">
            <w:pPr>
              <w:widowControl/>
              <w:jc w:val="left"/>
              <w:rPr>
                <w:color w:val="000000"/>
                <w:sz w:val="22"/>
                <w:szCs w:val="22"/>
                <w:lang w:val="en-GB"/>
              </w:rPr>
            </w:pPr>
          </w:p>
        </w:tc>
        <w:tc>
          <w:tcPr>
            <w:tcW w:w="3142" w:type="dxa"/>
            <w:gridSpan w:val="3"/>
          </w:tcPr>
          <w:p w:rsidR="0036390B" w:rsidRPr="00592940" w:rsidRDefault="0036390B">
            <w:pPr>
              <w:widowControl/>
              <w:jc w:val="left"/>
              <w:rPr>
                <w:color w:val="000000"/>
                <w:sz w:val="22"/>
                <w:szCs w:val="22"/>
                <w:lang w:val="en-GB"/>
              </w:rPr>
            </w:pPr>
            <w:r w:rsidRPr="00592940">
              <w:rPr>
                <w:color w:val="000000"/>
                <w:sz w:val="22"/>
                <w:szCs w:val="22"/>
                <w:lang w:val="en-GB"/>
              </w:rPr>
              <w:t>annual report on Trigger Points (monitoring results) due by end of April</w:t>
            </w:r>
          </w:p>
        </w:tc>
        <w:tc>
          <w:tcPr>
            <w:tcW w:w="141" w:type="dxa"/>
          </w:tcPr>
          <w:p w:rsidR="0036390B" w:rsidRPr="00592940" w:rsidRDefault="0036390B">
            <w:pPr>
              <w:widowControl/>
              <w:jc w:val="left"/>
              <w:rPr>
                <w:color w:val="000000"/>
                <w:sz w:val="22"/>
                <w:szCs w:val="22"/>
                <w:lang w:val="en-GB"/>
              </w:rPr>
            </w:pPr>
          </w:p>
        </w:tc>
        <w:tc>
          <w:tcPr>
            <w:tcW w:w="1011" w:type="dxa"/>
          </w:tcPr>
          <w:p w:rsidR="0036390B" w:rsidRPr="00592940" w:rsidRDefault="0036390B">
            <w:pPr>
              <w:widowControl/>
              <w:jc w:val="left"/>
              <w:rPr>
                <w:color w:val="000000"/>
                <w:sz w:val="22"/>
                <w:szCs w:val="22"/>
                <w:lang w:val="en-GB"/>
              </w:rPr>
            </w:pPr>
          </w:p>
        </w:tc>
        <w:tc>
          <w:tcPr>
            <w:tcW w:w="1010" w:type="dxa"/>
          </w:tcPr>
          <w:p w:rsidR="0036390B" w:rsidRDefault="0036390B">
            <w:pPr>
              <w:widowControl/>
              <w:jc w:val="right"/>
              <w:rPr>
                <w:color w:val="000000"/>
                <w:sz w:val="24"/>
                <w:szCs w:val="24"/>
                <w:lang w:val="en-GB"/>
              </w:rPr>
            </w:pPr>
          </w:p>
        </w:tc>
      </w:tr>
      <w:tr w:rsidR="0036390B" w:rsidTr="008D694B">
        <w:trPr>
          <w:cantSplit/>
          <w:trHeight w:val="247"/>
        </w:trPr>
        <w:tc>
          <w:tcPr>
            <w:tcW w:w="1122" w:type="dxa"/>
            <w:tcBorders>
              <w:top w:val="single" w:sz="6" w:space="0" w:color="auto"/>
              <w:bottom w:val="single" w:sz="6" w:space="0" w:color="auto"/>
            </w:tcBorders>
          </w:tcPr>
          <w:p w:rsidR="0036390B" w:rsidRPr="00592940" w:rsidRDefault="0036390B">
            <w:pPr>
              <w:widowControl/>
              <w:rPr>
                <w:color w:val="000000"/>
                <w:sz w:val="22"/>
                <w:szCs w:val="22"/>
                <w:lang w:val="en-GB"/>
              </w:rPr>
            </w:pPr>
            <w:r w:rsidRPr="00592940">
              <w:rPr>
                <w:color w:val="000000"/>
                <w:sz w:val="22"/>
                <w:szCs w:val="22"/>
                <w:lang w:val="en-GB"/>
              </w:rPr>
              <w:t>Export</w:t>
            </w:r>
          </w:p>
        </w:tc>
        <w:tc>
          <w:tcPr>
            <w:tcW w:w="1011" w:type="dxa"/>
            <w:tcBorders>
              <w:top w:val="single" w:sz="6" w:space="0" w:color="auto"/>
              <w:bottom w:val="single" w:sz="6" w:space="0" w:color="auto"/>
            </w:tcBorders>
          </w:tcPr>
          <w:p w:rsidR="0036390B" w:rsidRPr="00592940" w:rsidRDefault="0036390B">
            <w:pPr>
              <w:widowControl/>
              <w:jc w:val="right"/>
              <w:rPr>
                <w:color w:val="000000"/>
                <w:sz w:val="22"/>
                <w:szCs w:val="22"/>
                <w:lang w:val="en-GB"/>
              </w:rPr>
            </w:pPr>
          </w:p>
        </w:tc>
        <w:tc>
          <w:tcPr>
            <w:tcW w:w="1837" w:type="dxa"/>
            <w:gridSpan w:val="2"/>
            <w:tcBorders>
              <w:top w:val="single" w:sz="6" w:space="0" w:color="auto"/>
              <w:bottom w:val="single" w:sz="6" w:space="0" w:color="auto"/>
            </w:tcBorders>
          </w:tcPr>
          <w:p w:rsidR="0036390B" w:rsidRPr="00592940" w:rsidRDefault="0036390B">
            <w:pPr>
              <w:widowControl/>
              <w:ind w:right="-998"/>
              <w:jc w:val="left"/>
              <w:rPr>
                <w:color w:val="000000"/>
                <w:sz w:val="22"/>
                <w:szCs w:val="22"/>
                <w:lang w:val="en-GB"/>
              </w:rPr>
            </w:pPr>
            <w:r w:rsidRPr="00592940">
              <w:rPr>
                <w:color w:val="000000"/>
                <w:sz w:val="22"/>
                <w:szCs w:val="22"/>
                <w:lang w:val="en-GB"/>
              </w:rPr>
              <w:t xml:space="preserve">WMB Export </w:t>
            </w:r>
          </w:p>
          <w:p w:rsidR="0036390B" w:rsidRPr="00592940" w:rsidRDefault="0036390B">
            <w:pPr>
              <w:widowControl/>
              <w:ind w:right="-998"/>
              <w:jc w:val="left"/>
              <w:rPr>
                <w:color w:val="000000"/>
                <w:sz w:val="22"/>
                <w:szCs w:val="22"/>
                <w:lang w:val="en-GB"/>
              </w:rPr>
            </w:pPr>
            <w:r w:rsidRPr="00592940">
              <w:rPr>
                <w:color w:val="000000"/>
                <w:sz w:val="22"/>
                <w:szCs w:val="22"/>
                <w:lang w:val="en-GB"/>
              </w:rPr>
              <w:t>permit and</w:t>
            </w:r>
          </w:p>
          <w:p w:rsidR="0036390B" w:rsidRPr="00592940" w:rsidRDefault="00DB7AC0">
            <w:pPr>
              <w:widowControl/>
              <w:jc w:val="left"/>
              <w:rPr>
                <w:color w:val="000000"/>
                <w:sz w:val="22"/>
                <w:szCs w:val="22"/>
                <w:lang w:val="en-GB"/>
              </w:rPr>
            </w:pPr>
            <w:r>
              <w:rPr>
                <w:color w:val="000000"/>
                <w:sz w:val="22"/>
                <w:szCs w:val="22"/>
                <w:lang w:val="en-GB"/>
              </w:rPr>
              <w:t>DE</w:t>
            </w:r>
            <w:r w:rsidRPr="00592940">
              <w:rPr>
                <w:color w:val="000000"/>
                <w:sz w:val="22"/>
                <w:szCs w:val="22"/>
                <w:lang w:val="en-GB"/>
              </w:rPr>
              <w:t xml:space="preserve"> </w:t>
            </w:r>
            <w:r w:rsidR="0036390B" w:rsidRPr="00592940">
              <w:rPr>
                <w:color w:val="000000"/>
                <w:sz w:val="22"/>
                <w:szCs w:val="22"/>
                <w:lang w:val="en-GB"/>
              </w:rPr>
              <w:t>permit</w:t>
            </w:r>
          </w:p>
        </w:tc>
        <w:tc>
          <w:tcPr>
            <w:tcW w:w="184" w:type="dxa"/>
            <w:tcBorders>
              <w:top w:val="single" w:sz="6" w:space="0" w:color="auto"/>
              <w:bottom w:val="single" w:sz="6" w:space="0" w:color="auto"/>
            </w:tcBorders>
          </w:tcPr>
          <w:p w:rsidR="0036390B" w:rsidRPr="00592940" w:rsidRDefault="0036390B">
            <w:pPr>
              <w:widowControl/>
              <w:jc w:val="left"/>
              <w:rPr>
                <w:color w:val="000000"/>
                <w:sz w:val="22"/>
                <w:szCs w:val="22"/>
                <w:lang w:val="en-GB"/>
              </w:rPr>
            </w:pPr>
          </w:p>
        </w:tc>
        <w:tc>
          <w:tcPr>
            <w:tcW w:w="204" w:type="dxa"/>
            <w:tcBorders>
              <w:top w:val="single" w:sz="6" w:space="0" w:color="auto"/>
              <w:bottom w:val="single" w:sz="6" w:space="0" w:color="auto"/>
            </w:tcBorders>
          </w:tcPr>
          <w:p w:rsidR="0036390B" w:rsidRPr="00592940" w:rsidRDefault="0036390B">
            <w:pPr>
              <w:widowControl/>
              <w:jc w:val="left"/>
              <w:rPr>
                <w:color w:val="000000"/>
                <w:sz w:val="22"/>
                <w:szCs w:val="22"/>
                <w:lang w:val="en-GB"/>
              </w:rPr>
            </w:pPr>
          </w:p>
        </w:tc>
        <w:tc>
          <w:tcPr>
            <w:tcW w:w="93" w:type="dxa"/>
            <w:tcBorders>
              <w:top w:val="single" w:sz="6" w:space="0" w:color="auto"/>
              <w:bottom w:val="single" w:sz="6" w:space="0" w:color="auto"/>
            </w:tcBorders>
          </w:tcPr>
          <w:p w:rsidR="0036390B" w:rsidRPr="00592940" w:rsidRDefault="0036390B">
            <w:pPr>
              <w:widowControl/>
              <w:jc w:val="left"/>
              <w:rPr>
                <w:color w:val="000000"/>
                <w:sz w:val="22"/>
                <w:szCs w:val="22"/>
                <w:lang w:val="en-GB"/>
              </w:rPr>
            </w:pPr>
          </w:p>
        </w:tc>
        <w:tc>
          <w:tcPr>
            <w:tcW w:w="2021" w:type="dxa"/>
            <w:gridSpan w:val="2"/>
            <w:tcBorders>
              <w:top w:val="single" w:sz="6" w:space="0" w:color="auto"/>
              <w:bottom w:val="single" w:sz="6" w:space="0" w:color="auto"/>
            </w:tcBorders>
          </w:tcPr>
          <w:p w:rsidR="0036390B" w:rsidRPr="00592940" w:rsidRDefault="00DB7AC0">
            <w:pPr>
              <w:widowControl/>
              <w:jc w:val="left"/>
              <w:rPr>
                <w:color w:val="000000"/>
                <w:sz w:val="22"/>
                <w:szCs w:val="22"/>
                <w:lang w:val="en-GB"/>
              </w:rPr>
            </w:pPr>
            <w:r>
              <w:rPr>
                <w:color w:val="000000"/>
                <w:sz w:val="22"/>
                <w:szCs w:val="22"/>
                <w:lang w:val="en-GB"/>
              </w:rPr>
              <w:t>DE</w:t>
            </w:r>
            <w:r w:rsidRPr="00592940">
              <w:rPr>
                <w:color w:val="000000"/>
                <w:sz w:val="22"/>
                <w:szCs w:val="22"/>
                <w:lang w:val="en-GB"/>
              </w:rPr>
              <w:t xml:space="preserve"> </w:t>
            </w:r>
            <w:r w:rsidR="0036390B" w:rsidRPr="00592940">
              <w:rPr>
                <w:color w:val="000000"/>
                <w:sz w:val="22"/>
                <w:szCs w:val="22"/>
                <w:lang w:val="en-GB"/>
              </w:rPr>
              <w:t>export permit acquittals</w:t>
            </w:r>
          </w:p>
        </w:tc>
        <w:tc>
          <w:tcPr>
            <w:tcW w:w="1121" w:type="dxa"/>
            <w:tcBorders>
              <w:top w:val="single" w:sz="6" w:space="0" w:color="auto"/>
              <w:bottom w:val="single" w:sz="6" w:space="0" w:color="auto"/>
            </w:tcBorders>
          </w:tcPr>
          <w:p w:rsidR="0036390B" w:rsidRPr="00592940" w:rsidRDefault="0036390B">
            <w:pPr>
              <w:widowControl/>
              <w:jc w:val="left"/>
              <w:rPr>
                <w:color w:val="000000"/>
                <w:sz w:val="22"/>
                <w:szCs w:val="22"/>
                <w:lang w:val="en-GB"/>
              </w:rPr>
            </w:pPr>
          </w:p>
        </w:tc>
        <w:tc>
          <w:tcPr>
            <w:tcW w:w="141" w:type="dxa"/>
            <w:tcBorders>
              <w:top w:val="single" w:sz="6" w:space="0" w:color="auto"/>
              <w:bottom w:val="single" w:sz="6" w:space="0" w:color="auto"/>
            </w:tcBorders>
          </w:tcPr>
          <w:p w:rsidR="0036390B" w:rsidRPr="00592940" w:rsidRDefault="0036390B">
            <w:pPr>
              <w:widowControl/>
              <w:jc w:val="left"/>
              <w:rPr>
                <w:color w:val="000000"/>
                <w:sz w:val="22"/>
                <w:szCs w:val="22"/>
                <w:lang w:val="en-GB"/>
              </w:rPr>
            </w:pPr>
          </w:p>
        </w:tc>
        <w:tc>
          <w:tcPr>
            <w:tcW w:w="1011" w:type="dxa"/>
            <w:tcBorders>
              <w:top w:val="single" w:sz="6" w:space="0" w:color="auto"/>
              <w:bottom w:val="single" w:sz="6" w:space="0" w:color="auto"/>
            </w:tcBorders>
          </w:tcPr>
          <w:p w:rsidR="0036390B" w:rsidRPr="00592940" w:rsidRDefault="0036390B">
            <w:pPr>
              <w:widowControl/>
              <w:jc w:val="left"/>
              <w:rPr>
                <w:color w:val="000000"/>
                <w:sz w:val="22"/>
                <w:szCs w:val="22"/>
                <w:lang w:val="en-GB"/>
              </w:rPr>
            </w:pPr>
          </w:p>
        </w:tc>
        <w:tc>
          <w:tcPr>
            <w:tcW w:w="1010" w:type="dxa"/>
            <w:tcBorders>
              <w:top w:val="single" w:sz="6" w:space="0" w:color="auto"/>
              <w:bottom w:val="single" w:sz="6" w:space="0" w:color="auto"/>
            </w:tcBorders>
          </w:tcPr>
          <w:p w:rsidR="0036390B" w:rsidRDefault="0036390B">
            <w:pPr>
              <w:widowControl/>
              <w:jc w:val="right"/>
              <w:rPr>
                <w:color w:val="000000"/>
                <w:sz w:val="24"/>
                <w:szCs w:val="24"/>
                <w:lang w:val="en-GB"/>
              </w:rPr>
            </w:pPr>
          </w:p>
        </w:tc>
      </w:tr>
    </w:tbl>
    <w:p w:rsidR="0036390B" w:rsidRDefault="0036390B">
      <w:pPr>
        <w:widowControl/>
        <w:rPr>
          <w:i/>
          <w:sz w:val="24"/>
          <w:szCs w:val="24"/>
          <w:lang w:val="en-GB"/>
        </w:rPr>
      </w:pPr>
    </w:p>
    <w:p w:rsidR="001B1BE5" w:rsidRDefault="001B1BE5">
      <w:pPr>
        <w:widowControl/>
        <w:rPr>
          <w:i/>
          <w:sz w:val="24"/>
          <w:szCs w:val="24"/>
          <w:lang w:val="en-GB"/>
        </w:rPr>
      </w:pPr>
    </w:p>
    <w:p w:rsidR="0080367A" w:rsidRDefault="0080367A">
      <w:pPr>
        <w:widowControl/>
        <w:rPr>
          <w:i/>
          <w:sz w:val="24"/>
          <w:szCs w:val="24"/>
          <w:lang w:val="en-GB"/>
        </w:rPr>
      </w:pPr>
    </w:p>
    <w:p w:rsidR="0036390B" w:rsidRDefault="0036390B">
      <w:pPr>
        <w:widowControl/>
        <w:rPr>
          <w:b/>
          <w:sz w:val="24"/>
          <w:szCs w:val="24"/>
          <w:lang w:val="en-GB"/>
        </w:rPr>
      </w:pPr>
      <w:r>
        <w:rPr>
          <w:i/>
          <w:sz w:val="24"/>
          <w:szCs w:val="24"/>
          <w:lang w:val="en-GB"/>
        </w:rPr>
        <w:t>5.2.2.1</w:t>
      </w:r>
      <w:r>
        <w:rPr>
          <w:b/>
          <w:sz w:val="24"/>
          <w:szCs w:val="24"/>
          <w:lang w:val="en-GB"/>
        </w:rPr>
        <w:t>:</w:t>
      </w:r>
      <w:r>
        <w:rPr>
          <w:i/>
          <w:sz w:val="24"/>
          <w:szCs w:val="24"/>
          <w:lang w:val="en-GB"/>
        </w:rPr>
        <w:t xml:space="preserve"> Verification of source of skins</w:t>
      </w:r>
      <w:r>
        <w:rPr>
          <w:b/>
          <w:sz w:val="24"/>
          <w:szCs w:val="24"/>
          <w:lang w:val="en-GB"/>
        </w:rPr>
        <w:t>.</w:t>
      </w:r>
    </w:p>
    <w:p w:rsidR="0036390B" w:rsidRDefault="0036390B">
      <w:pPr>
        <w:pStyle w:val="BodyText3"/>
        <w:widowControl/>
        <w:spacing w:after="120"/>
        <w:rPr>
          <w:szCs w:val="24"/>
          <w:lang w:val="en-GB"/>
        </w:rPr>
      </w:pPr>
      <w:r>
        <w:rPr>
          <w:szCs w:val="24"/>
          <w:lang w:val="en-GB"/>
        </w:rPr>
        <w:t>Licensed skin dealers are required by WMB to report monthly who they sell their skins to and in</w:t>
      </w:r>
      <w:r w:rsidR="00B14D9C">
        <w:rPr>
          <w:szCs w:val="24"/>
          <w:lang w:val="en-GB"/>
        </w:rPr>
        <w:t xml:space="preserve"> what numbers</w:t>
      </w:r>
      <w:r>
        <w:rPr>
          <w:szCs w:val="24"/>
          <w:lang w:val="en-GB"/>
        </w:rPr>
        <w:t>. WMB also requires LGM to provide monthly reports detailing the source and numbers of skins purchased. Licensed skin dealers are also required to have skins or fibre kept for trade to be subject to a royalty payment. The reports can be collated by WMB to verify that all skins sourced by LGM are sourced from licensed premises.  On average 0.0</w:t>
      </w:r>
      <w:r w:rsidR="007B4E13">
        <w:rPr>
          <w:szCs w:val="24"/>
          <w:lang w:val="en-GB"/>
        </w:rPr>
        <w:t>5</w:t>
      </w:r>
      <w:r>
        <w:rPr>
          <w:szCs w:val="24"/>
          <w:lang w:val="en-GB"/>
        </w:rPr>
        <w:t xml:space="preserve">5kg of fibre is </w:t>
      </w:r>
      <w:r w:rsidR="001C5355">
        <w:rPr>
          <w:szCs w:val="24"/>
          <w:lang w:val="en-GB"/>
        </w:rPr>
        <w:t xml:space="preserve">obtained from the </w:t>
      </w:r>
      <w:r>
        <w:rPr>
          <w:szCs w:val="24"/>
          <w:lang w:val="en-GB"/>
        </w:rPr>
        <w:t>skin of one wallaby</w:t>
      </w:r>
      <w:r w:rsidR="007F69E1">
        <w:rPr>
          <w:szCs w:val="24"/>
          <w:lang w:val="en-GB"/>
        </w:rPr>
        <w:t>.</w:t>
      </w:r>
    </w:p>
    <w:p w:rsidR="0036390B" w:rsidRDefault="0036390B">
      <w:pPr>
        <w:pStyle w:val="BodyText3"/>
        <w:widowControl/>
        <w:spacing w:after="120"/>
        <w:rPr>
          <w:szCs w:val="24"/>
          <w:lang w:val="en-GB"/>
        </w:rPr>
      </w:pPr>
      <w:r>
        <w:rPr>
          <w:szCs w:val="24"/>
          <w:lang w:val="en-GB"/>
        </w:rPr>
        <w:t>Skins or fibre</w:t>
      </w:r>
      <w:r w:rsidR="00F86B64">
        <w:rPr>
          <w:szCs w:val="24"/>
          <w:lang w:val="en-GB"/>
        </w:rPr>
        <w:t xml:space="preserve"> </w:t>
      </w:r>
      <w:r>
        <w:rPr>
          <w:szCs w:val="24"/>
          <w:lang w:val="en-GB"/>
        </w:rPr>
        <w:t xml:space="preserve">exported out of </w:t>
      </w:r>
      <w:smartTag w:uri="urn:schemas-microsoft-com:office:smarttags" w:element="place">
        <w:smartTag w:uri="urn:schemas-microsoft-com:office:smarttags" w:element="State">
          <w:r>
            <w:rPr>
              <w:szCs w:val="24"/>
              <w:lang w:val="en-GB"/>
            </w:rPr>
            <w:t>Tasmania</w:t>
          </w:r>
        </w:smartTag>
      </w:smartTag>
      <w:r>
        <w:rPr>
          <w:szCs w:val="24"/>
          <w:lang w:val="en-GB"/>
        </w:rPr>
        <w:t xml:space="preserve"> require the issuing of an export permit from the WMB which verifies that they were obtained from appropriately licensed sources and royalties paid.</w:t>
      </w:r>
    </w:p>
    <w:p w:rsidR="0036390B" w:rsidRDefault="0036390B">
      <w:pPr>
        <w:widowControl/>
        <w:spacing w:after="120"/>
        <w:rPr>
          <w:sz w:val="24"/>
          <w:szCs w:val="24"/>
          <w:lang w:val="en-GB"/>
        </w:rPr>
      </w:pPr>
      <w:r>
        <w:rPr>
          <w:sz w:val="24"/>
          <w:szCs w:val="24"/>
          <w:lang w:val="en-GB"/>
        </w:rPr>
        <w:t>FSB audits licensed premises to ensure all wallabies supplied are sourced only from accredited harvesters.</w:t>
      </w:r>
    </w:p>
    <w:p w:rsidR="0036390B" w:rsidRDefault="0036390B">
      <w:pPr>
        <w:widowControl/>
        <w:rPr>
          <w:b/>
          <w:sz w:val="24"/>
          <w:szCs w:val="24"/>
          <w:lang w:val="en-GB"/>
        </w:rPr>
      </w:pPr>
      <w:r>
        <w:rPr>
          <w:i/>
          <w:sz w:val="24"/>
          <w:szCs w:val="24"/>
          <w:lang w:val="en-GB"/>
        </w:rPr>
        <w:t>5.2.2.2</w:t>
      </w:r>
      <w:r>
        <w:rPr>
          <w:b/>
          <w:sz w:val="24"/>
          <w:szCs w:val="24"/>
          <w:lang w:val="en-GB"/>
        </w:rPr>
        <w:t>:</w:t>
      </w:r>
      <w:r>
        <w:rPr>
          <w:i/>
          <w:sz w:val="24"/>
          <w:szCs w:val="24"/>
          <w:lang w:val="en-GB"/>
        </w:rPr>
        <w:t xml:space="preserve"> Verification of numbers exported</w:t>
      </w:r>
      <w:r>
        <w:rPr>
          <w:b/>
          <w:sz w:val="24"/>
          <w:szCs w:val="24"/>
          <w:lang w:val="en-GB"/>
        </w:rPr>
        <w:t>.</w:t>
      </w:r>
    </w:p>
    <w:p w:rsidR="0036390B" w:rsidRDefault="0036390B">
      <w:pPr>
        <w:widowControl/>
        <w:spacing w:after="120"/>
        <w:rPr>
          <w:sz w:val="24"/>
          <w:szCs w:val="24"/>
          <w:lang w:val="en-GB"/>
        </w:rPr>
      </w:pPr>
      <w:r>
        <w:rPr>
          <w:sz w:val="24"/>
          <w:szCs w:val="24"/>
          <w:lang w:val="en-GB"/>
        </w:rPr>
        <w:t>All exports are accomp</w:t>
      </w:r>
      <w:r w:rsidR="00DB04F6">
        <w:rPr>
          <w:sz w:val="24"/>
          <w:szCs w:val="24"/>
          <w:lang w:val="en-GB"/>
        </w:rPr>
        <w:t>anied by permits issued by DE</w:t>
      </w:r>
      <w:r>
        <w:rPr>
          <w:sz w:val="24"/>
          <w:szCs w:val="24"/>
          <w:lang w:val="en-GB"/>
        </w:rPr>
        <w:t xml:space="preserve"> </w:t>
      </w:r>
      <w:r w:rsidR="00623F1E">
        <w:rPr>
          <w:sz w:val="24"/>
          <w:szCs w:val="24"/>
          <w:lang w:val="en-GB"/>
        </w:rPr>
        <w:t xml:space="preserve">and DPIPWE </w:t>
      </w:r>
      <w:r>
        <w:rPr>
          <w:sz w:val="24"/>
          <w:szCs w:val="24"/>
          <w:lang w:val="en-GB"/>
        </w:rPr>
        <w:t>detailing the number of skins in each consignment. Total number of skins exported can be cross checked against numbers reported to WMB as purchased by LGM and retained for trading.</w:t>
      </w:r>
    </w:p>
    <w:p w:rsidR="0036390B" w:rsidRDefault="0036390B">
      <w:pPr>
        <w:widowControl/>
        <w:spacing w:after="120"/>
        <w:rPr>
          <w:sz w:val="24"/>
          <w:szCs w:val="24"/>
          <w:lang w:val="en-GB"/>
        </w:rPr>
      </w:pPr>
      <w:r>
        <w:rPr>
          <w:sz w:val="24"/>
          <w:szCs w:val="24"/>
          <w:lang w:val="en-GB"/>
        </w:rPr>
        <w:t xml:space="preserve">Permits must also be obtained to export fibre.  In this case it shall be assumed each </w:t>
      </w:r>
      <w:r w:rsidRPr="008D694B">
        <w:rPr>
          <w:sz w:val="24"/>
          <w:szCs w:val="24"/>
          <w:lang w:val="en-GB"/>
        </w:rPr>
        <w:t>skin yields 0.0</w:t>
      </w:r>
      <w:r w:rsidR="007B4E13">
        <w:rPr>
          <w:sz w:val="24"/>
          <w:szCs w:val="24"/>
          <w:lang w:val="en-GB"/>
        </w:rPr>
        <w:t>5</w:t>
      </w:r>
      <w:r w:rsidRPr="008D694B">
        <w:rPr>
          <w:sz w:val="24"/>
          <w:szCs w:val="24"/>
          <w:lang w:val="en-GB"/>
        </w:rPr>
        <w:t>5kg of fibre in order to calculate the number of skins the fibre was derived fro</w:t>
      </w:r>
      <w:r>
        <w:rPr>
          <w:sz w:val="24"/>
          <w:szCs w:val="24"/>
          <w:lang w:val="en-GB"/>
        </w:rPr>
        <w:t>m.</w:t>
      </w:r>
    </w:p>
    <w:p w:rsidR="0036390B" w:rsidRDefault="0036390B">
      <w:pPr>
        <w:widowControl/>
        <w:numPr>
          <w:ilvl w:val="0"/>
          <w:numId w:val="5"/>
        </w:numPr>
        <w:spacing w:before="240" w:after="240"/>
        <w:ind w:left="0" w:firstLine="0"/>
        <w:rPr>
          <w:b/>
          <w:sz w:val="28"/>
          <w:szCs w:val="28"/>
          <w:lang w:val="en-GB"/>
        </w:rPr>
      </w:pPr>
      <w:r>
        <w:rPr>
          <w:b/>
          <w:sz w:val="28"/>
          <w:szCs w:val="28"/>
          <w:lang w:val="en-GB"/>
        </w:rPr>
        <w:t>Management Strategies</w:t>
      </w:r>
    </w:p>
    <w:p w:rsidR="0036390B" w:rsidRPr="00137E54" w:rsidRDefault="0036390B">
      <w:pPr>
        <w:pStyle w:val="Text"/>
        <w:widowControl/>
        <w:spacing w:before="0"/>
        <w:rPr>
          <w:rFonts w:ascii="Times New Roman" w:hAnsi="Times New Roman"/>
          <w:i/>
          <w:szCs w:val="24"/>
          <w:lang w:val="en-GB"/>
        </w:rPr>
      </w:pPr>
      <w:r>
        <w:rPr>
          <w:rFonts w:ascii="Times New Roman" w:hAnsi="Times New Roman"/>
          <w:szCs w:val="24"/>
          <w:lang w:val="en-GB"/>
        </w:rPr>
        <w:t>Mechanisms for trigger points to regulate skin exports will be in place to ensure this is a sustainable trade.</w:t>
      </w:r>
      <w:r w:rsidRPr="00137E54">
        <w:rPr>
          <w:rFonts w:ascii="Times New Roman" w:hAnsi="Times New Roman"/>
          <w:szCs w:val="24"/>
          <w:lang w:val="en-GB"/>
        </w:rPr>
        <w:t xml:space="preserve"> </w:t>
      </w:r>
      <w:r>
        <w:rPr>
          <w:rFonts w:ascii="Times New Roman" w:hAnsi="Times New Roman"/>
          <w:szCs w:val="24"/>
          <w:lang w:val="en-GB"/>
        </w:rPr>
        <w:t>It needs to be noted that these trigger points are highly conservative in terms of any effect on the population they reflect. In addition they initiate a complete stop to regional skin collection for export, not simply a slowing of the level of collection. They ensure that any export activity will not of itself impose a threat to wallaby populations.</w:t>
      </w:r>
    </w:p>
    <w:p w:rsidR="0036390B" w:rsidRDefault="0036390B">
      <w:pPr>
        <w:pStyle w:val="Heading2"/>
        <w:widowControl/>
        <w:spacing w:after="0"/>
        <w:rPr>
          <w:rFonts w:ascii="Times New Roman" w:hAnsi="Times New Roman"/>
          <w:sz w:val="24"/>
          <w:szCs w:val="24"/>
          <w:lang w:val="en-GB"/>
        </w:rPr>
      </w:pPr>
      <w:proofErr w:type="gramStart"/>
      <w:r>
        <w:rPr>
          <w:rFonts w:ascii="Times New Roman" w:hAnsi="Times New Roman"/>
          <w:sz w:val="24"/>
          <w:szCs w:val="24"/>
          <w:lang w:val="en-GB"/>
        </w:rPr>
        <w:t>6.1 Trigger Points.</w:t>
      </w:r>
      <w:proofErr w:type="gramEnd"/>
    </w:p>
    <w:p w:rsidR="0036390B" w:rsidRDefault="0036390B">
      <w:pPr>
        <w:pStyle w:val="Text"/>
        <w:widowControl/>
        <w:spacing w:before="0" w:after="0"/>
        <w:rPr>
          <w:rFonts w:ascii="Times New Roman" w:hAnsi="Times New Roman"/>
          <w:b/>
          <w:szCs w:val="24"/>
          <w:lang w:val="en-GB"/>
        </w:rPr>
      </w:pPr>
      <w:r>
        <w:rPr>
          <w:rFonts w:ascii="Times New Roman" w:hAnsi="Times New Roman"/>
          <w:b/>
          <w:szCs w:val="24"/>
          <w:lang w:val="en-GB"/>
        </w:rPr>
        <w:t>6.1.1 Trigger Point One (TP1).</w:t>
      </w:r>
    </w:p>
    <w:p w:rsidR="0036390B" w:rsidRDefault="0036390B">
      <w:pPr>
        <w:pStyle w:val="Text"/>
        <w:widowControl/>
        <w:spacing w:before="0"/>
        <w:rPr>
          <w:rFonts w:ascii="Times New Roman" w:hAnsi="Times New Roman"/>
          <w:szCs w:val="24"/>
          <w:lang w:val="en-GB"/>
        </w:rPr>
      </w:pPr>
      <w:r>
        <w:rPr>
          <w:rFonts w:ascii="Times New Roman" w:hAnsi="Times New Roman"/>
          <w:szCs w:val="24"/>
          <w:lang w:val="en-GB"/>
        </w:rPr>
        <w:t xml:space="preserve">Wallaby populations in </w:t>
      </w:r>
      <w:smartTag w:uri="urn:schemas-microsoft-com:office:smarttags" w:element="place">
        <w:smartTag w:uri="urn:schemas-microsoft-com:office:smarttags" w:element="State">
          <w:r>
            <w:rPr>
              <w:rFonts w:ascii="Times New Roman" w:hAnsi="Times New Roman"/>
              <w:szCs w:val="24"/>
              <w:lang w:val="en-GB"/>
            </w:rPr>
            <w:t>Tasmania</w:t>
          </w:r>
        </w:smartTag>
      </w:smartTag>
      <w:r>
        <w:rPr>
          <w:rFonts w:ascii="Times New Roman" w:hAnsi="Times New Roman"/>
          <w:szCs w:val="24"/>
          <w:lang w:val="en-GB"/>
        </w:rPr>
        <w:t xml:space="preserve"> have been monitored since 1985 (see Section 5). During the latter part of this period, the population has been relatively stable. In recent years a density index with a standard error has been derived for each of the four regions in which wallaby are commercially harvested. Note that wallaby are also monitored in the South West but no commercial harvesting takes place in this region.</w:t>
      </w:r>
    </w:p>
    <w:p w:rsidR="008B210A" w:rsidRDefault="008B210A">
      <w:pPr>
        <w:pStyle w:val="Text"/>
        <w:widowControl/>
        <w:spacing w:before="0"/>
        <w:rPr>
          <w:rFonts w:ascii="Times New Roman" w:hAnsi="Times New Roman"/>
          <w:szCs w:val="24"/>
          <w:lang w:val="en-GB"/>
        </w:rPr>
      </w:pPr>
    </w:p>
    <w:p w:rsidR="008B210A" w:rsidRDefault="008B210A">
      <w:pPr>
        <w:pStyle w:val="Text"/>
        <w:widowControl/>
        <w:spacing w:before="0"/>
        <w:rPr>
          <w:rFonts w:ascii="Times New Roman" w:hAnsi="Times New Roman"/>
          <w:szCs w:val="24"/>
          <w:lang w:val="en-GB"/>
        </w:rPr>
      </w:pPr>
    </w:p>
    <w:p w:rsidR="008B210A" w:rsidRDefault="008B210A">
      <w:pPr>
        <w:pStyle w:val="Text"/>
        <w:widowControl/>
        <w:spacing w:before="0"/>
        <w:rPr>
          <w:rFonts w:ascii="Times New Roman" w:hAnsi="Times New Roman"/>
          <w:szCs w:val="24"/>
          <w:lang w:val="en-GB"/>
        </w:rPr>
      </w:pPr>
    </w:p>
    <w:p w:rsidR="008B210A" w:rsidRDefault="008B210A">
      <w:pPr>
        <w:pStyle w:val="Text"/>
        <w:widowControl/>
        <w:spacing w:before="0"/>
        <w:rPr>
          <w:rFonts w:ascii="Times New Roman" w:hAnsi="Times New Roman"/>
          <w:szCs w:val="24"/>
          <w:lang w:val="en-GB"/>
        </w:rPr>
      </w:pPr>
    </w:p>
    <w:p w:rsidR="00982569" w:rsidRDefault="00982569">
      <w:pPr>
        <w:pStyle w:val="Text"/>
        <w:widowControl/>
        <w:spacing w:before="0"/>
        <w:rPr>
          <w:rFonts w:ascii="Times New Roman" w:hAnsi="Times New Roman"/>
          <w:szCs w:val="24"/>
          <w:lang w:val="en-GB"/>
        </w:rPr>
      </w:pPr>
    </w:p>
    <w:p w:rsidR="00982569" w:rsidRDefault="00982569">
      <w:pPr>
        <w:pStyle w:val="Text"/>
        <w:widowControl/>
        <w:spacing w:before="0"/>
        <w:rPr>
          <w:rFonts w:ascii="Times New Roman" w:hAnsi="Times New Roman"/>
          <w:szCs w:val="24"/>
          <w:lang w:val="en-GB"/>
        </w:rPr>
      </w:pPr>
    </w:p>
    <w:p w:rsidR="008B210A" w:rsidRDefault="008B210A">
      <w:pPr>
        <w:pStyle w:val="Text"/>
        <w:widowControl/>
        <w:spacing w:before="0"/>
        <w:rPr>
          <w:rFonts w:ascii="Times New Roman" w:hAnsi="Times New Roman"/>
          <w:szCs w:val="24"/>
          <w:lang w:val="en-GB"/>
        </w:rPr>
      </w:pPr>
    </w:p>
    <w:p w:rsidR="008B210A" w:rsidRDefault="008B210A">
      <w:pPr>
        <w:pStyle w:val="Text"/>
        <w:widowControl/>
        <w:spacing w:before="0"/>
        <w:rPr>
          <w:rFonts w:ascii="Times New Roman" w:hAnsi="Times New Roman"/>
          <w:szCs w:val="24"/>
          <w:lang w:val="en-GB"/>
        </w:rPr>
      </w:pPr>
    </w:p>
    <w:p w:rsidR="00B14D9C" w:rsidRDefault="00B14D9C">
      <w:pPr>
        <w:pStyle w:val="Text"/>
        <w:widowControl/>
        <w:spacing w:before="0"/>
        <w:rPr>
          <w:rFonts w:ascii="Times New Roman" w:hAnsi="Times New Roman"/>
          <w:szCs w:val="24"/>
          <w:lang w:val="en-GB"/>
        </w:rPr>
      </w:pPr>
    </w:p>
    <w:p w:rsidR="001C5355" w:rsidRDefault="001C5355" w:rsidP="008B210A">
      <w:pPr>
        <w:pStyle w:val="Text"/>
        <w:widowControl/>
        <w:spacing w:before="0" w:after="0"/>
        <w:rPr>
          <w:rFonts w:ascii="Times New Roman" w:hAnsi="Times New Roman"/>
          <w:b/>
          <w:sz w:val="20"/>
          <w:lang w:val="en-GB"/>
        </w:rPr>
      </w:pPr>
    </w:p>
    <w:p w:rsidR="008B210A" w:rsidRPr="008B210A" w:rsidRDefault="008B210A" w:rsidP="008B210A">
      <w:pPr>
        <w:pStyle w:val="Text"/>
        <w:widowControl/>
        <w:spacing w:before="0" w:after="0"/>
        <w:rPr>
          <w:rFonts w:ascii="Times New Roman" w:hAnsi="Times New Roman"/>
          <w:b/>
          <w:sz w:val="20"/>
          <w:lang w:val="en-GB"/>
        </w:rPr>
      </w:pPr>
      <w:r>
        <w:rPr>
          <w:rFonts w:ascii="Times New Roman" w:hAnsi="Times New Roman"/>
          <w:b/>
          <w:sz w:val="20"/>
          <w:lang w:val="en-GB"/>
        </w:rPr>
        <w:t>Table 2: Density Index Figures for Bennett’s Wallab</w:t>
      </w:r>
      <w:r w:rsidR="00DB7AC0">
        <w:rPr>
          <w:rFonts w:ascii="Times New Roman" w:hAnsi="Times New Roman"/>
          <w:b/>
          <w:sz w:val="20"/>
          <w:lang w:val="en-GB"/>
        </w:rPr>
        <w:t>y</w:t>
      </w:r>
    </w:p>
    <w:p w:rsidR="0036390B" w:rsidRDefault="0036390B">
      <w:pPr>
        <w:pStyle w:val="Text"/>
        <w:widowControl/>
        <w:spacing w:before="0"/>
        <w:rPr>
          <w:rFonts w:ascii="Times New Roman" w:hAnsi="Times New Roman"/>
          <w:szCs w:val="24"/>
          <w:lang w:val="en-GB"/>
        </w:rPr>
      </w:pPr>
    </w:p>
    <w:tbl>
      <w:tblPr>
        <w:tblW w:w="8954" w:type="dxa"/>
        <w:tblInd w:w="534" w:type="dxa"/>
        <w:tblLook w:val="04A0"/>
      </w:tblPr>
      <w:tblGrid>
        <w:gridCol w:w="1109"/>
        <w:gridCol w:w="547"/>
        <w:gridCol w:w="547"/>
        <w:gridCol w:w="547"/>
        <w:gridCol w:w="547"/>
        <w:gridCol w:w="547"/>
        <w:gridCol w:w="644"/>
        <w:gridCol w:w="547"/>
        <w:gridCol w:w="547"/>
        <w:gridCol w:w="644"/>
        <w:gridCol w:w="644"/>
        <w:gridCol w:w="644"/>
        <w:gridCol w:w="547"/>
        <w:gridCol w:w="644"/>
        <w:gridCol w:w="837"/>
      </w:tblGrid>
      <w:tr w:rsidR="00BF4F6E" w:rsidRPr="000B1E97" w:rsidTr="008D694B">
        <w:trPr>
          <w:cantSplit/>
          <w:trHeight w:val="300"/>
        </w:trPr>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Region</w:t>
            </w:r>
          </w:p>
        </w:tc>
        <w:tc>
          <w:tcPr>
            <w:tcW w:w="680"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2002</w:t>
            </w:r>
          </w:p>
        </w:tc>
        <w:tc>
          <w:tcPr>
            <w:tcW w:w="680"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2003</w:t>
            </w:r>
          </w:p>
        </w:tc>
        <w:tc>
          <w:tcPr>
            <w:tcW w:w="680"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2004</w:t>
            </w:r>
          </w:p>
        </w:tc>
        <w:tc>
          <w:tcPr>
            <w:tcW w:w="680"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2005</w:t>
            </w:r>
          </w:p>
        </w:tc>
        <w:tc>
          <w:tcPr>
            <w:tcW w:w="680"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2006</w:t>
            </w:r>
          </w:p>
        </w:tc>
        <w:tc>
          <w:tcPr>
            <w:tcW w:w="680"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2007</w:t>
            </w:r>
          </w:p>
        </w:tc>
        <w:tc>
          <w:tcPr>
            <w:tcW w:w="680"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2008</w:t>
            </w:r>
          </w:p>
        </w:tc>
        <w:tc>
          <w:tcPr>
            <w:tcW w:w="680"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2009</w:t>
            </w:r>
          </w:p>
        </w:tc>
        <w:tc>
          <w:tcPr>
            <w:tcW w:w="680"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2010</w:t>
            </w:r>
          </w:p>
        </w:tc>
        <w:tc>
          <w:tcPr>
            <w:tcW w:w="680"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2011</w:t>
            </w:r>
          </w:p>
        </w:tc>
        <w:tc>
          <w:tcPr>
            <w:tcW w:w="680"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2012</w:t>
            </w:r>
          </w:p>
        </w:tc>
        <w:tc>
          <w:tcPr>
            <w:tcW w:w="680"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2013</w:t>
            </w:r>
          </w:p>
        </w:tc>
        <w:tc>
          <w:tcPr>
            <w:tcW w:w="680"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2014</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Trigger point</w:t>
            </w:r>
          </w:p>
        </w:tc>
      </w:tr>
      <w:tr w:rsidR="00BF4F6E" w:rsidRPr="000B1E97" w:rsidTr="008D694B">
        <w:trPr>
          <w:trHeight w:val="315"/>
        </w:trPr>
        <w:tc>
          <w:tcPr>
            <w:tcW w:w="1134"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BE7775" w:rsidRPr="000B1E97" w:rsidRDefault="00BE7775" w:rsidP="003715D7">
            <w:pPr>
              <w:rPr>
                <w:rFonts w:ascii="Gill Sans MT" w:hAnsi="Gill Sans MT"/>
                <w:b/>
                <w:bCs/>
                <w:color w:val="000000"/>
                <w:sz w:val="18"/>
                <w:szCs w:val="18"/>
                <w:lang w:eastAsia="en-AU"/>
              </w:rPr>
            </w:pPr>
          </w:p>
        </w:tc>
      </w:tr>
      <w:tr w:rsidR="00BF4F6E" w:rsidRPr="000B1E97" w:rsidTr="008D694B">
        <w:trPr>
          <w:cantSplit/>
          <w:trHeight w:val="315"/>
        </w:trPr>
        <w:tc>
          <w:tcPr>
            <w:tcW w:w="1134" w:type="dxa"/>
            <w:tcBorders>
              <w:top w:val="nil"/>
              <w:left w:val="single" w:sz="8" w:space="0" w:color="auto"/>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Northwest</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14.9</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15.6</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7.1</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23.2</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16.3</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13.8</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8.6</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13.1</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10.1</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29.7</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28.6</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15.5</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25.3</w:t>
            </w:r>
          </w:p>
        </w:tc>
        <w:tc>
          <w:tcPr>
            <w:tcW w:w="851"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eastAsia="en-AU"/>
              </w:rPr>
              <w:t>7.1</w:t>
            </w:r>
          </w:p>
        </w:tc>
      </w:tr>
      <w:tr w:rsidR="00BF4F6E" w:rsidRPr="000B1E97" w:rsidTr="008D694B">
        <w:trPr>
          <w:cantSplit/>
          <w:trHeight w:val="315"/>
        </w:trPr>
        <w:tc>
          <w:tcPr>
            <w:tcW w:w="1134" w:type="dxa"/>
            <w:tcBorders>
              <w:top w:val="nil"/>
              <w:left w:val="single" w:sz="8" w:space="0" w:color="auto"/>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Northeast</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28.6</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23.9</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25.4</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48.8</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26.8</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35.1</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31.6</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26.4</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18.8</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25.1</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37</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38.8</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39.8</w:t>
            </w:r>
          </w:p>
        </w:tc>
        <w:tc>
          <w:tcPr>
            <w:tcW w:w="851"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eastAsia="en-AU"/>
              </w:rPr>
              <w:t>18.8</w:t>
            </w:r>
          </w:p>
        </w:tc>
      </w:tr>
      <w:tr w:rsidR="00BF4F6E" w:rsidRPr="000B1E97" w:rsidTr="008D694B">
        <w:trPr>
          <w:cantSplit/>
          <w:trHeight w:val="315"/>
        </w:trPr>
        <w:tc>
          <w:tcPr>
            <w:tcW w:w="1134" w:type="dxa"/>
            <w:tcBorders>
              <w:top w:val="nil"/>
              <w:left w:val="single" w:sz="8" w:space="0" w:color="auto"/>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Central</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35.7</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33.3</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48.4</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81.1</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58.7</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35.3</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41.9</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51.9</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30.2</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34.9</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43.6</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33.5</w:t>
            </w:r>
          </w:p>
        </w:tc>
        <w:tc>
          <w:tcPr>
            <w:tcW w:w="680"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78.2</w:t>
            </w:r>
          </w:p>
        </w:tc>
        <w:tc>
          <w:tcPr>
            <w:tcW w:w="851" w:type="dxa"/>
            <w:tcBorders>
              <w:top w:val="nil"/>
              <w:left w:val="nil"/>
              <w:bottom w:val="single" w:sz="8"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eastAsia="en-AU"/>
              </w:rPr>
              <w:t>30.2</w:t>
            </w:r>
          </w:p>
        </w:tc>
      </w:tr>
      <w:tr w:rsidR="00BF4F6E" w:rsidRPr="000B1E97" w:rsidTr="008D694B">
        <w:trPr>
          <w:cantSplit/>
          <w:trHeight w:val="315"/>
        </w:trPr>
        <w:tc>
          <w:tcPr>
            <w:tcW w:w="1134"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b/>
                <w:bCs/>
                <w:color w:val="000000"/>
                <w:sz w:val="18"/>
                <w:szCs w:val="18"/>
                <w:lang w:eastAsia="en-AU"/>
              </w:rPr>
            </w:pPr>
            <w:r w:rsidRPr="000B1E97">
              <w:rPr>
                <w:rFonts w:ascii="Gill Sans MT" w:hAnsi="Gill Sans MT"/>
                <w:b/>
                <w:bCs/>
                <w:color w:val="000000"/>
                <w:sz w:val="18"/>
                <w:szCs w:val="18"/>
                <w:lang w:val="en-GB" w:eastAsia="en-AU"/>
              </w:rPr>
              <w:t>Southeast</w:t>
            </w:r>
          </w:p>
        </w:tc>
        <w:tc>
          <w:tcPr>
            <w:tcW w:w="680"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20.4</w:t>
            </w:r>
          </w:p>
        </w:tc>
        <w:tc>
          <w:tcPr>
            <w:tcW w:w="680"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15.5</w:t>
            </w:r>
          </w:p>
        </w:tc>
        <w:tc>
          <w:tcPr>
            <w:tcW w:w="680"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37.7</w:t>
            </w:r>
          </w:p>
        </w:tc>
        <w:tc>
          <w:tcPr>
            <w:tcW w:w="680"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53.8</w:t>
            </w:r>
          </w:p>
        </w:tc>
        <w:tc>
          <w:tcPr>
            <w:tcW w:w="680"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33.8</w:t>
            </w:r>
          </w:p>
        </w:tc>
        <w:tc>
          <w:tcPr>
            <w:tcW w:w="680"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39.7</w:t>
            </w:r>
          </w:p>
        </w:tc>
        <w:tc>
          <w:tcPr>
            <w:tcW w:w="680"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26.2</w:t>
            </w:r>
          </w:p>
        </w:tc>
        <w:tc>
          <w:tcPr>
            <w:tcW w:w="680"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6.9</w:t>
            </w:r>
          </w:p>
        </w:tc>
        <w:tc>
          <w:tcPr>
            <w:tcW w:w="680"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9</w:t>
            </w:r>
          </w:p>
        </w:tc>
        <w:tc>
          <w:tcPr>
            <w:tcW w:w="680"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30.8</w:t>
            </w:r>
          </w:p>
        </w:tc>
        <w:tc>
          <w:tcPr>
            <w:tcW w:w="680"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33.8</w:t>
            </w:r>
          </w:p>
        </w:tc>
        <w:tc>
          <w:tcPr>
            <w:tcW w:w="680"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28</w:t>
            </w:r>
          </w:p>
        </w:tc>
        <w:tc>
          <w:tcPr>
            <w:tcW w:w="680"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BE7775" w:rsidP="003715D7">
            <w:pPr>
              <w:jc w:val="center"/>
              <w:rPr>
                <w:rFonts w:ascii="Gill Sans MT" w:hAnsi="Gill Sans MT"/>
                <w:color w:val="000000"/>
                <w:sz w:val="18"/>
                <w:szCs w:val="18"/>
                <w:lang w:eastAsia="en-AU"/>
              </w:rPr>
            </w:pPr>
            <w:r w:rsidRPr="000B1E97">
              <w:rPr>
                <w:rFonts w:ascii="Gill Sans MT" w:hAnsi="Gill Sans MT"/>
                <w:color w:val="000000"/>
                <w:sz w:val="18"/>
                <w:szCs w:val="18"/>
                <w:lang w:val="en-GB" w:eastAsia="en-AU"/>
              </w:rPr>
              <w:t>41</w:t>
            </w:r>
          </w:p>
        </w:tc>
        <w:tc>
          <w:tcPr>
            <w:tcW w:w="851" w:type="dxa"/>
            <w:tcBorders>
              <w:top w:val="single" w:sz="8" w:space="0" w:color="auto"/>
              <w:left w:val="nil"/>
              <w:bottom w:val="single" w:sz="4" w:space="0" w:color="auto"/>
              <w:right w:val="single" w:sz="8" w:space="0" w:color="auto"/>
            </w:tcBorders>
            <w:shd w:val="clear" w:color="auto" w:fill="auto"/>
            <w:vAlign w:val="center"/>
            <w:hideMark/>
          </w:tcPr>
          <w:p w:rsidR="00BE7775" w:rsidRPr="000B1E97" w:rsidRDefault="00504AD3" w:rsidP="003715D7">
            <w:pPr>
              <w:jc w:val="center"/>
              <w:rPr>
                <w:rFonts w:ascii="Gill Sans MT" w:hAnsi="Gill Sans MT"/>
                <w:color w:val="000000"/>
                <w:sz w:val="18"/>
                <w:szCs w:val="18"/>
                <w:lang w:eastAsia="en-AU"/>
              </w:rPr>
            </w:pPr>
            <w:r>
              <w:rPr>
                <w:rFonts w:ascii="Gill Sans MT" w:hAnsi="Gill Sans MT"/>
                <w:color w:val="000000"/>
                <w:sz w:val="18"/>
                <w:szCs w:val="18"/>
                <w:lang w:eastAsia="en-AU"/>
              </w:rPr>
              <w:t>6.</w:t>
            </w:r>
            <w:r w:rsidR="00BE7775" w:rsidRPr="000B1E97">
              <w:rPr>
                <w:rFonts w:ascii="Gill Sans MT" w:hAnsi="Gill Sans MT"/>
                <w:color w:val="000000"/>
                <w:sz w:val="18"/>
                <w:szCs w:val="18"/>
                <w:lang w:eastAsia="en-AU"/>
              </w:rPr>
              <w:t>9</w:t>
            </w:r>
          </w:p>
        </w:tc>
      </w:tr>
      <w:tr w:rsidR="007B4E13" w:rsidRPr="000B1E97" w:rsidTr="008D694B">
        <w:trPr>
          <w:cantSplit/>
          <w:trHeight w:val="315"/>
        </w:trPr>
        <w:tc>
          <w:tcPr>
            <w:tcW w:w="1134" w:type="dxa"/>
            <w:tcBorders>
              <w:top w:val="single" w:sz="4" w:space="0" w:color="auto"/>
              <w:left w:val="single" w:sz="8" w:space="0" w:color="auto"/>
              <w:bottom w:val="single" w:sz="4" w:space="0" w:color="auto"/>
              <w:right w:val="single" w:sz="8" w:space="0" w:color="auto"/>
            </w:tcBorders>
            <w:shd w:val="clear" w:color="auto" w:fill="auto"/>
            <w:vAlign w:val="center"/>
          </w:tcPr>
          <w:p w:rsidR="007B4E13" w:rsidRPr="000B1E97" w:rsidRDefault="007B4E13" w:rsidP="008D694B">
            <w:pPr>
              <w:rPr>
                <w:rFonts w:ascii="Gill Sans MT" w:hAnsi="Gill Sans MT"/>
                <w:b/>
                <w:bCs/>
                <w:color w:val="000000"/>
                <w:sz w:val="18"/>
                <w:szCs w:val="18"/>
                <w:lang w:val="en-GB" w:eastAsia="en-AU"/>
              </w:rPr>
            </w:pPr>
            <w:r>
              <w:rPr>
                <w:rFonts w:ascii="Gill Sans MT" w:hAnsi="Gill Sans MT"/>
                <w:b/>
                <w:bCs/>
                <w:color w:val="000000"/>
                <w:sz w:val="18"/>
                <w:szCs w:val="18"/>
                <w:lang w:val="en-GB" w:eastAsia="en-AU"/>
              </w:rPr>
              <w:t>Flinders Island</w:t>
            </w:r>
          </w:p>
        </w:tc>
        <w:tc>
          <w:tcPr>
            <w:tcW w:w="680" w:type="dxa"/>
            <w:tcBorders>
              <w:top w:val="single" w:sz="4" w:space="0" w:color="auto"/>
              <w:left w:val="nil"/>
              <w:bottom w:val="single" w:sz="4" w:space="0" w:color="auto"/>
              <w:right w:val="single" w:sz="8" w:space="0" w:color="auto"/>
            </w:tcBorders>
            <w:shd w:val="clear" w:color="auto" w:fill="auto"/>
            <w:vAlign w:val="center"/>
          </w:tcPr>
          <w:p w:rsidR="007B4E13" w:rsidRPr="000B1E97" w:rsidRDefault="007B4E13" w:rsidP="003715D7">
            <w:pPr>
              <w:jc w:val="center"/>
              <w:rPr>
                <w:rFonts w:ascii="Gill Sans MT" w:hAnsi="Gill Sans MT"/>
                <w:color w:val="000000"/>
                <w:sz w:val="18"/>
                <w:szCs w:val="18"/>
                <w:lang w:val="en-GB" w:eastAsia="en-AU"/>
              </w:rPr>
            </w:pPr>
          </w:p>
        </w:tc>
        <w:tc>
          <w:tcPr>
            <w:tcW w:w="680" w:type="dxa"/>
            <w:tcBorders>
              <w:top w:val="single" w:sz="4" w:space="0" w:color="auto"/>
              <w:left w:val="nil"/>
              <w:bottom w:val="single" w:sz="4" w:space="0" w:color="auto"/>
              <w:right w:val="single" w:sz="8" w:space="0" w:color="auto"/>
            </w:tcBorders>
            <w:shd w:val="clear" w:color="auto" w:fill="auto"/>
            <w:vAlign w:val="center"/>
          </w:tcPr>
          <w:p w:rsidR="007B4E13" w:rsidRPr="000B1E97" w:rsidRDefault="007B4E13" w:rsidP="003715D7">
            <w:pPr>
              <w:jc w:val="center"/>
              <w:rPr>
                <w:rFonts w:ascii="Gill Sans MT" w:hAnsi="Gill Sans MT"/>
                <w:color w:val="000000"/>
                <w:sz w:val="18"/>
                <w:szCs w:val="18"/>
                <w:lang w:val="en-GB" w:eastAsia="en-AU"/>
              </w:rPr>
            </w:pPr>
          </w:p>
        </w:tc>
        <w:tc>
          <w:tcPr>
            <w:tcW w:w="680" w:type="dxa"/>
            <w:tcBorders>
              <w:top w:val="single" w:sz="4" w:space="0" w:color="auto"/>
              <w:left w:val="nil"/>
              <w:bottom w:val="single" w:sz="4" w:space="0" w:color="auto"/>
              <w:right w:val="single" w:sz="8" w:space="0" w:color="auto"/>
            </w:tcBorders>
            <w:shd w:val="clear" w:color="auto" w:fill="auto"/>
            <w:vAlign w:val="center"/>
          </w:tcPr>
          <w:p w:rsidR="007B4E13" w:rsidRPr="000B1E97" w:rsidRDefault="007B4E13" w:rsidP="003715D7">
            <w:pPr>
              <w:jc w:val="center"/>
              <w:rPr>
                <w:rFonts w:ascii="Gill Sans MT" w:hAnsi="Gill Sans MT"/>
                <w:color w:val="000000"/>
                <w:sz w:val="18"/>
                <w:szCs w:val="18"/>
                <w:lang w:val="en-GB" w:eastAsia="en-AU"/>
              </w:rPr>
            </w:pPr>
          </w:p>
        </w:tc>
        <w:tc>
          <w:tcPr>
            <w:tcW w:w="680" w:type="dxa"/>
            <w:tcBorders>
              <w:top w:val="single" w:sz="4" w:space="0" w:color="auto"/>
              <w:left w:val="nil"/>
              <w:bottom w:val="single" w:sz="4" w:space="0" w:color="auto"/>
              <w:right w:val="single" w:sz="8" w:space="0" w:color="auto"/>
            </w:tcBorders>
            <w:shd w:val="clear" w:color="auto" w:fill="auto"/>
            <w:vAlign w:val="center"/>
          </w:tcPr>
          <w:p w:rsidR="007B4E13" w:rsidRPr="000B1E97" w:rsidRDefault="007B4E13" w:rsidP="003715D7">
            <w:pPr>
              <w:jc w:val="center"/>
              <w:rPr>
                <w:rFonts w:ascii="Gill Sans MT" w:hAnsi="Gill Sans MT"/>
                <w:color w:val="000000"/>
                <w:sz w:val="18"/>
                <w:szCs w:val="18"/>
                <w:lang w:val="en-GB" w:eastAsia="en-AU"/>
              </w:rPr>
            </w:pPr>
          </w:p>
        </w:tc>
        <w:tc>
          <w:tcPr>
            <w:tcW w:w="680" w:type="dxa"/>
            <w:tcBorders>
              <w:top w:val="single" w:sz="4" w:space="0" w:color="auto"/>
              <w:left w:val="nil"/>
              <w:bottom w:val="single" w:sz="4" w:space="0" w:color="auto"/>
              <w:right w:val="single" w:sz="8" w:space="0" w:color="auto"/>
            </w:tcBorders>
            <w:shd w:val="clear" w:color="auto" w:fill="auto"/>
            <w:vAlign w:val="center"/>
          </w:tcPr>
          <w:p w:rsidR="007B4E13" w:rsidRPr="000B1E97" w:rsidRDefault="007B4E13" w:rsidP="003715D7">
            <w:pPr>
              <w:jc w:val="center"/>
              <w:rPr>
                <w:rFonts w:ascii="Gill Sans MT" w:hAnsi="Gill Sans MT"/>
                <w:color w:val="000000"/>
                <w:sz w:val="18"/>
                <w:szCs w:val="18"/>
                <w:lang w:val="en-GB" w:eastAsia="en-AU"/>
              </w:rPr>
            </w:pPr>
          </w:p>
        </w:tc>
        <w:tc>
          <w:tcPr>
            <w:tcW w:w="680" w:type="dxa"/>
            <w:tcBorders>
              <w:top w:val="single" w:sz="4" w:space="0" w:color="auto"/>
              <w:left w:val="nil"/>
              <w:bottom w:val="single" w:sz="4"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110.8</w:t>
            </w:r>
          </w:p>
        </w:tc>
        <w:tc>
          <w:tcPr>
            <w:tcW w:w="680" w:type="dxa"/>
            <w:tcBorders>
              <w:top w:val="single" w:sz="4" w:space="0" w:color="auto"/>
              <w:left w:val="nil"/>
              <w:bottom w:val="single" w:sz="4"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56.2</w:t>
            </w:r>
          </w:p>
        </w:tc>
        <w:tc>
          <w:tcPr>
            <w:tcW w:w="680" w:type="dxa"/>
            <w:tcBorders>
              <w:top w:val="single" w:sz="4" w:space="0" w:color="auto"/>
              <w:left w:val="nil"/>
              <w:bottom w:val="single" w:sz="4"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77.6</w:t>
            </w:r>
          </w:p>
        </w:tc>
        <w:tc>
          <w:tcPr>
            <w:tcW w:w="680" w:type="dxa"/>
            <w:tcBorders>
              <w:top w:val="single" w:sz="4" w:space="0" w:color="auto"/>
              <w:left w:val="nil"/>
              <w:bottom w:val="single" w:sz="4"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54.1</w:t>
            </w:r>
          </w:p>
        </w:tc>
        <w:tc>
          <w:tcPr>
            <w:tcW w:w="680" w:type="dxa"/>
            <w:tcBorders>
              <w:top w:val="single" w:sz="4" w:space="0" w:color="auto"/>
              <w:left w:val="nil"/>
              <w:bottom w:val="single" w:sz="4"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114.4</w:t>
            </w:r>
          </w:p>
        </w:tc>
        <w:tc>
          <w:tcPr>
            <w:tcW w:w="680" w:type="dxa"/>
            <w:tcBorders>
              <w:top w:val="single" w:sz="4" w:space="0" w:color="auto"/>
              <w:left w:val="nil"/>
              <w:bottom w:val="single" w:sz="4"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130.4</w:t>
            </w:r>
          </w:p>
        </w:tc>
        <w:tc>
          <w:tcPr>
            <w:tcW w:w="680" w:type="dxa"/>
            <w:tcBorders>
              <w:top w:val="single" w:sz="4" w:space="0" w:color="auto"/>
              <w:left w:val="nil"/>
              <w:bottom w:val="single" w:sz="4"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73.4</w:t>
            </w:r>
          </w:p>
        </w:tc>
        <w:tc>
          <w:tcPr>
            <w:tcW w:w="680" w:type="dxa"/>
            <w:tcBorders>
              <w:top w:val="single" w:sz="4" w:space="0" w:color="auto"/>
              <w:left w:val="nil"/>
              <w:bottom w:val="single" w:sz="4"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40.7</w:t>
            </w:r>
          </w:p>
        </w:tc>
        <w:tc>
          <w:tcPr>
            <w:tcW w:w="851" w:type="dxa"/>
            <w:tcBorders>
              <w:top w:val="single" w:sz="4" w:space="0" w:color="auto"/>
              <w:left w:val="nil"/>
              <w:bottom w:val="single" w:sz="4" w:space="0" w:color="auto"/>
              <w:right w:val="single" w:sz="8" w:space="0" w:color="auto"/>
            </w:tcBorders>
            <w:shd w:val="clear" w:color="auto" w:fill="auto"/>
            <w:vAlign w:val="center"/>
          </w:tcPr>
          <w:p w:rsidR="007B4E13" w:rsidRDefault="00AB5FCF" w:rsidP="003715D7">
            <w:pPr>
              <w:jc w:val="center"/>
              <w:rPr>
                <w:rFonts w:ascii="Gill Sans MT" w:hAnsi="Gill Sans MT"/>
                <w:color w:val="000000"/>
                <w:sz w:val="18"/>
                <w:szCs w:val="18"/>
                <w:lang w:eastAsia="en-AU"/>
              </w:rPr>
            </w:pPr>
            <w:r>
              <w:rPr>
                <w:rFonts w:ascii="Gill Sans MT" w:hAnsi="Gill Sans MT"/>
                <w:color w:val="000000"/>
                <w:sz w:val="18"/>
                <w:szCs w:val="18"/>
                <w:lang w:eastAsia="en-AU"/>
              </w:rPr>
              <w:t>40.7</w:t>
            </w:r>
          </w:p>
        </w:tc>
      </w:tr>
      <w:tr w:rsidR="007B4E13" w:rsidRPr="000B1E97" w:rsidTr="007B4E13">
        <w:trPr>
          <w:cantSplit/>
          <w:trHeight w:val="315"/>
        </w:trPr>
        <w:tc>
          <w:tcPr>
            <w:tcW w:w="1134" w:type="dxa"/>
            <w:tcBorders>
              <w:top w:val="single" w:sz="4" w:space="0" w:color="auto"/>
              <w:left w:val="single" w:sz="8" w:space="0" w:color="auto"/>
              <w:bottom w:val="single" w:sz="8" w:space="0" w:color="auto"/>
              <w:right w:val="single" w:sz="8" w:space="0" w:color="auto"/>
            </w:tcBorders>
            <w:shd w:val="clear" w:color="auto" w:fill="auto"/>
            <w:vAlign w:val="center"/>
          </w:tcPr>
          <w:p w:rsidR="007B4E13" w:rsidRDefault="007B4E13" w:rsidP="007B4E13">
            <w:pPr>
              <w:rPr>
                <w:rFonts w:ascii="Gill Sans MT" w:hAnsi="Gill Sans MT"/>
                <w:b/>
                <w:bCs/>
                <w:color w:val="000000"/>
                <w:sz w:val="18"/>
                <w:szCs w:val="18"/>
                <w:lang w:val="en-GB" w:eastAsia="en-AU"/>
              </w:rPr>
            </w:pPr>
            <w:r>
              <w:rPr>
                <w:rFonts w:ascii="Gill Sans MT" w:hAnsi="Gill Sans MT"/>
                <w:b/>
                <w:bCs/>
                <w:color w:val="000000"/>
                <w:sz w:val="18"/>
                <w:szCs w:val="18"/>
                <w:lang w:val="en-GB" w:eastAsia="en-AU"/>
              </w:rPr>
              <w:t>King Island</w:t>
            </w:r>
          </w:p>
        </w:tc>
        <w:tc>
          <w:tcPr>
            <w:tcW w:w="680" w:type="dxa"/>
            <w:tcBorders>
              <w:top w:val="single" w:sz="4" w:space="0" w:color="auto"/>
              <w:left w:val="nil"/>
              <w:bottom w:val="single" w:sz="8" w:space="0" w:color="auto"/>
              <w:right w:val="single" w:sz="8" w:space="0" w:color="auto"/>
            </w:tcBorders>
            <w:shd w:val="clear" w:color="auto" w:fill="auto"/>
            <w:vAlign w:val="center"/>
          </w:tcPr>
          <w:p w:rsidR="007B4E13" w:rsidRPr="000B1E97" w:rsidRDefault="007B4E13" w:rsidP="003715D7">
            <w:pPr>
              <w:jc w:val="center"/>
              <w:rPr>
                <w:rFonts w:ascii="Gill Sans MT" w:hAnsi="Gill Sans MT"/>
                <w:color w:val="000000"/>
                <w:sz w:val="18"/>
                <w:szCs w:val="18"/>
                <w:lang w:val="en-GB" w:eastAsia="en-AU"/>
              </w:rPr>
            </w:pPr>
          </w:p>
        </w:tc>
        <w:tc>
          <w:tcPr>
            <w:tcW w:w="680" w:type="dxa"/>
            <w:tcBorders>
              <w:top w:val="single" w:sz="4" w:space="0" w:color="auto"/>
              <w:left w:val="nil"/>
              <w:bottom w:val="single" w:sz="8" w:space="0" w:color="auto"/>
              <w:right w:val="single" w:sz="8" w:space="0" w:color="auto"/>
            </w:tcBorders>
            <w:shd w:val="clear" w:color="auto" w:fill="auto"/>
            <w:vAlign w:val="center"/>
          </w:tcPr>
          <w:p w:rsidR="007B4E13" w:rsidRPr="000B1E97" w:rsidRDefault="007B4E13" w:rsidP="003715D7">
            <w:pPr>
              <w:jc w:val="center"/>
              <w:rPr>
                <w:rFonts w:ascii="Gill Sans MT" w:hAnsi="Gill Sans MT"/>
                <w:color w:val="000000"/>
                <w:sz w:val="18"/>
                <w:szCs w:val="18"/>
                <w:lang w:val="en-GB" w:eastAsia="en-AU"/>
              </w:rPr>
            </w:pPr>
          </w:p>
        </w:tc>
        <w:tc>
          <w:tcPr>
            <w:tcW w:w="680" w:type="dxa"/>
            <w:tcBorders>
              <w:top w:val="single" w:sz="4" w:space="0" w:color="auto"/>
              <w:left w:val="nil"/>
              <w:bottom w:val="single" w:sz="8" w:space="0" w:color="auto"/>
              <w:right w:val="single" w:sz="8" w:space="0" w:color="auto"/>
            </w:tcBorders>
            <w:shd w:val="clear" w:color="auto" w:fill="auto"/>
            <w:vAlign w:val="center"/>
          </w:tcPr>
          <w:p w:rsidR="007B4E13" w:rsidRPr="000B1E97" w:rsidRDefault="007B4E13" w:rsidP="003715D7">
            <w:pPr>
              <w:jc w:val="center"/>
              <w:rPr>
                <w:rFonts w:ascii="Gill Sans MT" w:hAnsi="Gill Sans MT"/>
                <w:color w:val="000000"/>
                <w:sz w:val="18"/>
                <w:szCs w:val="18"/>
                <w:lang w:val="en-GB" w:eastAsia="en-AU"/>
              </w:rPr>
            </w:pPr>
          </w:p>
        </w:tc>
        <w:tc>
          <w:tcPr>
            <w:tcW w:w="680" w:type="dxa"/>
            <w:tcBorders>
              <w:top w:val="single" w:sz="4" w:space="0" w:color="auto"/>
              <w:left w:val="nil"/>
              <w:bottom w:val="single" w:sz="8" w:space="0" w:color="auto"/>
              <w:right w:val="single" w:sz="8" w:space="0" w:color="auto"/>
            </w:tcBorders>
            <w:shd w:val="clear" w:color="auto" w:fill="auto"/>
            <w:vAlign w:val="center"/>
          </w:tcPr>
          <w:p w:rsidR="007B4E13" w:rsidRPr="000B1E97" w:rsidRDefault="007B4E13" w:rsidP="003715D7">
            <w:pPr>
              <w:jc w:val="center"/>
              <w:rPr>
                <w:rFonts w:ascii="Gill Sans MT" w:hAnsi="Gill Sans MT"/>
                <w:color w:val="000000"/>
                <w:sz w:val="18"/>
                <w:szCs w:val="18"/>
                <w:lang w:val="en-GB" w:eastAsia="en-AU"/>
              </w:rPr>
            </w:pPr>
          </w:p>
        </w:tc>
        <w:tc>
          <w:tcPr>
            <w:tcW w:w="680" w:type="dxa"/>
            <w:tcBorders>
              <w:top w:val="single" w:sz="4" w:space="0" w:color="auto"/>
              <w:left w:val="nil"/>
              <w:bottom w:val="single" w:sz="8" w:space="0" w:color="auto"/>
              <w:right w:val="single" w:sz="8" w:space="0" w:color="auto"/>
            </w:tcBorders>
            <w:shd w:val="clear" w:color="auto" w:fill="auto"/>
            <w:vAlign w:val="center"/>
          </w:tcPr>
          <w:p w:rsidR="007B4E13" w:rsidRPr="000B1E97" w:rsidRDefault="007B4E13" w:rsidP="003715D7">
            <w:pPr>
              <w:jc w:val="center"/>
              <w:rPr>
                <w:rFonts w:ascii="Gill Sans MT" w:hAnsi="Gill Sans MT"/>
                <w:color w:val="000000"/>
                <w:sz w:val="18"/>
                <w:szCs w:val="18"/>
                <w:lang w:val="en-GB" w:eastAsia="en-AU"/>
              </w:rPr>
            </w:pPr>
          </w:p>
        </w:tc>
        <w:tc>
          <w:tcPr>
            <w:tcW w:w="680" w:type="dxa"/>
            <w:tcBorders>
              <w:top w:val="single" w:sz="4" w:space="0" w:color="auto"/>
              <w:left w:val="nil"/>
              <w:bottom w:val="single" w:sz="8"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72.7</w:t>
            </w:r>
          </w:p>
        </w:tc>
        <w:tc>
          <w:tcPr>
            <w:tcW w:w="680" w:type="dxa"/>
            <w:tcBorders>
              <w:top w:val="single" w:sz="4" w:space="0" w:color="auto"/>
              <w:left w:val="nil"/>
              <w:bottom w:val="single" w:sz="8"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26.9</w:t>
            </w:r>
          </w:p>
        </w:tc>
        <w:tc>
          <w:tcPr>
            <w:tcW w:w="680" w:type="dxa"/>
            <w:tcBorders>
              <w:top w:val="single" w:sz="4" w:space="0" w:color="auto"/>
              <w:left w:val="nil"/>
              <w:bottom w:val="single" w:sz="8"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67.8</w:t>
            </w:r>
          </w:p>
        </w:tc>
        <w:tc>
          <w:tcPr>
            <w:tcW w:w="680" w:type="dxa"/>
            <w:tcBorders>
              <w:top w:val="single" w:sz="4" w:space="0" w:color="auto"/>
              <w:left w:val="nil"/>
              <w:bottom w:val="single" w:sz="8"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199.2</w:t>
            </w:r>
          </w:p>
        </w:tc>
        <w:tc>
          <w:tcPr>
            <w:tcW w:w="680" w:type="dxa"/>
            <w:tcBorders>
              <w:top w:val="single" w:sz="4" w:space="0" w:color="auto"/>
              <w:left w:val="nil"/>
              <w:bottom w:val="single" w:sz="8"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w:t>
            </w:r>
          </w:p>
        </w:tc>
        <w:tc>
          <w:tcPr>
            <w:tcW w:w="680" w:type="dxa"/>
            <w:tcBorders>
              <w:top w:val="single" w:sz="4" w:space="0" w:color="auto"/>
              <w:left w:val="nil"/>
              <w:bottom w:val="single" w:sz="8" w:space="0" w:color="auto"/>
              <w:right w:val="single" w:sz="8" w:space="0" w:color="auto"/>
            </w:tcBorders>
            <w:shd w:val="clear" w:color="auto" w:fill="auto"/>
            <w:vAlign w:val="center"/>
          </w:tcPr>
          <w:p w:rsidR="007B4E13" w:rsidRPr="000B1E97" w:rsidRDefault="00F901F7"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57.5</w:t>
            </w:r>
          </w:p>
        </w:tc>
        <w:tc>
          <w:tcPr>
            <w:tcW w:w="680" w:type="dxa"/>
            <w:tcBorders>
              <w:top w:val="single" w:sz="4" w:space="0" w:color="auto"/>
              <w:left w:val="nil"/>
              <w:bottom w:val="single" w:sz="8" w:space="0" w:color="auto"/>
              <w:right w:val="single" w:sz="8" w:space="0" w:color="auto"/>
            </w:tcBorders>
            <w:shd w:val="clear" w:color="auto" w:fill="auto"/>
            <w:vAlign w:val="center"/>
          </w:tcPr>
          <w:p w:rsidR="007B4E13" w:rsidRPr="000B1E97" w:rsidRDefault="00AB5FCF"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98.3</w:t>
            </w:r>
          </w:p>
        </w:tc>
        <w:tc>
          <w:tcPr>
            <w:tcW w:w="680" w:type="dxa"/>
            <w:tcBorders>
              <w:top w:val="single" w:sz="4" w:space="0" w:color="auto"/>
              <w:left w:val="nil"/>
              <w:bottom w:val="single" w:sz="8" w:space="0" w:color="auto"/>
              <w:right w:val="single" w:sz="8" w:space="0" w:color="auto"/>
            </w:tcBorders>
            <w:shd w:val="clear" w:color="auto" w:fill="auto"/>
            <w:vAlign w:val="center"/>
          </w:tcPr>
          <w:p w:rsidR="007B4E13" w:rsidRPr="000B1E97" w:rsidRDefault="00AB5FCF" w:rsidP="003715D7">
            <w:pPr>
              <w:jc w:val="center"/>
              <w:rPr>
                <w:rFonts w:ascii="Gill Sans MT" w:hAnsi="Gill Sans MT"/>
                <w:color w:val="000000"/>
                <w:sz w:val="18"/>
                <w:szCs w:val="18"/>
                <w:lang w:val="en-GB" w:eastAsia="en-AU"/>
              </w:rPr>
            </w:pPr>
            <w:r>
              <w:rPr>
                <w:rFonts w:ascii="Gill Sans MT" w:hAnsi="Gill Sans MT"/>
                <w:color w:val="000000"/>
                <w:sz w:val="18"/>
                <w:szCs w:val="18"/>
                <w:lang w:val="en-GB" w:eastAsia="en-AU"/>
              </w:rPr>
              <w:t>167.3</w:t>
            </w:r>
          </w:p>
        </w:tc>
        <w:tc>
          <w:tcPr>
            <w:tcW w:w="851" w:type="dxa"/>
            <w:tcBorders>
              <w:top w:val="single" w:sz="4" w:space="0" w:color="auto"/>
              <w:left w:val="nil"/>
              <w:bottom w:val="single" w:sz="8" w:space="0" w:color="auto"/>
              <w:right w:val="single" w:sz="8" w:space="0" w:color="auto"/>
            </w:tcBorders>
            <w:shd w:val="clear" w:color="auto" w:fill="auto"/>
            <w:vAlign w:val="center"/>
          </w:tcPr>
          <w:p w:rsidR="007B4E13" w:rsidRDefault="00AB5FCF" w:rsidP="003715D7">
            <w:pPr>
              <w:jc w:val="center"/>
              <w:rPr>
                <w:rFonts w:ascii="Gill Sans MT" w:hAnsi="Gill Sans MT"/>
                <w:color w:val="000000"/>
                <w:sz w:val="18"/>
                <w:szCs w:val="18"/>
                <w:lang w:eastAsia="en-AU"/>
              </w:rPr>
            </w:pPr>
            <w:r>
              <w:rPr>
                <w:rFonts w:ascii="Gill Sans MT" w:hAnsi="Gill Sans MT"/>
                <w:color w:val="000000"/>
                <w:sz w:val="18"/>
                <w:szCs w:val="18"/>
                <w:lang w:eastAsia="en-AU"/>
              </w:rPr>
              <w:t>26.9</w:t>
            </w:r>
          </w:p>
        </w:tc>
      </w:tr>
    </w:tbl>
    <w:p w:rsidR="0002192A" w:rsidRDefault="0002192A">
      <w:pPr>
        <w:pStyle w:val="Text"/>
        <w:widowControl/>
        <w:spacing w:before="0"/>
        <w:rPr>
          <w:rFonts w:ascii="Times New Roman" w:hAnsi="Times New Roman"/>
          <w:szCs w:val="24"/>
          <w:lang w:val="en-GB"/>
        </w:rPr>
      </w:pPr>
    </w:p>
    <w:p w:rsidR="0036390B" w:rsidRDefault="00FC5FFB">
      <w:pPr>
        <w:pStyle w:val="Text"/>
        <w:widowControl/>
        <w:spacing w:before="0"/>
        <w:rPr>
          <w:rFonts w:ascii="Times New Roman" w:hAnsi="Times New Roman"/>
          <w:szCs w:val="24"/>
          <w:lang w:val="en-GB"/>
        </w:rPr>
      </w:pPr>
      <w:r>
        <w:rPr>
          <w:rFonts w:ascii="Times New Roman" w:hAnsi="Times New Roman"/>
          <w:szCs w:val="24"/>
          <w:lang w:val="en-GB"/>
        </w:rPr>
        <w:t>Trigger points for each region are the lowest recorded density in the preceding 10 years</w:t>
      </w:r>
      <w:r w:rsidR="00AB5FCF">
        <w:rPr>
          <w:rFonts w:ascii="Times New Roman" w:hAnsi="Times New Roman"/>
          <w:szCs w:val="24"/>
          <w:lang w:val="en-GB"/>
        </w:rPr>
        <w:t xml:space="preserve"> of available data</w:t>
      </w:r>
      <w:r>
        <w:rPr>
          <w:rFonts w:ascii="Times New Roman" w:hAnsi="Times New Roman"/>
          <w:szCs w:val="24"/>
          <w:lang w:val="en-GB"/>
        </w:rPr>
        <w:t xml:space="preserve">.  </w:t>
      </w:r>
      <w:r w:rsidR="0036390B">
        <w:rPr>
          <w:rFonts w:ascii="Times New Roman" w:hAnsi="Times New Roman"/>
          <w:szCs w:val="24"/>
          <w:lang w:val="en-GB"/>
        </w:rPr>
        <w:t xml:space="preserve">A reduction in density in any region to a density below the trigger point </w:t>
      </w:r>
      <w:r w:rsidR="00504AD3">
        <w:rPr>
          <w:rFonts w:ascii="Times New Roman" w:hAnsi="Times New Roman"/>
          <w:szCs w:val="24"/>
          <w:lang w:val="en-GB"/>
        </w:rPr>
        <w:t>will</w:t>
      </w:r>
      <w:r w:rsidR="00A37909">
        <w:rPr>
          <w:rFonts w:ascii="Times New Roman" w:hAnsi="Times New Roman"/>
          <w:szCs w:val="24"/>
          <w:lang w:val="en-GB"/>
        </w:rPr>
        <w:t xml:space="preserve"> </w:t>
      </w:r>
      <w:r w:rsidR="0036390B">
        <w:rPr>
          <w:rFonts w:ascii="Times New Roman" w:hAnsi="Times New Roman"/>
          <w:szCs w:val="24"/>
          <w:lang w:val="en-GB"/>
        </w:rPr>
        <w:t xml:space="preserve">trigger a stop to </w:t>
      </w:r>
      <w:r w:rsidR="00504AD3">
        <w:rPr>
          <w:rFonts w:ascii="Times New Roman" w:hAnsi="Times New Roman"/>
          <w:szCs w:val="24"/>
          <w:lang w:val="en-GB"/>
        </w:rPr>
        <w:t xml:space="preserve">export of </w:t>
      </w:r>
      <w:r w:rsidR="0036390B">
        <w:rPr>
          <w:rFonts w:ascii="Times New Roman" w:hAnsi="Times New Roman"/>
          <w:szCs w:val="24"/>
          <w:lang w:val="en-GB"/>
        </w:rPr>
        <w:t>skin</w:t>
      </w:r>
      <w:r w:rsidR="00504AD3">
        <w:rPr>
          <w:rFonts w:ascii="Times New Roman" w:hAnsi="Times New Roman"/>
          <w:szCs w:val="24"/>
          <w:lang w:val="en-GB"/>
        </w:rPr>
        <w:t>s</w:t>
      </w:r>
      <w:r w:rsidR="0036390B">
        <w:rPr>
          <w:rFonts w:ascii="Times New Roman" w:hAnsi="Times New Roman"/>
          <w:szCs w:val="24"/>
          <w:lang w:val="en-GB"/>
        </w:rPr>
        <w:t xml:space="preserve"> </w:t>
      </w:r>
      <w:r w:rsidR="00504AD3">
        <w:rPr>
          <w:rFonts w:ascii="Times New Roman" w:hAnsi="Times New Roman"/>
          <w:szCs w:val="24"/>
          <w:lang w:val="en-GB"/>
        </w:rPr>
        <w:t>from</w:t>
      </w:r>
      <w:r w:rsidR="0036390B">
        <w:rPr>
          <w:rFonts w:ascii="Times New Roman" w:hAnsi="Times New Roman"/>
          <w:szCs w:val="24"/>
          <w:lang w:val="en-GB"/>
        </w:rPr>
        <w:t xml:space="preserve"> that region</w:t>
      </w:r>
      <w:r w:rsidR="005958FD">
        <w:rPr>
          <w:rFonts w:ascii="Times New Roman" w:hAnsi="Times New Roman"/>
          <w:szCs w:val="24"/>
          <w:lang w:val="en-GB"/>
        </w:rPr>
        <w:t xml:space="preserve"> </w:t>
      </w:r>
      <w:r w:rsidR="00A37909">
        <w:rPr>
          <w:rFonts w:ascii="Times New Roman" w:hAnsi="Times New Roman"/>
          <w:szCs w:val="24"/>
          <w:lang w:val="en-GB"/>
        </w:rPr>
        <w:t>until monitoring based on the following year’s spotlight surveys</w:t>
      </w:r>
      <w:r w:rsidR="00E60EAE">
        <w:rPr>
          <w:rFonts w:ascii="Times New Roman" w:hAnsi="Times New Roman"/>
          <w:szCs w:val="24"/>
          <w:lang w:val="en-GB"/>
        </w:rPr>
        <w:t xml:space="preserve"> shows populations have recovered above the trigger point</w:t>
      </w:r>
      <w:r w:rsidR="0036390B">
        <w:rPr>
          <w:rFonts w:ascii="Times New Roman" w:hAnsi="Times New Roman"/>
          <w:szCs w:val="24"/>
          <w:lang w:val="en-GB"/>
        </w:rPr>
        <w:t xml:space="preserve">. The export of skins from those regions where the density index exceeds the trigger point will still be permitted. Export from the other regions (those not closed) can only occur if LGM has procedures in place that will ensure that skins harvested from the closed region will not be exported. </w:t>
      </w:r>
      <w:r w:rsidR="006D4031">
        <w:rPr>
          <w:rFonts w:ascii="Times New Roman" w:hAnsi="Times New Roman"/>
          <w:szCs w:val="24"/>
          <w:lang w:val="en-GB"/>
        </w:rPr>
        <w:t xml:space="preserve">These procedures will be determined at the time via adaptive management procedures in consultation with WMB.  They may include, but not be limited to, the </w:t>
      </w:r>
      <w:proofErr w:type="spellStart"/>
      <w:r w:rsidR="006D4031">
        <w:rPr>
          <w:rFonts w:ascii="Times New Roman" w:hAnsi="Times New Roman"/>
          <w:szCs w:val="24"/>
          <w:lang w:val="en-GB"/>
        </w:rPr>
        <w:t>stratergies</w:t>
      </w:r>
      <w:proofErr w:type="spellEnd"/>
      <w:r w:rsidR="006D4031">
        <w:rPr>
          <w:rFonts w:ascii="Times New Roman" w:hAnsi="Times New Roman"/>
          <w:szCs w:val="24"/>
          <w:lang w:val="en-GB"/>
        </w:rPr>
        <w:t xml:space="preserve"> outlined below.  </w:t>
      </w:r>
      <w:r w:rsidR="0036390B">
        <w:rPr>
          <w:rFonts w:ascii="Times New Roman" w:hAnsi="Times New Roman"/>
          <w:szCs w:val="24"/>
          <w:lang w:val="en-GB"/>
        </w:rPr>
        <w:t xml:space="preserve">LGM must include an outline of the procedures </w:t>
      </w:r>
      <w:r w:rsidR="006D4031">
        <w:rPr>
          <w:rFonts w:ascii="Times New Roman" w:hAnsi="Times New Roman"/>
          <w:szCs w:val="24"/>
          <w:lang w:val="en-GB"/>
        </w:rPr>
        <w:t xml:space="preserve">to be implemented </w:t>
      </w:r>
      <w:r w:rsidR="0036390B">
        <w:rPr>
          <w:rFonts w:ascii="Times New Roman" w:hAnsi="Times New Roman"/>
          <w:szCs w:val="24"/>
          <w:lang w:val="en-GB"/>
        </w:rPr>
        <w:t>in its annual report</w:t>
      </w:r>
      <w:r>
        <w:rPr>
          <w:rFonts w:ascii="Times New Roman" w:hAnsi="Times New Roman"/>
          <w:szCs w:val="24"/>
          <w:lang w:val="en-GB"/>
        </w:rPr>
        <w:t xml:space="preserve"> in cases when restrictions are evoked </w:t>
      </w:r>
      <w:r w:rsidR="0036390B">
        <w:rPr>
          <w:rFonts w:ascii="Times New Roman" w:hAnsi="Times New Roman"/>
          <w:szCs w:val="24"/>
          <w:lang w:val="en-GB"/>
        </w:rPr>
        <w:t>(Section 10).</w:t>
      </w:r>
    </w:p>
    <w:p w:rsidR="0036390B" w:rsidRDefault="0036390B">
      <w:pPr>
        <w:pStyle w:val="Text"/>
        <w:widowControl/>
        <w:spacing w:before="0"/>
        <w:rPr>
          <w:rFonts w:ascii="Times New Roman" w:hAnsi="Times New Roman"/>
          <w:szCs w:val="24"/>
          <w:lang w:val="en-GB"/>
        </w:rPr>
      </w:pPr>
      <w:r>
        <w:rPr>
          <w:rFonts w:ascii="Times New Roman" w:hAnsi="Times New Roman"/>
          <w:szCs w:val="24"/>
          <w:lang w:val="en-GB"/>
        </w:rPr>
        <w:t>Exports from a closed region can only recommence following completion of the next year’s survey and then only if the results of that survey show a density index that exceeds the trigger point.</w:t>
      </w:r>
    </w:p>
    <w:p w:rsidR="0036390B" w:rsidRDefault="0036390B">
      <w:pPr>
        <w:pStyle w:val="Text"/>
        <w:widowControl/>
        <w:spacing w:before="0"/>
        <w:rPr>
          <w:rFonts w:ascii="Times New Roman" w:hAnsi="Times New Roman"/>
          <w:szCs w:val="24"/>
          <w:lang w:val="en-GB"/>
        </w:rPr>
      </w:pPr>
    </w:p>
    <w:p w:rsidR="0036390B" w:rsidRDefault="0036390B">
      <w:pPr>
        <w:pStyle w:val="Text"/>
        <w:widowControl/>
        <w:spacing w:before="0"/>
        <w:rPr>
          <w:rFonts w:ascii="Times New Roman" w:hAnsi="Times New Roman"/>
          <w:szCs w:val="24"/>
          <w:lang w:val="en-GB"/>
        </w:rPr>
      </w:pPr>
      <w:r>
        <w:rPr>
          <w:rFonts w:ascii="Times New Roman" w:hAnsi="Times New Roman"/>
          <w:szCs w:val="24"/>
          <w:lang w:val="en-GB"/>
        </w:rPr>
        <w:t xml:space="preserve">Below shows a worked example of how this </w:t>
      </w:r>
      <w:r w:rsidR="006D4031">
        <w:rPr>
          <w:rFonts w:ascii="Times New Roman" w:hAnsi="Times New Roman"/>
          <w:szCs w:val="24"/>
          <w:lang w:val="en-GB"/>
        </w:rPr>
        <w:t xml:space="preserve">trigger point </w:t>
      </w:r>
      <w:r>
        <w:rPr>
          <w:rFonts w:ascii="Times New Roman" w:hAnsi="Times New Roman"/>
          <w:szCs w:val="24"/>
          <w:lang w:val="en-GB"/>
        </w:rPr>
        <w:t>would apply:</w:t>
      </w:r>
    </w:p>
    <w:p w:rsidR="0036390B" w:rsidRDefault="004948D1">
      <w:pPr>
        <w:pStyle w:val="Text"/>
        <w:widowControl/>
        <w:spacing w:before="0"/>
        <w:rPr>
          <w:rFonts w:ascii="Times New Roman" w:hAnsi="Times New Roman"/>
          <w:i/>
          <w:szCs w:val="24"/>
          <w:lang w:val="en-GB"/>
        </w:rPr>
      </w:pPr>
      <w:r>
        <w:rPr>
          <w:rFonts w:ascii="Times New Roman" w:hAnsi="Times New Roman"/>
          <w:i/>
          <w:szCs w:val="24"/>
          <w:lang w:val="en-GB"/>
        </w:rPr>
        <w:t>In 201</w:t>
      </w:r>
      <w:r w:rsidR="00FC5FFB">
        <w:rPr>
          <w:rFonts w:ascii="Times New Roman" w:hAnsi="Times New Roman"/>
          <w:i/>
          <w:szCs w:val="24"/>
          <w:lang w:val="en-GB"/>
        </w:rPr>
        <w:t>4</w:t>
      </w:r>
      <w:r w:rsidR="0036390B">
        <w:rPr>
          <w:rFonts w:ascii="Times New Roman" w:hAnsi="Times New Roman"/>
          <w:i/>
          <w:szCs w:val="24"/>
          <w:lang w:val="en-GB"/>
        </w:rPr>
        <w:t xml:space="preserve"> the density i</w:t>
      </w:r>
      <w:r>
        <w:rPr>
          <w:rFonts w:ascii="Times New Roman" w:hAnsi="Times New Roman"/>
          <w:i/>
          <w:szCs w:val="24"/>
          <w:lang w:val="en-GB"/>
        </w:rPr>
        <w:t xml:space="preserve">n the Northwest region was </w:t>
      </w:r>
      <w:r w:rsidR="00FC5FFB">
        <w:rPr>
          <w:rFonts w:ascii="Times New Roman" w:hAnsi="Times New Roman"/>
          <w:i/>
          <w:szCs w:val="24"/>
          <w:lang w:val="en-GB"/>
        </w:rPr>
        <w:t>25.3</w:t>
      </w:r>
      <w:r>
        <w:rPr>
          <w:rFonts w:ascii="Times New Roman" w:hAnsi="Times New Roman"/>
          <w:i/>
          <w:szCs w:val="24"/>
          <w:lang w:val="en-GB"/>
        </w:rPr>
        <w:t xml:space="preserve">. </w:t>
      </w:r>
      <w:r w:rsidR="0036390B">
        <w:rPr>
          <w:rFonts w:ascii="Times New Roman" w:hAnsi="Times New Roman"/>
          <w:i/>
          <w:szCs w:val="24"/>
          <w:lang w:val="en-GB"/>
        </w:rPr>
        <w:t>The trigger poi</w:t>
      </w:r>
      <w:r>
        <w:rPr>
          <w:rFonts w:ascii="Times New Roman" w:hAnsi="Times New Roman"/>
          <w:i/>
          <w:szCs w:val="24"/>
          <w:lang w:val="en-GB"/>
        </w:rPr>
        <w:t xml:space="preserve">nt for this region is </w:t>
      </w:r>
      <w:r w:rsidR="00FC5FFB">
        <w:rPr>
          <w:rFonts w:ascii="Times New Roman" w:hAnsi="Times New Roman"/>
          <w:i/>
          <w:szCs w:val="24"/>
          <w:lang w:val="en-GB"/>
        </w:rPr>
        <w:t>7</w:t>
      </w:r>
      <w:r>
        <w:rPr>
          <w:rFonts w:ascii="Times New Roman" w:hAnsi="Times New Roman"/>
          <w:i/>
          <w:szCs w:val="24"/>
          <w:lang w:val="en-GB"/>
        </w:rPr>
        <w:t>1</w:t>
      </w:r>
      <w:r w:rsidR="0036390B">
        <w:rPr>
          <w:rFonts w:ascii="Times New Roman" w:hAnsi="Times New Roman"/>
          <w:i/>
          <w:szCs w:val="24"/>
          <w:lang w:val="en-GB"/>
        </w:rPr>
        <w:t>. The density index is above the trigger point listed in Table 2, therefore the trigger point is not exceeded and exports can continue.</w:t>
      </w:r>
    </w:p>
    <w:p w:rsidR="006D4031" w:rsidRDefault="006D4031">
      <w:pPr>
        <w:pStyle w:val="Text"/>
        <w:widowControl/>
        <w:spacing w:before="0"/>
        <w:rPr>
          <w:rFonts w:ascii="Times New Roman" w:hAnsi="Times New Roman"/>
          <w:szCs w:val="24"/>
          <w:lang w:val="en-GB"/>
        </w:rPr>
      </w:pPr>
    </w:p>
    <w:p w:rsidR="006D4031" w:rsidRDefault="006D4031">
      <w:pPr>
        <w:pStyle w:val="Text"/>
        <w:widowControl/>
        <w:spacing w:before="0"/>
        <w:rPr>
          <w:rFonts w:ascii="Times New Roman" w:hAnsi="Times New Roman"/>
          <w:szCs w:val="24"/>
          <w:lang w:val="en-GB"/>
        </w:rPr>
      </w:pPr>
      <w:r w:rsidRPr="008D694B">
        <w:rPr>
          <w:rFonts w:ascii="Times New Roman" w:hAnsi="Times New Roman"/>
          <w:szCs w:val="24"/>
          <w:u w:val="single"/>
          <w:lang w:val="en-GB"/>
        </w:rPr>
        <w:t>Control restrictions invoked by Trigger Point1</w:t>
      </w:r>
      <w:r>
        <w:rPr>
          <w:rFonts w:ascii="Times New Roman" w:hAnsi="Times New Roman"/>
          <w:szCs w:val="24"/>
          <w:lang w:val="en-GB"/>
        </w:rPr>
        <w:t>.</w:t>
      </w:r>
    </w:p>
    <w:p w:rsidR="006D4031" w:rsidRDefault="006D4031">
      <w:pPr>
        <w:pStyle w:val="Text"/>
        <w:widowControl/>
        <w:spacing w:before="0"/>
        <w:rPr>
          <w:rFonts w:ascii="Times New Roman" w:hAnsi="Times New Roman"/>
          <w:szCs w:val="24"/>
          <w:lang w:val="en-GB"/>
        </w:rPr>
      </w:pPr>
      <w:r>
        <w:rPr>
          <w:rFonts w:ascii="Times New Roman" w:hAnsi="Times New Roman"/>
          <w:szCs w:val="24"/>
          <w:lang w:val="en-GB"/>
        </w:rPr>
        <w:t xml:space="preserve"> When Trigger Point 1 is invoked LGM will implement carcass and skin tracking systems as outlined below and recorded for monitoring purposes in the form at Attachment </w:t>
      </w:r>
      <w:r w:rsidR="00B14D9C">
        <w:rPr>
          <w:rFonts w:ascii="Times New Roman" w:hAnsi="Times New Roman"/>
          <w:szCs w:val="24"/>
          <w:lang w:val="en-GB"/>
        </w:rPr>
        <w:t>1</w:t>
      </w:r>
      <w:r>
        <w:rPr>
          <w:rFonts w:ascii="Times New Roman" w:hAnsi="Times New Roman"/>
          <w:szCs w:val="24"/>
          <w:lang w:val="en-GB"/>
        </w:rPr>
        <w:t>.</w:t>
      </w:r>
    </w:p>
    <w:p w:rsidR="006D4031" w:rsidRDefault="006D4031">
      <w:pPr>
        <w:pStyle w:val="Text"/>
        <w:widowControl/>
        <w:spacing w:before="0"/>
        <w:rPr>
          <w:rFonts w:ascii="Times New Roman" w:hAnsi="Times New Roman"/>
          <w:szCs w:val="24"/>
          <w:lang w:val="en-GB"/>
        </w:rPr>
      </w:pPr>
      <w:r>
        <w:rPr>
          <w:rFonts w:ascii="Times New Roman" w:hAnsi="Times New Roman"/>
          <w:szCs w:val="24"/>
          <w:lang w:val="en-GB"/>
        </w:rPr>
        <w:t xml:space="preserve">On </w:t>
      </w:r>
      <w:proofErr w:type="spellStart"/>
      <w:r>
        <w:rPr>
          <w:rFonts w:ascii="Times New Roman" w:hAnsi="Times New Roman"/>
          <w:szCs w:val="24"/>
          <w:lang w:val="en-GB"/>
        </w:rPr>
        <w:t>rec</w:t>
      </w:r>
      <w:r w:rsidR="001F6DE8">
        <w:rPr>
          <w:rFonts w:ascii="Times New Roman" w:hAnsi="Times New Roman"/>
          <w:szCs w:val="24"/>
          <w:lang w:val="en-GB"/>
        </w:rPr>
        <w:t>ei</w:t>
      </w:r>
      <w:r>
        <w:rPr>
          <w:rFonts w:ascii="Times New Roman" w:hAnsi="Times New Roman"/>
          <w:szCs w:val="24"/>
          <w:lang w:val="en-GB"/>
        </w:rPr>
        <w:t>val</w:t>
      </w:r>
      <w:proofErr w:type="spellEnd"/>
      <w:r>
        <w:rPr>
          <w:rFonts w:ascii="Times New Roman" w:hAnsi="Times New Roman"/>
          <w:szCs w:val="24"/>
          <w:lang w:val="en-GB"/>
        </w:rPr>
        <w:t xml:space="preserve"> at LGM all carcasses from any zone in which the Trigger Point has been invoked shall be tagged with a lockable plastic tag of a unique design to any other in use at the time.  This tag shall be placed through the skin in such a way that it will remain on the skin when removed off the carcass.  The number and source of these carcasses shall be recorded in</w:t>
      </w:r>
      <w:r w:rsidR="007E6086">
        <w:rPr>
          <w:rFonts w:ascii="Times New Roman" w:hAnsi="Times New Roman"/>
          <w:szCs w:val="24"/>
          <w:lang w:val="en-GB"/>
        </w:rPr>
        <w:t xml:space="preserve"> </w:t>
      </w:r>
      <w:r>
        <w:rPr>
          <w:rFonts w:ascii="Times New Roman" w:hAnsi="Times New Roman"/>
          <w:szCs w:val="24"/>
          <w:lang w:val="en-GB"/>
        </w:rPr>
        <w:t>th</w:t>
      </w:r>
      <w:r w:rsidR="007E6086">
        <w:rPr>
          <w:rFonts w:ascii="Times New Roman" w:hAnsi="Times New Roman"/>
          <w:szCs w:val="24"/>
          <w:lang w:val="en-GB"/>
        </w:rPr>
        <w:t>e</w:t>
      </w:r>
      <w:r>
        <w:rPr>
          <w:rFonts w:ascii="Times New Roman" w:hAnsi="Times New Roman"/>
          <w:szCs w:val="24"/>
          <w:lang w:val="en-GB"/>
        </w:rPr>
        <w:t xml:space="preserve"> attached form.</w:t>
      </w:r>
    </w:p>
    <w:p w:rsidR="006D4031" w:rsidRDefault="006D4031">
      <w:pPr>
        <w:pStyle w:val="Text"/>
        <w:widowControl/>
        <w:spacing w:before="0"/>
        <w:rPr>
          <w:rFonts w:ascii="Times New Roman" w:hAnsi="Times New Roman"/>
          <w:szCs w:val="24"/>
          <w:lang w:val="en-GB"/>
        </w:rPr>
      </w:pPr>
      <w:r>
        <w:rPr>
          <w:rFonts w:ascii="Times New Roman" w:hAnsi="Times New Roman"/>
          <w:szCs w:val="24"/>
          <w:lang w:val="en-GB"/>
        </w:rPr>
        <w:t xml:space="preserve">Skins from these carcasses shall be kept separate from </w:t>
      </w:r>
      <w:r w:rsidR="007E6086">
        <w:rPr>
          <w:rFonts w:ascii="Times New Roman" w:hAnsi="Times New Roman"/>
          <w:szCs w:val="24"/>
          <w:lang w:val="en-GB"/>
        </w:rPr>
        <w:t>all other skins and disposed of.  When disposed of the numbers will be recorded in the attached form.</w:t>
      </w:r>
    </w:p>
    <w:p w:rsidR="007E6086" w:rsidRDefault="007E6086">
      <w:pPr>
        <w:pStyle w:val="Text"/>
        <w:widowControl/>
        <w:spacing w:before="0"/>
        <w:rPr>
          <w:rFonts w:ascii="Times New Roman" w:hAnsi="Times New Roman"/>
          <w:szCs w:val="24"/>
          <w:lang w:val="en-GB"/>
        </w:rPr>
      </w:pPr>
      <w:r>
        <w:rPr>
          <w:rFonts w:ascii="Times New Roman" w:hAnsi="Times New Roman"/>
          <w:szCs w:val="24"/>
          <w:lang w:val="en-GB"/>
        </w:rPr>
        <w:t xml:space="preserve">At the end of each month </w:t>
      </w:r>
      <w:proofErr w:type="gramStart"/>
      <w:r>
        <w:rPr>
          <w:rFonts w:ascii="Times New Roman" w:hAnsi="Times New Roman"/>
          <w:szCs w:val="24"/>
          <w:lang w:val="en-GB"/>
        </w:rPr>
        <w:t>a reconciliation</w:t>
      </w:r>
      <w:proofErr w:type="gramEnd"/>
      <w:r>
        <w:rPr>
          <w:rFonts w:ascii="Times New Roman" w:hAnsi="Times New Roman"/>
          <w:szCs w:val="24"/>
          <w:lang w:val="en-GB"/>
        </w:rPr>
        <w:t xml:space="preserve"> will be completed to ensure all skins from restricted carcasses have been disposed.</w:t>
      </w:r>
    </w:p>
    <w:p w:rsidR="006D4031" w:rsidRDefault="006D4031">
      <w:pPr>
        <w:pStyle w:val="Text"/>
        <w:widowControl/>
        <w:spacing w:before="0"/>
        <w:rPr>
          <w:rFonts w:ascii="Times New Roman" w:hAnsi="Times New Roman"/>
          <w:szCs w:val="24"/>
          <w:lang w:val="en-GB"/>
        </w:rPr>
      </w:pPr>
    </w:p>
    <w:p w:rsidR="0036390B" w:rsidRDefault="0036390B">
      <w:pPr>
        <w:pStyle w:val="Text"/>
        <w:widowControl/>
        <w:spacing w:before="0"/>
        <w:rPr>
          <w:rFonts w:ascii="Times New Roman" w:hAnsi="Times New Roman"/>
          <w:szCs w:val="24"/>
          <w:lang w:val="en-GB"/>
        </w:rPr>
      </w:pPr>
    </w:p>
    <w:p w:rsidR="0036390B" w:rsidRDefault="0036390B">
      <w:pPr>
        <w:pStyle w:val="Text"/>
        <w:widowControl/>
        <w:spacing w:after="0"/>
        <w:rPr>
          <w:rFonts w:ascii="Times New Roman" w:hAnsi="Times New Roman"/>
          <w:b/>
          <w:szCs w:val="24"/>
          <w:lang w:val="en-GB"/>
        </w:rPr>
      </w:pPr>
      <w:r>
        <w:rPr>
          <w:rFonts w:ascii="Times New Roman" w:hAnsi="Times New Roman"/>
          <w:b/>
          <w:szCs w:val="24"/>
          <w:lang w:val="en-GB"/>
        </w:rPr>
        <w:t>6.1.2 Trigger Point Two (TP2).</w:t>
      </w:r>
    </w:p>
    <w:p w:rsidR="0036390B" w:rsidRDefault="0036390B">
      <w:pPr>
        <w:pStyle w:val="Text"/>
        <w:widowControl/>
        <w:tabs>
          <w:tab w:val="left" w:pos="720"/>
        </w:tabs>
        <w:spacing w:before="0"/>
        <w:rPr>
          <w:rFonts w:ascii="Times New Roman" w:hAnsi="Times New Roman"/>
          <w:szCs w:val="24"/>
          <w:lang w:val="en-GB"/>
        </w:rPr>
      </w:pPr>
      <w:r>
        <w:rPr>
          <w:rFonts w:ascii="Times New Roman" w:hAnsi="Times New Roman"/>
          <w:szCs w:val="24"/>
          <w:lang w:val="en-GB"/>
        </w:rPr>
        <w:t>LGM will monitor the total number of Bennett’s wallaby skins or fibre they export each calendar year and the year in which they were pr</w:t>
      </w:r>
      <w:r w:rsidR="0023714D">
        <w:rPr>
          <w:rFonts w:ascii="Times New Roman" w:hAnsi="Times New Roman"/>
          <w:szCs w:val="24"/>
          <w:lang w:val="en-GB"/>
        </w:rPr>
        <w:t xml:space="preserve">oduced. If this number reaches </w:t>
      </w:r>
      <w:r w:rsidR="00E60EAE">
        <w:rPr>
          <w:rFonts w:ascii="Times New Roman" w:hAnsi="Times New Roman"/>
          <w:szCs w:val="24"/>
          <w:lang w:val="en-GB"/>
        </w:rPr>
        <w:t>6</w:t>
      </w:r>
      <w:r>
        <w:rPr>
          <w:rFonts w:ascii="Times New Roman" w:hAnsi="Times New Roman"/>
          <w:szCs w:val="24"/>
          <w:lang w:val="en-GB"/>
        </w:rPr>
        <w:t>0,000 skins produced</w:t>
      </w:r>
      <w:r w:rsidR="00927F60">
        <w:rPr>
          <w:rFonts w:ascii="Times New Roman" w:hAnsi="Times New Roman"/>
          <w:szCs w:val="24"/>
          <w:lang w:val="en-GB"/>
        </w:rPr>
        <w:t xml:space="preserve"> and exported</w:t>
      </w:r>
      <w:r>
        <w:rPr>
          <w:rFonts w:ascii="Times New Roman" w:hAnsi="Times New Roman"/>
          <w:szCs w:val="24"/>
          <w:lang w:val="en-GB"/>
        </w:rPr>
        <w:t xml:space="preserve"> in any one year, (using the fibre yield per skin of 0.0</w:t>
      </w:r>
      <w:r w:rsidR="007B4E13">
        <w:rPr>
          <w:rFonts w:ascii="Times New Roman" w:hAnsi="Times New Roman"/>
          <w:szCs w:val="24"/>
          <w:lang w:val="en-GB"/>
        </w:rPr>
        <w:t>5</w:t>
      </w:r>
      <w:r>
        <w:rPr>
          <w:rFonts w:ascii="Times New Roman" w:hAnsi="Times New Roman"/>
          <w:szCs w:val="24"/>
          <w:lang w:val="en-GB"/>
        </w:rPr>
        <w:t xml:space="preserve">5kg to calculate the number of skins any fibre was derived from) LGM will immediately notify </w:t>
      </w:r>
      <w:r w:rsidR="00182F15">
        <w:rPr>
          <w:rFonts w:ascii="Times New Roman" w:hAnsi="Times New Roman"/>
          <w:szCs w:val="24"/>
          <w:lang w:val="en-GB"/>
        </w:rPr>
        <w:t xml:space="preserve">the Department </w:t>
      </w:r>
      <w:r w:rsidR="004948D1">
        <w:rPr>
          <w:rFonts w:ascii="Times New Roman" w:hAnsi="Times New Roman"/>
          <w:szCs w:val="24"/>
          <w:lang w:val="en-GB"/>
        </w:rPr>
        <w:t xml:space="preserve">of </w:t>
      </w:r>
      <w:proofErr w:type="gramStart"/>
      <w:r w:rsidR="004948D1">
        <w:rPr>
          <w:rFonts w:ascii="Times New Roman" w:hAnsi="Times New Roman"/>
          <w:szCs w:val="24"/>
          <w:lang w:val="en-GB"/>
        </w:rPr>
        <w:t>Environment(</w:t>
      </w:r>
      <w:proofErr w:type="gramEnd"/>
      <w:r w:rsidR="004948D1">
        <w:rPr>
          <w:rFonts w:ascii="Times New Roman" w:hAnsi="Times New Roman"/>
          <w:szCs w:val="24"/>
          <w:lang w:val="en-GB"/>
        </w:rPr>
        <w:t>DE</w:t>
      </w:r>
      <w:r w:rsidR="00182F15">
        <w:rPr>
          <w:rFonts w:ascii="Times New Roman" w:hAnsi="Times New Roman"/>
          <w:szCs w:val="24"/>
          <w:lang w:val="en-GB"/>
        </w:rPr>
        <w:t>)</w:t>
      </w:r>
      <w:r>
        <w:rPr>
          <w:rFonts w:ascii="Times New Roman" w:hAnsi="Times New Roman"/>
          <w:szCs w:val="24"/>
          <w:lang w:val="en-GB"/>
        </w:rPr>
        <w:t>and no further skins will be exportable for that year.</w:t>
      </w:r>
    </w:p>
    <w:p w:rsidR="0036390B" w:rsidRDefault="0036390B">
      <w:pPr>
        <w:pStyle w:val="Text"/>
        <w:widowControl/>
        <w:spacing w:before="0"/>
        <w:rPr>
          <w:rFonts w:ascii="Times New Roman" w:hAnsi="Times New Roman"/>
          <w:szCs w:val="24"/>
          <w:lang w:val="en-GB"/>
        </w:rPr>
      </w:pPr>
      <w:r>
        <w:rPr>
          <w:rFonts w:ascii="Times New Roman" w:hAnsi="Times New Roman"/>
          <w:szCs w:val="24"/>
          <w:lang w:val="en-GB"/>
        </w:rPr>
        <w:t>The trigger point ensures that any demand for skins will not drive the commercial harvest to levels which could be considered to have a detrimental impact on the population.</w:t>
      </w:r>
    </w:p>
    <w:p w:rsidR="0036390B" w:rsidRDefault="0036390B">
      <w:pPr>
        <w:widowControl/>
        <w:numPr>
          <w:ilvl w:val="0"/>
          <w:numId w:val="6"/>
        </w:numPr>
        <w:spacing w:before="240" w:after="240"/>
        <w:ind w:left="0" w:firstLine="0"/>
        <w:rPr>
          <w:b/>
          <w:sz w:val="28"/>
          <w:szCs w:val="28"/>
          <w:lang w:val="en-GB"/>
        </w:rPr>
      </w:pPr>
      <w:r>
        <w:rPr>
          <w:b/>
          <w:sz w:val="28"/>
          <w:szCs w:val="28"/>
          <w:lang w:val="en-GB"/>
        </w:rPr>
        <w:t>Compliance</w:t>
      </w:r>
    </w:p>
    <w:p w:rsidR="0036390B" w:rsidRDefault="0036390B">
      <w:pPr>
        <w:pStyle w:val="Text"/>
        <w:widowControl/>
        <w:spacing w:before="0"/>
        <w:rPr>
          <w:rFonts w:ascii="Times New Roman" w:hAnsi="Times New Roman"/>
          <w:szCs w:val="24"/>
          <w:lang w:val="en-GB"/>
        </w:rPr>
      </w:pPr>
      <w:r>
        <w:rPr>
          <w:rFonts w:ascii="Times New Roman" w:hAnsi="Times New Roman"/>
          <w:szCs w:val="24"/>
          <w:lang w:val="en-GB"/>
        </w:rPr>
        <w:t xml:space="preserve">Wallaby management in </w:t>
      </w:r>
      <w:smartTag w:uri="urn:schemas-microsoft-com:office:smarttags" w:element="place">
        <w:smartTag w:uri="urn:schemas-microsoft-com:office:smarttags" w:element="State">
          <w:r>
            <w:rPr>
              <w:rFonts w:ascii="Times New Roman" w:hAnsi="Times New Roman"/>
              <w:szCs w:val="24"/>
              <w:lang w:val="en-GB"/>
            </w:rPr>
            <w:t>Tasmania</w:t>
          </w:r>
        </w:smartTag>
      </w:smartTag>
      <w:r>
        <w:rPr>
          <w:rFonts w:ascii="Times New Roman" w:hAnsi="Times New Roman"/>
          <w:szCs w:val="24"/>
          <w:lang w:val="en-GB"/>
        </w:rPr>
        <w:t xml:space="preserve"> is administered by the WMB, under the </w:t>
      </w:r>
      <w:r>
        <w:rPr>
          <w:rFonts w:ascii="Times New Roman" w:hAnsi="Times New Roman"/>
          <w:i/>
          <w:szCs w:val="24"/>
          <w:lang w:val="en-GB"/>
        </w:rPr>
        <w:t>Nature Conservation Act 2002</w:t>
      </w:r>
      <w:r>
        <w:rPr>
          <w:rFonts w:ascii="Times New Roman" w:hAnsi="Times New Roman"/>
          <w:szCs w:val="24"/>
          <w:lang w:val="en-GB"/>
        </w:rPr>
        <w:t xml:space="preserve"> and the </w:t>
      </w:r>
      <w:r>
        <w:rPr>
          <w:rFonts w:ascii="Times New Roman" w:hAnsi="Times New Roman"/>
          <w:i/>
          <w:szCs w:val="24"/>
          <w:lang w:val="en-GB"/>
        </w:rPr>
        <w:t>Wildlife (General) Regulations 20109</w:t>
      </w:r>
      <w:r>
        <w:rPr>
          <w:rFonts w:ascii="Times New Roman" w:hAnsi="Times New Roman"/>
          <w:szCs w:val="24"/>
          <w:lang w:val="en-GB"/>
        </w:rPr>
        <w:t xml:space="preserve">. Under Schedule 4 of the </w:t>
      </w:r>
      <w:r>
        <w:rPr>
          <w:rFonts w:ascii="Times New Roman" w:hAnsi="Times New Roman"/>
          <w:i/>
          <w:szCs w:val="24"/>
          <w:lang w:val="en-GB"/>
        </w:rPr>
        <w:t>Wildlife Regulations 1999</w:t>
      </w:r>
      <w:r>
        <w:rPr>
          <w:rFonts w:ascii="Times New Roman" w:hAnsi="Times New Roman"/>
          <w:szCs w:val="24"/>
          <w:lang w:val="en-GB"/>
        </w:rPr>
        <w:t xml:space="preserve">, Bennett’s wallabies are classified as Partly Protected Wildlife throughout </w:t>
      </w:r>
      <w:smartTag w:uri="urn:schemas-microsoft-com:office:smarttags" w:element="place">
        <w:smartTag w:uri="urn:schemas-microsoft-com:office:smarttags" w:element="State">
          <w:r>
            <w:rPr>
              <w:rFonts w:ascii="Times New Roman" w:hAnsi="Times New Roman"/>
              <w:szCs w:val="24"/>
              <w:lang w:val="en-GB"/>
            </w:rPr>
            <w:t>Tasmania</w:t>
          </w:r>
        </w:smartTag>
      </w:smartTag>
      <w:r>
        <w:rPr>
          <w:rFonts w:ascii="Times New Roman" w:hAnsi="Times New Roman"/>
          <w:szCs w:val="24"/>
          <w:lang w:val="en-GB"/>
        </w:rPr>
        <w:t xml:space="preserve">. As such, they may be taken under the authority of a permit issued under Regulation 26 of the </w:t>
      </w:r>
      <w:r>
        <w:rPr>
          <w:rFonts w:ascii="Times New Roman" w:hAnsi="Times New Roman"/>
          <w:i/>
          <w:szCs w:val="24"/>
          <w:lang w:val="en-GB"/>
        </w:rPr>
        <w:t>Wildlife (General</w:t>
      </w:r>
      <w:proofErr w:type="gramStart"/>
      <w:r>
        <w:rPr>
          <w:rFonts w:ascii="Times New Roman" w:hAnsi="Times New Roman"/>
          <w:i/>
          <w:szCs w:val="24"/>
          <w:lang w:val="en-GB"/>
        </w:rPr>
        <w:t>)Regulations</w:t>
      </w:r>
      <w:proofErr w:type="gramEnd"/>
      <w:r>
        <w:rPr>
          <w:rFonts w:ascii="Times New Roman" w:hAnsi="Times New Roman"/>
          <w:i/>
          <w:szCs w:val="24"/>
          <w:lang w:val="en-GB"/>
        </w:rPr>
        <w:t xml:space="preserve"> 2010</w:t>
      </w:r>
      <w:r>
        <w:rPr>
          <w:rFonts w:ascii="Times New Roman" w:hAnsi="Times New Roman"/>
          <w:szCs w:val="24"/>
          <w:lang w:val="en-GB"/>
        </w:rPr>
        <w:t xml:space="preserve"> on properties where they are causing crop damage. Permits may specify conditions with which the holder of the permit must comply.</w:t>
      </w:r>
    </w:p>
    <w:p w:rsidR="0036390B" w:rsidRDefault="0036390B">
      <w:pPr>
        <w:pStyle w:val="Text"/>
        <w:widowControl/>
        <w:spacing w:before="0"/>
        <w:rPr>
          <w:rFonts w:ascii="Times New Roman" w:hAnsi="Times New Roman"/>
          <w:szCs w:val="24"/>
          <w:lang w:val="en-GB"/>
        </w:rPr>
      </w:pPr>
      <w:r>
        <w:rPr>
          <w:rFonts w:ascii="Times New Roman" w:hAnsi="Times New Roman"/>
          <w:szCs w:val="24"/>
          <w:lang w:val="en-GB"/>
        </w:rPr>
        <w:t>In order for commercial harvesting of wallabies to be carried out, the commercial shooter must hold a Commercial Wallaby Hunter’s Licence, which allows the harvesting of wallabies for commercial purposes on lands used for primary production.</w:t>
      </w:r>
    </w:p>
    <w:p w:rsidR="0036390B" w:rsidRPr="00E8769B" w:rsidRDefault="0036390B">
      <w:pPr>
        <w:widowControl/>
        <w:spacing w:after="120"/>
        <w:rPr>
          <w:sz w:val="24"/>
          <w:szCs w:val="24"/>
          <w:lang w:val="en-GB"/>
        </w:rPr>
      </w:pPr>
      <w:r>
        <w:rPr>
          <w:sz w:val="24"/>
          <w:szCs w:val="24"/>
          <w:lang w:val="en-GB"/>
        </w:rPr>
        <w:t xml:space="preserve">Commercial wallaby hunters are permitted to sell wallaby carcasses only to licensed meat </w:t>
      </w:r>
      <w:r w:rsidRPr="00E8769B">
        <w:rPr>
          <w:sz w:val="24"/>
          <w:szCs w:val="24"/>
          <w:lang w:val="en-GB"/>
        </w:rPr>
        <w:t>processors or their agents.</w:t>
      </w:r>
    </w:p>
    <w:p w:rsidR="0036390B" w:rsidRPr="00E8769B" w:rsidRDefault="0036390B" w:rsidP="003128B8">
      <w:pPr>
        <w:pStyle w:val="Text"/>
        <w:widowControl/>
        <w:spacing w:before="0"/>
        <w:rPr>
          <w:rFonts w:ascii="Times New Roman" w:hAnsi="Times New Roman"/>
          <w:szCs w:val="24"/>
          <w:lang w:val="en-GB"/>
        </w:rPr>
      </w:pPr>
      <w:r w:rsidRPr="00E8769B">
        <w:rPr>
          <w:rFonts w:ascii="Times New Roman" w:hAnsi="Times New Roman"/>
          <w:szCs w:val="24"/>
          <w:lang w:val="en-GB"/>
        </w:rPr>
        <w:t xml:space="preserve">Permits are required from both DPIPWE and </w:t>
      </w:r>
      <w:r w:rsidR="00DB04F6">
        <w:rPr>
          <w:rFonts w:ascii="Times New Roman" w:hAnsi="Times New Roman"/>
          <w:szCs w:val="24"/>
          <w:lang w:val="en-GB"/>
        </w:rPr>
        <w:t xml:space="preserve">DE </w:t>
      </w:r>
      <w:r w:rsidRPr="00E8769B">
        <w:rPr>
          <w:rFonts w:ascii="Times New Roman" w:hAnsi="Times New Roman"/>
          <w:szCs w:val="24"/>
          <w:lang w:val="en-GB"/>
        </w:rPr>
        <w:t>to export skins. These permits are issued only when the WMB is satisfied that the wallaby skins were legally taken, processed and royalties paid.</w:t>
      </w:r>
    </w:p>
    <w:p w:rsidR="0036390B" w:rsidRDefault="0036390B" w:rsidP="003128B8">
      <w:pPr>
        <w:pStyle w:val="Text"/>
        <w:widowControl/>
        <w:spacing w:before="0"/>
        <w:rPr>
          <w:rFonts w:ascii="Times New Roman" w:hAnsi="Times New Roman"/>
          <w:szCs w:val="24"/>
          <w:lang w:val="en-GB"/>
        </w:rPr>
      </w:pPr>
      <w:r w:rsidRPr="00E8769B">
        <w:rPr>
          <w:rFonts w:ascii="Times New Roman" w:hAnsi="Times New Roman"/>
          <w:szCs w:val="24"/>
          <w:lang w:val="en-GB"/>
        </w:rPr>
        <w:t>Compliance</w:t>
      </w:r>
      <w:r>
        <w:rPr>
          <w:rFonts w:ascii="Times New Roman" w:hAnsi="Times New Roman"/>
          <w:szCs w:val="24"/>
          <w:lang w:val="en-GB"/>
        </w:rPr>
        <w:t xml:space="preserve"> with TP2 is auditable as it is a condition of export permits that export acquittals are submitted to </w:t>
      </w:r>
      <w:r w:rsidR="00DB04F6">
        <w:rPr>
          <w:rFonts w:ascii="Times New Roman" w:hAnsi="Times New Roman"/>
          <w:szCs w:val="24"/>
          <w:lang w:val="en-GB"/>
        </w:rPr>
        <w:t>DE</w:t>
      </w:r>
      <w:r w:rsidR="00182F15">
        <w:rPr>
          <w:rFonts w:ascii="Times New Roman" w:hAnsi="Times New Roman"/>
          <w:szCs w:val="24"/>
          <w:lang w:val="en-GB"/>
        </w:rPr>
        <w:t xml:space="preserve"> </w:t>
      </w:r>
      <w:r>
        <w:rPr>
          <w:rFonts w:ascii="Times New Roman" w:hAnsi="Times New Roman"/>
          <w:szCs w:val="24"/>
          <w:lang w:val="en-GB"/>
        </w:rPr>
        <w:t xml:space="preserve">within 2 weeks of exports occurring. Subsequent applications for export permits will be denied if acquittals are not received. </w:t>
      </w:r>
      <w:r w:rsidR="00DB04F6">
        <w:rPr>
          <w:rFonts w:ascii="Times New Roman" w:hAnsi="Times New Roman"/>
          <w:szCs w:val="24"/>
          <w:lang w:val="en-GB"/>
        </w:rPr>
        <w:t>DE</w:t>
      </w:r>
      <w:r w:rsidR="00182F15">
        <w:rPr>
          <w:rFonts w:ascii="Times New Roman" w:hAnsi="Times New Roman"/>
          <w:szCs w:val="24"/>
          <w:lang w:val="en-GB"/>
        </w:rPr>
        <w:t xml:space="preserve"> </w:t>
      </w:r>
      <w:r>
        <w:rPr>
          <w:rFonts w:ascii="Times New Roman" w:hAnsi="Times New Roman"/>
          <w:szCs w:val="24"/>
          <w:lang w:val="en-GB"/>
        </w:rPr>
        <w:t xml:space="preserve">is able to monitor the cumulative export over the </w:t>
      </w:r>
      <w:r w:rsidR="0080367A">
        <w:rPr>
          <w:rFonts w:ascii="Times New Roman" w:hAnsi="Times New Roman"/>
          <w:szCs w:val="24"/>
          <w:lang w:val="en-GB"/>
        </w:rPr>
        <w:t xml:space="preserve">life of the WTO </w:t>
      </w:r>
      <w:r>
        <w:rPr>
          <w:rFonts w:ascii="Times New Roman" w:hAnsi="Times New Roman"/>
          <w:szCs w:val="24"/>
          <w:lang w:val="en-GB"/>
        </w:rPr>
        <w:t>through receipt of acquittals and ensure that no further export permits are issued if the total export of skins and fi</w:t>
      </w:r>
      <w:r w:rsidR="00103045">
        <w:rPr>
          <w:rFonts w:ascii="Times New Roman" w:hAnsi="Times New Roman"/>
          <w:szCs w:val="24"/>
          <w:lang w:val="en-GB"/>
        </w:rPr>
        <w:t xml:space="preserve">bre </w:t>
      </w:r>
      <w:proofErr w:type="gramStart"/>
      <w:r w:rsidR="0080367A">
        <w:rPr>
          <w:rFonts w:ascii="Times New Roman" w:hAnsi="Times New Roman"/>
          <w:szCs w:val="24"/>
          <w:lang w:val="en-GB"/>
        </w:rPr>
        <w:t xml:space="preserve">exceeds </w:t>
      </w:r>
      <w:r w:rsidR="00103045">
        <w:rPr>
          <w:rFonts w:ascii="Times New Roman" w:hAnsi="Times New Roman"/>
          <w:szCs w:val="24"/>
          <w:lang w:val="en-GB"/>
        </w:rPr>
        <w:t xml:space="preserve"> </w:t>
      </w:r>
      <w:r w:rsidR="00E60EAE">
        <w:rPr>
          <w:rFonts w:ascii="Times New Roman" w:hAnsi="Times New Roman"/>
          <w:szCs w:val="24"/>
          <w:lang w:val="en-GB"/>
        </w:rPr>
        <w:t>6</w:t>
      </w:r>
      <w:r>
        <w:rPr>
          <w:rFonts w:ascii="Times New Roman" w:hAnsi="Times New Roman"/>
          <w:szCs w:val="24"/>
          <w:lang w:val="en-GB"/>
        </w:rPr>
        <w:t>0,000</w:t>
      </w:r>
      <w:proofErr w:type="gramEnd"/>
      <w:r>
        <w:rPr>
          <w:rFonts w:ascii="Times New Roman" w:hAnsi="Times New Roman"/>
          <w:szCs w:val="24"/>
          <w:lang w:val="en-GB"/>
        </w:rPr>
        <w:t xml:space="preserve"> animals</w:t>
      </w:r>
      <w:r w:rsidR="0080367A">
        <w:rPr>
          <w:rFonts w:ascii="Times New Roman" w:hAnsi="Times New Roman"/>
          <w:szCs w:val="24"/>
          <w:lang w:val="en-GB"/>
        </w:rPr>
        <w:t>/year</w:t>
      </w:r>
      <w:r>
        <w:rPr>
          <w:rFonts w:ascii="Times New Roman" w:hAnsi="Times New Roman"/>
          <w:szCs w:val="24"/>
          <w:lang w:val="en-GB"/>
        </w:rPr>
        <w:t>.</w:t>
      </w:r>
    </w:p>
    <w:p w:rsidR="0036390B" w:rsidRDefault="0036390B">
      <w:pPr>
        <w:widowControl/>
        <w:spacing w:before="120" w:after="240"/>
        <w:rPr>
          <w:i/>
          <w:sz w:val="24"/>
          <w:szCs w:val="24"/>
          <w:lang w:val="en-GB"/>
        </w:rPr>
      </w:pPr>
      <w:r>
        <w:rPr>
          <w:sz w:val="24"/>
          <w:szCs w:val="24"/>
          <w:lang w:val="en-GB"/>
        </w:rPr>
        <w:t xml:space="preserve">WMB has a team of five compliance officers whose responsibility is the enforcement of the </w:t>
      </w:r>
      <w:r>
        <w:rPr>
          <w:i/>
          <w:sz w:val="24"/>
          <w:szCs w:val="24"/>
          <w:lang w:val="en-GB"/>
        </w:rPr>
        <w:t xml:space="preserve">Nature Conservation Act 2002 </w:t>
      </w:r>
      <w:r>
        <w:rPr>
          <w:sz w:val="24"/>
          <w:szCs w:val="24"/>
          <w:lang w:val="en-GB"/>
        </w:rPr>
        <w:t xml:space="preserve">and regulations as well as associated legislation such as the </w:t>
      </w:r>
      <w:r>
        <w:rPr>
          <w:i/>
          <w:sz w:val="24"/>
          <w:szCs w:val="24"/>
          <w:lang w:val="en-GB"/>
        </w:rPr>
        <w:t>Animal Welfare Act 1993.</w:t>
      </w:r>
    </w:p>
    <w:p w:rsidR="0036390B" w:rsidRDefault="0036390B">
      <w:pPr>
        <w:pStyle w:val="Heading1"/>
        <w:keepNext w:val="0"/>
        <w:widowControl/>
        <w:rPr>
          <w:rFonts w:ascii="Times New Roman Bold" w:hAnsi="Times New Roman Bold"/>
          <w:caps w:val="0"/>
          <w:szCs w:val="28"/>
          <w:lang w:val="en-GB"/>
        </w:rPr>
      </w:pPr>
      <w:r>
        <w:rPr>
          <w:rFonts w:ascii="Times New Roman" w:hAnsi="Times New Roman"/>
          <w:szCs w:val="28"/>
          <w:lang w:val="en-GB"/>
        </w:rPr>
        <w:t>8.</w:t>
      </w:r>
      <w:r>
        <w:rPr>
          <w:rFonts w:ascii="Times New Roman" w:hAnsi="Times New Roman"/>
          <w:szCs w:val="28"/>
          <w:lang w:val="en-GB"/>
        </w:rPr>
        <w:tab/>
      </w:r>
      <w:bookmarkStart w:id="5" w:name="_Toc49584198"/>
      <w:bookmarkStart w:id="6" w:name="_Toc49744945"/>
      <w:bookmarkStart w:id="7" w:name="_Toc52163508"/>
      <w:r>
        <w:rPr>
          <w:rFonts w:ascii="Times New Roman Bold" w:hAnsi="Times New Roman Bold"/>
          <w:caps w:val="0"/>
          <w:szCs w:val="28"/>
          <w:lang w:val="en-GB"/>
        </w:rPr>
        <w:t>Animal Welfare</w:t>
      </w:r>
      <w:bookmarkEnd w:id="5"/>
      <w:bookmarkEnd w:id="6"/>
      <w:bookmarkEnd w:id="7"/>
    </w:p>
    <w:p w:rsidR="002F424F" w:rsidRDefault="002F424F" w:rsidP="002F424F">
      <w:pPr>
        <w:rPr>
          <w:sz w:val="24"/>
          <w:szCs w:val="24"/>
        </w:rPr>
      </w:pPr>
      <w:r w:rsidRPr="002F424F">
        <w:rPr>
          <w:sz w:val="24"/>
          <w:szCs w:val="24"/>
        </w:rPr>
        <w:t xml:space="preserve">Under section 8 of the </w:t>
      </w:r>
      <w:r w:rsidRPr="002F424F">
        <w:rPr>
          <w:i/>
          <w:sz w:val="24"/>
          <w:szCs w:val="24"/>
        </w:rPr>
        <w:t xml:space="preserve">Animal Welfare Act 1993 </w:t>
      </w:r>
      <w:r w:rsidRPr="002F424F">
        <w:rPr>
          <w:sz w:val="24"/>
          <w:szCs w:val="24"/>
        </w:rPr>
        <w:t xml:space="preserve">it is an offence to inflict unreasonable or unjustifiable pain or suffering to an animal. The requirements of the National Code of Practice for the Humane Shooting of Kangaroos and Wallabies for Commercial Purposes are legally enforceable as conditions of the Commercial Wallaby </w:t>
      </w:r>
      <w:proofErr w:type="spellStart"/>
      <w:r w:rsidRPr="002F424F">
        <w:rPr>
          <w:sz w:val="24"/>
          <w:szCs w:val="24"/>
        </w:rPr>
        <w:t>licence</w:t>
      </w:r>
      <w:proofErr w:type="spellEnd"/>
      <w:r w:rsidRPr="002F424F">
        <w:rPr>
          <w:sz w:val="24"/>
          <w:szCs w:val="24"/>
        </w:rPr>
        <w:t xml:space="preserve"> under which all commercial harvesters must operate. </w:t>
      </w:r>
    </w:p>
    <w:p w:rsidR="002F424F" w:rsidRDefault="002F424F" w:rsidP="002F424F">
      <w:pPr>
        <w:rPr>
          <w:sz w:val="24"/>
          <w:szCs w:val="24"/>
        </w:rPr>
      </w:pPr>
    </w:p>
    <w:p w:rsidR="002F424F" w:rsidRDefault="002F424F" w:rsidP="002F424F">
      <w:pPr>
        <w:rPr>
          <w:sz w:val="24"/>
          <w:szCs w:val="24"/>
        </w:rPr>
      </w:pPr>
      <w:r w:rsidRPr="002F424F">
        <w:rPr>
          <w:sz w:val="24"/>
          <w:szCs w:val="24"/>
        </w:rPr>
        <w:t xml:space="preserve">It is a requirement by FSB and a condition set out on a commercial harvester’s </w:t>
      </w:r>
      <w:proofErr w:type="spellStart"/>
      <w:r w:rsidRPr="002F424F">
        <w:rPr>
          <w:sz w:val="24"/>
          <w:szCs w:val="24"/>
        </w:rPr>
        <w:t>licen</w:t>
      </w:r>
      <w:r w:rsidR="00927F60">
        <w:rPr>
          <w:sz w:val="24"/>
          <w:szCs w:val="24"/>
        </w:rPr>
        <w:t>c</w:t>
      </w:r>
      <w:r w:rsidRPr="002F424F">
        <w:rPr>
          <w:sz w:val="24"/>
          <w:szCs w:val="24"/>
        </w:rPr>
        <w:t>e</w:t>
      </w:r>
      <w:proofErr w:type="spellEnd"/>
      <w:r w:rsidRPr="002F424F">
        <w:rPr>
          <w:sz w:val="24"/>
          <w:szCs w:val="24"/>
        </w:rPr>
        <w:t xml:space="preserve"> by WBM that all wallaby entering a commercial licensed works are to be brain shot. </w:t>
      </w:r>
    </w:p>
    <w:p w:rsidR="002F424F" w:rsidRPr="002F424F" w:rsidRDefault="002F424F" w:rsidP="002F424F">
      <w:pPr>
        <w:rPr>
          <w:sz w:val="24"/>
          <w:szCs w:val="24"/>
        </w:rPr>
      </w:pPr>
    </w:p>
    <w:p w:rsidR="002F424F" w:rsidRPr="002F424F" w:rsidRDefault="002F424F" w:rsidP="002F424F">
      <w:pPr>
        <w:rPr>
          <w:sz w:val="24"/>
          <w:szCs w:val="24"/>
        </w:rPr>
      </w:pPr>
      <w:r w:rsidRPr="002F424F">
        <w:rPr>
          <w:sz w:val="24"/>
          <w:szCs w:val="24"/>
        </w:rPr>
        <w:t xml:space="preserve">All commercial harvesters must complete a Certificate </w:t>
      </w:r>
      <w:r w:rsidR="00846A92">
        <w:rPr>
          <w:sz w:val="24"/>
          <w:szCs w:val="24"/>
        </w:rPr>
        <w:t>II</w:t>
      </w:r>
      <w:r w:rsidRPr="002F424F">
        <w:rPr>
          <w:sz w:val="24"/>
          <w:szCs w:val="24"/>
        </w:rPr>
        <w:t xml:space="preserve"> in Meat Processing (Game Meat Hunters and Shooters) or equivalent from a registered RTO and pass a field audit in the harvesting of wallaby. All commercial harvesters are accredited in accordance with the provision</w:t>
      </w:r>
      <w:r>
        <w:rPr>
          <w:sz w:val="24"/>
          <w:szCs w:val="24"/>
        </w:rPr>
        <w:t>s</w:t>
      </w:r>
      <w:r w:rsidRPr="002F424F">
        <w:rPr>
          <w:sz w:val="24"/>
          <w:szCs w:val="24"/>
        </w:rPr>
        <w:t xml:space="preserve"> of the </w:t>
      </w:r>
      <w:r w:rsidRPr="002F424F">
        <w:rPr>
          <w:i/>
          <w:sz w:val="24"/>
          <w:szCs w:val="24"/>
        </w:rPr>
        <w:t>Meat Hygiene Act 1995</w:t>
      </w:r>
      <w:r w:rsidRPr="002F424F">
        <w:rPr>
          <w:sz w:val="24"/>
          <w:szCs w:val="24"/>
        </w:rPr>
        <w:t xml:space="preserve">, and the Australian Standard for the Hygienic Production of Wild Game Meat for Human Consumption.  All commercial harvesters are audited annually with a field audit to ensure that all standards are being met and maintained. </w:t>
      </w:r>
    </w:p>
    <w:p w:rsidR="002F424F" w:rsidRDefault="002F424F" w:rsidP="002F424F">
      <w:pPr>
        <w:rPr>
          <w:sz w:val="24"/>
          <w:szCs w:val="24"/>
        </w:rPr>
      </w:pPr>
      <w:r w:rsidRPr="002F424F">
        <w:rPr>
          <w:sz w:val="24"/>
          <w:szCs w:val="24"/>
        </w:rPr>
        <w:t xml:space="preserve">Game Meat Processing Plant cannot accept any wallaby harvested by the use of shotguns/dogs. </w:t>
      </w:r>
    </w:p>
    <w:p w:rsidR="002F424F" w:rsidRPr="002F424F" w:rsidRDefault="002F424F" w:rsidP="002F424F">
      <w:pPr>
        <w:rPr>
          <w:sz w:val="24"/>
          <w:szCs w:val="24"/>
        </w:rPr>
      </w:pPr>
    </w:p>
    <w:p w:rsidR="002F424F" w:rsidRDefault="002F424F" w:rsidP="002F424F">
      <w:pPr>
        <w:rPr>
          <w:sz w:val="24"/>
          <w:szCs w:val="24"/>
        </w:rPr>
      </w:pPr>
      <w:r w:rsidRPr="002F424F">
        <w:rPr>
          <w:sz w:val="24"/>
          <w:szCs w:val="24"/>
        </w:rPr>
        <w:t>All Game Meat Processing Plants are audited on a regular basis by FSB to ensure that the processing plant is operating within the welfare standards set out</w:t>
      </w:r>
    </w:p>
    <w:p w:rsidR="002F424F" w:rsidRPr="002F424F" w:rsidRDefault="002F424F" w:rsidP="002F424F">
      <w:pPr>
        <w:rPr>
          <w:sz w:val="24"/>
          <w:szCs w:val="24"/>
        </w:rPr>
      </w:pPr>
      <w:r w:rsidRPr="002F424F">
        <w:rPr>
          <w:sz w:val="24"/>
          <w:szCs w:val="24"/>
        </w:rPr>
        <w:t>.</w:t>
      </w:r>
    </w:p>
    <w:p w:rsidR="002F424F" w:rsidRDefault="002F424F" w:rsidP="002F424F">
      <w:pPr>
        <w:rPr>
          <w:sz w:val="24"/>
          <w:szCs w:val="24"/>
        </w:rPr>
      </w:pPr>
      <w:r w:rsidRPr="002F424F">
        <w:rPr>
          <w:sz w:val="24"/>
          <w:szCs w:val="24"/>
        </w:rPr>
        <w:t xml:space="preserve">Any breach of any condition set out in The National Code of Practice for the Humane Shooting of Kangaroos and Wallabies for Commercial Purposes or by any other licensing act that applies to Commercial Harvesters and Games Meat Processing Plants will </w:t>
      </w:r>
      <w:r w:rsidR="00927F60">
        <w:rPr>
          <w:sz w:val="24"/>
          <w:szCs w:val="24"/>
        </w:rPr>
        <w:t>be liable to prosecution</w:t>
      </w:r>
      <w:r w:rsidRPr="002F424F">
        <w:rPr>
          <w:sz w:val="24"/>
          <w:szCs w:val="24"/>
        </w:rPr>
        <w:t>. This can incl</w:t>
      </w:r>
      <w:r>
        <w:rPr>
          <w:sz w:val="24"/>
          <w:szCs w:val="24"/>
        </w:rPr>
        <w:t xml:space="preserve">ude the potential loss of </w:t>
      </w:r>
      <w:proofErr w:type="spellStart"/>
      <w:r>
        <w:rPr>
          <w:sz w:val="24"/>
          <w:szCs w:val="24"/>
        </w:rPr>
        <w:t>licenc</w:t>
      </w:r>
      <w:r w:rsidRPr="002F424F">
        <w:rPr>
          <w:sz w:val="24"/>
          <w:szCs w:val="24"/>
        </w:rPr>
        <w:t>e</w:t>
      </w:r>
      <w:proofErr w:type="spellEnd"/>
      <w:r w:rsidRPr="002F424F">
        <w:rPr>
          <w:sz w:val="24"/>
          <w:szCs w:val="24"/>
        </w:rPr>
        <w:t xml:space="preserve"> to operate. </w:t>
      </w:r>
    </w:p>
    <w:p w:rsidR="002F424F" w:rsidRPr="002F424F" w:rsidRDefault="002F424F" w:rsidP="002F424F">
      <w:pPr>
        <w:rPr>
          <w:sz w:val="24"/>
          <w:szCs w:val="24"/>
        </w:rPr>
      </w:pPr>
    </w:p>
    <w:p w:rsidR="0036390B" w:rsidRDefault="0036390B">
      <w:pPr>
        <w:widowControl/>
        <w:numPr>
          <w:ilvl w:val="12"/>
          <w:numId w:val="0"/>
        </w:numPr>
        <w:rPr>
          <w:b/>
          <w:sz w:val="24"/>
          <w:szCs w:val="24"/>
          <w:lang w:val="en-GB"/>
        </w:rPr>
      </w:pPr>
      <w:r>
        <w:rPr>
          <w:b/>
          <w:sz w:val="24"/>
          <w:szCs w:val="24"/>
          <w:lang w:val="en-GB"/>
        </w:rPr>
        <w:t>8.1</w:t>
      </w:r>
      <w:r>
        <w:rPr>
          <w:b/>
          <w:sz w:val="24"/>
          <w:szCs w:val="24"/>
          <w:lang w:val="en-GB"/>
        </w:rPr>
        <w:tab/>
        <w:t>Non-target considerations.</w:t>
      </w:r>
    </w:p>
    <w:p w:rsidR="0036390B" w:rsidRDefault="0036390B">
      <w:pPr>
        <w:widowControl/>
        <w:numPr>
          <w:ilvl w:val="12"/>
          <w:numId w:val="0"/>
        </w:numPr>
        <w:spacing w:after="120"/>
        <w:rPr>
          <w:sz w:val="24"/>
          <w:szCs w:val="24"/>
          <w:lang w:val="en-GB"/>
        </w:rPr>
      </w:pPr>
      <w:r>
        <w:rPr>
          <w:sz w:val="24"/>
          <w:szCs w:val="24"/>
          <w:lang w:val="en-GB"/>
        </w:rPr>
        <w:t xml:space="preserve">The argument is often raised in objection to kangaroo harvesting that removing dominant males and females upsets the social balance within a mob of kangaroos, thus having detrimental welfare effects on non-target animals. This WTO makes no comment on the validity of this criticism; it merely notes that Bennett’s wallabies are less gregarious than the larger </w:t>
      </w:r>
      <w:proofErr w:type="spellStart"/>
      <w:r>
        <w:rPr>
          <w:sz w:val="24"/>
          <w:szCs w:val="24"/>
          <w:lang w:val="en-GB"/>
        </w:rPr>
        <w:t>macropod</w:t>
      </w:r>
      <w:proofErr w:type="spellEnd"/>
      <w:r>
        <w:rPr>
          <w:sz w:val="24"/>
          <w:szCs w:val="24"/>
          <w:lang w:val="en-GB"/>
        </w:rPr>
        <w:t xml:space="preserve"> species. Social relationships within groups of Bennett’s wallaby are highly unstable, the only enduring relationship being between a female and her </w:t>
      </w:r>
      <w:proofErr w:type="spellStart"/>
      <w:r>
        <w:rPr>
          <w:sz w:val="24"/>
          <w:szCs w:val="24"/>
          <w:lang w:val="en-GB"/>
        </w:rPr>
        <w:t>unweaned</w:t>
      </w:r>
      <w:proofErr w:type="spellEnd"/>
      <w:r>
        <w:rPr>
          <w:sz w:val="24"/>
          <w:szCs w:val="24"/>
          <w:lang w:val="en-GB"/>
        </w:rPr>
        <w:t xml:space="preserve"> progeny (</w:t>
      </w:r>
      <w:proofErr w:type="spellStart"/>
      <w:r>
        <w:rPr>
          <w:sz w:val="24"/>
          <w:szCs w:val="24"/>
          <w:lang w:val="en-GB"/>
        </w:rPr>
        <w:t>Calaby</w:t>
      </w:r>
      <w:proofErr w:type="spellEnd"/>
      <w:r>
        <w:rPr>
          <w:sz w:val="24"/>
          <w:szCs w:val="24"/>
          <w:lang w:val="en-GB"/>
        </w:rPr>
        <w:t xml:space="preserve"> 1983; Johnson &amp; Rose, 1995, Morton, S.R. and Burton, T.C. 1973). Studies of movement indicate that individuals are relatively sedentary, occupying small home ranges that overlap broadly with other individuals (Catt 1977; Mooney &amp; Johnson 1979). This indicates that harvesting will have minimal impact on any social structures within a Bennett’s wallaby population.</w:t>
      </w:r>
    </w:p>
    <w:p w:rsidR="0036390B" w:rsidRDefault="0036390B">
      <w:pPr>
        <w:widowControl/>
        <w:numPr>
          <w:ilvl w:val="12"/>
          <w:numId w:val="0"/>
        </w:numPr>
        <w:spacing w:after="120"/>
        <w:rPr>
          <w:sz w:val="24"/>
          <w:szCs w:val="24"/>
          <w:lang w:val="en-GB"/>
        </w:rPr>
      </w:pPr>
      <w:r>
        <w:rPr>
          <w:sz w:val="24"/>
          <w:szCs w:val="24"/>
          <w:lang w:val="en-GB"/>
        </w:rPr>
        <w:t>In addition, the identification of Bennett’s wallabies in the field is well covered in the accreditation process for commercial shooters; hence the likelihood of harvesters shooting non-target species (e.g. forester kangaroos) is extremely low.</w:t>
      </w:r>
    </w:p>
    <w:p w:rsidR="0036390B" w:rsidRDefault="0036390B">
      <w:pPr>
        <w:widowControl/>
        <w:numPr>
          <w:ilvl w:val="12"/>
          <w:numId w:val="0"/>
        </w:numPr>
        <w:spacing w:after="120"/>
        <w:rPr>
          <w:sz w:val="24"/>
          <w:szCs w:val="24"/>
          <w:lang w:val="en-GB"/>
        </w:rPr>
      </w:pPr>
      <w:r>
        <w:rPr>
          <w:b/>
          <w:sz w:val="24"/>
          <w:szCs w:val="24"/>
          <w:lang w:val="en-GB"/>
        </w:rPr>
        <w:t>Key controls:</w:t>
      </w:r>
    </w:p>
    <w:p w:rsidR="0036390B" w:rsidRDefault="0036390B">
      <w:pPr>
        <w:widowControl/>
        <w:numPr>
          <w:ilvl w:val="12"/>
          <w:numId w:val="0"/>
        </w:numPr>
        <w:spacing w:after="120"/>
        <w:rPr>
          <w:sz w:val="24"/>
          <w:szCs w:val="24"/>
          <w:lang w:val="en-GB"/>
        </w:rPr>
      </w:pPr>
      <w:r>
        <w:rPr>
          <w:sz w:val="24"/>
          <w:szCs w:val="24"/>
          <w:lang w:val="en-GB"/>
        </w:rPr>
        <w:t>All harvesters are re-assessed under actual field operating conditions every year to ensure compliance with the Code.</w:t>
      </w:r>
    </w:p>
    <w:p w:rsidR="0036390B" w:rsidRDefault="0036390B">
      <w:pPr>
        <w:widowControl/>
        <w:numPr>
          <w:ilvl w:val="12"/>
          <w:numId w:val="0"/>
        </w:numPr>
        <w:spacing w:after="120"/>
        <w:rPr>
          <w:sz w:val="24"/>
          <w:szCs w:val="24"/>
          <w:lang w:val="en-GB"/>
        </w:rPr>
      </w:pPr>
      <w:r>
        <w:rPr>
          <w:sz w:val="24"/>
          <w:szCs w:val="24"/>
          <w:lang w:val="en-GB"/>
        </w:rPr>
        <w:t>All meat processors are audited regularly and assessment of compliance with the Animal Welfare Standard is part of the audit procedure.</w:t>
      </w:r>
    </w:p>
    <w:p w:rsidR="0036390B" w:rsidRDefault="0036390B">
      <w:pPr>
        <w:widowControl/>
        <w:numPr>
          <w:ilvl w:val="12"/>
          <w:numId w:val="0"/>
        </w:numPr>
        <w:spacing w:before="240" w:after="240"/>
        <w:rPr>
          <w:b/>
          <w:sz w:val="28"/>
          <w:szCs w:val="28"/>
          <w:lang w:val="en-GB"/>
        </w:rPr>
      </w:pPr>
      <w:r>
        <w:rPr>
          <w:b/>
          <w:sz w:val="28"/>
          <w:szCs w:val="28"/>
          <w:lang w:val="en-GB"/>
        </w:rPr>
        <w:t>9. Over-ride Provision:</w:t>
      </w:r>
    </w:p>
    <w:p w:rsidR="0036390B" w:rsidRDefault="0036390B">
      <w:pPr>
        <w:pStyle w:val="BodyText3"/>
        <w:widowControl/>
        <w:numPr>
          <w:ilvl w:val="12"/>
          <w:numId w:val="0"/>
        </w:numPr>
        <w:spacing w:after="120"/>
        <w:rPr>
          <w:szCs w:val="24"/>
          <w:lang w:val="en-GB"/>
        </w:rPr>
      </w:pPr>
      <w:r>
        <w:rPr>
          <w:szCs w:val="24"/>
          <w:lang w:val="en-GB"/>
        </w:rPr>
        <w:t xml:space="preserve">This WTO shall be invalidated in the case of </w:t>
      </w:r>
      <w:r w:rsidR="00DB04F6">
        <w:rPr>
          <w:szCs w:val="24"/>
          <w:lang w:val="en-GB"/>
        </w:rPr>
        <w:t xml:space="preserve">DE </w:t>
      </w:r>
      <w:r>
        <w:rPr>
          <w:szCs w:val="24"/>
          <w:lang w:val="en-GB"/>
        </w:rPr>
        <w:t xml:space="preserve">approving a Wildlife Trade Management Plan under section 303FO of the EPBC Act submitted by </w:t>
      </w:r>
      <w:r w:rsidR="00DB04F6">
        <w:rPr>
          <w:szCs w:val="24"/>
          <w:lang w:val="en-GB"/>
        </w:rPr>
        <w:t xml:space="preserve">DE </w:t>
      </w:r>
      <w:r>
        <w:rPr>
          <w:szCs w:val="24"/>
          <w:lang w:val="en-GB"/>
        </w:rPr>
        <w:t xml:space="preserve">covering Bennett’s wallaby in </w:t>
      </w:r>
      <w:smartTag w:uri="urn:schemas-microsoft-com:office:smarttags" w:element="State">
        <w:smartTag w:uri="urn:schemas-microsoft-com:office:smarttags" w:element="place">
          <w:r>
            <w:rPr>
              <w:szCs w:val="24"/>
              <w:lang w:val="en-GB"/>
            </w:rPr>
            <w:t>Tasmania</w:t>
          </w:r>
        </w:smartTag>
      </w:smartTag>
      <w:r>
        <w:rPr>
          <w:szCs w:val="24"/>
          <w:lang w:val="en-GB"/>
        </w:rPr>
        <w:t xml:space="preserve"> as a whole.</w:t>
      </w:r>
    </w:p>
    <w:p w:rsidR="00982569" w:rsidRDefault="00982569">
      <w:pPr>
        <w:pStyle w:val="BodyText3"/>
        <w:widowControl/>
        <w:numPr>
          <w:ilvl w:val="12"/>
          <w:numId w:val="0"/>
        </w:numPr>
        <w:spacing w:after="120"/>
        <w:rPr>
          <w:szCs w:val="24"/>
          <w:lang w:val="en-GB"/>
        </w:rPr>
      </w:pPr>
    </w:p>
    <w:p w:rsidR="00982569" w:rsidRDefault="00982569">
      <w:pPr>
        <w:pStyle w:val="BodyText3"/>
        <w:widowControl/>
        <w:numPr>
          <w:ilvl w:val="12"/>
          <w:numId w:val="0"/>
        </w:numPr>
        <w:spacing w:after="120"/>
        <w:rPr>
          <w:lang w:val="en-GB"/>
        </w:rPr>
      </w:pPr>
    </w:p>
    <w:p w:rsidR="0036390B" w:rsidRDefault="0036390B">
      <w:pPr>
        <w:widowControl/>
        <w:numPr>
          <w:ilvl w:val="12"/>
          <w:numId w:val="0"/>
        </w:numPr>
        <w:spacing w:before="240" w:after="240"/>
        <w:rPr>
          <w:b/>
          <w:sz w:val="28"/>
          <w:szCs w:val="28"/>
          <w:lang w:val="en-GB"/>
        </w:rPr>
      </w:pPr>
      <w:r>
        <w:rPr>
          <w:b/>
          <w:sz w:val="28"/>
          <w:szCs w:val="28"/>
          <w:lang w:val="en-GB"/>
        </w:rPr>
        <w:t>10. Reports</w:t>
      </w:r>
    </w:p>
    <w:p w:rsidR="0036390B" w:rsidRDefault="0036390B">
      <w:pPr>
        <w:widowControl/>
        <w:numPr>
          <w:ilvl w:val="12"/>
          <w:numId w:val="0"/>
        </w:numPr>
        <w:spacing w:after="120"/>
        <w:rPr>
          <w:sz w:val="24"/>
          <w:szCs w:val="24"/>
          <w:lang w:val="en-GB"/>
        </w:rPr>
      </w:pPr>
      <w:r>
        <w:rPr>
          <w:sz w:val="24"/>
          <w:szCs w:val="24"/>
          <w:lang w:val="en-GB"/>
        </w:rPr>
        <w:t xml:space="preserve">Following the collation and analysis of survey data by WMB by the end of March, LGM will submit to </w:t>
      </w:r>
      <w:r w:rsidR="00DB04F6">
        <w:rPr>
          <w:sz w:val="24"/>
          <w:szCs w:val="24"/>
          <w:lang w:val="en-GB"/>
        </w:rPr>
        <w:t xml:space="preserve">DE </w:t>
      </w:r>
      <w:r>
        <w:rPr>
          <w:sz w:val="24"/>
          <w:szCs w:val="24"/>
          <w:lang w:val="en-GB"/>
        </w:rPr>
        <w:t>by 30 April, an annual report on the following:</w:t>
      </w:r>
    </w:p>
    <w:p w:rsidR="0036390B" w:rsidRDefault="0036390B">
      <w:pPr>
        <w:widowControl/>
        <w:numPr>
          <w:ilvl w:val="12"/>
          <w:numId w:val="0"/>
        </w:numPr>
        <w:rPr>
          <w:sz w:val="24"/>
          <w:szCs w:val="24"/>
          <w:lang w:val="en-GB"/>
        </w:rPr>
      </w:pPr>
    </w:p>
    <w:p w:rsidR="0036390B" w:rsidRDefault="0036390B" w:rsidP="003128B8">
      <w:pPr>
        <w:widowControl/>
        <w:numPr>
          <w:ilvl w:val="0"/>
          <w:numId w:val="8"/>
        </w:numPr>
        <w:ind w:left="567" w:hanging="567"/>
        <w:rPr>
          <w:sz w:val="24"/>
          <w:szCs w:val="24"/>
          <w:lang w:val="en-GB"/>
        </w:rPr>
      </w:pPr>
      <w:r>
        <w:rPr>
          <w:sz w:val="24"/>
          <w:szCs w:val="24"/>
          <w:lang w:val="en-GB"/>
        </w:rPr>
        <w:t>The Bennett’s wallaby density index reported by WMB for the previous year with its position against TP1; and</w:t>
      </w:r>
    </w:p>
    <w:p w:rsidR="0036390B" w:rsidRDefault="0036390B" w:rsidP="003128B8">
      <w:pPr>
        <w:widowControl/>
        <w:numPr>
          <w:ilvl w:val="0"/>
          <w:numId w:val="8"/>
        </w:numPr>
        <w:ind w:left="567" w:hanging="567"/>
        <w:rPr>
          <w:sz w:val="24"/>
          <w:szCs w:val="24"/>
          <w:lang w:val="en-GB"/>
        </w:rPr>
      </w:pPr>
      <w:r>
        <w:rPr>
          <w:sz w:val="24"/>
          <w:szCs w:val="24"/>
          <w:lang w:val="en-GB"/>
        </w:rPr>
        <w:t xml:space="preserve">Total number of wallaby skins </w:t>
      </w:r>
      <w:r w:rsidR="00821554">
        <w:rPr>
          <w:sz w:val="24"/>
          <w:szCs w:val="24"/>
          <w:lang w:val="en-GB"/>
        </w:rPr>
        <w:t xml:space="preserve">purchased and/or </w:t>
      </w:r>
      <w:r>
        <w:rPr>
          <w:sz w:val="24"/>
          <w:szCs w:val="24"/>
          <w:lang w:val="en-GB"/>
        </w:rPr>
        <w:t>exported for the previous calendar year</w:t>
      </w:r>
    </w:p>
    <w:p w:rsidR="0036390B" w:rsidRDefault="0036390B" w:rsidP="003128B8">
      <w:pPr>
        <w:widowControl/>
        <w:numPr>
          <w:ilvl w:val="0"/>
          <w:numId w:val="8"/>
        </w:numPr>
        <w:ind w:left="567" w:hanging="567"/>
        <w:rPr>
          <w:sz w:val="24"/>
          <w:szCs w:val="24"/>
          <w:lang w:val="en-GB"/>
        </w:rPr>
      </w:pPr>
      <w:r>
        <w:rPr>
          <w:sz w:val="24"/>
          <w:szCs w:val="24"/>
          <w:lang w:val="en-GB"/>
        </w:rPr>
        <w:t xml:space="preserve">Total number of wallaby harvested for the </w:t>
      </w:r>
      <w:r w:rsidR="00FE2D05">
        <w:rPr>
          <w:sz w:val="24"/>
          <w:szCs w:val="24"/>
          <w:lang w:val="en-GB"/>
        </w:rPr>
        <w:t xml:space="preserve">domestic meat market for the </w:t>
      </w:r>
      <w:r>
        <w:rPr>
          <w:sz w:val="24"/>
          <w:szCs w:val="24"/>
          <w:lang w:val="en-GB"/>
        </w:rPr>
        <w:t>previous calendar year</w:t>
      </w:r>
      <w:r w:rsidR="00DB04F6">
        <w:rPr>
          <w:sz w:val="24"/>
          <w:szCs w:val="24"/>
          <w:lang w:val="en-GB"/>
        </w:rPr>
        <w:t>.</w:t>
      </w:r>
    </w:p>
    <w:p w:rsidR="0036390B" w:rsidRDefault="0036390B">
      <w:pPr>
        <w:widowControl/>
        <w:rPr>
          <w:sz w:val="24"/>
          <w:szCs w:val="24"/>
          <w:lang w:val="en-GB"/>
        </w:rPr>
      </w:pPr>
    </w:p>
    <w:p w:rsidR="0036390B" w:rsidRPr="00923D22" w:rsidRDefault="0036390B" w:rsidP="00923D22">
      <w:pPr>
        <w:widowControl/>
        <w:numPr>
          <w:ilvl w:val="12"/>
          <w:numId w:val="0"/>
        </w:numPr>
        <w:spacing w:after="120"/>
        <w:rPr>
          <w:sz w:val="24"/>
          <w:szCs w:val="24"/>
          <w:lang w:val="en-GB"/>
        </w:rPr>
      </w:pPr>
      <w:r>
        <w:rPr>
          <w:sz w:val="24"/>
          <w:szCs w:val="24"/>
          <w:lang w:val="en-GB"/>
        </w:rPr>
        <w:t xml:space="preserve">This report will detail if, given assessments against the trigger points, skins harvested in the current year will be eligible for export. If any of the regional density indices have fallen below their respective trigger points then, as set out in subsection 6.1.1, LGM will ensure that exports do not occur from animals harvested in that region. LGM </w:t>
      </w:r>
      <w:r w:rsidR="00846A92">
        <w:rPr>
          <w:sz w:val="24"/>
          <w:szCs w:val="24"/>
          <w:lang w:val="en-GB"/>
        </w:rPr>
        <w:t>will</w:t>
      </w:r>
      <w:r>
        <w:rPr>
          <w:sz w:val="24"/>
          <w:szCs w:val="24"/>
          <w:lang w:val="en-GB"/>
        </w:rPr>
        <w:t xml:space="preserve"> outline the procedures it has put in place to ensure that skins harvested from the closed region will not be exported</w:t>
      </w:r>
      <w:r w:rsidR="00846A92">
        <w:rPr>
          <w:sz w:val="24"/>
          <w:szCs w:val="24"/>
        </w:rPr>
        <w:t xml:space="preserve"> in these reports</w:t>
      </w:r>
      <w:r>
        <w:rPr>
          <w:sz w:val="24"/>
          <w:szCs w:val="24"/>
          <w:lang w:val="en-GB"/>
        </w:rPr>
        <w:t>.</w:t>
      </w:r>
    </w:p>
    <w:p w:rsidR="0036390B" w:rsidRDefault="0036390B">
      <w:pPr>
        <w:widowControl/>
        <w:numPr>
          <w:ilvl w:val="12"/>
          <w:numId w:val="0"/>
        </w:numPr>
        <w:spacing w:before="240" w:after="240"/>
        <w:rPr>
          <w:sz w:val="28"/>
          <w:szCs w:val="28"/>
          <w:lang w:val="en-GB"/>
        </w:rPr>
      </w:pPr>
      <w:r>
        <w:rPr>
          <w:b/>
          <w:sz w:val="28"/>
          <w:szCs w:val="28"/>
          <w:lang w:val="en-GB"/>
        </w:rPr>
        <w:t>11.</w:t>
      </w:r>
      <w:r>
        <w:rPr>
          <w:b/>
          <w:sz w:val="28"/>
          <w:szCs w:val="28"/>
          <w:lang w:val="en-GB"/>
        </w:rPr>
        <w:tab/>
        <w:t>Summary</w:t>
      </w:r>
    </w:p>
    <w:p w:rsidR="0036390B" w:rsidRDefault="0036390B">
      <w:pPr>
        <w:widowControl/>
        <w:numPr>
          <w:ilvl w:val="12"/>
          <w:numId w:val="0"/>
        </w:numPr>
        <w:spacing w:after="120"/>
        <w:rPr>
          <w:sz w:val="24"/>
          <w:szCs w:val="24"/>
          <w:lang w:val="en-GB"/>
        </w:rPr>
      </w:pPr>
      <w:r>
        <w:rPr>
          <w:sz w:val="24"/>
          <w:szCs w:val="24"/>
          <w:lang w:val="en-GB"/>
        </w:rPr>
        <w:t>This WTO:</w:t>
      </w:r>
    </w:p>
    <w:p w:rsidR="0036390B" w:rsidRDefault="0036390B" w:rsidP="00187419">
      <w:pPr>
        <w:widowControl/>
        <w:ind w:left="567"/>
        <w:rPr>
          <w:sz w:val="24"/>
          <w:szCs w:val="24"/>
          <w:lang w:val="en-GB"/>
        </w:rPr>
      </w:pPr>
    </w:p>
    <w:p w:rsidR="0036390B" w:rsidRDefault="0036390B">
      <w:pPr>
        <w:widowControl/>
        <w:numPr>
          <w:ilvl w:val="0"/>
          <w:numId w:val="11"/>
        </w:numPr>
        <w:ind w:left="567" w:hanging="567"/>
        <w:rPr>
          <w:sz w:val="24"/>
          <w:szCs w:val="24"/>
          <w:lang w:val="en-GB"/>
        </w:rPr>
      </w:pPr>
      <w:r>
        <w:rPr>
          <w:sz w:val="24"/>
          <w:szCs w:val="24"/>
          <w:lang w:val="en-GB"/>
        </w:rPr>
        <w:t xml:space="preserve">Acknowledges that in total </w:t>
      </w:r>
      <w:proofErr w:type="gramStart"/>
      <w:r>
        <w:rPr>
          <w:sz w:val="24"/>
          <w:szCs w:val="24"/>
          <w:lang w:val="en-GB"/>
        </w:rPr>
        <w:t>an average</w:t>
      </w:r>
      <w:proofErr w:type="gramEnd"/>
      <w:r>
        <w:rPr>
          <w:sz w:val="24"/>
          <w:szCs w:val="24"/>
          <w:lang w:val="en-GB"/>
        </w:rPr>
        <w:t xml:space="preserve"> of over 600,000 Bennett’s wallaby are currently taken each year.</w:t>
      </w:r>
    </w:p>
    <w:p w:rsidR="0036390B" w:rsidRDefault="0036390B">
      <w:pPr>
        <w:widowControl/>
        <w:numPr>
          <w:ilvl w:val="0"/>
          <w:numId w:val="11"/>
        </w:numPr>
        <w:ind w:left="567" w:hanging="567"/>
        <w:rPr>
          <w:sz w:val="24"/>
          <w:szCs w:val="24"/>
          <w:lang w:val="en-GB"/>
        </w:rPr>
      </w:pPr>
      <w:r>
        <w:rPr>
          <w:sz w:val="24"/>
          <w:szCs w:val="24"/>
          <w:lang w:val="en-GB"/>
        </w:rPr>
        <w:t>A</w:t>
      </w:r>
      <w:r w:rsidR="0023714D">
        <w:rPr>
          <w:sz w:val="24"/>
          <w:szCs w:val="24"/>
          <w:lang w:val="en-GB"/>
        </w:rPr>
        <w:t>cknowledges that</w:t>
      </w:r>
      <w:r w:rsidR="00691783">
        <w:rPr>
          <w:sz w:val="24"/>
          <w:szCs w:val="24"/>
          <w:lang w:val="en-GB"/>
        </w:rPr>
        <w:t xml:space="preserve"> </w:t>
      </w:r>
      <w:proofErr w:type="spellStart"/>
      <w:r w:rsidR="00691783">
        <w:rPr>
          <w:sz w:val="24"/>
          <w:szCs w:val="24"/>
          <w:lang w:val="en-GB"/>
        </w:rPr>
        <w:t>with out</w:t>
      </w:r>
      <w:proofErr w:type="spellEnd"/>
      <w:r w:rsidR="00691783">
        <w:rPr>
          <w:sz w:val="24"/>
          <w:szCs w:val="24"/>
          <w:lang w:val="en-GB"/>
        </w:rPr>
        <w:t xml:space="preserve"> export markets skins from wallaby processed for domestic meat markets would be disposed of.  This is worse than a waste as they would be dumped into landfill and result in methane gas emissions contributing to global warming. </w:t>
      </w:r>
    </w:p>
    <w:p w:rsidR="0036390B" w:rsidRDefault="0036390B">
      <w:pPr>
        <w:widowControl/>
        <w:numPr>
          <w:ilvl w:val="0"/>
          <w:numId w:val="11"/>
        </w:numPr>
        <w:ind w:left="567" w:hanging="567"/>
        <w:rPr>
          <w:sz w:val="24"/>
          <w:szCs w:val="24"/>
          <w:lang w:val="en-GB"/>
        </w:rPr>
      </w:pPr>
      <w:r>
        <w:rPr>
          <w:sz w:val="24"/>
          <w:szCs w:val="24"/>
          <w:lang w:val="en-GB"/>
        </w:rPr>
        <w:t>Acknowledges that this level of harvest has occurred for an extended time and appears to have no detrimental effect on the population.</w:t>
      </w:r>
    </w:p>
    <w:p w:rsidR="0036390B" w:rsidRDefault="0036390B">
      <w:pPr>
        <w:widowControl/>
        <w:numPr>
          <w:ilvl w:val="0"/>
          <w:numId w:val="11"/>
        </w:numPr>
        <w:ind w:left="567" w:hanging="567"/>
        <w:rPr>
          <w:sz w:val="24"/>
          <w:szCs w:val="24"/>
          <w:lang w:val="en-GB"/>
        </w:rPr>
      </w:pPr>
      <w:r>
        <w:rPr>
          <w:sz w:val="24"/>
          <w:szCs w:val="24"/>
          <w:lang w:val="en-GB"/>
        </w:rPr>
        <w:t>P</w:t>
      </w:r>
      <w:r w:rsidR="0023714D">
        <w:rPr>
          <w:sz w:val="24"/>
          <w:szCs w:val="24"/>
          <w:lang w:val="en-GB"/>
        </w:rPr>
        <w:t>roposes th</w:t>
      </w:r>
      <w:r w:rsidR="00691783">
        <w:rPr>
          <w:sz w:val="24"/>
          <w:szCs w:val="24"/>
          <w:lang w:val="en-GB"/>
        </w:rPr>
        <w:t xml:space="preserve">at </w:t>
      </w:r>
      <w:r w:rsidR="0023714D">
        <w:rPr>
          <w:sz w:val="24"/>
          <w:szCs w:val="24"/>
          <w:lang w:val="en-GB"/>
        </w:rPr>
        <w:t xml:space="preserve">up to </w:t>
      </w:r>
      <w:r w:rsidR="00E60EAE">
        <w:rPr>
          <w:sz w:val="24"/>
          <w:szCs w:val="24"/>
          <w:lang w:val="en-GB"/>
        </w:rPr>
        <w:t>6</w:t>
      </w:r>
      <w:r w:rsidR="00F73F5B">
        <w:rPr>
          <w:sz w:val="24"/>
          <w:szCs w:val="24"/>
          <w:lang w:val="en-GB"/>
        </w:rPr>
        <w:t>0</w:t>
      </w:r>
      <w:r>
        <w:rPr>
          <w:sz w:val="24"/>
          <w:szCs w:val="24"/>
          <w:lang w:val="en-GB"/>
        </w:rPr>
        <w:t xml:space="preserve">,000 </w:t>
      </w:r>
      <w:r w:rsidR="00691783">
        <w:rPr>
          <w:sz w:val="24"/>
          <w:szCs w:val="24"/>
          <w:lang w:val="en-GB"/>
        </w:rPr>
        <w:t>skins per year from animals processed for domestic meat markets can be exported</w:t>
      </w:r>
      <w:r>
        <w:rPr>
          <w:sz w:val="24"/>
          <w:szCs w:val="24"/>
          <w:lang w:val="en-GB"/>
        </w:rPr>
        <w:t>.</w:t>
      </w:r>
    </w:p>
    <w:p w:rsidR="0036390B" w:rsidRDefault="0036390B">
      <w:pPr>
        <w:widowControl/>
        <w:numPr>
          <w:ilvl w:val="0"/>
          <w:numId w:val="11"/>
        </w:numPr>
        <w:ind w:left="567" w:hanging="567"/>
        <w:rPr>
          <w:sz w:val="24"/>
          <w:szCs w:val="24"/>
          <w:lang w:val="en-GB"/>
        </w:rPr>
      </w:pPr>
      <w:r>
        <w:rPr>
          <w:sz w:val="24"/>
          <w:szCs w:val="24"/>
          <w:lang w:val="en-GB"/>
        </w:rPr>
        <w:t xml:space="preserve">Puts in place mechanisms to stop exports if wallaby densities decline below conservative levels or if exports reach </w:t>
      </w:r>
      <w:r w:rsidR="00E60EAE">
        <w:rPr>
          <w:sz w:val="24"/>
          <w:szCs w:val="24"/>
          <w:lang w:val="en-GB"/>
        </w:rPr>
        <w:t>6</w:t>
      </w:r>
      <w:r w:rsidR="00F73F5B">
        <w:rPr>
          <w:sz w:val="24"/>
          <w:szCs w:val="24"/>
          <w:lang w:val="en-GB"/>
        </w:rPr>
        <w:t>0</w:t>
      </w:r>
      <w:r>
        <w:rPr>
          <w:sz w:val="24"/>
          <w:szCs w:val="24"/>
          <w:lang w:val="en-GB"/>
        </w:rPr>
        <w:t>,000 skins taken in any one year.</w:t>
      </w:r>
    </w:p>
    <w:p w:rsidR="0036390B" w:rsidRDefault="0036390B">
      <w:pPr>
        <w:widowControl/>
        <w:numPr>
          <w:ilvl w:val="0"/>
          <w:numId w:val="11"/>
        </w:numPr>
        <w:ind w:left="567" w:hanging="567"/>
        <w:rPr>
          <w:sz w:val="24"/>
          <w:szCs w:val="24"/>
          <w:lang w:val="en-GB"/>
        </w:rPr>
      </w:pPr>
      <w:r>
        <w:rPr>
          <w:sz w:val="24"/>
          <w:szCs w:val="24"/>
          <w:lang w:val="en-GB"/>
        </w:rPr>
        <w:t xml:space="preserve">Documents the extensive licensing, reporting and monitoring controls in place to ensure compliance and establish an auditable supply chain. </w:t>
      </w:r>
    </w:p>
    <w:p w:rsidR="0036390B" w:rsidRDefault="0036390B">
      <w:pPr>
        <w:widowControl/>
        <w:spacing w:after="120"/>
        <w:rPr>
          <w:sz w:val="24"/>
          <w:szCs w:val="24"/>
          <w:lang w:val="en-GB"/>
        </w:rPr>
      </w:pPr>
    </w:p>
    <w:p w:rsidR="0036390B" w:rsidRDefault="0036390B">
      <w:pPr>
        <w:widowControl/>
        <w:spacing w:after="120"/>
        <w:rPr>
          <w:sz w:val="24"/>
          <w:szCs w:val="24"/>
          <w:lang w:val="en-GB"/>
        </w:rPr>
      </w:pPr>
      <w:r>
        <w:rPr>
          <w:sz w:val="24"/>
          <w:szCs w:val="24"/>
          <w:lang w:val="en-GB"/>
        </w:rPr>
        <w:t xml:space="preserve">The operation of this WTO </w:t>
      </w:r>
      <w:r w:rsidR="00670200">
        <w:rPr>
          <w:sz w:val="24"/>
          <w:szCs w:val="24"/>
          <w:lang w:val="en-GB"/>
        </w:rPr>
        <w:t>will have no additional impact on</w:t>
      </w:r>
      <w:r>
        <w:rPr>
          <w:sz w:val="24"/>
          <w:szCs w:val="24"/>
          <w:lang w:val="en-GB"/>
        </w:rPr>
        <w:t xml:space="preserve"> the Tasmanian Bennett’s wallaby population and puts in place a mechanism to enable skins from an existing, sustainable harvest to be exported and utilised.</w:t>
      </w:r>
    </w:p>
    <w:p w:rsidR="00F73F5B" w:rsidRDefault="00F73F5B">
      <w:pPr>
        <w:widowControl/>
        <w:spacing w:after="120"/>
        <w:rPr>
          <w:b/>
          <w:sz w:val="28"/>
          <w:szCs w:val="28"/>
          <w:lang w:val="en-GB"/>
        </w:rPr>
      </w:pPr>
      <w:r>
        <w:rPr>
          <w:sz w:val="24"/>
          <w:szCs w:val="24"/>
          <w:lang w:val="en-GB"/>
        </w:rPr>
        <w:t>Lenah Game Meats Pty Ltd commits to adhering to the requirements of this WTO.</w:t>
      </w:r>
    </w:p>
    <w:p w:rsidR="0036390B" w:rsidRDefault="0036390B">
      <w:pPr>
        <w:widowControl/>
        <w:spacing w:before="240" w:after="240"/>
        <w:rPr>
          <w:b/>
          <w:sz w:val="28"/>
          <w:szCs w:val="28"/>
          <w:lang w:val="en-GB"/>
        </w:rPr>
      </w:pPr>
      <w:r>
        <w:rPr>
          <w:b/>
          <w:sz w:val="28"/>
          <w:szCs w:val="28"/>
          <w:lang w:val="en-GB"/>
        </w:rPr>
        <w:t>Bibliography</w:t>
      </w:r>
    </w:p>
    <w:p w:rsidR="0036390B" w:rsidRDefault="0036390B">
      <w:pPr>
        <w:widowControl/>
        <w:spacing w:after="120"/>
        <w:rPr>
          <w:b/>
          <w:sz w:val="24"/>
          <w:szCs w:val="24"/>
          <w:lang w:val="en-GB"/>
        </w:rPr>
      </w:pPr>
      <w:proofErr w:type="spellStart"/>
      <w:r>
        <w:rPr>
          <w:b/>
          <w:sz w:val="24"/>
          <w:szCs w:val="24"/>
          <w:lang w:val="en-GB"/>
        </w:rPr>
        <w:t>Calaby</w:t>
      </w:r>
      <w:proofErr w:type="spellEnd"/>
      <w:r>
        <w:rPr>
          <w:b/>
          <w:sz w:val="24"/>
          <w:szCs w:val="24"/>
          <w:lang w:val="en-GB"/>
        </w:rPr>
        <w:t>, J.H. (1983)</w:t>
      </w:r>
      <w:r>
        <w:rPr>
          <w:sz w:val="24"/>
          <w:szCs w:val="24"/>
          <w:lang w:val="en-GB"/>
        </w:rPr>
        <w:t xml:space="preserve"> Red-Necked Wallaby. </w:t>
      </w:r>
      <w:proofErr w:type="gramStart"/>
      <w:r>
        <w:rPr>
          <w:sz w:val="24"/>
          <w:szCs w:val="24"/>
          <w:lang w:val="en-GB"/>
        </w:rPr>
        <w:t>In 'Complete Book of Australian Mammals'.</w:t>
      </w:r>
      <w:proofErr w:type="gramEnd"/>
      <w:r>
        <w:rPr>
          <w:sz w:val="24"/>
          <w:szCs w:val="24"/>
          <w:lang w:val="en-GB"/>
        </w:rPr>
        <w:t xml:space="preserve"> </w:t>
      </w:r>
      <w:proofErr w:type="gramStart"/>
      <w:r>
        <w:rPr>
          <w:sz w:val="24"/>
          <w:szCs w:val="24"/>
          <w:lang w:val="en-GB"/>
        </w:rPr>
        <w:t xml:space="preserve">(Ed. R. </w:t>
      </w:r>
      <w:proofErr w:type="spellStart"/>
      <w:r>
        <w:rPr>
          <w:sz w:val="24"/>
          <w:szCs w:val="24"/>
          <w:lang w:val="en-GB"/>
        </w:rPr>
        <w:t>Strahan</w:t>
      </w:r>
      <w:proofErr w:type="spellEnd"/>
      <w:r>
        <w:rPr>
          <w:sz w:val="24"/>
          <w:szCs w:val="24"/>
          <w:lang w:val="en-GB"/>
        </w:rPr>
        <w:t>) p. 186.</w:t>
      </w:r>
      <w:proofErr w:type="gramEnd"/>
      <w:r>
        <w:rPr>
          <w:sz w:val="24"/>
          <w:szCs w:val="24"/>
          <w:lang w:val="en-GB"/>
        </w:rPr>
        <w:t xml:space="preserve"> (Angus and Robertson: Sydney).</w:t>
      </w:r>
    </w:p>
    <w:p w:rsidR="0036390B" w:rsidRDefault="0036390B">
      <w:pPr>
        <w:widowControl/>
        <w:spacing w:after="120"/>
        <w:rPr>
          <w:sz w:val="24"/>
          <w:szCs w:val="24"/>
          <w:lang w:val="en-GB"/>
        </w:rPr>
      </w:pPr>
      <w:smartTag w:uri="urn:schemas-microsoft-com:office:smarttags" w:element="City">
        <w:r>
          <w:rPr>
            <w:b/>
            <w:sz w:val="24"/>
            <w:szCs w:val="24"/>
            <w:lang w:val="en-GB"/>
          </w:rPr>
          <w:t>Catt</w:t>
        </w:r>
      </w:smartTag>
      <w:r>
        <w:rPr>
          <w:b/>
          <w:sz w:val="24"/>
          <w:szCs w:val="24"/>
          <w:lang w:val="en-GB"/>
        </w:rPr>
        <w:t xml:space="preserve">, </w:t>
      </w:r>
      <w:smartTag w:uri="urn:schemas-microsoft-com:office:smarttags" w:element="State">
        <w:r>
          <w:rPr>
            <w:b/>
            <w:sz w:val="24"/>
            <w:szCs w:val="24"/>
            <w:lang w:val="en-GB"/>
          </w:rPr>
          <w:t>D.C.</w:t>
        </w:r>
      </w:smartTag>
      <w:r>
        <w:rPr>
          <w:b/>
          <w:sz w:val="24"/>
          <w:szCs w:val="24"/>
          <w:lang w:val="en-GB"/>
        </w:rPr>
        <w:t xml:space="preserve"> (1977) </w:t>
      </w:r>
      <w:proofErr w:type="gramStart"/>
      <w:r>
        <w:rPr>
          <w:sz w:val="24"/>
          <w:szCs w:val="24"/>
          <w:lang w:val="en-GB"/>
        </w:rPr>
        <w:t>The</w:t>
      </w:r>
      <w:proofErr w:type="gramEnd"/>
      <w:r>
        <w:rPr>
          <w:sz w:val="24"/>
          <w:szCs w:val="24"/>
          <w:lang w:val="en-GB"/>
        </w:rPr>
        <w:t xml:space="preserve"> breeding biology of Bennett's wallaby </w:t>
      </w:r>
      <w:r>
        <w:rPr>
          <w:i/>
          <w:sz w:val="24"/>
          <w:szCs w:val="24"/>
          <w:lang w:val="en-GB"/>
        </w:rPr>
        <w:t>(</w:t>
      </w:r>
      <w:proofErr w:type="spellStart"/>
      <w:r>
        <w:rPr>
          <w:i/>
          <w:sz w:val="24"/>
          <w:szCs w:val="24"/>
          <w:lang w:val="en-GB"/>
        </w:rPr>
        <w:t>Macropus</w:t>
      </w:r>
      <w:proofErr w:type="spellEnd"/>
      <w:r>
        <w:rPr>
          <w:i/>
          <w:sz w:val="24"/>
          <w:szCs w:val="24"/>
          <w:lang w:val="en-GB"/>
        </w:rPr>
        <w:t xml:space="preserve"> </w:t>
      </w:r>
      <w:proofErr w:type="spellStart"/>
      <w:r>
        <w:rPr>
          <w:i/>
          <w:sz w:val="24"/>
          <w:szCs w:val="24"/>
          <w:lang w:val="en-GB"/>
        </w:rPr>
        <w:t>rufogriseus</w:t>
      </w:r>
      <w:proofErr w:type="spellEnd"/>
      <w:r>
        <w:rPr>
          <w:i/>
          <w:sz w:val="24"/>
          <w:szCs w:val="24"/>
          <w:lang w:val="en-GB"/>
        </w:rPr>
        <w:t xml:space="preserve"> </w:t>
      </w:r>
      <w:proofErr w:type="spellStart"/>
      <w:r>
        <w:rPr>
          <w:i/>
          <w:sz w:val="24"/>
          <w:szCs w:val="24"/>
          <w:lang w:val="en-GB"/>
        </w:rPr>
        <w:t>fruticus</w:t>
      </w:r>
      <w:proofErr w:type="spellEnd"/>
      <w:r>
        <w:rPr>
          <w:i/>
          <w:sz w:val="24"/>
          <w:szCs w:val="24"/>
          <w:lang w:val="en-GB"/>
        </w:rPr>
        <w:t>)</w:t>
      </w:r>
      <w:r>
        <w:rPr>
          <w:sz w:val="24"/>
          <w:szCs w:val="24"/>
          <w:lang w:val="en-GB"/>
        </w:rPr>
        <w:t xml:space="preserve"> in </w:t>
      </w:r>
      <w:smartTag w:uri="urn:schemas-microsoft-com:office:smarttags" w:element="place">
        <w:smartTag w:uri="urn:schemas-microsoft-com:office:smarttags" w:element="City">
          <w:r>
            <w:rPr>
              <w:sz w:val="24"/>
              <w:szCs w:val="24"/>
              <w:lang w:val="en-GB"/>
            </w:rPr>
            <w:t>South Canterbury</w:t>
          </w:r>
        </w:smartTag>
        <w:r>
          <w:rPr>
            <w:sz w:val="24"/>
            <w:szCs w:val="24"/>
            <w:lang w:val="en-GB"/>
          </w:rPr>
          <w:t xml:space="preserve">, </w:t>
        </w:r>
        <w:smartTag w:uri="urn:schemas-microsoft-com:office:smarttags" w:element="country-region">
          <w:r>
            <w:rPr>
              <w:sz w:val="24"/>
              <w:szCs w:val="24"/>
              <w:lang w:val="en-GB"/>
            </w:rPr>
            <w:t>New Zealand</w:t>
          </w:r>
        </w:smartTag>
      </w:smartTag>
      <w:r>
        <w:rPr>
          <w:sz w:val="24"/>
          <w:szCs w:val="24"/>
          <w:lang w:val="en-GB"/>
        </w:rPr>
        <w:t xml:space="preserve">. </w:t>
      </w:r>
      <w:r>
        <w:rPr>
          <w:i/>
          <w:sz w:val="24"/>
          <w:szCs w:val="24"/>
          <w:lang w:val="en-GB"/>
        </w:rPr>
        <w:t>N.Z. J. Zool</w:t>
      </w:r>
      <w:r>
        <w:rPr>
          <w:sz w:val="24"/>
          <w:szCs w:val="24"/>
          <w:lang w:val="en-GB"/>
        </w:rPr>
        <w:t xml:space="preserve">. </w:t>
      </w:r>
      <w:r>
        <w:rPr>
          <w:b/>
          <w:sz w:val="24"/>
          <w:szCs w:val="24"/>
          <w:lang w:val="en-GB"/>
        </w:rPr>
        <w:t>4</w:t>
      </w:r>
      <w:r>
        <w:rPr>
          <w:sz w:val="24"/>
          <w:szCs w:val="24"/>
          <w:lang w:val="en-GB"/>
        </w:rPr>
        <w:t>: 401-411.</w:t>
      </w:r>
    </w:p>
    <w:p w:rsidR="0036390B" w:rsidRDefault="0036390B">
      <w:pPr>
        <w:widowControl/>
        <w:spacing w:after="120"/>
        <w:rPr>
          <w:b/>
          <w:sz w:val="24"/>
          <w:szCs w:val="24"/>
          <w:lang w:val="en-GB"/>
        </w:rPr>
      </w:pPr>
      <w:proofErr w:type="gramStart"/>
      <w:r>
        <w:rPr>
          <w:b/>
          <w:sz w:val="24"/>
          <w:szCs w:val="24"/>
          <w:lang w:val="en-GB"/>
        </w:rPr>
        <w:t xml:space="preserve">Hocking, G.J., and </w:t>
      </w:r>
      <w:proofErr w:type="spellStart"/>
      <w:r>
        <w:rPr>
          <w:b/>
          <w:sz w:val="24"/>
          <w:szCs w:val="24"/>
          <w:lang w:val="en-GB"/>
        </w:rPr>
        <w:t>Driessen</w:t>
      </w:r>
      <w:proofErr w:type="spellEnd"/>
      <w:r>
        <w:rPr>
          <w:b/>
          <w:sz w:val="24"/>
          <w:szCs w:val="24"/>
          <w:lang w:val="en-GB"/>
        </w:rPr>
        <w:t>, M.M. (1992)</w:t>
      </w:r>
      <w:r>
        <w:rPr>
          <w:sz w:val="24"/>
          <w:szCs w:val="24"/>
          <w:lang w:val="en-GB"/>
        </w:rPr>
        <w:t xml:space="preserve"> </w:t>
      </w:r>
      <w:r>
        <w:rPr>
          <w:i/>
          <w:sz w:val="24"/>
          <w:szCs w:val="24"/>
          <w:lang w:val="en-GB"/>
        </w:rPr>
        <w:t>Tasmanian Spotlight Survey Manual</w:t>
      </w:r>
      <w:r>
        <w:rPr>
          <w:sz w:val="24"/>
          <w:szCs w:val="24"/>
          <w:lang w:val="en-GB"/>
        </w:rPr>
        <w:t>.</w:t>
      </w:r>
      <w:proofErr w:type="gramEnd"/>
      <w:r>
        <w:rPr>
          <w:sz w:val="24"/>
          <w:szCs w:val="24"/>
          <w:lang w:val="en-GB"/>
        </w:rPr>
        <w:t xml:space="preserve"> </w:t>
      </w:r>
      <w:proofErr w:type="gramStart"/>
      <w:r>
        <w:rPr>
          <w:sz w:val="24"/>
          <w:szCs w:val="24"/>
          <w:lang w:val="en-GB"/>
        </w:rPr>
        <w:t>Department of Parks, Wildlife and Heritage, Hobart.</w:t>
      </w:r>
      <w:proofErr w:type="gramEnd"/>
    </w:p>
    <w:p w:rsidR="0036390B" w:rsidRDefault="0036390B">
      <w:pPr>
        <w:widowControl/>
        <w:spacing w:after="120"/>
        <w:rPr>
          <w:sz w:val="24"/>
          <w:szCs w:val="24"/>
          <w:lang w:val="en-GB"/>
        </w:rPr>
      </w:pPr>
      <w:r>
        <w:rPr>
          <w:b/>
          <w:sz w:val="24"/>
          <w:szCs w:val="24"/>
          <w:lang w:val="en-GB"/>
        </w:rPr>
        <w:t>Johnson, K.A., and Rose, R.W. (1995)</w:t>
      </w:r>
      <w:r>
        <w:rPr>
          <w:sz w:val="24"/>
          <w:szCs w:val="24"/>
          <w:lang w:val="en-GB"/>
        </w:rPr>
        <w:t xml:space="preserve"> Tasmanian </w:t>
      </w:r>
      <w:proofErr w:type="spellStart"/>
      <w:r>
        <w:rPr>
          <w:sz w:val="24"/>
          <w:szCs w:val="24"/>
          <w:lang w:val="en-GB"/>
        </w:rPr>
        <w:t>Pademelon</w:t>
      </w:r>
      <w:proofErr w:type="spellEnd"/>
      <w:r>
        <w:rPr>
          <w:sz w:val="24"/>
          <w:szCs w:val="24"/>
          <w:lang w:val="en-GB"/>
        </w:rPr>
        <w:t xml:space="preserve"> (</w:t>
      </w:r>
      <w:proofErr w:type="spellStart"/>
      <w:r>
        <w:rPr>
          <w:i/>
          <w:sz w:val="24"/>
          <w:szCs w:val="24"/>
          <w:lang w:val="en-GB"/>
        </w:rPr>
        <w:t>Thylogale</w:t>
      </w:r>
      <w:proofErr w:type="spellEnd"/>
      <w:r>
        <w:rPr>
          <w:i/>
          <w:sz w:val="24"/>
          <w:szCs w:val="24"/>
          <w:lang w:val="en-GB"/>
        </w:rPr>
        <w:t xml:space="preserve"> </w:t>
      </w:r>
      <w:proofErr w:type="spellStart"/>
      <w:r>
        <w:rPr>
          <w:i/>
          <w:sz w:val="24"/>
          <w:szCs w:val="24"/>
          <w:lang w:val="en-GB"/>
        </w:rPr>
        <w:t>billardierii</w:t>
      </w:r>
      <w:proofErr w:type="spellEnd"/>
      <w:r>
        <w:rPr>
          <w:i/>
          <w:sz w:val="24"/>
          <w:szCs w:val="24"/>
          <w:lang w:val="en-GB"/>
        </w:rPr>
        <w:t>).</w:t>
      </w:r>
      <w:r>
        <w:rPr>
          <w:sz w:val="24"/>
          <w:szCs w:val="24"/>
          <w:lang w:val="en-GB"/>
        </w:rPr>
        <w:t xml:space="preserve"> </w:t>
      </w:r>
      <w:proofErr w:type="gramStart"/>
      <w:r>
        <w:rPr>
          <w:sz w:val="24"/>
          <w:szCs w:val="24"/>
          <w:lang w:val="en-GB"/>
        </w:rPr>
        <w:t>In ‘The Mammals of Australia’.</w:t>
      </w:r>
      <w:proofErr w:type="gramEnd"/>
      <w:r>
        <w:rPr>
          <w:sz w:val="24"/>
          <w:szCs w:val="24"/>
          <w:lang w:val="en-GB"/>
        </w:rPr>
        <w:t xml:space="preserve"> </w:t>
      </w:r>
      <w:proofErr w:type="gramStart"/>
      <w:r>
        <w:rPr>
          <w:sz w:val="24"/>
          <w:szCs w:val="24"/>
          <w:lang w:val="en-GB"/>
        </w:rPr>
        <w:t xml:space="preserve">(Ed. R. </w:t>
      </w:r>
      <w:proofErr w:type="spellStart"/>
      <w:r>
        <w:rPr>
          <w:sz w:val="24"/>
          <w:szCs w:val="24"/>
          <w:lang w:val="en-GB"/>
        </w:rPr>
        <w:t>Strahan</w:t>
      </w:r>
      <w:proofErr w:type="spellEnd"/>
      <w:r>
        <w:rPr>
          <w:sz w:val="24"/>
          <w:szCs w:val="24"/>
          <w:lang w:val="en-GB"/>
        </w:rPr>
        <w:t>) p. 394.</w:t>
      </w:r>
      <w:proofErr w:type="gramEnd"/>
      <w:r>
        <w:rPr>
          <w:sz w:val="24"/>
          <w:szCs w:val="24"/>
          <w:lang w:val="en-GB"/>
        </w:rPr>
        <w:t xml:space="preserve"> (</w:t>
      </w:r>
      <w:proofErr w:type="spellStart"/>
      <w:r>
        <w:rPr>
          <w:sz w:val="24"/>
          <w:szCs w:val="24"/>
          <w:lang w:val="en-GB"/>
        </w:rPr>
        <w:t>Reed</w:t>
      </w:r>
      <w:proofErr w:type="spellEnd"/>
      <w:r>
        <w:rPr>
          <w:sz w:val="24"/>
          <w:szCs w:val="24"/>
          <w:lang w:val="en-GB"/>
        </w:rPr>
        <w:t xml:space="preserve"> Books: </w:t>
      </w:r>
      <w:proofErr w:type="spellStart"/>
      <w:r>
        <w:rPr>
          <w:sz w:val="24"/>
          <w:szCs w:val="24"/>
          <w:lang w:val="en-GB"/>
        </w:rPr>
        <w:t>Chatswood</w:t>
      </w:r>
      <w:proofErr w:type="spellEnd"/>
      <w:r>
        <w:rPr>
          <w:sz w:val="24"/>
          <w:szCs w:val="24"/>
          <w:lang w:val="en-GB"/>
        </w:rPr>
        <w:t>).</w:t>
      </w:r>
    </w:p>
    <w:p w:rsidR="0036390B" w:rsidRDefault="0036390B">
      <w:pPr>
        <w:widowControl/>
        <w:spacing w:after="120"/>
        <w:rPr>
          <w:sz w:val="24"/>
          <w:szCs w:val="24"/>
          <w:lang w:val="en-GB"/>
        </w:rPr>
      </w:pPr>
      <w:proofErr w:type="gramStart"/>
      <w:r>
        <w:rPr>
          <w:b/>
          <w:sz w:val="24"/>
          <w:szCs w:val="24"/>
          <w:lang w:val="en-GB"/>
        </w:rPr>
        <w:t>Mooney, N.J. and Johnson, K.A. (1979)</w:t>
      </w:r>
      <w:r>
        <w:rPr>
          <w:sz w:val="24"/>
          <w:szCs w:val="24"/>
          <w:lang w:val="en-GB"/>
        </w:rPr>
        <w:t xml:space="preserve"> Methods for the census of wallaby and possum in Tasmania.</w:t>
      </w:r>
      <w:proofErr w:type="gramEnd"/>
      <w:r>
        <w:rPr>
          <w:sz w:val="24"/>
          <w:szCs w:val="24"/>
          <w:lang w:val="en-GB"/>
        </w:rPr>
        <w:t xml:space="preserve"> Unpublished </w:t>
      </w:r>
      <w:smartTag w:uri="urn:schemas-microsoft-com:office:smarttags" w:element="place">
        <w:smartTag w:uri="urn:schemas-microsoft-com:office:smarttags" w:element="PlaceName">
          <w:r>
            <w:rPr>
              <w:sz w:val="24"/>
              <w:szCs w:val="24"/>
              <w:lang w:val="en-GB"/>
            </w:rPr>
            <w:t>Tasmanian</w:t>
          </w:r>
        </w:smartTag>
        <w:r>
          <w:rPr>
            <w:sz w:val="24"/>
            <w:szCs w:val="24"/>
            <w:lang w:val="en-GB"/>
          </w:rPr>
          <w:t xml:space="preserve"> </w:t>
        </w:r>
        <w:smartTag w:uri="urn:schemas-microsoft-com:office:smarttags" w:element="PlaceType">
          <w:r>
            <w:rPr>
              <w:sz w:val="24"/>
              <w:szCs w:val="24"/>
              <w:lang w:val="en-GB"/>
            </w:rPr>
            <w:t>National Parks</w:t>
          </w:r>
        </w:smartTag>
      </w:smartTag>
      <w:r>
        <w:rPr>
          <w:sz w:val="24"/>
          <w:szCs w:val="24"/>
          <w:lang w:val="en-GB"/>
        </w:rPr>
        <w:t xml:space="preserve"> and Wildlife Service Technical Report.</w:t>
      </w:r>
    </w:p>
    <w:p w:rsidR="0036390B" w:rsidRDefault="0036390B">
      <w:pPr>
        <w:widowControl/>
        <w:spacing w:after="120"/>
        <w:rPr>
          <w:sz w:val="24"/>
          <w:szCs w:val="24"/>
          <w:lang w:val="en-GB"/>
        </w:rPr>
      </w:pPr>
      <w:proofErr w:type="gramStart"/>
      <w:r>
        <w:rPr>
          <w:b/>
          <w:sz w:val="24"/>
          <w:szCs w:val="24"/>
          <w:lang w:val="en-GB"/>
        </w:rPr>
        <w:t>Morton, S.R. and Burton, T.C. (1973)</w:t>
      </w:r>
      <w:r>
        <w:rPr>
          <w:sz w:val="24"/>
          <w:szCs w:val="24"/>
          <w:lang w:val="en-GB"/>
        </w:rPr>
        <w:t xml:space="preserve"> Observations on the behaviour of the </w:t>
      </w:r>
      <w:proofErr w:type="spellStart"/>
      <w:r>
        <w:rPr>
          <w:sz w:val="24"/>
          <w:szCs w:val="24"/>
          <w:lang w:val="en-GB"/>
        </w:rPr>
        <w:t>macropodid</w:t>
      </w:r>
      <w:proofErr w:type="spellEnd"/>
      <w:r>
        <w:rPr>
          <w:sz w:val="24"/>
          <w:szCs w:val="24"/>
          <w:lang w:val="en-GB"/>
        </w:rPr>
        <w:t xml:space="preserve"> marsupial </w:t>
      </w:r>
      <w:proofErr w:type="spellStart"/>
      <w:r>
        <w:rPr>
          <w:i/>
          <w:sz w:val="24"/>
          <w:szCs w:val="24"/>
          <w:lang w:val="en-GB"/>
        </w:rPr>
        <w:t>Thylogale</w:t>
      </w:r>
      <w:proofErr w:type="spellEnd"/>
      <w:r>
        <w:rPr>
          <w:i/>
          <w:sz w:val="24"/>
          <w:szCs w:val="24"/>
          <w:lang w:val="en-GB"/>
        </w:rPr>
        <w:t xml:space="preserve"> </w:t>
      </w:r>
      <w:proofErr w:type="spellStart"/>
      <w:r>
        <w:rPr>
          <w:i/>
          <w:sz w:val="24"/>
          <w:szCs w:val="24"/>
          <w:lang w:val="en-GB"/>
        </w:rPr>
        <w:t>billardierii</w:t>
      </w:r>
      <w:proofErr w:type="spellEnd"/>
      <w:r>
        <w:rPr>
          <w:sz w:val="24"/>
          <w:szCs w:val="24"/>
          <w:lang w:val="en-GB"/>
        </w:rPr>
        <w:t xml:space="preserve"> (</w:t>
      </w:r>
      <w:proofErr w:type="spellStart"/>
      <w:r>
        <w:rPr>
          <w:sz w:val="24"/>
          <w:szCs w:val="24"/>
          <w:lang w:val="en-GB"/>
        </w:rPr>
        <w:t>Desmarest</w:t>
      </w:r>
      <w:proofErr w:type="spellEnd"/>
      <w:r>
        <w:rPr>
          <w:sz w:val="24"/>
          <w:szCs w:val="24"/>
          <w:lang w:val="en-GB"/>
        </w:rPr>
        <w:t>) in captivity.</w:t>
      </w:r>
      <w:proofErr w:type="gramEnd"/>
      <w:r>
        <w:rPr>
          <w:sz w:val="24"/>
          <w:szCs w:val="24"/>
          <w:lang w:val="en-GB"/>
        </w:rPr>
        <w:t xml:space="preserve"> </w:t>
      </w:r>
      <w:r>
        <w:rPr>
          <w:i/>
          <w:sz w:val="24"/>
          <w:szCs w:val="24"/>
          <w:lang w:val="en-GB"/>
        </w:rPr>
        <w:t>Aust. Zool.</w:t>
      </w:r>
      <w:r>
        <w:rPr>
          <w:sz w:val="24"/>
          <w:szCs w:val="24"/>
          <w:lang w:val="en-GB"/>
        </w:rPr>
        <w:t xml:space="preserve"> </w:t>
      </w:r>
      <w:r>
        <w:rPr>
          <w:b/>
          <w:sz w:val="24"/>
          <w:szCs w:val="24"/>
          <w:lang w:val="en-GB"/>
        </w:rPr>
        <w:t>18</w:t>
      </w:r>
      <w:r>
        <w:rPr>
          <w:sz w:val="24"/>
          <w:szCs w:val="24"/>
          <w:lang w:val="en-GB"/>
        </w:rPr>
        <w:t>: 1-14.</w:t>
      </w:r>
    </w:p>
    <w:p w:rsidR="0036390B" w:rsidRDefault="0036390B">
      <w:pPr>
        <w:widowControl/>
        <w:spacing w:after="120"/>
        <w:rPr>
          <w:i/>
          <w:sz w:val="24"/>
          <w:szCs w:val="24"/>
          <w:lang w:val="en-GB"/>
        </w:rPr>
      </w:pPr>
      <w:proofErr w:type="spellStart"/>
      <w:r>
        <w:rPr>
          <w:b/>
          <w:sz w:val="24"/>
          <w:szCs w:val="24"/>
          <w:lang w:val="en-GB"/>
        </w:rPr>
        <w:t>Rounsevell</w:t>
      </w:r>
      <w:proofErr w:type="spellEnd"/>
      <w:r>
        <w:rPr>
          <w:b/>
          <w:sz w:val="24"/>
          <w:szCs w:val="24"/>
          <w:lang w:val="en-GB"/>
        </w:rPr>
        <w:t>, D. E., Taylor, R.J. and Hocking, G.J. (1991).</w:t>
      </w:r>
      <w:r>
        <w:rPr>
          <w:sz w:val="24"/>
          <w:szCs w:val="24"/>
          <w:lang w:val="en-GB"/>
        </w:rPr>
        <w:t xml:space="preserve"> Distribution records of native terrestrial Mammals in </w:t>
      </w:r>
      <w:smartTag w:uri="urn:schemas-microsoft-com:office:smarttags" w:element="place">
        <w:smartTag w:uri="urn:schemas-microsoft-com:office:smarttags" w:element="State">
          <w:r>
            <w:rPr>
              <w:sz w:val="24"/>
              <w:szCs w:val="24"/>
              <w:lang w:val="en-GB"/>
            </w:rPr>
            <w:t>Tasmania</w:t>
          </w:r>
        </w:smartTag>
      </w:smartTag>
      <w:r>
        <w:rPr>
          <w:sz w:val="24"/>
          <w:szCs w:val="24"/>
          <w:lang w:val="en-GB"/>
        </w:rPr>
        <w:t xml:space="preserve">.  </w:t>
      </w:r>
      <w:r>
        <w:rPr>
          <w:i/>
          <w:sz w:val="24"/>
          <w:szCs w:val="24"/>
          <w:lang w:val="en-GB"/>
        </w:rPr>
        <w:t xml:space="preserve">Wildlife Research </w:t>
      </w:r>
      <w:r>
        <w:rPr>
          <w:b/>
          <w:i/>
          <w:sz w:val="24"/>
          <w:szCs w:val="24"/>
          <w:lang w:val="en-GB"/>
        </w:rPr>
        <w:t>18</w:t>
      </w:r>
      <w:r>
        <w:rPr>
          <w:i/>
          <w:sz w:val="24"/>
          <w:szCs w:val="24"/>
          <w:lang w:val="en-GB"/>
        </w:rPr>
        <w:t>:699-717.</w:t>
      </w:r>
    </w:p>
    <w:p w:rsidR="00296543" w:rsidRDefault="00296543">
      <w:pPr>
        <w:widowControl/>
        <w:spacing w:after="120"/>
        <w:rPr>
          <w:i/>
          <w:sz w:val="24"/>
          <w:szCs w:val="24"/>
          <w:lang w:val="en-GB"/>
        </w:rPr>
      </w:pPr>
    </w:p>
    <w:p w:rsidR="00296543" w:rsidRDefault="00296543">
      <w:pPr>
        <w:widowControl/>
        <w:spacing w:after="120"/>
        <w:rPr>
          <w:i/>
          <w:sz w:val="24"/>
          <w:szCs w:val="24"/>
          <w:lang w:val="en-GB"/>
        </w:rPr>
      </w:pPr>
      <w:r>
        <w:rPr>
          <w:i/>
          <w:sz w:val="24"/>
          <w:szCs w:val="24"/>
          <w:lang w:val="en-GB"/>
        </w:rPr>
        <w:br w:type="column"/>
        <w:t>Attachment 1:  Report mechanism when trigger point 1 is evoked:</w:t>
      </w:r>
    </w:p>
    <w:p w:rsidR="00296543" w:rsidRDefault="00296543">
      <w:pPr>
        <w:widowControl/>
        <w:spacing w:after="120"/>
        <w:rPr>
          <w:i/>
          <w:sz w:val="24"/>
          <w:szCs w:val="24"/>
          <w:lang w:val="en-GB"/>
        </w:rPr>
      </w:pPr>
    </w:p>
    <w:tbl>
      <w:tblPr>
        <w:tblW w:w="9700" w:type="dxa"/>
        <w:tblInd w:w="108" w:type="dxa"/>
        <w:tblLook w:val="04A0"/>
      </w:tblPr>
      <w:tblGrid>
        <w:gridCol w:w="803"/>
        <w:gridCol w:w="1600"/>
        <w:gridCol w:w="840"/>
        <w:gridCol w:w="1546"/>
        <w:gridCol w:w="222"/>
        <w:gridCol w:w="803"/>
        <w:gridCol w:w="1743"/>
        <w:gridCol w:w="2237"/>
        <w:gridCol w:w="222"/>
      </w:tblGrid>
      <w:tr w:rsidR="00296543" w:rsidRPr="00296543" w:rsidTr="00296543">
        <w:trPr>
          <w:trHeight w:val="525"/>
        </w:trPr>
        <w:tc>
          <w:tcPr>
            <w:tcW w:w="9700" w:type="dxa"/>
            <w:gridSpan w:val="9"/>
            <w:tcBorders>
              <w:top w:val="nil"/>
              <w:left w:val="nil"/>
              <w:bottom w:val="nil"/>
              <w:right w:val="nil"/>
            </w:tcBorders>
            <w:shd w:val="clear" w:color="auto" w:fill="auto"/>
            <w:noWrap/>
            <w:vAlign w:val="center"/>
            <w:hideMark/>
          </w:tcPr>
          <w:p w:rsidR="00296543" w:rsidRPr="00296543" w:rsidRDefault="00296543" w:rsidP="00296543">
            <w:pPr>
              <w:widowControl/>
              <w:overflowPunct/>
              <w:autoSpaceDE/>
              <w:autoSpaceDN/>
              <w:adjustRightInd/>
              <w:jc w:val="center"/>
              <w:textAlignment w:val="auto"/>
              <w:rPr>
                <w:rFonts w:ascii="Calibri" w:hAnsi="Calibri"/>
                <w:color w:val="000000"/>
                <w:sz w:val="40"/>
                <w:szCs w:val="40"/>
                <w:lang w:val="en-AU" w:eastAsia="zh-TW"/>
              </w:rPr>
            </w:pPr>
            <w:r w:rsidRPr="00296543">
              <w:rPr>
                <w:rFonts w:ascii="Calibri" w:hAnsi="Calibri"/>
                <w:color w:val="000000"/>
                <w:sz w:val="40"/>
                <w:szCs w:val="40"/>
                <w:lang w:val="en-AU" w:eastAsia="zh-TW"/>
              </w:rPr>
              <w:t>Export Restricted Skin Reconciliation</w:t>
            </w:r>
          </w:p>
        </w:tc>
      </w:tr>
      <w:tr w:rsidR="00296543" w:rsidRPr="00296543" w:rsidTr="00296543">
        <w:trPr>
          <w:trHeight w:val="315"/>
        </w:trPr>
        <w:tc>
          <w:tcPr>
            <w:tcW w:w="803"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center"/>
              <w:textAlignment w:val="auto"/>
              <w:rPr>
                <w:rFonts w:ascii="Calibri" w:hAnsi="Calibri"/>
                <w:color w:val="000000"/>
                <w:sz w:val="40"/>
                <w:szCs w:val="40"/>
                <w:lang w:val="en-AU" w:eastAsia="zh-TW"/>
              </w:rPr>
            </w:pPr>
          </w:p>
        </w:tc>
        <w:tc>
          <w:tcPr>
            <w:tcW w:w="1600"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c>
          <w:tcPr>
            <w:tcW w:w="840"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c>
          <w:tcPr>
            <w:tcW w:w="1546"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c>
          <w:tcPr>
            <w:tcW w:w="803"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c>
          <w:tcPr>
            <w:tcW w:w="1743"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Month</w:t>
            </w:r>
          </w:p>
        </w:tc>
        <w:tc>
          <w:tcPr>
            <w:tcW w:w="2237" w:type="dxa"/>
            <w:tcBorders>
              <w:top w:val="nil"/>
              <w:left w:val="nil"/>
              <w:bottom w:val="single" w:sz="8" w:space="0" w:color="auto"/>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c>
          <w:tcPr>
            <w:tcW w:w="1600"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c>
          <w:tcPr>
            <w:tcW w:w="840"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c>
          <w:tcPr>
            <w:tcW w:w="1546"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c>
          <w:tcPr>
            <w:tcW w:w="803"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c>
          <w:tcPr>
            <w:tcW w:w="1743"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c>
          <w:tcPr>
            <w:tcW w:w="2237"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lang w:val="en-AU" w:eastAsia="zh-TW"/>
              </w:rPr>
            </w:pPr>
          </w:p>
        </w:tc>
      </w:tr>
      <w:tr w:rsidR="00296543" w:rsidRPr="00296543" w:rsidTr="00296543">
        <w:trPr>
          <w:trHeight w:val="300"/>
        </w:trPr>
        <w:tc>
          <w:tcPr>
            <w:tcW w:w="4789" w:type="dxa"/>
            <w:gridSpan w:val="4"/>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center"/>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xml:space="preserve">Carcass </w:t>
            </w:r>
            <w:proofErr w:type="spellStart"/>
            <w:r w:rsidRPr="00296543">
              <w:rPr>
                <w:rFonts w:ascii="Calibri" w:hAnsi="Calibri"/>
                <w:color w:val="000000"/>
                <w:sz w:val="22"/>
                <w:szCs w:val="22"/>
                <w:lang w:val="en-AU" w:eastAsia="zh-TW"/>
              </w:rPr>
              <w:t>Receival</w:t>
            </w:r>
            <w:proofErr w:type="spellEnd"/>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center"/>
              <w:textAlignment w:val="auto"/>
              <w:rPr>
                <w:rFonts w:ascii="Calibri" w:hAnsi="Calibri"/>
                <w:color w:val="000000"/>
                <w:sz w:val="22"/>
                <w:szCs w:val="22"/>
                <w:lang w:val="en-AU" w:eastAsia="zh-TW"/>
              </w:rPr>
            </w:pPr>
          </w:p>
        </w:tc>
        <w:tc>
          <w:tcPr>
            <w:tcW w:w="478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center"/>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Skin Disposal</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center"/>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Date</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Harvester</w:t>
            </w:r>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Zone</w:t>
            </w:r>
          </w:p>
        </w:tc>
        <w:tc>
          <w:tcPr>
            <w:tcW w:w="1546" w:type="dxa"/>
            <w:tcBorders>
              <w:top w:val="single" w:sz="4" w:space="0" w:color="auto"/>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wallaby</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Date</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disposed</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how disposed</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60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840"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803" w:type="dxa"/>
            <w:tcBorders>
              <w:top w:val="nil"/>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1743"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r w:rsidR="00296543" w:rsidRPr="00296543" w:rsidTr="00296543">
        <w:trPr>
          <w:trHeight w:val="300"/>
        </w:trPr>
        <w:tc>
          <w:tcPr>
            <w:tcW w:w="32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center"/>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Total for month</w:t>
            </w:r>
          </w:p>
        </w:tc>
        <w:tc>
          <w:tcPr>
            <w:tcW w:w="1546"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c>
          <w:tcPr>
            <w:tcW w:w="25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center"/>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Total for month</w:t>
            </w:r>
          </w:p>
        </w:tc>
        <w:tc>
          <w:tcPr>
            <w:tcW w:w="2237" w:type="dxa"/>
            <w:tcBorders>
              <w:top w:val="nil"/>
              <w:left w:val="nil"/>
              <w:bottom w:val="single" w:sz="4" w:space="0" w:color="auto"/>
              <w:right w:val="single" w:sz="4" w:space="0" w:color="auto"/>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r w:rsidRPr="00296543">
              <w:rPr>
                <w:rFonts w:ascii="Calibri" w:hAnsi="Calibri"/>
                <w:color w:val="000000"/>
                <w:sz w:val="22"/>
                <w:szCs w:val="22"/>
                <w:lang w:val="en-AU" w:eastAsia="zh-TW"/>
              </w:rPr>
              <w:t> </w:t>
            </w:r>
          </w:p>
        </w:tc>
        <w:tc>
          <w:tcPr>
            <w:tcW w:w="64" w:type="dxa"/>
            <w:tcBorders>
              <w:top w:val="nil"/>
              <w:left w:val="nil"/>
              <w:bottom w:val="nil"/>
              <w:right w:val="nil"/>
            </w:tcBorders>
            <w:shd w:val="clear" w:color="auto" w:fill="auto"/>
            <w:noWrap/>
            <w:vAlign w:val="bottom"/>
            <w:hideMark/>
          </w:tcPr>
          <w:p w:rsidR="00296543" w:rsidRPr="00296543" w:rsidRDefault="00296543" w:rsidP="00296543">
            <w:pPr>
              <w:widowControl/>
              <w:overflowPunct/>
              <w:autoSpaceDE/>
              <w:autoSpaceDN/>
              <w:adjustRightInd/>
              <w:jc w:val="left"/>
              <w:textAlignment w:val="auto"/>
              <w:rPr>
                <w:rFonts w:ascii="Calibri" w:hAnsi="Calibri"/>
                <w:color w:val="000000"/>
                <w:sz w:val="22"/>
                <w:szCs w:val="22"/>
                <w:lang w:val="en-AU" w:eastAsia="zh-TW"/>
              </w:rPr>
            </w:pPr>
          </w:p>
        </w:tc>
      </w:tr>
    </w:tbl>
    <w:p w:rsidR="00296543" w:rsidRPr="00296543" w:rsidRDefault="00296543">
      <w:pPr>
        <w:widowControl/>
        <w:spacing w:after="120"/>
        <w:rPr>
          <w:i/>
          <w:sz w:val="24"/>
          <w:szCs w:val="24"/>
          <w:lang w:val="en-GB"/>
        </w:rPr>
      </w:pPr>
    </w:p>
    <w:sectPr w:rsidR="00296543" w:rsidRPr="00296543" w:rsidSect="00171F22">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pgMar w:top="953" w:right="1134" w:bottom="1304" w:left="1134" w:header="567" w:footer="482" w:gutter="567"/>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277" w:rsidRDefault="00A12277">
      <w:pPr>
        <w:widowControl/>
      </w:pPr>
      <w:r>
        <w:separator/>
      </w:r>
    </w:p>
  </w:endnote>
  <w:endnote w:type="continuationSeparator" w:id="0">
    <w:p w:rsidR="00A12277" w:rsidRDefault="00A12277">
      <w:pPr>
        <w:widowControl/>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ill Sans MT">
    <w:altName w:val="Segoe UI"/>
    <w:charset w:val="00"/>
    <w:family w:val="swiss"/>
    <w:pitch w:val="variable"/>
    <w:sig w:usb0="00000001" w:usb1="00000000" w:usb2="00000000" w:usb3="00000000" w:csb0="00000003" w:csb1="00000000"/>
  </w:font>
  <w:font w:name="Times New Roman Bold">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D7A" w:rsidRDefault="006B3D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277" w:rsidRDefault="00F84887">
    <w:pPr>
      <w:pStyle w:val="Footer"/>
      <w:framePr w:wrap="auto" w:vAnchor="text" w:hAnchor="margin" w:xAlign="right" w:y="1"/>
      <w:widowControl/>
      <w:rPr>
        <w:rStyle w:val="PageNumber"/>
      </w:rPr>
    </w:pPr>
    <w:r>
      <w:rPr>
        <w:rStyle w:val="PageNumber"/>
      </w:rPr>
      <w:fldChar w:fldCharType="begin"/>
    </w:r>
    <w:r w:rsidR="00A12277">
      <w:rPr>
        <w:rStyle w:val="PageNumber"/>
      </w:rPr>
      <w:instrText xml:space="preserve">page  </w:instrText>
    </w:r>
    <w:r>
      <w:rPr>
        <w:rStyle w:val="PageNumber"/>
      </w:rPr>
      <w:fldChar w:fldCharType="separate"/>
    </w:r>
    <w:r w:rsidR="006B3D7A">
      <w:rPr>
        <w:rStyle w:val="PageNumber"/>
        <w:noProof/>
      </w:rPr>
      <w:t>1</w:t>
    </w:r>
    <w:r>
      <w:rPr>
        <w:rStyle w:val="PageNumber"/>
      </w:rPr>
      <w:fldChar w:fldCharType="end"/>
    </w:r>
  </w:p>
  <w:p w:rsidR="00A12277" w:rsidRDefault="00A12277">
    <w:pPr>
      <w:pStyle w:val="Footer"/>
      <w:widowContr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D7A" w:rsidRDefault="006B3D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277" w:rsidRDefault="00A12277">
      <w:pPr>
        <w:widowControl/>
      </w:pPr>
      <w:r>
        <w:separator/>
      </w:r>
    </w:p>
  </w:footnote>
  <w:footnote w:type="continuationSeparator" w:id="0">
    <w:p w:rsidR="00A12277" w:rsidRDefault="00A12277">
      <w:pPr>
        <w:widowControl/>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D7A" w:rsidRDefault="006B3D7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D7A" w:rsidRDefault="006B3D7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D7A" w:rsidRDefault="006B3D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720A8FE"/>
    <w:lvl w:ilvl="0">
      <w:numFmt w:val="bullet"/>
      <w:lvlText w:val="*"/>
      <w:lvlJc w:val="left"/>
    </w:lvl>
  </w:abstractNum>
  <w:abstractNum w:abstractNumId="1">
    <w:nsid w:val="10217FFD"/>
    <w:multiLevelType w:val="multilevel"/>
    <w:tmpl w:val="D19CE100"/>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EFE71B4"/>
    <w:multiLevelType w:val="singleLevel"/>
    <w:tmpl w:val="AE00DD9E"/>
    <w:lvl w:ilvl="0">
      <w:start w:val="5"/>
      <w:numFmt w:val="decimal"/>
      <w:lvlText w:val="%1. "/>
      <w:legacy w:legacy="1" w:legacySpace="0" w:legacyIndent="283"/>
      <w:lvlJc w:val="left"/>
      <w:pPr>
        <w:ind w:left="283" w:hanging="283"/>
      </w:pPr>
      <w:rPr>
        <w:rFonts w:cs="Times New Roman"/>
        <w:b/>
        <w:sz w:val="28"/>
      </w:rPr>
    </w:lvl>
  </w:abstractNum>
  <w:abstractNum w:abstractNumId="3">
    <w:nsid w:val="4C910A09"/>
    <w:multiLevelType w:val="singleLevel"/>
    <w:tmpl w:val="334684EC"/>
    <w:lvl w:ilvl="0">
      <w:start w:val="3"/>
      <w:numFmt w:val="decimal"/>
      <w:lvlText w:val="%1. "/>
      <w:legacy w:legacy="1" w:legacySpace="0" w:legacyIndent="283"/>
      <w:lvlJc w:val="left"/>
      <w:pPr>
        <w:ind w:left="283" w:hanging="283"/>
      </w:pPr>
      <w:rPr>
        <w:rFonts w:cs="Times New Roman"/>
        <w:b/>
        <w:sz w:val="28"/>
      </w:rPr>
    </w:lvl>
  </w:abstractNum>
  <w:abstractNum w:abstractNumId="4">
    <w:nsid w:val="4D656D34"/>
    <w:multiLevelType w:val="singleLevel"/>
    <w:tmpl w:val="43DE085C"/>
    <w:lvl w:ilvl="0">
      <w:start w:val="2"/>
      <w:numFmt w:val="decimal"/>
      <w:lvlText w:val="5.%1 "/>
      <w:legacy w:legacy="1" w:legacySpace="0" w:legacyIndent="283"/>
      <w:lvlJc w:val="left"/>
      <w:pPr>
        <w:ind w:left="283" w:hanging="283"/>
      </w:pPr>
      <w:rPr>
        <w:rFonts w:cs="Times New Roman"/>
        <w:b/>
        <w:sz w:val="28"/>
      </w:rPr>
    </w:lvl>
  </w:abstractNum>
  <w:abstractNum w:abstractNumId="5">
    <w:nsid w:val="5DC75B6C"/>
    <w:multiLevelType w:val="singleLevel"/>
    <w:tmpl w:val="F65CD59A"/>
    <w:lvl w:ilvl="0">
      <w:start w:val="7"/>
      <w:numFmt w:val="decimal"/>
      <w:lvlText w:val="%1. "/>
      <w:legacy w:legacy="1" w:legacySpace="0" w:legacyIndent="283"/>
      <w:lvlJc w:val="left"/>
      <w:pPr>
        <w:ind w:left="283" w:hanging="283"/>
      </w:pPr>
      <w:rPr>
        <w:rFonts w:cs="Times New Roman"/>
        <w:b/>
        <w:sz w:val="28"/>
      </w:rPr>
    </w:lvl>
  </w:abstractNum>
  <w:abstractNum w:abstractNumId="6">
    <w:nsid w:val="68A124AD"/>
    <w:multiLevelType w:val="hybridMultilevel"/>
    <w:tmpl w:val="7D8A9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CEF4CE4"/>
    <w:multiLevelType w:val="singleLevel"/>
    <w:tmpl w:val="04660006"/>
    <w:lvl w:ilvl="0">
      <w:start w:val="1"/>
      <w:numFmt w:val="decimal"/>
      <w:lvlText w:val="3.%1 "/>
      <w:lvlJc w:val="left"/>
      <w:pPr>
        <w:tabs>
          <w:tab w:val="num" w:pos="0"/>
        </w:tabs>
        <w:ind w:left="283" w:hanging="283"/>
      </w:pPr>
      <w:rPr>
        <w:rFonts w:cs="Times New Roman" w:hint="default"/>
        <w:b/>
        <w:i w:val="0"/>
        <w:sz w:val="24"/>
      </w:rPr>
    </w:lvl>
  </w:abstractNum>
  <w:abstractNum w:abstractNumId="8">
    <w:nsid w:val="7571514B"/>
    <w:multiLevelType w:val="singleLevel"/>
    <w:tmpl w:val="CFC68034"/>
    <w:lvl w:ilvl="0">
      <w:start w:val="6"/>
      <w:numFmt w:val="decimal"/>
      <w:lvlText w:val="%1. "/>
      <w:legacy w:legacy="1" w:legacySpace="0" w:legacyIndent="283"/>
      <w:lvlJc w:val="left"/>
      <w:pPr>
        <w:ind w:left="283" w:hanging="283"/>
      </w:pPr>
      <w:rPr>
        <w:rFonts w:cs="Times New Roman"/>
        <w:b/>
        <w:sz w:val="28"/>
      </w:rPr>
    </w:lvl>
  </w:abstractNum>
  <w:num w:numId="1">
    <w:abstractNumId w:val="3"/>
  </w:num>
  <w:num w:numId="2">
    <w:abstractNumId w:val="7"/>
  </w:num>
  <w:num w:numId="3">
    <w:abstractNumId w:val="2"/>
  </w:num>
  <w:num w:numId="4">
    <w:abstractNumId w:val="4"/>
  </w:num>
  <w:num w:numId="5">
    <w:abstractNumId w:val="8"/>
  </w:num>
  <w:num w:numId="6">
    <w:abstractNumId w:val="5"/>
  </w:num>
  <w:num w:numId="7">
    <w:abstractNumId w:val="0"/>
    <w:lvlOverride w:ilvl="0">
      <w:lvl w:ilvl="0">
        <w:start w:val="1"/>
        <w:numFmt w:val="bullet"/>
        <w:lvlText w:val="·"/>
        <w:legacy w:legacy="1" w:legacySpace="0" w:legacyIndent="360"/>
        <w:lvlJc w:val="left"/>
        <w:pPr>
          <w:ind w:left="360" w:hanging="360"/>
        </w:pPr>
        <w:rPr>
          <w:rFonts w:ascii="Helvetica" w:hAnsi="Helvetica" w:hint="default"/>
        </w:rPr>
      </w:lvl>
    </w:lvlOverride>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0"/>
    <w:lvlOverride w:ilvl="0">
      <w:lvl w:ilvl="0">
        <w:start w:val="1"/>
        <w:numFmt w:val="bullet"/>
        <w:lvlText w:val=""/>
        <w:legacy w:legacy="1" w:legacySpace="0" w:legacyIndent="283"/>
        <w:lvlJc w:val="left"/>
        <w:pPr>
          <w:ind w:left="283" w:hanging="283"/>
        </w:pPr>
        <w:rPr>
          <w:rFonts w:ascii="Wingdings" w:hAnsi="Wingdings" w:hint="default"/>
          <w:sz w:val="24"/>
        </w:rPr>
      </w:lvl>
    </w:lvlOverride>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stylePaneFormatFilter w:val="3F01"/>
  <w:doNotTrackMoves/>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3D22"/>
    <w:rsid w:val="00011533"/>
    <w:rsid w:val="0002192A"/>
    <w:rsid w:val="00023B4F"/>
    <w:rsid w:val="000264A6"/>
    <w:rsid w:val="00031B34"/>
    <w:rsid w:val="00044AD6"/>
    <w:rsid w:val="00062710"/>
    <w:rsid w:val="00064B89"/>
    <w:rsid w:val="000958B7"/>
    <w:rsid w:val="0009788C"/>
    <w:rsid w:val="000B0308"/>
    <w:rsid w:val="000B5D2C"/>
    <w:rsid w:val="000D509C"/>
    <w:rsid w:val="000D68C1"/>
    <w:rsid w:val="000F05F8"/>
    <w:rsid w:val="00103045"/>
    <w:rsid w:val="00103A4F"/>
    <w:rsid w:val="00112942"/>
    <w:rsid w:val="001153FD"/>
    <w:rsid w:val="00115B37"/>
    <w:rsid w:val="00117C30"/>
    <w:rsid w:val="001348D0"/>
    <w:rsid w:val="00137E54"/>
    <w:rsid w:val="001435FC"/>
    <w:rsid w:val="0015416E"/>
    <w:rsid w:val="00157545"/>
    <w:rsid w:val="0016095C"/>
    <w:rsid w:val="001633C5"/>
    <w:rsid w:val="00171F22"/>
    <w:rsid w:val="00182F15"/>
    <w:rsid w:val="00187419"/>
    <w:rsid w:val="00190DF0"/>
    <w:rsid w:val="00194796"/>
    <w:rsid w:val="001A43C1"/>
    <w:rsid w:val="001B1BE5"/>
    <w:rsid w:val="001C5355"/>
    <w:rsid w:val="001D074F"/>
    <w:rsid w:val="001D11F2"/>
    <w:rsid w:val="001D2768"/>
    <w:rsid w:val="001E38F2"/>
    <w:rsid w:val="001E58C0"/>
    <w:rsid w:val="001E617D"/>
    <w:rsid w:val="001F6DE8"/>
    <w:rsid w:val="00221568"/>
    <w:rsid w:val="0023714D"/>
    <w:rsid w:val="002462FB"/>
    <w:rsid w:val="00256E12"/>
    <w:rsid w:val="002849CD"/>
    <w:rsid w:val="00287A66"/>
    <w:rsid w:val="00296543"/>
    <w:rsid w:val="002A4D92"/>
    <w:rsid w:val="002B6446"/>
    <w:rsid w:val="002E497E"/>
    <w:rsid w:val="002F3518"/>
    <w:rsid w:val="002F424F"/>
    <w:rsid w:val="003128B8"/>
    <w:rsid w:val="00316EFF"/>
    <w:rsid w:val="00322BB6"/>
    <w:rsid w:val="0034430D"/>
    <w:rsid w:val="00353A31"/>
    <w:rsid w:val="0036390B"/>
    <w:rsid w:val="003715D7"/>
    <w:rsid w:val="00387272"/>
    <w:rsid w:val="003A42C4"/>
    <w:rsid w:val="003A796E"/>
    <w:rsid w:val="003B0E06"/>
    <w:rsid w:val="003C5075"/>
    <w:rsid w:val="003C5C75"/>
    <w:rsid w:val="003F6819"/>
    <w:rsid w:val="00422D77"/>
    <w:rsid w:val="004257C5"/>
    <w:rsid w:val="00453295"/>
    <w:rsid w:val="0045715F"/>
    <w:rsid w:val="00464020"/>
    <w:rsid w:val="004948D1"/>
    <w:rsid w:val="00496BDE"/>
    <w:rsid w:val="004A1D81"/>
    <w:rsid w:val="004C5E10"/>
    <w:rsid w:val="004D2B94"/>
    <w:rsid w:val="004E1C31"/>
    <w:rsid w:val="00504AD3"/>
    <w:rsid w:val="0051334A"/>
    <w:rsid w:val="00526CC8"/>
    <w:rsid w:val="005362FD"/>
    <w:rsid w:val="00540D6B"/>
    <w:rsid w:val="005623A1"/>
    <w:rsid w:val="0057490F"/>
    <w:rsid w:val="00581F2E"/>
    <w:rsid w:val="00587E1B"/>
    <w:rsid w:val="00592940"/>
    <w:rsid w:val="005958FD"/>
    <w:rsid w:val="005A6ADB"/>
    <w:rsid w:val="005B75A4"/>
    <w:rsid w:val="005C6D75"/>
    <w:rsid w:val="00604AAD"/>
    <w:rsid w:val="00606DE9"/>
    <w:rsid w:val="0061486D"/>
    <w:rsid w:val="0061629C"/>
    <w:rsid w:val="00617FD3"/>
    <w:rsid w:val="00623F1E"/>
    <w:rsid w:val="00644F43"/>
    <w:rsid w:val="00660D17"/>
    <w:rsid w:val="00670200"/>
    <w:rsid w:val="006805A5"/>
    <w:rsid w:val="00685A21"/>
    <w:rsid w:val="00691783"/>
    <w:rsid w:val="00696948"/>
    <w:rsid w:val="00696F60"/>
    <w:rsid w:val="00697321"/>
    <w:rsid w:val="006A3BF8"/>
    <w:rsid w:val="006B3D7A"/>
    <w:rsid w:val="006C0369"/>
    <w:rsid w:val="006C38F7"/>
    <w:rsid w:val="006D4031"/>
    <w:rsid w:val="006F2263"/>
    <w:rsid w:val="006F44C4"/>
    <w:rsid w:val="007112FB"/>
    <w:rsid w:val="007172DF"/>
    <w:rsid w:val="00731C37"/>
    <w:rsid w:val="00734B29"/>
    <w:rsid w:val="0075104A"/>
    <w:rsid w:val="00760B57"/>
    <w:rsid w:val="00766AF4"/>
    <w:rsid w:val="00775992"/>
    <w:rsid w:val="0079242E"/>
    <w:rsid w:val="007A2F00"/>
    <w:rsid w:val="007A3B62"/>
    <w:rsid w:val="007B4E13"/>
    <w:rsid w:val="007C7C82"/>
    <w:rsid w:val="007D0D55"/>
    <w:rsid w:val="007D7B63"/>
    <w:rsid w:val="007E6086"/>
    <w:rsid w:val="007F69E1"/>
    <w:rsid w:val="00801435"/>
    <w:rsid w:val="0080367A"/>
    <w:rsid w:val="00821554"/>
    <w:rsid w:val="00846A92"/>
    <w:rsid w:val="00851505"/>
    <w:rsid w:val="00861BD0"/>
    <w:rsid w:val="00872C28"/>
    <w:rsid w:val="00877DCE"/>
    <w:rsid w:val="008831AB"/>
    <w:rsid w:val="008840E4"/>
    <w:rsid w:val="008B148F"/>
    <w:rsid w:val="008B210A"/>
    <w:rsid w:val="008B217B"/>
    <w:rsid w:val="008B2A15"/>
    <w:rsid w:val="008D694B"/>
    <w:rsid w:val="008E5111"/>
    <w:rsid w:val="0090095B"/>
    <w:rsid w:val="009052F5"/>
    <w:rsid w:val="00912A5C"/>
    <w:rsid w:val="00923D22"/>
    <w:rsid w:val="00924719"/>
    <w:rsid w:val="00927F60"/>
    <w:rsid w:val="00941D3D"/>
    <w:rsid w:val="009430B3"/>
    <w:rsid w:val="009479C8"/>
    <w:rsid w:val="00982569"/>
    <w:rsid w:val="009B16EA"/>
    <w:rsid w:val="009C4540"/>
    <w:rsid w:val="009C7202"/>
    <w:rsid w:val="009F03BC"/>
    <w:rsid w:val="009F04EE"/>
    <w:rsid w:val="009F3A40"/>
    <w:rsid w:val="00A12277"/>
    <w:rsid w:val="00A260CF"/>
    <w:rsid w:val="00A353CB"/>
    <w:rsid w:val="00A37909"/>
    <w:rsid w:val="00A5498F"/>
    <w:rsid w:val="00A62995"/>
    <w:rsid w:val="00A8473C"/>
    <w:rsid w:val="00A96314"/>
    <w:rsid w:val="00A9758A"/>
    <w:rsid w:val="00AA0A34"/>
    <w:rsid w:val="00AB5FCF"/>
    <w:rsid w:val="00AB6585"/>
    <w:rsid w:val="00AD1DB8"/>
    <w:rsid w:val="00AD403D"/>
    <w:rsid w:val="00AE175F"/>
    <w:rsid w:val="00AE4C8F"/>
    <w:rsid w:val="00AE580C"/>
    <w:rsid w:val="00AF273D"/>
    <w:rsid w:val="00B14794"/>
    <w:rsid w:val="00B14D9C"/>
    <w:rsid w:val="00B35D8F"/>
    <w:rsid w:val="00B41448"/>
    <w:rsid w:val="00B42444"/>
    <w:rsid w:val="00B44C28"/>
    <w:rsid w:val="00B45F1D"/>
    <w:rsid w:val="00B512B4"/>
    <w:rsid w:val="00B72382"/>
    <w:rsid w:val="00B9545C"/>
    <w:rsid w:val="00BA5CAE"/>
    <w:rsid w:val="00BE4484"/>
    <w:rsid w:val="00BE7775"/>
    <w:rsid w:val="00BF4F6E"/>
    <w:rsid w:val="00C04489"/>
    <w:rsid w:val="00C06A90"/>
    <w:rsid w:val="00C12061"/>
    <w:rsid w:val="00C134CE"/>
    <w:rsid w:val="00C30574"/>
    <w:rsid w:val="00C9335C"/>
    <w:rsid w:val="00CA64B0"/>
    <w:rsid w:val="00CA77D8"/>
    <w:rsid w:val="00CB1C79"/>
    <w:rsid w:val="00D04103"/>
    <w:rsid w:val="00D21816"/>
    <w:rsid w:val="00D22654"/>
    <w:rsid w:val="00D27107"/>
    <w:rsid w:val="00D57397"/>
    <w:rsid w:val="00D67F89"/>
    <w:rsid w:val="00D707D6"/>
    <w:rsid w:val="00D85D01"/>
    <w:rsid w:val="00DB04F6"/>
    <w:rsid w:val="00DB2A7D"/>
    <w:rsid w:val="00DB4765"/>
    <w:rsid w:val="00DB7AC0"/>
    <w:rsid w:val="00DE299B"/>
    <w:rsid w:val="00DF39A9"/>
    <w:rsid w:val="00DF7AE1"/>
    <w:rsid w:val="00E04957"/>
    <w:rsid w:val="00E2314B"/>
    <w:rsid w:val="00E44B56"/>
    <w:rsid w:val="00E60EAE"/>
    <w:rsid w:val="00E62F5A"/>
    <w:rsid w:val="00E72480"/>
    <w:rsid w:val="00E8538C"/>
    <w:rsid w:val="00E8769B"/>
    <w:rsid w:val="00EC0E9D"/>
    <w:rsid w:val="00ED589E"/>
    <w:rsid w:val="00F03B19"/>
    <w:rsid w:val="00F160A1"/>
    <w:rsid w:val="00F454FF"/>
    <w:rsid w:val="00F5388F"/>
    <w:rsid w:val="00F72F7A"/>
    <w:rsid w:val="00F73F5B"/>
    <w:rsid w:val="00F77546"/>
    <w:rsid w:val="00F84887"/>
    <w:rsid w:val="00F86B64"/>
    <w:rsid w:val="00F901F7"/>
    <w:rsid w:val="00FA28F7"/>
    <w:rsid w:val="00FA629E"/>
    <w:rsid w:val="00FB418C"/>
    <w:rsid w:val="00FB44C7"/>
    <w:rsid w:val="00FC2EE2"/>
    <w:rsid w:val="00FC5FFB"/>
    <w:rsid w:val="00FE2D05"/>
    <w:rsid w:val="00FF1257"/>
    <w:rsid w:val="00FF2526"/>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1F22"/>
    <w:pPr>
      <w:widowControl w:val="0"/>
      <w:overflowPunct w:val="0"/>
      <w:autoSpaceDE w:val="0"/>
      <w:autoSpaceDN w:val="0"/>
      <w:adjustRightInd w:val="0"/>
      <w:jc w:val="both"/>
      <w:textAlignment w:val="baseline"/>
    </w:pPr>
    <w:rPr>
      <w:lang w:val="en-US" w:eastAsia="en-US"/>
    </w:rPr>
  </w:style>
  <w:style w:type="paragraph" w:styleId="Heading1">
    <w:name w:val="heading 1"/>
    <w:basedOn w:val="Normal"/>
    <w:next w:val="Text"/>
    <w:qFormat/>
    <w:rsid w:val="00171F22"/>
    <w:pPr>
      <w:keepNext/>
      <w:tabs>
        <w:tab w:val="left" w:pos="360"/>
      </w:tabs>
      <w:spacing w:before="240" w:after="240"/>
      <w:outlineLvl w:val="0"/>
    </w:pPr>
    <w:rPr>
      <w:rFonts w:ascii="Arial" w:hAnsi="Arial"/>
      <w:b/>
      <w:caps/>
      <w:kern w:val="28"/>
      <w:sz w:val="28"/>
    </w:rPr>
  </w:style>
  <w:style w:type="paragraph" w:styleId="Heading2">
    <w:name w:val="heading 2"/>
    <w:basedOn w:val="Normal"/>
    <w:next w:val="Text"/>
    <w:qFormat/>
    <w:rsid w:val="00171F22"/>
    <w:pPr>
      <w:keepNext/>
      <w:tabs>
        <w:tab w:val="left" w:pos="720"/>
      </w:tabs>
      <w:spacing w:before="120" w:after="120"/>
      <w:outlineLvl w:val="1"/>
    </w:pPr>
    <w:rPr>
      <w:rFonts w:ascii="Arial" w:hAnsi="Arial"/>
      <w:b/>
      <w:sz w:val="22"/>
    </w:rPr>
  </w:style>
  <w:style w:type="paragraph" w:styleId="Heading3">
    <w:name w:val="heading 3"/>
    <w:basedOn w:val="Normal"/>
    <w:next w:val="Normal"/>
    <w:qFormat/>
    <w:rsid w:val="00171F22"/>
    <w:pPr>
      <w:keepNext/>
      <w:tabs>
        <w:tab w:val="left" w:pos="0"/>
      </w:tabs>
      <w:spacing w:before="240" w:after="60"/>
      <w:outlineLvl w:val="2"/>
    </w:pPr>
    <w:rPr>
      <w:rFonts w:ascii="Arial" w:hAnsi="Arial"/>
      <w:sz w:val="24"/>
    </w:rPr>
  </w:style>
  <w:style w:type="paragraph" w:styleId="Heading4">
    <w:name w:val="heading 4"/>
    <w:basedOn w:val="Normal"/>
    <w:next w:val="Normal"/>
    <w:qFormat/>
    <w:rsid w:val="00171F22"/>
    <w:pPr>
      <w:keepNext/>
      <w:tabs>
        <w:tab w:val="left" w:pos="0"/>
      </w:tabs>
      <w:spacing w:before="240" w:after="60"/>
      <w:outlineLvl w:val="3"/>
    </w:pPr>
    <w:rPr>
      <w:rFonts w:ascii="Arial" w:hAnsi="Arial"/>
      <w:b/>
      <w:sz w:val="28"/>
    </w:rPr>
  </w:style>
  <w:style w:type="paragraph" w:styleId="Heading8">
    <w:name w:val="heading 8"/>
    <w:basedOn w:val="Normal"/>
    <w:next w:val="Normal"/>
    <w:qFormat/>
    <w:rsid w:val="00171F22"/>
    <w:pPr>
      <w:keepNext/>
      <w:ind w:left="567" w:right="-294"/>
      <w:jc w:val="center"/>
      <w:outlineLvl w:val="7"/>
    </w:pPr>
    <w:rPr>
      <w:rFonts w:ascii="Palatino" w:hAnsi="Palatino"/>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171F22"/>
    <w:pPr>
      <w:spacing w:before="120" w:after="120"/>
    </w:pPr>
    <w:rPr>
      <w:rFonts w:ascii="Garamond" w:hAnsi="Garamond"/>
      <w:sz w:val="24"/>
    </w:rPr>
  </w:style>
  <w:style w:type="paragraph" w:customStyle="1" w:styleId="Bullet">
    <w:name w:val="Bullet"/>
    <w:basedOn w:val="Text"/>
    <w:rsid w:val="00171F22"/>
    <w:pPr>
      <w:tabs>
        <w:tab w:val="left" w:pos="360"/>
      </w:tabs>
      <w:spacing w:before="60" w:after="60"/>
      <w:ind w:left="360" w:right="-1" w:hanging="360"/>
    </w:pPr>
    <w:rPr>
      <w:b/>
    </w:rPr>
  </w:style>
  <w:style w:type="character" w:styleId="PageNumber">
    <w:name w:val="page number"/>
    <w:rsid w:val="00171F22"/>
    <w:rPr>
      <w:rFonts w:ascii="Arial" w:hAnsi="Arial" w:cs="Times New Roman"/>
      <w:sz w:val="20"/>
    </w:rPr>
  </w:style>
  <w:style w:type="paragraph" w:customStyle="1" w:styleId="Appendix">
    <w:name w:val="Appendix"/>
    <w:basedOn w:val="Text"/>
    <w:next w:val="Text"/>
    <w:rsid w:val="00171F22"/>
    <w:rPr>
      <w:rFonts w:ascii="Arial" w:hAnsi="Arial"/>
      <w:b/>
      <w:sz w:val="28"/>
    </w:rPr>
  </w:style>
  <w:style w:type="paragraph" w:styleId="PlainText">
    <w:name w:val="Plain Text"/>
    <w:basedOn w:val="Normal"/>
    <w:rsid w:val="00171F22"/>
    <w:rPr>
      <w:rFonts w:ascii="Courier New" w:hAnsi="Courier New"/>
    </w:rPr>
  </w:style>
  <w:style w:type="paragraph" w:styleId="Footer">
    <w:name w:val="footer"/>
    <w:basedOn w:val="Normal"/>
    <w:rsid w:val="00171F22"/>
    <w:pPr>
      <w:tabs>
        <w:tab w:val="center" w:pos="4153"/>
        <w:tab w:val="right" w:pos="8306"/>
      </w:tabs>
    </w:pPr>
    <w:rPr>
      <w:rFonts w:ascii="Garamond" w:hAnsi="Garamond"/>
      <w:i/>
      <w:sz w:val="16"/>
    </w:rPr>
  </w:style>
  <w:style w:type="paragraph" w:styleId="BodyText">
    <w:name w:val="Body Text"/>
    <w:basedOn w:val="Normal"/>
    <w:rsid w:val="00171F22"/>
    <w:pPr>
      <w:ind w:right="23"/>
    </w:pPr>
    <w:rPr>
      <w:color w:val="000000"/>
      <w:sz w:val="24"/>
    </w:rPr>
  </w:style>
  <w:style w:type="paragraph" w:styleId="BodyText2">
    <w:name w:val="Body Text 2"/>
    <w:basedOn w:val="Normal"/>
    <w:rsid w:val="00171F22"/>
    <w:rPr>
      <w:sz w:val="24"/>
    </w:rPr>
  </w:style>
  <w:style w:type="paragraph" w:styleId="BodyText3">
    <w:name w:val="Body Text 3"/>
    <w:basedOn w:val="Normal"/>
    <w:rsid w:val="00171F22"/>
    <w:rPr>
      <w:sz w:val="24"/>
    </w:rPr>
  </w:style>
  <w:style w:type="character" w:styleId="CommentReference">
    <w:name w:val="annotation reference"/>
    <w:semiHidden/>
    <w:rsid w:val="00171F22"/>
    <w:rPr>
      <w:rFonts w:cs="Times New Roman"/>
      <w:sz w:val="16"/>
    </w:rPr>
  </w:style>
  <w:style w:type="paragraph" w:styleId="CommentText">
    <w:name w:val="annotation text"/>
    <w:basedOn w:val="Normal"/>
    <w:semiHidden/>
    <w:rsid w:val="00171F22"/>
  </w:style>
  <w:style w:type="paragraph" w:styleId="FootnoteText">
    <w:name w:val="footnote text"/>
    <w:basedOn w:val="Normal"/>
    <w:semiHidden/>
    <w:rsid w:val="00171F22"/>
  </w:style>
  <w:style w:type="character" w:styleId="FootnoteReference">
    <w:name w:val="footnote reference"/>
    <w:semiHidden/>
    <w:rsid w:val="00171F22"/>
    <w:rPr>
      <w:rFonts w:cs="Times New Roman"/>
      <w:sz w:val="20"/>
      <w:vertAlign w:val="superscript"/>
    </w:rPr>
  </w:style>
  <w:style w:type="paragraph" w:styleId="BalloonText">
    <w:name w:val="Balloon Text"/>
    <w:basedOn w:val="Normal"/>
    <w:rsid w:val="00171F22"/>
    <w:rPr>
      <w:rFonts w:ascii="Tahoma" w:hAnsi="Tahoma"/>
      <w:sz w:val="16"/>
    </w:rPr>
  </w:style>
  <w:style w:type="paragraph" w:styleId="CommentSubject">
    <w:name w:val="annotation subject"/>
    <w:basedOn w:val="CommentText"/>
    <w:next w:val="CommentText"/>
    <w:semiHidden/>
    <w:rsid w:val="00171F22"/>
    <w:rPr>
      <w:b/>
      <w:bCs/>
    </w:rPr>
  </w:style>
  <w:style w:type="paragraph" w:styleId="Header">
    <w:name w:val="header"/>
    <w:basedOn w:val="Normal"/>
    <w:rsid w:val="00171F22"/>
    <w:pPr>
      <w:tabs>
        <w:tab w:val="center" w:pos="4153"/>
        <w:tab w:val="right" w:pos="8306"/>
      </w:tabs>
    </w:pPr>
  </w:style>
  <w:style w:type="character" w:styleId="Hyperlink">
    <w:name w:val="Hyperlink"/>
    <w:rsid w:val="00171F22"/>
    <w:rPr>
      <w:rFonts w:cs="Times New Roman"/>
      <w:color w:val="0000FF"/>
      <w:u w:val="single"/>
    </w:rPr>
  </w:style>
  <w:style w:type="paragraph" w:styleId="DocumentMap">
    <w:name w:val="Document Map"/>
    <w:basedOn w:val="Normal"/>
    <w:semiHidden/>
    <w:rsid w:val="00A353CB"/>
    <w:pPr>
      <w:shd w:val="clear" w:color="auto" w:fill="000080"/>
    </w:pPr>
    <w:rPr>
      <w:rFonts w:ascii="Tahoma" w:hAnsi="Tahoma" w:cs="Tahoma"/>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33162521">
      <w:bodyDiv w:val="1"/>
      <w:marLeft w:val="0"/>
      <w:marRight w:val="0"/>
      <w:marTop w:val="0"/>
      <w:marBottom w:val="0"/>
      <w:divBdr>
        <w:top w:val="none" w:sz="0" w:space="0" w:color="auto"/>
        <w:left w:val="none" w:sz="0" w:space="0" w:color="auto"/>
        <w:bottom w:val="none" w:sz="0" w:space="0" w:color="auto"/>
        <w:right w:val="none" w:sz="0" w:space="0" w:color="auto"/>
      </w:divBdr>
    </w:div>
    <w:div w:id="357198634">
      <w:bodyDiv w:val="1"/>
      <w:marLeft w:val="0"/>
      <w:marRight w:val="0"/>
      <w:marTop w:val="0"/>
      <w:marBottom w:val="0"/>
      <w:divBdr>
        <w:top w:val="none" w:sz="0" w:space="0" w:color="auto"/>
        <w:left w:val="none" w:sz="0" w:space="0" w:color="auto"/>
        <w:bottom w:val="none" w:sz="0" w:space="0" w:color="auto"/>
        <w:right w:val="none" w:sz="0" w:space="0" w:color="auto"/>
      </w:divBdr>
    </w:div>
    <w:div w:id="958604512">
      <w:bodyDiv w:val="1"/>
      <w:marLeft w:val="0"/>
      <w:marRight w:val="0"/>
      <w:marTop w:val="0"/>
      <w:marBottom w:val="0"/>
      <w:divBdr>
        <w:top w:val="none" w:sz="0" w:space="0" w:color="auto"/>
        <w:left w:val="none" w:sz="0" w:space="0" w:color="auto"/>
        <w:bottom w:val="none" w:sz="0" w:space="0" w:color="auto"/>
        <w:right w:val="none" w:sz="0" w:space="0" w:color="auto"/>
      </w:divBdr>
    </w:div>
    <w:div w:id="1190726033">
      <w:bodyDiv w:val="1"/>
      <w:marLeft w:val="0"/>
      <w:marRight w:val="0"/>
      <w:marTop w:val="0"/>
      <w:marBottom w:val="0"/>
      <w:divBdr>
        <w:top w:val="none" w:sz="0" w:space="0" w:color="auto"/>
        <w:left w:val="none" w:sz="0" w:space="0" w:color="auto"/>
        <w:bottom w:val="none" w:sz="0" w:space="0" w:color="auto"/>
        <w:right w:val="none" w:sz="0" w:space="0" w:color="auto"/>
      </w:divBdr>
    </w:div>
    <w:div w:id="124691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F50F6-E118-4E02-BE00-B06118408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4522</Words>
  <Characters>24379</Characters>
  <Application>Microsoft Office Word</Application>
  <DocSecurity>0</DocSecurity>
  <Lines>203</Lines>
  <Paragraphs>57</Paragraphs>
  <ScaleCrop>false</ScaleCrop>
  <Company/>
  <LinksUpToDate>false</LinksUpToDate>
  <CharactersWithSpaces>28844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Operation Application - Management Plan for the Commercial Harvest and Export of Bennett's Wallaby Skins from Tasmania</dc:title>
  <dc:creator/>
  <cp:lastModifiedBy/>
  <cp:revision>1</cp:revision>
  <dcterms:created xsi:type="dcterms:W3CDTF">2015-09-14T01:40:00Z</dcterms:created>
  <dcterms:modified xsi:type="dcterms:W3CDTF">2015-09-14T01:40:00Z</dcterms:modified>
</cp:coreProperties>
</file>