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7EB" w:rsidRDefault="0003353D" w:rsidP="002D37EB">
      <w:pPr>
        <w:pStyle w:val="Address0"/>
        <w:jc w:val="right"/>
        <w:rPr>
          <w:rFonts w:cs="Times New Roman"/>
          <w:sz w:val="20"/>
          <w:szCs w:val="20"/>
        </w:rPr>
      </w:pPr>
      <w:r>
        <w:rPr>
          <w:rFonts w:cs="Times New Roman"/>
          <w:sz w:val="20"/>
          <w:szCs w:val="20"/>
        </w:rPr>
        <w:t xml:space="preserve">Our reference: </w:t>
      </w:r>
      <w:r w:rsidRPr="00385BC2">
        <w:rPr>
          <w:rFonts w:cs="Times New Roman"/>
          <w:sz w:val="20"/>
          <w:szCs w:val="20"/>
        </w:rPr>
        <w:t>2011/</w:t>
      </w:r>
      <w:r>
        <w:rPr>
          <w:rFonts w:cs="Times New Roman"/>
          <w:sz w:val="20"/>
          <w:szCs w:val="20"/>
        </w:rPr>
        <w:t>10302</w:t>
      </w:r>
    </w:p>
    <w:p w:rsidR="002D37EB" w:rsidRDefault="002343F0" w:rsidP="002D37EB"/>
    <w:tbl>
      <w:tblPr>
        <w:tblW w:w="9747" w:type="dxa"/>
        <w:tblLayout w:type="fixed"/>
        <w:tblLook w:val="0000"/>
      </w:tblPr>
      <w:tblGrid>
        <w:gridCol w:w="9747"/>
      </w:tblGrid>
      <w:tr w:rsidR="002D37EB" w:rsidRPr="004417A4">
        <w:trPr>
          <w:trHeight w:val="1060"/>
        </w:trPr>
        <w:tc>
          <w:tcPr>
            <w:tcW w:w="9747" w:type="dxa"/>
          </w:tcPr>
          <w:p w:rsidR="002D37EB" w:rsidRPr="003663B6" w:rsidRDefault="0003353D" w:rsidP="002D37EB">
            <w:r>
              <w:t>T</w:t>
            </w:r>
            <w:r w:rsidRPr="003663B6">
              <w:t>he Hon Norman Moore</w:t>
            </w:r>
          </w:p>
          <w:p w:rsidR="002D37EB" w:rsidRPr="003663B6" w:rsidRDefault="0003353D" w:rsidP="002D37EB">
            <w:r w:rsidRPr="003663B6">
              <w:t>Minister for Mines and Petroleum, Fisheries</w:t>
            </w:r>
          </w:p>
          <w:p w:rsidR="002D37EB" w:rsidRPr="003663B6" w:rsidRDefault="0003353D" w:rsidP="002D37EB">
            <w:r w:rsidRPr="003663B6">
              <w:t>and Electoral Affairs</w:t>
            </w:r>
          </w:p>
          <w:p w:rsidR="002D37EB" w:rsidRPr="00477A3B" w:rsidRDefault="0003353D">
            <w:pPr>
              <w:rPr>
                <w:highlight w:val="yellow"/>
              </w:rPr>
            </w:pPr>
            <w:r w:rsidRPr="003663B6">
              <w:t>4th Floor, London House</w:t>
            </w:r>
            <w:r w:rsidRPr="003663B6">
              <w:br/>
              <w:t>216 St Georges Terrace</w:t>
            </w:r>
            <w:r w:rsidRPr="003663B6">
              <w:br/>
              <w:t>PERTH WA 6000</w:t>
            </w:r>
          </w:p>
        </w:tc>
      </w:tr>
    </w:tbl>
    <w:p w:rsidR="002D37EB" w:rsidRPr="004417A4" w:rsidRDefault="002343F0"/>
    <w:p w:rsidR="002D37EB" w:rsidRPr="004417A4" w:rsidRDefault="002343F0"/>
    <w:p w:rsidR="002D37EB" w:rsidRPr="004417A4" w:rsidRDefault="0003353D">
      <w:bookmarkStart w:id="0" w:name="DearBM"/>
      <w:bookmarkEnd w:id="0"/>
      <w:r w:rsidRPr="0087484D">
        <w:t xml:space="preserve">Dear </w:t>
      </w:r>
      <w:r>
        <w:t>Minister</w:t>
      </w:r>
    </w:p>
    <w:p w:rsidR="002D37EB" w:rsidRPr="004417A4" w:rsidRDefault="002343F0">
      <w:pPr>
        <w:rPr>
          <w:highlight w:val="yellow"/>
        </w:rPr>
      </w:pPr>
    </w:p>
    <w:p w:rsidR="002D37EB" w:rsidRDefault="0003353D" w:rsidP="002D37EB">
      <w:pPr>
        <w:widowControl w:val="0"/>
      </w:pPr>
      <w:r>
        <w:rPr>
          <w:lang w:val="en-US"/>
        </w:rPr>
        <w:t xml:space="preserve">I am writing to you as the Delegate of the Minister for Sustainability, Environment, Water, Population and Communities in relation to the reassessment of the Western Australian Shark Bay Crab (Interim) Managed Fishery </w:t>
      </w:r>
      <w:r>
        <w:t xml:space="preserve">under the </w:t>
      </w:r>
      <w:r>
        <w:rPr>
          <w:i/>
        </w:rPr>
        <w:t xml:space="preserve">Environment Protection and Biodiversity Conservation Act 1999 </w:t>
      </w:r>
      <w:r>
        <w:t>(EPBC Act).</w:t>
      </w:r>
    </w:p>
    <w:p w:rsidR="002D37EB" w:rsidRDefault="002343F0" w:rsidP="002D37EB">
      <w:pPr>
        <w:widowControl w:val="0"/>
      </w:pPr>
    </w:p>
    <w:p w:rsidR="002D37EB" w:rsidRDefault="0003353D" w:rsidP="002D37EB">
      <w:r w:rsidRPr="004417A4">
        <w:t xml:space="preserve">In </w:t>
      </w:r>
      <w:r>
        <w:t>June 2011</w:t>
      </w:r>
      <w:r w:rsidRPr="004417A4">
        <w:t xml:space="preserve">, the </w:t>
      </w:r>
      <w:r>
        <w:t xml:space="preserve">Department of Fisheries Western Australia </w:t>
      </w:r>
      <w:r w:rsidRPr="004417A4">
        <w:t>provided the Department of Sustainab</w:t>
      </w:r>
      <w:r w:rsidRPr="004417A4">
        <w:rPr>
          <w:szCs w:val="24"/>
        </w:rPr>
        <w:t>ility, Environment, Water, Population and Communities</w:t>
      </w:r>
      <w:r w:rsidRPr="004417A4">
        <w:t xml:space="preserve"> with a submission for reassessment </w:t>
      </w:r>
      <w:r>
        <w:t xml:space="preserve">of the </w:t>
      </w:r>
      <w:r>
        <w:rPr>
          <w:noProof/>
        </w:rPr>
        <w:t>Western Australian</w:t>
      </w:r>
      <w:r w:rsidRPr="00AF77C1">
        <w:rPr>
          <w:szCs w:val="24"/>
        </w:rPr>
        <w:t xml:space="preserve"> </w:t>
      </w:r>
      <w:r>
        <w:rPr>
          <w:szCs w:val="24"/>
        </w:rPr>
        <w:t xml:space="preserve">Shark Bay Crab (Interim) Managed Fishery </w:t>
      </w:r>
      <w:r w:rsidRPr="004417A4">
        <w:t>under the EPBC Act.</w:t>
      </w:r>
    </w:p>
    <w:p w:rsidR="002D37EB" w:rsidRDefault="002343F0" w:rsidP="002D37EB">
      <w:pPr>
        <w:rPr>
          <w:szCs w:val="24"/>
        </w:rPr>
      </w:pPr>
    </w:p>
    <w:p w:rsidR="002D37EB" w:rsidRPr="004417A4" w:rsidRDefault="0003353D" w:rsidP="002D37EB">
      <w:pPr>
        <w:rPr>
          <w:sz w:val="22"/>
          <w:szCs w:val="22"/>
        </w:rPr>
      </w:pPr>
      <w:r w:rsidRPr="004417A4">
        <w:t xml:space="preserve">I am pleased to advise that assessment of the </w:t>
      </w:r>
      <w:r>
        <w:rPr>
          <w:noProof/>
        </w:rPr>
        <w:t xml:space="preserve">Western Australian </w:t>
      </w:r>
      <w:r>
        <w:t xml:space="preserve">Shark Bay Crab (Interim) Managed Fishery </w:t>
      </w:r>
      <w:r w:rsidRPr="004417A4">
        <w:t>is now complete. The assessment report will be available on the department</w:t>
      </w:r>
      <w:r w:rsidRPr="004417A4">
        <w:rPr>
          <w:szCs w:val="24"/>
        </w:rPr>
        <w:t xml:space="preserve">’s website at: </w:t>
      </w:r>
      <w:r w:rsidRPr="007E16C4">
        <w:rPr>
          <w:szCs w:val="24"/>
        </w:rPr>
        <w:t>http://www.environment.gov.au/coasts/fisheries/wa/shark-bay/index.html</w:t>
      </w:r>
      <w:r>
        <w:rPr>
          <w:szCs w:val="24"/>
        </w:rPr>
        <w:t>.</w:t>
      </w:r>
    </w:p>
    <w:p w:rsidR="002D37EB" w:rsidRPr="004417A4" w:rsidRDefault="002343F0">
      <w:pPr>
        <w:rPr>
          <w:color w:val="008080"/>
          <w:sz w:val="20"/>
        </w:rPr>
      </w:pPr>
    </w:p>
    <w:p w:rsidR="002D37EB" w:rsidRPr="004417A4" w:rsidRDefault="0003353D" w:rsidP="002D37EB">
      <w:r w:rsidRPr="00BD62CB">
        <w:t xml:space="preserve">The </w:t>
      </w:r>
      <w:r w:rsidRPr="003663B6">
        <w:rPr>
          <w:i/>
          <w:noProof/>
        </w:rPr>
        <w:t>Western Australian</w:t>
      </w:r>
      <w:r>
        <w:rPr>
          <w:noProof/>
        </w:rPr>
        <w:t xml:space="preserve"> </w:t>
      </w:r>
      <w:r w:rsidRPr="00BD62CB">
        <w:rPr>
          <w:i/>
          <w:iCs/>
          <w:szCs w:val="24"/>
        </w:rPr>
        <w:t>Shark Bay Crab</w:t>
      </w:r>
      <w:r w:rsidR="003146B6">
        <w:rPr>
          <w:i/>
          <w:iCs/>
          <w:szCs w:val="24"/>
        </w:rPr>
        <w:t xml:space="preserve"> Fishery</w:t>
      </w:r>
      <w:r w:rsidRPr="00BD62CB">
        <w:rPr>
          <w:i/>
          <w:iCs/>
          <w:szCs w:val="24"/>
        </w:rPr>
        <w:t xml:space="preserve"> (Interim) Management Plan 2005</w:t>
      </w:r>
      <w:r w:rsidRPr="00BD62CB">
        <w:rPr>
          <w:iCs/>
          <w:szCs w:val="24"/>
        </w:rPr>
        <w:t xml:space="preserve"> </w:t>
      </w:r>
      <w:r w:rsidRPr="00BD62CB">
        <w:t xml:space="preserve">was accredited under Part 13 of the EPBC Act in </w:t>
      </w:r>
      <w:r w:rsidR="004270B8">
        <w:t>November 2004</w:t>
      </w:r>
      <w:r w:rsidRPr="00BD62CB">
        <w:t xml:space="preserve">. I am satisfied that it continues to be unlikely that fishing operations conducted in accordance with the </w:t>
      </w:r>
      <w:r w:rsidRPr="003663B6">
        <w:rPr>
          <w:i/>
          <w:noProof/>
        </w:rPr>
        <w:t>Western Australian</w:t>
      </w:r>
      <w:r>
        <w:rPr>
          <w:noProof/>
        </w:rPr>
        <w:t xml:space="preserve"> </w:t>
      </w:r>
      <w:r w:rsidRPr="00BD62CB">
        <w:rPr>
          <w:i/>
          <w:iCs/>
          <w:szCs w:val="24"/>
        </w:rPr>
        <w:t xml:space="preserve">Shark Bay Crab </w:t>
      </w:r>
      <w:r w:rsidR="003146B6">
        <w:rPr>
          <w:i/>
          <w:iCs/>
          <w:szCs w:val="24"/>
        </w:rPr>
        <w:t xml:space="preserve">Fishery </w:t>
      </w:r>
      <w:r w:rsidRPr="00BD62CB">
        <w:rPr>
          <w:i/>
          <w:iCs/>
          <w:szCs w:val="24"/>
        </w:rPr>
        <w:t>(Interim)</w:t>
      </w:r>
      <w:r>
        <w:rPr>
          <w:i/>
          <w:iCs/>
          <w:szCs w:val="24"/>
        </w:rPr>
        <w:t xml:space="preserve"> Management Plan 2005</w:t>
      </w:r>
      <w:r w:rsidRPr="00BD62CB">
        <w:rPr>
          <w:i/>
          <w:iCs/>
          <w:szCs w:val="24"/>
        </w:rPr>
        <w:t xml:space="preserve"> </w:t>
      </w:r>
      <w:r w:rsidRPr="00BD62CB">
        <w:t>will adversely affect the conservation status of protected species or affect the survival and recovery of listed threatened species. I also consider that under the management plan, operators are required to take all reasonable steps to avoid the killing or injuring of protected species.</w:t>
      </w:r>
    </w:p>
    <w:p w:rsidR="002D37EB" w:rsidRPr="004417A4" w:rsidRDefault="002343F0" w:rsidP="002D37EB">
      <w:pPr>
        <w:rPr>
          <w:color w:val="00B050"/>
        </w:rPr>
      </w:pPr>
    </w:p>
    <w:p w:rsidR="002D37EB" w:rsidRPr="004417A4" w:rsidRDefault="0003353D" w:rsidP="002D37EB">
      <w:r w:rsidRPr="004417A4">
        <w:t xml:space="preserve">I have therefore reaccredited the </w:t>
      </w:r>
      <w:r w:rsidRPr="003663B6">
        <w:rPr>
          <w:i/>
          <w:noProof/>
        </w:rPr>
        <w:t>Western Australian</w:t>
      </w:r>
      <w:r>
        <w:rPr>
          <w:noProof/>
        </w:rPr>
        <w:t xml:space="preserve"> </w:t>
      </w:r>
      <w:r w:rsidRPr="00F20D56">
        <w:rPr>
          <w:i/>
          <w:iCs/>
          <w:szCs w:val="24"/>
        </w:rPr>
        <w:t>Shark Bay Crab</w:t>
      </w:r>
      <w:r w:rsidR="003146B6">
        <w:rPr>
          <w:i/>
          <w:iCs/>
          <w:szCs w:val="24"/>
        </w:rPr>
        <w:t xml:space="preserve"> Fishery</w:t>
      </w:r>
      <w:r w:rsidRPr="00F20D56">
        <w:rPr>
          <w:i/>
          <w:iCs/>
          <w:szCs w:val="24"/>
        </w:rPr>
        <w:t xml:space="preserve"> (Interim) Management Plan 2005</w:t>
      </w:r>
      <w:r>
        <w:rPr>
          <w:i/>
          <w:iCs/>
          <w:szCs w:val="24"/>
        </w:rPr>
        <w:t xml:space="preserve"> </w:t>
      </w:r>
      <w:r w:rsidRPr="004417A4">
        <w:t>under Part</w:t>
      </w:r>
      <w:r>
        <w:t xml:space="preserve"> 13</w:t>
      </w:r>
      <w:r w:rsidRPr="004417A4">
        <w:t xml:space="preserve"> of the EPBC Act. Accreditation will ensure that individual fishers operating in accordance with the current management plan are not required to seek permits if they are at risk of killing or injuring listed species in Commonwealth waters.</w:t>
      </w:r>
    </w:p>
    <w:p w:rsidR="002D37EB" w:rsidRPr="004417A4" w:rsidRDefault="002343F0" w:rsidP="002D37EB">
      <w:pPr>
        <w:rPr>
          <w:color w:val="00B050"/>
        </w:rPr>
      </w:pPr>
    </w:p>
    <w:p w:rsidR="002D37EB" w:rsidRPr="004417A4" w:rsidRDefault="0003353D" w:rsidP="002D37EB">
      <w:r w:rsidRPr="004417A4">
        <w:t>I am sati</w:t>
      </w:r>
      <w:r>
        <w:t xml:space="preserve">sfied that the operation of the </w:t>
      </w:r>
      <w:r>
        <w:rPr>
          <w:noProof/>
        </w:rPr>
        <w:t xml:space="preserve">Western Australian </w:t>
      </w:r>
      <w:r>
        <w:t>Shark Bay Crab (Interim) Managed Fishery</w:t>
      </w:r>
      <w:r w:rsidRPr="004417A4">
        <w:t xml:space="preserve"> is consistent with the objects of the wildlife trade pro</w:t>
      </w:r>
      <w:r w:rsidR="00C13665">
        <w:t>visions in Part 13A of the EPBC </w:t>
      </w:r>
      <w:r w:rsidRPr="004417A4">
        <w:t xml:space="preserve">Act. I am also satisfied that it is unlikely to be detrimental to the survival or conservation status of any </w:t>
      </w:r>
      <w:proofErr w:type="spellStart"/>
      <w:r w:rsidRPr="004417A4">
        <w:t>taxon</w:t>
      </w:r>
      <w:proofErr w:type="spellEnd"/>
      <w:r w:rsidRPr="004417A4">
        <w:t xml:space="preserve"> to which the fishery operation relates, or threaten any relevant</w:t>
      </w:r>
      <w:r w:rsidR="00C13665">
        <w:t xml:space="preserve"> ecosystem in the medium</w:t>
      </w:r>
      <w:r w:rsidRPr="004417A4">
        <w:t xml:space="preserve"> term.</w:t>
      </w:r>
    </w:p>
    <w:p w:rsidR="002D37EB" w:rsidRDefault="002343F0" w:rsidP="002D37EB">
      <w:pPr>
        <w:pStyle w:val="Header"/>
      </w:pPr>
    </w:p>
    <w:p w:rsidR="002D37EB" w:rsidRPr="004417A4" w:rsidRDefault="002343F0" w:rsidP="002D37EB">
      <w:pPr>
        <w:pStyle w:val="Header"/>
      </w:pPr>
    </w:p>
    <w:p w:rsidR="002D37EB" w:rsidRPr="004417A4" w:rsidRDefault="0003353D" w:rsidP="002D37EB">
      <w:r w:rsidRPr="004417A4">
        <w:lastRenderedPageBreak/>
        <w:t>Given the management arrangements and precautionary mea</w:t>
      </w:r>
      <w:r>
        <w:t>sures for the fishery including seasonal and daily time restrictions</w:t>
      </w:r>
      <w:r w:rsidRPr="00E35BB3">
        <w:rPr>
          <w:bCs/>
          <w:iCs/>
          <w:color w:val="000000"/>
        </w:rPr>
        <w:t xml:space="preserve"> and specific measures such as catch limits, gear restrictions, </w:t>
      </w:r>
      <w:r>
        <w:rPr>
          <w:bCs/>
          <w:iCs/>
          <w:color w:val="000000"/>
        </w:rPr>
        <w:t>prohibition of the harvest of berried female</w:t>
      </w:r>
      <w:r w:rsidR="00AE42FE">
        <w:rPr>
          <w:bCs/>
          <w:iCs/>
          <w:color w:val="000000"/>
        </w:rPr>
        <w:t>s</w:t>
      </w:r>
      <w:r>
        <w:rPr>
          <w:bCs/>
          <w:iCs/>
          <w:color w:val="000000"/>
        </w:rPr>
        <w:t xml:space="preserve"> and immature male crabs</w:t>
      </w:r>
      <w:r>
        <w:t>, I have decided to amend the list of exempt native s</w:t>
      </w:r>
      <w:r w:rsidRPr="004417A4">
        <w:t xml:space="preserve">pecimens to allow export of product from this fishery for a period of five years, until </w:t>
      </w:r>
      <w:r>
        <w:t>30 September 2016</w:t>
      </w:r>
      <w:r w:rsidRPr="004417A4">
        <w:t>.</w:t>
      </w:r>
    </w:p>
    <w:p w:rsidR="002D37EB" w:rsidRPr="004417A4" w:rsidRDefault="002343F0" w:rsidP="002D37EB">
      <w:pPr>
        <w:rPr>
          <w:color w:val="00B050"/>
        </w:rPr>
      </w:pPr>
    </w:p>
    <w:p w:rsidR="00D202D2" w:rsidRDefault="0003353D" w:rsidP="00D202D2">
      <w:pPr>
        <w:rPr>
          <w:rFonts w:ascii="Arial" w:hAnsi="Arial" w:cs="Arial"/>
        </w:rPr>
      </w:pPr>
      <w:r w:rsidRPr="004417A4">
        <w:t xml:space="preserve">While there are some environmental risks associated with the </w:t>
      </w:r>
      <w:r>
        <w:rPr>
          <w:noProof/>
        </w:rPr>
        <w:t xml:space="preserve">Western Australian </w:t>
      </w:r>
      <w:r w:rsidRPr="004405E6">
        <w:rPr>
          <w:szCs w:val="24"/>
        </w:rPr>
        <w:t>Sha</w:t>
      </w:r>
      <w:r>
        <w:rPr>
          <w:szCs w:val="24"/>
        </w:rPr>
        <w:t>rk Bay Crab (Interim) Managed</w:t>
      </w:r>
      <w:r w:rsidRPr="004405E6">
        <w:rPr>
          <w:szCs w:val="24"/>
        </w:rPr>
        <w:t xml:space="preserve"> Fishery</w:t>
      </w:r>
      <w:r w:rsidRPr="004417A4">
        <w:t xml:space="preserve">, I believe </w:t>
      </w:r>
      <w:r>
        <w:t>that the Department of Fisheries Western Australia</w:t>
      </w:r>
      <w:r w:rsidRPr="004417A4">
        <w:t xml:space="preserve"> has in place measures to address these issues.</w:t>
      </w:r>
      <w:r>
        <w:t xml:space="preserve"> </w:t>
      </w:r>
      <w:r w:rsidRPr="004417A4">
        <w:t xml:space="preserve">Officers from </w:t>
      </w:r>
      <w:r>
        <w:t>the Department of Fisheries Western Australia</w:t>
      </w:r>
      <w:r w:rsidR="00AE42FE">
        <w:t xml:space="preserve"> and this</w:t>
      </w:r>
      <w:r w:rsidRPr="004417A4">
        <w:t xml:space="preserve"> department have discussed areas requiring ongoing attention and </w:t>
      </w:r>
      <w:r w:rsidRPr="00D202D2">
        <w:t xml:space="preserve">agreed to recommendations focussing on ensuring the continuation of good management practices. These recommendations can be found at </w:t>
      </w:r>
      <w:r w:rsidRPr="00D202D2">
        <w:rPr>
          <w:b/>
          <w:u w:val="single"/>
        </w:rPr>
        <w:t>Attachment A</w:t>
      </w:r>
      <w:r w:rsidRPr="00D202D2">
        <w:t>.</w:t>
      </w:r>
      <w:r w:rsidR="00D202D2" w:rsidRPr="00D202D2">
        <w:t xml:space="preserve"> These recommendations have been an important </w:t>
      </w:r>
      <w:r w:rsidR="00D202D2">
        <w:t>fact</w:t>
      </w:r>
      <w:r w:rsidR="008262D0">
        <w:t>or in my decision to include</w:t>
      </w:r>
      <w:r w:rsidR="00D202D2">
        <w:t xml:space="preserve"> product derived from </w:t>
      </w:r>
      <w:r w:rsidR="00D202D2" w:rsidRPr="00D202D2">
        <w:t xml:space="preserve">the </w:t>
      </w:r>
      <w:r w:rsidR="00D202D2">
        <w:t xml:space="preserve">Western Australian Shark Bay Crab (Interim) Managed Fishery in the list of exempt native specimens </w:t>
      </w:r>
      <w:r w:rsidR="00D202D2" w:rsidRPr="00D202D2">
        <w:t>and I look forward to receiving your confirmation that they will be implemented.</w:t>
      </w:r>
    </w:p>
    <w:p w:rsidR="002D37EB" w:rsidRPr="004417A4" w:rsidRDefault="002343F0" w:rsidP="002D37EB"/>
    <w:p w:rsidR="002D37EB" w:rsidRPr="004417A4" w:rsidRDefault="0003353D" w:rsidP="002D37EB">
      <w:r w:rsidRPr="004417A4">
        <w:rPr>
          <w:color w:val="000000"/>
        </w:rPr>
        <w:t xml:space="preserve">Please note that export decisions under the EPBC Act relate to the arrangements in force at the time of the assessment decision. To ensure that the decision remains valid, </w:t>
      </w:r>
      <w:r w:rsidRPr="004417A4">
        <w:rPr>
          <w:color w:val="000000"/>
          <w:lang w:val="en-US"/>
        </w:rPr>
        <w:t xml:space="preserve">the department </w:t>
      </w:r>
      <w:r w:rsidRPr="004417A4">
        <w:rPr>
          <w:color w:val="000000"/>
        </w:rPr>
        <w:t xml:space="preserve">needs to be advised of any intended changes to the management plan and make an assessment that the new arrangements are equivalent or better, in terms of ecological sustainability, than those in place at the time of the original decision. This includes legislated amendments and operational changes that may affect the sustainability of the target species or negatively impact on </w:t>
      </w:r>
      <w:proofErr w:type="spellStart"/>
      <w:r w:rsidRPr="004417A4">
        <w:rPr>
          <w:color w:val="000000"/>
        </w:rPr>
        <w:t>byproduct</w:t>
      </w:r>
      <w:proofErr w:type="spellEnd"/>
      <w:r w:rsidRPr="004417A4">
        <w:rPr>
          <w:color w:val="000000"/>
        </w:rPr>
        <w:t xml:space="preserve">, </w:t>
      </w:r>
      <w:proofErr w:type="spellStart"/>
      <w:r w:rsidRPr="004417A4">
        <w:rPr>
          <w:color w:val="000000"/>
        </w:rPr>
        <w:t>bycatch</w:t>
      </w:r>
      <w:proofErr w:type="spellEnd"/>
      <w:r w:rsidRPr="004417A4">
        <w:rPr>
          <w:color w:val="000000"/>
        </w:rPr>
        <w:t>, protected species or the ecosystem.</w:t>
      </w:r>
    </w:p>
    <w:p w:rsidR="002D37EB" w:rsidRPr="004417A4" w:rsidRDefault="002343F0"/>
    <w:p w:rsidR="002D37EB" w:rsidRDefault="0003353D" w:rsidP="002D37EB">
      <w:r w:rsidRPr="004417A4">
        <w:t>I would like to thank you for the cooperation of your officials in this assessment</w:t>
      </w:r>
      <w:r>
        <w:t>.</w:t>
      </w:r>
      <w:r w:rsidRPr="00477A3B">
        <w:t xml:space="preserve"> </w:t>
      </w:r>
    </w:p>
    <w:p w:rsidR="002D37EB" w:rsidRPr="004417A4" w:rsidRDefault="002343F0"/>
    <w:p w:rsidR="002D37EB" w:rsidRPr="004417A4" w:rsidRDefault="0003353D">
      <w:bookmarkStart w:id="1" w:name="bkStart"/>
      <w:bookmarkEnd w:id="1"/>
      <w:r w:rsidRPr="004417A4">
        <w:t>Yours sincerely</w:t>
      </w:r>
    </w:p>
    <w:p w:rsidR="002D37EB" w:rsidRPr="004417A4" w:rsidRDefault="002343F0"/>
    <w:p w:rsidR="002D37EB" w:rsidRPr="004417A4" w:rsidRDefault="004E3483">
      <w:r>
        <w:t>[SIGNED]</w:t>
      </w:r>
    </w:p>
    <w:p w:rsidR="002D37EB" w:rsidRPr="004417A4" w:rsidRDefault="002343F0"/>
    <w:p w:rsidR="002D37EB" w:rsidRDefault="0003353D">
      <w:bookmarkStart w:id="2" w:name="EnclosureBM"/>
      <w:bookmarkEnd w:id="2"/>
      <w:r>
        <w:t xml:space="preserve">Nigel </w:t>
      </w:r>
      <w:proofErr w:type="spellStart"/>
      <w:r>
        <w:t>Routh</w:t>
      </w:r>
      <w:proofErr w:type="spellEnd"/>
    </w:p>
    <w:p w:rsidR="002D37EB" w:rsidRDefault="0003353D" w:rsidP="002D37EB">
      <w:pPr>
        <w:pStyle w:val="SignTitle"/>
      </w:pPr>
      <w:r>
        <w:t>Delegate of the Minister for Sustainability, Environment, Water, Population and Communities</w:t>
      </w:r>
    </w:p>
    <w:p w:rsidR="002D37EB" w:rsidRDefault="002343F0" w:rsidP="002D37EB">
      <w:pPr>
        <w:pStyle w:val="SignTitle"/>
      </w:pPr>
    </w:p>
    <w:p w:rsidR="002D37EB" w:rsidRDefault="00AE42FE" w:rsidP="002D37EB">
      <w:pPr>
        <w:pStyle w:val="Para0"/>
      </w:pPr>
      <w:r>
        <w:t xml:space="preserve">  </w:t>
      </w:r>
      <w:proofErr w:type="gramStart"/>
      <w:r w:rsidR="004E3483">
        <w:t xml:space="preserve">4  </w:t>
      </w:r>
      <w:r>
        <w:t>October</w:t>
      </w:r>
      <w:proofErr w:type="gramEnd"/>
      <w:r w:rsidR="0003353D">
        <w:t xml:space="preserve"> 2011</w:t>
      </w:r>
    </w:p>
    <w:p w:rsidR="002D37EB" w:rsidRPr="00200F4A" w:rsidRDefault="002343F0" w:rsidP="002D37EB"/>
    <w:p w:rsidR="002D37EB" w:rsidRPr="004417A4" w:rsidRDefault="002343F0">
      <w:pPr>
        <w:rPr>
          <w:sz w:val="20"/>
        </w:rPr>
      </w:pPr>
    </w:p>
    <w:p w:rsidR="002D37EB" w:rsidRPr="004417A4" w:rsidRDefault="002343F0">
      <w:pPr>
        <w:rPr>
          <w:sz w:val="20"/>
        </w:rPr>
        <w:sectPr w:rsidR="002D37EB" w:rsidRPr="004417A4" w:rsidSect="002D37EB">
          <w:headerReference w:type="even" r:id="rId7"/>
          <w:headerReference w:type="default" r:id="rId8"/>
          <w:footerReference w:type="default" r:id="rId9"/>
          <w:headerReference w:type="first" r:id="rId10"/>
          <w:footerReference w:type="first" r:id="rId11"/>
          <w:pgSz w:w="11907" w:h="16840" w:code="9"/>
          <w:pgMar w:top="1134" w:right="1418" w:bottom="709" w:left="1418" w:header="720" w:footer="703" w:gutter="0"/>
          <w:cols w:space="720"/>
          <w:titlePg/>
          <w:docGrid w:linePitch="326"/>
        </w:sectPr>
      </w:pPr>
    </w:p>
    <w:p w:rsidR="002D37EB" w:rsidRPr="004417A4" w:rsidRDefault="002343F0">
      <w:pPr>
        <w:rPr>
          <w:sz w:val="20"/>
        </w:rPr>
        <w:sectPr w:rsidR="002D37EB" w:rsidRPr="004417A4" w:rsidSect="002D37EB">
          <w:headerReference w:type="first" r:id="rId12"/>
          <w:footerReference w:type="first" r:id="rId13"/>
          <w:type w:val="oddPage"/>
          <w:pgSz w:w="11907" w:h="16840" w:code="9"/>
          <w:pgMar w:top="1134" w:right="1418" w:bottom="709" w:left="1418" w:header="454" w:footer="454" w:gutter="0"/>
          <w:cols w:space="720"/>
          <w:titlePg/>
        </w:sectPr>
      </w:pPr>
    </w:p>
    <w:p w:rsidR="002D37EB" w:rsidRPr="00D42B42" w:rsidRDefault="0003353D" w:rsidP="002D37EB">
      <w:pPr>
        <w:jc w:val="center"/>
        <w:rPr>
          <w:sz w:val="28"/>
          <w:szCs w:val="28"/>
        </w:rPr>
      </w:pPr>
      <w:proofErr w:type="gramStart"/>
      <w:r w:rsidRPr="00D42B42">
        <w:rPr>
          <w:b/>
          <w:bCs/>
          <w:sz w:val="28"/>
          <w:szCs w:val="28"/>
        </w:rPr>
        <w:lastRenderedPageBreak/>
        <w:t xml:space="preserve">Recommendations to </w:t>
      </w:r>
      <w:r w:rsidRPr="00D42B42">
        <w:rPr>
          <w:b/>
          <w:sz w:val="28"/>
          <w:szCs w:val="28"/>
        </w:rPr>
        <w:t>the Department of Fisheries Western Australia on the ecologically sustainable management of the</w:t>
      </w:r>
      <w:r w:rsidRPr="00D42B42">
        <w:rPr>
          <w:noProof/>
          <w:sz w:val="28"/>
          <w:szCs w:val="28"/>
        </w:rPr>
        <w:t xml:space="preserve"> </w:t>
      </w:r>
      <w:r w:rsidRPr="00D42B42">
        <w:rPr>
          <w:b/>
          <w:sz w:val="28"/>
          <w:szCs w:val="28"/>
        </w:rPr>
        <w:t>Western Australian Shark Bay Crab (Interim) Managed Fishery</w:t>
      </w:r>
      <w:r w:rsidRPr="00D42B42">
        <w:rPr>
          <w:b/>
          <w:bCs/>
          <w:sz w:val="28"/>
          <w:szCs w:val="28"/>
        </w:rPr>
        <w:t>.</w:t>
      </w:r>
      <w:proofErr w:type="gramEnd"/>
    </w:p>
    <w:p w:rsidR="002D37EB" w:rsidRPr="004417A4" w:rsidRDefault="002343F0" w:rsidP="002D37EB"/>
    <w:p w:rsidR="002D37EB" w:rsidRDefault="002343F0" w:rsidP="002D37EB"/>
    <w:p w:rsidR="002D37EB" w:rsidRPr="004E13A7" w:rsidRDefault="0003353D" w:rsidP="002D37EB">
      <w:pPr>
        <w:pStyle w:val="ListParagraph"/>
        <w:numPr>
          <w:ilvl w:val="0"/>
          <w:numId w:val="15"/>
        </w:numPr>
        <w:rPr>
          <w:i/>
        </w:rPr>
      </w:pPr>
      <w:r>
        <w:t xml:space="preserve">Operation of the fishery will be carried out in accordance with the </w:t>
      </w:r>
      <w:r w:rsidRPr="00FB03EB">
        <w:rPr>
          <w:noProof/>
        </w:rPr>
        <w:t>Western Australian</w:t>
      </w:r>
      <w:r w:rsidRPr="003663B6">
        <w:rPr>
          <w:i/>
          <w:noProof/>
        </w:rPr>
        <w:t xml:space="preserve"> </w:t>
      </w:r>
      <w:r w:rsidRPr="00A5615E">
        <w:rPr>
          <w:i/>
        </w:rPr>
        <w:t>Shark Bay Crab Fishery (Interim) Management Plan 20</w:t>
      </w:r>
      <w:r w:rsidR="006B3BCA">
        <w:rPr>
          <w:i/>
        </w:rPr>
        <w:t>05</w:t>
      </w:r>
      <w:r>
        <w:t xml:space="preserve"> and management regime for the fishery in force under the </w:t>
      </w:r>
      <w:r w:rsidRPr="00FB03EB">
        <w:t>Western Australian</w:t>
      </w:r>
      <w:r w:rsidRPr="00A5615E">
        <w:rPr>
          <w:i/>
        </w:rPr>
        <w:t xml:space="preserve"> Fish Resources Management Act 1994 </w:t>
      </w:r>
      <w:r>
        <w:t xml:space="preserve">and </w:t>
      </w:r>
      <w:r w:rsidRPr="00A5615E">
        <w:rPr>
          <w:i/>
        </w:rPr>
        <w:t>Fish Resources Management Regulations 1995.</w:t>
      </w:r>
    </w:p>
    <w:p w:rsidR="002D37EB" w:rsidRDefault="002343F0" w:rsidP="002D37EB">
      <w:pPr>
        <w:pStyle w:val="ListParagraph"/>
        <w:rPr>
          <w:i/>
        </w:rPr>
      </w:pPr>
    </w:p>
    <w:p w:rsidR="002D37EB" w:rsidRPr="004E13A7" w:rsidRDefault="00DD40D3" w:rsidP="002D37EB">
      <w:pPr>
        <w:pStyle w:val="ListParagraph"/>
        <w:numPr>
          <w:ilvl w:val="0"/>
          <w:numId w:val="15"/>
        </w:numPr>
        <w:rPr>
          <w:i/>
        </w:rPr>
      </w:pPr>
      <w:r>
        <w:t xml:space="preserve">The Western Australian Department of Fisheries to advise the Department of Sustainability, Environment, Water, Population and Communities of any intended material change to the Western Australian Shark Bay Crab (Interim) Managed Fishery’s legislated management regime and management arrangements that could affect the criteria on which </w:t>
      </w:r>
      <w:r>
        <w:rPr>
          <w:i/>
          <w:iCs/>
        </w:rPr>
        <w:t>Environment Protection and Biodiversity Conservation Act 1999</w:t>
      </w:r>
      <w:r>
        <w:t xml:space="preserve"> decisions are based.</w:t>
      </w:r>
    </w:p>
    <w:p w:rsidR="002D37EB" w:rsidRPr="004E13A7" w:rsidRDefault="002343F0" w:rsidP="002D37EB">
      <w:pPr>
        <w:pStyle w:val="ListParagraph"/>
        <w:rPr>
          <w:i/>
        </w:rPr>
      </w:pPr>
    </w:p>
    <w:p w:rsidR="002D37EB" w:rsidRPr="004E13A7" w:rsidRDefault="00640C1F" w:rsidP="002D37EB">
      <w:pPr>
        <w:pStyle w:val="ListParagraph"/>
        <w:numPr>
          <w:ilvl w:val="0"/>
          <w:numId w:val="15"/>
        </w:numPr>
        <w:rPr>
          <w:i/>
        </w:rPr>
      </w:pPr>
      <w:r>
        <w:rPr>
          <w:iCs/>
        </w:rPr>
        <w:t xml:space="preserve">The </w:t>
      </w:r>
      <w:r w:rsidR="0003353D" w:rsidRPr="004E13A7">
        <w:rPr>
          <w:iCs/>
        </w:rPr>
        <w:t xml:space="preserve">Department of Fisheries Western Australia to produce and present reports to </w:t>
      </w:r>
      <w:r w:rsidR="0003353D">
        <w:t>the Department of Sustainability, Environment, Water, Population and Communities</w:t>
      </w:r>
      <w:r w:rsidR="0003353D" w:rsidRPr="004E13A7">
        <w:rPr>
          <w:iCs/>
        </w:rPr>
        <w:t xml:space="preserve"> ann</w:t>
      </w:r>
      <w:r w:rsidR="005A3690">
        <w:rPr>
          <w:iCs/>
        </w:rPr>
        <w:t xml:space="preserve">ually as per Appendix B of the </w:t>
      </w:r>
      <w:r w:rsidR="0003353D" w:rsidRPr="004E13A7">
        <w:rPr>
          <w:i/>
          <w:iCs/>
        </w:rPr>
        <w:t>Guidelines for the Ecologically Sustainable Management of Fisheries – 2</w:t>
      </w:r>
      <w:r w:rsidR="0003353D" w:rsidRPr="004E13A7">
        <w:rPr>
          <w:i/>
          <w:iCs/>
          <w:vertAlign w:val="superscript"/>
        </w:rPr>
        <w:t>nd</w:t>
      </w:r>
      <w:r w:rsidR="0003353D" w:rsidRPr="004E13A7">
        <w:rPr>
          <w:i/>
          <w:iCs/>
        </w:rPr>
        <w:t xml:space="preserve"> Edition</w:t>
      </w:r>
      <w:r w:rsidR="0003353D" w:rsidRPr="004E13A7">
        <w:rPr>
          <w:iCs/>
        </w:rPr>
        <w:t>.</w:t>
      </w:r>
      <w:r w:rsidR="0003353D">
        <w:rPr>
          <w:iCs/>
        </w:rPr>
        <w:t xml:space="preserve"> </w:t>
      </w:r>
      <w:r w:rsidR="0003353D" w:rsidRPr="004E13A7">
        <w:rPr>
          <w:iCs/>
        </w:rPr>
        <w:t>These reports should also include up</w:t>
      </w:r>
      <w:r>
        <w:rPr>
          <w:iCs/>
        </w:rPr>
        <w:t xml:space="preserve">dates regarding catch summaries </w:t>
      </w:r>
      <w:r w:rsidR="0003353D" w:rsidRPr="004E13A7">
        <w:rPr>
          <w:iCs/>
        </w:rPr>
        <w:t xml:space="preserve">of </w:t>
      </w:r>
      <w:proofErr w:type="spellStart"/>
      <w:r w:rsidR="0003353D" w:rsidRPr="004E13A7">
        <w:rPr>
          <w:iCs/>
        </w:rPr>
        <w:t>bycatch</w:t>
      </w:r>
      <w:proofErr w:type="spellEnd"/>
      <w:r w:rsidR="0003353D" w:rsidRPr="004E13A7">
        <w:rPr>
          <w:iCs/>
        </w:rPr>
        <w:t xml:space="preserve"> and </w:t>
      </w:r>
      <w:proofErr w:type="spellStart"/>
      <w:r w:rsidR="0003353D" w:rsidRPr="004E13A7">
        <w:rPr>
          <w:iCs/>
        </w:rPr>
        <w:t>byproduct</w:t>
      </w:r>
      <w:proofErr w:type="spellEnd"/>
      <w:r w:rsidR="0003353D" w:rsidRPr="004E13A7">
        <w:rPr>
          <w:iCs/>
        </w:rPr>
        <w:t>.</w:t>
      </w:r>
    </w:p>
    <w:p w:rsidR="002D37EB" w:rsidRPr="004E13A7" w:rsidRDefault="002343F0" w:rsidP="002D37EB">
      <w:pPr>
        <w:ind w:left="714"/>
        <w:rPr>
          <w:noProof/>
        </w:rPr>
      </w:pPr>
    </w:p>
    <w:p w:rsidR="002D37EB" w:rsidRPr="004E13A7" w:rsidRDefault="0003353D" w:rsidP="002D37EB">
      <w:pPr>
        <w:pStyle w:val="ListParagraph"/>
        <w:numPr>
          <w:ilvl w:val="0"/>
          <w:numId w:val="15"/>
        </w:numPr>
        <w:rPr>
          <w:iCs/>
          <w:szCs w:val="24"/>
        </w:rPr>
      </w:pPr>
      <w:r>
        <w:rPr>
          <w:szCs w:val="24"/>
        </w:rPr>
        <w:t>Within five</w:t>
      </w:r>
      <w:r w:rsidRPr="004E13A7">
        <w:rPr>
          <w:szCs w:val="24"/>
        </w:rPr>
        <w:t xml:space="preserve"> years, the Department of Fisheries Western Australia to review and update performance measures, indicators, management responses and information requirements for blue swimmer crab in the fishery. As part of this review, the Department of Fisheries Western Australia to develo</w:t>
      </w:r>
      <w:r w:rsidR="00640C1F">
        <w:rPr>
          <w:szCs w:val="24"/>
        </w:rPr>
        <w:t>p a total acceptable catch limit</w:t>
      </w:r>
      <w:r w:rsidRPr="004E13A7">
        <w:rPr>
          <w:szCs w:val="24"/>
        </w:rPr>
        <w:t xml:space="preserve"> for blue swimmer crab as a performance measure.</w:t>
      </w:r>
    </w:p>
    <w:p w:rsidR="002D37EB" w:rsidRDefault="002343F0" w:rsidP="002D37EB">
      <w:pPr>
        <w:ind w:left="714"/>
        <w:rPr>
          <w:noProof/>
        </w:rPr>
      </w:pPr>
    </w:p>
    <w:p w:rsidR="002D37EB" w:rsidRDefault="002343F0" w:rsidP="002D37EB">
      <w:pPr>
        <w:ind w:left="714" w:hanging="357"/>
        <w:rPr>
          <w:noProof/>
        </w:rPr>
      </w:pPr>
    </w:p>
    <w:p w:rsidR="002D37EB" w:rsidRDefault="002343F0" w:rsidP="002D37EB">
      <w:pPr>
        <w:rPr>
          <w:noProof/>
        </w:rPr>
      </w:pPr>
    </w:p>
    <w:p w:rsidR="002D37EB" w:rsidRPr="00FE2339" w:rsidRDefault="002343F0" w:rsidP="002D37EB">
      <w:pPr>
        <w:pStyle w:val="ListParagraph"/>
        <w:rPr>
          <w:iCs/>
          <w:noProof/>
        </w:rPr>
      </w:pPr>
    </w:p>
    <w:p w:rsidR="002D37EB" w:rsidRPr="00FE2339" w:rsidRDefault="002343F0" w:rsidP="002D37EB">
      <w:pPr>
        <w:ind w:left="1800"/>
        <w:rPr>
          <w:iCs/>
          <w:noProof/>
        </w:rPr>
      </w:pPr>
    </w:p>
    <w:p w:rsidR="002D37EB" w:rsidRPr="00FE2339" w:rsidRDefault="002343F0" w:rsidP="002D37EB">
      <w:pPr>
        <w:rPr>
          <w:noProof/>
        </w:rPr>
      </w:pPr>
    </w:p>
    <w:p w:rsidR="002D37EB" w:rsidRDefault="002343F0" w:rsidP="002D37EB">
      <w:pPr>
        <w:rPr>
          <w:noProof/>
        </w:rPr>
      </w:pPr>
    </w:p>
    <w:p w:rsidR="002D37EB" w:rsidRDefault="002343F0" w:rsidP="002D37EB">
      <w:pPr>
        <w:rPr>
          <w:noProof/>
        </w:rPr>
      </w:pPr>
    </w:p>
    <w:p w:rsidR="002D37EB" w:rsidRPr="004417A4" w:rsidRDefault="002343F0" w:rsidP="002D37EB"/>
    <w:sectPr w:rsidR="002D37EB" w:rsidRPr="004417A4" w:rsidSect="002D37EB">
      <w:type w:val="continuous"/>
      <w:pgSz w:w="11907" w:h="16840" w:code="9"/>
      <w:pgMar w:top="1134" w:right="1418" w:bottom="709" w:left="1418" w:header="454" w:footer="4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7EB" w:rsidRDefault="0003353D">
      <w:r>
        <w:separator/>
      </w:r>
    </w:p>
    <w:p w:rsidR="002D37EB" w:rsidRDefault="002343F0"/>
  </w:endnote>
  <w:endnote w:type="continuationSeparator" w:id="0">
    <w:p w:rsidR="002D37EB" w:rsidRDefault="0003353D">
      <w:r>
        <w:continuationSeparator/>
      </w:r>
    </w:p>
    <w:p w:rsidR="002D37EB" w:rsidRDefault="002343F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auto"/>
    <w:pitch w:val="variable"/>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7EB" w:rsidRDefault="002343F0">
    <w:pPr>
      <w:pStyle w:val="Footer"/>
      <w:tabs>
        <w:tab w:val="right" w:pos="9356"/>
      </w:tabs>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7EB" w:rsidRDefault="0003353D">
    <w:pPr>
      <w:keepNext/>
      <w:jc w:val="center"/>
      <w:rPr>
        <w:szCs w:val="24"/>
      </w:rPr>
    </w:pPr>
    <w:r>
      <w:rPr>
        <w:rFonts w:ascii="Arial" w:hAnsi="Arial" w:cs="Arial"/>
        <w:noProof/>
      </w:rPr>
      <w:drawing>
        <wp:inline distT="0" distB="0" distL="0" distR="0">
          <wp:extent cx="6334125" cy="6191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r="9712"/>
                  <a:stretch>
                    <a:fillRect/>
                  </a:stretch>
                </pic:blipFill>
                <pic:spPr bwMode="auto">
                  <a:xfrm>
                    <a:off x="0" y="0"/>
                    <a:ext cx="6334125" cy="619125"/>
                  </a:xfrm>
                  <a:prstGeom prst="rect">
                    <a:avLst/>
                  </a:prstGeom>
                  <a:no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7EB" w:rsidRDefault="002343F0">
    <w:pPr>
      <w:keepNext/>
      <w:spacing w:line="240" w:lineRule="exact"/>
      <w:ind w:left="-284" w:right="-285"/>
      <w:rPr>
        <w:sz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7EB" w:rsidRDefault="0003353D">
      <w:r>
        <w:separator/>
      </w:r>
    </w:p>
    <w:p w:rsidR="002D37EB" w:rsidRDefault="002343F0"/>
  </w:footnote>
  <w:footnote w:type="continuationSeparator" w:id="0">
    <w:p w:rsidR="002D37EB" w:rsidRDefault="0003353D">
      <w:r>
        <w:continuationSeparator/>
      </w:r>
    </w:p>
    <w:p w:rsidR="002D37EB" w:rsidRDefault="002343F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7EB" w:rsidRDefault="002343F0">
    <w:pPr>
      <w:pStyle w:val="Header"/>
    </w:pPr>
  </w:p>
  <w:p w:rsidR="002D37EB" w:rsidRDefault="002343F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7EB" w:rsidRDefault="002343F0">
    <w:pPr>
      <w:pStyle w:val="Footer"/>
      <w:tabs>
        <w:tab w:val="right" w:pos="9356"/>
      </w:tabs>
      <w:rPr>
        <w:b/>
      </w:rPr>
    </w:pPr>
  </w:p>
  <w:p w:rsidR="002D37EB" w:rsidRDefault="002343F0">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7EB" w:rsidRDefault="0003353D">
    <w:pPr>
      <w:jc w:val="center"/>
      <w:rPr>
        <w:rFonts w:ascii="Arial" w:hAnsi="Arial" w:cs="Arial"/>
        <w:b/>
      </w:rPr>
    </w:pPr>
    <w:r>
      <w:rPr>
        <w:noProof/>
      </w:rPr>
      <w:drawing>
        <wp:inline distT="0" distB="0" distL="0" distR="0">
          <wp:extent cx="5267325" cy="647700"/>
          <wp:effectExtent l="0" t="0" r="9525" b="0"/>
          <wp:docPr id="1" name="Picture 1" descr="inline-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line-sewpc"/>
                  <pic:cNvPicPr>
                    <a:picLocks noChangeAspect="1" noChangeArrowheads="1"/>
                  </pic:cNvPicPr>
                </pic:nvPicPr>
                <pic:blipFill>
                  <a:blip r:embed="rId1"/>
                  <a:srcRect/>
                  <a:stretch>
                    <a:fillRect/>
                  </a:stretch>
                </pic:blipFill>
                <pic:spPr bwMode="auto">
                  <a:xfrm>
                    <a:off x="0" y="0"/>
                    <a:ext cx="5267325" cy="647700"/>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7EB" w:rsidRDefault="0003353D" w:rsidP="002D37EB">
    <w:pPr>
      <w:jc w:val="right"/>
      <w:rPr>
        <w:b/>
      </w:rPr>
    </w:pPr>
    <w:r>
      <w:br w:type="page"/>
    </w:r>
    <w:r>
      <w:rPr>
        <w:b/>
      </w:rPr>
      <w:t>Attachment A</w:t>
    </w:r>
  </w:p>
  <w:p w:rsidR="002D37EB" w:rsidRDefault="002343F0">
    <w:pPr>
      <w:jc w:val="center"/>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0C5B39BA"/>
    <w:multiLevelType w:val="hybridMultilevel"/>
    <w:tmpl w:val="AA7A80CE"/>
    <w:lvl w:ilvl="0" w:tplc="01A45D72">
      <w:start w:val="1"/>
      <w:numFmt w:val="lowerLetter"/>
      <w:lvlText w:val="%1)"/>
      <w:lvlJc w:val="left"/>
      <w:pPr>
        <w:tabs>
          <w:tab w:val="num" w:pos="720"/>
        </w:tabs>
        <w:ind w:left="720" w:hanging="360"/>
      </w:pPr>
      <w:rPr>
        <w:rFonts w:hint="default"/>
        <w:color w:val="auto"/>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D48394B"/>
    <w:multiLevelType w:val="hybridMultilevel"/>
    <w:tmpl w:val="59766768"/>
    <w:lvl w:ilvl="0" w:tplc="0C090017">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11BE6B29"/>
    <w:multiLevelType w:val="hybridMultilevel"/>
    <w:tmpl w:val="9B3E38C6"/>
    <w:lvl w:ilvl="0" w:tplc="6AB89D04">
      <w:start w:val="2"/>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4677387"/>
    <w:multiLevelType w:val="hybridMultilevel"/>
    <w:tmpl w:val="34F85AA0"/>
    <w:lvl w:ilvl="0" w:tplc="0C09000F">
      <w:start w:val="5"/>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5">
    <w:nsid w:val="1D7134CE"/>
    <w:multiLevelType w:val="hybridMultilevel"/>
    <w:tmpl w:val="7BD89A54"/>
    <w:lvl w:ilvl="0" w:tplc="6F8CB208">
      <w:start w:val="1"/>
      <w:numFmt w:val="lowerLetter"/>
      <w:lvlText w:val="%1)"/>
      <w:lvlJc w:val="left"/>
      <w:pPr>
        <w:tabs>
          <w:tab w:val="num" w:pos="780"/>
        </w:tabs>
        <w:ind w:left="780" w:hanging="360"/>
      </w:pPr>
      <w:rPr>
        <w:rFonts w:hint="default"/>
      </w:rPr>
    </w:lvl>
    <w:lvl w:ilvl="1" w:tplc="0C090019" w:tentative="1">
      <w:start w:val="1"/>
      <w:numFmt w:val="lowerLetter"/>
      <w:lvlText w:val="%2."/>
      <w:lvlJc w:val="left"/>
      <w:pPr>
        <w:tabs>
          <w:tab w:val="num" w:pos="1500"/>
        </w:tabs>
        <w:ind w:left="1500" w:hanging="360"/>
      </w:pPr>
    </w:lvl>
    <w:lvl w:ilvl="2" w:tplc="0C09001B" w:tentative="1">
      <w:start w:val="1"/>
      <w:numFmt w:val="lowerRoman"/>
      <w:lvlText w:val="%3."/>
      <w:lvlJc w:val="right"/>
      <w:pPr>
        <w:tabs>
          <w:tab w:val="num" w:pos="2220"/>
        </w:tabs>
        <w:ind w:left="2220" w:hanging="180"/>
      </w:p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6">
    <w:nsid w:val="2162720F"/>
    <w:multiLevelType w:val="hybridMultilevel"/>
    <w:tmpl w:val="8FC04866"/>
    <w:lvl w:ilvl="0" w:tplc="0C09001B">
      <w:start w:val="1"/>
      <w:numFmt w:val="lowerRoman"/>
      <w:lvlText w:val="%1."/>
      <w:lvlJc w:val="right"/>
      <w:pPr>
        <w:tabs>
          <w:tab w:val="num" w:pos="1080"/>
        </w:tabs>
        <w:ind w:left="1080" w:hanging="360"/>
      </w:pPr>
      <w:rPr>
        <w:rFonts w:hint="default"/>
      </w:rPr>
    </w:lvl>
    <w:lvl w:ilvl="1" w:tplc="CB284F48">
      <w:start w:val="1"/>
      <w:numFmt w:val="lowerLetter"/>
      <w:lvlText w:val="%2)"/>
      <w:lvlJc w:val="left"/>
      <w:pPr>
        <w:tabs>
          <w:tab w:val="num" w:pos="2160"/>
        </w:tabs>
        <w:ind w:left="2160" w:hanging="360"/>
      </w:pPr>
      <w:rPr>
        <w:rFonts w:hint="default"/>
      </w:r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7">
    <w:nsid w:val="2BFA455E"/>
    <w:multiLevelType w:val="hybridMultilevel"/>
    <w:tmpl w:val="95F2003C"/>
    <w:lvl w:ilvl="0" w:tplc="8C425D72">
      <w:start w:val="1"/>
      <w:numFmt w:val="lowerLetter"/>
      <w:lvlText w:val="%1)"/>
      <w:lvlJc w:val="left"/>
      <w:pPr>
        <w:tabs>
          <w:tab w:val="num" w:pos="1080"/>
        </w:tabs>
        <w:ind w:left="1080" w:hanging="360"/>
      </w:pPr>
      <w:rPr>
        <w:rFonts w:cs="Times New Roman" w:hint="default"/>
      </w:rPr>
    </w:lvl>
    <w:lvl w:ilvl="1" w:tplc="0C090019">
      <w:start w:val="1"/>
      <w:numFmt w:val="lowerLetter"/>
      <w:lvlText w:val="%2."/>
      <w:lvlJc w:val="left"/>
      <w:pPr>
        <w:tabs>
          <w:tab w:val="num" w:pos="1800"/>
        </w:tabs>
        <w:ind w:left="1800" w:hanging="360"/>
      </w:pPr>
      <w:rPr>
        <w:rFonts w:cs="Times New Roman"/>
      </w:rPr>
    </w:lvl>
    <w:lvl w:ilvl="2" w:tplc="0C09001B">
      <w:start w:val="1"/>
      <w:numFmt w:val="lowerRoman"/>
      <w:lvlText w:val="%3."/>
      <w:lvlJc w:val="right"/>
      <w:pPr>
        <w:tabs>
          <w:tab w:val="num" w:pos="2520"/>
        </w:tabs>
        <w:ind w:left="2520" w:hanging="180"/>
      </w:pPr>
      <w:rPr>
        <w:rFonts w:cs="Times New Roman"/>
      </w:rPr>
    </w:lvl>
    <w:lvl w:ilvl="3" w:tplc="0C09000F">
      <w:start w:val="1"/>
      <w:numFmt w:val="decimal"/>
      <w:lvlText w:val="%4."/>
      <w:lvlJc w:val="left"/>
      <w:pPr>
        <w:tabs>
          <w:tab w:val="num" w:pos="3240"/>
        </w:tabs>
        <w:ind w:left="3240" w:hanging="360"/>
      </w:pPr>
      <w:rPr>
        <w:rFonts w:cs="Times New Roman"/>
      </w:rPr>
    </w:lvl>
    <w:lvl w:ilvl="4" w:tplc="0C090019">
      <w:start w:val="1"/>
      <w:numFmt w:val="lowerLetter"/>
      <w:lvlText w:val="%5."/>
      <w:lvlJc w:val="left"/>
      <w:pPr>
        <w:tabs>
          <w:tab w:val="num" w:pos="3960"/>
        </w:tabs>
        <w:ind w:left="3960" w:hanging="360"/>
      </w:pPr>
      <w:rPr>
        <w:rFonts w:cs="Times New Roman"/>
      </w:rPr>
    </w:lvl>
    <w:lvl w:ilvl="5" w:tplc="0C09001B">
      <w:start w:val="1"/>
      <w:numFmt w:val="lowerRoman"/>
      <w:lvlText w:val="%6."/>
      <w:lvlJc w:val="right"/>
      <w:pPr>
        <w:tabs>
          <w:tab w:val="num" w:pos="4680"/>
        </w:tabs>
        <w:ind w:left="4680" w:hanging="180"/>
      </w:pPr>
      <w:rPr>
        <w:rFonts w:cs="Times New Roman"/>
      </w:rPr>
    </w:lvl>
    <w:lvl w:ilvl="6" w:tplc="0C09000F">
      <w:start w:val="1"/>
      <w:numFmt w:val="decimal"/>
      <w:lvlText w:val="%7."/>
      <w:lvlJc w:val="left"/>
      <w:pPr>
        <w:tabs>
          <w:tab w:val="num" w:pos="5400"/>
        </w:tabs>
        <w:ind w:left="5400" w:hanging="360"/>
      </w:pPr>
      <w:rPr>
        <w:rFonts w:cs="Times New Roman"/>
      </w:rPr>
    </w:lvl>
    <w:lvl w:ilvl="7" w:tplc="0C090019">
      <w:start w:val="1"/>
      <w:numFmt w:val="lowerLetter"/>
      <w:lvlText w:val="%8."/>
      <w:lvlJc w:val="left"/>
      <w:pPr>
        <w:tabs>
          <w:tab w:val="num" w:pos="6120"/>
        </w:tabs>
        <w:ind w:left="6120" w:hanging="360"/>
      </w:pPr>
      <w:rPr>
        <w:rFonts w:cs="Times New Roman"/>
      </w:rPr>
    </w:lvl>
    <w:lvl w:ilvl="8" w:tplc="0C09001B">
      <w:start w:val="1"/>
      <w:numFmt w:val="lowerRoman"/>
      <w:lvlText w:val="%9."/>
      <w:lvlJc w:val="right"/>
      <w:pPr>
        <w:tabs>
          <w:tab w:val="num" w:pos="6840"/>
        </w:tabs>
        <w:ind w:left="6840" w:hanging="180"/>
      </w:pPr>
      <w:rPr>
        <w:rFonts w:cs="Times New Roman"/>
      </w:rPr>
    </w:lvl>
  </w:abstractNum>
  <w:abstractNum w:abstractNumId="8">
    <w:nsid w:val="2D4E44A8"/>
    <w:multiLevelType w:val="hybridMultilevel"/>
    <w:tmpl w:val="985EFAF0"/>
    <w:lvl w:ilvl="0" w:tplc="2D429EB0">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2F32587C"/>
    <w:multiLevelType w:val="hybridMultilevel"/>
    <w:tmpl w:val="C0727C7C"/>
    <w:lvl w:ilvl="0" w:tplc="6F8CB208">
      <w:start w:val="1"/>
      <w:numFmt w:val="lowerLetter"/>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3C434E3"/>
    <w:multiLevelType w:val="hybridMultilevel"/>
    <w:tmpl w:val="60AE6400"/>
    <w:lvl w:ilvl="0" w:tplc="47D2C990">
      <w:start w:val="1"/>
      <w:numFmt w:val="lowerRoman"/>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3DD9619C"/>
    <w:multiLevelType w:val="hybridMultilevel"/>
    <w:tmpl w:val="F04E7CC0"/>
    <w:lvl w:ilvl="0" w:tplc="2D429EB0">
      <w:start w:val="1"/>
      <w:numFmt w:val="lowerLetter"/>
      <w:lvlText w:val="%1)"/>
      <w:lvlJc w:val="left"/>
      <w:pPr>
        <w:ind w:left="360" w:hanging="360"/>
      </w:pPr>
      <w:rPr>
        <w:rFonts w:hint="default"/>
      </w:rPr>
    </w:lvl>
    <w:lvl w:ilvl="1" w:tplc="0C090019" w:tentative="1">
      <w:start w:val="1"/>
      <w:numFmt w:val="lowerLetter"/>
      <w:lvlText w:val="%2."/>
      <w:lvlJc w:val="left"/>
      <w:pPr>
        <w:tabs>
          <w:tab w:val="num" w:pos="-540"/>
        </w:tabs>
        <w:ind w:left="-540" w:hanging="360"/>
      </w:pPr>
    </w:lvl>
    <w:lvl w:ilvl="2" w:tplc="0C09001B" w:tentative="1">
      <w:start w:val="1"/>
      <w:numFmt w:val="lowerRoman"/>
      <w:lvlText w:val="%3."/>
      <w:lvlJc w:val="right"/>
      <w:pPr>
        <w:tabs>
          <w:tab w:val="num" w:pos="180"/>
        </w:tabs>
        <w:ind w:left="180" w:hanging="180"/>
      </w:pPr>
    </w:lvl>
    <w:lvl w:ilvl="3" w:tplc="0C09000F" w:tentative="1">
      <w:start w:val="1"/>
      <w:numFmt w:val="decimal"/>
      <w:lvlText w:val="%4."/>
      <w:lvlJc w:val="left"/>
      <w:pPr>
        <w:tabs>
          <w:tab w:val="num" w:pos="900"/>
        </w:tabs>
        <w:ind w:left="900" w:hanging="360"/>
      </w:pPr>
    </w:lvl>
    <w:lvl w:ilvl="4" w:tplc="0C090019" w:tentative="1">
      <w:start w:val="1"/>
      <w:numFmt w:val="lowerLetter"/>
      <w:lvlText w:val="%5."/>
      <w:lvlJc w:val="left"/>
      <w:pPr>
        <w:tabs>
          <w:tab w:val="num" w:pos="1620"/>
        </w:tabs>
        <w:ind w:left="1620" w:hanging="360"/>
      </w:pPr>
    </w:lvl>
    <w:lvl w:ilvl="5" w:tplc="0C09001B" w:tentative="1">
      <w:start w:val="1"/>
      <w:numFmt w:val="lowerRoman"/>
      <w:lvlText w:val="%6."/>
      <w:lvlJc w:val="right"/>
      <w:pPr>
        <w:tabs>
          <w:tab w:val="num" w:pos="2340"/>
        </w:tabs>
        <w:ind w:left="2340" w:hanging="180"/>
      </w:pPr>
    </w:lvl>
    <w:lvl w:ilvl="6" w:tplc="0C09000F" w:tentative="1">
      <w:start w:val="1"/>
      <w:numFmt w:val="decimal"/>
      <w:lvlText w:val="%7."/>
      <w:lvlJc w:val="left"/>
      <w:pPr>
        <w:tabs>
          <w:tab w:val="num" w:pos="3060"/>
        </w:tabs>
        <w:ind w:left="3060" w:hanging="360"/>
      </w:pPr>
    </w:lvl>
    <w:lvl w:ilvl="7" w:tplc="0C090019" w:tentative="1">
      <w:start w:val="1"/>
      <w:numFmt w:val="lowerLetter"/>
      <w:lvlText w:val="%8."/>
      <w:lvlJc w:val="left"/>
      <w:pPr>
        <w:tabs>
          <w:tab w:val="num" w:pos="3780"/>
        </w:tabs>
        <w:ind w:left="3780" w:hanging="360"/>
      </w:pPr>
    </w:lvl>
    <w:lvl w:ilvl="8" w:tplc="0C09001B" w:tentative="1">
      <w:start w:val="1"/>
      <w:numFmt w:val="lowerRoman"/>
      <w:lvlText w:val="%9."/>
      <w:lvlJc w:val="right"/>
      <w:pPr>
        <w:tabs>
          <w:tab w:val="num" w:pos="4500"/>
        </w:tabs>
        <w:ind w:left="4500" w:hanging="180"/>
      </w:pPr>
    </w:lvl>
  </w:abstractNum>
  <w:abstractNum w:abstractNumId="12">
    <w:nsid w:val="4E1366E9"/>
    <w:multiLevelType w:val="hybridMultilevel"/>
    <w:tmpl w:val="084CBB54"/>
    <w:lvl w:ilvl="0" w:tplc="92B237B8">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5A8C7FCD"/>
    <w:multiLevelType w:val="hybridMultilevel"/>
    <w:tmpl w:val="84040A92"/>
    <w:lvl w:ilvl="0" w:tplc="CB284F48">
      <w:start w:val="1"/>
      <w:numFmt w:val="lowerLetter"/>
      <w:lvlText w:val="%1)"/>
      <w:lvlJc w:val="left"/>
      <w:pPr>
        <w:tabs>
          <w:tab w:val="num" w:pos="2160"/>
        </w:tabs>
        <w:ind w:left="21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6176383E"/>
    <w:multiLevelType w:val="hybridMultilevel"/>
    <w:tmpl w:val="C0C4B3BE"/>
    <w:lvl w:ilvl="0" w:tplc="1F928CBA">
      <w:start w:val="1"/>
      <w:numFmt w:val="decimal"/>
      <w:lvlText w:val="%1."/>
      <w:lvlJc w:val="left"/>
      <w:pPr>
        <w:ind w:left="720" w:hanging="360"/>
      </w:pPr>
      <w:rPr>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57025E1"/>
    <w:multiLevelType w:val="hybridMultilevel"/>
    <w:tmpl w:val="CB5ABFBA"/>
    <w:lvl w:ilvl="0" w:tplc="2D429EB0">
      <w:start w:val="1"/>
      <w:numFmt w:val="lowerLetter"/>
      <w:lvlText w:val="%1)"/>
      <w:lvlJc w:val="left"/>
      <w:pPr>
        <w:ind w:left="720" w:hanging="360"/>
      </w:pPr>
      <w:rPr>
        <w:rFonts w:hint="default"/>
      </w:rPr>
    </w:lvl>
    <w:lvl w:ilvl="1" w:tplc="0C090019" w:tentative="1">
      <w:start w:val="1"/>
      <w:numFmt w:val="lowerLetter"/>
      <w:lvlText w:val="%2."/>
      <w:lvlJc w:val="left"/>
      <w:pPr>
        <w:tabs>
          <w:tab w:val="num" w:pos="-180"/>
        </w:tabs>
        <w:ind w:left="-180" w:hanging="360"/>
      </w:pPr>
    </w:lvl>
    <w:lvl w:ilvl="2" w:tplc="0C09001B" w:tentative="1">
      <w:start w:val="1"/>
      <w:numFmt w:val="lowerRoman"/>
      <w:lvlText w:val="%3."/>
      <w:lvlJc w:val="right"/>
      <w:pPr>
        <w:tabs>
          <w:tab w:val="num" w:pos="540"/>
        </w:tabs>
        <w:ind w:left="540" w:hanging="180"/>
      </w:pPr>
    </w:lvl>
    <w:lvl w:ilvl="3" w:tplc="0C09000F" w:tentative="1">
      <w:start w:val="1"/>
      <w:numFmt w:val="decimal"/>
      <w:lvlText w:val="%4."/>
      <w:lvlJc w:val="left"/>
      <w:pPr>
        <w:tabs>
          <w:tab w:val="num" w:pos="1260"/>
        </w:tabs>
        <w:ind w:left="1260" w:hanging="360"/>
      </w:pPr>
    </w:lvl>
    <w:lvl w:ilvl="4" w:tplc="0C090019" w:tentative="1">
      <w:start w:val="1"/>
      <w:numFmt w:val="lowerLetter"/>
      <w:lvlText w:val="%5."/>
      <w:lvlJc w:val="left"/>
      <w:pPr>
        <w:tabs>
          <w:tab w:val="num" w:pos="1980"/>
        </w:tabs>
        <w:ind w:left="1980" w:hanging="360"/>
      </w:pPr>
    </w:lvl>
    <w:lvl w:ilvl="5" w:tplc="0C09001B" w:tentative="1">
      <w:start w:val="1"/>
      <w:numFmt w:val="lowerRoman"/>
      <w:lvlText w:val="%6."/>
      <w:lvlJc w:val="right"/>
      <w:pPr>
        <w:tabs>
          <w:tab w:val="num" w:pos="2700"/>
        </w:tabs>
        <w:ind w:left="2700" w:hanging="180"/>
      </w:pPr>
    </w:lvl>
    <w:lvl w:ilvl="6" w:tplc="0C09000F" w:tentative="1">
      <w:start w:val="1"/>
      <w:numFmt w:val="decimal"/>
      <w:lvlText w:val="%7."/>
      <w:lvlJc w:val="left"/>
      <w:pPr>
        <w:tabs>
          <w:tab w:val="num" w:pos="3420"/>
        </w:tabs>
        <w:ind w:left="3420" w:hanging="360"/>
      </w:pPr>
    </w:lvl>
    <w:lvl w:ilvl="7" w:tplc="0C090019" w:tentative="1">
      <w:start w:val="1"/>
      <w:numFmt w:val="lowerLetter"/>
      <w:lvlText w:val="%8."/>
      <w:lvlJc w:val="left"/>
      <w:pPr>
        <w:tabs>
          <w:tab w:val="num" w:pos="4140"/>
        </w:tabs>
        <w:ind w:left="4140" w:hanging="360"/>
      </w:pPr>
    </w:lvl>
    <w:lvl w:ilvl="8" w:tplc="0C09001B" w:tentative="1">
      <w:start w:val="1"/>
      <w:numFmt w:val="lowerRoman"/>
      <w:lvlText w:val="%9."/>
      <w:lvlJc w:val="right"/>
      <w:pPr>
        <w:tabs>
          <w:tab w:val="num" w:pos="4860"/>
        </w:tabs>
        <w:ind w:left="4860" w:hanging="180"/>
      </w:pPr>
    </w:lvl>
  </w:abstractNum>
  <w:abstractNum w:abstractNumId="16">
    <w:nsid w:val="75F50258"/>
    <w:multiLevelType w:val="hybridMultilevel"/>
    <w:tmpl w:val="1E22488A"/>
    <w:lvl w:ilvl="0" w:tplc="552876C6">
      <w:start w:val="2"/>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15"/>
  </w:num>
  <w:num w:numId="4">
    <w:abstractNumId w:val="13"/>
  </w:num>
  <w:num w:numId="5">
    <w:abstractNumId w:val="1"/>
  </w:num>
  <w:num w:numId="6">
    <w:abstractNumId w:val="11"/>
  </w:num>
  <w:num w:numId="7">
    <w:abstractNumId w:val="9"/>
  </w:num>
  <w:num w:numId="8">
    <w:abstractNumId w:val="7"/>
  </w:num>
  <w:num w:numId="9">
    <w:abstractNumId w:val="10"/>
  </w:num>
  <w:num w:numId="10">
    <w:abstractNumId w:val="16"/>
  </w:num>
  <w:num w:numId="11">
    <w:abstractNumId w:val="4"/>
  </w:num>
  <w:num w:numId="12">
    <w:abstractNumId w:val="3"/>
  </w:num>
  <w:num w:numId="13">
    <w:abstractNumId w:val="0"/>
  </w:num>
  <w:num w:numId="14">
    <w:abstractNumId w:val="5"/>
  </w:num>
  <w:num w:numId="15">
    <w:abstractNumId w:val="14"/>
  </w:num>
  <w:num w:numId="16">
    <w:abstractNumId w:val="2"/>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hdrShapeDefaults>
    <o:shapedefaults v:ext="edit" spidmax="17409"/>
  </w:hdrShapeDefaults>
  <w:footnotePr>
    <w:footnote w:id="-1"/>
    <w:footnote w:id="0"/>
  </w:footnotePr>
  <w:endnotePr>
    <w:endnote w:id="-1"/>
    <w:endnote w:id="0"/>
  </w:endnotePr>
  <w:compat/>
  <w:rsids>
    <w:rsidRoot w:val="00A26605"/>
    <w:rsid w:val="0003353D"/>
    <w:rsid w:val="001F38BC"/>
    <w:rsid w:val="00224C62"/>
    <w:rsid w:val="002343F0"/>
    <w:rsid w:val="003146B6"/>
    <w:rsid w:val="003F5382"/>
    <w:rsid w:val="004270B8"/>
    <w:rsid w:val="004E3483"/>
    <w:rsid w:val="005435BC"/>
    <w:rsid w:val="005A3690"/>
    <w:rsid w:val="005F7F33"/>
    <w:rsid w:val="00640C1F"/>
    <w:rsid w:val="006B3BCA"/>
    <w:rsid w:val="008262D0"/>
    <w:rsid w:val="00A26605"/>
    <w:rsid w:val="00AE42FE"/>
    <w:rsid w:val="00C13665"/>
    <w:rsid w:val="00C81EC4"/>
    <w:rsid w:val="00C9324A"/>
    <w:rsid w:val="00D202D2"/>
    <w:rsid w:val="00D42B42"/>
    <w:rsid w:val="00DD40D3"/>
    <w:rsid w:val="00E47FB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381"/>
    <w:rPr>
      <w:sz w:val="24"/>
    </w:rPr>
  </w:style>
  <w:style w:type="paragraph" w:styleId="Heading1">
    <w:name w:val="heading 1"/>
    <w:basedOn w:val="Normal"/>
    <w:next w:val="Normal"/>
    <w:qFormat/>
    <w:rsid w:val="00651381"/>
    <w:pPr>
      <w:keepNext/>
      <w:spacing w:before="240" w:after="60"/>
      <w:outlineLvl w:val="0"/>
    </w:pPr>
    <w:rPr>
      <w:b/>
      <w:kern w:val="28"/>
      <w:sz w:val="28"/>
    </w:rPr>
  </w:style>
  <w:style w:type="paragraph" w:styleId="Heading2">
    <w:name w:val="heading 2"/>
    <w:basedOn w:val="Normal"/>
    <w:next w:val="Normal"/>
    <w:qFormat/>
    <w:rsid w:val="00651381"/>
    <w:pPr>
      <w:keepNext/>
      <w:spacing w:before="240" w:after="60"/>
      <w:outlineLvl w:val="1"/>
    </w:pPr>
    <w:rPr>
      <w:b/>
      <w:i/>
    </w:rPr>
  </w:style>
  <w:style w:type="paragraph" w:styleId="Heading3">
    <w:name w:val="heading 3"/>
    <w:basedOn w:val="Normal"/>
    <w:next w:val="Normal"/>
    <w:qFormat/>
    <w:rsid w:val="00651381"/>
    <w:pPr>
      <w:keepNext/>
      <w:spacing w:before="240" w:after="60"/>
      <w:outlineLvl w:val="2"/>
    </w:pPr>
  </w:style>
  <w:style w:type="paragraph" w:styleId="Heading4">
    <w:name w:val="heading 4"/>
    <w:basedOn w:val="Normal"/>
    <w:next w:val="Normal"/>
    <w:qFormat/>
    <w:rsid w:val="00651381"/>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51381"/>
    <w:pPr>
      <w:tabs>
        <w:tab w:val="center" w:pos="4153"/>
        <w:tab w:val="right" w:pos="8306"/>
      </w:tabs>
    </w:pPr>
  </w:style>
  <w:style w:type="paragraph" w:styleId="Footer">
    <w:name w:val="footer"/>
    <w:basedOn w:val="Normal"/>
    <w:rsid w:val="00651381"/>
    <w:pPr>
      <w:tabs>
        <w:tab w:val="center" w:pos="4153"/>
        <w:tab w:val="right" w:pos="8306"/>
      </w:tabs>
      <w:jc w:val="center"/>
    </w:pPr>
  </w:style>
  <w:style w:type="character" w:styleId="PageNumber">
    <w:name w:val="page number"/>
    <w:basedOn w:val="DefaultParagraphFont"/>
    <w:rsid w:val="00651381"/>
  </w:style>
  <w:style w:type="paragraph" w:customStyle="1" w:styleId="atLetterFoot">
    <w:name w:val="atLetterFoot"/>
    <w:rsid w:val="00651381"/>
    <w:rPr>
      <w:sz w:val="24"/>
    </w:rPr>
  </w:style>
  <w:style w:type="paragraph" w:customStyle="1" w:styleId="SingleParagraph">
    <w:name w:val="Single Paragraph"/>
    <w:basedOn w:val="Normal"/>
    <w:rsid w:val="00651381"/>
    <w:rPr>
      <w:rFonts w:ascii="Palatino" w:hAnsi="Palatino"/>
    </w:rPr>
  </w:style>
  <w:style w:type="paragraph" w:styleId="BodyText">
    <w:name w:val="Body Text"/>
    <w:basedOn w:val="Normal"/>
    <w:rsid w:val="00651381"/>
    <w:pPr>
      <w:pBdr>
        <w:bottom w:val="single" w:sz="4" w:space="1" w:color="auto"/>
      </w:pBdr>
      <w:tabs>
        <w:tab w:val="left" w:pos="1593"/>
        <w:tab w:val="center" w:pos="4820"/>
      </w:tabs>
      <w:spacing w:after="240"/>
    </w:pPr>
    <w:rPr>
      <w:rFonts w:ascii="Palatino" w:hAnsi="Palatino"/>
      <w:sz w:val="16"/>
    </w:rPr>
  </w:style>
  <w:style w:type="paragraph" w:customStyle="1" w:styleId="address">
    <w:name w:val="address"/>
    <w:basedOn w:val="Normal"/>
    <w:rsid w:val="00651381"/>
    <w:pPr>
      <w:jc w:val="right"/>
    </w:pPr>
    <w:rPr>
      <w:sz w:val="20"/>
      <w:lang w:val="en-GB"/>
    </w:rPr>
  </w:style>
  <w:style w:type="table" w:styleId="TableGrid">
    <w:name w:val="Table Grid"/>
    <w:basedOn w:val="TableNormal"/>
    <w:rsid w:val="00651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651381"/>
    <w:rPr>
      <w:sz w:val="24"/>
      <w:lang w:val="en-AU" w:eastAsia="en-AU" w:bidi="ar-SA"/>
    </w:rPr>
  </w:style>
  <w:style w:type="paragraph" w:styleId="BalloonText">
    <w:name w:val="Balloon Text"/>
    <w:basedOn w:val="Normal"/>
    <w:semiHidden/>
    <w:rsid w:val="00651381"/>
    <w:rPr>
      <w:rFonts w:ascii="Tahoma" w:hAnsi="Tahoma" w:cs="Tahoma"/>
      <w:sz w:val="16"/>
      <w:szCs w:val="16"/>
    </w:rPr>
  </w:style>
  <w:style w:type="paragraph" w:styleId="BodyText2">
    <w:name w:val="Body Text 2"/>
    <w:basedOn w:val="Normal"/>
    <w:rsid w:val="00651381"/>
    <w:pPr>
      <w:spacing w:after="120" w:line="480" w:lineRule="auto"/>
    </w:pPr>
  </w:style>
  <w:style w:type="character" w:styleId="Strong">
    <w:name w:val="Strong"/>
    <w:basedOn w:val="DefaultParagraphFont"/>
    <w:qFormat/>
    <w:rsid w:val="00651381"/>
    <w:rPr>
      <w:b/>
      <w:bCs/>
    </w:rPr>
  </w:style>
  <w:style w:type="paragraph" w:styleId="NormalWeb">
    <w:name w:val="Normal (Web)"/>
    <w:basedOn w:val="Normal"/>
    <w:rsid w:val="00651381"/>
    <w:pPr>
      <w:spacing w:before="100" w:beforeAutospacing="1" w:after="100" w:afterAutospacing="1"/>
    </w:pPr>
    <w:rPr>
      <w:szCs w:val="24"/>
    </w:rPr>
  </w:style>
  <w:style w:type="character" w:customStyle="1" w:styleId="CharChar2">
    <w:name w:val="Char Char2"/>
    <w:basedOn w:val="DefaultParagraphFont"/>
    <w:rsid w:val="00651381"/>
  </w:style>
  <w:style w:type="character" w:styleId="HTMLAcronym">
    <w:name w:val="HTML Acronym"/>
    <w:basedOn w:val="DefaultParagraphFont"/>
    <w:rsid w:val="00651381"/>
    <w:rPr>
      <w:rFonts w:cs="Times New Roman"/>
    </w:rPr>
  </w:style>
  <w:style w:type="character" w:styleId="Hyperlink">
    <w:name w:val="Hyperlink"/>
    <w:basedOn w:val="DefaultParagraphFont"/>
    <w:rsid w:val="00651381"/>
    <w:rPr>
      <w:color w:val="0000FF"/>
      <w:u w:val="single"/>
    </w:rPr>
  </w:style>
  <w:style w:type="paragraph" w:customStyle="1" w:styleId="Default">
    <w:name w:val="Default"/>
    <w:rsid w:val="00651381"/>
    <w:pPr>
      <w:autoSpaceDE w:val="0"/>
      <w:autoSpaceDN w:val="0"/>
      <w:adjustRightInd w:val="0"/>
    </w:pPr>
    <w:rPr>
      <w:rFonts w:ascii="Arial" w:hAnsi="Arial" w:cs="Arial"/>
      <w:color w:val="000000"/>
      <w:sz w:val="24"/>
      <w:szCs w:val="24"/>
    </w:rPr>
  </w:style>
  <w:style w:type="paragraph" w:customStyle="1" w:styleId="H2">
    <w:name w:val="H2"/>
    <w:basedOn w:val="Normal"/>
    <w:next w:val="Normal"/>
    <w:rsid w:val="00DB112A"/>
    <w:pPr>
      <w:keepNext/>
      <w:autoSpaceDE w:val="0"/>
      <w:autoSpaceDN w:val="0"/>
      <w:adjustRightInd w:val="0"/>
      <w:spacing w:before="100" w:after="100"/>
      <w:outlineLvl w:val="2"/>
    </w:pPr>
    <w:rPr>
      <w:b/>
      <w:bCs/>
      <w:sz w:val="36"/>
      <w:szCs w:val="36"/>
    </w:rPr>
  </w:style>
  <w:style w:type="paragraph" w:customStyle="1" w:styleId="normal-dot">
    <w:name w:val="normal-dot"/>
    <w:basedOn w:val="Normal"/>
    <w:rsid w:val="00B5713B"/>
    <w:pPr>
      <w:tabs>
        <w:tab w:val="num" w:pos="360"/>
      </w:tabs>
      <w:spacing w:before="120"/>
      <w:ind w:left="357" w:hanging="357"/>
    </w:pPr>
    <w:rPr>
      <w:sz w:val="22"/>
      <w:szCs w:val="22"/>
      <w:lang w:eastAsia="en-US"/>
    </w:rPr>
  </w:style>
  <w:style w:type="paragraph" w:customStyle="1" w:styleId="Para0">
    <w:name w:val="Para 0"/>
    <w:basedOn w:val="Normal"/>
    <w:rsid w:val="00200F4A"/>
    <w:rPr>
      <w:rFonts w:cs="Angsana New"/>
      <w:color w:val="000000"/>
      <w:szCs w:val="24"/>
      <w:lang w:eastAsia="zh-CN" w:bidi="th-TH"/>
    </w:rPr>
  </w:style>
  <w:style w:type="paragraph" w:customStyle="1" w:styleId="SignTitle">
    <w:name w:val="SignTitle"/>
    <w:basedOn w:val="Normal"/>
    <w:rsid w:val="00200F4A"/>
    <w:rPr>
      <w:rFonts w:cs="Angsana New"/>
      <w:color w:val="000000"/>
      <w:szCs w:val="24"/>
      <w:lang w:eastAsia="zh-CN" w:bidi="th-TH"/>
    </w:rPr>
  </w:style>
  <w:style w:type="paragraph" w:styleId="ListParagraph">
    <w:name w:val="List Paragraph"/>
    <w:basedOn w:val="Normal"/>
    <w:uiPriority w:val="34"/>
    <w:qFormat/>
    <w:rsid w:val="00FE2339"/>
    <w:pPr>
      <w:ind w:left="720"/>
    </w:pPr>
  </w:style>
  <w:style w:type="character" w:styleId="CommentReference">
    <w:name w:val="annotation reference"/>
    <w:basedOn w:val="DefaultParagraphFont"/>
    <w:rsid w:val="00FE2339"/>
    <w:rPr>
      <w:sz w:val="16"/>
      <w:szCs w:val="16"/>
    </w:rPr>
  </w:style>
  <w:style w:type="paragraph" w:styleId="CommentText">
    <w:name w:val="annotation text"/>
    <w:basedOn w:val="Normal"/>
    <w:link w:val="CommentTextChar"/>
    <w:rsid w:val="00FE2339"/>
    <w:rPr>
      <w:sz w:val="20"/>
    </w:rPr>
  </w:style>
  <w:style w:type="character" w:customStyle="1" w:styleId="CommentTextChar">
    <w:name w:val="Comment Text Char"/>
    <w:basedOn w:val="DefaultParagraphFont"/>
    <w:link w:val="CommentText"/>
    <w:rsid w:val="00FE2339"/>
  </w:style>
  <w:style w:type="paragraph" w:styleId="CommentSubject">
    <w:name w:val="annotation subject"/>
    <w:basedOn w:val="CommentText"/>
    <w:next w:val="CommentText"/>
    <w:link w:val="CommentSubjectChar"/>
    <w:rsid w:val="00FE2339"/>
    <w:rPr>
      <w:b/>
      <w:bCs/>
    </w:rPr>
  </w:style>
  <w:style w:type="character" w:customStyle="1" w:styleId="CommentSubjectChar">
    <w:name w:val="Comment Subject Char"/>
    <w:basedOn w:val="CommentTextChar"/>
    <w:link w:val="CommentSubject"/>
    <w:rsid w:val="00FE2339"/>
    <w:rPr>
      <w:b/>
      <w:bCs/>
    </w:rPr>
  </w:style>
  <w:style w:type="paragraph" w:customStyle="1" w:styleId="Address0">
    <w:name w:val="Address"/>
    <w:basedOn w:val="Normal"/>
    <w:rsid w:val="00385BC2"/>
    <w:pPr>
      <w:tabs>
        <w:tab w:val="left" w:pos="425"/>
      </w:tabs>
    </w:pPr>
    <w:rPr>
      <w:rFonts w:cs="Angsana New"/>
      <w:noProof/>
      <w:color w:val="000000"/>
      <w:szCs w:val="24"/>
      <w:lang w:eastAsia="zh-CN" w:bidi="th-TH"/>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Ministerial Reply - Burke</vt:lpstr>
    </vt:vector>
  </TitlesOfParts>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Shark Bay Crab Interim Managed Fishery - Ministerial Letter - October 2011</dc:title>
  <dc:creator/>
  <cp:lastModifiedBy/>
  <cp:revision>1</cp:revision>
  <cp:lastPrinted>2011-02-16T04:34:00Z</cp:lastPrinted>
  <dcterms:created xsi:type="dcterms:W3CDTF">2011-10-06T22:57:00Z</dcterms:created>
  <dcterms:modified xsi:type="dcterms:W3CDTF">2011-10-13T22:18:00Z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ranet Category: Related">
    <vt:lpwstr>;#Parliamentary;#</vt:lpwstr>
  </property>
  <property fmtid="{D5CDD505-2E9C-101B-9397-08002B2CF9AE}" pid="3" name="Form or Template">
    <vt:lpwstr>Template</vt:lpwstr>
  </property>
  <property fmtid="{D5CDD505-2E9C-101B-9397-08002B2CF9AE}" pid="4" name="Publishing Section">
    <vt:lpwstr>Policy and Communications Division</vt:lpwstr>
  </property>
  <property fmtid="{D5CDD505-2E9C-101B-9397-08002B2CF9AE}" pid="5" name="Target Audiences">
    <vt:lpwstr/>
  </property>
  <property fmtid="{D5CDD505-2E9C-101B-9397-08002B2CF9AE}" pid="6" name="Department or Agency">
    <vt:lpwstr>All</vt:lpwstr>
  </property>
  <property fmtid="{D5CDD505-2E9C-101B-9397-08002B2CF9AE}" pid="7" name="ContentTypeId">
    <vt:lpwstr>0x01010B00F96E163AC1B1454B98E1254A5F4722250100C2CFC7423CF760478029D293964BABE7</vt:lpwstr>
  </property>
  <property fmtid="{D5CDD505-2E9C-101B-9397-08002B2CF9AE}" pid="8" name="Intranet Category: Primary">
    <vt:lpwstr>Parliamentary</vt:lpwstr>
  </property>
  <property fmtid="{D5CDD505-2E9C-101B-9397-08002B2CF9AE}" pid="9" name="Keywords1">
    <vt:lpwstr>Ministerial Correspondence</vt:lpwstr>
  </property>
  <property fmtid="{D5CDD505-2E9C-101B-9397-08002B2CF9AE}" pid="10" name="ContentType">
    <vt:lpwstr>Form or Template</vt:lpwstr>
  </property>
  <property fmtid="{D5CDD505-2E9C-101B-9397-08002B2CF9AE}" pid="11" name="Division specific">
    <vt:lpwstr>0</vt:lpwstr>
  </property>
  <property fmtid="{D5CDD505-2E9C-101B-9397-08002B2CF9AE}" pid="12" name="Sub-category">
    <vt:lpwstr/>
  </property>
</Properties>
</file>