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02F845" w14:textId="3AD6451D" w:rsidR="00E76A81" w:rsidRPr="009D00C9" w:rsidRDefault="00640137" w:rsidP="00640137">
      <w:pPr>
        <w:spacing w:after="0" w:line="240" w:lineRule="auto"/>
        <w:jc w:val="right"/>
        <w:rPr>
          <w:sz w:val="20"/>
          <w:szCs w:val="20"/>
        </w:rPr>
      </w:pPr>
      <w:r w:rsidRPr="009D00C9">
        <w:rPr>
          <w:sz w:val="20"/>
          <w:szCs w:val="20"/>
        </w:rPr>
        <w:t xml:space="preserve">Ref: </w:t>
      </w:r>
      <w:r w:rsidR="00E76A81" w:rsidRPr="00E76A81">
        <w:rPr>
          <w:sz w:val="20"/>
          <w:szCs w:val="20"/>
        </w:rPr>
        <w:t>002068366</w:t>
      </w:r>
    </w:p>
    <w:p w14:paraId="771CB84B" w14:textId="77777777" w:rsidR="00640137" w:rsidRPr="009D00C9" w:rsidRDefault="00640137" w:rsidP="00640137">
      <w:pPr>
        <w:spacing w:after="0" w:line="240" w:lineRule="auto"/>
      </w:pPr>
    </w:p>
    <w:p w14:paraId="23D7130E" w14:textId="77777777" w:rsidR="00640137" w:rsidRPr="009D00C9" w:rsidRDefault="00640137" w:rsidP="00640137">
      <w:pPr>
        <w:spacing w:after="0" w:line="240" w:lineRule="auto"/>
      </w:pPr>
    </w:p>
    <w:p w14:paraId="0BE96ACD" w14:textId="77777777" w:rsidR="002F5E05" w:rsidRPr="001844DE" w:rsidRDefault="002F5E05" w:rsidP="002F5E05">
      <w:pPr>
        <w:spacing w:after="0" w:line="240" w:lineRule="auto"/>
      </w:pPr>
      <w:r w:rsidRPr="001844DE">
        <w:t xml:space="preserve">Mr </w:t>
      </w:r>
      <w:proofErr w:type="spellStart"/>
      <w:r w:rsidRPr="001844DE">
        <w:t>Wez</w:t>
      </w:r>
      <w:proofErr w:type="spellEnd"/>
      <w:r w:rsidRPr="001844DE">
        <w:t xml:space="preserve"> Norris</w:t>
      </w:r>
      <w:r w:rsidRPr="001844DE">
        <w:br/>
        <w:t xml:space="preserve">Chief Executive Officer </w:t>
      </w:r>
      <w:r w:rsidRPr="001844DE">
        <w:br/>
        <w:t>Australian Fisheries Management Authority</w:t>
      </w:r>
      <w:r w:rsidRPr="001844DE">
        <w:br/>
        <w:t>GPO Box 7051</w:t>
      </w:r>
      <w:r w:rsidRPr="001844DE">
        <w:br/>
      </w:r>
      <w:proofErr w:type="gramStart"/>
      <w:r w:rsidRPr="001844DE">
        <w:t>CANBERRA  ACT</w:t>
      </w:r>
      <w:proofErr w:type="gramEnd"/>
      <w:r w:rsidRPr="001844DE">
        <w:t xml:space="preserve">  2610</w:t>
      </w:r>
    </w:p>
    <w:p w14:paraId="14B2EFE6" w14:textId="77777777" w:rsidR="002F5E05" w:rsidRDefault="002F5E05" w:rsidP="002F5E05">
      <w:pPr>
        <w:spacing w:after="0" w:line="240" w:lineRule="auto"/>
      </w:pPr>
    </w:p>
    <w:p w14:paraId="2FAA1197" w14:textId="77777777" w:rsidR="002F5E05" w:rsidRDefault="002F5E05" w:rsidP="002F5E05">
      <w:pPr>
        <w:spacing w:after="0" w:line="240" w:lineRule="auto"/>
      </w:pPr>
    </w:p>
    <w:p w14:paraId="2A7188D3" w14:textId="77777777" w:rsidR="002F5E05" w:rsidRPr="009D00C9" w:rsidRDefault="002F5E05" w:rsidP="002F5E05">
      <w:pPr>
        <w:spacing w:after="0" w:line="240" w:lineRule="auto"/>
      </w:pPr>
    </w:p>
    <w:p w14:paraId="609ADE9E" w14:textId="77777777" w:rsidR="002F5E05" w:rsidRDefault="002F5E05" w:rsidP="002F5E05">
      <w:pPr>
        <w:spacing w:after="0" w:line="240" w:lineRule="auto"/>
      </w:pPr>
      <w:r w:rsidRPr="009D00C9">
        <w:t xml:space="preserve">Dear </w:t>
      </w:r>
      <w:r>
        <w:t>Mr Norris</w:t>
      </w:r>
    </w:p>
    <w:p w14:paraId="403DBED5" w14:textId="77777777" w:rsidR="00640137" w:rsidRPr="009D00C9" w:rsidRDefault="00640137" w:rsidP="00640137">
      <w:pPr>
        <w:spacing w:after="0" w:line="240" w:lineRule="auto"/>
      </w:pPr>
    </w:p>
    <w:p w14:paraId="1BCECE71" w14:textId="3A5E0A6A" w:rsidR="00640137" w:rsidRDefault="00640137" w:rsidP="00640137">
      <w:pPr>
        <w:widowControl w:val="0"/>
        <w:spacing w:after="0" w:line="240" w:lineRule="auto"/>
        <w:rPr>
          <w:rFonts w:cs="Arial"/>
        </w:rPr>
      </w:pPr>
      <w:r w:rsidRPr="00312E38">
        <w:rPr>
          <w:rFonts w:cs="Arial"/>
        </w:rPr>
        <w:t>I am writing to you as Delegate of the Minister for the Environment in relation to the assessment</w:t>
      </w:r>
      <w:r w:rsidR="003477E4" w:rsidRPr="00312E38">
        <w:rPr>
          <w:rFonts w:cs="Arial"/>
        </w:rPr>
        <w:t xml:space="preserve"> </w:t>
      </w:r>
      <w:r w:rsidRPr="00312E38">
        <w:rPr>
          <w:rFonts w:cs="Arial"/>
        </w:rPr>
        <w:t xml:space="preserve">of the </w:t>
      </w:r>
      <w:r w:rsidR="003477E4" w:rsidRPr="00312E38">
        <w:rPr>
          <w:rFonts w:cs="Arial"/>
        </w:rPr>
        <w:t xml:space="preserve">Torres Strait </w:t>
      </w:r>
      <w:proofErr w:type="spellStart"/>
      <w:r w:rsidR="00312E38" w:rsidRPr="00312E38">
        <w:rPr>
          <w:rFonts w:cs="Arial"/>
        </w:rPr>
        <w:t>Bêche</w:t>
      </w:r>
      <w:proofErr w:type="spellEnd"/>
      <w:r w:rsidR="00312E38" w:rsidRPr="00312E38">
        <w:rPr>
          <w:rFonts w:cs="Arial"/>
        </w:rPr>
        <w:t>-de-</w:t>
      </w:r>
      <w:proofErr w:type="spellStart"/>
      <w:r w:rsidR="00312E38" w:rsidRPr="00312E38">
        <w:rPr>
          <w:rFonts w:cs="Arial"/>
        </w:rPr>
        <w:t>mer</w:t>
      </w:r>
      <w:proofErr w:type="spellEnd"/>
      <w:r w:rsidR="00312E38" w:rsidRPr="00312E38">
        <w:rPr>
          <w:rFonts w:cs="Arial"/>
          <w:i/>
          <w:iCs/>
        </w:rPr>
        <w:t xml:space="preserve"> </w:t>
      </w:r>
      <w:r w:rsidRPr="00312E38">
        <w:rPr>
          <w:rFonts w:cs="Arial"/>
        </w:rPr>
        <w:t>F</w:t>
      </w:r>
      <w:r w:rsidR="00722A9F" w:rsidRPr="00312E38">
        <w:rPr>
          <w:rFonts w:cs="Arial"/>
        </w:rPr>
        <w:t>ishery</w:t>
      </w:r>
      <w:r w:rsidRPr="00312E38">
        <w:rPr>
          <w:rFonts w:cs="Arial"/>
        </w:rPr>
        <w:t xml:space="preserve"> </w:t>
      </w:r>
      <w:r w:rsidR="002F5E05">
        <w:rPr>
          <w:rFonts w:cs="Arial"/>
        </w:rPr>
        <w:t xml:space="preserve">(the fishery) </w:t>
      </w:r>
      <w:r w:rsidRPr="00312E38">
        <w:rPr>
          <w:rFonts w:cs="Arial"/>
        </w:rPr>
        <w:t>under</w:t>
      </w:r>
      <w:r w:rsidRPr="009D00C9">
        <w:rPr>
          <w:rFonts w:cs="Arial"/>
        </w:rPr>
        <w:t xml:space="preserve"> the </w:t>
      </w:r>
      <w:r w:rsidRPr="009D00C9">
        <w:rPr>
          <w:rFonts w:cs="Arial"/>
          <w:i/>
        </w:rPr>
        <w:t xml:space="preserve">Environment Protection and Biodiversity Conservation Act 1999 </w:t>
      </w:r>
      <w:r w:rsidRPr="009D00C9">
        <w:rPr>
          <w:rFonts w:cs="Arial"/>
        </w:rPr>
        <w:t>(EPBC Act).</w:t>
      </w:r>
    </w:p>
    <w:p w14:paraId="67D28F74" w14:textId="77777777" w:rsidR="00640137" w:rsidRPr="009D00C9" w:rsidRDefault="00640137" w:rsidP="00640137">
      <w:pPr>
        <w:widowControl w:val="0"/>
        <w:spacing w:after="0" w:line="240" w:lineRule="auto"/>
        <w:rPr>
          <w:rFonts w:cs="Arial"/>
        </w:rPr>
      </w:pPr>
    </w:p>
    <w:p w14:paraId="13D63D25" w14:textId="370C444A" w:rsidR="00640137" w:rsidRDefault="00640137" w:rsidP="00640137">
      <w:pPr>
        <w:spacing w:after="0" w:line="240" w:lineRule="auto"/>
        <w:rPr>
          <w:rFonts w:cs="Arial"/>
        </w:rPr>
      </w:pPr>
      <w:r w:rsidRPr="009D00C9">
        <w:rPr>
          <w:rFonts w:cs="Arial"/>
        </w:rPr>
        <w:t xml:space="preserve">In </w:t>
      </w:r>
      <w:r w:rsidR="003477E4" w:rsidRPr="004B65CC">
        <w:t>October 2020</w:t>
      </w:r>
      <w:r w:rsidRPr="009D00C9">
        <w:rPr>
          <w:rFonts w:cs="Arial"/>
        </w:rPr>
        <w:t xml:space="preserve"> the </w:t>
      </w:r>
      <w:r w:rsidR="003477E4">
        <w:rPr>
          <w:rFonts w:cs="Arial"/>
        </w:rPr>
        <w:t xml:space="preserve">Australian Fisheries Management Authority </w:t>
      </w:r>
      <w:r w:rsidRPr="009D00C9">
        <w:rPr>
          <w:rFonts w:cs="Arial"/>
        </w:rPr>
        <w:t>applied for export approval for the fishery under the EPBC Act.</w:t>
      </w:r>
    </w:p>
    <w:p w14:paraId="1CF46C6A" w14:textId="77777777" w:rsidR="00640137" w:rsidRPr="009D00C9" w:rsidRDefault="00640137" w:rsidP="00640137">
      <w:pPr>
        <w:spacing w:after="0" w:line="240" w:lineRule="auto"/>
        <w:rPr>
          <w:rFonts w:cs="Arial"/>
        </w:rPr>
      </w:pPr>
    </w:p>
    <w:p w14:paraId="67EFEC48" w14:textId="00C9A684" w:rsidR="00640137" w:rsidRDefault="00640137" w:rsidP="00640137">
      <w:pPr>
        <w:spacing w:after="0" w:line="240" w:lineRule="auto"/>
        <w:rPr>
          <w:rFonts w:cs="Arial"/>
        </w:rPr>
      </w:pPr>
      <w:r w:rsidRPr="009D00C9">
        <w:rPr>
          <w:rFonts w:cs="Arial"/>
        </w:rPr>
        <w:t>The application has been assessed and I have declared the fishery</w:t>
      </w:r>
      <w:r w:rsidRPr="009D00C9" w:rsidDel="00DD1580">
        <w:rPr>
          <w:rFonts w:cs="Arial"/>
        </w:rPr>
        <w:t xml:space="preserve"> </w:t>
      </w:r>
      <w:r w:rsidRPr="009D00C9">
        <w:t>an approved wildlife trade operation</w:t>
      </w:r>
      <w:r w:rsidR="00C303A4">
        <w:t xml:space="preserve"> (WTO)</w:t>
      </w:r>
      <w:r w:rsidRPr="009D00C9">
        <w:t xml:space="preserve"> under Part 13A of the EPBC Act until </w:t>
      </w:r>
      <w:r w:rsidR="002667BB">
        <w:t>30 November 2023</w:t>
      </w:r>
      <w:r w:rsidRPr="009D00C9">
        <w:t xml:space="preserve">. </w:t>
      </w:r>
      <w:r w:rsidRPr="009D00C9">
        <w:rPr>
          <w:rFonts w:cs="Arial"/>
          <w:color w:val="000000"/>
        </w:rPr>
        <w:t>The</w:t>
      </w:r>
      <w:r w:rsidRPr="009D00C9">
        <w:rPr>
          <w:rFonts w:cs="Arial"/>
        </w:rPr>
        <w:t xml:space="preserve"> list of exempt native specimens has also been amended to allow export of product from the fishery</w:t>
      </w:r>
      <w:r w:rsidRPr="009D00C9" w:rsidDel="00DD1580">
        <w:rPr>
          <w:rFonts w:cs="Arial"/>
        </w:rPr>
        <w:t xml:space="preserve"> </w:t>
      </w:r>
      <w:r w:rsidRPr="009D00C9">
        <w:t>while the specimens are covered by the declaration as an approved wildlife trade operation</w:t>
      </w:r>
      <w:r w:rsidRPr="009D00C9">
        <w:rPr>
          <w:rFonts w:cs="Arial"/>
        </w:rPr>
        <w:t xml:space="preserve">. </w:t>
      </w:r>
    </w:p>
    <w:p w14:paraId="7A4874D2" w14:textId="77777777" w:rsidR="00640137" w:rsidRPr="009D00C9" w:rsidRDefault="00640137" w:rsidP="00640137">
      <w:pPr>
        <w:spacing w:after="0" w:line="240" w:lineRule="auto"/>
        <w:rPr>
          <w:rFonts w:cs="Arial"/>
        </w:rPr>
      </w:pPr>
    </w:p>
    <w:p w14:paraId="48B6A75B" w14:textId="5A2CEC58" w:rsidR="00640137" w:rsidRPr="004B65CC" w:rsidRDefault="00640137" w:rsidP="00640137">
      <w:pPr>
        <w:spacing w:after="0" w:line="240" w:lineRule="auto"/>
        <w:rPr>
          <w:rFonts w:cs="Arial"/>
        </w:rPr>
      </w:pPr>
      <w:r w:rsidRPr="009D00C9">
        <w:rPr>
          <w:rFonts w:cs="Arial"/>
        </w:rPr>
        <w:t xml:space="preserve">The Part 13A declaration includes conditions that were agreed by officials from both departments as areas requiring ongoing attention. These are set out </w:t>
      </w:r>
      <w:r w:rsidRPr="004B65CC">
        <w:rPr>
          <w:rFonts w:cs="Arial"/>
        </w:rPr>
        <w:t xml:space="preserve">at </w:t>
      </w:r>
      <w:r w:rsidRPr="004B65CC">
        <w:rPr>
          <w:rFonts w:cs="Arial"/>
          <w:u w:val="single"/>
        </w:rPr>
        <w:t>Attachment 1</w:t>
      </w:r>
      <w:r w:rsidRPr="004B65CC">
        <w:rPr>
          <w:rFonts w:cs="Arial"/>
        </w:rPr>
        <w:t>.</w:t>
      </w:r>
      <w:r w:rsidRPr="009D00C9">
        <w:rPr>
          <w:rFonts w:cs="Arial"/>
          <w:lang w:eastAsia="zh-CN" w:bidi="th-TH"/>
        </w:rPr>
        <w:t xml:space="preserve"> </w:t>
      </w:r>
      <w:r w:rsidR="00163C66">
        <w:rPr>
          <w:rFonts w:cs="Arial"/>
          <w:lang w:eastAsia="zh-CN" w:bidi="th-TH"/>
        </w:rPr>
        <w:t xml:space="preserve">Conditions are to be implemented in the period of the wildlife trade operation </w:t>
      </w:r>
      <w:proofErr w:type="gramStart"/>
      <w:r w:rsidR="00163C66">
        <w:rPr>
          <w:rFonts w:cs="Arial"/>
          <w:lang w:eastAsia="zh-CN" w:bidi="th-TH"/>
        </w:rPr>
        <w:t xml:space="preserve">approval, </w:t>
      </w:r>
      <w:r w:rsidR="00163C66" w:rsidRPr="004B65CC">
        <w:rPr>
          <w:rFonts w:cs="Arial"/>
          <w:lang w:eastAsia="zh-CN" w:bidi="th-TH"/>
        </w:rPr>
        <w:t>unless</w:t>
      </w:r>
      <w:proofErr w:type="gramEnd"/>
      <w:r w:rsidR="00163C66" w:rsidRPr="004B65CC">
        <w:rPr>
          <w:rFonts w:cs="Arial"/>
          <w:lang w:eastAsia="zh-CN" w:bidi="th-TH"/>
        </w:rPr>
        <w:t xml:space="preserve"> a date is otherwise </w:t>
      </w:r>
      <w:r w:rsidR="00BC1145" w:rsidRPr="004B65CC">
        <w:rPr>
          <w:rFonts w:cs="Arial"/>
          <w:lang w:eastAsia="zh-CN" w:bidi="th-TH"/>
        </w:rPr>
        <w:t>specified.</w:t>
      </w:r>
      <w:r w:rsidRPr="004B65CC">
        <w:rPr>
          <w:rFonts w:cs="Arial"/>
        </w:rPr>
        <w:t xml:space="preserve"> </w:t>
      </w:r>
      <w:r w:rsidR="002667BB" w:rsidRPr="004B65CC">
        <w:rPr>
          <w:rFonts w:cs="Arial"/>
        </w:rPr>
        <w:t xml:space="preserve">Further, in assessing the management arrangements in place for this fishery, the Department has identified </w:t>
      </w:r>
      <w:proofErr w:type="gramStart"/>
      <w:r w:rsidR="002667BB" w:rsidRPr="004B65CC">
        <w:rPr>
          <w:rFonts w:cs="Arial"/>
        </w:rPr>
        <w:t>a number of</w:t>
      </w:r>
      <w:proofErr w:type="gramEnd"/>
      <w:r w:rsidR="002667BB" w:rsidRPr="004B65CC">
        <w:rPr>
          <w:rFonts w:cs="Arial"/>
        </w:rPr>
        <w:t xml:space="preserve"> inconsistencies in the published material relevant to the management of th</w:t>
      </w:r>
      <w:r w:rsidR="00405253" w:rsidRPr="004B65CC">
        <w:rPr>
          <w:rFonts w:cs="Arial"/>
        </w:rPr>
        <w:t>is</w:t>
      </w:r>
      <w:r w:rsidR="002667BB" w:rsidRPr="004B65CC">
        <w:rPr>
          <w:rFonts w:cs="Arial"/>
        </w:rPr>
        <w:t xml:space="preserve"> </w:t>
      </w:r>
      <w:r w:rsidR="00BC1145" w:rsidRPr="004B65CC">
        <w:rPr>
          <w:rFonts w:cs="Arial"/>
        </w:rPr>
        <w:t>fishery</w:t>
      </w:r>
      <w:r w:rsidR="002667BB" w:rsidRPr="004B65CC">
        <w:rPr>
          <w:rFonts w:cs="Arial"/>
        </w:rPr>
        <w:t xml:space="preserve">. </w:t>
      </w:r>
      <w:proofErr w:type="gramStart"/>
      <w:r w:rsidR="002667BB" w:rsidRPr="004B65CC">
        <w:rPr>
          <w:rFonts w:cs="Arial"/>
        </w:rPr>
        <w:t>In order to</w:t>
      </w:r>
      <w:proofErr w:type="gramEnd"/>
      <w:r w:rsidR="002667BB" w:rsidRPr="004B65CC">
        <w:rPr>
          <w:rFonts w:cs="Arial"/>
        </w:rPr>
        <w:t xml:space="preserve"> ensure that there is no ambiguity to fishers </w:t>
      </w:r>
      <w:r w:rsidR="00405253" w:rsidRPr="004B65CC">
        <w:rPr>
          <w:rFonts w:cs="Arial"/>
        </w:rPr>
        <w:t xml:space="preserve">and </w:t>
      </w:r>
      <w:r w:rsidR="002667BB" w:rsidRPr="004B65CC">
        <w:rPr>
          <w:rFonts w:cs="Arial"/>
        </w:rPr>
        <w:t xml:space="preserve">for the purpose of compliance and enforcement, we urge AFMA to rectify this matter. </w:t>
      </w:r>
    </w:p>
    <w:p w14:paraId="223F2CB2" w14:textId="77777777" w:rsidR="00640137" w:rsidRPr="004B65CC" w:rsidRDefault="00640137" w:rsidP="00640137">
      <w:pPr>
        <w:spacing w:after="0" w:line="240" w:lineRule="auto"/>
      </w:pPr>
    </w:p>
    <w:p w14:paraId="3A61914B" w14:textId="0F59DEAC" w:rsidR="00C303A4" w:rsidRDefault="002667BB" w:rsidP="00640137">
      <w:pPr>
        <w:spacing w:after="0" w:line="240" w:lineRule="auto"/>
        <w:rPr>
          <w:rFonts w:cs="Arial"/>
        </w:rPr>
      </w:pPr>
      <w:r w:rsidRPr="004B65CC">
        <w:rPr>
          <w:rFonts w:cs="Arial"/>
        </w:rPr>
        <w:t xml:space="preserve">Two species harvested in this fishery, White </w:t>
      </w:r>
      <w:proofErr w:type="spellStart"/>
      <w:r w:rsidRPr="004B65CC">
        <w:rPr>
          <w:rFonts w:cs="Arial"/>
        </w:rPr>
        <w:t>Teatfish</w:t>
      </w:r>
      <w:proofErr w:type="spellEnd"/>
      <w:r w:rsidRPr="004B65CC">
        <w:rPr>
          <w:rFonts w:cs="Arial"/>
        </w:rPr>
        <w:t xml:space="preserve"> (</w:t>
      </w:r>
      <w:proofErr w:type="spellStart"/>
      <w:r w:rsidRPr="004B65CC">
        <w:rPr>
          <w:rFonts w:cs="Arial"/>
          <w:i/>
          <w:iCs/>
        </w:rPr>
        <w:t>Holothuria</w:t>
      </w:r>
      <w:proofErr w:type="spellEnd"/>
      <w:r w:rsidRPr="004B65CC">
        <w:rPr>
          <w:rFonts w:cs="Arial"/>
          <w:i/>
          <w:iCs/>
        </w:rPr>
        <w:t xml:space="preserve"> </w:t>
      </w:r>
      <w:proofErr w:type="spellStart"/>
      <w:r w:rsidRPr="004B65CC">
        <w:rPr>
          <w:rFonts w:cs="Arial"/>
          <w:i/>
          <w:iCs/>
        </w:rPr>
        <w:t>fuscogilva</w:t>
      </w:r>
      <w:proofErr w:type="spellEnd"/>
      <w:r w:rsidRPr="004B65CC">
        <w:rPr>
          <w:rFonts w:cs="Arial"/>
        </w:rPr>
        <w:t xml:space="preserve">) and </w:t>
      </w:r>
      <w:r w:rsidR="00C97CA3" w:rsidRPr="004B65CC">
        <w:rPr>
          <w:rFonts w:cs="Arial"/>
        </w:rPr>
        <w:t xml:space="preserve">Black </w:t>
      </w:r>
      <w:proofErr w:type="spellStart"/>
      <w:r w:rsidR="00C97CA3" w:rsidRPr="004B65CC">
        <w:rPr>
          <w:rFonts w:cs="Arial"/>
        </w:rPr>
        <w:t>Teatfish</w:t>
      </w:r>
      <w:proofErr w:type="spellEnd"/>
      <w:r w:rsidR="00C97CA3" w:rsidRPr="004B65CC">
        <w:rPr>
          <w:rFonts w:cs="Arial"/>
        </w:rPr>
        <w:t xml:space="preserve"> (</w:t>
      </w:r>
      <w:proofErr w:type="spellStart"/>
      <w:r w:rsidR="00C97CA3" w:rsidRPr="004B65CC">
        <w:rPr>
          <w:rFonts w:cs="Arial"/>
          <w:i/>
          <w:iCs/>
        </w:rPr>
        <w:t>Holothuria</w:t>
      </w:r>
      <w:proofErr w:type="spellEnd"/>
      <w:r w:rsidR="00C97CA3" w:rsidRPr="004B65CC">
        <w:rPr>
          <w:rFonts w:cs="Arial"/>
          <w:i/>
          <w:iCs/>
        </w:rPr>
        <w:t xml:space="preserve"> </w:t>
      </w:r>
      <w:proofErr w:type="spellStart"/>
      <w:r w:rsidR="00C97CA3" w:rsidRPr="003C5073">
        <w:rPr>
          <w:rFonts w:cs="Arial"/>
          <w:i/>
          <w:iCs/>
        </w:rPr>
        <w:t>whitmaei</w:t>
      </w:r>
      <w:proofErr w:type="spellEnd"/>
      <w:r w:rsidR="00C97CA3" w:rsidRPr="00C97CA3">
        <w:rPr>
          <w:rFonts w:cs="Arial"/>
        </w:rPr>
        <w:t>)</w:t>
      </w:r>
      <w:r w:rsidR="00C97CA3">
        <w:rPr>
          <w:rFonts w:cs="Arial"/>
        </w:rPr>
        <w:t>,</w:t>
      </w:r>
      <w:r>
        <w:rPr>
          <w:rFonts w:cs="Arial"/>
        </w:rPr>
        <w:t xml:space="preserve"> are now listed under</w:t>
      </w:r>
      <w:r w:rsidR="00C97CA3">
        <w:rPr>
          <w:rFonts w:cs="Arial"/>
        </w:rPr>
        <w:t xml:space="preserve"> Appendix II of</w:t>
      </w:r>
      <w:r>
        <w:rPr>
          <w:rFonts w:cs="Arial"/>
        </w:rPr>
        <w:t xml:space="preserve"> the </w:t>
      </w:r>
      <w:r w:rsidRPr="002667BB">
        <w:rPr>
          <w:rFonts w:cs="Arial"/>
        </w:rPr>
        <w:t>Convention on the International Trade of Endangered Species (CITES)</w:t>
      </w:r>
      <w:r>
        <w:rPr>
          <w:rFonts w:cs="Arial"/>
        </w:rPr>
        <w:t>. As such</w:t>
      </w:r>
      <w:r w:rsidR="00405253">
        <w:rPr>
          <w:rFonts w:cs="Arial"/>
        </w:rPr>
        <w:t>, Australia’s CITES Scientific Authority</w:t>
      </w:r>
      <w:r>
        <w:rPr>
          <w:rFonts w:cs="Arial"/>
        </w:rPr>
        <w:t xml:space="preserve"> must make a non-detriment finding in relation to the harvest of these species in the fishery</w:t>
      </w:r>
      <w:r w:rsidR="00C97CA3">
        <w:rPr>
          <w:rFonts w:cs="Arial"/>
        </w:rPr>
        <w:t xml:space="preserve"> to ensure that continued trade in these species from Australian fisheries is not detrimental to the survival of the species in the wild and that measures are in place to limit such export </w:t>
      </w:r>
      <w:r w:rsidR="002A62E4">
        <w:rPr>
          <w:rFonts w:cs="Arial"/>
        </w:rPr>
        <w:t>in order to</w:t>
      </w:r>
      <w:r w:rsidR="00C97CA3" w:rsidRPr="00C97CA3">
        <w:rPr>
          <w:rFonts w:cs="Arial"/>
        </w:rPr>
        <w:t xml:space="preserve"> maintain such species throughout their range at a level consistent with their role in the ecosystems and well above the level at which they would qualify for Appendix I</w:t>
      </w:r>
      <w:r w:rsidR="00C97CA3">
        <w:rPr>
          <w:rFonts w:cs="Arial"/>
        </w:rPr>
        <w:t xml:space="preserve"> </w:t>
      </w:r>
      <w:proofErr w:type="spellStart"/>
      <w:r w:rsidR="002A62E4">
        <w:rPr>
          <w:rFonts w:cs="Arial"/>
        </w:rPr>
        <w:t>lising</w:t>
      </w:r>
      <w:proofErr w:type="spellEnd"/>
      <w:r>
        <w:rPr>
          <w:rFonts w:cs="Arial"/>
        </w:rPr>
        <w:t>.</w:t>
      </w:r>
      <w:r w:rsidR="00BC1145">
        <w:rPr>
          <w:rFonts w:cs="Arial"/>
        </w:rPr>
        <w:t xml:space="preserve"> </w:t>
      </w:r>
      <w:r w:rsidR="00C303A4">
        <w:rPr>
          <w:rFonts w:cs="Arial"/>
        </w:rPr>
        <w:t xml:space="preserve">Further information on CITES non-detriment findings can be found at </w:t>
      </w:r>
      <w:r w:rsidR="00C303A4" w:rsidRPr="004B65CC">
        <w:rPr>
          <w:rFonts w:cs="Arial"/>
          <w:u w:val="single"/>
        </w:rPr>
        <w:t>Attachment 2</w:t>
      </w:r>
      <w:r w:rsidR="00C303A4">
        <w:rPr>
          <w:rFonts w:cs="Arial"/>
        </w:rPr>
        <w:t>.</w:t>
      </w:r>
    </w:p>
    <w:p w14:paraId="134158E9" w14:textId="77777777" w:rsidR="00C303A4" w:rsidRDefault="00C303A4" w:rsidP="00640137">
      <w:pPr>
        <w:spacing w:after="0" w:line="240" w:lineRule="auto"/>
        <w:rPr>
          <w:rFonts w:cs="Arial"/>
        </w:rPr>
      </w:pPr>
    </w:p>
    <w:p w14:paraId="7B2939D5" w14:textId="5B78FF62" w:rsidR="002A62E4" w:rsidRPr="00F85FFF" w:rsidRDefault="00405253" w:rsidP="00640137">
      <w:pPr>
        <w:spacing w:after="0" w:line="240" w:lineRule="auto"/>
        <w:rPr>
          <w:rFonts w:cs="Arial"/>
        </w:rPr>
      </w:pPr>
      <w:r>
        <w:rPr>
          <w:rFonts w:cs="Arial"/>
        </w:rPr>
        <w:t xml:space="preserve">Australia’s CITES Scientific Authority </w:t>
      </w:r>
      <w:proofErr w:type="gramStart"/>
      <w:r>
        <w:rPr>
          <w:rFonts w:cs="Arial"/>
        </w:rPr>
        <w:t>is located in</w:t>
      </w:r>
      <w:proofErr w:type="gramEnd"/>
      <w:r>
        <w:rPr>
          <w:rFonts w:cs="Arial"/>
        </w:rPr>
        <w:t xml:space="preserve"> the Wildlife Trade Office of the Department of Agriculture, Water and the Environment. As required under Part 13A of the EPBC Act, Australia’s CITES Scientific Authority included its assessment for the purpose of a Non-detriment finding in </w:t>
      </w:r>
      <w:r w:rsidR="00C303A4">
        <w:rPr>
          <w:rFonts w:cs="Arial"/>
        </w:rPr>
        <w:t xml:space="preserve">the Part 13A assessment for this fishery. A positive non-detriment finding has been made for this fishery and conditions have been placed in the relevant WTO to ensure that </w:t>
      </w:r>
      <w:r w:rsidR="00BC1145">
        <w:rPr>
          <w:rFonts w:cs="Arial"/>
        </w:rPr>
        <w:t xml:space="preserve">Australian </w:t>
      </w:r>
      <w:r w:rsidR="00C303A4">
        <w:rPr>
          <w:rFonts w:cs="Arial"/>
        </w:rPr>
        <w:t xml:space="preserve">CITES </w:t>
      </w:r>
      <w:proofErr w:type="gramStart"/>
      <w:r w:rsidR="00BC1145">
        <w:rPr>
          <w:rFonts w:cs="Arial"/>
        </w:rPr>
        <w:t xml:space="preserve">requirements </w:t>
      </w:r>
      <w:r w:rsidR="00C303A4">
        <w:rPr>
          <w:rFonts w:cs="Arial"/>
        </w:rPr>
        <w:t xml:space="preserve"> are</w:t>
      </w:r>
      <w:proofErr w:type="gramEnd"/>
      <w:r w:rsidR="00C303A4">
        <w:rPr>
          <w:rFonts w:cs="Arial"/>
        </w:rPr>
        <w:t xml:space="preserve"> met. </w:t>
      </w:r>
      <w:r>
        <w:rPr>
          <w:rFonts w:cs="Arial"/>
        </w:rPr>
        <w:t xml:space="preserve"> </w:t>
      </w:r>
    </w:p>
    <w:p w14:paraId="2C15B488" w14:textId="77777777" w:rsidR="00F47F8A" w:rsidRDefault="00F47F8A" w:rsidP="00640137">
      <w:pPr>
        <w:spacing w:after="0" w:line="240" w:lineRule="auto"/>
        <w:rPr>
          <w:rFonts w:cs="Arial"/>
        </w:rPr>
      </w:pPr>
    </w:p>
    <w:p w14:paraId="2E142777" w14:textId="32276335" w:rsidR="00640137" w:rsidRPr="00F85FFF" w:rsidRDefault="00640137" w:rsidP="00640137">
      <w:pPr>
        <w:spacing w:after="0" w:line="240" w:lineRule="auto"/>
        <w:rPr>
          <w:rFonts w:cs="Arial"/>
        </w:rPr>
      </w:pPr>
      <w:r w:rsidRPr="00F85FFF">
        <w:rPr>
          <w:rFonts w:cs="Arial"/>
        </w:rPr>
        <w:lastRenderedPageBreak/>
        <w:t xml:space="preserve">Please note that any person whose interests are affected by this decision may make an application to the Department for the reasons for the </w:t>
      </w:r>
      <w:r w:rsidR="00BC1145" w:rsidRPr="00F85FFF">
        <w:rPr>
          <w:rFonts w:cs="Arial"/>
        </w:rPr>
        <w:t>decision and</w:t>
      </w:r>
      <w:r w:rsidRPr="00F85FFF">
        <w:rPr>
          <w:rFonts w:cs="Arial"/>
        </w:rPr>
        <w:t xml:space="preserve"> may apply to the Administrative Appeals Tribunal to have this decision reviewed. I have enclosed further information on these processes at </w:t>
      </w:r>
      <w:r w:rsidRPr="00F85FFF">
        <w:rPr>
          <w:rFonts w:cs="Arial"/>
          <w:u w:val="single"/>
        </w:rPr>
        <w:t xml:space="preserve">Attachment </w:t>
      </w:r>
      <w:r w:rsidR="000A5BAA">
        <w:rPr>
          <w:rFonts w:cs="Arial"/>
          <w:u w:val="single"/>
        </w:rPr>
        <w:t>3</w:t>
      </w:r>
      <w:r w:rsidRPr="00F85FFF">
        <w:rPr>
          <w:rFonts w:cs="Arial"/>
        </w:rPr>
        <w:t>.</w:t>
      </w:r>
    </w:p>
    <w:p w14:paraId="26EA22F6" w14:textId="77777777" w:rsidR="00640137" w:rsidRPr="00F85FFF" w:rsidRDefault="00640137" w:rsidP="00640137">
      <w:pPr>
        <w:spacing w:after="0" w:line="240" w:lineRule="auto"/>
      </w:pPr>
      <w:bookmarkStart w:id="0" w:name="bkStart"/>
      <w:bookmarkEnd w:id="0"/>
    </w:p>
    <w:p w14:paraId="7F4BF0D5" w14:textId="77777777" w:rsidR="00640137" w:rsidRPr="00F85FFF" w:rsidRDefault="00640137" w:rsidP="00640137">
      <w:pPr>
        <w:spacing w:after="0" w:line="240" w:lineRule="auto"/>
        <w:rPr>
          <w:rFonts w:cs="Arial"/>
        </w:rPr>
      </w:pPr>
      <w:r w:rsidRPr="00F85FFF">
        <w:rPr>
          <w:rFonts w:cs="Arial"/>
        </w:rPr>
        <w:t>Yours sincerely</w:t>
      </w:r>
    </w:p>
    <w:p w14:paraId="39FA7FDF" w14:textId="1C51D752" w:rsidR="00640137" w:rsidRPr="00F85FFF" w:rsidRDefault="00640137" w:rsidP="00640137">
      <w:pPr>
        <w:spacing w:after="0" w:line="240" w:lineRule="auto"/>
      </w:pPr>
    </w:p>
    <w:p w14:paraId="0ABE3843" w14:textId="77777777" w:rsidR="00770722" w:rsidRPr="00F85FFF" w:rsidRDefault="00770722" w:rsidP="00640137">
      <w:pPr>
        <w:spacing w:after="0" w:line="240" w:lineRule="auto"/>
      </w:pPr>
    </w:p>
    <w:p w14:paraId="5A0861C8" w14:textId="1A1B37F4" w:rsidR="00640137" w:rsidRDefault="00214F19" w:rsidP="00640137">
      <w:pPr>
        <w:tabs>
          <w:tab w:val="left" w:pos="284"/>
        </w:tabs>
        <w:spacing w:after="0" w:line="240" w:lineRule="auto"/>
      </w:pPr>
      <w:r w:rsidRPr="00F85FFF">
        <w:t>Laura Timmins</w:t>
      </w:r>
      <w:r w:rsidR="00640137" w:rsidRPr="00F85FFF">
        <w:br/>
      </w:r>
      <w:r w:rsidR="00640137" w:rsidRPr="00F85FFF">
        <w:rPr>
          <w:rFonts w:cs="Arial"/>
        </w:rPr>
        <w:t xml:space="preserve">Delegate of the Minister for the Environment </w:t>
      </w:r>
      <w:r w:rsidR="00640137" w:rsidRPr="00F85FFF">
        <w:br/>
      </w:r>
      <w:r w:rsidR="00640137" w:rsidRPr="00F85FFF">
        <w:br/>
      </w:r>
      <w:r w:rsidR="00BD0A94">
        <w:t>23</w:t>
      </w:r>
      <w:r w:rsidR="00640137" w:rsidRPr="00F85FFF">
        <w:tab/>
      </w:r>
      <w:r w:rsidR="00770722" w:rsidRPr="00F85FFF">
        <w:t>December</w:t>
      </w:r>
      <w:r w:rsidR="00640137" w:rsidRPr="00F85FFF">
        <w:t xml:space="preserve"> </w:t>
      </w:r>
      <w:r w:rsidR="00770722" w:rsidRPr="00F85FFF">
        <w:t>2020</w:t>
      </w:r>
    </w:p>
    <w:p w14:paraId="0E9C1259" w14:textId="77777777" w:rsidR="00640137" w:rsidRPr="00FA6E6F" w:rsidRDefault="00640137" w:rsidP="00640137">
      <w:pPr>
        <w:tabs>
          <w:tab w:val="left" w:pos="284"/>
        </w:tabs>
        <w:spacing w:after="0" w:line="240" w:lineRule="auto"/>
      </w:pPr>
    </w:p>
    <w:p w14:paraId="147887E6" w14:textId="77777777" w:rsidR="00640137" w:rsidRPr="00303007" w:rsidRDefault="00640137" w:rsidP="00640137">
      <w:pPr>
        <w:tabs>
          <w:tab w:val="left" w:pos="284"/>
        </w:tabs>
        <w:spacing w:after="0" w:line="240" w:lineRule="auto"/>
        <w:rPr>
          <w:rFonts w:cs="Arial"/>
        </w:rPr>
      </w:pPr>
    </w:p>
    <w:p w14:paraId="6F02326E" w14:textId="77777777" w:rsidR="00640137" w:rsidRPr="00303007" w:rsidRDefault="00640137" w:rsidP="00640137">
      <w:pPr>
        <w:tabs>
          <w:tab w:val="left" w:pos="284"/>
        </w:tabs>
        <w:rPr>
          <w:rFonts w:cs="Arial"/>
        </w:rPr>
        <w:sectPr w:rsidR="00640137" w:rsidRPr="00303007" w:rsidSect="00B5228C">
          <w:headerReference w:type="first" r:id="rId13"/>
          <w:pgSz w:w="11906" w:h="16838"/>
          <w:pgMar w:top="1134" w:right="1418" w:bottom="1134" w:left="1418" w:header="567" w:footer="425" w:gutter="0"/>
          <w:pgNumType w:start="1"/>
          <w:cols w:space="708"/>
          <w:titlePg/>
          <w:docGrid w:linePitch="360"/>
        </w:sectPr>
      </w:pPr>
    </w:p>
    <w:p w14:paraId="4255A8C9" w14:textId="77777777" w:rsidR="00640137" w:rsidRPr="00AC6B6B" w:rsidRDefault="00640137" w:rsidP="00640137">
      <w:pPr>
        <w:tabs>
          <w:tab w:val="left" w:pos="284"/>
        </w:tabs>
        <w:spacing w:after="0" w:line="240" w:lineRule="auto"/>
        <w:jc w:val="right"/>
        <w:rPr>
          <w:rFonts w:cs="Arial"/>
          <w:b/>
          <w:sz w:val="20"/>
          <w:szCs w:val="20"/>
        </w:rPr>
      </w:pPr>
      <w:r w:rsidRPr="00AC6B6B">
        <w:rPr>
          <w:rFonts w:cs="Arial"/>
          <w:b/>
          <w:sz w:val="20"/>
          <w:szCs w:val="20"/>
        </w:rPr>
        <w:lastRenderedPageBreak/>
        <w:t>Attachment 1</w:t>
      </w:r>
    </w:p>
    <w:p w14:paraId="6B39068D" w14:textId="77777777" w:rsidR="00640137" w:rsidRPr="00AC6B6B" w:rsidRDefault="00640137" w:rsidP="00640137">
      <w:pPr>
        <w:spacing w:after="0" w:line="240" w:lineRule="auto"/>
        <w:jc w:val="right"/>
        <w:rPr>
          <w:rFonts w:cs="Arial"/>
          <w:b/>
          <w:bCs/>
          <w:sz w:val="20"/>
          <w:szCs w:val="20"/>
        </w:rPr>
      </w:pPr>
    </w:p>
    <w:p w14:paraId="05BD3FC5" w14:textId="4C10670D" w:rsidR="00640137" w:rsidRPr="009D00C9" w:rsidRDefault="00640137" w:rsidP="00640137">
      <w:pPr>
        <w:spacing w:after="0" w:line="240" w:lineRule="auto"/>
        <w:jc w:val="center"/>
        <w:rPr>
          <w:rFonts w:cs="Arial"/>
          <w:sz w:val="24"/>
          <w:szCs w:val="24"/>
        </w:rPr>
      </w:pPr>
      <w:r w:rsidRPr="00AC6B6B">
        <w:rPr>
          <w:rFonts w:cs="Arial"/>
          <w:b/>
          <w:bCs/>
          <w:sz w:val="24"/>
          <w:szCs w:val="24"/>
        </w:rPr>
        <w:t xml:space="preserve">Part 13A conditions to the </w:t>
      </w:r>
      <w:bookmarkStart w:id="1" w:name="_Hlk58823836"/>
      <w:r w:rsidR="002919FA" w:rsidRPr="00AC6B6B">
        <w:rPr>
          <w:rFonts w:cs="Arial"/>
          <w:b/>
          <w:bCs/>
          <w:sz w:val="24"/>
          <w:szCs w:val="24"/>
        </w:rPr>
        <w:t>Torres Strait Protected Zone Joint Authority</w:t>
      </w:r>
      <w:bookmarkEnd w:id="1"/>
      <w:r w:rsidRPr="00AC6B6B">
        <w:rPr>
          <w:rFonts w:cs="Arial"/>
          <w:b/>
          <w:sz w:val="24"/>
          <w:szCs w:val="24"/>
        </w:rPr>
        <w:t xml:space="preserve"> on </w:t>
      </w:r>
      <w:r w:rsidRPr="00AC6B6B">
        <w:rPr>
          <w:rFonts w:cs="Arial"/>
          <w:b/>
          <w:bCs/>
          <w:sz w:val="24"/>
          <w:szCs w:val="24"/>
        </w:rPr>
        <w:t xml:space="preserve">the approved wildlife trade operation declaration for the </w:t>
      </w:r>
      <w:r w:rsidR="002919FA" w:rsidRPr="00AC6B6B">
        <w:rPr>
          <w:rFonts w:cs="Arial"/>
          <w:b/>
          <w:bCs/>
          <w:sz w:val="24"/>
          <w:szCs w:val="24"/>
        </w:rPr>
        <w:t xml:space="preserve">Torres Strait </w:t>
      </w:r>
      <w:proofErr w:type="spellStart"/>
      <w:r w:rsidR="00312E38" w:rsidRPr="00AC6B6B">
        <w:rPr>
          <w:rFonts w:cs="Arial"/>
          <w:b/>
          <w:bCs/>
          <w:sz w:val="24"/>
          <w:szCs w:val="24"/>
        </w:rPr>
        <w:t>Bêche</w:t>
      </w:r>
      <w:proofErr w:type="spellEnd"/>
      <w:r w:rsidR="00312E38" w:rsidRPr="00AC6B6B">
        <w:rPr>
          <w:rFonts w:cs="Arial"/>
          <w:b/>
          <w:bCs/>
          <w:sz w:val="24"/>
          <w:szCs w:val="24"/>
        </w:rPr>
        <w:t>-de-</w:t>
      </w:r>
      <w:proofErr w:type="spellStart"/>
      <w:r w:rsidR="00312E38" w:rsidRPr="00AC6B6B">
        <w:rPr>
          <w:rFonts w:cs="Arial"/>
          <w:b/>
          <w:bCs/>
          <w:sz w:val="24"/>
          <w:szCs w:val="24"/>
        </w:rPr>
        <w:t>mer</w:t>
      </w:r>
      <w:proofErr w:type="spellEnd"/>
      <w:r w:rsidR="00312E38" w:rsidRPr="00AC6B6B">
        <w:rPr>
          <w:rFonts w:cs="Arial"/>
          <w:b/>
          <w:bCs/>
          <w:i/>
          <w:iCs/>
          <w:sz w:val="24"/>
          <w:szCs w:val="24"/>
        </w:rPr>
        <w:t xml:space="preserve"> </w:t>
      </w:r>
      <w:r w:rsidRPr="00AC6B6B">
        <w:rPr>
          <w:rFonts w:cs="Arial"/>
          <w:b/>
          <w:bCs/>
          <w:sz w:val="24"/>
          <w:szCs w:val="24"/>
        </w:rPr>
        <w:t>Fishery</w:t>
      </w:r>
      <w:r w:rsidRPr="00AC6B6B">
        <w:rPr>
          <w:rFonts w:cs="Arial"/>
          <w:b/>
          <w:sz w:val="24"/>
          <w:szCs w:val="24"/>
        </w:rPr>
        <w:t xml:space="preserve"> </w:t>
      </w:r>
      <w:r w:rsidR="002919FA" w:rsidRPr="00AC6B6B">
        <w:rPr>
          <w:rFonts w:cs="Arial"/>
          <w:b/>
          <w:sz w:val="24"/>
          <w:szCs w:val="24"/>
        </w:rPr>
        <w:t>–</w:t>
      </w:r>
      <w:r w:rsidRPr="00AC6B6B">
        <w:rPr>
          <w:rFonts w:cs="Arial"/>
          <w:b/>
          <w:sz w:val="24"/>
          <w:szCs w:val="24"/>
        </w:rPr>
        <w:t xml:space="preserve"> </w:t>
      </w:r>
      <w:r w:rsidR="002919FA" w:rsidRPr="00AC6B6B">
        <w:rPr>
          <w:b/>
          <w:sz w:val="24"/>
          <w:szCs w:val="24"/>
        </w:rPr>
        <w:t>December 2020</w:t>
      </w:r>
    </w:p>
    <w:p w14:paraId="48441573" w14:textId="77777777" w:rsidR="00640137" w:rsidRPr="00E14857" w:rsidRDefault="00640137" w:rsidP="00640137">
      <w:pPr>
        <w:spacing w:after="0" w:line="240" w:lineRule="auto"/>
        <w:rPr>
          <w:rFonts w:cs="Arial"/>
        </w:rPr>
      </w:pPr>
    </w:p>
    <w:p w14:paraId="0F2155DC" w14:textId="77777777" w:rsidR="001B4F00" w:rsidRPr="004B65CC" w:rsidRDefault="001B4F00" w:rsidP="001B4F00">
      <w:pPr>
        <w:spacing w:after="0"/>
        <w:rPr>
          <w:rFonts w:eastAsia="Times New Roman" w:cs="Arial"/>
          <w:b/>
          <w:lang w:val="en-US"/>
        </w:rPr>
      </w:pPr>
      <w:r w:rsidRPr="004B65CC">
        <w:rPr>
          <w:rFonts w:eastAsia="Times New Roman" w:cs="Arial"/>
          <w:b/>
          <w:lang w:val="en-US"/>
        </w:rPr>
        <w:t>Condition 1:</w:t>
      </w:r>
    </w:p>
    <w:p w14:paraId="2C3DFCFE" w14:textId="5E595F9E" w:rsidR="001B4F00" w:rsidRPr="004B65CC" w:rsidRDefault="001B4F00" w:rsidP="001B4F00">
      <w:pPr>
        <w:spacing w:after="0"/>
        <w:rPr>
          <w:rFonts w:cs="Arial"/>
        </w:rPr>
      </w:pPr>
      <w:r w:rsidRPr="004B65CC">
        <w:rPr>
          <w:rFonts w:eastAsia="Times New Roman" w:cs="Arial"/>
          <w:lang w:val="en-US"/>
        </w:rPr>
        <w:t xml:space="preserve">The Torres Strait Protected Zone Joint Authority must ensure that operation of the Torres Strait </w:t>
      </w:r>
      <w:proofErr w:type="spellStart"/>
      <w:r w:rsidRPr="004B65CC">
        <w:rPr>
          <w:rFonts w:eastAsia="Times New Roman" w:cs="Arial"/>
          <w:lang w:val="en-US"/>
        </w:rPr>
        <w:t>Bêche</w:t>
      </w:r>
      <w:proofErr w:type="spellEnd"/>
      <w:r w:rsidRPr="004B65CC">
        <w:rPr>
          <w:rFonts w:eastAsia="Times New Roman" w:cs="Arial"/>
          <w:lang w:val="en-US"/>
        </w:rPr>
        <w:t>-de-</w:t>
      </w:r>
      <w:proofErr w:type="spellStart"/>
      <w:r w:rsidRPr="004B65CC">
        <w:rPr>
          <w:rFonts w:eastAsia="Times New Roman" w:cs="Arial"/>
          <w:lang w:val="en-US"/>
        </w:rPr>
        <w:t>mer</w:t>
      </w:r>
      <w:proofErr w:type="spellEnd"/>
      <w:r w:rsidRPr="004B65CC">
        <w:rPr>
          <w:rFonts w:eastAsia="Times New Roman" w:cs="Arial"/>
          <w:lang w:val="en-US"/>
        </w:rPr>
        <w:t xml:space="preserve"> is carried out in accordance with management arrangements defined in the </w:t>
      </w:r>
      <w:r w:rsidRPr="004B65CC">
        <w:rPr>
          <w:rFonts w:eastAsia="Times New Roman" w:cs="Arial"/>
          <w:bCs/>
          <w:i/>
          <w:lang w:val="en-US"/>
        </w:rPr>
        <w:t>Torres Strait Fisheries Act 1984</w:t>
      </w:r>
      <w:r w:rsidRPr="004B65CC">
        <w:rPr>
          <w:rFonts w:eastAsia="Times New Roman" w:cs="Arial"/>
          <w:bCs/>
          <w:lang w:val="en-US"/>
        </w:rPr>
        <w:t xml:space="preserve">, Torres Strait Fisheries Regulations 1985, </w:t>
      </w:r>
      <w:r w:rsidRPr="004B65CC">
        <w:rPr>
          <w:rFonts w:eastAsia="Times New Roman" w:cs="Arial"/>
          <w:lang w:val="en-US"/>
        </w:rPr>
        <w:t xml:space="preserve">Torres Strait Fisheries Management Instrument No.15 (Torres Strait Sea Cucumber Fishery), </w:t>
      </w:r>
      <w:proofErr w:type="spellStart"/>
      <w:r w:rsidRPr="004B65CC">
        <w:rPr>
          <w:rFonts w:eastAsia="Times New Roman" w:cs="Arial"/>
          <w:lang w:val="en-US"/>
        </w:rPr>
        <w:t>licence</w:t>
      </w:r>
      <w:proofErr w:type="spellEnd"/>
      <w:r w:rsidRPr="004B65CC">
        <w:rPr>
          <w:rFonts w:eastAsia="Times New Roman" w:cs="Arial"/>
          <w:lang w:val="en-US"/>
        </w:rPr>
        <w:t xml:space="preserve"> conditions and the Torres Strait </w:t>
      </w:r>
      <w:proofErr w:type="spellStart"/>
      <w:r w:rsidRPr="004B65CC">
        <w:rPr>
          <w:rFonts w:eastAsia="Times New Roman" w:cs="Arial"/>
          <w:lang w:val="en-US"/>
        </w:rPr>
        <w:t>Bêche</w:t>
      </w:r>
      <w:proofErr w:type="spellEnd"/>
      <w:r w:rsidRPr="004B65CC">
        <w:rPr>
          <w:rFonts w:eastAsia="Times New Roman" w:cs="Arial"/>
          <w:lang w:val="en-US"/>
        </w:rPr>
        <w:t>-de-</w:t>
      </w:r>
      <w:proofErr w:type="spellStart"/>
      <w:r w:rsidRPr="004B65CC">
        <w:rPr>
          <w:rFonts w:eastAsia="Times New Roman" w:cs="Arial"/>
          <w:lang w:val="en-US"/>
        </w:rPr>
        <w:t>mer</w:t>
      </w:r>
      <w:proofErr w:type="spellEnd"/>
      <w:r w:rsidRPr="004B65CC">
        <w:rPr>
          <w:rFonts w:eastAsia="Times New Roman" w:cs="Arial"/>
          <w:lang w:val="en-US"/>
        </w:rPr>
        <w:t xml:space="preserve"> Fishery Harvest Strategy.</w:t>
      </w:r>
    </w:p>
    <w:p w14:paraId="25B61E3F" w14:textId="77777777" w:rsidR="001B4F00" w:rsidRPr="004B65CC" w:rsidRDefault="001B4F00" w:rsidP="001B4F00">
      <w:pPr>
        <w:spacing w:after="0"/>
        <w:rPr>
          <w:rFonts w:eastAsia="Times New Roman" w:cs="Arial"/>
          <w:b/>
          <w:lang w:val="en-US"/>
        </w:rPr>
      </w:pPr>
    </w:p>
    <w:p w14:paraId="611F6733" w14:textId="77777777" w:rsidR="001B4F00" w:rsidRPr="004B65CC" w:rsidRDefault="001B4F00" w:rsidP="001B4F00">
      <w:pPr>
        <w:spacing w:after="0"/>
        <w:rPr>
          <w:rFonts w:eastAsia="Times New Roman" w:cs="Arial"/>
          <w:lang w:val="en-US"/>
        </w:rPr>
      </w:pPr>
      <w:r w:rsidRPr="004B65CC">
        <w:rPr>
          <w:rFonts w:eastAsia="Times New Roman" w:cs="Arial"/>
          <w:b/>
          <w:lang w:val="en-US"/>
        </w:rPr>
        <w:t>Condition 2</w:t>
      </w:r>
      <w:r w:rsidRPr="004B65CC">
        <w:rPr>
          <w:rFonts w:eastAsia="Times New Roman" w:cs="Arial"/>
          <w:b/>
          <w:bCs/>
          <w:lang w:val="en-US"/>
        </w:rPr>
        <w:t>:</w:t>
      </w:r>
    </w:p>
    <w:p w14:paraId="0CC701F2" w14:textId="59814A1D" w:rsidR="001B4F00" w:rsidRPr="004B65CC" w:rsidRDefault="001B4F00" w:rsidP="001B4F00">
      <w:pPr>
        <w:spacing w:after="0"/>
        <w:rPr>
          <w:rFonts w:eastAsia="Times New Roman" w:cs="Arial"/>
          <w:lang w:val="en-US"/>
        </w:rPr>
      </w:pPr>
      <w:r w:rsidRPr="004B65CC">
        <w:rPr>
          <w:rFonts w:eastAsia="Times New Roman" w:cs="Arial"/>
          <w:lang w:val="en-US"/>
        </w:rPr>
        <w:t xml:space="preserve">The Torres Strait Protected Zone Joint Authority must inform the Department of Agriculture, Water and the Environment of any intended material changes to the Torres Strait </w:t>
      </w:r>
      <w:proofErr w:type="spellStart"/>
      <w:r w:rsidRPr="004B65CC">
        <w:rPr>
          <w:rFonts w:eastAsia="Times New Roman" w:cs="Arial"/>
          <w:lang w:val="en-US"/>
        </w:rPr>
        <w:t>Bêche</w:t>
      </w:r>
      <w:proofErr w:type="spellEnd"/>
      <w:r w:rsidRPr="004B65CC">
        <w:rPr>
          <w:rFonts w:eastAsia="Times New Roman" w:cs="Arial"/>
          <w:lang w:val="en-US"/>
        </w:rPr>
        <w:t>-de-</w:t>
      </w:r>
      <w:proofErr w:type="spellStart"/>
      <w:r w:rsidRPr="004B65CC">
        <w:rPr>
          <w:rFonts w:eastAsia="Times New Roman" w:cs="Arial"/>
          <w:lang w:val="en-US"/>
        </w:rPr>
        <w:t>mer</w:t>
      </w:r>
      <w:proofErr w:type="spellEnd"/>
      <w:r w:rsidRPr="004B65CC">
        <w:rPr>
          <w:rFonts w:eastAsia="Times New Roman" w:cs="Arial"/>
          <w:lang w:val="en-US"/>
        </w:rPr>
        <w:t xml:space="preserve"> Fishery management arrangements that may affect the assessment against which </w:t>
      </w:r>
      <w:r w:rsidRPr="004B65CC">
        <w:rPr>
          <w:rFonts w:eastAsia="Times New Roman" w:cs="Arial"/>
          <w:i/>
          <w:iCs/>
          <w:lang w:val="en-US"/>
        </w:rPr>
        <w:t>Environment Protection and Biodiversity Conservation Act 1999</w:t>
      </w:r>
      <w:r w:rsidRPr="004B65CC">
        <w:rPr>
          <w:rFonts w:eastAsia="Times New Roman" w:cs="Arial"/>
          <w:lang w:val="en-US"/>
        </w:rPr>
        <w:t xml:space="preserve"> decisions are made.</w:t>
      </w:r>
    </w:p>
    <w:p w14:paraId="49A26267" w14:textId="77777777" w:rsidR="001B4F00" w:rsidRPr="004B65CC" w:rsidRDefault="001B4F00" w:rsidP="001B4F00">
      <w:pPr>
        <w:spacing w:after="0"/>
        <w:rPr>
          <w:rFonts w:eastAsia="Times New Roman" w:cs="Arial"/>
          <w:b/>
          <w:bCs/>
          <w:lang w:val="en-US"/>
        </w:rPr>
      </w:pPr>
    </w:p>
    <w:p w14:paraId="75A5D9D0" w14:textId="77777777" w:rsidR="001B4F00" w:rsidRPr="004B65CC" w:rsidRDefault="001B4F00" w:rsidP="001B4F00">
      <w:pPr>
        <w:spacing w:after="0"/>
        <w:rPr>
          <w:rFonts w:eastAsia="Times New Roman" w:cs="Arial"/>
          <w:b/>
          <w:bCs/>
          <w:lang w:val="en-US"/>
        </w:rPr>
      </w:pPr>
      <w:r w:rsidRPr="004B65CC">
        <w:rPr>
          <w:rFonts w:eastAsia="Times New Roman" w:cs="Arial"/>
          <w:b/>
          <w:bCs/>
          <w:lang w:val="en-US"/>
        </w:rPr>
        <w:t>Condition 3:</w:t>
      </w:r>
    </w:p>
    <w:p w14:paraId="76A1FCF1" w14:textId="77777777" w:rsidR="001B4F00" w:rsidRPr="004B65CC" w:rsidRDefault="001B4F00" w:rsidP="001B4F00">
      <w:pPr>
        <w:spacing w:after="0" w:line="240" w:lineRule="auto"/>
        <w:rPr>
          <w:rFonts w:eastAsia="Times New Roman" w:cs="Arial"/>
          <w:lang w:val="en-US"/>
        </w:rPr>
      </w:pPr>
      <w:r w:rsidRPr="004B65CC">
        <w:rPr>
          <w:rFonts w:eastAsia="Times New Roman" w:cs="Arial"/>
          <w:lang w:val="en-US"/>
        </w:rPr>
        <w:t xml:space="preserve">The Torres Strait Protected Zone Joint Authority must inform the Department of Agriculture, </w:t>
      </w:r>
      <w:proofErr w:type="gramStart"/>
      <w:r w:rsidRPr="004B65CC">
        <w:rPr>
          <w:rFonts w:eastAsia="Times New Roman" w:cs="Arial"/>
          <w:lang w:val="en-US"/>
        </w:rPr>
        <w:t>Water</w:t>
      </w:r>
      <w:proofErr w:type="gramEnd"/>
      <w:r w:rsidRPr="004B65CC">
        <w:rPr>
          <w:rFonts w:eastAsia="Times New Roman" w:cs="Arial"/>
          <w:lang w:val="en-US"/>
        </w:rPr>
        <w:t xml:space="preserve"> and the Environment of any intended changes to fisheries legislation that may affect the legislative instruments relevant to this approval.</w:t>
      </w:r>
    </w:p>
    <w:p w14:paraId="3F719779" w14:textId="77777777" w:rsidR="001B4F00" w:rsidRPr="004B65CC" w:rsidRDefault="001B4F00" w:rsidP="001B4F00">
      <w:pPr>
        <w:spacing w:after="0"/>
        <w:rPr>
          <w:rFonts w:eastAsia="Times New Roman" w:cs="Arial"/>
          <w:b/>
          <w:bCs/>
          <w:lang w:val="en-US"/>
        </w:rPr>
      </w:pPr>
    </w:p>
    <w:p w14:paraId="03CCC26B" w14:textId="77777777" w:rsidR="001B4F00" w:rsidRPr="004B65CC" w:rsidRDefault="001B4F00" w:rsidP="001B4F00">
      <w:pPr>
        <w:spacing w:after="0"/>
        <w:rPr>
          <w:rFonts w:eastAsia="Times New Roman" w:cs="Arial"/>
          <w:b/>
          <w:lang w:val="en-US"/>
        </w:rPr>
      </w:pPr>
      <w:r w:rsidRPr="004B65CC">
        <w:rPr>
          <w:rFonts w:eastAsia="Times New Roman" w:cs="Arial"/>
          <w:b/>
          <w:bCs/>
          <w:lang w:val="en-US"/>
        </w:rPr>
        <w:t>Condition 4</w:t>
      </w:r>
      <w:r w:rsidRPr="004B65CC">
        <w:rPr>
          <w:rFonts w:eastAsia="Times New Roman" w:cs="Arial"/>
          <w:b/>
          <w:lang w:val="en-US"/>
        </w:rPr>
        <w:t>:</w:t>
      </w:r>
    </w:p>
    <w:p w14:paraId="614B44F5" w14:textId="50051439" w:rsidR="001B4F00" w:rsidRPr="004B65CC" w:rsidRDefault="001B4F00" w:rsidP="001B4F00">
      <w:pPr>
        <w:spacing w:after="0" w:line="240" w:lineRule="auto"/>
        <w:rPr>
          <w:rFonts w:eastAsia="Times New Roman" w:cs="Arial"/>
          <w:i/>
          <w:iCs/>
          <w:lang w:val="en-US"/>
        </w:rPr>
      </w:pPr>
      <w:r w:rsidRPr="004B65CC">
        <w:rPr>
          <w:rFonts w:eastAsia="Times New Roman" w:cs="Arial"/>
          <w:lang w:val="en-US"/>
        </w:rPr>
        <w:t xml:space="preserve">The Torres Strait Protected Zone Joint Authority must provide reports to the Department of Agriculture, </w:t>
      </w:r>
      <w:proofErr w:type="gramStart"/>
      <w:r w:rsidRPr="004B65CC">
        <w:rPr>
          <w:rFonts w:eastAsia="Times New Roman" w:cs="Arial"/>
          <w:lang w:val="en-US"/>
        </w:rPr>
        <w:t>Water</w:t>
      </w:r>
      <w:proofErr w:type="gramEnd"/>
      <w:r w:rsidRPr="004B65CC">
        <w:rPr>
          <w:rFonts w:eastAsia="Times New Roman" w:cs="Arial"/>
          <w:lang w:val="en-US"/>
        </w:rPr>
        <w:t xml:space="preserve"> and the Environment annually as per Appendix B of the </w:t>
      </w:r>
      <w:r w:rsidRPr="004B65CC">
        <w:rPr>
          <w:rFonts w:eastAsia="Times New Roman" w:cs="Arial"/>
          <w:i/>
          <w:iCs/>
          <w:lang w:val="en-US"/>
        </w:rPr>
        <w:t>Guidelines for the Ecologically Sustainable Management of Fisheries - 2nd Edition.</w:t>
      </w:r>
    </w:p>
    <w:p w14:paraId="6DE5B8CE" w14:textId="20EF9878" w:rsidR="001B4F00" w:rsidRPr="004B65CC" w:rsidRDefault="001B4F00" w:rsidP="001B4F00">
      <w:pPr>
        <w:spacing w:after="0" w:line="240" w:lineRule="auto"/>
        <w:rPr>
          <w:rFonts w:eastAsia="Times New Roman" w:cs="Arial"/>
          <w:i/>
          <w:iCs/>
          <w:lang w:val="en-US"/>
        </w:rPr>
      </w:pPr>
    </w:p>
    <w:p w14:paraId="22B90126" w14:textId="5BF6B850" w:rsidR="001B4F00" w:rsidRPr="004B65CC" w:rsidRDefault="001B4F00" w:rsidP="004B65CC">
      <w:pPr>
        <w:spacing w:after="0"/>
        <w:rPr>
          <w:rFonts w:eastAsia="Times New Roman" w:cs="Arial"/>
          <w:b/>
          <w:bCs/>
          <w:lang w:val="en-US"/>
        </w:rPr>
      </w:pPr>
      <w:r w:rsidRPr="004B65CC">
        <w:rPr>
          <w:rFonts w:eastAsia="Times New Roman" w:cs="Arial"/>
          <w:b/>
          <w:bCs/>
          <w:lang w:val="en-US"/>
        </w:rPr>
        <w:t>Condition 5:</w:t>
      </w:r>
    </w:p>
    <w:p w14:paraId="4FDCA044" w14:textId="424BA260" w:rsidR="001B4F00" w:rsidRPr="004B65CC" w:rsidRDefault="001B4F00" w:rsidP="001B4F00">
      <w:pPr>
        <w:spacing w:after="0"/>
        <w:rPr>
          <w:rFonts w:eastAsia="Times New Roman" w:cs="Arial"/>
          <w:lang w:val="en-US"/>
        </w:rPr>
      </w:pPr>
      <w:r w:rsidRPr="004B65CC">
        <w:rPr>
          <w:rFonts w:eastAsia="Times New Roman" w:cs="Arial"/>
          <w:lang w:val="en-US"/>
        </w:rPr>
        <w:t xml:space="preserve">The Protected Zone Joint Authority must complete an ecological risk assessment of the Torres Strait </w:t>
      </w:r>
      <w:proofErr w:type="spellStart"/>
      <w:r w:rsidRPr="004B65CC">
        <w:rPr>
          <w:rFonts w:eastAsia="Times New Roman" w:cs="Arial"/>
          <w:lang w:val="en-US"/>
        </w:rPr>
        <w:t>Bêche</w:t>
      </w:r>
      <w:proofErr w:type="spellEnd"/>
      <w:r w:rsidRPr="004B65CC">
        <w:rPr>
          <w:rFonts w:eastAsia="Times New Roman" w:cs="Arial"/>
          <w:lang w:val="en-US"/>
        </w:rPr>
        <w:t>-de-</w:t>
      </w:r>
      <w:proofErr w:type="spellStart"/>
      <w:r w:rsidRPr="004B65CC">
        <w:rPr>
          <w:rFonts w:eastAsia="Times New Roman" w:cs="Arial"/>
          <w:lang w:val="en-US"/>
        </w:rPr>
        <w:t>mer</w:t>
      </w:r>
      <w:proofErr w:type="spellEnd"/>
      <w:r w:rsidRPr="004B65CC">
        <w:rPr>
          <w:rFonts w:eastAsia="Times New Roman" w:cs="Arial"/>
          <w:lang w:val="en-US"/>
        </w:rPr>
        <w:t xml:space="preserve"> Fishery by 1 January 2022 and develop an associated risk management strategy to address any risks identified in this assessment. </w:t>
      </w:r>
    </w:p>
    <w:p w14:paraId="5DFD334F" w14:textId="77777777" w:rsidR="001B4F00" w:rsidRPr="004B65CC" w:rsidRDefault="001B4F00" w:rsidP="001B4F00">
      <w:pPr>
        <w:spacing w:after="0"/>
        <w:rPr>
          <w:rFonts w:eastAsiaTheme="minorHAnsi" w:cs="Arial"/>
          <w:lang w:eastAsia="en-AU"/>
        </w:rPr>
      </w:pPr>
    </w:p>
    <w:p w14:paraId="067F97D1" w14:textId="77777777" w:rsidR="001B4F00" w:rsidRPr="004B65CC" w:rsidRDefault="001B4F00" w:rsidP="004B65CC">
      <w:pPr>
        <w:spacing w:after="0"/>
        <w:rPr>
          <w:rFonts w:eastAsia="Times New Roman" w:cs="Arial"/>
          <w:b/>
          <w:bCs/>
          <w:lang w:val="en-US"/>
        </w:rPr>
      </w:pPr>
      <w:r w:rsidRPr="004B65CC">
        <w:rPr>
          <w:rFonts w:eastAsia="Times New Roman" w:cs="Arial"/>
          <w:b/>
          <w:bCs/>
          <w:lang w:val="en-US"/>
        </w:rPr>
        <w:t xml:space="preserve">Condition 6: </w:t>
      </w:r>
    </w:p>
    <w:p w14:paraId="55A63909" w14:textId="65E7FDBC" w:rsidR="001B4F00" w:rsidRPr="004B65CC" w:rsidRDefault="001B4F00" w:rsidP="001B4F00">
      <w:pPr>
        <w:spacing w:after="0"/>
        <w:rPr>
          <w:rFonts w:eastAsia="Times New Roman" w:cs="Arial"/>
          <w:lang w:val="en-US"/>
        </w:rPr>
      </w:pPr>
      <w:r w:rsidRPr="004B65CC">
        <w:rPr>
          <w:rFonts w:eastAsia="Times New Roman" w:cs="Arial"/>
          <w:lang w:val="en-US"/>
        </w:rPr>
        <w:t xml:space="preserve">The Torres Strait Protected Zone Joint Authority must ensure that there is a sufficient level of compliance measures in place to ensure the sustainable management of the Torres Strait </w:t>
      </w:r>
      <w:proofErr w:type="spellStart"/>
      <w:r w:rsidR="00AC6B6B" w:rsidRPr="004B65CC">
        <w:rPr>
          <w:rFonts w:eastAsia="Times New Roman" w:cs="Arial"/>
          <w:lang w:val="en-US"/>
        </w:rPr>
        <w:t>Bêche</w:t>
      </w:r>
      <w:proofErr w:type="spellEnd"/>
      <w:r w:rsidR="00AC6B6B" w:rsidRPr="004B65CC">
        <w:rPr>
          <w:rFonts w:eastAsia="Times New Roman" w:cs="Arial"/>
          <w:lang w:val="en-US"/>
        </w:rPr>
        <w:t>-de-</w:t>
      </w:r>
      <w:proofErr w:type="spellStart"/>
      <w:r w:rsidR="00AC6B6B" w:rsidRPr="004B65CC">
        <w:rPr>
          <w:rFonts w:eastAsia="Times New Roman" w:cs="Arial"/>
          <w:lang w:val="en-US"/>
        </w:rPr>
        <w:t>mer</w:t>
      </w:r>
      <w:proofErr w:type="spellEnd"/>
      <w:r w:rsidR="00AC6B6B" w:rsidRPr="004B65CC">
        <w:rPr>
          <w:rFonts w:eastAsia="Times New Roman" w:cs="Arial"/>
          <w:lang w:val="en-US"/>
        </w:rPr>
        <w:t xml:space="preserve"> Fishery</w:t>
      </w:r>
      <w:r w:rsidRPr="004B65CC">
        <w:rPr>
          <w:rFonts w:eastAsia="Times New Roman" w:cs="Arial"/>
          <w:lang w:val="en-US"/>
        </w:rPr>
        <w:t>, in accordance with the management arrangements in place for the fishery.</w:t>
      </w:r>
    </w:p>
    <w:p w14:paraId="2554F200" w14:textId="77777777" w:rsidR="001B4F00" w:rsidRPr="004B65CC" w:rsidRDefault="001B4F00" w:rsidP="001B4F00">
      <w:pPr>
        <w:spacing w:after="0"/>
        <w:rPr>
          <w:rFonts w:eastAsia="Times New Roman" w:cs="Arial"/>
          <w:b/>
          <w:bCs/>
          <w:lang w:val="en-US"/>
        </w:rPr>
      </w:pPr>
    </w:p>
    <w:p w14:paraId="567171EF" w14:textId="592CC380" w:rsidR="001B4F00" w:rsidRPr="004B65CC" w:rsidRDefault="001B4F00" w:rsidP="001B4F00">
      <w:pPr>
        <w:spacing w:after="0"/>
        <w:rPr>
          <w:rFonts w:eastAsia="Times New Roman" w:cs="Arial"/>
          <w:b/>
          <w:bCs/>
          <w:lang w:val="en-US"/>
        </w:rPr>
      </w:pPr>
      <w:r w:rsidRPr="004B65CC">
        <w:rPr>
          <w:rFonts w:eastAsia="Times New Roman" w:cs="Arial"/>
          <w:b/>
          <w:bCs/>
          <w:lang w:val="en-US"/>
        </w:rPr>
        <w:t xml:space="preserve">Condition 7: </w:t>
      </w:r>
    </w:p>
    <w:p w14:paraId="1955A5E1" w14:textId="5CAD0C40" w:rsidR="001B4F00" w:rsidRPr="004B65CC" w:rsidRDefault="001B4F00" w:rsidP="001B4F00">
      <w:pPr>
        <w:spacing w:after="0"/>
        <w:rPr>
          <w:rFonts w:eastAsia="Times New Roman" w:cs="Arial"/>
          <w:lang w:val="en-US"/>
        </w:rPr>
      </w:pPr>
      <w:r w:rsidRPr="004B65CC">
        <w:rPr>
          <w:rFonts w:eastAsia="Times New Roman" w:cs="Arial"/>
          <w:lang w:val="en-US"/>
        </w:rPr>
        <w:t xml:space="preserve">By 1 November 2023 the Protected Zone Joint Authority must provide the department with a revised population estimate for Black </w:t>
      </w:r>
      <w:proofErr w:type="spellStart"/>
      <w:r w:rsidRPr="004B65CC">
        <w:rPr>
          <w:rFonts w:eastAsia="Times New Roman" w:cs="Arial"/>
          <w:lang w:val="en-US"/>
        </w:rPr>
        <w:t>Teatfish</w:t>
      </w:r>
      <w:proofErr w:type="spellEnd"/>
      <w:r w:rsidRPr="004B65CC">
        <w:rPr>
          <w:rFonts w:eastAsia="Times New Roman" w:cs="Arial"/>
          <w:lang w:val="en-US"/>
        </w:rPr>
        <w:t xml:space="preserve"> (</w:t>
      </w:r>
      <w:proofErr w:type="spellStart"/>
      <w:r w:rsidRPr="004B65CC">
        <w:rPr>
          <w:rFonts w:eastAsia="Times New Roman" w:cs="Arial"/>
          <w:i/>
          <w:iCs/>
          <w:lang w:val="en-US"/>
        </w:rPr>
        <w:t>Holothuria</w:t>
      </w:r>
      <w:proofErr w:type="spellEnd"/>
      <w:r w:rsidRPr="004B65CC">
        <w:rPr>
          <w:rFonts w:eastAsia="Times New Roman" w:cs="Arial"/>
          <w:i/>
          <w:iCs/>
          <w:lang w:val="en-US"/>
        </w:rPr>
        <w:t xml:space="preserve"> </w:t>
      </w:r>
      <w:proofErr w:type="spellStart"/>
      <w:r w:rsidRPr="004B65CC">
        <w:rPr>
          <w:rFonts w:eastAsia="Times New Roman" w:cs="Arial"/>
          <w:i/>
          <w:iCs/>
          <w:lang w:val="en-US"/>
        </w:rPr>
        <w:t>whitmaei</w:t>
      </w:r>
      <w:proofErr w:type="spellEnd"/>
      <w:r w:rsidRPr="004B65CC">
        <w:rPr>
          <w:rFonts w:eastAsia="Times New Roman" w:cs="Arial"/>
          <w:lang w:val="en-US"/>
        </w:rPr>
        <w:t xml:space="preserve">) and White </w:t>
      </w:r>
      <w:proofErr w:type="spellStart"/>
      <w:r w:rsidRPr="004B65CC">
        <w:rPr>
          <w:rFonts w:eastAsia="Times New Roman" w:cs="Arial"/>
          <w:lang w:val="en-US"/>
        </w:rPr>
        <w:t>Teatfish</w:t>
      </w:r>
      <w:proofErr w:type="spellEnd"/>
      <w:r w:rsidRPr="004B65CC">
        <w:rPr>
          <w:rFonts w:eastAsia="Times New Roman" w:cs="Arial"/>
          <w:lang w:val="en-US"/>
        </w:rPr>
        <w:t xml:space="preserve"> (</w:t>
      </w:r>
      <w:proofErr w:type="spellStart"/>
      <w:r w:rsidR="000A5BAA" w:rsidRPr="004B65CC">
        <w:rPr>
          <w:rFonts w:cs="Arial"/>
          <w:i/>
          <w:iCs/>
        </w:rPr>
        <w:t>Holothuria</w:t>
      </w:r>
      <w:proofErr w:type="spellEnd"/>
      <w:r w:rsidR="000A5BAA" w:rsidRPr="004B65CC">
        <w:rPr>
          <w:rFonts w:cs="Arial"/>
          <w:i/>
          <w:iCs/>
        </w:rPr>
        <w:t> </w:t>
      </w:r>
      <w:proofErr w:type="spellStart"/>
      <w:r w:rsidR="000A5BAA" w:rsidRPr="004B65CC">
        <w:rPr>
          <w:rFonts w:cs="Arial"/>
          <w:i/>
          <w:iCs/>
        </w:rPr>
        <w:t>fuscogilva</w:t>
      </w:r>
      <w:proofErr w:type="spellEnd"/>
      <w:r w:rsidRPr="004B65CC">
        <w:rPr>
          <w:rFonts w:eastAsia="Times New Roman" w:cs="Arial"/>
          <w:lang w:val="en-US"/>
        </w:rPr>
        <w:t>) in the Torres Strait that is based on new information for the fishery, including catch data and fishery-independent data or scientific expert advice and an assessment of the impact of harvest on the stocks.</w:t>
      </w:r>
    </w:p>
    <w:p w14:paraId="7E346277" w14:textId="77777777" w:rsidR="001B4F00" w:rsidRPr="004B65CC" w:rsidRDefault="001B4F00" w:rsidP="004B65CC">
      <w:pPr>
        <w:spacing w:after="0"/>
        <w:rPr>
          <w:rFonts w:eastAsia="Times New Roman" w:cs="Arial"/>
          <w:lang w:val="en-US"/>
        </w:rPr>
      </w:pPr>
    </w:p>
    <w:p w14:paraId="434F9443" w14:textId="77777777" w:rsidR="001B4F00" w:rsidRPr="004B65CC" w:rsidRDefault="001B4F00" w:rsidP="001B4F00">
      <w:pPr>
        <w:pStyle w:val="xmsonormal"/>
        <w:spacing w:line="276" w:lineRule="auto"/>
        <w:rPr>
          <w:rFonts w:ascii="Arial" w:hAnsi="Arial" w:cs="Arial"/>
          <w:color w:val="000000"/>
        </w:rPr>
      </w:pPr>
      <w:r w:rsidRPr="004B65CC">
        <w:rPr>
          <w:rFonts w:ascii="Arial" w:hAnsi="Arial" w:cs="Arial"/>
          <w:b/>
          <w:bCs/>
        </w:rPr>
        <w:t xml:space="preserve">Condition 8: </w:t>
      </w:r>
      <w:r w:rsidRPr="004B65CC">
        <w:rPr>
          <w:rFonts w:ascii="Arial" w:hAnsi="Arial" w:cs="Arial"/>
          <w:color w:val="000000"/>
        </w:rPr>
        <w:t xml:space="preserve"> </w:t>
      </w:r>
    </w:p>
    <w:p w14:paraId="3AB2738E" w14:textId="2D1D3F4B" w:rsidR="001B4F00" w:rsidRPr="004B65CC" w:rsidRDefault="001B4F00" w:rsidP="001B4F00">
      <w:pPr>
        <w:pStyle w:val="xmsonormal"/>
        <w:spacing w:line="276" w:lineRule="auto"/>
        <w:rPr>
          <w:rFonts w:ascii="Arial" w:hAnsi="Arial" w:cs="Arial"/>
        </w:rPr>
      </w:pPr>
      <w:r w:rsidRPr="004B65CC">
        <w:rPr>
          <w:rFonts w:ascii="Arial" w:hAnsi="Arial" w:cs="Arial"/>
        </w:rPr>
        <w:t xml:space="preserve">The Torres Strait Protected Zone Joint Authority must limit the seasonal take of the following species listed under the Convention on the International Trade of Endangered Species (CITES), from the Torres Strait </w:t>
      </w:r>
      <w:proofErr w:type="spellStart"/>
      <w:r w:rsidR="00AC6B6B" w:rsidRPr="004B65CC">
        <w:rPr>
          <w:rFonts w:ascii="Arial" w:hAnsi="Arial" w:cs="Arial"/>
        </w:rPr>
        <w:t>Bêche</w:t>
      </w:r>
      <w:proofErr w:type="spellEnd"/>
      <w:r w:rsidR="00AC6B6B" w:rsidRPr="004B65CC">
        <w:rPr>
          <w:rFonts w:ascii="Arial" w:hAnsi="Arial" w:cs="Arial"/>
        </w:rPr>
        <w:t>-de-</w:t>
      </w:r>
      <w:proofErr w:type="spellStart"/>
      <w:r w:rsidR="00AC6B6B" w:rsidRPr="004B65CC">
        <w:rPr>
          <w:rFonts w:ascii="Arial" w:hAnsi="Arial" w:cs="Arial"/>
        </w:rPr>
        <w:t>mer</w:t>
      </w:r>
      <w:proofErr w:type="spellEnd"/>
      <w:r w:rsidR="00AC6B6B" w:rsidRPr="004B65CC">
        <w:rPr>
          <w:rFonts w:ascii="Arial" w:hAnsi="Arial" w:cs="Arial"/>
        </w:rPr>
        <w:t xml:space="preserve"> Fishery </w:t>
      </w:r>
      <w:r w:rsidRPr="004B65CC">
        <w:rPr>
          <w:rFonts w:ascii="Arial" w:hAnsi="Arial" w:cs="Arial"/>
        </w:rPr>
        <w:t>to no more than:</w:t>
      </w:r>
    </w:p>
    <w:p w14:paraId="6B07E008" w14:textId="77777777" w:rsidR="001B4F00" w:rsidRPr="004B65CC" w:rsidRDefault="001B4F00" w:rsidP="001B4F00">
      <w:pPr>
        <w:pStyle w:val="xmsolistparagraph"/>
        <w:numPr>
          <w:ilvl w:val="0"/>
          <w:numId w:val="47"/>
        </w:numPr>
        <w:spacing w:after="60" w:line="276" w:lineRule="auto"/>
      </w:pPr>
      <w:r w:rsidRPr="004B65CC">
        <w:lastRenderedPageBreak/>
        <w:t xml:space="preserve">15 tonnes of White </w:t>
      </w:r>
      <w:proofErr w:type="spellStart"/>
      <w:r w:rsidRPr="004B65CC">
        <w:t>Teatfish</w:t>
      </w:r>
      <w:proofErr w:type="spellEnd"/>
      <w:r w:rsidRPr="004B65CC">
        <w:t xml:space="preserve"> (</w:t>
      </w:r>
      <w:proofErr w:type="spellStart"/>
      <w:r w:rsidRPr="004B65CC">
        <w:rPr>
          <w:i/>
          <w:iCs/>
        </w:rPr>
        <w:t>Holothuria</w:t>
      </w:r>
      <w:proofErr w:type="spellEnd"/>
      <w:r w:rsidRPr="004B65CC">
        <w:rPr>
          <w:i/>
          <w:iCs/>
        </w:rPr>
        <w:t> </w:t>
      </w:r>
      <w:proofErr w:type="spellStart"/>
      <w:r w:rsidRPr="004B65CC">
        <w:rPr>
          <w:i/>
          <w:iCs/>
        </w:rPr>
        <w:t>fuscogilva</w:t>
      </w:r>
      <w:proofErr w:type="spellEnd"/>
      <w:r w:rsidRPr="004B65CC">
        <w:t>); and</w:t>
      </w:r>
    </w:p>
    <w:p w14:paraId="282A7DC1" w14:textId="5AB6C7F9" w:rsidR="001B4F00" w:rsidRPr="004B65CC" w:rsidRDefault="001B4F00" w:rsidP="001B4F00">
      <w:pPr>
        <w:pStyle w:val="xmsolistparagraph"/>
        <w:numPr>
          <w:ilvl w:val="0"/>
          <w:numId w:val="47"/>
        </w:numPr>
        <w:spacing w:after="0" w:line="276" w:lineRule="auto"/>
      </w:pPr>
      <w:r w:rsidRPr="004B65CC">
        <w:t xml:space="preserve">20 tonnes of Black </w:t>
      </w:r>
      <w:proofErr w:type="spellStart"/>
      <w:r w:rsidRPr="004B65CC">
        <w:t>Teatfish</w:t>
      </w:r>
      <w:proofErr w:type="spellEnd"/>
      <w:r w:rsidRPr="004B65CC">
        <w:t xml:space="preserve"> (</w:t>
      </w:r>
      <w:proofErr w:type="spellStart"/>
      <w:r w:rsidRPr="004B65CC">
        <w:rPr>
          <w:i/>
          <w:iCs/>
        </w:rPr>
        <w:t>Holothuria</w:t>
      </w:r>
      <w:proofErr w:type="spellEnd"/>
      <w:r w:rsidRPr="004B65CC">
        <w:rPr>
          <w:i/>
          <w:iCs/>
        </w:rPr>
        <w:t xml:space="preserve"> </w:t>
      </w:r>
      <w:proofErr w:type="spellStart"/>
      <w:r w:rsidRPr="004B65CC">
        <w:rPr>
          <w:i/>
          <w:iCs/>
        </w:rPr>
        <w:t>whitmaei</w:t>
      </w:r>
      <w:proofErr w:type="spellEnd"/>
      <w:r w:rsidRPr="004B65CC">
        <w:t>).</w:t>
      </w:r>
    </w:p>
    <w:p w14:paraId="15D4A9ED" w14:textId="77777777" w:rsidR="004B65CC" w:rsidRPr="004B65CC" w:rsidRDefault="004B65CC" w:rsidP="00606A98">
      <w:pPr>
        <w:shd w:val="clear" w:color="auto" w:fill="FFFFFF" w:themeFill="background1"/>
        <w:spacing w:after="60"/>
        <w:rPr>
          <w:rFonts w:eastAsiaTheme="minorHAnsi" w:cs="Arial"/>
          <w:lang w:eastAsia="en-AU"/>
        </w:rPr>
      </w:pPr>
      <w:r w:rsidRPr="004B65CC">
        <w:rPr>
          <w:rFonts w:eastAsiaTheme="minorHAnsi" w:cs="Arial"/>
          <w:lang w:eastAsia="en-AU"/>
        </w:rPr>
        <w:t xml:space="preserve">The Torres Strait Protected Zone Joint Authority must report the amount of White </w:t>
      </w:r>
      <w:proofErr w:type="spellStart"/>
      <w:r w:rsidRPr="004B65CC">
        <w:rPr>
          <w:rFonts w:eastAsiaTheme="minorHAnsi" w:cs="Arial"/>
          <w:lang w:eastAsia="en-AU"/>
        </w:rPr>
        <w:t>Teatfish</w:t>
      </w:r>
      <w:proofErr w:type="spellEnd"/>
      <w:r w:rsidRPr="004B65CC">
        <w:rPr>
          <w:rFonts w:eastAsiaTheme="minorHAnsi" w:cs="Arial"/>
          <w:lang w:eastAsia="en-AU"/>
        </w:rPr>
        <w:t xml:space="preserve"> and Black </w:t>
      </w:r>
      <w:proofErr w:type="spellStart"/>
      <w:r w:rsidRPr="004B65CC">
        <w:rPr>
          <w:rFonts w:eastAsiaTheme="minorHAnsi" w:cs="Arial"/>
          <w:lang w:eastAsia="en-AU"/>
        </w:rPr>
        <w:t>Teatfish</w:t>
      </w:r>
      <w:proofErr w:type="spellEnd"/>
      <w:r w:rsidRPr="004B65CC">
        <w:rPr>
          <w:rFonts w:eastAsiaTheme="minorHAnsi" w:cs="Arial"/>
          <w:lang w:eastAsia="en-AU"/>
        </w:rPr>
        <w:t xml:space="preserve"> harvested by weight and where available, include the number of individuals, their lengths and locations of harvest, as part of the annual reporting referred to in Condition 4.</w:t>
      </w:r>
    </w:p>
    <w:p w14:paraId="01272FDB" w14:textId="77777777" w:rsidR="001B4F00" w:rsidRPr="004B65CC" w:rsidRDefault="001B4F00" w:rsidP="001B4F00">
      <w:pPr>
        <w:pStyle w:val="xmsonormal"/>
        <w:spacing w:line="276" w:lineRule="auto"/>
        <w:rPr>
          <w:rFonts w:ascii="Arial" w:hAnsi="Arial" w:cs="Arial"/>
          <w:b/>
          <w:bCs/>
        </w:rPr>
      </w:pPr>
    </w:p>
    <w:p w14:paraId="5804C797" w14:textId="77777777" w:rsidR="001B4F00" w:rsidRPr="004B65CC" w:rsidRDefault="001B4F00" w:rsidP="001B4F00">
      <w:pPr>
        <w:pStyle w:val="xmsonormal"/>
        <w:spacing w:line="276" w:lineRule="auto"/>
        <w:rPr>
          <w:rFonts w:ascii="Arial" w:hAnsi="Arial" w:cs="Arial"/>
          <w:b/>
          <w:bCs/>
        </w:rPr>
      </w:pPr>
      <w:r w:rsidRPr="004B65CC">
        <w:rPr>
          <w:rFonts w:ascii="Arial" w:hAnsi="Arial" w:cs="Arial"/>
          <w:b/>
          <w:bCs/>
        </w:rPr>
        <w:t xml:space="preserve">Condition 9: </w:t>
      </w:r>
    </w:p>
    <w:p w14:paraId="576396C2" w14:textId="5B300C07" w:rsidR="001B4F00" w:rsidRPr="004B65CC" w:rsidRDefault="001B4F00" w:rsidP="001B4F00">
      <w:pPr>
        <w:pStyle w:val="xmsonormal"/>
        <w:spacing w:line="276" w:lineRule="auto"/>
        <w:rPr>
          <w:rFonts w:ascii="Arial" w:hAnsi="Arial" w:cs="Arial"/>
        </w:rPr>
      </w:pPr>
      <w:r w:rsidRPr="004B65CC">
        <w:rPr>
          <w:rFonts w:ascii="Arial" w:hAnsi="Arial" w:cs="Arial"/>
        </w:rPr>
        <w:t>The Protected Zone Joint Authority must address any over</w:t>
      </w:r>
      <w:r w:rsidR="00CB3F41" w:rsidRPr="004B65CC">
        <w:rPr>
          <w:rFonts w:ascii="Arial" w:hAnsi="Arial" w:cs="Arial"/>
        </w:rPr>
        <w:t xml:space="preserve"> harvest </w:t>
      </w:r>
      <w:r w:rsidRPr="004B65CC">
        <w:rPr>
          <w:rFonts w:ascii="Arial" w:hAnsi="Arial" w:cs="Arial"/>
        </w:rPr>
        <w:t>of the T</w:t>
      </w:r>
      <w:r w:rsidR="004B65CC">
        <w:rPr>
          <w:rFonts w:ascii="Arial" w:hAnsi="Arial" w:cs="Arial"/>
        </w:rPr>
        <w:t xml:space="preserve">otal </w:t>
      </w:r>
      <w:r w:rsidRPr="004B65CC">
        <w:rPr>
          <w:rFonts w:ascii="Arial" w:hAnsi="Arial" w:cs="Arial"/>
        </w:rPr>
        <w:t>A</w:t>
      </w:r>
      <w:r w:rsidR="004B65CC">
        <w:rPr>
          <w:rFonts w:ascii="Arial" w:hAnsi="Arial" w:cs="Arial"/>
        </w:rPr>
        <w:t xml:space="preserve">llowable </w:t>
      </w:r>
      <w:r w:rsidRPr="004B65CC">
        <w:rPr>
          <w:rFonts w:ascii="Arial" w:hAnsi="Arial" w:cs="Arial"/>
        </w:rPr>
        <w:t>C</w:t>
      </w:r>
      <w:r w:rsidR="004B65CC">
        <w:rPr>
          <w:rFonts w:ascii="Arial" w:hAnsi="Arial" w:cs="Arial"/>
        </w:rPr>
        <w:t>atch (TAC)</w:t>
      </w:r>
      <w:r w:rsidRPr="004B65CC">
        <w:rPr>
          <w:rFonts w:ascii="Arial" w:hAnsi="Arial" w:cs="Arial"/>
        </w:rPr>
        <w:t xml:space="preserve"> for either Black </w:t>
      </w:r>
      <w:proofErr w:type="spellStart"/>
      <w:r w:rsidRPr="004B65CC">
        <w:rPr>
          <w:rFonts w:ascii="Arial" w:hAnsi="Arial" w:cs="Arial"/>
        </w:rPr>
        <w:t>Teatfish</w:t>
      </w:r>
      <w:proofErr w:type="spellEnd"/>
      <w:r w:rsidRPr="004B65CC">
        <w:rPr>
          <w:rFonts w:ascii="Arial" w:hAnsi="Arial" w:cs="Arial"/>
        </w:rPr>
        <w:t xml:space="preserve"> (</w:t>
      </w:r>
      <w:proofErr w:type="spellStart"/>
      <w:r w:rsidRPr="004B65CC">
        <w:rPr>
          <w:rFonts w:ascii="Arial" w:hAnsi="Arial" w:cs="Arial"/>
          <w:i/>
          <w:iCs/>
        </w:rPr>
        <w:t>Holothuria</w:t>
      </w:r>
      <w:proofErr w:type="spellEnd"/>
      <w:r w:rsidRPr="004B65CC">
        <w:rPr>
          <w:rFonts w:ascii="Arial" w:hAnsi="Arial" w:cs="Arial"/>
          <w:i/>
          <w:iCs/>
        </w:rPr>
        <w:t xml:space="preserve"> </w:t>
      </w:r>
      <w:proofErr w:type="spellStart"/>
      <w:r w:rsidRPr="004B65CC">
        <w:rPr>
          <w:rFonts w:ascii="Arial" w:hAnsi="Arial" w:cs="Arial"/>
          <w:i/>
          <w:iCs/>
        </w:rPr>
        <w:t>whitmaei</w:t>
      </w:r>
      <w:proofErr w:type="spellEnd"/>
      <w:r w:rsidRPr="004B65CC">
        <w:rPr>
          <w:rFonts w:ascii="Arial" w:hAnsi="Arial" w:cs="Arial"/>
        </w:rPr>
        <w:t xml:space="preserve">) or White </w:t>
      </w:r>
      <w:proofErr w:type="spellStart"/>
      <w:r w:rsidRPr="004B65CC">
        <w:rPr>
          <w:rFonts w:ascii="Arial" w:hAnsi="Arial" w:cs="Arial"/>
        </w:rPr>
        <w:t>Teatfish</w:t>
      </w:r>
      <w:proofErr w:type="spellEnd"/>
      <w:r w:rsidRPr="004B65CC">
        <w:rPr>
          <w:rFonts w:ascii="Arial" w:hAnsi="Arial" w:cs="Arial"/>
        </w:rPr>
        <w:t xml:space="preserve"> (</w:t>
      </w:r>
      <w:proofErr w:type="spellStart"/>
      <w:r w:rsidR="000A5BAA" w:rsidRPr="004B65CC">
        <w:rPr>
          <w:rFonts w:ascii="Arial" w:hAnsi="Arial" w:cs="Arial"/>
          <w:i/>
          <w:iCs/>
        </w:rPr>
        <w:t>Holothuria</w:t>
      </w:r>
      <w:proofErr w:type="spellEnd"/>
      <w:r w:rsidR="000A5BAA" w:rsidRPr="004B65CC">
        <w:rPr>
          <w:rFonts w:ascii="Arial" w:hAnsi="Arial" w:cs="Arial"/>
          <w:i/>
          <w:iCs/>
        </w:rPr>
        <w:t> </w:t>
      </w:r>
      <w:proofErr w:type="spellStart"/>
      <w:r w:rsidR="000A5BAA" w:rsidRPr="004B65CC">
        <w:rPr>
          <w:rFonts w:ascii="Arial" w:hAnsi="Arial" w:cs="Arial"/>
          <w:i/>
          <w:iCs/>
        </w:rPr>
        <w:t>fuscogilva</w:t>
      </w:r>
      <w:proofErr w:type="spellEnd"/>
      <w:r w:rsidRPr="004B65CC">
        <w:rPr>
          <w:rFonts w:ascii="Arial" w:hAnsi="Arial" w:cs="Arial"/>
        </w:rPr>
        <w:t xml:space="preserve">) in one season and ensure that </w:t>
      </w:r>
      <w:r w:rsidR="00B70915" w:rsidRPr="004B65CC">
        <w:rPr>
          <w:rFonts w:ascii="Arial" w:hAnsi="Arial" w:cs="Arial"/>
        </w:rPr>
        <w:t xml:space="preserve">any over harvest of the species </w:t>
      </w:r>
      <w:r w:rsidRPr="004B65CC">
        <w:rPr>
          <w:rFonts w:ascii="Arial" w:hAnsi="Arial" w:cs="Arial"/>
        </w:rPr>
        <w:t xml:space="preserve">is properly accounted for in subsequent fishing seasons in line with the provisions in the Torres Strait </w:t>
      </w:r>
      <w:proofErr w:type="spellStart"/>
      <w:r w:rsidR="00AC6B6B" w:rsidRPr="004B65CC">
        <w:rPr>
          <w:rFonts w:ascii="Arial" w:hAnsi="Arial" w:cs="Arial"/>
        </w:rPr>
        <w:t>Bêche</w:t>
      </w:r>
      <w:proofErr w:type="spellEnd"/>
      <w:r w:rsidR="00AC6B6B" w:rsidRPr="004B65CC">
        <w:rPr>
          <w:rFonts w:ascii="Arial" w:hAnsi="Arial" w:cs="Arial"/>
        </w:rPr>
        <w:t>-de-</w:t>
      </w:r>
      <w:proofErr w:type="spellStart"/>
      <w:r w:rsidR="00AC6B6B" w:rsidRPr="004B65CC">
        <w:rPr>
          <w:rFonts w:ascii="Arial" w:hAnsi="Arial" w:cs="Arial"/>
        </w:rPr>
        <w:t>mer</w:t>
      </w:r>
      <w:proofErr w:type="spellEnd"/>
      <w:r w:rsidR="00AC6B6B" w:rsidRPr="004B65CC">
        <w:rPr>
          <w:rFonts w:ascii="Arial" w:hAnsi="Arial" w:cs="Arial"/>
        </w:rPr>
        <w:t xml:space="preserve"> Fishery</w:t>
      </w:r>
      <w:r w:rsidR="00DC2D5C" w:rsidRPr="004B65CC">
        <w:rPr>
          <w:rFonts w:ascii="Arial" w:hAnsi="Arial" w:cs="Arial"/>
        </w:rPr>
        <w:t xml:space="preserve">’s </w:t>
      </w:r>
      <w:r w:rsidRPr="004B65CC">
        <w:rPr>
          <w:rFonts w:ascii="Arial" w:hAnsi="Arial" w:cs="Arial"/>
        </w:rPr>
        <w:t>Harvest Strategy.</w:t>
      </w:r>
    </w:p>
    <w:p w14:paraId="52E910EA" w14:textId="77777777" w:rsidR="001B4F00" w:rsidRPr="004B65CC" w:rsidRDefault="001B4F00" w:rsidP="004B65CC">
      <w:pPr>
        <w:spacing w:after="0"/>
        <w:rPr>
          <w:rFonts w:ascii="Times New Roman" w:eastAsia="Times New Roman" w:hAnsi="Times New Roman" w:cs="Arial"/>
          <w:sz w:val="24"/>
          <w:szCs w:val="24"/>
          <w:lang w:val="en-US"/>
        </w:rPr>
      </w:pPr>
    </w:p>
    <w:p w14:paraId="2309C9F4" w14:textId="77777777" w:rsidR="001B4F00" w:rsidRPr="00C63961" w:rsidRDefault="001B4F00" w:rsidP="001B4F00">
      <w:pPr>
        <w:spacing w:after="0" w:line="240" w:lineRule="auto"/>
        <w:rPr>
          <w:rFonts w:ascii="Times New Roman" w:eastAsia="Times New Roman" w:hAnsi="Times New Roman" w:cs="Arial"/>
          <w:i/>
          <w:iCs/>
          <w:sz w:val="24"/>
          <w:szCs w:val="24"/>
          <w:lang w:val="en-US"/>
        </w:rPr>
      </w:pPr>
    </w:p>
    <w:p w14:paraId="1239777A" w14:textId="77777777" w:rsidR="00640137" w:rsidRPr="00F64682" w:rsidRDefault="00640137" w:rsidP="00640137">
      <w:pPr>
        <w:spacing w:after="0" w:line="240" w:lineRule="auto"/>
        <w:rPr>
          <w:highlight w:val="yellow"/>
        </w:rPr>
      </w:pPr>
    </w:p>
    <w:p w14:paraId="41A94BA0" w14:textId="77777777" w:rsidR="00640137" w:rsidRPr="00303007" w:rsidRDefault="00640137" w:rsidP="00640137">
      <w:pPr>
        <w:pStyle w:val="ListNumber"/>
        <w:numPr>
          <w:ilvl w:val="0"/>
          <w:numId w:val="0"/>
        </w:numPr>
        <w:spacing w:after="0" w:line="240" w:lineRule="auto"/>
        <w:ind w:left="369" w:hanging="369"/>
        <w:rPr>
          <w:highlight w:val="yellow"/>
        </w:rPr>
      </w:pPr>
    </w:p>
    <w:p w14:paraId="6FD02CA6" w14:textId="77777777" w:rsidR="00640137" w:rsidRPr="00303007" w:rsidRDefault="00640137" w:rsidP="00640137">
      <w:pPr>
        <w:pStyle w:val="ListNumber"/>
        <w:numPr>
          <w:ilvl w:val="0"/>
          <w:numId w:val="0"/>
        </w:numPr>
        <w:spacing w:after="120"/>
        <w:jc w:val="center"/>
        <w:rPr>
          <w:rFonts w:cs="Arial"/>
          <w:b/>
          <w:bCs/>
        </w:rPr>
        <w:sectPr w:rsidR="00640137" w:rsidRPr="00303007" w:rsidSect="00C325B9">
          <w:headerReference w:type="first" r:id="rId14"/>
          <w:pgSz w:w="11906" w:h="16838"/>
          <w:pgMar w:top="1134" w:right="1418" w:bottom="1134" w:left="1418" w:header="425" w:footer="425" w:gutter="0"/>
          <w:pgNumType w:start="1"/>
          <w:cols w:space="708"/>
          <w:titlePg/>
          <w:docGrid w:linePitch="360"/>
        </w:sectPr>
      </w:pPr>
    </w:p>
    <w:p w14:paraId="204DC5F5" w14:textId="30E1D04C" w:rsidR="00640137" w:rsidRDefault="00640137" w:rsidP="00640137">
      <w:pPr>
        <w:tabs>
          <w:tab w:val="left" w:pos="284"/>
        </w:tabs>
        <w:spacing w:after="0" w:line="240" w:lineRule="auto"/>
        <w:jc w:val="right"/>
        <w:rPr>
          <w:rFonts w:cs="Arial"/>
          <w:b/>
          <w:sz w:val="20"/>
          <w:szCs w:val="20"/>
        </w:rPr>
      </w:pPr>
      <w:r w:rsidRPr="0012747E">
        <w:rPr>
          <w:rFonts w:cs="Arial"/>
          <w:b/>
          <w:sz w:val="20"/>
          <w:szCs w:val="20"/>
        </w:rPr>
        <w:lastRenderedPageBreak/>
        <w:t>Attachment 2</w:t>
      </w:r>
    </w:p>
    <w:p w14:paraId="62AFFFF9" w14:textId="77777777" w:rsidR="00640137" w:rsidRPr="00705A6C" w:rsidRDefault="00640137" w:rsidP="00640137">
      <w:pPr>
        <w:tabs>
          <w:tab w:val="left" w:pos="284"/>
        </w:tabs>
        <w:spacing w:after="0" w:line="240" w:lineRule="auto"/>
        <w:jc w:val="right"/>
        <w:rPr>
          <w:rFonts w:cs="Arial"/>
          <w:b/>
          <w:sz w:val="20"/>
          <w:szCs w:val="20"/>
        </w:rPr>
      </w:pPr>
    </w:p>
    <w:p w14:paraId="7C7B712E" w14:textId="77777777" w:rsidR="00EC2D13" w:rsidRDefault="00EC2D13" w:rsidP="00EC2D13">
      <w:pPr>
        <w:pStyle w:val="Default"/>
        <w:spacing w:after="120"/>
        <w:rPr>
          <w:b/>
        </w:rPr>
      </w:pPr>
      <w:r w:rsidRPr="00C47478">
        <w:rPr>
          <w:b/>
          <w:bCs/>
        </w:rPr>
        <w:t xml:space="preserve">CITES </w:t>
      </w:r>
      <w:r w:rsidRPr="003C795E">
        <w:rPr>
          <w:b/>
        </w:rPr>
        <w:t>Non-</w:t>
      </w:r>
      <w:r>
        <w:rPr>
          <w:b/>
        </w:rPr>
        <w:t>D</w:t>
      </w:r>
      <w:r w:rsidRPr="003C795E">
        <w:rPr>
          <w:b/>
        </w:rPr>
        <w:t xml:space="preserve">etriment </w:t>
      </w:r>
      <w:r>
        <w:rPr>
          <w:b/>
        </w:rPr>
        <w:t>F</w:t>
      </w:r>
      <w:r w:rsidRPr="003C795E">
        <w:rPr>
          <w:b/>
        </w:rPr>
        <w:t>indings</w:t>
      </w:r>
      <w:r>
        <w:rPr>
          <w:b/>
        </w:rPr>
        <w:t xml:space="preserve"> </w:t>
      </w:r>
      <w:r w:rsidRPr="000F14A2">
        <w:rPr>
          <w:b/>
        </w:rPr>
        <w:t xml:space="preserve">in </w:t>
      </w:r>
      <w:r>
        <w:rPr>
          <w:b/>
        </w:rPr>
        <w:t>c</w:t>
      </w:r>
      <w:r w:rsidRPr="000F14A2">
        <w:rPr>
          <w:b/>
        </w:rPr>
        <w:t xml:space="preserve">ommercial </w:t>
      </w:r>
      <w:r>
        <w:rPr>
          <w:b/>
        </w:rPr>
        <w:t>f</w:t>
      </w:r>
      <w:r w:rsidRPr="000F14A2">
        <w:rPr>
          <w:b/>
        </w:rPr>
        <w:t>isheries</w:t>
      </w:r>
    </w:p>
    <w:p w14:paraId="26B1E3C1" w14:textId="77777777" w:rsidR="00EC2D13" w:rsidRPr="003C68F0" w:rsidRDefault="00EC2D13" w:rsidP="00EC2D13">
      <w:pPr>
        <w:autoSpaceDE w:val="0"/>
        <w:autoSpaceDN w:val="0"/>
        <w:adjustRightInd w:val="0"/>
        <w:spacing w:after="0" w:line="240" w:lineRule="auto"/>
        <w:rPr>
          <w:rFonts w:cstheme="minorHAnsi"/>
          <w:color w:val="000000"/>
        </w:rPr>
      </w:pPr>
      <w:r w:rsidRPr="000F14A2">
        <w:rPr>
          <w:rFonts w:ascii="Calibri" w:hAnsi="Calibri" w:cs="Calibri"/>
          <w:color w:val="000000"/>
        </w:rPr>
        <w:t xml:space="preserve">The Convention on International Trade in Endangered Species (CITES) is a binding international agreement, which was ratified by Australia in 1976. The purpose of CITES is to prevent international trade from driving </w:t>
      </w:r>
      <w:r w:rsidRPr="003C68F0">
        <w:rPr>
          <w:rFonts w:cstheme="minorHAnsi"/>
          <w:color w:val="000000"/>
        </w:rPr>
        <w:t xml:space="preserve">unsustainable population decline in species listed on the Convention’s three appendices. </w:t>
      </w:r>
    </w:p>
    <w:p w14:paraId="117B2846" w14:textId="77777777" w:rsidR="00EC2D13" w:rsidRPr="003C68F0" w:rsidRDefault="00EC2D13" w:rsidP="00EC2D13">
      <w:pPr>
        <w:autoSpaceDE w:val="0"/>
        <w:autoSpaceDN w:val="0"/>
        <w:adjustRightInd w:val="0"/>
        <w:spacing w:after="0" w:line="240" w:lineRule="auto"/>
        <w:rPr>
          <w:rFonts w:ascii="Calibri" w:hAnsi="Calibri" w:cs="Calibri"/>
          <w:color w:val="000000"/>
        </w:rPr>
      </w:pPr>
    </w:p>
    <w:p w14:paraId="3CC4D202" w14:textId="77777777" w:rsidR="00EC2D13" w:rsidRPr="003C68F0" w:rsidRDefault="00EC2D13" w:rsidP="00EC2D13">
      <w:pPr>
        <w:autoSpaceDE w:val="0"/>
        <w:autoSpaceDN w:val="0"/>
        <w:adjustRightInd w:val="0"/>
        <w:spacing w:after="0" w:line="240" w:lineRule="auto"/>
        <w:rPr>
          <w:rFonts w:ascii="Calibri" w:hAnsi="Calibri" w:cs="Calibri"/>
          <w:color w:val="000000"/>
        </w:rPr>
      </w:pPr>
      <w:r w:rsidRPr="003C68F0">
        <w:rPr>
          <w:rFonts w:ascii="Calibri" w:hAnsi="Calibri" w:cs="Calibri"/>
          <w:color w:val="000000"/>
        </w:rPr>
        <w:t>There are three levels of CITES listing:</w:t>
      </w:r>
    </w:p>
    <w:p w14:paraId="65B962A0" w14:textId="77777777" w:rsidR="00EC2D13" w:rsidRPr="003C68F0" w:rsidRDefault="00EC2D13" w:rsidP="00EC2D13">
      <w:pPr>
        <w:pStyle w:val="ListBullet"/>
        <w:numPr>
          <w:ilvl w:val="0"/>
          <w:numId w:val="46"/>
        </w:numPr>
        <w:autoSpaceDE w:val="0"/>
        <w:autoSpaceDN w:val="0"/>
        <w:adjustRightInd w:val="0"/>
        <w:spacing w:after="81" w:line="240" w:lineRule="auto"/>
        <w:rPr>
          <w:rFonts w:ascii="Calibri" w:eastAsiaTheme="minorHAnsi" w:hAnsi="Calibri" w:cs="Calibri"/>
          <w:color w:val="000000"/>
        </w:rPr>
      </w:pPr>
      <w:r w:rsidRPr="003C68F0">
        <w:rPr>
          <w:rFonts w:ascii="Calibri" w:eastAsiaTheme="minorHAnsi" w:hAnsi="Calibri" w:cs="Calibri"/>
          <w:color w:val="000000"/>
        </w:rPr>
        <w:t>Appendix I - for species threatened with extinction. CITES prohibits international trade of Appendix I species except for strictly controlled non-commercial purposes, such as scientific research.</w:t>
      </w:r>
      <w:r>
        <w:rPr>
          <w:rFonts w:ascii="Calibri" w:eastAsiaTheme="minorHAnsi" w:hAnsi="Calibri" w:cs="Calibri"/>
          <w:color w:val="000000"/>
        </w:rPr>
        <w:t xml:space="preserve"> </w:t>
      </w:r>
    </w:p>
    <w:p w14:paraId="14099468" w14:textId="77777777" w:rsidR="00EC2D13" w:rsidRPr="003C68F0" w:rsidRDefault="00EC2D13" w:rsidP="00EC2D13">
      <w:pPr>
        <w:pStyle w:val="ListBullet"/>
        <w:numPr>
          <w:ilvl w:val="0"/>
          <w:numId w:val="46"/>
        </w:numPr>
        <w:autoSpaceDE w:val="0"/>
        <w:autoSpaceDN w:val="0"/>
        <w:adjustRightInd w:val="0"/>
        <w:spacing w:after="81" w:line="240" w:lineRule="auto"/>
        <w:rPr>
          <w:rFonts w:ascii="Calibri" w:eastAsiaTheme="minorHAnsi" w:hAnsi="Calibri" w:cs="Calibri"/>
          <w:color w:val="000000"/>
        </w:rPr>
      </w:pPr>
      <w:r w:rsidRPr="003C68F0">
        <w:rPr>
          <w:rFonts w:ascii="Calibri" w:eastAsiaTheme="minorHAnsi" w:hAnsi="Calibri" w:cs="Calibri"/>
          <w:color w:val="000000"/>
        </w:rPr>
        <w:t>Appendix II - for species not currently threatened with extinction, but which may become so if harvest is not carefully controlled. CITES allows some limited international trade of these species under very tight rules and controls. CITES permits are required for all exports of Appendix II species.</w:t>
      </w:r>
    </w:p>
    <w:p w14:paraId="4E8F0C0F" w14:textId="77777777" w:rsidR="00EC2D13" w:rsidRPr="003C68F0" w:rsidRDefault="00EC2D13" w:rsidP="00EC2D13">
      <w:pPr>
        <w:pStyle w:val="ListBullet"/>
        <w:numPr>
          <w:ilvl w:val="0"/>
          <w:numId w:val="46"/>
        </w:numPr>
        <w:autoSpaceDE w:val="0"/>
        <w:autoSpaceDN w:val="0"/>
        <w:adjustRightInd w:val="0"/>
        <w:spacing w:after="81" w:line="240" w:lineRule="auto"/>
        <w:rPr>
          <w:rFonts w:ascii="Calibri" w:eastAsiaTheme="minorHAnsi" w:hAnsi="Calibri" w:cs="Calibri"/>
          <w:color w:val="000000"/>
        </w:rPr>
      </w:pPr>
      <w:r w:rsidRPr="003C68F0">
        <w:rPr>
          <w:rFonts w:ascii="Calibri" w:eastAsiaTheme="minorHAnsi" w:hAnsi="Calibri" w:cs="Calibri"/>
          <w:color w:val="000000"/>
        </w:rPr>
        <w:t>Appendix III - for species that may be threatened locally within certain countries. International trade in these species is only allowed with presentation of appropriate ‘country of origin’ certification. This assists countries with locally threatened populations to better manage trade of these species.</w:t>
      </w:r>
    </w:p>
    <w:p w14:paraId="60CE70B7" w14:textId="77777777" w:rsidR="00EC2D13" w:rsidRPr="005E19F7" w:rsidRDefault="00EC2D13" w:rsidP="00EC2D13">
      <w:pPr>
        <w:autoSpaceDE w:val="0"/>
        <w:autoSpaceDN w:val="0"/>
        <w:adjustRightInd w:val="0"/>
        <w:spacing w:after="0" w:line="240" w:lineRule="auto"/>
        <w:rPr>
          <w:rFonts w:cstheme="minorHAnsi"/>
          <w:color w:val="000000"/>
        </w:rPr>
      </w:pPr>
    </w:p>
    <w:p w14:paraId="6AC71171" w14:textId="123E83A3" w:rsidR="00EC2D13" w:rsidRDefault="00EC2D13" w:rsidP="00EC2D13">
      <w:pPr>
        <w:autoSpaceDE w:val="0"/>
        <w:autoSpaceDN w:val="0"/>
        <w:adjustRightInd w:val="0"/>
        <w:spacing w:after="0" w:line="240" w:lineRule="auto"/>
        <w:rPr>
          <w:rFonts w:ascii="Calibri" w:hAnsi="Calibri" w:cs="Calibri"/>
          <w:color w:val="000000"/>
        </w:rPr>
      </w:pPr>
      <w:r w:rsidRPr="000F14A2">
        <w:rPr>
          <w:rFonts w:ascii="Calibri" w:hAnsi="Calibri" w:cs="Calibri"/>
          <w:color w:val="000000"/>
        </w:rPr>
        <w:t>CITES requires the exporting Party’s Scientific Authority to make a positive non-detriment finding (NDF) prior to export of CITES specimens</w:t>
      </w:r>
      <w:r>
        <w:rPr>
          <w:rFonts w:ascii="Calibri" w:hAnsi="Calibri" w:cs="Calibri"/>
          <w:color w:val="000000"/>
        </w:rPr>
        <w:t xml:space="preserve"> listed in Appendix I and II</w:t>
      </w:r>
      <w:r w:rsidRPr="000F14A2">
        <w:rPr>
          <w:rFonts w:ascii="Calibri" w:hAnsi="Calibri" w:cs="Calibri"/>
          <w:color w:val="000000"/>
        </w:rPr>
        <w:t>.</w:t>
      </w:r>
      <w:r w:rsidRPr="006A037A">
        <w:rPr>
          <w:rFonts w:ascii="Calibri" w:hAnsi="Calibri" w:cs="Calibri"/>
          <w:color w:val="000000"/>
        </w:rPr>
        <w:t xml:space="preserve"> </w:t>
      </w:r>
      <w:r w:rsidRPr="0005765E">
        <w:rPr>
          <w:rFonts w:ascii="Calibri" w:hAnsi="Calibri" w:cs="Calibri"/>
          <w:color w:val="000000"/>
        </w:rPr>
        <w:t xml:space="preserve">Australia’s CITES Scientific Authority </w:t>
      </w:r>
      <w:r w:rsidR="00BC1145" w:rsidRPr="0005765E">
        <w:rPr>
          <w:rFonts w:ascii="Calibri" w:hAnsi="Calibri" w:cs="Calibri"/>
          <w:color w:val="000000"/>
        </w:rPr>
        <w:t>is in</w:t>
      </w:r>
      <w:r>
        <w:rPr>
          <w:rFonts w:ascii="Calibri" w:hAnsi="Calibri" w:cs="Calibri"/>
          <w:color w:val="000000"/>
        </w:rPr>
        <w:t xml:space="preserve"> the Wildlife Trade Office.</w:t>
      </w:r>
    </w:p>
    <w:p w14:paraId="71F50AA4" w14:textId="77777777" w:rsidR="00EC2D13" w:rsidRPr="000F14A2" w:rsidRDefault="00EC2D13" w:rsidP="00EC2D13">
      <w:pPr>
        <w:autoSpaceDE w:val="0"/>
        <w:autoSpaceDN w:val="0"/>
        <w:adjustRightInd w:val="0"/>
        <w:spacing w:after="0" w:line="240" w:lineRule="auto"/>
        <w:rPr>
          <w:rFonts w:ascii="Calibri" w:hAnsi="Calibri" w:cs="Calibri"/>
          <w:color w:val="000000"/>
        </w:rPr>
      </w:pPr>
    </w:p>
    <w:p w14:paraId="60A639AD" w14:textId="77777777" w:rsidR="00EC2D13" w:rsidRDefault="00EC2D13" w:rsidP="00EC2D13">
      <w:pPr>
        <w:autoSpaceDE w:val="0"/>
        <w:autoSpaceDN w:val="0"/>
        <w:adjustRightInd w:val="0"/>
        <w:spacing w:after="0" w:line="240" w:lineRule="auto"/>
        <w:rPr>
          <w:rFonts w:ascii="Calibri" w:hAnsi="Calibri" w:cs="Calibri"/>
          <w:i/>
          <w:iCs/>
          <w:color w:val="000000"/>
        </w:rPr>
      </w:pPr>
      <w:r w:rsidRPr="000F14A2">
        <w:rPr>
          <w:rFonts w:ascii="Calibri" w:hAnsi="Calibri" w:cs="Calibri"/>
          <w:color w:val="000000"/>
        </w:rPr>
        <w:t xml:space="preserve">A positive NDF is made when </w:t>
      </w:r>
      <w:r w:rsidRPr="000F14A2">
        <w:rPr>
          <w:rFonts w:ascii="Calibri" w:hAnsi="Calibri" w:cs="Calibri"/>
          <w:i/>
          <w:iCs/>
          <w:color w:val="000000"/>
        </w:rPr>
        <w:t xml:space="preserve">"the sum of all harvests is sustainable in that it does not result in unplanned range reduction, or long term population decline, or otherwise change the population in a way that might be expected to lead to the species being eligible for inclusion in Appendix I". </w:t>
      </w:r>
    </w:p>
    <w:p w14:paraId="63FF84AD" w14:textId="77777777" w:rsidR="00EC2D13" w:rsidRDefault="00EC2D13" w:rsidP="00EC2D13">
      <w:pPr>
        <w:autoSpaceDE w:val="0"/>
        <w:autoSpaceDN w:val="0"/>
        <w:adjustRightInd w:val="0"/>
        <w:spacing w:after="0" w:line="240" w:lineRule="auto"/>
        <w:rPr>
          <w:rFonts w:ascii="Calibri" w:hAnsi="Calibri" w:cs="Calibri"/>
          <w:i/>
          <w:iCs/>
          <w:color w:val="000000"/>
        </w:rPr>
      </w:pPr>
    </w:p>
    <w:p w14:paraId="20A1BE5F" w14:textId="77777777" w:rsidR="00EC2D13" w:rsidRDefault="00EC2D13" w:rsidP="00EC2D13">
      <w:pPr>
        <w:autoSpaceDE w:val="0"/>
        <w:autoSpaceDN w:val="0"/>
        <w:adjustRightInd w:val="0"/>
        <w:spacing w:after="0" w:line="240" w:lineRule="auto"/>
        <w:rPr>
          <w:rFonts w:ascii="Calibri" w:hAnsi="Calibri" w:cs="Calibri"/>
          <w:color w:val="000000"/>
        </w:rPr>
      </w:pPr>
      <w:r w:rsidRPr="000F14A2">
        <w:rPr>
          <w:rFonts w:ascii="Calibri" w:hAnsi="Calibri" w:cs="Calibri"/>
          <w:color w:val="000000"/>
        </w:rPr>
        <w:t xml:space="preserve">To ensure that fisheries declared as approved Wildlife Trade Operations (WTO) under the </w:t>
      </w:r>
      <w:r w:rsidRPr="000F14A2">
        <w:rPr>
          <w:rFonts w:ascii="Calibri" w:hAnsi="Calibri" w:cs="Calibri"/>
          <w:i/>
          <w:iCs/>
          <w:color w:val="000000"/>
        </w:rPr>
        <w:t xml:space="preserve">Environment Protection and Biodiversity Conservation Act 1999 </w:t>
      </w:r>
      <w:r w:rsidRPr="000F14A2">
        <w:rPr>
          <w:rFonts w:ascii="Calibri" w:hAnsi="Calibri" w:cs="Calibri"/>
          <w:color w:val="000000"/>
        </w:rPr>
        <w:t xml:space="preserve">(EPBC Act) continue to be able to trade internationally in CITES-listed marine species, NDFs </w:t>
      </w:r>
      <w:r>
        <w:rPr>
          <w:rFonts w:ascii="Calibri" w:hAnsi="Calibri" w:cs="Calibri"/>
          <w:color w:val="000000"/>
        </w:rPr>
        <w:t xml:space="preserve">need to be </w:t>
      </w:r>
      <w:r w:rsidRPr="000F14A2">
        <w:rPr>
          <w:rFonts w:ascii="Calibri" w:hAnsi="Calibri" w:cs="Calibri"/>
          <w:color w:val="000000"/>
        </w:rPr>
        <w:t xml:space="preserve">based on a level of information that meets </w:t>
      </w:r>
      <w:r>
        <w:rPr>
          <w:rFonts w:ascii="Calibri" w:hAnsi="Calibri" w:cs="Calibri"/>
          <w:color w:val="000000"/>
        </w:rPr>
        <w:t xml:space="preserve">international standards, </w:t>
      </w:r>
      <w:r>
        <w:t>consistent with</w:t>
      </w:r>
      <w:r w:rsidRPr="007135FE">
        <w:t xml:space="preserve"> guidance agreed </w:t>
      </w:r>
      <w:r>
        <w:t xml:space="preserve">by resolution </w:t>
      </w:r>
      <w:r w:rsidRPr="007135FE">
        <w:t xml:space="preserve">by CITES </w:t>
      </w:r>
      <w:r>
        <w:t>Parties</w:t>
      </w:r>
      <w:r w:rsidRPr="007135FE">
        <w:t xml:space="preserve"> (</w:t>
      </w:r>
      <w:hyperlink r:id="rId15" w:history="1">
        <w:r w:rsidRPr="009B2839">
          <w:rPr>
            <w:rStyle w:val="Hyperlink"/>
          </w:rPr>
          <w:t>https://cites.org/sites/default/files/document/E-Res-16-07-R17_0.pdf</w:t>
        </w:r>
      </w:hyperlink>
      <w:r w:rsidRPr="007135FE">
        <w:t>).</w:t>
      </w:r>
    </w:p>
    <w:p w14:paraId="78110DA9" w14:textId="77777777" w:rsidR="00EC2D13" w:rsidRDefault="00EC2D13" w:rsidP="00EC2D13">
      <w:pPr>
        <w:autoSpaceDE w:val="0"/>
        <w:autoSpaceDN w:val="0"/>
        <w:adjustRightInd w:val="0"/>
        <w:spacing w:after="0" w:line="240" w:lineRule="auto"/>
        <w:rPr>
          <w:rFonts w:ascii="Calibri" w:hAnsi="Calibri" w:cs="Calibri"/>
          <w:i/>
          <w:iCs/>
          <w:color w:val="000000"/>
        </w:rPr>
      </w:pPr>
    </w:p>
    <w:p w14:paraId="414613B7" w14:textId="034CB107" w:rsidR="00EC2D13" w:rsidRPr="000F14A2" w:rsidRDefault="00EC2D13" w:rsidP="00EC2D13">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Consistent with Resolution Conf. 16.7 Rev CoP 17, </w:t>
      </w:r>
      <w:r w:rsidRPr="000F14A2">
        <w:rPr>
          <w:rFonts w:ascii="Calibri" w:hAnsi="Calibri" w:cs="Calibri"/>
          <w:color w:val="000000"/>
        </w:rPr>
        <w:t xml:space="preserve">Australia’s CITES Scientific Authority has taken a risk-based approach to the information requirements for making NDFs. Under this approach, the level of information required to inform </w:t>
      </w:r>
      <w:r w:rsidR="00BC1145" w:rsidRPr="000F14A2">
        <w:rPr>
          <w:rFonts w:ascii="Calibri" w:hAnsi="Calibri" w:cs="Calibri"/>
          <w:color w:val="000000"/>
        </w:rPr>
        <w:t>an</w:t>
      </w:r>
      <w:r w:rsidRPr="000F14A2">
        <w:rPr>
          <w:rFonts w:ascii="Calibri" w:hAnsi="Calibri" w:cs="Calibri"/>
          <w:color w:val="000000"/>
        </w:rPr>
        <w:t xml:space="preserve"> NDF will vary depending on the biological vulnerability of the species, its global and national status, the risks posed to the species, and the degree of certainty associated with these factors. The standard information fields for NDFs include: </w:t>
      </w:r>
    </w:p>
    <w:p w14:paraId="386F2F1E" w14:textId="77777777" w:rsidR="00EC2D13" w:rsidRDefault="00EC2D13" w:rsidP="00EC2D13">
      <w:pPr>
        <w:pStyle w:val="ListParagraph"/>
        <w:numPr>
          <w:ilvl w:val="0"/>
          <w:numId w:val="46"/>
        </w:numPr>
        <w:autoSpaceDE w:val="0"/>
        <w:autoSpaceDN w:val="0"/>
        <w:adjustRightInd w:val="0"/>
        <w:spacing w:after="81" w:line="240" w:lineRule="auto"/>
        <w:contextualSpacing/>
        <w:rPr>
          <w:rFonts w:ascii="Calibri" w:hAnsi="Calibri" w:cs="Calibri"/>
          <w:color w:val="000000"/>
        </w:rPr>
      </w:pPr>
      <w:r w:rsidRPr="007E054A">
        <w:rPr>
          <w:rFonts w:ascii="Calibri" w:hAnsi="Calibri" w:cs="Calibri"/>
          <w:color w:val="000000"/>
        </w:rPr>
        <w:t xml:space="preserve">species </w:t>
      </w:r>
      <w:proofErr w:type="gramStart"/>
      <w:r w:rsidRPr="007E054A">
        <w:rPr>
          <w:rFonts w:ascii="Calibri" w:hAnsi="Calibri" w:cs="Calibri"/>
          <w:color w:val="000000"/>
        </w:rPr>
        <w:t>biology;</w:t>
      </w:r>
      <w:proofErr w:type="gramEnd"/>
      <w:r w:rsidRPr="007E054A">
        <w:rPr>
          <w:rFonts w:ascii="Calibri" w:hAnsi="Calibri" w:cs="Calibri"/>
          <w:color w:val="000000"/>
        </w:rPr>
        <w:t xml:space="preserve"> </w:t>
      </w:r>
    </w:p>
    <w:p w14:paraId="1C6F715C" w14:textId="77777777" w:rsidR="00EC2D13" w:rsidRDefault="00EC2D13" w:rsidP="00EC2D13">
      <w:pPr>
        <w:pStyle w:val="ListParagraph"/>
        <w:numPr>
          <w:ilvl w:val="0"/>
          <w:numId w:val="46"/>
        </w:numPr>
        <w:autoSpaceDE w:val="0"/>
        <w:autoSpaceDN w:val="0"/>
        <w:adjustRightInd w:val="0"/>
        <w:spacing w:after="81" w:line="240" w:lineRule="auto"/>
        <w:contextualSpacing/>
        <w:rPr>
          <w:rFonts w:ascii="Calibri" w:hAnsi="Calibri" w:cs="Calibri"/>
          <w:color w:val="000000"/>
        </w:rPr>
      </w:pPr>
      <w:r w:rsidRPr="007E054A">
        <w:rPr>
          <w:rFonts w:ascii="Calibri" w:hAnsi="Calibri" w:cs="Calibri"/>
          <w:color w:val="000000"/>
        </w:rPr>
        <w:t xml:space="preserve">species life history </w:t>
      </w:r>
      <w:proofErr w:type="gramStart"/>
      <w:r w:rsidRPr="007E054A">
        <w:rPr>
          <w:rFonts w:ascii="Calibri" w:hAnsi="Calibri" w:cs="Calibri"/>
          <w:color w:val="000000"/>
        </w:rPr>
        <w:t>characteristics;</w:t>
      </w:r>
      <w:proofErr w:type="gramEnd"/>
      <w:r w:rsidRPr="007E054A">
        <w:rPr>
          <w:rFonts w:ascii="Calibri" w:hAnsi="Calibri" w:cs="Calibri"/>
          <w:color w:val="000000"/>
        </w:rPr>
        <w:t xml:space="preserve"> </w:t>
      </w:r>
    </w:p>
    <w:p w14:paraId="7A5C99A1" w14:textId="77777777" w:rsidR="00EC2D13" w:rsidRDefault="00EC2D13" w:rsidP="00EC2D13">
      <w:pPr>
        <w:pStyle w:val="ListParagraph"/>
        <w:numPr>
          <w:ilvl w:val="0"/>
          <w:numId w:val="46"/>
        </w:numPr>
        <w:autoSpaceDE w:val="0"/>
        <w:autoSpaceDN w:val="0"/>
        <w:adjustRightInd w:val="0"/>
        <w:spacing w:after="81" w:line="240" w:lineRule="auto"/>
        <w:contextualSpacing/>
        <w:rPr>
          <w:rFonts w:ascii="Calibri" w:hAnsi="Calibri" w:cs="Calibri"/>
          <w:color w:val="000000"/>
        </w:rPr>
      </w:pPr>
      <w:r w:rsidRPr="007E054A">
        <w:rPr>
          <w:rFonts w:ascii="Calibri" w:hAnsi="Calibri" w:cs="Calibri"/>
          <w:color w:val="000000"/>
        </w:rPr>
        <w:t xml:space="preserve">species range – historic and </w:t>
      </w:r>
      <w:proofErr w:type="gramStart"/>
      <w:r w:rsidRPr="007E054A">
        <w:rPr>
          <w:rFonts w:ascii="Calibri" w:hAnsi="Calibri" w:cs="Calibri"/>
          <w:color w:val="000000"/>
        </w:rPr>
        <w:t>current;</w:t>
      </w:r>
      <w:proofErr w:type="gramEnd"/>
      <w:r w:rsidRPr="007E054A">
        <w:rPr>
          <w:rFonts w:ascii="Calibri" w:hAnsi="Calibri" w:cs="Calibri"/>
          <w:color w:val="000000"/>
        </w:rPr>
        <w:t xml:space="preserve"> </w:t>
      </w:r>
    </w:p>
    <w:p w14:paraId="4D7EB311" w14:textId="77777777" w:rsidR="00EC2D13" w:rsidRDefault="00EC2D13" w:rsidP="00EC2D13">
      <w:pPr>
        <w:pStyle w:val="ListParagraph"/>
        <w:numPr>
          <w:ilvl w:val="0"/>
          <w:numId w:val="46"/>
        </w:numPr>
        <w:autoSpaceDE w:val="0"/>
        <w:autoSpaceDN w:val="0"/>
        <w:adjustRightInd w:val="0"/>
        <w:spacing w:after="81" w:line="240" w:lineRule="auto"/>
        <w:contextualSpacing/>
        <w:rPr>
          <w:rFonts w:ascii="Calibri" w:hAnsi="Calibri" w:cs="Calibri"/>
          <w:color w:val="000000"/>
        </w:rPr>
      </w:pPr>
      <w:r w:rsidRPr="007E054A">
        <w:rPr>
          <w:rFonts w:ascii="Calibri" w:hAnsi="Calibri" w:cs="Calibri"/>
          <w:color w:val="000000"/>
        </w:rPr>
        <w:t>population structure, status and trends (nationally and in the harvest area</w:t>
      </w:r>
      <w:proofErr w:type="gramStart"/>
      <w:r w:rsidRPr="007E054A">
        <w:rPr>
          <w:rFonts w:ascii="Calibri" w:hAnsi="Calibri" w:cs="Calibri"/>
          <w:color w:val="000000"/>
        </w:rPr>
        <w:t>);</w:t>
      </w:r>
      <w:proofErr w:type="gramEnd"/>
      <w:r w:rsidRPr="007E054A">
        <w:rPr>
          <w:rFonts w:ascii="Calibri" w:hAnsi="Calibri" w:cs="Calibri"/>
          <w:color w:val="000000"/>
        </w:rPr>
        <w:t xml:space="preserve"> </w:t>
      </w:r>
    </w:p>
    <w:p w14:paraId="10A87D81" w14:textId="77777777" w:rsidR="00EC2D13" w:rsidRDefault="00EC2D13" w:rsidP="00EC2D13">
      <w:pPr>
        <w:pStyle w:val="ListParagraph"/>
        <w:numPr>
          <w:ilvl w:val="0"/>
          <w:numId w:val="46"/>
        </w:numPr>
        <w:autoSpaceDE w:val="0"/>
        <w:autoSpaceDN w:val="0"/>
        <w:adjustRightInd w:val="0"/>
        <w:spacing w:after="81" w:line="240" w:lineRule="auto"/>
        <w:contextualSpacing/>
        <w:rPr>
          <w:rFonts w:ascii="Calibri" w:hAnsi="Calibri" w:cs="Calibri"/>
          <w:color w:val="000000"/>
        </w:rPr>
      </w:pPr>
      <w:proofErr w:type="gramStart"/>
      <w:r w:rsidRPr="007E054A">
        <w:rPr>
          <w:rFonts w:ascii="Calibri" w:hAnsi="Calibri" w:cs="Calibri"/>
          <w:color w:val="000000"/>
        </w:rPr>
        <w:t>threats;</w:t>
      </w:r>
      <w:proofErr w:type="gramEnd"/>
      <w:r w:rsidRPr="007E054A">
        <w:rPr>
          <w:rFonts w:ascii="Calibri" w:hAnsi="Calibri" w:cs="Calibri"/>
          <w:color w:val="000000"/>
        </w:rPr>
        <w:t xml:space="preserve"> </w:t>
      </w:r>
    </w:p>
    <w:p w14:paraId="2AE367AD" w14:textId="77777777" w:rsidR="00EC2D13" w:rsidRDefault="00EC2D13" w:rsidP="00EC2D13">
      <w:pPr>
        <w:pStyle w:val="ListParagraph"/>
        <w:numPr>
          <w:ilvl w:val="0"/>
          <w:numId w:val="46"/>
        </w:numPr>
        <w:autoSpaceDE w:val="0"/>
        <w:autoSpaceDN w:val="0"/>
        <w:adjustRightInd w:val="0"/>
        <w:spacing w:after="81" w:line="240" w:lineRule="auto"/>
        <w:contextualSpacing/>
        <w:rPr>
          <w:rFonts w:ascii="Calibri" w:hAnsi="Calibri" w:cs="Calibri"/>
          <w:color w:val="000000"/>
        </w:rPr>
      </w:pPr>
      <w:r w:rsidRPr="007E054A">
        <w:rPr>
          <w:rFonts w:ascii="Calibri" w:hAnsi="Calibri" w:cs="Calibri"/>
          <w:color w:val="000000"/>
        </w:rPr>
        <w:t>species specific (or in some instances genus specific</w:t>
      </w:r>
      <w:r>
        <w:rPr>
          <w:rStyle w:val="FootnoteReference"/>
          <w:rFonts w:ascii="Calibri" w:hAnsi="Calibri" w:cs="Calibri"/>
          <w:color w:val="000000"/>
        </w:rPr>
        <w:footnoteReference w:id="2"/>
      </w:r>
      <w:r w:rsidRPr="007E054A">
        <w:rPr>
          <w:rFonts w:ascii="Calibri" w:hAnsi="Calibri" w:cs="Calibri"/>
          <w:color w:val="000000"/>
        </w:rPr>
        <w:t>) levels of harvest/ mortality from the fishery (historic and current</w:t>
      </w:r>
      <w:proofErr w:type="gramStart"/>
      <w:r w:rsidRPr="007E054A">
        <w:rPr>
          <w:rFonts w:ascii="Calibri" w:hAnsi="Calibri" w:cs="Calibri"/>
          <w:color w:val="000000"/>
        </w:rPr>
        <w:t>);</w:t>
      </w:r>
      <w:proofErr w:type="gramEnd"/>
      <w:r w:rsidRPr="007E054A">
        <w:rPr>
          <w:rFonts w:ascii="Calibri" w:hAnsi="Calibri" w:cs="Calibri"/>
          <w:color w:val="000000"/>
        </w:rPr>
        <w:t xml:space="preserve"> </w:t>
      </w:r>
    </w:p>
    <w:p w14:paraId="710D18F5" w14:textId="77777777" w:rsidR="00EC2D13" w:rsidRDefault="00EC2D13" w:rsidP="00EC2D13">
      <w:pPr>
        <w:pStyle w:val="ListParagraph"/>
        <w:numPr>
          <w:ilvl w:val="0"/>
          <w:numId w:val="46"/>
        </w:numPr>
        <w:autoSpaceDE w:val="0"/>
        <w:autoSpaceDN w:val="0"/>
        <w:adjustRightInd w:val="0"/>
        <w:spacing w:after="81" w:line="240" w:lineRule="auto"/>
        <w:contextualSpacing/>
        <w:rPr>
          <w:rFonts w:ascii="Calibri" w:hAnsi="Calibri" w:cs="Calibri"/>
          <w:color w:val="000000"/>
        </w:rPr>
      </w:pPr>
      <w:r w:rsidRPr="007E054A">
        <w:rPr>
          <w:rFonts w:ascii="Calibri" w:hAnsi="Calibri" w:cs="Calibri"/>
          <w:color w:val="000000"/>
        </w:rPr>
        <w:t>estimates of species specific (or in some instances genus specific</w:t>
      </w:r>
      <w:r w:rsidRPr="007E054A">
        <w:rPr>
          <w:rFonts w:ascii="Calibri" w:hAnsi="Calibri" w:cs="Calibri"/>
          <w:color w:val="000000"/>
          <w:sz w:val="14"/>
          <w:szCs w:val="14"/>
        </w:rPr>
        <w:t>1</w:t>
      </w:r>
      <w:r w:rsidRPr="007E054A">
        <w:rPr>
          <w:rFonts w:ascii="Calibri" w:hAnsi="Calibri" w:cs="Calibri"/>
          <w:color w:val="000000"/>
        </w:rPr>
        <w:t xml:space="preserve">) levels of harvest/mortality from </w:t>
      </w:r>
      <w:r w:rsidRPr="007E054A">
        <w:rPr>
          <w:rFonts w:ascii="Calibri" w:hAnsi="Calibri" w:cs="Calibri"/>
          <w:i/>
          <w:iCs/>
          <w:color w:val="000000"/>
        </w:rPr>
        <w:t xml:space="preserve">all sources </w:t>
      </w:r>
      <w:proofErr w:type="gramStart"/>
      <w:r w:rsidRPr="007E054A">
        <w:rPr>
          <w:rFonts w:ascii="Calibri" w:hAnsi="Calibri" w:cs="Calibri"/>
          <w:color w:val="000000"/>
        </w:rPr>
        <w:t>combined;</w:t>
      </w:r>
      <w:proofErr w:type="gramEnd"/>
      <w:r w:rsidRPr="007E054A">
        <w:rPr>
          <w:rFonts w:ascii="Calibri" w:hAnsi="Calibri" w:cs="Calibri"/>
          <w:color w:val="000000"/>
        </w:rPr>
        <w:t xml:space="preserve"> </w:t>
      </w:r>
    </w:p>
    <w:p w14:paraId="1E83694A" w14:textId="77777777" w:rsidR="00EC2D13" w:rsidRDefault="00EC2D13" w:rsidP="00EC2D13">
      <w:pPr>
        <w:pStyle w:val="ListParagraph"/>
        <w:numPr>
          <w:ilvl w:val="0"/>
          <w:numId w:val="46"/>
        </w:numPr>
        <w:autoSpaceDE w:val="0"/>
        <w:autoSpaceDN w:val="0"/>
        <w:adjustRightInd w:val="0"/>
        <w:spacing w:after="81" w:line="240" w:lineRule="auto"/>
        <w:contextualSpacing/>
        <w:rPr>
          <w:rFonts w:ascii="Calibri" w:hAnsi="Calibri" w:cs="Calibri"/>
          <w:color w:val="000000"/>
        </w:rPr>
      </w:pPr>
      <w:r w:rsidRPr="007E054A">
        <w:rPr>
          <w:rFonts w:ascii="Calibri" w:hAnsi="Calibri" w:cs="Calibri"/>
          <w:color w:val="000000"/>
        </w:rPr>
        <w:t xml:space="preserve">results of population </w:t>
      </w:r>
      <w:proofErr w:type="gramStart"/>
      <w:r w:rsidRPr="007E054A">
        <w:rPr>
          <w:rFonts w:ascii="Calibri" w:hAnsi="Calibri" w:cs="Calibri"/>
          <w:color w:val="000000"/>
        </w:rPr>
        <w:t>modelling;</w:t>
      </w:r>
      <w:proofErr w:type="gramEnd"/>
      <w:r w:rsidRPr="007E054A">
        <w:rPr>
          <w:rFonts w:ascii="Calibri" w:hAnsi="Calibri" w:cs="Calibri"/>
          <w:color w:val="000000"/>
        </w:rPr>
        <w:t xml:space="preserve"> </w:t>
      </w:r>
    </w:p>
    <w:p w14:paraId="326B0025" w14:textId="77777777" w:rsidR="00EC2D13" w:rsidRDefault="00EC2D13" w:rsidP="00EC2D13">
      <w:pPr>
        <w:pStyle w:val="ListParagraph"/>
        <w:numPr>
          <w:ilvl w:val="0"/>
          <w:numId w:val="46"/>
        </w:numPr>
        <w:autoSpaceDE w:val="0"/>
        <w:autoSpaceDN w:val="0"/>
        <w:adjustRightInd w:val="0"/>
        <w:spacing w:after="81" w:line="240" w:lineRule="auto"/>
        <w:contextualSpacing/>
        <w:rPr>
          <w:rFonts w:ascii="Calibri" w:hAnsi="Calibri" w:cs="Calibri"/>
          <w:color w:val="000000"/>
        </w:rPr>
      </w:pPr>
      <w:r w:rsidRPr="007E054A">
        <w:rPr>
          <w:rFonts w:ascii="Calibri" w:hAnsi="Calibri" w:cs="Calibri"/>
          <w:color w:val="000000"/>
        </w:rPr>
        <w:lastRenderedPageBreak/>
        <w:t xml:space="preserve">management measures currently in place and proposed, including consideration of rates of </w:t>
      </w:r>
      <w:proofErr w:type="gramStart"/>
      <w:r w:rsidRPr="007E054A">
        <w:rPr>
          <w:rFonts w:ascii="Calibri" w:hAnsi="Calibri" w:cs="Calibri"/>
          <w:color w:val="000000"/>
        </w:rPr>
        <w:t>compliance;</w:t>
      </w:r>
      <w:proofErr w:type="gramEnd"/>
      <w:r w:rsidRPr="007E054A">
        <w:rPr>
          <w:rFonts w:ascii="Calibri" w:hAnsi="Calibri" w:cs="Calibri"/>
          <w:color w:val="000000"/>
        </w:rPr>
        <w:t xml:space="preserve"> </w:t>
      </w:r>
    </w:p>
    <w:p w14:paraId="4DF15120" w14:textId="77777777" w:rsidR="00EC2D13" w:rsidRDefault="00EC2D13" w:rsidP="00EC2D13">
      <w:pPr>
        <w:pStyle w:val="ListParagraph"/>
        <w:numPr>
          <w:ilvl w:val="0"/>
          <w:numId w:val="46"/>
        </w:numPr>
        <w:autoSpaceDE w:val="0"/>
        <w:autoSpaceDN w:val="0"/>
        <w:adjustRightInd w:val="0"/>
        <w:spacing w:after="81" w:line="240" w:lineRule="auto"/>
        <w:contextualSpacing/>
        <w:rPr>
          <w:rFonts w:ascii="Calibri" w:hAnsi="Calibri" w:cs="Calibri"/>
          <w:color w:val="000000"/>
        </w:rPr>
      </w:pPr>
      <w:r w:rsidRPr="007E054A">
        <w:rPr>
          <w:rFonts w:ascii="Calibri" w:hAnsi="Calibri" w:cs="Calibri"/>
          <w:color w:val="000000"/>
        </w:rPr>
        <w:t xml:space="preserve">a </w:t>
      </w:r>
      <w:r w:rsidRPr="007E054A">
        <w:rPr>
          <w:rFonts w:ascii="Calibri" w:hAnsi="Calibri" w:cs="Calibri"/>
          <w:i/>
          <w:iCs/>
          <w:color w:val="000000"/>
        </w:rPr>
        <w:t xml:space="preserve">scientific </w:t>
      </w:r>
      <w:r w:rsidRPr="007E054A">
        <w:rPr>
          <w:rFonts w:ascii="Calibri" w:hAnsi="Calibri" w:cs="Calibri"/>
          <w:color w:val="000000"/>
        </w:rPr>
        <w:t xml:space="preserve">assessment of the level of harvest that is considered sustainable under the management regime taking into account all sources of </w:t>
      </w:r>
      <w:proofErr w:type="gramStart"/>
      <w:r w:rsidRPr="007E054A">
        <w:rPr>
          <w:rFonts w:ascii="Calibri" w:hAnsi="Calibri" w:cs="Calibri"/>
          <w:color w:val="000000"/>
        </w:rPr>
        <w:t>mortality;</w:t>
      </w:r>
      <w:proofErr w:type="gramEnd"/>
      <w:r w:rsidRPr="007E054A">
        <w:rPr>
          <w:rFonts w:ascii="Calibri" w:hAnsi="Calibri" w:cs="Calibri"/>
          <w:color w:val="000000"/>
        </w:rPr>
        <w:t xml:space="preserve"> </w:t>
      </w:r>
    </w:p>
    <w:p w14:paraId="3DC20F9E" w14:textId="77777777" w:rsidR="00EC2D13" w:rsidRDefault="00EC2D13" w:rsidP="00EC2D13">
      <w:pPr>
        <w:pStyle w:val="ListParagraph"/>
        <w:numPr>
          <w:ilvl w:val="0"/>
          <w:numId w:val="46"/>
        </w:numPr>
        <w:autoSpaceDE w:val="0"/>
        <w:autoSpaceDN w:val="0"/>
        <w:adjustRightInd w:val="0"/>
        <w:spacing w:after="81" w:line="240" w:lineRule="auto"/>
        <w:contextualSpacing/>
        <w:rPr>
          <w:rFonts w:ascii="Calibri" w:hAnsi="Calibri" w:cs="Calibri"/>
          <w:color w:val="000000"/>
        </w:rPr>
      </w:pPr>
      <w:r>
        <w:rPr>
          <w:rFonts w:ascii="Calibri" w:hAnsi="Calibri" w:cs="Calibri"/>
          <w:color w:val="000000"/>
        </w:rPr>
        <w:t xml:space="preserve">The ability of management measures to constrain harvest to the level assessed to be sustainable; and </w:t>
      </w:r>
    </w:p>
    <w:p w14:paraId="58DDF5D1" w14:textId="77777777" w:rsidR="00EC2D13" w:rsidRDefault="00EC2D13" w:rsidP="00EC2D13">
      <w:pPr>
        <w:pStyle w:val="ListParagraph"/>
        <w:numPr>
          <w:ilvl w:val="0"/>
          <w:numId w:val="46"/>
        </w:numPr>
        <w:autoSpaceDE w:val="0"/>
        <w:autoSpaceDN w:val="0"/>
        <w:adjustRightInd w:val="0"/>
        <w:spacing w:after="81" w:line="240" w:lineRule="auto"/>
        <w:contextualSpacing/>
        <w:rPr>
          <w:rFonts w:ascii="Calibri" w:hAnsi="Calibri" w:cs="Calibri"/>
          <w:color w:val="000000"/>
        </w:rPr>
      </w:pPr>
      <w:r w:rsidRPr="007E054A">
        <w:rPr>
          <w:rFonts w:ascii="Calibri" w:hAnsi="Calibri" w:cs="Calibri"/>
          <w:color w:val="000000"/>
        </w:rPr>
        <w:t xml:space="preserve">trade information relating to the species. </w:t>
      </w:r>
    </w:p>
    <w:p w14:paraId="562C2F76" w14:textId="524996C9" w:rsidR="00EC2D13" w:rsidRDefault="00EC2D13" w:rsidP="00EC2D13">
      <w:pPr>
        <w:spacing w:after="120"/>
      </w:pPr>
      <w:r>
        <w:t>Where significant risks of species decline are identified (or credible scientific information about the species is limited), highly precautionary fishery management arrangements</w:t>
      </w:r>
      <w:r w:rsidRPr="00EE3E9C">
        <w:t xml:space="preserve"> </w:t>
      </w:r>
      <w:r>
        <w:t xml:space="preserve">are likely to be required before non-detriment findings can be issued. A common requirement in this circumstance is for management arrangements to include prescriptive annual trigger limits on the harvest of each CITES listed species. </w:t>
      </w:r>
    </w:p>
    <w:p w14:paraId="7825A837" w14:textId="77777777" w:rsidR="00EC2D13" w:rsidRDefault="00EC2D13" w:rsidP="00EC2D13">
      <w:pPr>
        <w:spacing w:after="80"/>
      </w:pPr>
      <w:r>
        <w:t xml:space="preserve">It is common practice for other countries receiving exports from Australia to monitor and review Australia’s </w:t>
      </w:r>
      <w:r w:rsidRPr="007135FE">
        <w:t>non-detriment finding</w:t>
      </w:r>
      <w:r>
        <w:t xml:space="preserve">s. </w:t>
      </w:r>
      <w:r w:rsidRPr="007135FE">
        <w:t xml:space="preserve">If an importing country is not satisfied with the quality or level of precaution applied in </w:t>
      </w:r>
      <w:r>
        <w:t>Australia’s</w:t>
      </w:r>
      <w:r w:rsidRPr="007135FE">
        <w:t xml:space="preserve"> non-detriment finding, it </w:t>
      </w:r>
      <w:r>
        <w:t>can choose to</w:t>
      </w:r>
      <w:r w:rsidRPr="007135FE">
        <w:t xml:space="preserve"> reject an import on that basis and suspend future imports of </w:t>
      </w:r>
      <w:r>
        <w:t>that</w:t>
      </w:r>
      <w:r w:rsidRPr="007135FE">
        <w:t xml:space="preserve"> species from Australia. </w:t>
      </w:r>
    </w:p>
    <w:p w14:paraId="50980DA7" w14:textId="77777777" w:rsidR="00640137" w:rsidRDefault="00640137" w:rsidP="00640137">
      <w:pPr>
        <w:spacing w:after="0" w:line="240" w:lineRule="auto"/>
        <w:rPr>
          <w:highlight w:val="yellow"/>
        </w:rPr>
      </w:pPr>
    </w:p>
    <w:p w14:paraId="7450AC29" w14:textId="77777777" w:rsidR="00640137" w:rsidRPr="00F64682" w:rsidRDefault="00640137" w:rsidP="00640137">
      <w:pPr>
        <w:spacing w:after="0" w:line="240" w:lineRule="auto"/>
        <w:rPr>
          <w:highlight w:val="yellow"/>
        </w:rPr>
      </w:pPr>
    </w:p>
    <w:p w14:paraId="55E9A1B2" w14:textId="77777777" w:rsidR="00640137" w:rsidRPr="004439DB" w:rsidRDefault="00640137" w:rsidP="00640137">
      <w:pPr>
        <w:spacing w:after="0" w:line="240" w:lineRule="auto"/>
      </w:pPr>
    </w:p>
    <w:p w14:paraId="607DD4D6" w14:textId="77777777" w:rsidR="00640137" w:rsidRPr="00303007" w:rsidRDefault="00640137" w:rsidP="00640137">
      <w:pPr>
        <w:pStyle w:val="ListNumber"/>
        <w:numPr>
          <w:ilvl w:val="0"/>
          <w:numId w:val="0"/>
        </w:numPr>
        <w:spacing w:after="120"/>
        <w:ind w:left="369" w:hanging="369"/>
        <w:rPr>
          <w:highlight w:val="yellow"/>
        </w:rPr>
        <w:sectPr w:rsidR="00640137" w:rsidRPr="00303007" w:rsidSect="00C325B9">
          <w:headerReference w:type="first" r:id="rId16"/>
          <w:pgSz w:w="11906" w:h="16838"/>
          <w:pgMar w:top="1134" w:right="1418" w:bottom="1134" w:left="1418" w:header="425" w:footer="425" w:gutter="0"/>
          <w:pgNumType w:start="1"/>
          <w:cols w:space="708"/>
          <w:titlePg/>
          <w:docGrid w:linePitch="360"/>
        </w:sectPr>
      </w:pPr>
    </w:p>
    <w:p w14:paraId="565B0409" w14:textId="08CE048C" w:rsidR="00640137" w:rsidRDefault="00640137" w:rsidP="00640137">
      <w:pPr>
        <w:tabs>
          <w:tab w:val="left" w:pos="284"/>
        </w:tabs>
        <w:spacing w:after="0" w:line="240" w:lineRule="auto"/>
        <w:jc w:val="right"/>
        <w:rPr>
          <w:rFonts w:cs="Arial"/>
          <w:b/>
          <w:sz w:val="20"/>
          <w:szCs w:val="20"/>
        </w:rPr>
      </w:pPr>
      <w:r w:rsidRPr="00AC6B6B">
        <w:rPr>
          <w:rFonts w:cs="Arial"/>
          <w:b/>
          <w:sz w:val="20"/>
          <w:szCs w:val="20"/>
        </w:rPr>
        <w:lastRenderedPageBreak/>
        <w:t xml:space="preserve">Attachment </w:t>
      </w:r>
      <w:r w:rsidR="00AC6B6B">
        <w:rPr>
          <w:rFonts w:cs="Arial"/>
          <w:b/>
          <w:sz w:val="20"/>
          <w:szCs w:val="20"/>
        </w:rPr>
        <w:t>3</w:t>
      </w:r>
    </w:p>
    <w:p w14:paraId="7CB6B57E" w14:textId="77777777" w:rsidR="00640137" w:rsidRPr="00705A6C" w:rsidRDefault="00640137" w:rsidP="00640137">
      <w:pPr>
        <w:tabs>
          <w:tab w:val="left" w:pos="284"/>
        </w:tabs>
        <w:spacing w:after="0" w:line="240" w:lineRule="auto"/>
        <w:jc w:val="right"/>
        <w:rPr>
          <w:rFonts w:cs="Arial"/>
          <w:b/>
          <w:sz w:val="20"/>
          <w:szCs w:val="20"/>
        </w:rPr>
      </w:pPr>
    </w:p>
    <w:p w14:paraId="085D9604" w14:textId="77777777" w:rsidR="00640137" w:rsidRPr="00F17832" w:rsidRDefault="00640137" w:rsidP="00640137">
      <w:pPr>
        <w:pStyle w:val="Heading1"/>
        <w:rPr>
          <w:sz w:val="24"/>
          <w:szCs w:val="24"/>
        </w:rPr>
      </w:pPr>
      <w:r w:rsidRPr="00F17832">
        <w:rPr>
          <w:sz w:val="24"/>
          <w:szCs w:val="24"/>
        </w:rPr>
        <w:t>Notification of Reviewable Decisions and Rights of Review</w:t>
      </w:r>
      <w:r w:rsidRPr="00F17832">
        <w:rPr>
          <w:rStyle w:val="FootnoteReference"/>
          <w:sz w:val="24"/>
          <w:szCs w:val="24"/>
          <w:u w:val="single"/>
        </w:rPr>
        <w:footnoteReference w:id="3"/>
      </w:r>
    </w:p>
    <w:p w14:paraId="0950D905" w14:textId="77777777" w:rsidR="00640137" w:rsidRPr="00303007" w:rsidRDefault="00640137" w:rsidP="00640137">
      <w:pPr>
        <w:spacing w:before="60" w:after="60"/>
        <w:jc w:val="both"/>
        <w:rPr>
          <w:rFonts w:cs="Arial"/>
        </w:rPr>
      </w:pPr>
      <w:r w:rsidRPr="00303007">
        <w:rPr>
          <w:rFonts w:cs="Arial"/>
        </w:rPr>
        <w:t xml:space="preserve">There is a right of review to the Administrative Appeals Tribunal (AAT) in relation to certain decisions/declarations made by the Minister, the Minister’s </w:t>
      </w:r>
      <w:proofErr w:type="gramStart"/>
      <w:r w:rsidRPr="00303007">
        <w:rPr>
          <w:rFonts w:cs="Arial"/>
        </w:rPr>
        <w:t>delegate</w:t>
      </w:r>
      <w:proofErr w:type="gramEnd"/>
      <w:r w:rsidRPr="00303007">
        <w:rPr>
          <w:rFonts w:cs="Arial"/>
        </w:rPr>
        <w:t xml:space="preserve"> or the Secretary under Part 13A of the </w:t>
      </w:r>
      <w:r w:rsidRPr="00303007">
        <w:rPr>
          <w:rFonts w:cs="Arial"/>
          <w:i/>
        </w:rPr>
        <w:t xml:space="preserve">Environment Protection and Biodiversity Conservation Act 1999 </w:t>
      </w:r>
      <w:r w:rsidRPr="00303007">
        <w:rPr>
          <w:rFonts w:cs="Arial"/>
        </w:rPr>
        <w:t xml:space="preserve">(EPBC Act). </w:t>
      </w:r>
    </w:p>
    <w:p w14:paraId="7DA245D1" w14:textId="77777777" w:rsidR="00640137" w:rsidRPr="00303007" w:rsidRDefault="00640137" w:rsidP="00640137">
      <w:pPr>
        <w:spacing w:before="60" w:after="60"/>
        <w:jc w:val="both"/>
        <w:rPr>
          <w:rFonts w:cs="Arial"/>
        </w:rPr>
      </w:pPr>
      <w:r w:rsidRPr="00303007">
        <w:rPr>
          <w:rFonts w:cs="Arial"/>
        </w:rPr>
        <w:t>Section 303</w:t>
      </w:r>
      <w:proofErr w:type="gramStart"/>
      <w:r w:rsidRPr="00303007">
        <w:rPr>
          <w:rFonts w:cs="Arial"/>
        </w:rPr>
        <w:t>GJ(</w:t>
      </w:r>
      <w:proofErr w:type="gramEnd"/>
      <w:r w:rsidRPr="00303007">
        <w:rPr>
          <w:rFonts w:cs="Arial"/>
        </w:rPr>
        <w:t xml:space="preserve">1) of the EPBC Act provides that applications may be made to the AAT for the review of the following decisions: </w:t>
      </w:r>
    </w:p>
    <w:p w14:paraId="555D5B2F" w14:textId="77777777" w:rsidR="00640137" w:rsidRPr="00303007" w:rsidRDefault="00640137" w:rsidP="00640137">
      <w:pPr>
        <w:spacing w:before="60" w:after="60"/>
        <w:ind w:left="720"/>
        <w:jc w:val="both"/>
        <w:rPr>
          <w:rFonts w:cs="Arial"/>
        </w:rPr>
      </w:pPr>
      <w:r w:rsidRPr="00303007">
        <w:rPr>
          <w:rFonts w:cs="Arial"/>
        </w:rPr>
        <w:t xml:space="preserve">(a) to issue or refuse a permit; or </w:t>
      </w:r>
    </w:p>
    <w:p w14:paraId="79800871" w14:textId="77777777" w:rsidR="00640137" w:rsidRPr="00303007" w:rsidRDefault="00640137" w:rsidP="00640137">
      <w:pPr>
        <w:spacing w:before="60" w:after="60"/>
        <w:ind w:left="720"/>
        <w:jc w:val="both"/>
        <w:rPr>
          <w:rFonts w:cs="Arial"/>
        </w:rPr>
      </w:pPr>
      <w:r w:rsidRPr="00303007">
        <w:rPr>
          <w:rFonts w:cs="Arial"/>
        </w:rPr>
        <w:t xml:space="preserve">(b) to specify, vary or revoke a condition of a permit; or </w:t>
      </w:r>
    </w:p>
    <w:p w14:paraId="3FD0C63F" w14:textId="77777777" w:rsidR="00640137" w:rsidRPr="00303007" w:rsidRDefault="00640137" w:rsidP="00640137">
      <w:pPr>
        <w:spacing w:before="60" w:after="60"/>
        <w:ind w:left="720"/>
        <w:jc w:val="both"/>
        <w:rPr>
          <w:rFonts w:cs="Arial"/>
        </w:rPr>
      </w:pPr>
      <w:r w:rsidRPr="00303007">
        <w:rPr>
          <w:rFonts w:cs="Arial"/>
        </w:rPr>
        <w:t xml:space="preserve">(c) to impose a further condition of a permit; or </w:t>
      </w:r>
    </w:p>
    <w:p w14:paraId="475227A4" w14:textId="77777777" w:rsidR="00640137" w:rsidRPr="00303007" w:rsidRDefault="00640137" w:rsidP="00640137">
      <w:pPr>
        <w:spacing w:before="60" w:after="60"/>
        <w:ind w:left="720"/>
        <w:jc w:val="both"/>
        <w:rPr>
          <w:rFonts w:cs="Arial"/>
        </w:rPr>
      </w:pPr>
      <w:r w:rsidRPr="00303007">
        <w:rPr>
          <w:rFonts w:cs="Arial"/>
        </w:rPr>
        <w:t xml:space="preserve">(d) to transfer or refuse to transfer a permit; or </w:t>
      </w:r>
    </w:p>
    <w:p w14:paraId="35C7A6BB" w14:textId="77777777" w:rsidR="00640137" w:rsidRPr="00303007" w:rsidRDefault="00640137" w:rsidP="00640137">
      <w:pPr>
        <w:spacing w:before="60" w:after="60"/>
        <w:ind w:left="720"/>
        <w:jc w:val="both"/>
        <w:rPr>
          <w:rFonts w:cs="Arial"/>
        </w:rPr>
      </w:pPr>
      <w:r w:rsidRPr="00303007">
        <w:rPr>
          <w:rFonts w:cs="Arial"/>
        </w:rPr>
        <w:t xml:space="preserve">(e) to suspend or cancel a permit; or </w:t>
      </w:r>
    </w:p>
    <w:p w14:paraId="475419D7" w14:textId="77777777" w:rsidR="00640137" w:rsidRPr="00303007" w:rsidRDefault="00640137" w:rsidP="00640137">
      <w:pPr>
        <w:spacing w:before="60" w:after="60"/>
        <w:ind w:left="720"/>
        <w:jc w:val="both"/>
        <w:rPr>
          <w:rFonts w:cs="Arial"/>
        </w:rPr>
      </w:pPr>
      <w:r w:rsidRPr="00303007">
        <w:rPr>
          <w:rFonts w:cs="Arial"/>
        </w:rPr>
        <w:t>(f) to issue or refuse a certificate under subsection 303</w:t>
      </w:r>
      <w:proofErr w:type="gramStart"/>
      <w:r w:rsidRPr="00303007">
        <w:rPr>
          <w:rFonts w:cs="Arial"/>
        </w:rPr>
        <w:t>CC(</w:t>
      </w:r>
      <w:proofErr w:type="gramEnd"/>
      <w:r w:rsidRPr="00303007">
        <w:rPr>
          <w:rFonts w:cs="Arial"/>
        </w:rPr>
        <w:t xml:space="preserve">5); or </w:t>
      </w:r>
    </w:p>
    <w:p w14:paraId="00703902" w14:textId="77777777" w:rsidR="00640137" w:rsidRPr="00303007" w:rsidRDefault="00640137" w:rsidP="00640137">
      <w:pPr>
        <w:spacing w:before="60" w:after="60"/>
        <w:ind w:left="720"/>
        <w:jc w:val="both"/>
        <w:rPr>
          <w:rFonts w:cs="Arial"/>
        </w:rPr>
      </w:pPr>
      <w:r w:rsidRPr="00303007">
        <w:rPr>
          <w:rFonts w:cs="Arial"/>
        </w:rPr>
        <w:t xml:space="preserve">(g) of the Secretary under a determination in force under section 303EU; or </w:t>
      </w:r>
    </w:p>
    <w:p w14:paraId="6C47A46A" w14:textId="77777777" w:rsidR="00640137" w:rsidRPr="00303007" w:rsidRDefault="00640137" w:rsidP="00640137">
      <w:pPr>
        <w:spacing w:before="60" w:after="60"/>
        <w:ind w:left="720"/>
        <w:jc w:val="both"/>
        <w:rPr>
          <w:rFonts w:cs="Arial"/>
        </w:rPr>
      </w:pPr>
      <w:r w:rsidRPr="00303007">
        <w:rPr>
          <w:rFonts w:cs="Arial"/>
        </w:rPr>
        <w:t>(h) to make or refuse a declaration under section 303FN, 303FO or 303FP; or</w:t>
      </w:r>
    </w:p>
    <w:p w14:paraId="137B7A89" w14:textId="77777777" w:rsidR="00640137" w:rsidRPr="00303007" w:rsidRDefault="00640137" w:rsidP="00640137">
      <w:pPr>
        <w:spacing w:before="60" w:after="60"/>
        <w:ind w:left="720"/>
        <w:jc w:val="both"/>
        <w:rPr>
          <w:rFonts w:cs="Arial"/>
        </w:rPr>
      </w:pPr>
      <w:r w:rsidRPr="00303007">
        <w:rPr>
          <w:rFonts w:cs="Arial"/>
        </w:rPr>
        <w:t>(</w:t>
      </w:r>
      <w:proofErr w:type="spellStart"/>
      <w:r w:rsidRPr="00303007">
        <w:rPr>
          <w:rFonts w:cs="Arial"/>
        </w:rPr>
        <w:t>i</w:t>
      </w:r>
      <w:proofErr w:type="spellEnd"/>
      <w:r w:rsidRPr="00303007">
        <w:rPr>
          <w:rFonts w:cs="Arial"/>
        </w:rPr>
        <w:t>) to vary or revoke a declaration under section 303FN, 303FO or 303FP.</w:t>
      </w:r>
    </w:p>
    <w:p w14:paraId="03189ABD" w14:textId="77777777" w:rsidR="00640137" w:rsidRPr="00303007" w:rsidRDefault="00640137" w:rsidP="00640137">
      <w:pPr>
        <w:pStyle w:val="ListBullet"/>
        <w:numPr>
          <w:ilvl w:val="0"/>
          <w:numId w:val="0"/>
        </w:numPr>
        <w:spacing w:before="60" w:after="60"/>
        <w:ind w:left="369" w:hanging="369"/>
      </w:pPr>
      <w:r w:rsidRPr="00303007">
        <w:t xml:space="preserve">If you are dissatisfied with a decision of a type listed </w:t>
      </w:r>
      <w:proofErr w:type="gramStart"/>
      <w:r w:rsidRPr="00303007">
        <w:t>above</w:t>
      </w:r>
      <w:proofErr w:type="gramEnd"/>
      <w:r w:rsidRPr="00303007">
        <w:t xml:space="preserve"> you may:</w:t>
      </w:r>
    </w:p>
    <w:p w14:paraId="61F4E447" w14:textId="77777777" w:rsidR="00640137" w:rsidRPr="00303007" w:rsidRDefault="00640137" w:rsidP="00640137">
      <w:pPr>
        <w:pStyle w:val="ListBullet"/>
        <w:spacing w:before="60" w:after="60"/>
        <w:jc w:val="both"/>
      </w:pPr>
      <w:r w:rsidRPr="00303007">
        <w:t xml:space="preserve">by notice, provided in writing, request that the Minister or the Minister’s delegate give you a statement in writing setting out the reasons for the decision as per section 28 of the </w:t>
      </w:r>
      <w:r w:rsidRPr="00303007">
        <w:rPr>
          <w:i/>
          <w:iCs/>
        </w:rPr>
        <w:t>Administrative Appeals Tribunal Act 1975</w:t>
      </w:r>
      <w:r w:rsidRPr="00303007">
        <w:t xml:space="preserve">. The Minister, or Minister’s delegate may refuse to give you a statement of reasons if your application is made more than 28 days after the day on which you received this notice. </w:t>
      </w:r>
    </w:p>
    <w:p w14:paraId="0AE66AAA" w14:textId="77777777" w:rsidR="00640137" w:rsidRPr="00303007" w:rsidRDefault="00640137" w:rsidP="00640137">
      <w:pPr>
        <w:pStyle w:val="ListBullet"/>
        <w:spacing w:before="60" w:after="60"/>
        <w:jc w:val="both"/>
      </w:pPr>
      <w:r w:rsidRPr="00303007">
        <w:t xml:space="preserve">apply to the AAT for independent merits review of the decision. The AAT undertakes </w:t>
      </w:r>
      <w:r w:rsidRPr="00303007">
        <w:rPr>
          <w:i/>
        </w:rPr>
        <w:t>de novo</w:t>
      </w:r>
      <w:r w:rsidRPr="00303007">
        <w:t xml:space="preserve"> merits review. This means they take a fresh look at the facts, law and policy relating to the decision and arrive at their own decision. They decide if the decision should stay the same or be changed. They are independent of the Department.</w:t>
      </w:r>
    </w:p>
    <w:p w14:paraId="4496B155" w14:textId="77777777" w:rsidR="00640137" w:rsidRPr="00303007" w:rsidRDefault="00640137" w:rsidP="00640137">
      <w:pPr>
        <w:pStyle w:val="ListBullet"/>
        <w:numPr>
          <w:ilvl w:val="0"/>
          <w:numId w:val="0"/>
        </w:numPr>
        <w:spacing w:before="60" w:after="60"/>
        <w:jc w:val="both"/>
      </w:pPr>
      <w:r w:rsidRPr="00303007">
        <w:t xml:space="preserve">Application for review of a decision must be made to the AAT within </w:t>
      </w:r>
      <w:r w:rsidRPr="00303007">
        <w:rPr>
          <w:b/>
        </w:rPr>
        <w:t>28 days</w:t>
      </w:r>
      <w:r w:rsidRPr="00303007">
        <w:t xml:space="preserve"> after the day on which you have received the reviewable decision. </w:t>
      </w:r>
      <w:r w:rsidRPr="00303007">
        <w:rPr>
          <w:color w:val="000000" w:themeColor="text1"/>
        </w:rPr>
        <w:t xml:space="preserve">However an extension of time for lodging an application may be granted by the AAT under certain circumstances. Please visit the AAT’s website at </w:t>
      </w:r>
      <w:hyperlink r:id="rId17" w:history="1">
        <w:r w:rsidRPr="00303007">
          <w:rPr>
            <w:rStyle w:val="Hyperlink"/>
            <w:rFonts w:cs="Arial"/>
          </w:rPr>
          <w:t>http://www.aat.gov.au/</w:t>
        </w:r>
      </w:hyperlink>
      <w:r w:rsidRPr="00303007">
        <w:rPr>
          <w:color w:val="000000" w:themeColor="text1"/>
        </w:rPr>
        <w:t xml:space="preserve"> or telephone 1800 228 333 for further information. The role of the AAT is to provide a review mechanism that is fair, just, economical, </w:t>
      </w:r>
      <w:proofErr w:type="gramStart"/>
      <w:r w:rsidRPr="00303007">
        <w:rPr>
          <w:color w:val="000000" w:themeColor="text1"/>
        </w:rPr>
        <w:t>informal</w:t>
      </w:r>
      <w:proofErr w:type="gramEnd"/>
      <w:r w:rsidRPr="00303007">
        <w:rPr>
          <w:color w:val="000000" w:themeColor="text1"/>
        </w:rPr>
        <w:t xml:space="preserve"> and quick.</w:t>
      </w:r>
    </w:p>
    <w:p w14:paraId="641DDED9" w14:textId="77777777" w:rsidR="00640137" w:rsidRPr="00303007" w:rsidRDefault="00640137" w:rsidP="00640137">
      <w:pPr>
        <w:pStyle w:val="Heading2"/>
      </w:pPr>
      <w:r w:rsidRPr="00303007">
        <w:t xml:space="preserve">Applications &amp; Costs </w:t>
      </w:r>
    </w:p>
    <w:p w14:paraId="68FB03EB" w14:textId="77777777" w:rsidR="00640137" w:rsidRPr="00303007" w:rsidRDefault="00640137" w:rsidP="00640137">
      <w:pPr>
        <w:spacing w:before="60" w:after="60"/>
        <w:jc w:val="both"/>
        <w:rPr>
          <w:rFonts w:cs="Arial"/>
        </w:rPr>
      </w:pPr>
      <w:r w:rsidRPr="00303007">
        <w:rPr>
          <w:rFonts w:cs="Arial"/>
        </w:rPr>
        <w:t xml:space="preserve">Applications to the AAT are made by lodging an Application Form (Form 1). This can be found on the AAT’s website at </w:t>
      </w:r>
      <w:hyperlink r:id="rId18" w:history="1">
        <w:r w:rsidRPr="00303007">
          <w:rPr>
            <w:rStyle w:val="Hyperlink"/>
            <w:rFonts w:cs="Arial"/>
          </w:rPr>
          <w:t>http://www.aat.gov.au/</w:t>
        </w:r>
      </w:hyperlink>
      <w:r w:rsidRPr="00303007">
        <w:rPr>
          <w:rFonts w:cs="Arial"/>
        </w:rPr>
        <w:t xml:space="preserve">. </w:t>
      </w:r>
    </w:p>
    <w:p w14:paraId="00D24D74" w14:textId="77777777" w:rsidR="00640137" w:rsidRPr="00AC6B6B" w:rsidRDefault="00640137" w:rsidP="00640137">
      <w:pPr>
        <w:spacing w:before="60" w:after="60"/>
        <w:jc w:val="both"/>
        <w:rPr>
          <w:rFonts w:cs="Arial"/>
        </w:rPr>
      </w:pPr>
      <w:r w:rsidRPr="00303007">
        <w:rPr>
          <w:rFonts w:cs="Arial"/>
          <w:color w:val="000000" w:themeColor="text1"/>
        </w:rPr>
        <w:t xml:space="preserve">There are no strict timelines in which the AAT must review the decision, however the first conference between the parties will usually be held within 6 to 10 weeks of the application </w:t>
      </w:r>
      <w:r w:rsidRPr="00AC6B6B">
        <w:rPr>
          <w:rFonts w:cs="Arial"/>
          <w:color w:val="000000" w:themeColor="text1"/>
        </w:rPr>
        <w:lastRenderedPageBreak/>
        <w:t>being lodged. The time frame for review of certain decisions can be expedited in some circumstances.</w:t>
      </w:r>
    </w:p>
    <w:p w14:paraId="1EF21104" w14:textId="26D09D50" w:rsidR="00640137" w:rsidRPr="00AC6B6B" w:rsidRDefault="00640137" w:rsidP="00640137">
      <w:pPr>
        <w:spacing w:before="60" w:after="60"/>
        <w:rPr>
          <w:rFonts w:cs="Arial"/>
        </w:rPr>
      </w:pPr>
      <w:r w:rsidRPr="00AC6B6B">
        <w:rPr>
          <w:rFonts w:cs="Arial"/>
        </w:rPr>
        <w:t>The cost of lodging an application for review is $</w:t>
      </w:r>
      <w:r w:rsidR="00783C81" w:rsidRPr="00AC6B6B">
        <w:rPr>
          <w:rFonts w:cs="Arial"/>
        </w:rPr>
        <w:t xml:space="preserve">952 </w:t>
      </w:r>
      <w:r w:rsidRPr="00AC6B6B">
        <w:rPr>
          <w:rFonts w:cs="Arial"/>
        </w:rPr>
        <w:t xml:space="preserve">(as of 1 July </w:t>
      </w:r>
      <w:r w:rsidR="00783C81" w:rsidRPr="00AC6B6B">
        <w:rPr>
          <w:rFonts w:cs="Arial"/>
        </w:rPr>
        <w:t>2020</w:t>
      </w:r>
      <w:r w:rsidRPr="00AC6B6B">
        <w:rPr>
          <w:rFonts w:cs="Arial"/>
        </w:rPr>
        <w:t xml:space="preserve">) (GST inclusive). You may be eligible to pay a reduced fee of $100.00 if </w:t>
      </w:r>
    </w:p>
    <w:p w14:paraId="478390EF" w14:textId="77777777" w:rsidR="00640137" w:rsidRPr="00AC6B6B" w:rsidRDefault="00640137" w:rsidP="00640137">
      <w:pPr>
        <w:pStyle w:val="ListBullet"/>
        <w:spacing w:before="60" w:after="60"/>
      </w:pPr>
      <w:r w:rsidRPr="00AC6B6B">
        <w:t xml:space="preserve">you are receiving legal aid for your </w:t>
      </w:r>
      <w:proofErr w:type="gramStart"/>
      <w:r w:rsidRPr="00AC6B6B">
        <w:t>application;</w:t>
      </w:r>
      <w:proofErr w:type="gramEnd"/>
    </w:p>
    <w:p w14:paraId="1D5BF4EF" w14:textId="77777777" w:rsidR="00640137" w:rsidRPr="00AC6B6B" w:rsidRDefault="00640137" w:rsidP="00640137">
      <w:pPr>
        <w:pStyle w:val="ListBullet"/>
        <w:spacing w:before="60" w:after="60"/>
      </w:pPr>
      <w:r w:rsidRPr="00AC6B6B">
        <w:t xml:space="preserve">you hold a health care card, a Commonwealth seniors health card or any other card issued by the Department of Social Services or the Department of Veteran’s Affairs that entitles the holder to Commonwealth health </w:t>
      </w:r>
      <w:proofErr w:type="gramStart"/>
      <w:r w:rsidRPr="00AC6B6B">
        <w:t>concessions;</w:t>
      </w:r>
      <w:proofErr w:type="gramEnd"/>
    </w:p>
    <w:p w14:paraId="6BD0375C" w14:textId="77777777" w:rsidR="00640137" w:rsidRPr="00AC6B6B" w:rsidRDefault="00640137" w:rsidP="00640137">
      <w:pPr>
        <w:pStyle w:val="ListBullet"/>
        <w:spacing w:before="60" w:after="60"/>
      </w:pPr>
      <w:r w:rsidRPr="00AC6B6B">
        <w:t xml:space="preserve">you are in prison or lawfully detained in a public </w:t>
      </w:r>
      <w:proofErr w:type="gramStart"/>
      <w:r w:rsidRPr="00AC6B6B">
        <w:t>institution;</w:t>
      </w:r>
      <w:proofErr w:type="gramEnd"/>
    </w:p>
    <w:p w14:paraId="2DE8A9A7" w14:textId="77777777" w:rsidR="00640137" w:rsidRPr="00AC6B6B" w:rsidRDefault="00640137" w:rsidP="00640137">
      <w:pPr>
        <w:pStyle w:val="ListBullet"/>
        <w:spacing w:before="60" w:after="60"/>
      </w:pPr>
      <w:r w:rsidRPr="00AC6B6B">
        <w:t xml:space="preserve">you are under 18 years of age; or </w:t>
      </w:r>
    </w:p>
    <w:p w14:paraId="51C12E6E" w14:textId="77777777" w:rsidR="00640137" w:rsidRPr="00AC6B6B" w:rsidRDefault="00640137" w:rsidP="00640137">
      <w:pPr>
        <w:pStyle w:val="ListBullet"/>
        <w:spacing w:before="60" w:after="60"/>
      </w:pPr>
      <w:r w:rsidRPr="00AC6B6B">
        <w:t xml:space="preserve">you are receiving youth allowance, </w:t>
      </w:r>
      <w:proofErr w:type="spellStart"/>
      <w:r w:rsidRPr="00AC6B6B">
        <w:t>Austudy</w:t>
      </w:r>
      <w:proofErr w:type="spellEnd"/>
      <w:r w:rsidRPr="00AC6B6B">
        <w:t xml:space="preserve"> or ABSTUDY. </w:t>
      </w:r>
    </w:p>
    <w:p w14:paraId="7B1F05BA" w14:textId="77777777" w:rsidR="00640137" w:rsidRPr="00AC6B6B" w:rsidRDefault="00640137" w:rsidP="00640137">
      <w:pPr>
        <w:spacing w:before="60" w:after="60"/>
        <w:jc w:val="both"/>
        <w:rPr>
          <w:rFonts w:cs="Arial"/>
          <w:lang w:eastAsia="zh-CN"/>
        </w:rPr>
      </w:pPr>
      <w:r w:rsidRPr="00AC6B6B">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19" w:history="1">
        <w:r w:rsidRPr="00AC6B6B">
          <w:rPr>
            <w:rStyle w:val="Hyperlink"/>
            <w:rFonts w:cs="Arial"/>
          </w:rPr>
          <w:t>https://www.ag.gov.au/LegalSystem/Legalaidprogrammes/Commonwealthlegalfinancialassistance/Documents/LegalFinancialAssistanceInformationSheet.pdf</w:t>
        </w:r>
      </w:hyperlink>
      <w:r w:rsidRPr="00AC6B6B">
        <w:rPr>
          <w:rFonts w:cs="Arial"/>
          <w:lang w:eastAsia="zh-CN"/>
        </w:rPr>
        <w:t xml:space="preserve">. </w:t>
      </w:r>
    </w:p>
    <w:p w14:paraId="702BB39E" w14:textId="4ABCED1E" w:rsidR="00640137" w:rsidRPr="00AC6B6B" w:rsidRDefault="00640137" w:rsidP="00640137">
      <w:pPr>
        <w:spacing w:before="60" w:after="60"/>
        <w:rPr>
          <w:rFonts w:eastAsia="Times New Roman" w:cs="Arial"/>
          <w:lang w:eastAsia="en-AU"/>
        </w:rPr>
      </w:pPr>
      <w:r w:rsidRPr="00AC6B6B">
        <w:rPr>
          <w:rFonts w:eastAsia="Times New Roman" w:cs="Arial"/>
          <w:lang w:eastAsia="en-AU"/>
        </w:rPr>
        <w:t>If you pay a standard application fee, most of it will be refunded if the case is resolved in your favour. The refund amount is the difference between the fee you paid and $100. So, if you paid $</w:t>
      </w:r>
      <w:r w:rsidR="00783C81" w:rsidRPr="00AC6B6B">
        <w:rPr>
          <w:rFonts w:cs="Arial"/>
        </w:rPr>
        <w:t>920</w:t>
      </w:r>
      <w:r w:rsidRPr="00AC6B6B">
        <w:rPr>
          <w:rFonts w:eastAsia="Times New Roman" w:cs="Arial"/>
          <w:lang w:eastAsia="en-AU"/>
        </w:rPr>
        <w:t>, you get back $</w:t>
      </w:r>
      <w:r w:rsidR="00783C81" w:rsidRPr="00AC6B6B">
        <w:rPr>
          <w:rFonts w:eastAsia="Times New Roman" w:cs="Arial"/>
          <w:lang w:eastAsia="en-AU"/>
        </w:rPr>
        <w:t xml:space="preserve">820 </w:t>
      </w:r>
      <w:r w:rsidRPr="00AC6B6B">
        <w:rPr>
          <w:rFonts w:eastAsia="Times New Roman" w:cs="Arial"/>
          <w:lang w:eastAsia="en-AU"/>
        </w:rPr>
        <w:t>and if you pay $</w:t>
      </w:r>
      <w:r w:rsidR="00783C81" w:rsidRPr="00AC6B6B">
        <w:rPr>
          <w:rFonts w:eastAsia="Times New Roman" w:cs="Arial"/>
          <w:lang w:eastAsia="en-AU"/>
        </w:rPr>
        <w:t>952</w:t>
      </w:r>
      <w:r w:rsidRPr="00AC6B6B">
        <w:rPr>
          <w:rFonts w:eastAsia="Times New Roman" w:cs="Arial"/>
          <w:lang w:eastAsia="en-AU"/>
        </w:rPr>
        <w:t>, you get back $</w:t>
      </w:r>
      <w:r w:rsidR="00783C81" w:rsidRPr="00AC6B6B">
        <w:rPr>
          <w:rFonts w:eastAsia="Times New Roman" w:cs="Arial"/>
          <w:lang w:eastAsia="en-AU"/>
        </w:rPr>
        <w:t>852</w:t>
      </w:r>
      <w:r w:rsidRPr="00AC6B6B">
        <w:rPr>
          <w:rFonts w:eastAsia="Times New Roman" w:cs="Arial"/>
          <w:lang w:eastAsia="en-AU"/>
        </w:rPr>
        <w:t>. There is no refund if you paid the lower application fee for certain taxation decisions or the reduced fee of $100.</w:t>
      </w:r>
    </w:p>
    <w:p w14:paraId="5796A8C3" w14:textId="77777777" w:rsidR="00640137" w:rsidRPr="00AC6B6B" w:rsidRDefault="00640137" w:rsidP="00640137">
      <w:pPr>
        <w:pStyle w:val="Heading2"/>
      </w:pPr>
      <w:r w:rsidRPr="00AC6B6B">
        <w:t>Contact Details</w:t>
      </w:r>
    </w:p>
    <w:p w14:paraId="49D51E20" w14:textId="77777777" w:rsidR="00640137" w:rsidRPr="00AC6B6B" w:rsidRDefault="00640137" w:rsidP="00640137">
      <w:pPr>
        <w:spacing w:before="60" w:after="60"/>
        <w:rPr>
          <w:rFonts w:cs="Arial"/>
        </w:rPr>
      </w:pPr>
      <w:r w:rsidRPr="00AC6B6B">
        <w:rPr>
          <w:rFonts w:cs="Arial"/>
        </w:rPr>
        <w:t>Further information or enquiries relating to the decision should be directed to:</w:t>
      </w:r>
    </w:p>
    <w:p w14:paraId="0FF190F0" w14:textId="3F5B004E" w:rsidR="00640137" w:rsidRPr="00303007" w:rsidRDefault="00640137" w:rsidP="00640137">
      <w:pPr>
        <w:spacing w:before="60" w:after="60"/>
        <w:ind w:left="720"/>
        <w:rPr>
          <w:u w:val="single"/>
        </w:rPr>
      </w:pPr>
      <w:r w:rsidRPr="00AC6B6B">
        <w:t>The Director</w:t>
      </w:r>
      <w:r w:rsidRPr="00AC6B6B">
        <w:br/>
        <w:t>Wildlife Trade Assessments Section</w:t>
      </w:r>
      <w:r w:rsidRPr="00AC6B6B">
        <w:br/>
      </w:r>
      <w:r w:rsidR="00173525" w:rsidRPr="00AC6B6B">
        <w:t xml:space="preserve">Department of Agriculture, </w:t>
      </w:r>
      <w:proofErr w:type="gramStart"/>
      <w:r w:rsidR="00173525" w:rsidRPr="00AC6B6B">
        <w:t>Water</w:t>
      </w:r>
      <w:proofErr w:type="gramEnd"/>
      <w:r w:rsidR="00173525" w:rsidRPr="00AC6B6B">
        <w:t xml:space="preserve"> and the Environment</w:t>
      </w:r>
      <w:r w:rsidRPr="00AC6B6B">
        <w:br/>
        <w:t xml:space="preserve">GPO Box </w:t>
      </w:r>
      <w:r w:rsidR="00783C81" w:rsidRPr="00AC6B6B">
        <w:t>858</w:t>
      </w:r>
      <w:r w:rsidRPr="00303007">
        <w:br/>
        <w:t>Canberra ACT 2601</w:t>
      </w:r>
      <w:r w:rsidRPr="00303007">
        <w:br/>
      </w:r>
      <w:r w:rsidRPr="00303007">
        <w:rPr>
          <w:b/>
          <w:bCs/>
        </w:rPr>
        <w:t>Telephone:</w:t>
      </w:r>
      <w:r w:rsidRPr="00303007">
        <w:t xml:space="preserve"> +61 (0) 2 6274 1917</w:t>
      </w:r>
      <w:r w:rsidRPr="00303007">
        <w:br/>
      </w:r>
      <w:r w:rsidRPr="00303007">
        <w:rPr>
          <w:b/>
          <w:bCs/>
        </w:rPr>
        <w:t>Email:</w:t>
      </w:r>
      <w:r w:rsidRPr="00303007">
        <w:t xml:space="preserve"> </w:t>
      </w:r>
      <w:r w:rsidRPr="00303007">
        <w:rPr>
          <w:u w:val="single"/>
        </w:rPr>
        <w:t>sustainablefisheries@environment.gov.au</w:t>
      </w:r>
    </w:p>
    <w:p w14:paraId="4151FC76" w14:textId="77777777" w:rsidR="00640137" w:rsidRPr="00303007" w:rsidRDefault="00640137" w:rsidP="00640137">
      <w:pPr>
        <w:spacing w:before="60" w:after="60"/>
        <w:jc w:val="both"/>
        <w:rPr>
          <w:rFonts w:cs="Arial"/>
        </w:rPr>
      </w:pPr>
      <w:r w:rsidRPr="00303007">
        <w:rPr>
          <w:rFonts w:cs="Arial"/>
        </w:rPr>
        <w:t xml:space="preserve">Alternatively you may contact the AAT at their Principal Registry or the Deputy Registrar, Administrative Appeals Tribunal in your Capital City or Territory. </w:t>
      </w:r>
    </w:p>
    <w:p w14:paraId="014F1A54" w14:textId="77777777" w:rsidR="00640137" w:rsidRPr="00303007" w:rsidRDefault="00640137" w:rsidP="00640137">
      <w:pPr>
        <w:spacing w:before="60" w:after="60"/>
        <w:ind w:left="720"/>
      </w:pPr>
      <w:r w:rsidRPr="00303007">
        <w:rPr>
          <w:rFonts w:cs="Arial"/>
        </w:rPr>
        <w:t>Administrative Appeals Tribunal</w:t>
      </w:r>
      <w:r w:rsidRPr="00303007">
        <w:rPr>
          <w:rFonts w:cs="Arial"/>
        </w:rPr>
        <w:br/>
        <w:t>Street address: Level 6, 83 Clarence Street, Sydney</w:t>
      </w:r>
      <w:r w:rsidRPr="00303007">
        <w:rPr>
          <w:rFonts w:cs="Arial"/>
        </w:rPr>
        <w:br/>
        <w:t>Mailing address: GPO Box 9955, Sydney, NSW 2001</w:t>
      </w:r>
      <w:r w:rsidRPr="00303007">
        <w:rPr>
          <w:rFonts w:cs="Arial"/>
        </w:rPr>
        <w:br/>
        <w:t xml:space="preserve">T: 1800 228 333 and (02) 9276 5000 </w:t>
      </w:r>
      <w:r w:rsidRPr="00303007">
        <w:rPr>
          <w:rFonts w:cs="Arial"/>
        </w:rPr>
        <w:br/>
        <w:t>F: (02) 9276 5599</w:t>
      </w:r>
      <w:r w:rsidRPr="00303007">
        <w:rPr>
          <w:rFonts w:cs="Arial"/>
        </w:rPr>
        <w:br/>
        <w:t xml:space="preserve">E: </w:t>
      </w:r>
      <w:hyperlink r:id="rId20" w:history="1">
        <w:r w:rsidRPr="00303007">
          <w:rPr>
            <w:rStyle w:val="Hyperlink"/>
            <w:rFonts w:cs="Arial"/>
          </w:rPr>
          <w:t>generalreviews@aat.gov.au</w:t>
        </w:r>
      </w:hyperlink>
      <w:r w:rsidRPr="00303007">
        <w:rPr>
          <w:rFonts w:cs="Arial"/>
        </w:rPr>
        <w:t xml:space="preserve"> </w:t>
      </w:r>
      <w:r w:rsidRPr="00303007">
        <w:rPr>
          <w:rFonts w:cs="Arial"/>
        </w:rPr>
        <w:br/>
        <w:t xml:space="preserve">W: </w:t>
      </w:r>
      <w:hyperlink r:id="rId21" w:history="1">
        <w:r w:rsidRPr="00303007">
          <w:rPr>
            <w:rStyle w:val="Hyperlink"/>
            <w:rFonts w:cs="Arial"/>
          </w:rPr>
          <w:t>http://www.aat.gov.au</w:t>
        </w:r>
      </w:hyperlink>
      <w:r w:rsidRPr="00303007">
        <w:rPr>
          <w:rFonts w:cs="Arial"/>
        </w:rPr>
        <w:t xml:space="preserve"> </w:t>
      </w:r>
    </w:p>
    <w:p w14:paraId="52B1CBBA" w14:textId="77777777" w:rsidR="00640137" w:rsidRPr="00632BC5" w:rsidRDefault="00640137" w:rsidP="00640137">
      <w:pPr>
        <w:pStyle w:val="Heading2"/>
      </w:pPr>
      <w:r w:rsidRPr="00632BC5">
        <w:t>Freedom of Information Request</w:t>
      </w:r>
    </w:p>
    <w:p w14:paraId="09E175CB" w14:textId="77777777" w:rsidR="00640137" w:rsidRPr="00303007" w:rsidRDefault="00640137" w:rsidP="00640137">
      <w:pPr>
        <w:spacing w:before="60" w:after="60"/>
        <w:rPr>
          <w:rFonts w:eastAsia="Times New Roman" w:cs="Arial"/>
        </w:rPr>
      </w:pPr>
      <w:r w:rsidRPr="00303007">
        <w:rPr>
          <w:rFonts w:eastAsia="Times New Roman" w:cs="Arial"/>
        </w:rPr>
        <w:t xml:space="preserve">You may make an application under the </w:t>
      </w:r>
      <w:r w:rsidRPr="00303007">
        <w:rPr>
          <w:rFonts w:eastAsia="Times New Roman" w:cs="Arial"/>
          <w:i/>
          <w:iCs/>
        </w:rPr>
        <w:t>Freedom of Information Act 1982</w:t>
      </w:r>
      <w:r w:rsidRPr="00303007">
        <w:rPr>
          <w:rFonts w:eastAsia="Times New Roman" w:cs="Arial"/>
        </w:rPr>
        <w:t xml:space="preserve"> (FOI Act) to access documents. Further information can be found at </w:t>
      </w:r>
      <w:hyperlink r:id="rId22" w:history="1">
        <w:r w:rsidRPr="00303007">
          <w:rPr>
            <w:rStyle w:val="Hyperlink"/>
            <w:rFonts w:eastAsia="Times New Roman" w:cs="Arial"/>
          </w:rPr>
          <w:t>http://www.environment.gov.au/foi/index.html</w:t>
        </w:r>
      </w:hyperlink>
      <w:r w:rsidRPr="00303007">
        <w:rPr>
          <w:rFonts w:eastAsia="Times New Roman" w:cs="Arial"/>
        </w:rPr>
        <w:t xml:space="preserve">. Please contact the Freedom of Information Contact Officer at </w:t>
      </w:r>
      <w:hyperlink r:id="rId23" w:history="1">
        <w:r w:rsidRPr="00303007">
          <w:rPr>
            <w:rStyle w:val="Hyperlink"/>
            <w:rFonts w:cs="Arial"/>
          </w:rPr>
          <w:t>foi@environment.gov.au</w:t>
        </w:r>
      </w:hyperlink>
      <w:r w:rsidRPr="00303007">
        <w:rPr>
          <w:rFonts w:cs="Arial"/>
        </w:rPr>
        <w:t xml:space="preserve"> for more information. </w:t>
      </w:r>
    </w:p>
    <w:p w14:paraId="0FD1852C" w14:textId="77777777" w:rsidR="0050646D" w:rsidRPr="00640137" w:rsidRDefault="0050646D" w:rsidP="00640137"/>
    <w:sectPr w:rsidR="0050646D" w:rsidRPr="00640137" w:rsidSect="00B0472C">
      <w:headerReference w:type="first" r:id="rId24"/>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4D3B88" w14:textId="77777777" w:rsidR="005304A2" w:rsidRDefault="005304A2" w:rsidP="00A60185">
      <w:pPr>
        <w:spacing w:after="0" w:line="240" w:lineRule="auto"/>
      </w:pPr>
      <w:r>
        <w:separator/>
      </w:r>
    </w:p>
  </w:endnote>
  <w:endnote w:type="continuationSeparator" w:id="0">
    <w:p w14:paraId="4428AF8D" w14:textId="77777777" w:rsidR="005304A2" w:rsidRDefault="005304A2" w:rsidP="00A60185">
      <w:pPr>
        <w:spacing w:after="0" w:line="240" w:lineRule="auto"/>
      </w:pPr>
      <w:r>
        <w:continuationSeparator/>
      </w:r>
    </w:p>
  </w:endnote>
  <w:endnote w:type="continuationNotice" w:id="1">
    <w:p w14:paraId="43E4857C" w14:textId="77777777" w:rsidR="00FA5D96" w:rsidRDefault="00FA5D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465FA0" w14:textId="77777777" w:rsidR="005304A2" w:rsidRDefault="005304A2" w:rsidP="00A60185">
      <w:pPr>
        <w:spacing w:after="0" w:line="240" w:lineRule="auto"/>
      </w:pPr>
      <w:r>
        <w:separator/>
      </w:r>
    </w:p>
  </w:footnote>
  <w:footnote w:type="continuationSeparator" w:id="0">
    <w:p w14:paraId="4E561BBC" w14:textId="77777777" w:rsidR="005304A2" w:rsidRDefault="005304A2" w:rsidP="00A60185">
      <w:pPr>
        <w:spacing w:after="0" w:line="240" w:lineRule="auto"/>
      </w:pPr>
      <w:r>
        <w:continuationSeparator/>
      </w:r>
    </w:p>
  </w:footnote>
  <w:footnote w:type="continuationNotice" w:id="1">
    <w:p w14:paraId="6404FC78" w14:textId="77777777" w:rsidR="00FA5D96" w:rsidRDefault="00FA5D96">
      <w:pPr>
        <w:spacing w:after="0" w:line="240" w:lineRule="auto"/>
      </w:pPr>
    </w:p>
  </w:footnote>
  <w:footnote w:id="2">
    <w:p w14:paraId="0988DFDF" w14:textId="77777777" w:rsidR="005304A2" w:rsidRPr="000F14A2" w:rsidRDefault="005304A2" w:rsidP="00EC2D13">
      <w:pPr>
        <w:autoSpaceDE w:val="0"/>
        <w:autoSpaceDN w:val="0"/>
        <w:adjustRightInd w:val="0"/>
        <w:spacing w:after="0" w:line="240" w:lineRule="auto"/>
        <w:rPr>
          <w:rFonts w:cstheme="minorHAnsi"/>
          <w:color w:val="000000"/>
        </w:rPr>
      </w:pPr>
      <w:r w:rsidRPr="00104449">
        <w:rPr>
          <w:rStyle w:val="FootnoteReference"/>
          <w:rFonts w:cstheme="minorHAnsi"/>
        </w:rPr>
        <w:footnoteRef/>
      </w:r>
      <w:r w:rsidRPr="00104449">
        <w:rPr>
          <w:rFonts w:cstheme="minorHAnsi"/>
        </w:rPr>
        <w:t xml:space="preserve"> </w:t>
      </w:r>
      <w:r w:rsidRPr="000F14A2">
        <w:rPr>
          <w:rFonts w:cstheme="minorHAnsi"/>
          <w:color w:val="000000"/>
          <w:sz w:val="13"/>
          <w:szCs w:val="13"/>
        </w:rPr>
        <w:t xml:space="preserve"> </w:t>
      </w:r>
      <w:r w:rsidRPr="000F14A2">
        <w:rPr>
          <w:rFonts w:cstheme="minorHAnsi"/>
          <w:color w:val="000000"/>
          <w:sz w:val="20"/>
          <w:szCs w:val="20"/>
        </w:rPr>
        <w:t>Genus-level reporting is acceptable for some coral species.</w:t>
      </w:r>
      <w:r w:rsidRPr="000F14A2">
        <w:rPr>
          <w:rFonts w:cstheme="minorHAnsi"/>
          <w:color w:val="000000"/>
        </w:rPr>
        <w:t xml:space="preserve"> </w:t>
      </w:r>
    </w:p>
    <w:p w14:paraId="630128FA" w14:textId="77777777" w:rsidR="005304A2" w:rsidRPr="007E054A" w:rsidRDefault="005304A2" w:rsidP="00EC2D13">
      <w:pPr>
        <w:pStyle w:val="FootnoteText"/>
        <w:rPr>
          <w:lang w:val="en-US"/>
        </w:rPr>
      </w:pPr>
    </w:p>
  </w:footnote>
  <w:footnote w:id="3">
    <w:p w14:paraId="2169E93C" w14:textId="77777777" w:rsidR="005304A2" w:rsidRDefault="005304A2" w:rsidP="0064013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5554C" w14:textId="13FABAE7" w:rsidR="005304A2" w:rsidRPr="00FA0CF5" w:rsidRDefault="005304A2" w:rsidP="00FA0CF5">
    <w:pPr>
      <w:pStyle w:val="Header"/>
    </w:pPr>
    <w:r>
      <w:rPr>
        <w:rFonts w:asciiTheme="majorHAnsi" w:hAnsiTheme="majorHAnsi"/>
        <w:noProof/>
        <w:sz w:val="16"/>
        <w:szCs w:val="16"/>
        <w:lang w:eastAsia="en-AU"/>
      </w:rPr>
      <w:drawing>
        <wp:inline distT="0" distB="0" distL="0" distR="0" wp14:anchorId="77F99F1D" wp14:editId="3237711A">
          <wp:extent cx="3046719" cy="9144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441CF" w14:textId="77777777" w:rsidR="005304A2" w:rsidRPr="00BB418A" w:rsidRDefault="005304A2" w:rsidP="00BB41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0D807" w14:textId="77777777" w:rsidR="005304A2" w:rsidRDefault="005304A2" w:rsidP="006B1098">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18549" w14:textId="661DEBFE" w:rsidR="005304A2" w:rsidRDefault="005304A2" w:rsidP="003647A1">
    <w:pPr>
      <w:pStyle w:val="Header"/>
    </w:pPr>
    <w:r>
      <w:rPr>
        <w:rFonts w:asciiTheme="majorHAnsi" w:hAnsiTheme="majorHAnsi"/>
        <w:noProof/>
        <w:sz w:val="16"/>
        <w:szCs w:val="16"/>
        <w:lang w:eastAsia="en-AU"/>
      </w:rPr>
      <w:drawing>
        <wp:inline distT="0" distB="0" distL="0" distR="0" wp14:anchorId="502EE6C3" wp14:editId="32579C8F">
          <wp:extent cx="3046719" cy="9144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8516FB76"/>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02952B3A"/>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35F06CB"/>
    <w:multiLevelType w:val="hybridMultilevel"/>
    <w:tmpl w:val="7C6A563A"/>
    <w:lvl w:ilvl="0" w:tplc="0C090011">
      <w:start w:val="1"/>
      <w:numFmt w:val="decimal"/>
      <w:lvlText w:val="%1)"/>
      <w:lvlJc w:val="left"/>
      <w:pPr>
        <w:ind w:left="1080" w:hanging="360"/>
      </w:pPr>
      <w:rPr>
        <w:sz w:val="22"/>
        <w:szCs w:val="22"/>
      </w:r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5" w15:restartNumberingAfterBreak="0">
    <w:nsid w:val="16130D21"/>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8" w15:restartNumberingAfterBreak="0">
    <w:nsid w:val="1E0C61C8"/>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1F745BC2"/>
    <w:multiLevelType w:val="multilevel"/>
    <w:tmpl w:val="E5E89F92"/>
    <w:numStyleLink w:val="BulletList"/>
  </w:abstractNum>
  <w:abstractNum w:abstractNumId="10"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B8E3041"/>
    <w:multiLevelType w:val="hybridMultilevel"/>
    <w:tmpl w:val="F1D667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7"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0"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61F06D1"/>
    <w:multiLevelType w:val="hybridMultilevel"/>
    <w:tmpl w:val="7FAA1A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5"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6"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7"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6"/>
  </w:num>
  <w:num w:numId="2">
    <w:abstractNumId w:val="1"/>
  </w:num>
  <w:num w:numId="3">
    <w:abstractNumId w:val="24"/>
  </w:num>
  <w:num w:numId="4">
    <w:abstractNumId w:val="22"/>
  </w:num>
  <w:num w:numId="5">
    <w:abstractNumId w:val="13"/>
  </w:num>
  <w:num w:numId="6">
    <w:abstractNumId w:val="12"/>
  </w:num>
  <w:num w:numId="7">
    <w:abstractNumId w:val="19"/>
  </w:num>
  <w:num w:numId="8">
    <w:abstractNumId w:val="9"/>
  </w:num>
  <w:num w:numId="9">
    <w:abstractNumId w:val="7"/>
  </w:num>
  <w:num w:numId="10">
    <w:abstractNumId w:val="25"/>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2"/>
  </w:num>
  <w:num w:numId="16">
    <w:abstractNumId w:val="12"/>
  </w:num>
  <w:num w:numId="17">
    <w:abstractNumId w:val="16"/>
  </w:num>
  <w:num w:numId="18">
    <w:abstractNumId w:val="18"/>
  </w:num>
  <w:num w:numId="19">
    <w:abstractNumId w:val="27"/>
  </w:num>
  <w:num w:numId="20">
    <w:abstractNumId w:val="17"/>
  </w:num>
  <w:num w:numId="21">
    <w:abstractNumId w:val="15"/>
  </w:num>
  <w:num w:numId="22">
    <w:abstractNumId w:val="23"/>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num>
  <w:num w:numId="29">
    <w:abstractNumId w:val="12"/>
  </w:num>
  <w:num w:numId="30">
    <w:abstractNumId w:val="12"/>
  </w:num>
  <w:num w:numId="31">
    <w:abstractNumId w:val="9"/>
  </w:num>
  <w:num w:numId="32">
    <w:abstractNumId w:val="9"/>
  </w:num>
  <w:num w:numId="33">
    <w:abstractNumId w:val="9"/>
  </w:num>
  <w:num w:numId="34">
    <w:abstractNumId w:val="9"/>
  </w:num>
  <w:num w:numId="35">
    <w:abstractNumId w:val="6"/>
  </w:num>
  <w:num w:numId="36">
    <w:abstractNumId w:val="0"/>
  </w:num>
  <w:num w:numId="37">
    <w:abstractNumId w:val="14"/>
  </w:num>
  <w:num w:numId="38">
    <w:abstractNumId w:val="19"/>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8"/>
  </w:num>
  <w:num w:numId="44">
    <w:abstractNumId w:val="3"/>
  </w:num>
  <w:num w:numId="45">
    <w:abstractNumId w:val="21"/>
  </w:num>
  <w:num w:numId="46">
    <w:abstractNumId w:val="11"/>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5420A"/>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A5BAA"/>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0F72B0"/>
    <w:rsid w:val="001047E4"/>
    <w:rsid w:val="0011030F"/>
    <w:rsid w:val="00114477"/>
    <w:rsid w:val="0011498E"/>
    <w:rsid w:val="00115BF1"/>
    <w:rsid w:val="00117A45"/>
    <w:rsid w:val="001219EE"/>
    <w:rsid w:val="001224AE"/>
    <w:rsid w:val="0012744F"/>
    <w:rsid w:val="0012747E"/>
    <w:rsid w:val="001337D4"/>
    <w:rsid w:val="001369E3"/>
    <w:rsid w:val="00143480"/>
    <w:rsid w:val="00147C12"/>
    <w:rsid w:val="001527A1"/>
    <w:rsid w:val="001530DC"/>
    <w:rsid w:val="00154989"/>
    <w:rsid w:val="00155A9F"/>
    <w:rsid w:val="00160262"/>
    <w:rsid w:val="00163C66"/>
    <w:rsid w:val="0016616A"/>
    <w:rsid w:val="0016780A"/>
    <w:rsid w:val="00173525"/>
    <w:rsid w:val="00173EBF"/>
    <w:rsid w:val="0018112F"/>
    <w:rsid w:val="001812CE"/>
    <w:rsid w:val="001842A2"/>
    <w:rsid w:val="00187FA8"/>
    <w:rsid w:val="00191C5D"/>
    <w:rsid w:val="00192F5E"/>
    <w:rsid w:val="00197772"/>
    <w:rsid w:val="001A51C8"/>
    <w:rsid w:val="001A76BB"/>
    <w:rsid w:val="001B4CA8"/>
    <w:rsid w:val="001B4F00"/>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4F19"/>
    <w:rsid w:val="00216118"/>
    <w:rsid w:val="002209AB"/>
    <w:rsid w:val="00220CFF"/>
    <w:rsid w:val="00224D4E"/>
    <w:rsid w:val="002251E3"/>
    <w:rsid w:val="00227A95"/>
    <w:rsid w:val="00227FEA"/>
    <w:rsid w:val="00235467"/>
    <w:rsid w:val="002473FC"/>
    <w:rsid w:val="00250919"/>
    <w:rsid w:val="00252E3C"/>
    <w:rsid w:val="00261931"/>
    <w:rsid w:val="00261EFE"/>
    <w:rsid w:val="00262198"/>
    <w:rsid w:val="002667BB"/>
    <w:rsid w:val="00267CD5"/>
    <w:rsid w:val="00285F1B"/>
    <w:rsid w:val="002919FA"/>
    <w:rsid w:val="00292592"/>
    <w:rsid w:val="00292B81"/>
    <w:rsid w:val="00297D18"/>
    <w:rsid w:val="002A11A4"/>
    <w:rsid w:val="002A4671"/>
    <w:rsid w:val="002A62E4"/>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2F5E05"/>
    <w:rsid w:val="0030039D"/>
    <w:rsid w:val="0030171F"/>
    <w:rsid w:val="00302B2F"/>
    <w:rsid w:val="00303007"/>
    <w:rsid w:val="0030326F"/>
    <w:rsid w:val="00310675"/>
    <w:rsid w:val="00310701"/>
    <w:rsid w:val="00311A30"/>
    <w:rsid w:val="00312E38"/>
    <w:rsid w:val="00315980"/>
    <w:rsid w:val="00316F7F"/>
    <w:rsid w:val="00320DFB"/>
    <w:rsid w:val="003218E8"/>
    <w:rsid w:val="003230EE"/>
    <w:rsid w:val="00330DCE"/>
    <w:rsid w:val="00331E11"/>
    <w:rsid w:val="00334761"/>
    <w:rsid w:val="00335A95"/>
    <w:rsid w:val="00341DCD"/>
    <w:rsid w:val="00344897"/>
    <w:rsid w:val="0034563E"/>
    <w:rsid w:val="003477E4"/>
    <w:rsid w:val="003518D6"/>
    <w:rsid w:val="0035460C"/>
    <w:rsid w:val="003556BD"/>
    <w:rsid w:val="003647A1"/>
    <w:rsid w:val="00365147"/>
    <w:rsid w:val="00367A20"/>
    <w:rsid w:val="0037016E"/>
    <w:rsid w:val="00372908"/>
    <w:rsid w:val="003764B0"/>
    <w:rsid w:val="00377900"/>
    <w:rsid w:val="00383020"/>
    <w:rsid w:val="00385E04"/>
    <w:rsid w:val="00392049"/>
    <w:rsid w:val="003968BA"/>
    <w:rsid w:val="00396D6E"/>
    <w:rsid w:val="00397570"/>
    <w:rsid w:val="003975FD"/>
    <w:rsid w:val="003A0F88"/>
    <w:rsid w:val="003B19E3"/>
    <w:rsid w:val="003B6068"/>
    <w:rsid w:val="003B60CC"/>
    <w:rsid w:val="003B6EE4"/>
    <w:rsid w:val="003C09B7"/>
    <w:rsid w:val="003C0B60"/>
    <w:rsid w:val="003C2443"/>
    <w:rsid w:val="003C5073"/>
    <w:rsid w:val="003C5DA3"/>
    <w:rsid w:val="003D2ECE"/>
    <w:rsid w:val="003D4BCD"/>
    <w:rsid w:val="003D5140"/>
    <w:rsid w:val="003E2100"/>
    <w:rsid w:val="003E7511"/>
    <w:rsid w:val="003F6F5B"/>
    <w:rsid w:val="00402F24"/>
    <w:rsid w:val="0040342D"/>
    <w:rsid w:val="00405253"/>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56059"/>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5CC"/>
    <w:rsid w:val="004B66F1"/>
    <w:rsid w:val="004C3C1E"/>
    <w:rsid w:val="004C3EA0"/>
    <w:rsid w:val="004C4A81"/>
    <w:rsid w:val="004D31A7"/>
    <w:rsid w:val="004E0330"/>
    <w:rsid w:val="004E47E7"/>
    <w:rsid w:val="004F60AC"/>
    <w:rsid w:val="004F7169"/>
    <w:rsid w:val="00500D66"/>
    <w:rsid w:val="0050646D"/>
    <w:rsid w:val="00507234"/>
    <w:rsid w:val="00514C8E"/>
    <w:rsid w:val="00520CCE"/>
    <w:rsid w:val="0052361B"/>
    <w:rsid w:val="00525EF4"/>
    <w:rsid w:val="0052681E"/>
    <w:rsid w:val="00527851"/>
    <w:rsid w:val="005304A2"/>
    <w:rsid w:val="00531DBF"/>
    <w:rsid w:val="00534E3A"/>
    <w:rsid w:val="00535D49"/>
    <w:rsid w:val="0054376F"/>
    <w:rsid w:val="00545040"/>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A0247"/>
    <w:rsid w:val="005B140D"/>
    <w:rsid w:val="005B7F1B"/>
    <w:rsid w:val="005C1970"/>
    <w:rsid w:val="005C1FEA"/>
    <w:rsid w:val="005C2672"/>
    <w:rsid w:val="005C3495"/>
    <w:rsid w:val="005D6F37"/>
    <w:rsid w:val="005E35DC"/>
    <w:rsid w:val="005E3DFC"/>
    <w:rsid w:val="005E5D52"/>
    <w:rsid w:val="005E60AF"/>
    <w:rsid w:val="005F0814"/>
    <w:rsid w:val="005F1DEA"/>
    <w:rsid w:val="0060462F"/>
    <w:rsid w:val="0060602D"/>
    <w:rsid w:val="00606A98"/>
    <w:rsid w:val="00607FC9"/>
    <w:rsid w:val="0061002D"/>
    <w:rsid w:val="0061374A"/>
    <w:rsid w:val="00621170"/>
    <w:rsid w:val="00622FE1"/>
    <w:rsid w:val="0062521C"/>
    <w:rsid w:val="00630092"/>
    <w:rsid w:val="00630A2B"/>
    <w:rsid w:val="00631D4A"/>
    <w:rsid w:val="00632BC5"/>
    <w:rsid w:val="00632DC7"/>
    <w:rsid w:val="006357FB"/>
    <w:rsid w:val="00635C5E"/>
    <w:rsid w:val="00640137"/>
    <w:rsid w:val="006406FC"/>
    <w:rsid w:val="00643B47"/>
    <w:rsid w:val="00645CB8"/>
    <w:rsid w:val="00651483"/>
    <w:rsid w:val="00653E16"/>
    <w:rsid w:val="00653F7B"/>
    <w:rsid w:val="00657220"/>
    <w:rsid w:val="00657529"/>
    <w:rsid w:val="0066093E"/>
    <w:rsid w:val="0066104B"/>
    <w:rsid w:val="006640E2"/>
    <w:rsid w:val="006655EE"/>
    <w:rsid w:val="00667C10"/>
    <w:rsid w:val="00667EF4"/>
    <w:rsid w:val="00674AAE"/>
    <w:rsid w:val="00676FCA"/>
    <w:rsid w:val="00677177"/>
    <w:rsid w:val="0067757A"/>
    <w:rsid w:val="0068612E"/>
    <w:rsid w:val="00687C92"/>
    <w:rsid w:val="00694930"/>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2A9F"/>
    <w:rsid w:val="0073057B"/>
    <w:rsid w:val="00731B42"/>
    <w:rsid w:val="00733193"/>
    <w:rsid w:val="00733C36"/>
    <w:rsid w:val="00742DA9"/>
    <w:rsid w:val="00744429"/>
    <w:rsid w:val="007470BF"/>
    <w:rsid w:val="00751C97"/>
    <w:rsid w:val="00753A80"/>
    <w:rsid w:val="0075732A"/>
    <w:rsid w:val="00757539"/>
    <w:rsid w:val="00760262"/>
    <w:rsid w:val="0076310C"/>
    <w:rsid w:val="0076744F"/>
    <w:rsid w:val="00767BCE"/>
    <w:rsid w:val="00770722"/>
    <w:rsid w:val="007707DE"/>
    <w:rsid w:val="00770B5D"/>
    <w:rsid w:val="007752F1"/>
    <w:rsid w:val="00775583"/>
    <w:rsid w:val="00775DF7"/>
    <w:rsid w:val="00776768"/>
    <w:rsid w:val="00783C81"/>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362"/>
    <w:rsid w:val="007D4CEC"/>
    <w:rsid w:val="007D5962"/>
    <w:rsid w:val="007E24F6"/>
    <w:rsid w:val="007F20CB"/>
    <w:rsid w:val="007F2EED"/>
    <w:rsid w:val="00800F64"/>
    <w:rsid w:val="00802F0B"/>
    <w:rsid w:val="00810A67"/>
    <w:rsid w:val="00813398"/>
    <w:rsid w:val="00813F3B"/>
    <w:rsid w:val="00821A31"/>
    <w:rsid w:val="00821AC5"/>
    <w:rsid w:val="00831030"/>
    <w:rsid w:val="008316C6"/>
    <w:rsid w:val="00832F0F"/>
    <w:rsid w:val="00833CF7"/>
    <w:rsid w:val="00843089"/>
    <w:rsid w:val="00845601"/>
    <w:rsid w:val="008518B4"/>
    <w:rsid w:val="00854F44"/>
    <w:rsid w:val="00855C5C"/>
    <w:rsid w:val="008565B9"/>
    <w:rsid w:val="0086185F"/>
    <w:rsid w:val="00874D88"/>
    <w:rsid w:val="00882459"/>
    <w:rsid w:val="00890C23"/>
    <w:rsid w:val="008A2B4A"/>
    <w:rsid w:val="008A2D87"/>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0A0A"/>
    <w:rsid w:val="00A72668"/>
    <w:rsid w:val="00A76801"/>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6B6B"/>
    <w:rsid w:val="00AC73C4"/>
    <w:rsid w:val="00AC73E5"/>
    <w:rsid w:val="00AD1891"/>
    <w:rsid w:val="00AD3616"/>
    <w:rsid w:val="00AD56C8"/>
    <w:rsid w:val="00AD58F2"/>
    <w:rsid w:val="00AD5BA0"/>
    <w:rsid w:val="00AE02CA"/>
    <w:rsid w:val="00AE4C25"/>
    <w:rsid w:val="00AF2CDE"/>
    <w:rsid w:val="00AF4DBA"/>
    <w:rsid w:val="00B00313"/>
    <w:rsid w:val="00B00ABE"/>
    <w:rsid w:val="00B01599"/>
    <w:rsid w:val="00B0197B"/>
    <w:rsid w:val="00B01FD6"/>
    <w:rsid w:val="00B03A27"/>
    <w:rsid w:val="00B0472C"/>
    <w:rsid w:val="00B0529F"/>
    <w:rsid w:val="00B1418B"/>
    <w:rsid w:val="00B14B15"/>
    <w:rsid w:val="00B21195"/>
    <w:rsid w:val="00B214FE"/>
    <w:rsid w:val="00B24B22"/>
    <w:rsid w:val="00B25310"/>
    <w:rsid w:val="00B27B11"/>
    <w:rsid w:val="00B32F8F"/>
    <w:rsid w:val="00B404DC"/>
    <w:rsid w:val="00B43958"/>
    <w:rsid w:val="00B5228C"/>
    <w:rsid w:val="00B54DE9"/>
    <w:rsid w:val="00B553EC"/>
    <w:rsid w:val="00B62B98"/>
    <w:rsid w:val="00B65E27"/>
    <w:rsid w:val="00B66855"/>
    <w:rsid w:val="00B66EBE"/>
    <w:rsid w:val="00B70915"/>
    <w:rsid w:val="00B70ED4"/>
    <w:rsid w:val="00B75673"/>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1145"/>
    <w:rsid w:val="00BC4215"/>
    <w:rsid w:val="00BC473A"/>
    <w:rsid w:val="00BD0A94"/>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03A4"/>
    <w:rsid w:val="00C3184D"/>
    <w:rsid w:val="00C325B9"/>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97CA3"/>
    <w:rsid w:val="00CA0723"/>
    <w:rsid w:val="00CA086D"/>
    <w:rsid w:val="00CA369D"/>
    <w:rsid w:val="00CB0489"/>
    <w:rsid w:val="00CB1690"/>
    <w:rsid w:val="00CB3F41"/>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58DD"/>
    <w:rsid w:val="00D62131"/>
    <w:rsid w:val="00D64914"/>
    <w:rsid w:val="00D77838"/>
    <w:rsid w:val="00D80F3B"/>
    <w:rsid w:val="00D949E4"/>
    <w:rsid w:val="00DA1B12"/>
    <w:rsid w:val="00DA54C9"/>
    <w:rsid w:val="00DA6739"/>
    <w:rsid w:val="00DA6CAE"/>
    <w:rsid w:val="00DB1A9E"/>
    <w:rsid w:val="00DB2566"/>
    <w:rsid w:val="00DB31D6"/>
    <w:rsid w:val="00DB4005"/>
    <w:rsid w:val="00DB4CBF"/>
    <w:rsid w:val="00DB6C1F"/>
    <w:rsid w:val="00DC2D5C"/>
    <w:rsid w:val="00DC34EB"/>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07CBF"/>
    <w:rsid w:val="00E1333E"/>
    <w:rsid w:val="00E13703"/>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76A81"/>
    <w:rsid w:val="00E76CE2"/>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C2D13"/>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6F46"/>
    <w:rsid w:val="00F477BD"/>
    <w:rsid w:val="00F47F8A"/>
    <w:rsid w:val="00F50D3B"/>
    <w:rsid w:val="00F52AB6"/>
    <w:rsid w:val="00F52EB7"/>
    <w:rsid w:val="00F53491"/>
    <w:rsid w:val="00F60329"/>
    <w:rsid w:val="00F65A1C"/>
    <w:rsid w:val="00F66F50"/>
    <w:rsid w:val="00F82FF8"/>
    <w:rsid w:val="00F8330D"/>
    <w:rsid w:val="00F84305"/>
    <w:rsid w:val="00F8485C"/>
    <w:rsid w:val="00F85FFF"/>
    <w:rsid w:val="00F8686F"/>
    <w:rsid w:val="00F87149"/>
    <w:rsid w:val="00F87239"/>
    <w:rsid w:val="00F87FFE"/>
    <w:rsid w:val="00F91335"/>
    <w:rsid w:val="00F940DB"/>
    <w:rsid w:val="00F954C9"/>
    <w:rsid w:val="00F977DD"/>
    <w:rsid w:val="00FA059B"/>
    <w:rsid w:val="00FA0CF5"/>
    <w:rsid w:val="00FA2001"/>
    <w:rsid w:val="00FA5D00"/>
    <w:rsid w:val="00FA5D96"/>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0FD184CA"/>
  <w15:docId w15:val="{5DA3053B-963C-4804-A43E-AED33D79E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semiHidden/>
    <w:unhideWhenUsed/>
    <w:rsid w:val="0052361B"/>
    <w:rPr>
      <w:sz w:val="16"/>
      <w:szCs w:val="16"/>
    </w:rPr>
  </w:style>
  <w:style w:type="paragraph" w:styleId="CommentText">
    <w:name w:val="annotation text"/>
    <w:basedOn w:val="Normal"/>
    <w:link w:val="CommentTextChar"/>
    <w:semiHidden/>
    <w:unhideWhenUsed/>
    <w:rsid w:val="0052361B"/>
    <w:rPr>
      <w:sz w:val="20"/>
      <w:szCs w:val="20"/>
    </w:rPr>
  </w:style>
  <w:style w:type="character" w:customStyle="1" w:styleId="CommentTextChar">
    <w:name w:val="Comment Text Char"/>
    <w:basedOn w:val="DefaultParagraphFont"/>
    <w:link w:val="CommentText"/>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 w:type="character" w:styleId="UnresolvedMention">
    <w:name w:val="Unresolved Mention"/>
    <w:basedOn w:val="DefaultParagraphFont"/>
    <w:uiPriority w:val="99"/>
    <w:semiHidden/>
    <w:unhideWhenUsed/>
    <w:rsid w:val="00783C81"/>
    <w:rPr>
      <w:color w:val="605E5C"/>
      <w:shd w:val="clear" w:color="auto" w:fill="E1DFDD"/>
    </w:rPr>
  </w:style>
  <w:style w:type="paragraph" w:customStyle="1" w:styleId="Default">
    <w:name w:val="Default"/>
    <w:rsid w:val="00EC2D13"/>
    <w:pPr>
      <w:autoSpaceDE w:val="0"/>
      <w:autoSpaceDN w:val="0"/>
      <w:adjustRightInd w:val="0"/>
    </w:pPr>
    <w:rPr>
      <w:rFonts w:eastAsiaTheme="minorHAnsi" w:cs="Arial"/>
      <w:color w:val="000000"/>
      <w:sz w:val="24"/>
      <w:szCs w:val="24"/>
      <w:lang w:eastAsia="en-US"/>
    </w:rPr>
  </w:style>
  <w:style w:type="paragraph" w:customStyle="1" w:styleId="xmsonormal">
    <w:name w:val="x_msonormal"/>
    <w:basedOn w:val="Normal"/>
    <w:uiPriority w:val="99"/>
    <w:rsid w:val="001B4F00"/>
    <w:pPr>
      <w:spacing w:after="0" w:line="240" w:lineRule="auto"/>
    </w:pPr>
    <w:rPr>
      <w:rFonts w:ascii="Calibri" w:eastAsiaTheme="minorHAnsi" w:hAnsi="Calibri" w:cs="Calibri"/>
      <w:lang w:eastAsia="en-AU"/>
    </w:rPr>
  </w:style>
  <w:style w:type="paragraph" w:customStyle="1" w:styleId="xmsolistparagraph">
    <w:name w:val="x_msolistparagraph"/>
    <w:basedOn w:val="Normal"/>
    <w:uiPriority w:val="99"/>
    <w:rsid w:val="001B4F00"/>
    <w:pPr>
      <w:spacing w:before="120" w:after="120" w:line="240" w:lineRule="auto"/>
      <w:ind w:left="369" w:hanging="369"/>
    </w:pPr>
    <w:rPr>
      <w:rFonts w:eastAsiaTheme="minorHAnsi" w:cs="Arial"/>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www.aat.gov.a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aat.gov.au"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aat.gov.a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generalreviews@aat.gov.a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https://cites.org/sites/default/files/document/E-Res-16-07-R17_0.pdf" TargetMode="External"/><Relationship Id="rId23" Type="http://schemas.openxmlformats.org/officeDocument/2006/relationships/hyperlink" Target="mailto:foi@environment.gov.au" TargetMode="External"/><Relationship Id="rId10" Type="http://schemas.openxmlformats.org/officeDocument/2006/relationships/webSettings" Target="webSettings.xml"/><Relationship Id="rId19" Type="http://schemas.openxmlformats.org/officeDocument/2006/relationships/hyperlink" Target="https://www.ag.gov.au/LegalSystem/Legalaidprogrammes/Commonwealthlegalfinancialassistance/Documents/LegalFinancialAssistanceInformationSheet.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www.environment.gov.au/foi/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2.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9" ma:contentTypeDescription="Create a new Word Document" ma:contentTypeScope="" ma:versionID="910371f289f8377304b3a720cbf6165a">
  <xsd:schema xmlns:xsd="http://www.w3.org/2001/XMLSchema" xmlns:xs="http://www.w3.org/2001/XMLSchema" xmlns:p="http://schemas.microsoft.com/office/2006/metadata/properties" xmlns:ns2="344c6e69-c594-4ca4-b341-09ae9dfc1422" targetNamespace="http://schemas.microsoft.com/office/2006/metadata/properties" ma:root="true" ma:fieldsID="b870a8ac834d50aa1985395422fa4032"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pproval xmlns="344c6e69-c594-4ca4-b341-09ae9dfc1422">For Review</Approval>
    <Function xmlns="344c6e69-c594-4ca4-b341-09ae9dfc1422">Regulation</Function>
    <DocumentDescription xmlns="344c6e69-c594-4ca4-b341-09ae9dfc1422" xsi:nil="true"/>
    <RecordNumber xmlns="344c6e69-c594-4ca4-b341-09ae9dfc1422">002068366</RecordNumber>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customXsn xmlns="http://schemas.microsoft.com/office/2006/metadata/customXsn">
  <xsnLocation/>
  <cached>True</cached>
  <openByDefault>False</openByDefault>
  <xsnScope/>
</customXs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376A60-95E7-4D68-954D-64EE29926633}">
  <ds:schemaRefs>
    <ds:schemaRef ds:uri="http://schemas.microsoft.com/sharepoint/events"/>
  </ds:schemaRefs>
</ds:datastoreItem>
</file>

<file path=customXml/itemProps2.xml><?xml version="1.0" encoding="utf-8"?>
<ds:datastoreItem xmlns:ds="http://schemas.openxmlformats.org/officeDocument/2006/customXml" ds:itemID="{E17190E1-5F8C-46BE-9F6D-7A530BACAE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2F9445-494D-4CEC-AEF4-FB05E9847609}">
  <ds:schemaRefs>
    <ds:schemaRef ds:uri="http://purl.org/dc/elements/1.1/"/>
    <ds:schemaRef ds:uri="http://schemas.microsoft.com/office/2006/metadata/properties"/>
    <ds:schemaRef ds:uri="http://purl.org/dc/terms/"/>
    <ds:schemaRef ds:uri="344c6e69-c594-4ca4-b341-09ae9dfc1422"/>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BD056CFC-EC16-4311-AC54-D508170282B2}">
  <ds:schemaRefs>
    <ds:schemaRef ds:uri="http://schemas.microsoft.com/sharepoint/v3/contenttype/forms"/>
  </ds:schemaRefs>
</ds:datastoreItem>
</file>

<file path=customXml/itemProps5.xml><?xml version="1.0" encoding="utf-8"?>
<ds:datastoreItem xmlns:ds="http://schemas.openxmlformats.org/officeDocument/2006/customXml" ds:itemID="{74F6F10E-1261-43F2-8F54-344A6FEDE7B0}">
  <ds:schemaRefs>
    <ds:schemaRef ds:uri="http://schemas.microsoft.com/office/2006/metadata/customXsn"/>
  </ds:schemaRefs>
</ds:datastoreItem>
</file>

<file path=customXml/itemProps6.xml><?xml version="1.0" encoding="utf-8"?>
<ds:datastoreItem xmlns:ds="http://schemas.openxmlformats.org/officeDocument/2006/customXml" ds:itemID="{B93C4186-6BC5-49C0-BD55-D554936AE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2511</Words>
  <Characters>14314</Characters>
  <Application>Microsoft Office Word</Application>
  <DocSecurity>4</DocSecurity>
  <Lines>119</Lines>
  <Paragraphs>33</Paragraphs>
  <ScaleCrop>false</ScaleCrop>
  <HeadingPairs>
    <vt:vector size="2" baseType="variant">
      <vt:variant>
        <vt:lpstr>Title</vt:lpstr>
      </vt:variant>
      <vt:variant>
        <vt:i4>1</vt:i4>
      </vt:variant>
    </vt:vector>
  </HeadingPairs>
  <TitlesOfParts>
    <vt:vector size="1" baseType="lpstr">
      <vt:lpstr>Letter to AFMA CEO</vt:lpstr>
    </vt:vector>
  </TitlesOfParts>
  <Company/>
  <LinksUpToDate>false</LinksUpToDate>
  <CharactersWithSpaces>16792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AFMA CEO</dc:title>
  <dc:creator>Department of Agriculture, Water and the Environment</dc:creator>
  <cp:lastModifiedBy>Bec Durack</cp:lastModifiedBy>
  <cp:revision>2</cp:revision>
  <cp:lastPrinted>2015-02-25T00:16:00Z</cp:lastPrinted>
  <dcterms:created xsi:type="dcterms:W3CDTF">2021-01-28T23:31:00Z</dcterms:created>
  <dcterms:modified xsi:type="dcterms:W3CDTF">2021-01-28T23:31:00Z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0x0101009DB8618430E8D149BA674DA7B0E0C3F00100841C706EC42F36488E878CEA66D5CB61</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{def7642d-3007-46f7-9579-89d87a4cfe0b}</vt:lpwstr>
  </property>
  <property fmtid="{D5CDD505-2E9C-101B-9397-08002B2CF9AE}" pid="13" name="RecordPoint_SubmissionCompleted">
    <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y fmtid="{D5CDD505-2E9C-101B-9397-08002B2CF9AE}" pid="16" name="IconOverlay">
    <vt:lpwstr/>
  </property>
</Properties>
</file>