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40EB90" w14:textId="77777777" w:rsidR="00FF2C68" w:rsidRPr="00F6308F" w:rsidRDefault="00FF2C68" w:rsidP="00FF2C68">
      <w:pPr>
        <w:widowControl w:val="0"/>
        <w:tabs>
          <w:tab w:val="left" w:pos="6700"/>
        </w:tabs>
        <w:spacing w:after="120"/>
        <w:jc w:val="center"/>
        <w:rPr>
          <w:b/>
          <w:sz w:val="48"/>
        </w:rPr>
      </w:pPr>
      <w:bookmarkStart w:id="0" w:name="_Toc316301050"/>
      <w:bookmarkStart w:id="1" w:name="_GoBack"/>
      <w:bookmarkEnd w:id="1"/>
      <w:r w:rsidRPr="001C68E7">
        <w:rPr>
          <w:b/>
          <w:noProof/>
          <w:sz w:val="48"/>
          <w:lang w:eastAsia="en-AU"/>
        </w:rPr>
        <w:drawing>
          <wp:inline distT="0" distB="0" distL="0" distR="0" wp14:anchorId="3F02D136" wp14:editId="6A20CB7F">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4D99E042" w14:textId="77777777" w:rsidR="00FF2C68" w:rsidRPr="00F6308F" w:rsidRDefault="00FF2C68" w:rsidP="00FF2C68">
      <w:pPr>
        <w:widowControl w:val="0"/>
        <w:tabs>
          <w:tab w:val="left" w:pos="6700"/>
        </w:tabs>
        <w:spacing w:after="120"/>
        <w:jc w:val="center"/>
        <w:rPr>
          <w:b/>
          <w:sz w:val="48"/>
        </w:rPr>
      </w:pPr>
    </w:p>
    <w:p w14:paraId="233D21DD" w14:textId="77777777" w:rsidR="00FF2C68" w:rsidRPr="00F6308F" w:rsidRDefault="00FF2C68" w:rsidP="00FF2C68">
      <w:pPr>
        <w:widowControl w:val="0"/>
        <w:tabs>
          <w:tab w:val="left" w:pos="6700"/>
        </w:tabs>
        <w:spacing w:after="120"/>
        <w:jc w:val="center"/>
        <w:rPr>
          <w:b/>
          <w:sz w:val="48"/>
        </w:rPr>
      </w:pPr>
    </w:p>
    <w:p w14:paraId="7B48E59C" w14:textId="77777777" w:rsidR="00FF2C68" w:rsidRPr="00F6308F" w:rsidRDefault="00FF2C68" w:rsidP="00FF2C68">
      <w:pPr>
        <w:widowControl w:val="0"/>
        <w:tabs>
          <w:tab w:val="left" w:pos="6700"/>
        </w:tabs>
        <w:spacing w:after="120"/>
        <w:jc w:val="center"/>
        <w:rPr>
          <w:b/>
          <w:sz w:val="48"/>
        </w:rPr>
      </w:pPr>
    </w:p>
    <w:p w14:paraId="369D9911" w14:textId="77777777" w:rsidR="00FF2C68" w:rsidRPr="00F6308F" w:rsidRDefault="00FF2C68" w:rsidP="00FF2C68">
      <w:pPr>
        <w:spacing w:after="120"/>
        <w:jc w:val="center"/>
        <w:rPr>
          <w:sz w:val="36"/>
        </w:rPr>
      </w:pPr>
      <w:r w:rsidRPr="00F6308F">
        <w:rPr>
          <w:sz w:val="36"/>
        </w:rPr>
        <w:t>Assessment of the</w:t>
      </w:r>
    </w:p>
    <w:p w14:paraId="570603B5" w14:textId="48AF546D" w:rsidR="00FF2C68" w:rsidRPr="00F6308F" w:rsidRDefault="003C5B8E" w:rsidP="00FF2C68">
      <w:pPr>
        <w:pStyle w:val="Heading6"/>
        <w:spacing w:after="120"/>
        <w:jc w:val="center"/>
        <w:rPr>
          <w:rFonts w:ascii="Arial" w:hAnsi="Arial"/>
          <w:b w:val="0"/>
          <w:i/>
          <w:sz w:val="36"/>
        </w:rPr>
      </w:pPr>
      <w:r>
        <w:rPr>
          <w:rFonts w:ascii="Arial" w:hAnsi="Arial"/>
          <w:sz w:val="36"/>
        </w:rPr>
        <w:t xml:space="preserve">South Australian Giant Crab </w:t>
      </w:r>
      <w:r w:rsidR="00FF2C68">
        <w:rPr>
          <w:rFonts w:ascii="Arial" w:hAnsi="Arial"/>
          <w:sz w:val="36"/>
        </w:rPr>
        <w:t>Fishery</w:t>
      </w:r>
    </w:p>
    <w:p w14:paraId="1CC90B20" w14:textId="77777777" w:rsidR="00FF2C68" w:rsidRPr="00F6308F" w:rsidRDefault="00FF2C68" w:rsidP="00FF2C68">
      <w:pPr>
        <w:widowControl w:val="0"/>
        <w:tabs>
          <w:tab w:val="left" w:pos="6700"/>
        </w:tabs>
        <w:spacing w:after="120"/>
        <w:jc w:val="center"/>
        <w:rPr>
          <w:b/>
          <w:sz w:val="48"/>
        </w:rPr>
      </w:pPr>
    </w:p>
    <w:p w14:paraId="67BC9254" w14:textId="77777777" w:rsidR="00FF2C68" w:rsidRPr="00F6308F" w:rsidRDefault="00FF2C68" w:rsidP="00FF2C68">
      <w:pPr>
        <w:widowControl w:val="0"/>
        <w:tabs>
          <w:tab w:val="left" w:pos="6700"/>
        </w:tabs>
        <w:spacing w:after="120"/>
        <w:jc w:val="center"/>
        <w:rPr>
          <w:b/>
          <w:sz w:val="48"/>
        </w:rPr>
      </w:pPr>
    </w:p>
    <w:p w14:paraId="48469A33" w14:textId="77777777" w:rsidR="00FF2C68" w:rsidRPr="00176CE1" w:rsidRDefault="00FF2C68" w:rsidP="00FF2C68">
      <w:pPr>
        <w:widowControl w:val="0"/>
        <w:tabs>
          <w:tab w:val="left" w:pos="6700"/>
        </w:tabs>
        <w:spacing w:after="120"/>
        <w:jc w:val="center"/>
        <w:rPr>
          <w:b/>
          <w:sz w:val="32"/>
        </w:rPr>
      </w:pPr>
    </w:p>
    <w:p w14:paraId="57966FC4" w14:textId="77777777" w:rsidR="00FF2C68" w:rsidRPr="00176CE1" w:rsidRDefault="00FF2C68" w:rsidP="00FF2C68">
      <w:pPr>
        <w:widowControl w:val="0"/>
        <w:tabs>
          <w:tab w:val="left" w:pos="6700"/>
        </w:tabs>
        <w:spacing w:after="120"/>
        <w:jc w:val="center"/>
        <w:rPr>
          <w:b/>
          <w:sz w:val="32"/>
        </w:rPr>
      </w:pPr>
    </w:p>
    <w:p w14:paraId="414A98DB" w14:textId="77777777" w:rsidR="00FF2C68" w:rsidRPr="00176CE1" w:rsidRDefault="00FF2C68" w:rsidP="00FF2C68">
      <w:pPr>
        <w:widowControl w:val="0"/>
        <w:tabs>
          <w:tab w:val="left" w:pos="6700"/>
        </w:tabs>
        <w:spacing w:after="120"/>
        <w:jc w:val="center"/>
        <w:rPr>
          <w:b/>
          <w:sz w:val="32"/>
        </w:rPr>
      </w:pPr>
    </w:p>
    <w:p w14:paraId="65D6DD8D" w14:textId="77777777" w:rsidR="00FF2C68" w:rsidRPr="00176CE1" w:rsidRDefault="00FF2C68" w:rsidP="00FF2C68">
      <w:pPr>
        <w:widowControl w:val="0"/>
        <w:tabs>
          <w:tab w:val="left" w:pos="6700"/>
        </w:tabs>
        <w:spacing w:after="120"/>
        <w:jc w:val="center"/>
        <w:rPr>
          <w:b/>
          <w:sz w:val="32"/>
        </w:rPr>
      </w:pPr>
    </w:p>
    <w:p w14:paraId="7EFE5BCF" w14:textId="77777777" w:rsidR="00FF2C68" w:rsidRPr="00176CE1" w:rsidRDefault="00FF2C68" w:rsidP="00FF2C68">
      <w:pPr>
        <w:widowControl w:val="0"/>
        <w:tabs>
          <w:tab w:val="left" w:pos="6700"/>
        </w:tabs>
        <w:spacing w:after="120"/>
        <w:jc w:val="center"/>
        <w:rPr>
          <w:b/>
          <w:sz w:val="32"/>
        </w:rPr>
      </w:pPr>
    </w:p>
    <w:p w14:paraId="7F15227C" w14:textId="77777777" w:rsidR="00FF2C68" w:rsidRPr="00176CE1" w:rsidRDefault="00FF2C68" w:rsidP="00FF2C68">
      <w:pPr>
        <w:widowControl w:val="0"/>
        <w:tabs>
          <w:tab w:val="left" w:pos="6700"/>
        </w:tabs>
        <w:spacing w:after="120"/>
        <w:jc w:val="center"/>
        <w:rPr>
          <w:b/>
          <w:sz w:val="32"/>
        </w:rPr>
      </w:pPr>
    </w:p>
    <w:p w14:paraId="68D8ECD9" w14:textId="77777777" w:rsidR="00FF2C68" w:rsidRPr="00176CE1" w:rsidRDefault="00FF2C68" w:rsidP="00FF2C68">
      <w:pPr>
        <w:widowControl w:val="0"/>
        <w:tabs>
          <w:tab w:val="left" w:pos="6700"/>
        </w:tabs>
        <w:spacing w:after="120"/>
        <w:jc w:val="center"/>
        <w:rPr>
          <w:b/>
          <w:sz w:val="32"/>
        </w:rPr>
      </w:pPr>
    </w:p>
    <w:p w14:paraId="65034022" w14:textId="77777777" w:rsidR="00FF2C68" w:rsidRPr="00176CE1" w:rsidRDefault="00FF2C68" w:rsidP="00FF2C68">
      <w:pPr>
        <w:widowControl w:val="0"/>
        <w:tabs>
          <w:tab w:val="left" w:pos="6700"/>
        </w:tabs>
        <w:spacing w:after="120"/>
        <w:jc w:val="center"/>
        <w:rPr>
          <w:b/>
          <w:sz w:val="32"/>
        </w:rPr>
      </w:pPr>
    </w:p>
    <w:p w14:paraId="48C0497E" w14:textId="77777777" w:rsidR="00FF2C68" w:rsidRPr="00176CE1" w:rsidRDefault="00FF2C68" w:rsidP="00FF2C68">
      <w:pPr>
        <w:widowControl w:val="0"/>
        <w:tabs>
          <w:tab w:val="left" w:pos="6700"/>
        </w:tabs>
        <w:spacing w:after="120"/>
        <w:jc w:val="center"/>
        <w:rPr>
          <w:b/>
          <w:sz w:val="32"/>
        </w:rPr>
      </w:pPr>
    </w:p>
    <w:p w14:paraId="13D04B41" w14:textId="77777777" w:rsidR="00FF2C68" w:rsidRPr="00176CE1" w:rsidRDefault="00FF2C68" w:rsidP="00FF2C68">
      <w:pPr>
        <w:widowControl w:val="0"/>
        <w:tabs>
          <w:tab w:val="left" w:pos="6700"/>
        </w:tabs>
        <w:spacing w:after="120"/>
        <w:jc w:val="center"/>
        <w:rPr>
          <w:b/>
          <w:sz w:val="32"/>
        </w:rPr>
      </w:pPr>
    </w:p>
    <w:p w14:paraId="38E3C658" w14:textId="77777777" w:rsidR="00FF2C68" w:rsidRPr="00176CE1" w:rsidRDefault="00FF2C68" w:rsidP="00FF2C68">
      <w:pPr>
        <w:widowControl w:val="0"/>
        <w:tabs>
          <w:tab w:val="left" w:pos="6700"/>
        </w:tabs>
        <w:spacing w:after="120"/>
        <w:jc w:val="center"/>
        <w:rPr>
          <w:b/>
          <w:sz w:val="32"/>
        </w:rPr>
      </w:pPr>
    </w:p>
    <w:p w14:paraId="153CED9F" w14:textId="10DFDC86" w:rsidR="00FF2C68" w:rsidRPr="00F6308F" w:rsidRDefault="000A7439" w:rsidP="00FF2C68">
      <w:pPr>
        <w:pStyle w:val="Heading7"/>
        <w:rPr>
          <w:rFonts w:ascii="Arial" w:hAnsi="Arial"/>
          <w:lang w:val="en-AU"/>
        </w:rPr>
      </w:pPr>
      <w:r>
        <w:rPr>
          <w:rFonts w:ascii="Arial" w:hAnsi="Arial"/>
          <w:lang w:val="en-AU"/>
        </w:rPr>
        <w:t>November 2015</w:t>
      </w:r>
      <w:r w:rsidR="00FF2C68">
        <w:rPr>
          <w:rFonts w:ascii="Arial" w:hAnsi="Arial"/>
          <w:lang w:val="en-AU"/>
        </w:rPr>
        <w:t xml:space="preserve"> </w:t>
      </w:r>
    </w:p>
    <w:p w14:paraId="5D74A375" w14:textId="77777777" w:rsidR="00FF2C68" w:rsidRPr="00F6308F" w:rsidRDefault="00FF2C68" w:rsidP="00FF2C68"/>
    <w:p w14:paraId="5EAFB045" w14:textId="77777777" w:rsidR="00FF2C68" w:rsidRPr="00F6308F" w:rsidRDefault="00FF2C68" w:rsidP="00FF2C68"/>
    <w:p w14:paraId="150A2F12" w14:textId="77777777" w:rsidR="00FF2C68" w:rsidRDefault="00FF2C68" w:rsidP="00FF2C68">
      <w:pPr>
        <w:sectPr w:rsidR="00FF2C68"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42BC7D83" w14:textId="77777777" w:rsidR="00FF2C68" w:rsidRPr="00574DD7" w:rsidRDefault="00FF2C68" w:rsidP="00FF2C68">
      <w:pPr>
        <w:spacing w:before="60" w:after="0"/>
        <w:rPr>
          <w:sz w:val="20"/>
          <w:szCs w:val="20"/>
        </w:rPr>
      </w:pPr>
    </w:p>
    <w:p w14:paraId="5427D85D" w14:textId="77777777" w:rsidR="00FF2C68" w:rsidRPr="00574DD7" w:rsidRDefault="00FF2C68" w:rsidP="00FF2C68">
      <w:pPr>
        <w:spacing w:before="60" w:after="0"/>
        <w:rPr>
          <w:rStyle w:val="Hyperlink"/>
          <w:rFonts w:eastAsia="Times New Roman"/>
          <w:noProof/>
          <w:color w:val="auto"/>
          <w:sz w:val="20"/>
          <w:szCs w:val="20"/>
          <w:lang w:eastAsia="en-AU"/>
        </w:rPr>
      </w:pPr>
    </w:p>
    <w:p w14:paraId="17A45675" w14:textId="77777777" w:rsidR="00FF2C68" w:rsidRPr="00574DD7" w:rsidRDefault="00FF2C68" w:rsidP="00FF2C68">
      <w:pPr>
        <w:spacing w:before="60" w:after="0"/>
        <w:rPr>
          <w:rStyle w:val="Hyperlink"/>
          <w:rFonts w:eastAsia="Times New Roman"/>
          <w:noProof/>
          <w:color w:val="auto"/>
          <w:sz w:val="20"/>
          <w:szCs w:val="20"/>
          <w:lang w:eastAsia="en-AU"/>
        </w:rPr>
      </w:pPr>
    </w:p>
    <w:p w14:paraId="169584D9" w14:textId="77777777" w:rsidR="00FF2C68" w:rsidRPr="00574DD7" w:rsidRDefault="00FF2C68" w:rsidP="00FF2C68">
      <w:pPr>
        <w:spacing w:before="60" w:after="0"/>
        <w:rPr>
          <w:rStyle w:val="Hyperlink"/>
          <w:rFonts w:eastAsia="Times New Roman"/>
          <w:noProof/>
          <w:color w:val="auto"/>
          <w:sz w:val="20"/>
          <w:szCs w:val="20"/>
          <w:lang w:eastAsia="en-AU"/>
        </w:rPr>
      </w:pPr>
    </w:p>
    <w:p w14:paraId="0116311B" w14:textId="77777777" w:rsidR="00FF2C68" w:rsidRPr="00574DD7" w:rsidRDefault="00FF2C68" w:rsidP="00FF2C68">
      <w:pPr>
        <w:spacing w:before="60" w:after="0"/>
        <w:rPr>
          <w:rStyle w:val="Hyperlink"/>
          <w:rFonts w:eastAsia="Times New Roman"/>
          <w:noProof/>
          <w:color w:val="auto"/>
          <w:sz w:val="20"/>
          <w:szCs w:val="20"/>
          <w:lang w:eastAsia="en-AU"/>
        </w:rPr>
      </w:pPr>
    </w:p>
    <w:p w14:paraId="4B669C18" w14:textId="77777777" w:rsidR="00FF2C68" w:rsidRPr="00574DD7" w:rsidRDefault="00FF2C68" w:rsidP="00FF2C68">
      <w:pPr>
        <w:spacing w:before="60" w:after="0"/>
        <w:rPr>
          <w:rStyle w:val="Hyperlink"/>
          <w:rFonts w:eastAsia="Times New Roman"/>
          <w:noProof/>
          <w:color w:val="auto"/>
          <w:sz w:val="20"/>
          <w:szCs w:val="20"/>
          <w:lang w:eastAsia="en-AU"/>
        </w:rPr>
      </w:pPr>
    </w:p>
    <w:p w14:paraId="3A7F22E8" w14:textId="77777777" w:rsidR="00FF2C68" w:rsidRPr="00574DD7" w:rsidRDefault="00FF2C68" w:rsidP="00FF2C68">
      <w:pPr>
        <w:spacing w:before="60" w:after="0"/>
        <w:rPr>
          <w:rStyle w:val="Hyperlink"/>
          <w:rFonts w:eastAsia="Times New Roman"/>
          <w:noProof/>
          <w:color w:val="auto"/>
          <w:sz w:val="20"/>
          <w:szCs w:val="20"/>
          <w:lang w:eastAsia="en-AU"/>
        </w:rPr>
      </w:pPr>
    </w:p>
    <w:p w14:paraId="3A6AE996" w14:textId="77777777" w:rsidR="00FF2C68" w:rsidRPr="00574DD7" w:rsidRDefault="00FF2C68" w:rsidP="00FF2C68">
      <w:pPr>
        <w:spacing w:before="60" w:after="0"/>
        <w:rPr>
          <w:rStyle w:val="Hyperlink"/>
          <w:rFonts w:eastAsia="Times New Roman"/>
          <w:noProof/>
          <w:color w:val="auto"/>
          <w:sz w:val="20"/>
          <w:szCs w:val="20"/>
          <w:lang w:eastAsia="en-AU"/>
        </w:rPr>
      </w:pPr>
    </w:p>
    <w:p w14:paraId="328FE806" w14:textId="77777777" w:rsidR="00FF2C68" w:rsidRPr="00574DD7" w:rsidRDefault="00FF2C68" w:rsidP="00FF2C68">
      <w:pPr>
        <w:tabs>
          <w:tab w:val="right" w:leader="dot" w:pos="8302"/>
        </w:tabs>
        <w:spacing w:before="60" w:after="0"/>
        <w:rPr>
          <w:noProof/>
          <w:webHidden/>
          <w:sz w:val="20"/>
          <w:szCs w:val="20"/>
        </w:rPr>
      </w:pPr>
    </w:p>
    <w:p w14:paraId="55C5016D" w14:textId="77777777" w:rsidR="00FF2C68" w:rsidRPr="00574DD7" w:rsidRDefault="00FF2C68" w:rsidP="00FF2C68">
      <w:pPr>
        <w:tabs>
          <w:tab w:val="right" w:leader="dot" w:pos="8302"/>
        </w:tabs>
        <w:spacing w:before="60" w:after="0"/>
        <w:rPr>
          <w:noProof/>
          <w:webHidden/>
          <w:sz w:val="20"/>
          <w:szCs w:val="20"/>
        </w:rPr>
      </w:pPr>
    </w:p>
    <w:p w14:paraId="01D484DF" w14:textId="77777777" w:rsidR="00FF2C68" w:rsidRPr="00574DD7" w:rsidRDefault="00FF2C68" w:rsidP="00FF2C68">
      <w:pPr>
        <w:tabs>
          <w:tab w:val="right" w:leader="dot" w:pos="8302"/>
        </w:tabs>
        <w:spacing w:before="60" w:after="0"/>
        <w:rPr>
          <w:noProof/>
          <w:webHidden/>
          <w:sz w:val="20"/>
          <w:szCs w:val="20"/>
        </w:rPr>
      </w:pPr>
    </w:p>
    <w:p w14:paraId="50FA236C" w14:textId="77777777" w:rsidR="00FF2C68" w:rsidRDefault="00FF2C68" w:rsidP="00FF2C68">
      <w:pPr>
        <w:tabs>
          <w:tab w:val="right" w:leader="dot" w:pos="8302"/>
        </w:tabs>
        <w:spacing w:before="60" w:after="0"/>
        <w:rPr>
          <w:noProof/>
          <w:webHidden/>
          <w:sz w:val="20"/>
          <w:szCs w:val="20"/>
        </w:rPr>
      </w:pPr>
    </w:p>
    <w:p w14:paraId="272DB9DC" w14:textId="77777777" w:rsidR="00FF2C68" w:rsidRDefault="00FF2C68" w:rsidP="00FF2C68">
      <w:pPr>
        <w:tabs>
          <w:tab w:val="right" w:leader="dot" w:pos="8302"/>
        </w:tabs>
        <w:spacing w:before="60" w:after="0"/>
        <w:rPr>
          <w:noProof/>
          <w:webHidden/>
          <w:sz w:val="20"/>
          <w:szCs w:val="20"/>
        </w:rPr>
      </w:pPr>
    </w:p>
    <w:p w14:paraId="203FEC50" w14:textId="77777777" w:rsidR="00FF2C68" w:rsidRDefault="00FF2C68" w:rsidP="00FF2C68">
      <w:pPr>
        <w:tabs>
          <w:tab w:val="right" w:leader="dot" w:pos="8302"/>
        </w:tabs>
        <w:spacing w:before="60" w:after="0"/>
        <w:rPr>
          <w:noProof/>
          <w:webHidden/>
          <w:sz w:val="20"/>
          <w:szCs w:val="20"/>
        </w:rPr>
      </w:pPr>
    </w:p>
    <w:p w14:paraId="4F59862A" w14:textId="77777777" w:rsidR="00FF2C68" w:rsidRDefault="00FF2C68" w:rsidP="00FF2C68">
      <w:pPr>
        <w:tabs>
          <w:tab w:val="right" w:leader="dot" w:pos="8302"/>
        </w:tabs>
        <w:spacing w:before="60" w:after="0"/>
        <w:rPr>
          <w:noProof/>
          <w:webHidden/>
          <w:sz w:val="20"/>
          <w:szCs w:val="20"/>
        </w:rPr>
      </w:pPr>
    </w:p>
    <w:p w14:paraId="387CCF93" w14:textId="77777777" w:rsidR="00FF2C68" w:rsidRDefault="00FF2C68" w:rsidP="00FF2C68">
      <w:pPr>
        <w:tabs>
          <w:tab w:val="right" w:leader="dot" w:pos="8302"/>
        </w:tabs>
        <w:spacing w:before="60" w:after="0"/>
        <w:rPr>
          <w:noProof/>
          <w:webHidden/>
          <w:sz w:val="20"/>
          <w:szCs w:val="20"/>
        </w:rPr>
      </w:pPr>
    </w:p>
    <w:p w14:paraId="27341DD6" w14:textId="77777777" w:rsidR="00FF2C68" w:rsidRDefault="00FF2C68" w:rsidP="00FF2C68">
      <w:pPr>
        <w:tabs>
          <w:tab w:val="right" w:leader="dot" w:pos="8302"/>
        </w:tabs>
        <w:spacing w:before="60" w:after="0"/>
        <w:rPr>
          <w:noProof/>
          <w:webHidden/>
          <w:sz w:val="20"/>
          <w:szCs w:val="20"/>
        </w:rPr>
      </w:pPr>
    </w:p>
    <w:p w14:paraId="15694FA5" w14:textId="77777777" w:rsidR="00FF2C68" w:rsidRDefault="00FF2C68" w:rsidP="00FF2C68">
      <w:pPr>
        <w:tabs>
          <w:tab w:val="right" w:leader="dot" w:pos="8302"/>
        </w:tabs>
        <w:spacing w:before="60" w:after="0"/>
        <w:rPr>
          <w:noProof/>
          <w:webHidden/>
          <w:sz w:val="20"/>
          <w:szCs w:val="20"/>
        </w:rPr>
      </w:pPr>
    </w:p>
    <w:p w14:paraId="04212990" w14:textId="77777777" w:rsidR="00FF2C68" w:rsidRDefault="00FF2C68" w:rsidP="00FF2C68">
      <w:pPr>
        <w:tabs>
          <w:tab w:val="right" w:leader="dot" w:pos="8302"/>
        </w:tabs>
        <w:spacing w:before="60" w:after="0"/>
        <w:rPr>
          <w:noProof/>
          <w:webHidden/>
          <w:sz w:val="20"/>
          <w:szCs w:val="20"/>
        </w:rPr>
      </w:pPr>
    </w:p>
    <w:p w14:paraId="07442AC5" w14:textId="77777777" w:rsidR="00FF2C68" w:rsidRDefault="00FF2C68" w:rsidP="00FF2C68">
      <w:pPr>
        <w:spacing w:before="60" w:after="0"/>
        <w:rPr>
          <w:sz w:val="20"/>
          <w:szCs w:val="20"/>
        </w:rPr>
      </w:pPr>
    </w:p>
    <w:p w14:paraId="5D29768C" w14:textId="77777777" w:rsidR="00FF2C68" w:rsidRDefault="00FF2C68" w:rsidP="00FF2C68">
      <w:pPr>
        <w:spacing w:before="60" w:after="0"/>
        <w:rPr>
          <w:sz w:val="20"/>
          <w:szCs w:val="20"/>
        </w:rPr>
      </w:pPr>
    </w:p>
    <w:p w14:paraId="1AB5AE6E" w14:textId="77777777" w:rsidR="00FF2C68" w:rsidRDefault="00FF2C68" w:rsidP="00FF2C68">
      <w:pPr>
        <w:spacing w:before="60" w:after="0"/>
        <w:rPr>
          <w:sz w:val="20"/>
          <w:szCs w:val="20"/>
        </w:rPr>
      </w:pPr>
    </w:p>
    <w:p w14:paraId="46F17612" w14:textId="77777777" w:rsidR="00FF2C68" w:rsidRDefault="00FF2C68" w:rsidP="00FF2C68">
      <w:pPr>
        <w:spacing w:before="60" w:after="0"/>
        <w:rPr>
          <w:sz w:val="20"/>
          <w:szCs w:val="20"/>
        </w:rPr>
      </w:pPr>
    </w:p>
    <w:p w14:paraId="384B6EA6" w14:textId="77777777" w:rsidR="00FF2C68" w:rsidRDefault="00FF2C68" w:rsidP="00FF2C68">
      <w:pPr>
        <w:spacing w:before="60" w:after="0"/>
        <w:rPr>
          <w:sz w:val="20"/>
          <w:szCs w:val="20"/>
        </w:rPr>
      </w:pPr>
    </w:p>
    <w:p w14:paraId="40E0B58A" w14:textId="77777777" w:rsidR="00FF2C68" w:rsidRDefault="00FF2C68" w:rsidP="00FF2C68">
      <w:pPr>
        <w:spacing w:before="60" w:after="0"/>
        <w:rPr>
          <w:sz w:val="20"/>
          <w:szCs w:val="20"/>
        </w:rPr>
      </w:pPr>
    </w:p>
    <w:p w14:paraId="07A143CE" w14:textId="77777777" w:rsidR="00FF2C68" w:rsidRDefault="00FF2C68" w:rsidP="00FF2C68">
      <w:pPr>
        <w:spacing w:before="60" w:after="0"/>
        <w:rPr>
          <w:sz w:val="20"/>
          <w:szCs w:val="20"/>
        </w:rPr>
      </w:pPr>
    </w:p>
    <w:p w14:paraId="50B2F30D" w14:textId="77777777" w:rsidR="00FF2C68" w:rsidRDefault="00FF2C68" w:rsidP="00FF2C68">
      <w:pPr>
        <w:spacing w:before="60" w:after="0"/>
        <w:rPr>
          <w:sz w:val="20"/>
          <w:szCs w:val="20"/>
        </w:rPr>
      </w:pPr>
    </w:p>
    <w:p w14:paraId="7C2322EB" w14:textId="77777777" w:rsidR="00FF2C68" w:rsidRPr="00574DD7" w:rsidRDefault="00FF2C68" w:rsidP="00FF2C68">
      <w:pPr>
        <w:spacing w:before="60" w:after="0"/>
        <w:rPr>
          <w:sz w:val="20"/>
          <w:szCs w:val="20"/>
        </w:rPr>
      </w:pPr>
    </w:p>
    <w:p w14:paraId="6AFF9278" w14:textId="77777777" w:rsidR="00FF2C68" w:rsidRPr="00480A40" w:rsidRDefault="00FF2C68" w:rsidP="00FF2C68">
      <w:pPr>
        <w:pStyle w:val="NormalWeb"/>
        <w:spacing w:before="60" w:beforeAutospacing="0" w:after="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2016</w:t>
      </w:r>
      <w:r w:rsidRPr="00480A40">
        <w:rPr>
          <w:rFonts w:ascii="Arial" w:hAnsi="Arial" w:cs="Arial"/>
          <w:sz w:val="16"/>
          <w:szCs w:val="16"/>
        </w:rPr>
        <w:t>.</w:t>
      </w:r>
    </w:p>
    <w:p w14:paraId="69A30498" w14:textId="77777777" w:rsidR="00FF2C68" w:rsidRPr="00480A40" w:rsidRDefault="00FF2C68" w:rsidP="00FF2C68">
      <w:pPr>
        <w:pStyle w:val="NormalWeb"/>
        <w:spacing w:before="60" w:beforeAutospacing="0" w:after="0" w:afterAutospacing="0"/>
        <w:rPr>
          <w:rFonts w:ascii="Arial" w:hAnsi="Arial" w:cs="Arial"/>
          <w:i/>
          <w:sz w:val="16"/>
          <w:szCs w:val="16"/>
        </w:rPr>
      </w:pPr>
      <w:r>
        <w:rPr>
          <w:rFonts w:ascii="Arial" w:hAnsi="Arial" w:cs="Arial"/>
          <w:noProof/>
          <w:sz w:val="16"/>
          <w:szCs w:val="16"/>
          <w:lang w:val="en-AU" w:eastAsia="en-AU"/>
        </w:rPr>
        <w:drawing>
          <wp:inline distT="0" distB="0" distL="0" distR="0" wp14:anchorId="072BC0E6" wp14:editId="3493F166">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2DF436ED" w14:textId="7E59550B" w:rsidR="00FF2C68" w:rsidRPr="008403C4" w:rsidRDefault="00FF2C68" w:rsidP="00FF2C68">
      <w:pPr>
        <w:pStyle w:val="NormalWeb"/>
        <w:spacing w:before="60" w:beforeAutospacing="0" w:after="0" w:afterAutospacing="0"/>
        <w:rPr>
          <w:rFonts w:ascii="Arial" w:hAnsi="Arial" w:cs="Arial"/>
          <w:sz w:val="16"/>
          <w:szCs w:val="16"/>
        </w:rPr>
      </w:pPr>
      <w:r w:rsidRPr="008403C4">
        <w:rPr>
          <w:rFonts w:ascii="Arial" w:hAnsi="Arial" w:cs="Arial"/>
          <w:i/>
          <w:sz w:val="16"/>
          <w:szCs w:val="16"/>
        </w:rPr>
        <w:t xml:space="preserve">Assessment of the </w:t>
      </w:r>
      <w:r w:rsidR="003C5B8E">
        <w:rPr>
          <w:rFonts w:ascii="Arial" w:hAnsi="Arial" w:cs="Arial"/>
          <w:i/>
          <w:sz w:val="16"/>
          <w:szCs w:val="16"/>
        </w:rPr>
        <w:t xml:space="preserve">South Australian Giant Crab </w:t>
      </w:r>
      <w:r w:rsidRPr="008403C4">
        <w:rPr>
          <w:rFonts w:ascii="Arial" w:hAnsi="Arial" w:cs="Arial"/>
          <w:i/>
          <w:sz w:val="16"/>
          <w:szCs w:val="16"/>
        </w:rPr>
        <w:t xml:space="preserve">Fishery </w:t>
      </w:r>
      <w:r w:rsidR="000A7439">
        <w:rPr>
          <w:rFonts w:ascii="Arial" w:hAnsi="Arial" w:cs="Arial"/>
          <w:i/>
          <w:sz w:val="16"/>
          <w:szCs w:val="16"/>
        </w:rPr>
        <w:t>November 2015</w:t>
      </w:r>
      <w:r w:rsidRPr="008403C4">
        <w:rPr>
          <w:rFonts w:ascii="Arial" w:hAnsi="Arial" w:cs="Arial"/>
          <w:i/>
          <w:sz w:val="16"/>
          <w:szCs w:val="16"/>
        </w:rPr>
        <w:t xml:space="preserve"> </w:t>
      </w:r>
      <w:r w:rsidRPr="008403C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0CEBF7AB" w14:textId="5C9E73DC" w:rsidR="00FF2C68" w:rsidRPr="00480A40" w:rsidRDefault="00FF2C68" w:rsidP="00FF2C68">
      <w:pPr>
        <w:pStyle w:val="NormalWeb"/>
        <w:spacing w:before="60" w:beforeAutospacing="0" w:after="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 xml:space="preserve">Assessment of the </w:t>
      </w:r>
      <w:r w:rsidR="003C5B8E">
        <w:rPr>
          <w:rFonts w:ascii="Arial" w:hAnsi="Arial" w:cs="Arial"/>
          <w:i/>
          <w:sz w:val="16"/>
          <w:szCs w:val="16"/>
        </w:rPr>
        <w:t xml:space="preserve">South Australian Giant Crab </w:t>
      </w:r>
      <w:r w:rsidRPr="008403C4">
        <w:rPr>
          <w:rFonts w:ascii="Arial" w:hAnsi="Arial" w:cs="Arial"/>
          <w:i/>
          <w:sz w:val="16"/>
          <w:szCs w:val="16"/>
        </w:rPr>
        <w:t xml:space="preserve">Fishery </w:t>
      </w:r>
      <w:r w:rsidR="000A7439">
        <w:rPr>
          <w:rFonts w:ascii="Arial" w:hAnsi="Arial" w:cs="Arial"/>
          <w:i/>
          <w:sz w:val="16"/>
          <w:szCs w:val="16"/>
        </w:rPr>
        <w:t>November 2015</w:t>
      </w:r>
      <w:r w:rsidRPr="008403C4">
        <w:rPr>
          <w:rFonts w:ascii="Arial" w:hAnsi="Arial" w:cs="Arial"/>
          <w:sz w:val="16"/>
          <w:szCs w:val="16"/>
        </w:rPr>
        <w:t>, Commonwealth of Australia 2016’.</w:t>
      </w:r>
    </w:p>
    <w:p w14:paraId="53891F3B" w14:textId="77777777" w:rsidR="00FF2C68" w:rsidRPr="00F6308F" w:rsidRDefault="00FF2C68" w:rsidP="00FF2C68">
      <w:pPr>
        <w:pStyle w:val="NormalWeb"/>
        <w:spacing w:before="60" w:beforeAutospacing="0" w:after="0" w:afterAutospacing="0"/>
        <w:rPr>
          <w:rFonts w:ascii="Arial" w:hAnsi="Arial" w:cs="Arial"/>
          <w:sz w:val="20"/>
          <w:szCs w:val="20"/>
          <w:lang w:val="en-AU"/>
        </w:rPr>
      </w:pPr>
      <w:r w:rsidRPr="00F6308F">
        <w:rPr>
          <w:rFonts w:ascii="Arial" w:hAnsi="Arial" w:cs="Arial"/>
          <w:sz w:val="20"/>
          <w:szCs w:val="20"/>
          <w:lang w:val="en-AU"/>
        </w:rPr>
        <w:t xml:space="preserve"> </w:t>
      </w:r>
    </w:p>
    <w:p w14:paraId="4E7FF88B" w14:textId="77777777" w:rsidR="00FF2C68" w:rsidRPr="00F6308F" w:rsidRDefault="00FF2C68" w:rsidP="00FF2C68">
      <w:pPr>
        <w:spacing w:before="60" w:after="0"/>
        <w:rPr>
          <w:b/>
          <w:sz w:val="16"/>
          <w:szCs w:val="16"/>
        </w:rPr>
      </w:pPr>
      <w:r w:rsidRPr="00F6308F">
        <w:rPr>
          <w:b/>
          <w:sz w:val="16"/>
          <w:szCs w:val="16"/>
        </w:rPr>
        <w:t>Disclaimer</w:t>
      </w:r>
    </w:p>
    <w:p w14:paraId="1E6ECBBB" w14:textId="77777777" w:rsidR="00FF2C68" w:rsidRPr="00F6308F" w:rsidRDefault="00FF2C68" w:rsidP="00FF2C68">
      <w:pPr>
        <w:pStyle w:val="NormalWeb"/>
        <w:spacing w:before="60" w:beforeAutospacing="0" w:after="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1B8A999B" w14:textId="77777777" w:rsidR="00FF2C68" w:rsidRDefault="00FF2C68" w:rsidP="00FF2C68">
      <w:pPr>
        <w:spacing w:before="60" w:after="0"/>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2F338C87" w14:textId="77777777" w:rsidR="00FF2C68" w:rsidRDefault="00FF2C68" w:rsidP="00FF2C68">
      <w:pPr>
        <w:spacing w:before="60" w:after="0"/>
        <w:rPr>
          <w:sz w:val="16"/>
          <w:szCs w:val="16"/>
        </w:rPr>
      </w:pPr>
    </w:p>
    <w:p w14:paraId="6D8D6779" w14:textId="77777777" w:rsidR="00FF2C68" w:rsidRPr="00A14FF4" w:rsidRDefault="00FF2C68" w:rsidP="00172D2D">
      <w:pPr>
        <w:pStyle w:val="Heading1"/>
      </w:pPr>
    </w:p>
    <w:p w14:paraId="64C78BE2" w14:textId="77777777" w:rsidR="00FF2C68" w:rsidRDefault="00FF2C68" w:rsidP="00FF2C68">
      <w:pPr>
        <w:rPr>
          <w:b/>
        </w:rPr>
        <w:sectPr w:rsidR="00FF2C68" w:rsidSect="001955CD">
          <w:pgSz w:w="11906" w:h="16838"/>
          <w:pgMar w:top="1418" w:right="1276" w:bottom="567" w:left="1418" w:header="425" w:footer="425" w:gutter="0"/>
          <w:pgNumType w:start="1"/>
          <w:cols w:space="708"/>
          <w:titlePg/>
          <w:docGrid w:linePitch="360"/>
        </w:sectPr>
      </w:pPr>
    </w:p>
    <w:sdt>
      <w:sdtPr>
        <w:rPr>
          <w:b/>
        </w:rPr>
        <w:id w:val="992149566"/>
        <w:docPartObj>
          <w:docPartGallery w:val="Table of Contents"/>
          <w:docPartUnique/>
        </w:docPartObj>
      </w:sdtPr>
      <w:sdtEndPr>
        <w:rPr>
          <w:b w:val="0"/>
          <w:noProof/>
        </w:rPr>
      </w:sdtEndPr>
      <w:sdtContent>
        <w:p w14:paraId="564E51EA" w14:textId="77777777" w:rsidR="00FF2C68" w:rsidRPr="00E22088" w:rsidRDefault="00FF2C68" w:rsidP="00FF2C68">
          <w:pPr>
            <w:rPr>
              <w:b/>
            </w:rPr>
          </w:pPr>
          <w:r w:rsidRPr="00E22088">
            <w:rPr>
              <w:b/>
            </w:rPr>
            <w:t>CONTENTS</w:t>
          </w:r>
        </w:p>
        <w:p w14:paraId="15A95EAB" w14:textId="77777777" w:rsidR="00FF2C68" w:rsidRDefault="00FF2C68" w:rsidP="004A2F03">
          <w:pPr>
            <w:pStyle w:val="TOC1"/>
          </w:pPr>
        </w:p>
        <w:p w14:paraId="6AA0D198" w14:textId="77777777" w:rsidR="00FE0751" w:rsidRDefault="00FF2C68">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22538908" w:history="1">
            <w:r w:rsidR="00FE0751" w:rsidRPr="00A979C0">
              <w:rPr>
                <w:rStyle w:val="Hyperlink"/>
              </w:rPr>
              <w:t>Section 1: Summary of the Assessment for the South Australian Giant Crab Fishery Against the Guidelines for the Ecologically Sustainable Management of Fisheries (2nd Edition)</w:t>
            </w:r>
            <w:r w:rsidR="00FE0751">
              <w:rPr>
                <w:webHidden/>
              </w:rPr>
              <w:tab/>
            </w:r>
            <w:r w:rsidR="00FE0751">
              <w:rPr>
                <w:webHidden/>
              </w:rPr>
              <w:fldChar w:fldCharType="begin"/>
            </w:r>
            <w:r w:rsidR="00FE0751">
              <w:rPr>
                <w:webHidden/>
              </w:rPr>
              <w:instrText xml:space="preserve"> PAGEREF _Toc522538908 \h </w:instrText>
            </w:r>
            <w:r w:rsidR="00FE0751">
              <w:rPr>
                <w:webHidden/>
              </w:rPr>
            </w:r>
            <w:r w:rsidR="00FE0751">
              <w:rPr>
                <w:webHidden/>
              </w:rPr>
              <w:fldChar w:fldCharType="separate"/>
            </w:r>
            <w:r w:rsidR="00264342">
              <w:rPr>
                <w:webHidden/>
              </w:rPr>
              <w:t>3</w:t>
            </w:r>
            <w:r w:rsidR="00FE0751">
              <w:rPr>
                <w:webHidden/>
              </w:rPr>
              <w:fldChar w:fldCharType="end"/>
            </w:r>
          </w:hyperlink>
        </w:p>
        <w:p w14:paraId="3695A4D6" w14:textId="77777777" w:rsidR="00FE0751" w:rsidRDefault="00BE30EF">
          <w:pPr>
            <w:pStyle w:val="TOC1"/>
            <w:rPr>
              <w:rFonts w:asciiTheme="minorHAnsi" w:eastAsiaTheme="minorEastAsia" w:hAnsiTheme="minorHAnsi" w:cstheme="minorBidi"/>
              <w:sz w:val="22"/>
              <w:szCs w:val="22"/>
            </w:rPr>
          </w:pPr>
          <w:hyperlink w:anchor="_Toc522538909" w:history="1">
            <w:r w:rsidR="00FE0751" w:rsidRPr="00A979C0">
              <w:rPr>
                <w:rStyle w:val="Hyperlink"/>
              </w:rPr>
              <w:t>Section 2: Detailed Analysis of the South Australian Giant Crab Fishery Against the Guidelines for the Ecologically Sustainable Management of Fisheries (2nd Edition)</w:t>
            </w:r>
            <w:r w:rsidR="00FE0751">
              <w:rPr>
                <w:webHidden/>
              </w:rPr>
              <w:tab/>
            </w:r>
            <w:r w:rsidR="00FE0751">
              <w:rPr>
                <w:webHidden/>
              </w:rPr>
              <w:fldChar w:fldCharType="begin"/>
            </w:r>
            <w:r w:rsidR="00FE0751">
              <w:rPr>
                <w:webHidden/>
              </w:rPr>
              <w:instrText xml:space="preserve"> PAGEREF _Toc522538909 \h </w:instrText>
            </w:r>
            <w:r w:rsidR="00FE0751">
              <w:rPr>
                <w:webHidden/>
              </w:rPr>
            </w:r>
            <w:r w:rsidR="00FE0751">
              <w:rPr>
                <w:webHidden/>
              </w:rPr>
              <w:fldChar w:fldCharType="separate"/>
            </w:r>
            <w:r w:rsidR="00264342">
              <w:rPr>
                <w:webHidden/>
              </w:rPr>
              <w:t>6</w:t>
            </w:r>
            <w:r w:rsidR="00FE0751">
              <w:rPr>
                <w:webHidden/>
              </w:rPr>
              <w:fldChar w:fldCharType="end"/>
            </w:r>
          </w:hyperlink>
        </w:p>
        <w:p w14:paraId="25E17FCF" w14:textId="77777777" w:rsidR="00FE0751" w:rsidRDefault="00BE30EF">
          <w:pPr>
            <w:pStyle w:val="TOC1"/>
            <w:rPr>
              <w:rFonts w:asciiTheme="minorHAnsi" w:eastAsiaTheme="minorEastAsia" w:hAnsiTheme="minorHAnsi" w:cstheme="minorBidi"/>
              <w:sz w:val="22"/>
              <w:szCs w:val="22"/>
            </w:rPr>
          </w:pPr>
          <w:hyperlink w:anchor="_Toc522538910" w:history="1">
            <w:r w:rsidR="00FE0751" w:rsidRPr="00A979C0">
              <w:rPr>
                <w:rStyle w:val="Hyperlink"/>
              </w:rPr>
              <w:t>Section 3: Assessment of the South Australian Giant Crab Fishery Against the Requirements of the EPBC Act</w:t>
            </w:r>
            <w:r w:rsidR="00FE0751">
              <w:rPr>
                <w:webHidden/>
              </w:rPr>
              <w:tab/>
            </w:r>
            <w:r w:rsidR="00FE0751">
              <w:rPr>
                <w:webHidden/>
              </w:rPr>
              <w:fldChar w:fldCharType="begin"/>
            </w:r>
            <w:r w:rsidR="00FE0751">
              <w:rPr>
                <w:webHidden/>
              </w:rPr>
              <w:instrText xml:space="preserve"> PAGEREF _Toc522538910 \h </w:instrText>
            </w:r>
            <w:r w:rsidR="00FE0751">
              <w:rPr>
                <w:webHidden/>
              </w:rPr>
            </w:r>
            <w:r w:rsidR="00FE0751">
              <w:rPr>
                <w:webHidden/>
              </w:rPr>
              <w:fldChar w:fldCharType="separate"/>
            </w:r>
            <w:r w:rsidR="00264342">
              <w:rPr>
                <w:webHidden/>
              </w:rPr>
              <w:t>11</w:t>
            </w:r>
            <w:r w:rsidR="00FE0751">
              <w:rPr>
                <w:webHidden/>
              </w:rPr>
              <w:fldChar w:fldCharType="end"/>
            </w:r>
          </w:hyperlink>
        </w:p>
        <w:p w14:paraId="0CB9E471" w14:textId="77777777" w:rsidR="00FF2C68" w:rsidRPr="00893305" w:rsidRDefault="00FF2C68" w:rsidP="00FF2C68">
          <w:r w:rsidRPr="00893305">
            <w:rPr>
              <w:b/>
              <w:bCs/>
              <w:noProof/>
            </w:rPr>
            <w:fldChar w:fldCharType="end"/>
          </w:r>
        </w:p>
      </w:sdtContent>
    </w:sdt>
    <w:p w14:paraId="527D6D62" w14:textId="77777777" w:rsidR="00FF2C68" w:rsidRDefault="00FF2C68" w:rsidP="00FF2C68">
      <w:pPr>
        <w:spacing w:after="0"/>
        <w:rPr>
          <w:rStyle w:val="Emphasis"/>
          <w:rFonts w:cs="Arial"/>
          <w:b/>
          <w:i w:val="0"/>
          <w:iCs w:val="0"/>
        </w:rPr>
        <w:sectPr w:rsidR="00FF2C68" w:rsidSect="003C5B8E">
          <w:headerReference w:type="even" r:id="rId15"/>
          <w:headerReference w:type="default" r:id="rId16"/>
          <w:footerReference w:type="default" r:id="rId17"/>
          <w:headerReference w:type="first" r:id="rId18"/>
          <w:pgSz w:w="11906" w:h="16838"/>
          <w:pgMar w:top="1361" w:right="709" w:bottom="1361" w:left="709" w:header="709" w:footer="57" w:gutter="0"/>
          <w:cols w:space="708"/>
          <w:docGrid w:linePitch="360"/>
        </w:sectPr>
      </w:pPr>
    </w:p>
    <w:p w14:paraId="30DA3A7E" w14:textId="4B2D71E6" w:rsidR="00FF2C68" w:rsidRPr="00172D2D" w:rsidRDefault="00FF2C68" w:rsidP="00172D2D">
      <w:pPr>
        <w:pStyle w:val="Heading1"/>
      </w:pPr>
      <w:bookmarkStart w:id="2" w:name="_Toc514849743"/>
      <w:bookmarkStart w:id="3" w:name="_Toc522538908"/>
      <w:bookmarkStart w:id="4" w:name="_Toc514848955"/>
      <w:bookmarkStart w:id="5" w:name="_Toc514848956"/>
      <w:r w:rsidRPr="00172D2D">
        <w:lastRenderedPageBreak/>
        <w:t xml:space="preserve">Section 1: Summary of the Assessment for the </w:t>
      </w:r>
      <w:r w:rsidR="003C5B8E" w:rsidRPr="00172D2D">
        <w:t xml:space="preserve">South Australian Giant Crab </w:t>
      </w:r>
      <w:r w:rsidRPr="00172D2D">
        <w:t>Fishery Against the Guidelines for the Ecologically Sustainable Management of Fisheries (2nd Edition)</w:t>
      </w:r>
      <w:bookmarkEnd w:id="2"/>
      <w:bookmarkEnd w:id="3"/>
    </w:p>
    <w:bookmarkEnd w:id="4"/>
    <w:bookmarkEnd w:id="5"/>
    <w:p w14:paraId="229A422D" w14:textId="77777777" w:rsidR="008E3774" w:rsidRPr="00172D2D" w:rsidRDefault="008E3774" w:rsidP="00172D2D">
      <w:pPr>
        <w:spacing w:before="60" w:after="60" w:line="240" w:lineRule="auto"/>
        <w:rPr>
          <w:rStyle w:val="Emphasis"/>
          <w:rFonts w:cs="Arial"/>
          <w:i w:val="0"/>
          <w:iCs w:val="0"/>
          <w:sz w:val="20"/>
          <w:szCs w:val="20"/>
        </w:rPr>
      </w:pPr>
      <w:r w:rsidRPr="00172D2D">
        <w:rPr>
          <w:rStyle w:val="Emphasis"/>
          <w:rFonts w:cs="Arial"/>
          <w:b/>
          <w:i w:val="0"/>
          <w:iCs w:val="0"/>
          <w:sz w:val="20"/>
          <w:szCs w:val="20"/>
        </w:rPr>
        <w:t>Purpose</w:t>
      </w:r>
      <w:r w:rsidRPr="00172D2D">
        <w:rPr>
          <w:rStyle w:val="Emphasis"/>
          <w:rFonts w:cs="Arial"/>
          <w:i w:val="0"/>
          <w:iCs w:val="0"/>
          <w:sz w:val="20"/>
          <w:szCs w:val="20"/>
        </w:rPr>
        <w:t xml:space="preserve">: </w:t>
      </w:r>
      <w:r w:rsidR="00B16E10" w:rsidRPr="00172D2D">
        <w:rPr>
          <w:rStyle w:val="Emphasis"/>
          <w:rFonts w:cs="Arial"/>
          <w:i w:val="0"/>
          <w:iCs w:val="0"/>
          <w:sz w:val="20"/>
          <w:szCs w:val="20"/>
        </w:rPr>
        <w:t>T</w:t>
      </w:r>
      <w:r w:rsidRPr="00172D2D">
        <w:rPr>
          <w:rStyle w:val="Emphasis"/>
          <w:rFonts w:cs="Arial"/>
          <w:i w:val="0"/>
          <w:iCs w:val="0"/>
          <w:sz w:val="20"/>
          <w:szCs w:val="20"/>
        </w:rPr>
        <w:t>o enable transparent articulation of which commercial fisheries assessed under the EPBC Act clearly meet all legislative requirements</w:t>
      </w:r>
      <w:r w:rsidR="00B16E10" w:rsidRPr="00172D2D">
        <w:rPr>
          <w:rStyle w:val="Emphasis"/>
          <w:rFonts w:cs="Arial"/>
          <w:i w:val="0"/>
          <w:iCs w:val="0"/>
          <w:sz w:val="20"/>
          <w:szCs w:val="20"/>
        </w:rPr>
        <w:t xml:space="preserve"> and all Guidelines, and </w:t>
      </w:r>
      <w:r w:rsidR="00164155" w:rsidRPr="00172D2D">
        <w:rPr>
          <w:rStyle w:val="Emphasis"/>
          <w:rFonts w:cs="Arial"/>
          <w:i w:val="0"/>
          <w:iCs w:val="0"/>
          <w:sz w:val="20"/>
          <w:szCs w:val="20"/>
        </w:rPr>
        <w:t xml:space="preserve">those </w:t>
      </w:r>
      <w:r w:rsidR="00B16E10" w:rsidRPr="00172D2D">
        <w:rPr>
          <w:rStyle w:val="Emphasis"/>
          <w:rFonts w:cs="Arial"/>
          <w:i w:val="0"/>
          <w:iCs w:val="0"/>
          <w:sz w:val="20"/>
          <w:szCs w:val="20"/>
        </w:rPr>
        <w:t>which may require further investigation or assessment to demonstrate requirements are met.</w:t>
      </w:r>
    </w:p>
    <w:p w14:paraId="229A4230" w14:textId="65BDCAB6" w:rsidR="00DF5905" w:rsidRPr="00172D2D" w:rsidRDefault="00172D2D" w:rsidP="00172D2D">
      <w:pPr>
        <w:spacing w:before="60" w:after="60" w:line="240" w:lineRule="auto"/>
        <w:rPr>
          <w:rStyle w:val="Emphasis"/>
          <w:rFonts w:cs="Arial"/>
          <w:i w:val="0"/>
          <w:iCs w:val="0"/>
          <w:sz w:val="20"/>
          <w:szCs w:val="20"/>
        </w:rPr>
      </w:pPr>
      <w:r w:rsidRPr="00172D2D">
        <w:rPr>
          <w:rStyle w:val="Emphasis"/>
          <w:rFonts w:cs="Arial"/>
          <w:b/>
          <w:i w:val="0"/>
          <w:iCs w:val="0"/>
          <w:sz w:val="20"/>
          <w:szCs w:val="20"/>
        </w:rPr>
        <w:t>Summary:</w:t>
      </w:r>
      <w:r w:rsidRPr="00172D2D">
        <w:rPr>
          <w:rStyle w:val="Emphasis"/>
          <w:rFonts w:cs="Arial"/>
          <w:i w:val="0"/>
          <w:iCs w:val="0"/>
          <w:sz w:val="20"/>
          <w:szCs w:val="20"/>
        </w:rPr>
        <w:t xml:space="preserve"> </w:t>
      </w:r>
      <w:r w:rsidR="004D2EE3" w:rsidRPr="00172D2D">
        <w:rPr>
          <w:rStyle w:val="Emphasis"/>
          <w:rFonts w:cs="Arial"/>
          <w:i w:val="0"/>
          <w:iCs w:val="0"/>
          <w:sz w:val="20"/>
          <w:szCs w:val="20"/>
        </w:rPr>
        <w:t xml:space="preserve">Overview of </w:t>
      </w:r>
      <w:r w:rsidR="00FC1856" w:rsidRPr="00172D2D">
        <w:rPr>
          <w:rStyle w:val="Emphasis"/>
          <w:rFonts w:cs="Arial"/>
          <w:i w:val="0"/>
          <w:iCs w:val="0"/>
          <w:sz w:val="20"/>
          <w:szCs w:val="20"/>
        </w:rPr>
        <w:t xml:space="preserve">SA </w:t>
      </w:r>
      <w:r w:rsidR="009479D2" w:rsidRPr="00172D2D">
        <w:rPr>
          <w:rStyle w:val="Emphasis"/>
          <w:rFonts w:cs="Arial"/>
          <w:i w:val="0"/>
          <w:iCs w:val="0"/>
          <w:sz w:val="20"/>
          <w:szCs w:val="20"/>
        </w:rPr>
        <w:t>Giant</w:t>
      </w:r>
      <w:r w:rsidR="0084437A" w:rsidRPr="00172D2D">
        <w:rPr>
          <w:rStyle w:val="Emphasis"/>
          <w:rFonts w:cs="Arial"/>
          <w:i w:val="0"/>
          <w:iCs w:val="0"/>
          <w:sz w:val="20"/>
          <w:szCs w:val="20"/>
        </w:rPr>
        <w:t xml:space="preserve"> Crab</w:t>
      </w:r>
      <w:r w:rsidR="00FC1856" w:rsidRPr="00172D2D">
        <w:rPr>
          <w:rStyle w:val="Emphasis"/>
          <w:rFonts w:cs="Arial"/>
          <w:i w:val="0"/>
          <w:iCs w:val="0"/>
          <w:sz w:val="20"/>
          <w:szCs w:val="20"/>
        </w:rPr>
        <w:t xml:space="preserve"> Fishery</w:t>
      </w:r>
      <w:r w:rsidR="004D2EE3" w:rsidRPr="00172D2D">
        <w:rPr>
          <w:rStyle w:val="Emphasis"/>
          <w:rFonts w:cs="Arial"/>
          <w:i w:val="0"/>
          <w:iCs w:val="0"/>
          <w:sz w:val="20"/>
          <w:szCs w:val="20"/>
        </w:rPr>
        <w:t xml:space="preserve"> against the relevant requirements of the </w:t>
      </w:r>
      <w:r w:rsidR="00B16E10" w:rsidRPr="00172D2D">
        <w:rPr>
          <w:rStyle w:val="Emphasis"/>
          <w:rFonts w:cs="Arial"/>
          <w:i w:val="0"/>
          <w:iCs w:val="0"/>
          <w:sz w:val="20"/>
          <w:szCs w:val="20"/>
        </w:rPr>
        <w:t xml:space="preserve">Guidelines </w:t>
      </w:r>
      <w:r w:rsidR="004D2EE3" w:rsidRPr="00172D2D">
        <w:rPr>
          <w:rStyle w:val="Emphasis"/>
          <w:rFonts w:cs="Arial"/>
          <w:i w:val="0"/>
          <w:iCs w:val="0"/>
          <w:sz w:val="20"/>
          <w:szCs w:val="20"/>
        </w:rPr>
        <w:t xml:space="preserve">and the </w:t>
      </w:r>
      <w:r w:rsidR="00B16E10" w:rsidRPr="00172D2D">
        <w:rPr>
          <w:rStyle w:val="Emphasis"/>
          <w:rFonts w:cs="Arial"/>
          <w:i w:val="0"/>
          <w:iCs w:val="0"/>
          <w:sz w:val="20"/>
          <w:szCs w:val="20"/>
        </w:rPr>
        <w:t>EPBC Act.</w:t>
      </w:r>
    </w:p>
    <w:tbl>
      <w:tblPr>
        <w:tblStyle w:val="TableGrid"/>
        <w:tblW w:w="5000" w:type="pct"/>
        <w:tblLayout w:type="fixed"/>
        <w:tblLook w:val="04A0" w:firstRow="1" w:lastRow="0" w:firstColumn="1" w:lastColumn="0" w:noHBand="0" w:noVBand="1"/>
      </w:tblPr>
      <w:tblGrid>
        <w:gridCol w:w="3526"/>
        <w:gridCol w:w="1410"/>
        <w:gridCol w:w="1411"/>
        <w:gridCol w:w="1411"/>
        <w:gridCol w:w="6348"/>
      </w:tblGrid>
      <w:tr w:rsidR="000E549D" w:rsidRPr="00172D2D" w14:paraId="229A4237" w14:textId="77777777" w:rsidTr="00172D2D">
        <w:trPr>
          <w:cnfStyle w:val="100000000000" w:firstRow="1" w:lastRow="0" w:firstColumn="0" w:lastColumn="0" w:oddVBand="0" w:evenVBand="0" w:oddHBand="0" w:evenHBand="0" w:firstRowFirstColumn="0" w:firstRowLastColumn="0" w:lastRowFirstColumn="0" w:lastRowLastColumn="0"/>
        </w:trPr>
        <w:tc>
          <w:tcPr>
            <w:tcW w:w="1250" w:type="pct"/>
            <w:vAlign w:val="center"/>
          </w:tcPr>
          <w:p w14:paraId="229A4232" w14:textId="2EC1C3AF" w:rsidR="000E549D" w:rsidRPr="00172D2D" w:rsidRDefault="00172D2D" w:rsidP="00172D2D">
            <w:pPr>
              <w:spacing w:before="60" w:after="60" w:line="240" w:lineRule="auto"/>
              <w:ind w:left="426" w:hanging="426"/>
              <w:rPr>
                <w:rFonts w:cs="Arial"/>
                <w:b/>
                <w:sz w:val="20"/>
                <w:szCs w:val="20"/>
              </w:rPr>
            </w:pPr>
            <w:r w:rsidRPr="00172D2D">
              <w:rPr>
                <w:rFonts w:cs="Arial"/>
                <w:b/>
                <w:sz w:val="20"/>
                <w:szCs w:val="20"/>
              </w:rPr>
              <w:t>Guidelines</w:t>
            </w:r>
          </w:p>
        </w:tc>
        <w:tc>
          <w:tcPr>
            <w:tcW w:w="500" w:type="pct"/>
            <w:shd w:val="clear" w:color="auto" w:fill="92D050"/>
            <w:vAlign w:val="center"/>
          </w:tcPr>
          <w:p w14:paraId="229A4233" w14:textId="77777777" w:rsidR="000E549D" w:rsidRPr="00172D2D" w:rsidRDefault="000E549D" w:rsidP="00172D2D">
            <w:pPr>
              <w:spacing w:before="60" w:after="60" w:line="240" w:lineRule="auto"/>
              <w:rPr>
                <w:rFonts w:cs="Arial"/>
                <w:b/>
                <w:sz w:val="20"/>
                <w:szCs w:val="20"/>
              </w:rPr>
            </w:pPr>
            <w:r w:rsidRPr="00172D2D">
              <w:rPr>
                <w:rFonts w:cs="Arial"/>
                <w:b/>
                <w:sz w:val="20"/>
                <w:szCs w:val="20"/>
              </w:rPr>
              <w:t>Meets</w:t>
            </w:r>
          </w:p>
        </w:tc>
        <w:tc>
          <w:tcPr>
            <w:tcW w:w="500" w:type="pct"/>
            <w:shd w:val="clear" w:color="auto" w:fill="FFC000"/>
            <w:vAlign w:val="center"/>
          </w:tcPr>
          <w:p w14:paraId="229A4234" w14:textId="77777777" w:rsidR="000E549D" w:rsidRPr="00172D2D" w:rsidRDefault="000E549D" w:rsidP="00172D2D">
            <w:pPr>
              <w:spacing w:before="60" w:after="60" w:line="240" w:lineRule="auto"/>
              <w:rPr>
                <w:rFonts w:cs="Arial"/>
                <w:b/>
                <w:sz w:val="20"/>
                <w:szCs w:val="20"/>
              </w:rPr>
            </w:pPr>
            <w:r w:rsidRPr="00172D2D">
              <w:rPr>
                <w:rFonts w:cs="Arial"/>
                <w:b/>
                <w:sz w:val="20"/>
                <w:szCs w:val="20"/>
              </w:rPr>
              <w:t>Partially meets</w:t>
            </w:r>
          </w:p>
        </w:tc>
        <w:tc>
          <w:tcPr>
            <w:tcW w:w="500" w:type="pct"/>
            <w:shd w:val="clear" w:color="auto" w:fill="FF0000"/>
            <w:vAlign w:val="center"/>
          </w:tcPr>
          <w:p w14:paraId="229A4235" w14:textId="77777777" w:rsidR="000E549D" w:rsidRPr="00172D2D" w:rsidRDefault="000E549D" w:rsidP="00172D2D">
            <w:pPr>
              <w:spacing w:before="60" w:after="60" w:line="240" w:lineRule="auto"/>
              <w:rPr>
                <w:rFonts w:cs="Arial"/>
                <w:b/>
                <w:sz w:val="20"/>
                <w:szCs w:val="20"/>
              </w:rPr>
            </w:pPr>
            <w:r w:rsidRPr="00172D2D">
              <w:rPr>
                <w:rFonts w:cs="Arial"/>
                <w:b/>
                <w:sz w:val="20"/>
                <w:szCs w:val="20"/>
              </w:rPr>
              <w:t>Does not meet</w:t>
            </w:r>
          </w:p>
        </w:tc>
        <w:tc>
          <w:tcPr>
            <w:tcW w:w="2250" w:type="pct"/>
            <w:vAlign w:val="center"/>
          </w:tcPr>
          <w:p w14:paraId="229A4236" w14:textId="77777777" w:rsidR="000E549D" w:rsidRPr="00172D2D" w:rsidRDefault="00B16E10" w:rsidP="00172D2D">
            <w:pPr>
              <w:spacing w:before="60" w:after="60" w:line="240" w:lineRule="auto"/>
              <w:rPr>
                <w:rFonts w:cs="Arial"/>
                <w:b/>
                <w:sz w:val="20"/>
                <w:szCs w:val="20"/>
              </w:rPr>
            </w:pPr>
            <w:r w:rsidRPr="00172D2D">
              <w:rPr>
                <w:rFonts w:cs="Arial"/>
                <w:b/>
                <w:sz w:val="20"/>
                <w:szCs w:val="20"/>
              </w:rPr>
              <w:t>Details</w:t>
            </w:r>
          </w:p>
        </w:tc>
      </w:tr>
      <w:tr w:rsidR="00B16E10" w:rsidRPr="00172D2D" w14:paraId="229A423F" w14:textId="77777777" w:rsidTr="00172D2D">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229A423A" w14:textId="77777777" w:rsidR="00B16E10" w:rsidRPr="00172D2D" w:rsidRDefault="00B16E10" w:rsidP="00172D2D">
            <w:pPr>
              <w:spacing w:before="60" w:after="60" w:line="240" w:lineRule="auto"/>
              <w:ind w:left="426" w:hanging="426"/>
              <w:rPr>
                <w:rFonts w:cs="Arial"/>
                <w:sz w:val="20"/>
                <w:szCs w:val="20"/>
              </w:rPr>
            </w:pPr>
            <w:r w:rsidRPr="00172D2D">
              <w:rPr>
                <w:rFonts w:cs="Arial"/>
                <w:sz w:val="20"/>
                <w:szCs w:val="20"/>
              </w:rPr>
              <w:t>Management regime</w:t>
            </w:r>
          </w:p>
        </w:tc>
        <w:tc>
          <w:tcPr>
            <w:tcW w:w="500" w:type="pct"/>
            <w:shd w:val="clear" w:color="auto" w:fill="92D050"/>
          </w:tcPr>
          <w:p w14:paraId="229A423B" w14:textId="77777777" w:rsidR="00B16E10" w:rsidRPr="00172D2D" w:rsidRDefault="00366F99" w:rsidP="00172D2D">
            <w:pPr>
              <w:spacing w:before="60" w:after="60" w:line="240" w:lineRule="auto"/>
              <w:rPr>
                <w:rFonts w:cs="Arial"/>
                <w:sz w:val="20"/>
                <w:szCs w:val="20"/>
              </w:rPr>
            </w:pPr>
            <w:r w:rsidRPr="00172D2D">
              <w:rPr>
                <w:rFonts w:cs="Arial"/>
                <w:sz w:val="20"/>
                <w:szCs w:val="20"/>
              </w:rPr>
              <w:t>5 of 8</w:t>
            </w:r>
          </w:p>
        </w:tc>
        <w:tc>
          <w:tcPr>
            <w:tcW w:w="500" w:type="pct"/>
            <w:shd w:val="clear" w:color="auto" w:fill="FFC000"/>
          </w:tcPr>
          <w:p w14:paraId="229A423C" w14:textId="77777777" w:rsidR="00B16E10" w:rsidRPr="00172D2D" w:rsidRDefault="00366F99" w:rsidP="00172D2D">
            <w:pPr>
              <w:spacing w:before="60" w:after="60" w:line="240" w:lineRule="auto"/>
              <w:rPr>
                <w:rFonts w:cs="Arial"/>
                <w:sz w:val="20"/>
                <w:szCs w:val="20"/>
              </w:rPr>
            </w:pPr>
            <w:r w:rsidRPr="00172D2D">
              <w:rPr>
                <w:rFonts w:cs="Arial"/>
                <w:sz w:val="20"/>
                <w:szCs w:val="20"/>
              </w:rPr>
              <w:t>3 of 8</w:t>
            </w:r>
          </w:p>
        </w:tc>
        <w:tc>
          <w:tcPr>
            <w:tcW w:w="500" w:type="pct"/>
            <w:shd w:val="clear" w:color="auto" w:fill="auto"/>
          </w:tcPr>
          <w:p w14:paraId="229A423D" w14:textId="696055DA" w:rsidR="00B16E10" w:rsidRPr="00172D2D" w:rsidRDefault="00B16E10" w:rsidP="00172D2D">
            <w:pPr>
              <w:spacing w:before="60" w:after="60" w:line="240" w:lineRule="auto"/>
              <w:rPr>
                <w:rFonts w:cs="Arial"/>
                <w:sz w:val="20"/>
                <w:szCs w:val="20"/>
              </w:rPr>
            </w:pPr>
          </w:p>
        </w:tc>
        <w:tc>
          <w:tcPr>
            <w:tcW w:w="2250" w:type="pct"/>
          </w:tcPr>
          <w:p w14:paraId="229A423E" w14:textId="77777777" w:rsidR="00B16E10" w:rsidRPr="00172D2D" w:rsidRDefault="00297699" w:rsidP="00172D2D">
            <w:pPr>
              <w:spacing w:before="60" w:after="60" w:line="240" w:lineRule="auto"/>
              <w:rPr>
                <w:rFonts w:cs="Arial"/>
                <w:sz w:val="20"/>
                <w:szCs w:val="20"/>
                <w:highlight w:val="yellow"/>
              </w:rPr>
            </w:pPr>
            <w:r w:rsidRPr="00172D2D">
              <w:rPr>
                <w:rFonts w:cs="Arial"/>
                <w:sz w:val="20"/>
                <w:szCs w:val="20"/>
              </w:rPr>
              <w:t>While no formal management plan in place, m</w:t>
            </w:r>
            <w:r w:rsidR="00F7393E" w:rsidRPr="00172D2D">
              <w:rPr>
                <w:rFonts w:cs="Arial"/>
                <w:sz w:val="20"/>
                <w:szCs w:val="20"/>
              </w:rPr>
              <w:t xml:space="preserve">anagement regime </w:t>
            </w:r>
            <w:r w:rsidRPr="00172D2D">
              <w:rPr>
                <w:rFonts w:cs="Arial"/>
                <w:sz w:val="20"/>
                <w:szCs w:val="20"/>
              </w:rPr>
              <w:t xml:space="preserve">and stock status reports </w:t>
            </w:r>
            <w:r w:rsidR="00021F7A" w:rsidRPr="00172D2D">
              <w:rPr>
                <w:rFonts w:cs="Arial"/>
                <w:sz w:val="20"/>
                <w:szCs w:val="20"/>
              </w:rPr>
              <w:t>are publically available</w:t>
            </w:r>
            <w:r w:rsidR="00DB08A1" w:rsidRPr="00172D2D">
              <w:rPr>
                <w:rFonts w:cs="Arial"/>
                <w:sz w:val="20"/>
                <w:szCs w:val="20"/>
              </w:rPr>
              <w:t xml:space="preserve">. </w:t>
            </w:r>
            <w:r w:rsidR="00F7393E" w:rsidRPr="00172D2D">
              <w:rPr>
                <w:rFonts w:cs="Arial"/>
                <w:sz w:val="20"/>
                <w:szCs w:val="20"/>
              </w:rPr>
              <w:t>O</w:t>
            </w:r>
            <w:r w:rsidR="00D24533" w:rsidRPr="00172D2D">
              <w:rPr>
                <w:rFonts w:cs="Arial"/>
                <w:sz w:val="20"/>
                <w:szCs w:val="20"/>
              </w:rPr>
              <w:t>ngoing consultation for management has been limited since 2007</w:t>
            </w:r>
            <w:r w:rsidR="00F7393E" w:rsidRPr="00172D2D">
              <w:rPr>
                <w:rFonts w:cs="Arial"/>
                <w:sz w:val="20"/>
                <w:szCs w:val="20"/>
              </w:rPr>
              <w:t>. S</w:t>
            </w:r>
            <w:r w:rsidR="00D24533" w:rsidRPr="00172D2D">
              <w:rPr>
                <w:rFonts w:cs="Arial"/>
                <w:sz w:val="20"/>
                <w:szCs w:val="20"/>
              </w:rPr>
              <w:t>ome performance indicators could be improved, these are currently under review.</w:t>
            </w:r>
          </w:p>
        </w:tc>
      </w:tr>
      <w:tr w:rsidR="00EB4449" w:rsidRPr="00172D2D" w14:paraId="229A4245" w14:textId="77777777" w:rsidTr="00172D2D">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229A4240" w14:textId="77777777" w:rsidR="00EB4449" w:rsidRPr="00172D2D" w:rsidRDefault="00EB4449" w:rsidP="00172D2D">
            <w:pPr>
              <w:spacing w:before="60" w:after="60" w:line="240" w:lineRule="auto"/>
              <w:ind w:left="426" w:hanging="426"/>
              <w:rPr>
                <w:rFonts w:cs="Arial"/>
                <w:sz w:val="20"/>
                <w:szCs w:val="20"/>
              </w:rPr>
            </w:pPr>
            <w:r w:rsidRPr="00172D2D">
              <w:rPr>
                <w:rFonts w:cs="Arial"/>
                <w:sz w:val="20"/>
                <w:szCs w:val="20"/>
              </w:rPr>
              <w:t>Principle 1 (target stocks)</w:t>
            </w:r>
          </w:p>
        </w:tc>
        <w:tc>
          <w:tcPr>
            <w:tcW w:w="500" w:type="pct"/>
            <w:shd w:val="clear" w:color="auto" w:fill="92D050"/>
          </w:tcPr>
          <w:p w14:paraId="229A4241" w14:textId="77777777" w:rsidR="00EB4449" w:rsidRPr="00172D2D" w:rsidRDefault="00366F99" w:rsidP="00172D2D">
            <w:pPr>
              <w:spacing w:before="60" w:after="60" w:line="240" w:lineRule="auto"/>
              <w:rPr>
                <w:rFonts w:cs="Arial"/>
                <w:sz w:val="20"/>
                <w:szCs w:val="20"/>
              </w:rPr>
            </w:pPr>
            <w:r w:rsidRPr="00172D2D">
              <w:rPr>
                <w:rFonts w:cs="Arial"/>
                <w:sz w:val="20"/>
                <w:szCs w:val="20"/>
              </w:rPr>
              <w:t>All but 2</w:t>
            </w:r>
          </w:p>
        </w:tc>
        <w:tc>
          <w:tcPr>
            <w:tcW w:w="500" w:type="pct"/>
            <w:shd w:val="clear" w:color="auto" w:fill="FFC000"/>
          </w:tcPr>
          <w:p w14:paraId="229A4242" w14:textId="77777777" w:rsidR="00EB4449" w:rsidRPr="00172D2D" w:rsidRDefault="00D24533" w:rsidP="00172D2D">
            <w:pPr>
              <w:spacing w:before="60" w:after="60" w:line="240" w:lineRule="auto"/>
              <w:rPr>
                <w:rFonts w:cs="Arial"/>
                <w:sz w:val="20"/>
                <w:szCs w:val="20"/>
              </w:rPr>
            </w:pPr>
            <w:r w:rsidRPr="00172D2D">
              <w:rPr>
                <w:rFonts w:cs="Arial"/>
                <w:sz w:val="20"/>
                <w:szCs w:val="20"/>
              </w:rPr>
              <w:t>2</w:t>
            </w:r>
          </w:p>
        </w:tc>
        <w:tc>
          <w:tcPr>
            <w:tcW w:w="500" w:type="pct"/>
            <w:shd w:val="clear" w:color="auto" w:fill="auto"/>
          </w:tcPr>
          <w:p w14:paraId="229A4243" w14:textId="2FCA7013" w:rsidR="00EB4449" w:rsidRPr="00172D2D" w:rsidRDefault="00EB4449" w:rsidP="00172D2D">
            <w:pPr>
              <w:spacing w:before="60" w:after="60" w:line="240" w:lineRule="auto"/>
              <w:rPr>
                <w:rFonts w:cs="Arial"/>
                <w:sz w:val="20"/>
                <w:szCs w:val="20"/>
              </w:rPr>
            </w:pPr>
          </w:p>
        </w:tc>
        <w:tc>
          <w:tcPr>
            <w:tcW w:w="2250" w:type="pct"/>
          </w:tcPr>
          <w:p w14:paraId="229A4244" w14:textId="77777777" w:rsidR="00EB4449" w:rsidRPr="00172D2D" w:rsidRDefault="00EB4449" w:rsidP="00172D2D">
            <w:pPr>
              <w:spacing w:before="60" w:after="60" w:line="240" w:lineRule="auto"/>
              <w:rPr>
                <w:rFonts w:cs="Arial"/>
                <w:sz w:val="20"/>
                <w:szCs w:val="20"/>
                <w:highlight w:val="yellow"/>
              </w:rPr>
            </w:pPr>
            <w:r w:rsidRPr="00172D2D">
              <w:rPr>
                <w:rFonts w:cs="Arial"/>
                <w:sz w:val="20"/>
                <w:szCs w:val="20"/>
              </w:rPr>
              <w:t>Robust and active management of target stocks</w:t>
            </w:r>
            <w:r w:rsidR="003F46A2" w:rsidRPr="00172D2D">
              <w:rPr>
                <w:rFonts w:cs="Arial"/>
                <w:sz w:val="20"/>
                <w:szCs w:val="20"/>
              </w:rPr>
              <w:t>, however concerns with certainty of current stock assessment due to limitations with data</w:t>
            </w:r>
            <w:r w:rsidR="00431124" w:rsidRPr="00172D2D">
              <w:rPr>
                <w:rFonts w:cs="Arial"/>
                <w:sz w:val="20"/>
                <w:szCs w:val="20"/>
              </w:rPr>
              <w:t>.</w:t>
            </w:r>
            <w:r w:rsidRPr="00172D2D">
              <w:rPr>
                <w:rFonts w:cs="Arial"/>
                <w:sz w:val="20"/>
                <w:szCs w:val="20"/>
              </w:rPr>
              <w:t xml:space="preserve"> </w:t>
            </w:r>
          </w:p>
        </w:tc>
      </w:tr>
      <w:tr w:rsidR="00EB4449" w:rsidRPr="00172D2D" w14:paraId="229A424B" w14:textId="77777777" w:rsidTr="00172D2D">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229A4246" w14:textId="77777777" w:rsidR="00EB4449" w:rsidRPr="00172D2D" w:rsidRDefault="00EB4449" w:rsidP="00172D2D">
            <w:pPr>
              <w:spacing w:before="60" w:after="60" w:line="240" w:lineRule="auto"/>
              <w:ind w:left="426" w:hanging="426"/>
              <w:rPr>
                <w:rFonts w:cs="Arial"/>
                <w:sz w:val="20"/>
                <w:szCs w:val="20"/>
              </w:rPr>
            </w:pPr>
            <w:r w:rsidRPr="00172D2D">
              <w:rPr>
                <w:rFonts w:cs="Arial"/>
                <w:sz w:val="20"/>
                <w:szCs w:val="20"/>
              </w:rPr>
              <w:t>Principle 2 (bycatch and TEPS)</w:t>
            </w:r>
          </w:p>
        </w:tc>
        <w:tc>
          <w:tcPr>
            <w:tcW w:w="500" w:type="pct"/>
            <w:shd w:val="clear" w:color="auto" w:fill="92D050"/>
          </w:tcPr>
          <w:p w14:paraId="229A4247" w14:textId="77777777" w:rsidR="00EB4449" w:rsidRPr="00172D2D" w:rsidRDefault="003F46A2" w:rsidP="00172D2D">
            <w:pPr>
              <w:spacing w:before="60" w:after="60" w:line="240" w:lineRule="auto"/>
              <w:rPr>
                <w:rFonts w:cs="Arial"/>
                <w:sz w:val="20"/>
                <w:szCs w:val="20"/>
              </w:rPr>
            </w:pPr>
            <w:r w:rsidRPr="00172D2D">
              <w:rPr>
                <w:rFonts w:cs="Arial"/>
                <w:sz w:val="20"/>
                <w:szCs w:val="20"/>
              </w:rPr>
              <w:t>All met</w:t>
            </w:r>
          </w:p>
        </w:tc>
        <w:tc>
          <w:tcPr>
            <w:tcW w:w="500" w:type="pct"/>
            <w:shd w:val="clear" w:color="auto" w:fill="auto"/>
          </w:tcPr>
          <w:p w14:paraId="229A4248" w14:textId="228624B1" w:rsidR="00EB4449" w:rsidRPr="00172D2D" w:rsidRDefault="00EB4449" w:rsidP="00172D2D">
            <w:pPr>
              <w:spacing w:before="60" w:after="60" w:line="240" w:lineRule="auto"/>
              <w:rPr>
                <w:rFonts w:cs="Arial"/>
                <w:sz w:val="20"/>
                <w:szCs w:val="20"/>
              </w:rPr>
            </w:pPr>
          </w:p>
        </w:tc>
        <w:tc>
          <w:tcPr>
            <w:tcW w:w="500" w:type="pct"/>
            <w:shd w:val="clear" w:color="auto" w:fill="auto"/>
          </w:tcPr>
          <w:p w14:paraId="229A4249" w14:textId="35AD89DA" w:rsidR="00EB4449" w:rsidRPr="00172D2D" w:rsidRDefault="00EB4449" w:rsidP="00172D2D">
            <w:pPr>
              <w:spacing w:before="60" w:after="60" w:line="240" w:lineRule="auto"/>
              <w:rPr>
                <w:rFonts w:cs="Arial"/>
                <w:sz w:val="20"/>
                <w:szCs w:val="20"/>
              </w:rPr>
            </w:pPr>
          </w:p>
        </w:tc>
        <w:tc>
          <w:tcPr>
            <w:tcW w:w="2250" w:type="pct"/>
          </w:tcPr>
          <w:p w14:paraId="229A424A" w14:textId="77777777" w:rsidR="00EB4449" w:rsidRPr="00172D2D" w:rsidRDefault="00B97E29" w:rsidP="00172D2D">
            <w:pPr>
              <w:spacing w:before="60" w:after="60" w:line="240" w:lineRule="auto"/>
              <w:rPr>
                <w:rFonts w:cs="Arial"/>
                <w:sz w:val="20"/>
                <w:szCs w:val="20"/>
                <w:highlight w:val="yellow"/>
              </w:rPr>
            </w:pPr>
            <w:r w:rsidRPr="00172D2D">
              <w:rPr>
                <w:rFonts w:cs="Arial"/>
                <w:sz w:val="20"/>
                <w:szCs w:val="20"/>
              </w:rPr>
              <w:t>Byproduct minimal and bycatch negligible.</w:t>
            </w:r>
          </w:p>
        </w:tc>
      </w:tr>
      <w:tr w:rsidR="00EB4449" w:rsidRPr="00172D2D" w14:paraId="229A4251" w14:textId="77777777" w:rsidTr="00172D2D">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229A424C" w14:textId="77777777" w:rsidR="00EB4449" w:rsidRPr="00172D2D" w:rsidRDefault="00EB4449" w:rsidP="00172D2D">
            <w:pPr>
              <w:spacing w:before="60" w:after="60" w:line="240" w:lineRule="auto"/>
              <w:ind w:left="426" w:hanging="426"/>
              <w:rPr>
                <w:rFonts w:cs="Arial"/>
                <w:sz w:val="20"/>
                <w:szCs w:val="20"/>
              </w:rPr>
            </w:pPr>
            <w:r w:rsidRPr="00172D2D">
              <w:rPr>
                <w:rFonts w:cs="Arial"/>
                <w:sz w:val="20"/>
                <w:szCs w:val="20"/>
              </w:rPr>
              <w:t>Principle 2 (ecosystem impacts)</w:t>
            </w:r>
          </w:p>
        </w:tc>
        <w:tc>
          <w:tcPr>
            <w:tcW w:w="500" w:type="pct"/>
            <w:shd w:val="clear" w:color="auto" w:fill="92D050"/>
          </w:tcPr>
          <w:p w14:paraId="229A424D" w14:textId="77777777" w:rsidR="00EB4449" w:rsidRPr="00172D2D" w:rsidRDefault="00366F99" w:rsidP="00172D2D">
            <w:pPr>
              <w:spacing w:before="60" w:after="60" w:line="240" w:lineRule="auto"/>
              <w:rPr>
                <w:rFonts w:cs="Arial"/>
                <w:sz w:val="20"/>
                <w:szCs w:val="20"/>
              </w:rPr>
            </w:pPr>
            <w:r w:rsidRPr="00172D2D">
              <w:rPr>
                <w:rFonts w:cs="Arial"/>
                <w:sz w:val="20"/>
                <w:szCs w:val="20"/>
              </w:rPr>
              <w:t>All but 1</w:t>
            </w:r>
          </w:p>
        </w:tc>
        <w:tc>
          <w:tcPr>
            <w:tcW w:w="500" w:type="pct"/>
            <w:shd w:val="clear" w:color="auto" w:fill="FFC000"/>
          </w:tcPr>
          <w:p w14:paraId="229A424E" w14:textId="77777777" w:rsidR="00EB4449" w:rsidRPr="00172D2D" w:rsidRDefault="00366F99" w:rsidP="00172D2D">
            <w:pPr>
              <w:spacing w:before="60" w:after="60" w:line="240" w:lineRule="auto"/>
              <w:rPr>
                <w:rFonts w:cs="Arial"/>
                <w:sz w:val="20"/>
                <w:szCs w:val="20"/>
              </w:rPr>
            </w:pPr>
            <w:r w:rsidRPr="00172D2D">
              <w:rPr>
                <w:rFonts w:cs="Arial"/>
                <w:sz w:val="20"/>
                <w:szCs w:val="20"/>
              </w:rPr>
              <w:t>1</w:t>
            </w:r>
          </w:p>
        </w:tc>
        <w:tc>
          <w:tcPr>
            <w:tcW w:w="500" w:type="pct"/>
            <w:shd w:val="clear" w:color="auto" w:fill="auto"/>
          </w:tcPr>
          <w:p w14:paraId="229A424F" w14:textId="4FA5BC4A" w:rsidR="00EB4449" w:rsidRPr="00172D2D" w:rsidRDefault="00EB4449" w:rsidP="00172D2D">
            <w:pPr>
              <w:spacing w:before="60" w:after="60" w:line="240" w:lineRule="auto"/>
              <w:rPr>
                <w:rFonts w:cs="Arial"/>
                <w:sz w:val="20"/>
                <w:szCs w:val="20"/>
              </w:rPr>
            </w:pPr>
          </w:p>
        </w:tc>
        <w:tc>
          <w:tcPr>
            <w:tcW w:w="2250" w:type="pct"/>
          </w:tcPr>
          <w:p w14:paraId="229A4250" w14:textId="77777777" w:rsidR="00EB4449" w:rsidRPr="00172D2D" w:rsidRDefault="00366F99" w:rsidP="00172D2D">
            <w:pPr>
              <w:spacing w:before="60" w:after="60" w:line="240" w:lineRule="auto"/>
              <w:rPr>
                <w:rFonts w:cs="Arial"/>
                <w:sz w:val="20"/>
                <w:szCs w:val="20"/>
                <w:highlight w:val="yellow"/>
              </w:rPr>
            </w:pPr>
            <w:r w:rsidRPr="00172D2D">
              <w:rPr>
                <w:rFonts w:cs="Arial"/>
                <w:sz w:val="20"/>
                <w:szCs w:val="20"/>
              </w:rPr>
              <w:t>No specific ESD risk assessment conducted, however risk assessment for similar fisheries (</w:t>
            </w:r>
            <w:proofErr w:type="spellStart"/>
            <w:r w:rsidR="004D323F" w:rsidRPr="00172D2D">
              <w:rPr>
                <w:rFonts w:cs="Arial"/>
                <w:sz w:val="20"/>
                <w:szCs w:val="20"/>
              </w:rPr>
              <w:t>eg</w:t>
            </w:r>
            <w:proofErr w:type="spellEnd"/>
            <w:r w:rsidR="004D323F" w:rsidRPr="00172D2D">
              <w:rPr>
                <w:rFonts w:cs="Arial"/>
                <w:sz w:val="20"/>
                <w:szCs w:val="20"/>
              </w:rPr>
              <w:t xml:space="preserve"> </w:t>
            </w:r>
            <w:r w:rsidRPr="00172D2D">
              <w:rPr>
                <w:rFonts w:cs="Arial"/>
                <w:sz w:val="20"/>
                <w:szCs w:val="20"/>
              </w:rPr>
              <w:t>rock lobster</w:t>
            </w:r>
            <w:r w:rsidR="00F41748" w:rsidRPr="00172D2D">
              <w:rPr>
                <w:rFonts w:cs="Arial"/>
                <w:sz w:val="20"/>
                <w:szCs w:val="20"/>
              </w:rPr>
              <w:t>, deep water crab</w:t>
            </w:r>
            <w:r w:rsidRPr="00172D2D">
              <w:rPr>
                <w:rFonts w:cs="Arial"/>
                <w:sz w:val="20"/>
                <w:szCs w:val="20"/>
              </w:rPr>
              <w:t>) indicate risks low-negligible.</w:t>
            </w:r>
          </w:p>
        </w:tc>
      </w:tr>
      <w:tr w:rsidR="00810CFF" w:rsidRPr="00172D2D" w14:paraId="229A4253" w14:textId="77777777" w:rsidTr="00172D2D">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229A4252" w14:textId="77777777" w:rsidR="00810CFF" w:rsidRPr="00172D2D" w:rsidRDefault="00810CFF" w:rsidP="00172D2D">
            <w:pPr>
              <w:spacing w:before="60" w:after="60" w:line="240" w:lineRule="auto"/>
              <w:rPr>
                <w:rFonts w:cs="Arial"/>
                <w:b/>
                <w:sz w:val="20"/>
                <w:szCs w:val="20"/>
              </w:rPr>
            </w:pPr>
            <w:r w:rsidRPr="00172D2D">
              <w:rPr>
                <w:rFonts w:cs="Arial"/>
                <w:b/>
                <w:sz w:val="20"/>
                <w:szCs w:val="20"/>
              </w:rPr>
              <w:t>EPBC requirements</w:t>
            </w:r>
          </w:p>
        </w:tc>
      </w:tr>
      <w:tr w:rsidR="000431D7" w:rsidRPr="00172D2D" w14:paraId="7122E594" w14:textId="77777777" w:rsidTr="000431D7">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23E6D882" w14:textId="17A5045E" w:rsidR="000431D7" w:rsidRPr="00172D2D" w:rsidRDefault="000431D7" w:rsidP="000431D7">
            <w:pPr>
              <w:spacing w:before="60" w:after="60" w:line="240" w:lineRule="auto"/>
              <w:ind w:left="426" w:hanging="426"/>
              <w:rPr>
                <w:rFonts w:cs="Arial"/>
                <w:sz w:val="20"/>
                <w:szCs w:val="20"/>
              </w:rPr>
            </w:pPr>
            <w:r w:rsidRPr="00172D2D">
              <w:rPr>
                <w:rFonts w:cs="Arial"/>
                <w:sz w:val="20"/>
                <w:szCs w:val="20"/>
              </w:rPr>
              <w:t xml:space="preserve">Part </w:t>
            </w:r>
            <w:r>
              <w:rPr>
                <w:rFonts w:cs="Arial"/>
                <w:sz w:val="20"/>
                <w:szCs w:val="20"/>
              </w:rPr>
              <w:t>12</w:t>
            </w:r>
          </w:p>
        </w:tc>
        <w:tc>
          <w:tcPr>
            <w:tcW w:w="500" w:type="pct"/>
            <w:shd w:val="clear" w:color="auto" w:fill="auto"/>
            <w:vAlign w:val="center"/>
          </w:tcPr>
          <w:p w14:paraId="6A0CC6C5" w14:textId="6D08B2A7" w:rsidR="000431D7" w:rsidRPr="00172D2D" w:rsidRDefault="000431D7" w:rsidP="000431D7">
            <w:pPr>
              <w:spacing w:before="60" w:after="60" w:line="240" w:lineRule="auto"/>
              <w:rPr>
                <w:rFonts w:cs="Arial"/>
                <w:sz w:val="20"/>
                <w:szCs w:val="20"/>
              </w:rPr>
            </w:pPr>
            <w:r>
              <w:rPr>
                <w:rFonts w:cs="Arial"/>
                <w:sz w:val="20"/>
                <w:szCs w:val="20"/>
              </w:rPr>
              <w:t>N/a</w:t>
            </w:r>
          </w:p>
        </w:tc>
        <w:tc>
          <w:tcPr>
            <w:tcW w:w="500" w:type="pct"/>
            <w:shd w:val="clear" w:color="auto" w:fill="auto"/>
            <w:vAlign w:val="center"/>
          </w:tcPr>
          <w:p w14:paraId="073261B7" w14:textId="77777777" w:rsidR="000431D7" w:rsidRPr="00172D2D" w:rsidRDefault="000431D7" w:rsidP="000431D7">
            <w:pPr>
              <w:spacing w:before="60" w:after="60" w:line="240" w:lineRule="auto"/>
              <w:rPr>
                <w:rFonts w:cs="Arial"/>
                <w:sz w:val="20"/>
                <w:szCs w:val="20"/>
              </w:rPr>
            </w:pPr>
          </w:p>
        </w:tc>
        <w:tc>
          <w:tcPr>
            <w:tcW w:w="500" w:type="pct"/>
            <w:shd w:val="clear" w:color="auto" w:fill="auto"/>
            <w:vAlign w:val="center"/>
          </w:tcPr>
          <w:p w14:paraId="32DB5D68" w14:textId="77777777" w:rsidR="000431D7" w:rsidRPr="00172D2D" w:rsidRDefault="000431D7" w:rsidP="000431D7">
            <w:pPr>
              <w:spacing w:before="60" w:after="60" w:line="240" w:lineRule="auto"/>
              <w:rPr>
                <w:rFonts w:cs="Arial"/>
                <w:sz w:val="20"/>
                <w:szCs w:val="20"/>
              </w:rPr>
            </w:pPr>
          </w:p>
        </w:tc>
        <w:tc>
          <w:tcPr>
            <w:tcW w:w="2250" w:type="pct"/>
          </w:tcPr>
          <w:p w14:paraId="249B33E7" w14:textId="353A28EF" w:rsidR="000431D7" w:rsidRPr="00172D2D" w:rsidRDefault="008553F1" w:rsidP="000431D7">
            <w:pPr>
              <w:spacing w:before="60" w:after="60" w:line="240" w:lineRule="auto"/>
              <w:rPr>
                <w:rFonts w:cs="Arial"/>
                <w:sz w:val="20"/>
                <w:szCs w:val="20"/>
              </w:rPr>
            </w:pPr>
            <w:r>
              <w:rPr>
                <w:rFonts w:cs="Arial"/>
                <w:sz w:val="18"/>
                <w:szCs w:val="18"/>
              </w:rPr>
              <w:t>KEFs and BIAs in Bioregional Plan for South-West not compromised by fishing activity.</w:t>
            </w:r>
          </w:p>
        </w:tc>
      </w:tr>
      <w:tr w:rsidR="000431D7" w:rsidRPr="00172D2D" w14:paraId="229A4259" w14:textId="77777777" w:rsidTr="00172D2D">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229A4254" w14:textId="77777777" w:rsidR="000431D7" w:rsidRPr="00172D2D" w:rsidRDefault="000431D7" w:rsidP="000431D7">
            <w:pPr>
              <w:spacing w:before="60" w:after="60" w:line="240" w:lineRule="auto"/>
              <w:ind w:left="426" w:hanging="426"/>
              <w:rPr>
                <w:rFonts w:cs="Arial"/>
                <w:sz w:val="20"/>
                <w:szCs w:val="20"/>
              </w:rPr>
            </w:pPr>
            <w:r w:rsidRPr="00172D2D">
              <w:rPr>
                <w:rFonts w:cs="Arial"/>
                <w:sz w:val="20"/>
                <w:szCs w:val="20"/>
              </w:rPr>
              <w:t>Part 13</w:t>
            </w:r>
          </w:p>
        </w:tc>
        <w:tc>
          <w:tcPr>
            <w:tcW w:w="500" w:type="pct"/>
            <w:shd w:val="clear" w:color="auto" w:fill="92D050"/>
            <w:vAlign w:val="center"/>
          </w:tcPr>
          <w:p w14:paraId="229A4255" w14:textId="77777777" w:rsidR="000431D7" w:rsidRPr="00172D2D" w:rsidRDefault="000431D7" w:rsidP="000431D7">
            <w:pPr>
              <w:spacing w:before="60" w:after="60" w:line="240" w:lineRule="auto"/>
              <w:rPr>
                <w:rFonts w:cs="Arial"/>
                <w:sz w:val="20"/>
                <w:szCs w:val="20"/>
              </w:rPr>
            </w:pPr>
            <w:r w:rsidRPr="00172D2D">
              <w:rPr>
                <w:rFonts w:cs="Arial"/>
                <w:sz w:val="20"/>
                <w:szCs w:val="20"/>
              </w:rPr>
              <w:t>All met</w:t>
            </w:r>
          </w:p>
        </w:tc>
        <w:tc>
          <w:tcPr>
            <w:tcW w:w="500" w:type="pct"/>
            <w:shd w:val="clear" w:color="auto" w:fill="auto"/>
            <w:vAlign w:val="center"/>
          </w:tcPr>
          <w:p w14:paraId="229A4256" w14:textId="3F81DACA" w:rsidR="000431D7" w:rsidRPr="00172D2D" w:rsidRDefault="000431D7" w:rsidP="000431D7">
            <w:pPr>
              <w:spacing w:before="60" w:after="60" w:line="240" w:lineRule="auto"/>
              <w:rPr>
                <w:rFonts w:cs="Arial"/>
                <w:sz w:val="20"/>
                <w:szCs w:val="20"/>
              </w:rPr>
            </w:pPr>
          </w:p>
        </w:tc>
        <w:tc>
          <w:tcPr>
            <w:tcW w:w="500" w:type="pct"/>
            <w:shd w:val="clear" w:color="auto" w:fill="auto"/>
            <w:vAlign w:val="center"/>
          </w:tcPr>
          <w:p w14:paraId="229A4257" w14:textId="79A715E0" w:rsidR="000431D7" w:rsidRPr="00172D2D" w:rsidRDefault="000431D7" w:rsidP="000431D7">
            <w:pPr>
              <w:spacing w:before="60" w:after="60" w:line="240" w:lineRule="auto"/>
              <w:rPr>
                <w:rFonts w:cs="Arial"/>
                <w:sz w:val="20"/>
                <w:szCs w:val="20"/>
              </w:rPr>
            </w:pPr>
          </w:p>
        </w:tc>
        <w:tc>
          <w:tcPr>
            <w:tcW w:w="2250" w:type="pct"/>
            <w:vAlign w:val="center"/>
          </w:tcPr>
          <w:p w14:paraId="229A4258" w14:textId="77777777" w:rsidR="000431D7" w:rsidRPr="00172D2D" w:rsidRDefault="000431D7" w:rsidP="000431D7">
            <w:pPr>
              <w:spacing w:before="60" w:after="60" w:line="240" w:lineRule="auto"/>
              <w:rPr>
                <w:rFonts w:cs="Arial"/>
                <w:sz w:val="20"/>
                <w:szCs w:val="20"/>
              </w:rPr>
            </w:pPr>
            <w:r w:rsidRPr="00172D2D">
              <w:rPr>
                <w:rFonts w:cs="Arial"/>
                <w:sz w:val="20"/>
                <w:szCs w:val="20"/>
              </w:rPr>
              <w:t>No interactions recorded or likely with Pt 13 species.</w:t>
            </w:r>
          </w:p>
        </w:tc>
      </w:tr>
      <w:tr w:rsidR="000431D7" w:rsidRPr="00172D2D" w14:paraId="229A425F" w14:textId="77777777" w:rsidTr="00172D2D">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229A425A" w14:textId="77777777" w:rsidR="000431D7" w:rsidRPr="00172D2D" w:rsidRDefault="000431D7" w:rsidP="000431D7">
            <w:pPr>
              <w:spacing w:before="60" w:after="60" w:line="240" w:lineRule="auto"/>
              <w:ind w:left="426" w:hanging="426"/>
              <w:rPr>
                <w:rFonts w:cs="Arial"/>
                <w:sz w:val="20"/>
                <w:szCs w:val="20"/>
              </w:rPr>
            </w:pPr>
            <w:r w:rsidRPr="00172D2D">
              <w:rPr>
                <w:rFonts w:cs="Arial"/>
                <w:sz w:val="20"/>
                <w:szCs w:val="20"/>
              </w:rPr>
              <w:t>Part 13A</w:t>
            </w:r>
          </w:p>
        </w:tc>
        <w:tc>
          <w:tcPr>
            <w:tcW w:w="500" w:type="pct"/>
            <w:shd w:val="clear" w:color="auto" w:fill="92D050"/>
            <w:vAlign w:val="center"/>
          </w:tcPr>
          <w:p w14:paraId="229A425B" w14:textId="77777777" w:rsidR="000431D7" w:rsidRPr="00172D2D" w:rsidRDefault="000431D7" w:rsidP="000431D7">
            <w:pPr>
              <w:spacing w:before="60" w:after="60" w:line="240" w:lineRule="auto"/>
              <w:rPr>
                <w:rFonts w:cs="Arial"/>
                <w:sz w:val="20"/>
                <w:szCs w:val="20"/>
              </w:rPr>
            </w:pPr>
            <w:r w:rsidRPr="00172D2D">
              <w:rPr>
                <w:rFonts w:cs="Arial"/>
                <w:sz w:val="20"/>
                <w:szCs w:val="20"/>
              </w:rPr>
              <w:t>All, but for 1</w:t>
            </w:r>
          </w:p>
        </w:tc>
        <w:tc>
          <w:tcPr>
            <w:tcW w:w="500" w:type="pct"/>
            <w:shd w:val="clear" w:color="auto" w:fill="FFC000"/>
            <w:vAlign w:val="center"/>
          </w:tcPr>
          <w:p w14:paraId="229A425C" w14:textId="714A4301" w:rsidR="000431D7" w:rsidRPr="00172D2D" w:rsidRDefault="000431D7" w:rsidP="000431D7">
            <w:pPr>
              <w:spacing w:before="60" w:after="60" w:line="240" w:lineRule="auto"/>
              <w:rPr>
                <w:rFonts w:cs="Arial"/>
                <w:sz w:val="20"/>
                <w:szCs w:val="20"/>
              </w:rPr>
            </w:pPr>
            <w:r w:rsidRPr="00172D2D">
              <w:rPr>
                <w:rFonts w:cs="Arial"/>
                <w:sz w:val="20"/>
                <w:szCs w:val="20"/>
              </w:rPr>
              <w:t>1</w:t>
            </w:r>
          </w:p>
        </w:tc>
        <w:tc>
          <w:tcPr>
            <w:tcW w:w="500" w:type="pct"/>
            <w:shd w:val="clear" w:color="auto" w:fill="auto"/>
            <w:vAlign w:val="center"/>
          </w:tcPr>
          <w:p w14:paraId="229A425D" w14:textId="607BB15E" w:rsidR="000431D7" w:rsidRPr="00172D2D" w:rsidRDefault="000431D7" w:rsidP="000431D7">
            <w:pPr>
              <w:spacing w:before="60" w:after="60" w:line="240" w:lineRule="auto"/>
              <w:rPr>
                <w:rFonts w:cs="Arial"/>
                <w:sz w:val="20"/>
                <w:szCs w:val="20"/>
              </w:rPr>
            </w:pPr>
          </w:p>
        </w:tc>
        <w:tc>
          <w:tcPr>
            <w:tcW w:w="2250" w:type="pct"/>
            <w:vAlign w:val="center"/>
          </w:tcPr>
          <w:p w14:paraId="229A425E" w14:textId="77777777" w:rsidR="000431D7" w:rsidRPr="00172D2D" w:rsidRDefault="000431D7" w:rsidP="000431D7">
            <w:pPr>
              <w:spacing w:before="60" w:after="60" w:line="240" w:lineRule="auto"/>
              <w:rPr>
                <w:rFonts w:cs="Arial"/>
                <w:sz w:val="20"/>
                <w:szCs w:val="20"/>
              </w:rPr>
            </w:pPr>
            <w:r w:rsidRPr="00172D2D">
              <w:rPr>
                <w:rFonts w:cs="Arial"/>
                <w:sz w:val="20"/>
                <w:szCs w:val="20"/>
              </w:rPr>
              <w:t>Limited consultation if LENS is amended, although sufficient for strict requirements, as per advice to Minister in MS14-002367.</w:t>
            </w:r>
          </w:p>
        </w:tc>
      </w:tr>
      <w:tr w:rsidR="000431D7" w:rsidRPr="00172D2D" w14:paraId="229A4265" w14:textId="77777777" w:rsidTr="00172D2D">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229A4260" w14:textId="77777777" w:rsidR="000431D7" w:rsidRPr="00172D2D" w:rsidRDefault="000431D7" w:rsidP="000431D7">
            <w:pPr>
              <w:spacing w:before="60" w:after="60" w:line="240" w:lineRule="auto"/>
              <w:ind w:left="426" w:hanging="426"/>
              <w:rPr>
                <w:rFonts w:cs="Arial"/>
                <w:sz w:val="20"/>
                <w:szCs w:val="20"/>
              </w:rPr>
            </w:pPr>
            <w:r w:rsidRPr="00172D2D">
              <w:rPr>
                <w:rFonts w:cs="Arial"/>
                <w:sz w:val="20"/>
                <w:szCs w:val="20"/>
              </w:rPr>
              <w:t>Part 16</w:t>
            </w:r>
          </w:p>
        </w:tc>
        <w:tc>
          <w:tcPr>
            <w:tcW w:w="500" w:type="pct"/>
            <w:shd w:val="clear" w:color="auto" w:fill="92D050"/>
            <w:vAlign w:val="center"/>
          </w:tcPr>
          <w:p w14:paraId="229A4261" w14:textId="77777777" w:rsidR="000431D7" w:rsidRPr="00172D2D" w:rsidRDefault="000431D7" w:rsidP="000431D7">
            <w:pPr>
              <w:spacing w:before="60" w:after="60" w:line="240" w:lineRule="auto"/>
              <w:rPr>
                <w:rFonts w:cs="Arial"/>
                <w:sz w:val="20"/>
                <w:szCs w:val="20"/>
              </w:rPr>
            </w:pPr>
            <w:r w:rsidRPr="00172D2D">
              <w:rPr>
                <w:rFonts w:cs="Arial"/>
                <w:sz w:val="20"/>
                <w:szCs w:val="20"/>
              </w:rPr>
              <w:t>All met</w:t>
            </w:r>
          </w:p>
        </w:tc>
        <w:tc>
          <w:tcPr>
            <w:tcW w:w="500" w:type="pct"/>
            <w:shd w:val="clear" w:color="auto" w:fill="auto"/>
            <w:vAlign w:val="center"/>
          </w:tcPr>
          <w:p w14:paraId="229A4262" w14:textId="12A81013" w:rsidR="000431D7" w:rsidRPr="00172D2D" w:rsidRDefault="000431D7" w:rsidP="000431D7">
            <w:pPr>
              <w:spacing w:before="60" w:after="60" w:line="240" w:lineRule="auto"/>
              <w:rPr>
                <w:rFonts w:cs="Arial"/>
                <w:sz w:val="20"/>
                <w:szCs w:val="20"/>
              </w:rPr>
            </w:pPr>
          </w:p>
        </w:tc>
        <w:tc>
          <w:tcPr>
            <w:tcW w:w="500" w:type="pct"/>
            <w:shd w:val="clear" w:color="auto" w:fill="auto"/>
            <w:vAlign w:val="center"/>
          </w:tcPr>
          <w:p w14:paraId="229A4263" w14:textId="045058B7" w:rsidR="000431D7" w:rsidRPr="00172D2D" w:rsidRDefault="000431D7" w:rsidP="000431D7">
            <w:pPr>
              <w:spacing w:before="60" w:after="60" w:line="240" w:lineRule="auto"/>
              <w:rPr>
                <w:rFonts w:cs="Arial"/>
                <w:sz w:val="20"/>
                <w:szCs w:val="20"/>
              </w:rPr>
            </w:pPr>
          </w:p>
        </w:tc>
        <w:tc>
          <w:tcPr>
            <w:tcW w:w="2250" w:type="pct"/>
            <w:vAlign w:val="center"/>
          </w:tcPr>
          <w:p w14:paraId="229A4264" w14:textId="77777777" w:rsidR="000431D7" w:rsidRPr="00172D2D" w:rsidRDefault="000431D7" w:rsidP="000431D7">
            <w:pPr>
              <w:spacing w:before="60" w:after="60" w:line="240" w:lineRule="auto"/>
              <w:rPr>
                <w:rFonts w:cs="Arial"/>
                <w:sz w:val="20"/>
                <w:szCs w:val="20"/>
              </w:rPr>
            </w:pPr>
            <w:r w:rsidRPr="00172D2D">
              <w:rPr>
                <w:rFonts w:cs="Arial"/>
                <w:sz w:val="20"/>
                <w:szCs w:val="20"/>
              </w:rPr>
              <w:t>Relevant MBP considered, precautionary management arrangements in place.</w:t>
            </w:r>
          </w:p>
        </w:tc>
      </w:tr>
      <w:tr w:rsidR="000431D7" w:rsidRPr="00172D2D" w14:paraId="229A426A" w14:textId="77777777" w:rsidTr="00172D2D">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229A4267" w14:textId="08B5B0B2" w:rsidR="000431D7" w:rsidRPr="00172D2D" w:rsidRDefault="000431D7" w:rsidP="000431D7">
            <w:pPr>
              <w:spacing w:before="60" w:after="60" w:line="240" w:lineRule="auto"/>
              <w:rPr>
                <w:rStyle w:val="Emphasis"/>
                <w:rFonts w:cs="Arial"/>
                <w:i w:val="0"/>
                <w:iCs w:val="0"/>
                <w:sz w:val="20"/>
                <w:szCs w:val="20"/>
              </w:rPr>
            </w:pPr>
            <w:r w:rsidRPr="00172D2D">
              <w:rPr>
                <w:rStyle w:val="Emphasis"/>
                <w:rFonts w:cs="Arial"/>
                <w:b/>
                <w:i w:val="0"/>
                <w:iCs w:val="0"/>
                <w:sz w:val="20"/>
                <w:szCs w:val="20"/>
              </w:rPr>
              <w:t>Conclusion</w:t>
            </w:r>
            <w:r w:rsidRPr="00172D2D">
              <w:rPr>
                <w:rStyle w:val="Emphasis"/>
                <w:rFonts w:cs="Arial"/>
                <w:i w:val="0"/>
                <w:iCs w:val="0"/>
                <w:sz w:val="20"/>
                <w:szCs w:val="20"/>
              </w:rPr>
              <w:t>: This fishery targets giant crabs (</w:t>
            </w:r>
            <w:proofErr w:type="spellStart"/>
            <w:r w:rsidRPr="00172D2D">
              <w:rPr>
                <w:rStyle w:val="Emphasis"/>
                <w:rFonts w:cs="Arial"/>
                <w:iCs w:val="0"/>
                <w:sz w:val="20"/>
                <w:szCs w:val="20"/>
              </w:rPr>
              <w:t>Pseudocarcinus</w:t>
            </w:r>
            <w:proofErr w:type="spellEnd"/>
            <w:r w:rsidRPr="00172D2D">
              <w:rPr>
                <w:rStyle w:val="Emphasis"/>
                <w:rFonts w:cs="Arial"/>
                <w:iCs w:val="0"/>
                <w:sz w:val="20"/>
                <w:szCs w:val="20"/>
              </w:rPr>
              <w:t xml:space="preserve"> </w:t>
            </w:r>
            <w:proofErr w:type="spellStart"/>
            <w:r w:rsidRPr="00172D2D">
              <w:rPr>
                <w:rStyle w:val="Emphasis"/>
                <w:rFonts w:cs="Arial"/>
                <w:iCs w:val="0"/>
                <w:sz w:val="20"/>
                <w:szCs w:val="20"/>
              </w:rPr>
              <w:t>gigas</w:t>
            </w:r>
            <w:proofErr w:type="spellEnd"/>
            <w:r w:rsidRPr="00172D2D">
              <w:rPr>
                <w:rStyle w:val="Emphasis"/>
                <w:rFonts w:cs="Arial"/>
                <w:i w:val="0"/>
                <w:iCs w:val="0"/>
                <w:sz w:val="20"/>
                <w:szCs w:val="20"/>
              </w:rPr>
              <w:t xml:space="preserve">) using </w:t>
            </w:r>
            <w:proofErr w:type="spellStart"/>
            <w:r w:rsidRPr="00172D2D">
              <w:rPr>
                <w:rStyle w:val="Emphasis"/>
                <w:rFonts w:cs="Arial"/>
                <w:i w:val="0"/>
                <w:iCs w:val="0"/>
                <w:sz w:val="20"/>
                <w:szCs w:val="20"/>
              </w:rPr>
              <w:t>deepwater</w:t>
            </w:r>
            <w:proofErr w:type="spellEnd"/>
            <w:r w:rsidRPr="00172D2D">
              <w:rPr>
                <w:rStyle w:val="Emphasis"/>
                <w:rFonts w:cs="Arial"/>
                <w:i w:val="0"/>
                <w:iCs w:val="0"/>
                <w:sz w:val="20"/>
                <w:szCs w:val="20"/>
              </w:rPr>
              <w:t xml:space="preserve"> traps similar to rock lobster pots. It is a minor fishery in SA, evidenced by regulation under the SA </w:t>
            </w:r>
            <w:r w:rsidRPr="00172D2D">
              <w:rPr>
                <w:rStyle w:val="Emphasis"/>
                <w:rFonts w:cs="Arial"/>
                <w:iCs w:val="0"/>
                <w:sz w:val="20"/>
                <w:szCs w:val="20"/>
              </w:rPr>
              <w:t>Fisheries Management (Miscellaneous Fishery) Regulations 2000</w:t>
            </w:r>
            <w:r w:rsidRPr="00172D2D">
              <w:rPr>
                <w:rStyle w:val="Emphasis"/>
                <w:rFonts w:cs="Arial"/>
                <w:i w:val="0"/>
                <w:iCs w:val="0"/>
                <w:sz w:val="20"/>
                <w:szCs w:val="20"/>
              </w:rPr>
              <w:t xml:space="preserve">. It is closely linked to the Rock Lobster fishery and is managed in the same two management zones (Southern and Northern). Approximately 70% of catch is harvested under Miscellaneous Fishery licences, with approximately 25% harvested as under Rock Lobster licences. While the cross-jurisdictional biological stock of giant crab has been assessed as ‘transitional – depleting’ across southern Australia, the species is not considered overfished in SA and there are no concerns with bycatch or protected species, therefore the fishery meets all environmental requirements of the EPBC Act and most of the Guidelines. </w:t>
            </w:r>
          </w:p>
          <w:p w14:paraId="7C358E8A" w14:textId="77777777" w:rsidR="000431D7" w:rsidRPr="00172D2D" w:rsidRDefault="000431D7" w:rsidP="000431D7">
            <w:pPr>
              <w:spacing w:before="60" w:after="60" w:line="240" w:lineRule="auto"/>
              <w:rPr>
                <w:rStyle w:val="Emphasis"/>
                <w:rFonts w:cs="Arial"/>
                <w:i w:val="0"/>
                <w:iCs w:val="0"/>
                <w:sz w:val="20"/>
                <w:szCs w:val="20"/>
                <w:u w:val="single"/>
              </w:rPr>
            </w:pPr>
            <w:r w:rsidRPr="00172D2D">
              <w:rPr>
                <w:rStyle w:val="Emphasis"/>
                <w:rFonts w:cs="Arial"/>
                <w:i w:val="0"/>
                <w:iCs w:val="0"/>
                <w:sz w:val="20"/>
                <w:szCs w:val="20"/>
                <w:u w:val="single"/>
              </w:rPr>
              <w:t xml:space="preserve">Outstanding issues: </w:t>
            </w:r>
          </w:p>
          <w:p w14:paraId="229A4268" w14:textId="2DAA39B2" w:rsidR="000431D7" w:rsidRPr="00172D2D" w:rsidRDefault="000431D7" w:rsidP="000431D7">
            <w:pPr>
              <w:spacing w:before="60" w:after="60" w:line="240" w:lineRule="auto"/>
              <w:rPr>
                <w:rStyle w:val="Emphasis"/>
                <w:rFonts w:cs="Arial"/>
                <w:i w:val="0"/>
                <w:iCs w:val="0"/>
                <w:sz w:val="20"/>
                <w:szCs w:val="20"/>
              </w:rPr>
            </w:pPr>
            <w:r w:rsidRPr="00172D2D">
              <w:rPr>
                <w:rStyle w:val="Emphasis"/>
                <w:rFonts w:cs="Arial"/>
                <w:i w:val="0"/>
                <w:iCs w:val="0"/>
                <w:sz w:val="20"/>
                <w:szCs w:val="20"/>
              </w:rPr>
              <w:t xml:space="preserve">There are stock status concerns for giant crab across southern Australia, however the major component of biomass and catch has been in Tasmania and Victoria. While there is limited information on stock status within SA waters, catches in SA have been stable </w:t>
            </w:r>
            <w:proofErr w:type="gramStart"/>
            <w:r w:rsidRPr="00172D2D">
              <w:rPr>
                <w:rStyle w:val="Emphasis"/>
                <w:rFonts w:cs="Arial"/>
                <w:i w:val="0"/>
                <w:iCs w:val="0"/>
                <w:sz w:val="20"/>
                <w:szCs w:val="20"/>
              </w:rPr>
              <w:t xml:space="preserve">between 18-25 tonnes/year since the fishery </w:t>
            </w:r>
            <w:r w:rsidRPr="00172D2D">
              <w:rPr>
                <w:rStyle w:val="Emphasis"/>
                <w:rFonts w:cs="Arial"/>
                <w:i w:val="0"/>
                <w:iCs w:val="0"/>
                <w:sz w:val="20"/>
                <w:szCs w:val="20"/>
              </w:rPr>
              <w:lastRenderedPageBreak/>
              <w:t>commenced in the late 1990s, and the stocks in SA are not considered overfished</w:t>
            </w:r>
            <w:proofErr w:type="gramEnd"/>
            <w:r w:rsidRPr="00172D2D">
              <w:rPr>
                <w:rStyle w:val="Emphasis"/>
                <w:rFonts w:cs="Arial"/>
                <w:i w:val="0"/>
                <w:iCs w:val="0"/>
                <w:sz w:val="20"/>
                <w:szCs w:val="20"/>
              </w:rPr>
              <w:t xml:space="preserve">. The commercial catch rate (CPUE) in South Australia is the main proxy for abundance of legal sized crabs. This indicator remained at relatively high levels during 2013/14, although pre-recruit abundance was recorded at low levels. PIRSA will continue to monitor all performance indicators for the fishery. </w:t>
            </w:r>
          </w:p>
          <w:p w14:paraId="229A4269" w14:textId="77777777" w:rsidR="000431D7" w:rsidRPr="00172D2D" w:rsidRDefault="000431D7" w:rsidP="000431D7">
            <w:pPr>
              <w:spacing w:before="60" w:after="60" w:line="240" w:lineRule="auto"/>
              <w:rPr>
                <w:rStyle w:val="Emphasis"/>
                <w:rFonts w:cs="Arial"/>
                <w:iCs w:val="0"/>
                <w:sz w:val="20"/>
                <w:szCs w:val="20"/>
              </w:rPr>
            </w:pPr>
            <w:r w:rsidRPr="00172D2D">
              <w:rPr>
                <w:rStyle w:val="Emphasis"/>
                <w:rFonts w:cs="Arial"/>
                <w:i w:val="0"/>
                <w:iCs w:val="0"/>
                <w:sz w:val="20"/>
                <w:szCs w:val="20"/>
              </w:rPr>
              <w:t>A national harvest strategy for giant crab is under development, following a workshop with all relevant jurisdictions. Under this new strategy, commercial catch rates will be standardised across the whole stock to provide clear national data, and consistent reference points will be adopted across jurisdictions. Once agreed at a national level, these measures are anticipated to be captured in SA via a policy document.</w:t>
            </w:r>
          </w:p>
        </w:tc>
      </w:tr>
      <w:tr w:rsidR="000431D7" w:rsidRPr="00172D2D" w14:paraId="229A426C" w14:textId="77777777" w:rsidTr="00172D2D">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229A426B" w14:textId="26E1B59C" w:rsidR="000431D7" w:rsidRPr="00172D2D" w:rsidRDefault="000431D7" w:rsidP="000431D7">
            <w:pPr>
              <w:spacing w:before="60" w:after="60" w:line="240" w:lineRule="auto"/>
              <w:rPr>
                <w:rStyle w:val="Emphasis"/>
                <w:rFonts w:cs="Arial"/>
                <w:i w:val="0"/>
                <w:iCs w:val="0"/>
                <w:sz w:val="20"/>
                <w:szCs w:val="20"/>
                <w:highlight w:val="yellow"/>
              </w:rPr>
            </w:pPr>
            <w:r w:rsidRPr="00172D2D">
              <w:rPr>
                <w:rStyle w:val="Emphasis"/>
                <w:rFonts w:cs="Arial"/>
                <w:b/>
                <w:i w:val="0"/>
                <w:iCs w:val="0"/>
                <w:sz w:val="20"/>
                <w:szCs w:val="20"/>
              </w:rPr>
              <w:lastRenderedPageBreak/>
              <w:t>Final recommendation for 2015 assessment of SA Giant Crab Fishery</w:t>
            </w:r>
            <w:r w:rsidRPr="00172D2D">
              <w:rPr>
                <w:rStyle w:val="Emphasis"/>
                <w:rFonts w:cs="Arial"/>
                <w:i w:val="0"/>
                <w:iCs w:val="0"/>
                <w:sz w:val="20"/>
                <w:szCs w:val="20"/>
              </w:rPr>
              <w:t>: While noting concerns for the stock nationally, this fishery is still considered relatively low risk in SA, and is therefore eligible for 10 year approval (2015-2025).</w:t>
            </w:r>
          </w:p>
        </w:tc>
      </w:tr>
    </w:tbl>
    <w:p w14:paraId="229A426D" w14:textId="77777777" w:rsidR="008A0759" w:rsidRPr="00172D2D" w:rsidRDefault="008A0759" w:rsidP="00172D2D">
      <w:pPr>
        <w:spacing w:before="60" w:after="60" w:line="240" w:lineRule="auto"/>
        <w:rPr>
          <w:rStyle w:val="Emphasis"/>
          <w:rFonts w:cs="Arial"/>
          <w:b/>
          <w:i w:val="0"/>
          <w:iCs w:val="0"/>
          <w:sz w:val="20"/>
          <w:szCs w:val="20"/>
          <w:u w:val="single"/>
        </w:rPr>
      </w:pPr>
    </w:p>
    <w:p w14:paraId="373B2247" w14:textId="77777777" w:rsidR="000A7439" w:rsidRPr="00172D2D" w:rsidRDefault="000A7439" w:rsidP="00172D2D">
      <w:pPr>
        <w:spacing w:before="60" w:after="60" w:line="240" w:lineRule="auto"/>
        <w:rPr>
          <w:rStyle w:val="Emphasis"/>
          <w:rFonts w:cs="Arial"/>
          <w:b/>
          <w:i w:val="0"/>
          <w:iCs w:val="0"/>
          <w:sz w:val="20"/>
          <w:szCs w:val="20"/>
          <w:u w:val="single"/>
        </w:rPr>
      </w:pPr>
    </w:p>
    <w:p w14:paraId="072BAA89" w14:textId="77777777" w:rsidR="003C5B8E" w:rsidRPr="00172D2D" w:rsidRDefault="003C5B8E" w:rsidP="00172D2D">
      <w:pPr>
        <w:spacing w:before="60" w:after="60" w:line="240" w:lineRule="auto"/>
        <w:rPr>
          <w:rStyle w:val="Emphasis"/>
          <w:rFonts w:cs="Arial"/>
          <w:b/>
          <w:i w:val="0"/>
          <w:iCs w:val="0"/>
          <w:sz w:val="20"/>
          <w:szCs w:val="20"/>
          <w:u w:val="single"/>
        </w:rPr>
        <w:sectPr w:rsidR="003C5B8E" w:rsidRPr="00172D2D" w:rsidSect="00625455">
          <w:headerReference w:type="even" r:id="rId19"/>
          <w:headerReference w:type="default" r:id="rId20"/>
          <w:footerReference w:type="default" r:id="rId21"/>
          <w:pgSz w:w="16838" w:h="11906" w:orient="landscape"/>
          <w:pgMar w:top="709" w:right="1361" w:bottom="709" w:left="1361" w:header="709" w:footer="54" w:gutter="0"/>
          <w:cols w:space="708"/>
          <w:docGrid w:linePitch="360"/>
        </w:sectPr>
      </w:pPr>
    </w:p>
    <w:p w14:paraId="229A426E" w14:textId="03EF1CAC" w:rsidR="00AC0090" w:rsidRPr="00172D2D" w:rsidRDefault="008A0759" w:rsidP="00172D2D">
      <w:pPr>
        <w:spacing w:before="60" w:after="60" w:line="240" w:lineRule="auto"/>
        <w:rPr>
          <w:rStyle w:val="Emphasis"/>
          <w:rFonts w:cs="Arial"/>
          <w:b/>
          <w:i w:val="0"/>
          <w:iCs w:val="0"/>
          <w:sz w:val="20"/>
          <w:szCs w:val="20"/>
          <w:u w:val="single"/>
        </w:rPr>
      </w:pPr>
      <w:r w:rsidRPr="00172D2D">
        <w:rPr>
          <w:rStyle w:val="Emphasis"/>
          <w:rFonts w:cs="Arial"/>
          <w:b/>
          <w:i w:val="0"/>
          <w:iCs w:val="0"/>
          <w:sz w:val="20"/>
          <w:szCs w:val="20"/>
          <w:u w:val="single"/>
        </w:rPr>
        <w:lastRenderedPageBreak/>
        <w:t>Notes:</w:t>
      </w:r>
    </w:p>
    <w:p w14:paraId="0F2E75CE" w14:textId="77777777" w:rsidR="003C5B8E" w:rsidRPr="00172D2D" w:rsidRDefault="00996B7B" w:rsidP="00172D2D">
      <w:pPr>
        <w:spacing w:before="60" w:after="60" w:line="240" w:lineRule="auto"/>
        <w:rPr>
          <w:rStyle w:val="Emphasis"/>
          <w:rFonts w:cs="Arial"/>
          <w:b/>
          <w:i w:val="0"/>
          <w:iCs w:val="0"/>
          <w:sz w:val="20"/>
          <w:szCs w:val="20"/>
        </w:rPr>
      </w:pPr>
      <w:r w:rsidRPr="00172D2D">
        <w:rPr>
          <w:rStyle w:val="Emphasis"/>
          <w:rFonts w:cs="Arial"/>
          <w:b/>
          <w:i w:val="0"/>
          <w:iCs w:val="0"/>
          <w:sz w:val="20"/>
          <w:szCs w:val="20"/>
        </w:rPr>
        <w:t xml:space="preserve">Assessment history: </w:t>
      </w:r>
    </w:p>
    <w:p w14:paraId="15935243" w14:textId="77777777" w:rsidR="003C5B8E" w:rsidRPr="00172D2D" w:rsidRDefault="00996B7B" w:rsidP="00172D2D">
      <w:pPr>
        <w:spacing w:before="60" w:after="60" w:line="240" w:lineRule="auto"/>
        <w:rPr>
          <w:rStyle w:val="Emphasis"/>
          <w:rFonts w:cs="Arial"/>
          <w:i w:val="0"/>
          <w:iCs w:val="0"/>
          <w:sz w:val="20"/>
          <w:szCs w:val="20"/>
        </w:rPr>
      </w:pPr>
      <w:r w:rsidRPr="00172D2D">
        <w:rPr>
          <w:rStyle w:val="Emphasis"/>
          <w:rFonts w:cs="Arial"/>
          <w:i w:val="0"/>
          <w:iCs w:val="0"/>
          <w:sz w:val="20"/>
          <w:szCs w:val="20"/>
        </w:rPr>
        <w:t>1</w:t>
      </w:r>
      <w:r w:rsidRPr="00172D2D">
        <w:rPr>
          <w:rStyle w:val="Emphasis"/>
          <w:rFonts w:cs="Arial"/>
          <w:i w:val="0"/>
          <w:iCs w:val="0"/>
          <w:sz w:val="20"/>
          <w:szCs w:val="20"/>
          <w:vertAlign w:val="superscript"/>
        </w:rPr>
        <w:t>st</w:t>
      </w:r>
      <w:r w:rsidRPr="00172D2D">
        <w:rPr>
          <w:rStyle w:val="Emphasis"/>
          <w:rFonts w:cs="Arial"/>
          <w:i w:val="0"/>
          <w:iCs w:val="0"/>
          <w:sz w:val="20"/>
          <w:szCs w:val="20"/>
        </w:rPr>
        <w:t xml:space="preserve"> assessm</w:t>
      </w:r>
      <w:r w:rsidR="001C196E" w:rsidRPr="00172D2D">
        <w:rPr>
          <w:rStyle w:val="Emphasis"/>
          <w:rFonts w:cs="Arial"/>
          <w:i w:val="0"/>
          <w:iCs w:val="0"/>
          <w:sz w:val="20"/>
          <w:szCs w:val="20"/>
        </w:rPr>
        <w:t>ent finalised 2004 – LENS with 11</w:t>
      </w:r>
      <w:r w:rsidRPr="00172D2D">
        <w:rPr>
          <w:rStyle w:val="Emphasis"/>
          <w:rFonts w:cs="Arial"/>
          <w:i w:val="0"/>
          <w:iCs w:val="0"/>
          <w:sz w:val="20"/>
          <w:szCs w:val="20"/>
        </w:rPr>
        <w:t xml:space="preserve"> recs</w:t>
      </w:r>
    </w:p>
    <w:p w14:paraId="229A426F" w14:textId="4FC790F5" w:rsidR="00CC28BB" w:rsidRPr="00172D2D" w:rsidRDefault="00996B7B" w:rsidP="00172D2D">
      <w:pPr>
        <w:spacing w:before="60" w:after="60" w:line="240" w:lineRule="auto"/>
        <w:rPr>
          <w:rStyle w:val="Emphasis"/>
          <w:rFonts w:cs="Arial"/>
          <w:i w:val="0"/>
          <w:iCs w:val="0"/>
          <w:sz w:val="20"/>
          <w:szCs w:val="20"/>
        </w:rPr>
      </w:pPr>
      <w:r w:rsidRPr="00172D2D">
        <w:rPr>
          <w:rStyle w:val="Emphasis"/>
          <w:rFonts w:cs="Arial"/>
          <w:i w:val="0"/>
          <w:iCs w:val="0"/>
          <w:sz w:val="20"/>
          <w:szCs w:val="20"/>
        </w:rPr>
        <w:t>2</w:t>
      </w:r>
      <w:r w:rsidRPr="00172D2D">
        <w:rPr>
          <w:rStyle w:val="Emphasis"/>
          <w:rFonts w:cs="Arial"/>
          <w:i w:val="0"/>
          <w:iCs w:val="0"/>
          <w:sz w:val="20"/>
          <w:szCs w:val="20"/>
          <w:vertAlign w:val="superscript"/>
        </w:rPr>
        <w:t>nd</w:t>
      </w:r>
      <w:r w:rsidRPr="00172D2D">
        <w:rPr>
          <w:rStyle w:val="Emphasis"/>
          <w:rFonts w:cs="Arial"/>
          <w:i w:val="0"/>
          <w:iCs w:val="0"/>
          <w:sz w:val="20"/>
          <w:szCs w:val="20"/>
        </w:rPr>
        <w:t xml:space="preserve"> assessment finalised 20</w:t>
      </w:r>
      <w:r w:rsidR="0084437A" w:rsidRPr="00172D2D">
        <w:rPr>
          <w:rStyle w:val="Emphasis"/>
          <w:rFonts w:cs="Arial"/>
          <w:i w:val="0"/>
          <w:iCs w:val="0"/>
          <w:sz w:val="20"/>
          <w:szCs w:val="20"/>
        </w:rPr>
        <w:t>10</w:t>
      </w:r>
      <w:r w:rsidRPr="00172D2D">
        <w:rPr>
          <w:rStyle w:val="Emphasis"/>
          <w:rFonts w:cs="Arial"/>
          <w:i w:val="0"/>
          <w:iCs w:val="0"/>
          <w:sz w:val="20"/>
          <w:szCs w:val="20"/>
        </w:rPr>
        <w:t xml:space="preserve"> – LENS with </w:t>
      </w:r>
      <w:r w:rsidR="001C196E" w:rsidRPr="00172D2D">
        <w:rPr>
          <w:rStyle w:val="Emphasis"/>
          <w:rFonts w:cs="Arial"/>
          <w:i w:val="0"/>
          <w:iCs w:val="0"/>
          <w:sz w:val="20"/>
          <w:szCs w:val="20"/>
        </w:rPr>
        <w:t>6</w:t>
      </w:r>
      <w:r w:rsidRPr="00172D2D">
        <w:rPr>
          <w:rStyle w:val="Emphasis"/>
          <w:rFonts w:cs="Arial"/>
          <w:i w:val="0"/>
          <w:iCs w:val="0"/>
          <w:sz w:val="20"/>
          <w:szCs w:val="20"/>
        </w:rPr>
        <w:t xml:space="preserve"> recs</w:t>
      </w:r>
      <w:r w:rsidR="00896A08" w:rsidRPr="00172D2D">
        <w:rPr>
          <w:rStyle w:val="Emphasis"/>
          <w:rFonts w:cs="Arial"/>
          <w:i w:val="0"/>
          <w:iCs w:val="0"/>
          <w:sz w:val="20"/>
          <w:szCs w:val="20"/>
        </w:rPr>
        <w:t xml:space="preserve">. No public comments received. </w:t>
      </w:r>
    </w:p>
    <w:p w14:paraId="229A4270" w14:textId="77777777" w:rsidR="00996B7B" w:rsidRPr="00172D2D" w:rsidRDefault="001C196E" w:rsidP="00172D2D">
      <w:pPr>
        <w:spacing w:before="60" w:after="60" w:line="240" w:lineRule="auto"/>
        <w:rPr>
          <w:rStyle w:val="Emphasis"/>
          <w:rFonts w:cs="Arial"/>
          <w:i w:val="0"/>
          <w:iCs w:val="0"/>
          <w:sz w:val="20"/>
          <w:szCs w:val="20"/>
        </w:rPr>
      </w:pPr>
      <w:r w:rsidRPr="00172D2D">
        <w:rPr>
          <w:rStyle w:val="Emphasis"/>
          <w:rFonts w:cs="Arial"/>
          <w:i w:val="0"/>
          <w:iCs w:val="0"/>
          <w:sz w:val="20"/>
          <w:szCs w:val="20"/>
        </w:rPr>
        <w:t>Open-ended</w:t>
      </w:r>
      <w:r w:rsidR="00CC28BB" w:rsidRPr="00172D2D">
        <w:rPr>
          <w:rStyle w:val="Emphasis"/>
          <w:rFonts w:cs="Arial"/>
          <w:i w:val="0"/>
          <w:iCs w:val="0"/>
          <w:sz w:val="20"/>
          <w:szCs w:val="20"/>
        </w:rPr>
        <w:t xml:space="preserve"> Part 13</w:t>
      </w:r>
      <w:r w:rsidRPr="00172D2D">
        <w:rPr>
          <w:rStyle w:val="Emphasis"/>
          <w:rFonts w:cs="Arial"/>
          <w:i w:val="0"/>
          <w:iCs w:val="0"/>
          <w:sz w:val="20"/>
          <w:szCs w:val="20"/>
        </w:rPr>
        <w:t xml:space="preserve"> last made in 2007.</w:t>
      </w:r>
    </w:p>
    <w:p w14:paraId="229A4271" w14:textId="77777777" w:rsidR="008A0759" w:rsidRPr="00172D2D" w:rsidRDefault="008A0759" w:rsidP="00172D2D">
      <w:pPr>
        <w:spacing w:before="60" w:after="60" w:line="240" w:lineRule="auto"/>
        <w:rPr>
          <w:rStyle w:val="Emphasis"/>
          <w:rFonts w:cs="Arial"/>
          <w:i w:val="0"/>
          <w:iCs w:val="0"/>
          <w:sz w:val="20"/>
          <w:szCs w:val="20"/>
        </w:rPr>
      </w:pPr>
    </w:p>
    <w:p w14:paraId="229A4273" w14:textId="77777777" w:rsidR="008A0759" w:rsidRPr="00172D2D" w:rsidRDefault="008A0759" w:rsidP="00172D2D">
      <w:pPr>
        <w:spacing w:before="60" w:after="60" w:line="240" w:lineRule="auto"/>
        <w:rPr>
          <w:rStyle w:val="Emphasis"/>
          <w:rFonts w:cs="Arial"/>
          <w:b/>
          <w:i w:val="0"/>
          <w:iCs w:val="0"/>
          <w:sz w:val="20"/>
          <w:szCs w:val="20"/>
        </w:rPr>
      </w:pPr>
      <w:r w:rsidRPr="00172D2D">
        <w:rPr>
          <w:rStyle w:val="Emphasis"/>
          <w:rFonts w:cs="Arial"/>
          <w:b/>
          <w:i w:val="0"/>
          <w:iCs w:val="0"/>
          <w:sz w:val="20"/>
          <w:szCs w:val="20"/>
        </w:rPr>
        <w:t>Fishery reporting:</w:t>
      </w:r>
    </w:p>
    <w:p w14:paraId="229A4274" w14:textId="77777777" w:rsidR="008A0759" w:rsidRPr="00172D2D" w:rsidRDefault="008A0759" w:rsidP="00172D2D">
      <w:pPr>
        <w:spacing w:before="60" w:after="60" w:line="240" w:lineRule="auto"/>
        <w:rPr>
          <w:rStyle w:val="Emphasis"/>
          <w:rFonts w:cs="Arial"/>
          <w:i w:val="0"/>
          <w:iCs w:val="0"/>
          <w:sz w:val="20"/>
          <w:szCs w:val="20"/>
        </w:rPr>
      </w:pPr>
      <w:r w:rsidRPr="00172D2D">
        <w:rPr>
          <w:rStyle w:val="Emphasis"/>
          <w:rFonts w:cs="Arial"/>
          <w:i w:val="0"/>
          <w:iCs w:val="0"/>
          <w:sz w:val="20"/>
          <w:szCs w:val="20"/>
          <w:u w:val="single"/>
        </w:rPr>
        <w:t>Annual report</w:t>
      </w:r>
      <w:r w:rsidRPr="00172D2D">
        <w:rPr>
          <w:rStyle w:val="Emphasis"/>
          <w:rFonts w:cs="Arial"/>
          <w:i w:val="0"/>
          <w:iCs w:val="0"/>
          <w:sz w:val="20"/>
          <w:szCs w:val="20"/>
        </w:rPr>
        <w:t xml:space="preserve"> – last provided in </w:t>
      </w:r>
      <w:r w:rsidR="00624201" w:rsidRPr="00172D2D">
        <w:rPr>
          <w:rStyle w:val="Emphasis"/>
          <w:rFonts w:cs="Arial"/>
          <w:i w:val="0"/>
          <w:iCs w:val="0"/>
          <w:sz w:val="20"/>
          <w:szCs w:val="20"/>
        </w:rPr>
        <w:t>July 2014</w:t>
      </w:r>
    </w:p>
    <w:p w14:paraId="229A4275" w14:textId="77777777" w:rsidR="008A0759" w:rsidRPr="00172D2D" w:rsidRDefault="008A0759" w:rsidP="00172D2D">
      <w:pPr>
        <w:spacing w:before="60" w:after="60" w:line="240" w:lineRule="auto"/>
        <w:rPr>
          <w:rStyle w:val="Emphasis"/>
          <w:rFonts w:cs="Arial"/>
          <w:i w:val="0"/>
          <w:iCs w:val="0"/>
          <w:sz w:val="20"/>
          <w:szCs w:val="20"/>
        </w:rPr>
      </w:pPr>
      <w:r w:rsidRPr="00172D2D">
        <w:rPr>
          <w:rStyle w:val="Emphasis"/>
          <w:rFonts w:cs="Arial"/>
          <w:i w:val="0"/>
          <w:iCs w:val="0"/>
          <w:sz w:val="20"/>
          <w:szCs w:val="20"/>
          <w:u w:val="single"/>
        </w:rPr>
        <w:t>Protected species interactions</w:t>
      </w:r>
      <w:r w:rsidRPr="00172D2D">
        <w:rPr>
          <w:rStyle w:val="Emphasis"/>
          <w:rFonts w:cs="Arial"/>
          <w:i w:val="0"/>
          <w:iCs w:val="0"/>
          <w:sz w:val="20"/>
          <w:szCs w:val="20"/>
        </w:rPr>
        <w:t xml:space="preserve"> – </w:t>
      </w:r>
      <w:r w:rsidR="001A652E" w:rsidRPr="00172D2D">
        <w:rPr>
          <w:rStyle w:val="Emphasis"/>
          <w:rFonts w:cs="Arial"/>
          <w:i w:val="0"/>
          <w:iCs w:val="0"/>
          <w:sz w:val="20"/>
          <w:szCs w:val="20"/>
        </w:rPr>
        <w:t>All SA fishery interactions provided publicly and annual</w:t>
      </w:r>
      <w:r w:rsidR="0091486A" w:rsidRPr="00172D2D">
        <w:rPr>
          <w:rStyle w:val="Emphasis"/>
          <w:rFonts w:cs="Arial"/>
          <w:i w:val="0"/>
          <w:iCs w:val="0"/>
          <w:sz w:val="20"/>
          <w:szCs w:val="20"/>
        </w:rPr>
        <w:t>l</w:t>
      </w:r>
      <w:r w:rsidR="001A652E" w:rsidRPr="00172D2D">
        <w:rPr>
          <w:rStyle w:val="Emphasis"/>
          <w:rFonts w:cs="Arial"/>
          <w:i w:val="0"/>
          <w:iCs w:val="0"/>
          <w:sz w:val="20"/>
          <w:szCs w:val="20"/>
        </w:rPr>
        <w:t>y at</w:t>
      </w:r>
      <w:r w:rsidR="0091486A" w:rsidRPr="00172D2D">
        <w:rPr>
          <w:rStyle w:val="Emphasis"/>
          <w:rFonts w:cs="Arial"/>
          <w:i w:val="0"/>
          <w:iCs w:val="0"/>
          <w:sz w:val="20"/>
          <w:szCs w:val="20"/>
        </w:rPr>
        <w:t xml:space="preserve"> </w:t>
      </w:r>
      <w:hyperlink r:id="rId22" w:history="1">
        <w:r w:rsidR="001A652E" w:rsidRPr="00172D2D">
          <w:rPr>
            <w:rStyle w:val="Hyperlink"/>
            <w:rFonts w:cs="Arial"/>
            <w:sz w:val="20"/>
            <w:szCs w:val="20"/>
          </w:rPr>
          <w:t>Research Report Series</w:t>
        </w:r>
      </w:hyperlink>
      <w:r w:rsidR="001A652E" w:rsidRPr="00172D2D">
        <w:rPr>
          <w:rStyle w:val="Emphasis"/>
          <w:rFonts w:cs="Arial"/>
          <w:i w:val="0"/>
          <w:iCs w:val="0"/>
          <w:sz w:val="20"/>
          <w:szCs w:val="20"/>
        </w:rPr>
        <w:t xml:space="preserve"> </w:t>
      </w:r>
      <w:r w:rsidR="0091486A" w:rsidRPr="00172D2D">
        <w:rPr>
          <w:rStyle w:val="Emphasis"/>
          <w:rFonts w:cs="Arial"/>
          <w:i w:val="0"/>
          <w:iCs w:val="0"/>
          <w:sz w:val="20"/>
          <w:szCs w:val="20"/>
        </w:rPr>
        <w:t>section on SARDI website</w:t>
      </w:r>
      <w:r w:rsidR="001A652E" w:rsidRPr="00172D2D">
        <w:rPr>
          <w:rStyle w:val="Emphasis"/>
          <w:rFonts w:cs="Arial"/>
          <w:i w:val="0"/>
          <w:iCs w:val="0"/>
          <w:sz w:val="20"/>
          <w:szCs w:val="20"/>
        </w:rPr>
        <w:t xml:space="preserve">. Last published February 2014 (fishing year of 2012/13): </w:t>
      </w:r>
      <w:hyperlink r:id="rId23" w:history="1">
        <w:r w:rsidR="001A652E" w:rsidRPr="00172D2D">
          <w:rPr>
            <w:rStyle w:val="Hyperlink"/>
            <w:rFonts w:cs="Arial"/>
            <w:sz w:val="20"/>
            <w:szCs w:val="20"/>
          </w:rPr>
          <w:t>http://pir.sa.gov.au/__data/assets/pdf_file/0011/232400/Wildlife_Interactions_in_SA_Fisheries_2013_-_FINAL.pdf</w:t>
        </w:r>
      </w:hyperlink>
      <w:r w:rsidR="001A652E" w:rsidRPr="00172D2D">
        <w:rPr>
          <w:rStyle w:val="Emphasis"/>
          <w:rFonts w:cs="Arial"/>
          <w:i w:val="0"/>
          <w:iCs w:val="0"/>
          <w:sz w:val="20"/>
          <w:szCs w:val="20"/>
        </w:rPr>
        <w:t xml:space="preserve"> </w:t>
      </w:r>
    </w:p>
    <w:p w14:paraId="229A4276" w14:textId="77777777" w:rsidR="008A0759" w:rsidRPr="00172D2D" w:rsidRDefault="008A0759" w:rsidP="00172D2D">
      <w:pPr>
        <w:spacing w:before="60" w:after="60" w:line="240" w:lineRule="auto"/>
        <w:rPr>
          <w:rStyle w:val="Emphasis"/>
          <w:rFonts w:cs="Arial"/>
          <w:i w:val="0"/>
          <w:iCs w:val="0"/>
          <w:sz w:val="20"/>
          <w:szCs w:val="20"/>
        </w:rPr>
      </w:pPr>
    </w:p>
    <w:p w14:paraId="229A4277" w14:textId="77777777" w:rsidR="008A0759" w:rsidRPr="00172D2D" w:rsidRDefault="008A0759" w:rsidP="00172D2D">
      <w:pPr>
        <w:spacing w:before="60" w:after="60" w:line="240" w:lineRule="auto"/>
        <w:rPr>
          <w:rStyle w:val="Emphasis"/>
          <w:rFonts w:cs="Arial"/>
          <w:b/>
          <w:i w:val="0"/>
          <w:iCs w:val="0"/>
          <w:sz w:val="20"/>
          <w:szCs w:val="20"/>
        </w:rPr>
      </w:pPr>
      <w:r w:rsidRPr="00172D2D">
        <w:rPr>
          <w:rStyle w:val="Emphasis"/>
          <w:rFonts w:cs="Arial"/>
          <w:b/>
          <w:i w:val="0"/>
          <w:iCs w:val="0"/>
          <w:sz w:val="20"/>
          <w:szCs w:val="20"/>
        </w:rPr>
        <w:t xml:space="preserve">Key links: </w:t>
      </w:r>
    </w:p>
    <w:p w14:paraId="229A4279" w14:textId="424B09E3" w:rsidR="00CC28BB" w:rsidRPr="00172D2D" w:rsidRDefault="0003695A" w:rsidP="00172D2D">
      <w:pPr>
        <w:spacing w:before="60" w:after="60" w:line="240" w:lineRule="auto"/>
        <w:rPr>
          <w:rFonts w:cs="Arial"/>
          <w:sz w:val="20"/>
          <w:szCs w:val="20"/>
        </w:rPr>
      </w:pPr>
      <w:r w:rsidRPr="00172D2D">
        <w:rPr>
          <w:rStyle w:val="Emphasis"/>
          <w:rFonts w:cs="Arial"/>
          <w:i w:val="0"/>
          <w:iCs w:val="0"/>
          <w:sz w:val="20"/>
          <w:szCs w:val="20"/>
        </w:rPr>
        <w:t xml:space="preserve">– </w:t>
      </w:r>
      <w:r w:rsidR="008A0759" w:rsidRPr="00172D2D">
        <w:rPr>
          <w:rStyle w:val="Emphasis"/>
          <w:rFonts w:cs="Arial"/>
          <w:i w:val="0"/>
          <w:iCs w:val="0"/>
          <w:sz w:val="20"/>
          <w:szCs w:val="20"/>
        </w:rPr>
        <w:t xml:space="preserve">Fishery information page on </w:t>
      </w:r>
      <w:r w:rsidR="00FC1856" w:rsidRPr="00172D2D">
        <w:rPr>
          <w:rStyle w:val="Emphasis"/>
          <w:rFonts w:cs="Arial"/>
          <w:i w:val="0"/>
          <w:iCs w:val="0"/>
          <w:sz w:val="20"/>
          <w:szCs w:val="20"/>
        </w:rPr>
        <w:t>PIRSA</w:t>
      </w:r>
      <w:r w:rsidR="008A0759" w:rsidRPr="00172D2D">
        <w:rPr>
          <w:rStyle w:val="Emphasis"/>
          <w:rFonts w:cs="Arial"/>
          <w:i w:val="0"/>
          <w:iCs w:val="0"/>
          <w:sz w:val="20"/>
          <w:szCs w:val="20"/>
        </w:rPr>
        <w:t xml:space="preserve"> website</w:t>
      </w:r>
      <w:r w:rsidR="0084348C" w:rsidRPr="00172D2D">
        <w:rPr>
          <w:rStyle w:val="Emphasis"/>
          <w:rFonts w:cs="Arial"/>
          <w:i w:val="0"/>
          <w:iCs w:val="0"/>
          <w:sz w:val="20"/>
          <w:szCs w:val="20"/>
        </w:rPr>
        <w:t xml:space="preserve">, </w:t>
      </w:r>
      <w:r w:rsidR="00554485" w:rsidRPr="00172D2D">
        <w:rPr>
          <w:rStyle w:val="Emphasis"/>
          <w:rFonts w:cs="Arial"/>
          <w:i w:val="0"/>
          <w:iCs w:val="0"/>
          <w:sz w:val="20"/>
          <w:szCs w:val="20"/>
        </w:rPr>
        <w:t>under ‘Miscellaneous Fishery’</w:t>
      </w:r>
      <w:r w:rsidR="00FF7ADD" w:rsidRPr="00172D2D">
        <w:rPr>
          <w:rStyle w:val="Emphasis"/>
          <w:rFonts w:cs="Arial"/>
          <w:i w:val="0"/>
          <w:iCs w:val="0"/>
          <w:sz w:val="20"/>
          <w:szCs w:val="20"/>
        </w:rPr>
        <w:t xml:space="preserve"> </w:t>
      </w:r>
      <w:r w:rsidRPr="00172D2D">
        <w:rPr>
          <w:rStyle w:val="Emphasis"/>
          <w:rFonts w:cs="Arial"/>
          <w:i w:val="0"/>
          <w:iCs w:val="0"/>
          <w:sz w:val="20"/>
          <w:szCs w:val="20"/>
        </w:rPr>
        <w:t xml:space="preserve">– </w:t>
      </w:r>
      <w:hyperlink r:id="rId24" w:history="1">
        <w:r w:rsidR="00554485" w:rsidRPr="00172D2D">
          <w:rPr>
            <w:rStyle w:val="Hyperlink"/>
            <w:rFonts w:cs="Arial"/>
            <w:sz w:val="20"/>
            <w:szCs w:val="20"/>
          </w:rPr>
          <w:t>http://pir.sa.gov.au/fishing/commercial_fishing/commercial_fisheries/miscellaneous_fishery</w:t>
        </w:r>
      </w:hyperlink>
    </w:p>
    <w:p w14:paraId="229A427B" w14:textId="2B003702" w:rsidR="00CC28BB" w:rsidRPr="00172D2D" w:rsidRDefault="0003695A" w:rsidP="00172D2D">
      <w:pPr>
        <w:spacing w:before="60" w:after="60" w:line="240" w:lineRule="auto"/>
        <w:rPr>
          <w:rStyle w:val="Hyperlink"/>
          <w:rFonts w:cs="Arial"/>
          <w:sz w:val="20"/>
          <w:szCs w:val="20"/>
        </w:rPr>
      </w:pPr>
      <w:r w:rsidRPr="00172D2D">
        <w:rPr>
          <w:rStyle w:val="Emphasis"/>
          <w:rFonts w:cs="Arial"/>
          <w:i w:val="0"/>
          <w:iCs w:val="0"/>
          <w:sz w:val="20"/>
          <w:szCs w:val="20"/>
        </w:rPr>
        <w:t xml:space="preserve">– </w:t>
      </w:r>
      <w:r w:rsidR="00996B7B" w:rsidRPr="00172D2D">
        <w:rPr>
          <w:rStyle w:val="Emphasis"/>
          <w:rFonts w:cs="Arial"/>
          <w:i w:val="0"/>
          <w:iCs w:val="0"/>
          <w:sz w:val="20"/>
          <w:szCs w:val="20"/>
        </w:rPr>
        <w:t xml:space="preserve">Management </w:t>
      </w:r>
      <w:r w:rsidR="00554485" w:rsidRPr="00172D2D">
        <w:rPr>
          <w:rStyle w:val="Emphasis"/>
          <w:rFonts w:cs="Arial"/>
          <w:i w:val="0"/>
          <w:iCs w:val="0"/>
          <w:sz w:val="20"/>
          <w:szCs w:val="20"/>
        </w:rPr>
        <w:t>arrangements</w:t>
      </w:r>
      <w:r w:rsidR="00996B7B" w:rsidRPr="00172D2D">
        <w:rPr>
          <w:rStyle w:val="Emphasis"/>
          <w:rFonts w:cs="Arial"/>
          <w:i w:val="0"/>
          <w:iCs w:val="0"/>
          <w:sz w:val="20"/>
          <w:szCs w:val="20"/>
        </w:rPr>
        <w:t xml:space="preserve"> for the SA </w:t>
      </w:r>
      <w:r w:rsidR="00554485" w:rsidRPr="00172D2D">
        <w:rPr>
          <w:rStyle w:val="Emphasis"/>
          <w:rFonts w:cs="Arial"/>
          <w:i w:val="0"/>
          <w:iCs w:val="0"/>
          <w:sz w:val="20"/>
          <w:szCs w:val="20"/>
        </w:rPr>
        <w:t>Giant</w:t>
      </w:r>
      <w:r w:rsidR="00CC28BB" w:rsidRPr="00172D2D">
        <w:rPr>
          <w:rStyle w:val="Emphasis"/>
          <w:rFonts w:cs="Arial"/>
          <w:i w:val="0"/>
          <w:iCs w:val="0"/>
          <w:sz w:val="20"/>
          <w:szCs w:val="20"/>
        </w:rPr>
        <w:t xml:space="preserve"> Crab</w:t>
      </w:r>
      <w:r w:rsidR="00996B7B" w:rsidRPr="00172D2D">
        <w:rPr>
          <w:rStyle w:val="Emphasis"/>
          <w:rFonts w:cs="Arial"/>
          <w:i w:val="0"/>
          <w:iCs w:val="0"/>
          <w:sz w:val="20"/>
          <w:szCs w:val="20"/>
        </w:rPr>
        <w:t xml:space="preserve"> Fishery – </w:t>
      </w:r>
      <w:r w:rsidR="00554485" w:rsidRPr="00172D2D">
        <w:rPr>
          <w:rStyle w:val="Emphasis"/>
          <w:rFonts w:cs="Arial"/>
          <w:i w:val="0"/>
          <w:iCs w:val="0"/>
          <w:sz w:val="20"/>
          <w:szCs w:val="20"/>
        </w:rPr>
        <w:t>October 2002</w:t>
      </w:r>
      <w:r w:rsidR="00C43748" w:rsidRPr="00172D2D">
        <w:rPr>
          <w:rStyle w:val="Emphasis"/>
          <w:rFonts w:cs="Arial"/>
          <w:i w:val="0"/>
          <w:iCs w:val="0"/>
          <w:sz w:val="20"/>
          <w:szCs w:val="20"/>
        </w:rPr>
        <w:t xml:space="preserve"> </w:t>
      </w:r>
      <w:r w:rsidRPr="00172D2D">
        <w:rPr>
          <w:rStyle w:val="Emphasis"/>
          <w:rFonts w:cs="Arial"/>
          <w:i w:val="0"/>
          <w:iCs w:val="0"/>
          <w:sz w:val="20"/>
          <w:szCs w:val="20"/>
        </w:rPr>
        <w:t xml:space="preserve">– </w:t>
      </w:r>
      <w:hyperlink r:id="rId25" w:history="1">
        <w:r w:rsidRPr="00172D2D">
          <w:rPr>
            <w:rStyle w:val="Hyperlink"/>
            <w:rFonts w:cs="Arial"/>
            <w:sz w:val="20"/>
            <w:szCs w:val="20"/>
          </w:rPr>
          <w:t>http://pir.sa.gov.au/__data/assets/pdf_file/0006/12777/giant_crab2002.pdf</w:t>
        </w:r>
      </w:hyperlink>
      <w:r w:rsidRPr="00172D2D">
        <w:rPr>
          <w:rFonts w:cs="Arial"/>
          <w:sz w:val="20"/>
          <w:szCs w:val="20"/>
        </w:rPr>
        <w:t>.</w:t>
      </w:r>
    </w:p>
    <w:p w14:paraId="229A427D" w14:textId="3BF67FFE" w:rsidR="00021E54" w:rsidRPr="00172D2D" w:rsidRDefault="0003695A" w:rsidP="00172D2D">
      <w:pPr>
        <w:spacing w:before="60" w:after="60" w:line="240" w:lineRule="auto"/>
        <w:rPr>
          <w:rFonts w:cs="Arial"/>
          <w:sz w:val="20"/>
          <w:szCs w:val="20"/>
        </w:rPr>
      </w:pPr>
      <w:r w:rsidRPr="00172D2D">
        <w:rPr>
          <w:rFonts w:cs="Arial"/>
          <w:sz w:val="20"/>
          <w:szCs w:val="20"/>
        </w:rPr>
        <w:t xml:space="preserve">– </w:t>
      </w:r>
      <w:r w:rsidR="00021E54" w:rsidRPr="00172D2D">
        <w:rPr>
          <w:rFonts w:cs="Arial"/>
          <w:sz w:val="20"/>
          <w:szCs w:val="20"/>
        </w:rPr>
        <w:t>Ecological Assessment of the South Australian Giant Crab (</w:t>
      </w:r>
      <w:r w:rsidR="00021E54" w:rsidRPr="00172D2D">
        <w:rPr>
          <w:rFonts w:cs="Arial"/>
          <w:i/>
          <w:sz w:val="20"/>
          <w:szCs w:val="20"/>
        </w:rPr>
        <w:t>Pseudocarcinus gigas</w:t>
      </w:r>
      <w:r w:rsidR="00021E54" w:rsidRPr="00172D2D">
        <w:rPr>
          <w:rFonts w:cs="Arial"/>
          <w:sz w:val="20"/>
          <w:szCs w:val="20"/>
        </w:rPr>
        <w:t>) Fishery – January 2007</w:t>
      </w:r>
      <w:r w:rsidRPr="00172D2D">
        <w:rPr>
          <w:rFonts w:cs="Arial"/>
          <w:sz w:val="20"/>
          <w:szCs w:val="20"/>
        </w:rPr>
        <w:t xml:space="preserve"> </w:t>
      </w:r>
      <w:hyperlink r:id="rId26" w:history="1">
        <w:r w:rsidR="00D24533" w:rsidRPr="00172D2D">
          <w:rPr>
            <w:rStyle w:val="Hyperlink"/>
            <w:rFonts w:cs="Arial"/>
            <w:sz w:val="20"/>
            <w:szCs w:val="20"/>
          </w:rPr>
          <w:t>https://www.environment.gov.au/system/files/pages/70f73d2b-e5d8-4b53-90e5-71e64bb16acd/files/sagc-submission-07.pdf</w:t>
        </w:r>
      </w:hyperlink>
      <w:r w:rsidR="00D24533" w:rsidRPr="00172D2D">
        <w:rPr>
          <w:rFonts w:cs="Arial"/>
          <w:sz w:val="20"/>
          <w:szCs w:val="20"/>
        </w:rPr>
        <w:t xml:space="preserve"> </w:t>
      </w:r>
    </w:p>
    <w:p w14:paraId="229A427F" w14:textId="6B1E1CD7" w:rsidR="00772535" w:rsidRPr="00172D2D" w:rsidRDefault="0003695A" w:rsidP="00172D2D">
      <w:pPr>
        <w:spacing w:before="60" w:after="60" w:line="240" w:lineRule="auto"/>
        <w:rPr>
          <w:rStyle w:val="Emphasis"/>
          <w:rFonts w:cs="Arial"/>
          <w:i w:val="0"/>
          <w:iCs w:val="0"/>
          <w:sz w:val="20"/>
          <w:szCs w:val="20"/>
        </w:rPr>
      </w:pPr>
      <w:r w:rsidRPr="00172D2D">
        <w:rPr>
          <w:rStyle w:val="Emphasis"/>
          <w:rFonts w:cs="Arial"/>
          <w:i w:val="0"/>
          <w:iCs w:val="0"/>
          <w:sz w:val="20"/>
          <w:szCs w:val="20"/>
        </w:rPr>
        <w:t xml:space="preserve">– </w:t>
      </w:r>
      <w:r w:rsidR="00996723" w:rsidRPr="00172D2D">
        <w:rPr>
          <w:rStyle w:val="Emphasis"/>
          <w:rFonts w:cs="Arial"/>
          <w:i w:val="0"/>
          <w:iCs w:val="0"/>
          <w:sz w:val="20"/>
          <w:szCs w:val="20"/>
        </w:rPr>
        <w:t>2013/14</w:t>
      </w:r>
      <w:r w:rsidR="00772535" w:rsidRPr="00172D2D">
        <w:rPr>
          <w:rStyle w:val="Emphasis"/>
          <w:rFonts w:cs="Arial"/>
          <w:i w:val="0"/>
          <w:iCs w:val="0"/>
          <w:sz w:val="20"/>
          <w:szCs w:val="20"/>
        </w:rPr>
        <w:t xml:space="preserve"> stock assessment</w:t>
      </w:r>
      <w:r w:rsidRPr="00172D2D">
        <w:rPr>
          <w:rStyle w:val="Emphasis"/>
          <w:rFonts w:cs="Arial"/>
          <w:i w:val="0"/>
          <w:iCs w:val="0"/>
          <w:sz w:val="20"/>
          <w:szCs w:val="20"/>
        </w:rPr>
        <w:t xml:space="preserve"> (publ. March 2015) – </w:t>
      </w:r>
      <w:hyperlink r:id="rId27" w:history="1">
        <w:r w:rsidR="00996723" w:rsidRPr="00172D2D">
          <w:rPr>
            <w:rStyle w:val="Hyperlink"/>
            <w:rFonts w:cs="Arial"/>
            <w:sz w:val="20"/>
            <w:szCs w:val="20"/>
          </w:rPr>
          <w:t>http://pir.sa.gov.au/__data/assets/pdf_file/0008/247265/2013_14_Giant_Crab_Status_Report.pdf</w:t>
        </w:r>
      </w:hyperlink>
      <w:r w:rsidRPr="00172D2D">
        <w:rPr>
          <w:rStyle w:val="Emphasis"/>
          <w:rFonts w:cs="Arial"/>
          <w:i w:val="0"/>
          <w:iCs w:val="0"/>
          <w:sz w:val="20"/>
          <w:szCs w:val="20"/>
        </w:rPr>
        <w:t>.</w:t>
      </w:r>
    </w:p>
    <w:p w14:paraId="229A4282" w14:textId="1AB2C6DC" w:rsidR="00896A08" w:rsidRPr="00172D2D" w:rsidRDefault="0003695A" w:rsidP="00172D2D">
      <w:pPr>
        <w:spacing w:before="60" w:after="60" w:line="240" w:lineRule="auto"/>
        <w:rPr>
          <w:rStyle w:val="Emphasis"/>
          <w:rFonts w:cs="Arial"/>
          <w:i w:val="0"/>
          <w:iCs w:val="0"/>
          <w:sz w:val="20"/>
          <w:szCs w:val="20"/>
        </w:rPr>
      </w:pPr>
      <w:r w:rsidRPr="00172D2D">
        <w:rPr>
          <w:rStyle w:val="Emphasis"/>
          <w:rFonts w:cs="Arial"/>
          <w:i w:val="0"/>
          <w:iCs w:val="0"/>
          <w:sz w:val="20"/>
          <w:szCs w:val="20"/>
        </w:rPr>
        <w:t xml:space="preserve">– </w:t>
      </w:r>
      <w:r w:rsidR="00AC0090" w:rsidRPr="00172D2D">
        <w:rPr>
          <w:rStyle w:val="Emphasis"/>
          <w:rFonts w:cs="Arial"/>
          <w:i w:val="0"/>
          <w:iCs w:val="0"/>
          <w:sz w:val="20"/>
          <w:szCs w:val="20"/>
        </w:rPr>
        <w:t xml:space="preserve">Ecological Risk Assessment </w:t>
      </w:r>
      <w:r w:rsidR="00817FA3" w:rsidRPr="00172D2D">
        <w:rPr>
          <w:rStyle w:val="Emphasis"/>
          <w:rFonts w:cs="Arial"/>
          <w:i w:val="0"/>
          <w:iCs w:val="0"/>
          <w:sz w:val="20"/>
          <w:szCs w:val="20"/>
        </w:rPr>
        <w:t xml:space="preserve">– not undertaken </w:t>
      </w:r>
      <w:r w:rsidR="003437F4" w:rsidRPr="00172D2D">
        <w:rPr>
          <w:rStyle w:val="Emphasis"/>
          <w:rFonts w:cs="Arial"/>
          <w:i w:val="0"/>
          <w:iCs w:val="0"/>
          <w:sz w:val="20"/>
          <w:szCs w:val="20"/>
        </w:rPr>
        <w:t>specifically for giant crabs, but the species has been considered in the byproduct component of ERAs for similar fisheries, such as SA Rock Lobster Fishery (last ERA in April 2011) and proposed SA Deep Water Crab Fishery (draft ERA published January 2015).</w:t>
      </w:r>
    </w:p>
    <w:p w14:paraId="229A4283" w14:textId="69E51C0F" w:rsidR="00FF7ADD" w:rsidRPr="00172D2D" w:rsidRDefault="0003695A" w:rsidP="00172D2D">
      <w:pPr>
        <w:spacing w:before="60" w:after="60" w:line="240" w:lineRule="auto"/>
        <w:rPr>
          <w:rStyle w:val="Emphasis"/>
          <w:rFonts w:cs="Arial"/>
          <w:i w:val="0"/>
          <w:iCs w:val="0"/>
          <w:sz w:val="20"/>
          <w:szCs w:val="20"/>
        </w:rPr>
      </w:pPr>
      <w:r w:rsidRPr="00172D2D">
        <w:rPr>
          <w:rStyle w:val="Emphasis"/>
          <w:rFonts w:cs="Arial"/>
          <w:i w:val="0"/>
          <w:iCs w:val="0"/>
          <w:sz w:val="20"/>
          <w:szCs w:val="20"/>
        </w:rPr>
        <w:t xml:space="preserve">– </w:t>
      </w:r>
      <w:r w:rsidR="00FF7ADD" w:rsidRPr="00172D2D">
        <w:rPr>
          <w:rStyle w:val="Emphasis"/>
          <w:rFonts w:cs="Arial"/>
          <w:i w:val="0"/>
          <w:iCs w:val="0"/>
          <w:sz w:val="20"/>
          <w:szCs w:val="20"/>
        </w:rPr>
        <w:t xml:space="preserve">FRDC Status of Key Australian Fish Stocks 2014 – </w:t>
      </w:r>
      <w:r w:rsidR="00817FA3" w:rsidRPr="00172D2D">
        <w:rPr>
          <w:rStyle w:val="Emphasis"/>
          <w:rFonts w:cs="Arial"/>
          <w:i w:val="0"/>
          <w:iCs w:val="0"/>
          <w:sz w:val="20"/>
          <w:szCs w:val="20"/>
        </w:rPr>
        <w:t>Giant</w:t>
      </w:r>
      <w:r w:rsidR="00896A08" w:rsidRPr="00172D2D">
        <w:rPr>
          <w:rStyle w:val="Emphasis"/>
          <w:rFonts w:cs="Arial"/>
          <w:i w:val="0"/>
          <w:iCs w:val="0"/>
          <w:sz w:val="20"/>
          <w:szCs w:val="20"/>
        </w:rPr>
        <w:t xml:space="preserve"> Crab</w:t>
      </w:r>
      <w:r w:rsidRPr="00172D2D">
        <w:rPr>
          <w:rStyle w:val="Emphasis"/>
          <w:rFonts w:cs="Arial"/>
          <w:i w:val="0"/>
          <w:iCs w:val="0"/>
          <w:sz w:val="20"/>
          <w:szCs w:val="20"/>
        </w:rPr>
        <w:t xml:space="preserve"> </w:t>
      </w:r>
      <w:hyperlink r:id="rId28" w:history="1">
        <w:r w:rsidR="00A62A7F" w:rsidRPr="00172D2D">
          <w:rPr>
            <w:rStyle w:val="Hyperlink"/>
            <w:rFonts w:cs="Arial"/>
            <w:sz w:val="20"/>
            <w:szCs w:val="20"/>
          </w:rPr>
          <w:t>http://fish.gov.au/reports/crustaceans/crabs/Pages/giant_crab.aspx</w:t>
        </w:r>
      </w:hyperlink>
      <w:r w:rsidRPr="00172D2D">
        <w:rPr>
          <w:rStyle w:val="Emphasis"/>
          <w:rFonts w:cs="Arial"/>
          <w:i w:val="0"/>
          <w:iCs w:val="0"/>
          <w:sz w:val="20"/>
          <w:szCs w:val="20"/>
        </w:rPr>
        <w:t>.</w:t>
      </w:r>
    </w:p>
    <w:p w14:paraId="229A4284" w14:textId="3A255809" w:rsidR="00896A08" w:rsidRPr="00172D2D" w:rsidRDefault="0003695A" w:rsidP="00172D2D">
      <w:pPr>
        <w:spacing w:before="60" w:after="60" w:line="240" w:lineRule="auto"/>
        <w:rPr>
          <w:rStyle w:val="Emphasis"/>
          <w:rFonts w:cs="Arial"/>
          <w:i w:val="0"/>
          <w:iCs w:val="0"/>
          <w:sz w:val="20"/>
          <w:szCs w:val="20"/>
        </w:rPr>
      </w:pPr>
      <w:r w:rsidRPr="00172D2D">
        <w:rPr>
          <w:rStyle w:val="Emphasis"/>
          <w:rFonts w:cs="Arial"/>
          <w:i w:val="0"/>
          <w:iCs w:val="0"/>
          <w:sz w:val="20"/>
          <w:szCs w:val="20"/>
        </w:rPr>
        <w:t xml:space="preserve">– </w:t>
      </w:r>
      <w:r w:rsidR="00896A08" w:rsidRPr="00172D2D">
        <w:rPr>
          <w:rStyle w:val="Emphasis"/>
          <w:rFonts w:cs="Arial"/>
          <w:i w:val="0"/>
          <w:iCs w:val="0"/>
          <w:sz w:val="20"/>
          <w:szCs w:val="20"/>
        </w:rPr>
        <w:t xml:space="preserve">Status </w:t>
      </w:r>
      <w:r w:rsidR="00817FA3" w:rsidRPr="00172D2D">
        <w:rPr>
          <w:rStyle w:val="Emphasis"/>
          <w:rFonts w:cs="Arial"/>
          <w:i w:val="0"/>
          <w:iCs w:val="0"/>
          <w:sz w:val="20"/>
          <w:szCs w:val="20"/>
        </w:rPr>
        <w:t xml:space="preserve">across southern Australia (including SA) </w:t>
      </w:r>
      <w:r w:rsidR="00896A08" w:rsidRPr="00172D2D">
        <w:rPr>
          <w:rStyle w:val="Emphasis"/>
          <w:rFonts w:cs="Arial"/>
          <w:i w:val="0"/>
          <w:iCs w:val="0"/>
          <w:sz w:val="20"/>
          <w:szCs w:val="20"/>
        </w:rPr>
        <w:t>= transitional-</w:t>
      </w:r>
      <w:r w:rsidR="00817FA3" w:rsidRPr="00172D2D">
        <w:rPr>
          <w:rStyle w:val="Emphasis"/>
          <w:rFonts w:cs="Arial"/>
          <w:i w:val="0"/>
          <w:iCs w:val="0"/>
          <w:sz w:val="20"/>
          <w:szCs w:val="20"/>
        </w:rPr>
        <w:t>depleting</w:t>
      </w:r>
      <w:r w:rsidR="006C16EF" w:rsidRPr="00172D2D">
        <w:rPr>
          <w:rStyle w:val="Emphasis"/>
          <w:rFonts w:cs="Arial"/>
          <w:i w:val="0"/>
          <w:iCs w:val="0"/>
          <w:sz w:val="20"/>
          <w:szCs w:val="20"/>
        </w:rPr>
        <w:t xml:space="preserve"> noting that status in SA is considered to be undefined. </w:t>
      </w:r>
    </w:p>
    <w:p w14:paraId="229A4286" w14:textId="7CABA2B2" w:rsidR="00A62A7F" w:rsidRPr="00172D2D" w:rsidRDefault="0003695A" w:rsidP="00172D2D">
      <w:pPr>
        <w:spacing w:before="60" w:after="60" w:line="240" w:lineRule="auto"/>
        <w:rPr>
          <w:rStyle w:val="Emphasis"/>
          <w:rFonts w:cs="Arial"/>
          <w:i w:val="0"/>
          <w:iCs w:val="0"/>
          <w:sz w:val="20"/>
          <w:szCs w:val="20"/>
        </w:rPr>
      </w:pPr>
      <w:r w:rsidRPr="00172D2D">
        <w:rPr>
          <w:rStyle w:val="Emphasis"/>
          <w:rFonts w:cs="Arial"/>
          <w:i w:val="0"/>
          <w:iCs w:val="0"/>
          <w:sz w:val="20"/>
          <w:szCs w:val="20"/>
        </w:rPr>
        <w:t xml:space="preserve">– </w:t>
      </w:r>
      <w:r w:rsidR="00A62A7F" w:rsidRPr="00172D2D">
        <w:rPr>
          <w:rStyle w:val="Emphasis"/>
          <w:rFonts w:cs="Arial"/>
          <w:i w:val="0"/>
          <w:iCs w:val="0"/>
          <w:sz w:val="20"/>
          <w:szCs w:val="20"/>
        </w:rPr>
        <w:t xml:space="preserve">South Australian Recreational Fishing Survey 2007/08 </w:t>
      </w:r>
      <w:hyperlink r:id="rId29" w:history="1">
        <w:r w:rsidR="00A62A7F" w:rsidRPr="00172D2D">
          <w:rPr>
            <w:rStyle w:val="Hyperlink"/>
            <w:rFonts w:cs="Arial"/>
            <w:sz w:val="20"/>
            <w:szCs w:val="20"/>
          </w:rPr>
          <w:t>http://recfishingresearch.org/south-australian-recreational-fishing-survey-200708/</w:t>
        </w:r>
      </w:hyperlink>
      <w:r w:rsidR="00A62A7F" w:rsidRPr="00172D2D">
        <w:rPr>
          <w:rStyle w:val="Emphasis"/>
          <w:rFonts w:cs="Arial"/>
          <w:i w:val="0"/>
          <w:iCs w:val="0"/>
          <w:sz w:val="20"/>
          <w:szCs w:val="20"/>
        </w:rPr>
        <w:t xml:space="preserve"> </w:t>
      </w:r>
    </w:p>
    <w:p w14:paraId="229A4287" w14:textId="77777777" w:rsidR="00133F76" w:rsidRPr="00172D2D" w:rsidRDefault="00133F76" w:rsidP="00172D2D">
      <w:pPr>
        <w:spacing w:before="60" w:after="60" w:line="240" w:lineRule="auto"/>
        <w:rPr>
          <w:rStyle w:val="Emphasis"/>
          <w:rFonts w:cs="Arial"/>
          <w:i w:val="0"/>
          <w:iCs w:val="0"/>
          <w:sz w:val="20"/>
          <w:szCs w:val="20"/>
        </w:rPr>
      </w:pPr>
    </w:p>
    <w:p w14:paraId="229A4289" w14:textId="04C50045" w:rsidR="009479D2" w:rsidRPr="00172D2D" w:rsidRDefault="009479D2" w:rsidP="00172D2D">
      <w:pPr>
        <w:spacing w:before="60" w:after="60" w:line="240" w:lineRule="auto"/>
        <w:rPr>
          <w:rFonts w:cs="Arial"/>
          <w:sz w:val="20"/>
          <w:szCs w:val="20"/>
        </w:rPr>
      </w:pPr>
    </w:p>
    <w:p w14:paraId="7F6E36A9" w14:textId="77777777" w:rsidR="003C5B8E" w:rsidRPr="00172D2D" w:rsidRDefault="003C5B8E" w:rsidP="00172D2D">
      <w:pPr>
        <w:spacing w:before="60" w:after="60" w:line="240" w:lineRule="auto"/>
        <w:rPr>
          <w:rFonts w:cs="Arial"/>
          <w:b/>
          <w:sz w:val="20"/>
          <w:szCs w:val="20"/>
        </w:rPr>
        <w:sectPr w:rsidR="003C5B8E" w:rsidRPr="00172D2D" w:rsidSect="004A2F03">
          <w:pgSz w:w="11906" w:h="16838"/>
          <w:pgMar w:top="1361" w:right="709" w:bottom="1361" w:left="709" w:header="709" w:footer="57" w:gutter="0"/>
          <w:cols w:space="708"/>
          <w:docGrid w:linePitch="360"/>
        </w:sectPr>
      </w:pPr>
    </w:p>
    <w:p w14:paraId="229A428B" w14:textId="5FB677FD" w:rsidR="00B16E10" w:rsidRPr="00172D2D" w:rsidRDefault="003C5B8E" w:rsidP="00172D2D">
      <w:pPr>
        <w:pStyle w:val="Heading1"/>
        <w:spacing w:before="60" w:after="60"/>
        <w:rPr>
          <w:sz w:val="20"/>
          <w:szCs w:val="20"/>
        </w:rPr>
      </w:pPr>
      <w:bookmarkStart w:id="6" w:name="_Toc514849744"/>
      <w:bookmarkStart w:id="7" w:name="_Toc506553892"/>
      <w:bookmarkStart w:id="8" w:name="_Toc522538909"/>
      <w:r w:rsidRPr="00172D2D">
        <w:rPr>
          <w:sz w:val="20"/>
          <w:szCs w:val="20"/>
        </w:rPr>
        <w:lastRenderedPageBreak/>
        <w:t>Section 2: Detailed Analysis of the South Australian Giant Crab Fishery Against the Guidelines for the Ecologically Sustainable Management of Fisheries (2nd Edition)</w:t>
      </w:r>
      <w:bookmarkEnd w:id="6"/>
      <w:bookmarkEnd w:id="7"/>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3"/>
        <w:gridCol w:w="7053"/>
      </w:tblGrid>
      <w:tr w:rsidR="005E11B6" w:rsidRPr="00172D2D" w14:paraId="229A4291" w14:textId="77777777" w:rsidTr="005E11B6">
        <w:tc>
          <w:tcPr>
            <w:tcW w:w="2500" w:type="pct"/>
            <w:shd w:val="clear" w:color="auto" w:fill="auto"/>
          </w:tcPr>
          <w:p w14:paraId="229A428C" w14:textId="77777777" w:rsidR="005E11B6" w:rsidRPr="00172D2D" w:rsidRDefault="005E11B6" w:rsidP="00172D2D">
            <w:pPr>
              <w:spacing w:before="60" w:after="60" w:line="240" w:lineRule="auto"/>
              <w:rPr>
                <w:rFonts w:cs="Arial"/>
                <w:sz w:val="20"/>
                <w:szCs w:val="20"/>
              </w:rPr>
            </w:pPr>
            <w:r w:rsidRPr="00172D2D">
              <w:rPr>
                <w:rFonts w:cs="Arial"/>
                <w:b/>
                <w:sz w:val="20"/>
                <w:szCs w:val="20"/>
              </w:rPr>
              <w:t>Guidelines for the Ecologically Sustainable Management of Fisheries  (2nd edition)</w:t>
            </w:r>
          </w:p>
        </w:tc>
        <w:tc>
          <w:tcPr>
            <w:tcW w:w="2500" w:type="pct"/>
            <w:shd w:val="clear" w:color="auto" w:fill="auto"/>
          </w:tcPr>
          <w:p w14:paraId="229A4290" w14:textId="2DA1233B" w:rsidR="005E11B6" w:rsidRPr="00172D2D" w:rsidRDefault="005E11B6" w:rsidP="00172D2D">
            <w:pPr>
              <w:spacing w:before="60" w:after="60" w:line="240" w:lineRule="auto"/>
              <w:rPr>
                <w:rFonts w:cs="Arial"/>
                <w:b/>
                <w:sz w:val="20"/>
                <w:szCs w:val="20"/>
              </w:rPr>
            </w:pPr>
            <w:r w:rsidRPr="00172D2D">
              <w:rPr>
                <w:rFonts w:cs="Arial"/>
                <w:b/>
                <w:sz w:val="20"/>
                <w:szCs w:val="20"/>
              </w:rPr>
              <w:t>Comment</w:t>
            </w:r>
          </w:p>
        </w:tc>
      </w:tr>
      <w:tr w:rsidR="00B16E10" w:rsidRPr="00172D2D" w14:paraId="229A4293" w14:textId="77777777" w:rsidTr="005E11B6">
        <w:tc>
          <w:tcPr>
            <w:tcW w:w="2500" w:type="pct"/>
            <w:gridSpan w:val="2"/>
            <w:shd w:val="clear" w:color="auto" w:fill="FFFF66"/>
          </w:tcPr>
          <w:p w14:paraId="229A4292" w14:textId="77777777" w:rsidR="00B16E10" w:rsidRPr="00172D2D" w:rsidRDefault="00B16E10" w:rsidP="00172D2D">
            <w:pPr>
              <w:spacing w:before="60" w:after="60" w:line="240" w:lineRule="auto"/>
              <w:rPr>
                <w:rFonts w:cs="Arial"/>
                <w:b/>
                <w:sz w:val="20"/>
                <w:szCs w:val="20"/>
              </w:rPr>
            </w:pPr>
            <w:r w:rsidRPr="00172D2D">
              <w:rPr>
                <w:rFonts w:cs="Arial"/>
                <w:b/>
                <w:sz w:val="20"/>
                <w:szCs w:val="20"/>
              </w:rPr>
              <w:t>THE MANAGEMENT REGIME</w:t>
            </w:r>
          </w:p>
        </w:tc>
      </w:tr>
      <w:tr w:rsidR="00B16E10" w:rsidRPr="00172D2D" w14:paraId="229A4295" w14:textId="77777777" w:rsidTr="005E11B6">
        <w:tc>
          <w:tcPr>
            <w:tcW w:w="2500" w:type="pct"/>
            <w:gridSpan w:val="2"/>
            <w:shd w:val="clear" w:color="auto" w:fill="FFFF99"/>
          </w:tcPr>
          <w:p w14:paraId="229A4294" w14:textId="77777777" w:rsidR="00B16E10" w:rsidRPr="00172D2D" w:rsidRDefault="00B16E10" w:rsidP="00172D2D">
            <w:pPr>
              <w:spacing w:before="60" w:after="60" w:line="240" w:lineRule="auto"/>
              <w:rPr>
                <w:rFonts w:cs="Arial"/>
                <w:b/>
                <w:sz w:val="20"/>
                <w:szCs w:val="20"/>
              </w:rPr>
            </w:pPr>
            <w:r w:rsidRPr="00172D2D">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925B9" w:rsidRPr="00172D2D" w14:paraId="229A429B" w14:textId="77777777" w:rsidTr="005E11B6">
        <w:tc>
          <w:tcPr>
            <w:tcW w:w="2500" w:type="pct"/>
            <w:shd w:val="clear" w:color="auto" w:fill="auto"/>
          </w:tcPr>
          <w:p w14:paraId="229A4296" w14:textId="77777777" w:rsidR="0003695A" w:rsidRPr="00172D2D" w:rsidRDefault="0003695A" w:rsidP="00172D2D">
            <w:pPr>
              <w:spacing w:before="60" w:after="60" w:line="240" w:lineRule="auto"/>
              <w:rPr>
                <w:rFonts w:cs="Arial"/>
                <w:sz w:val="20"/>
                <w:szCs w:val="20"/>
              </w:rPr>
            </w:pPr>
            <w:r w:rsidRPr="00172D2D">
              <w:rPr>
                <w:rFonts w:cs="Arial"/>
                <w:sz w:val="20"/>
                <w:szCs w:val="20"/>
              </w:rPr>
              <w:t>Be documented, publicly available and transparent</w:t>
            </w:r>
          </w:p>
        </w:tc>
        <w:tc>
          <w:tcPr>
            <w:tcW w:w="2500" w:type="pct"/>
            <w:shd w:val="clear" w:color="auto" w:fill="92D050"/>
          </w:tcPr>
          <w:p w14:paraId="229A429A" w14:textId="5DA3688D" w:rsidR="0003695A" w:rsidRPr="00172D2D" w:rsidRDefault="0003695A" w:rsidP="00172D2D">
            <w:pPr>
              <w:spacing w:before="60" w:after="60" w:line="240" w:lineRule="auto"/>
              <w:rPr>
                <w:rFonts w:cs="Arial"/>
                <w:sz w:val="20"/>
                <w:szCs w:val="20"/>
                <w:highlight w:val="yellow"/>
              </w:rPr>
            </w:pPr>
            <w:r w:rsidRPr="00172D2D">
              <w:rPr>
                <w:rFonts w:cs="Arial"/>
                <w:sz w:val="20"/>
                <w:szCs w:val="20"/>
              </w:rPr>
              <w:t xml:space="preserve">Managed through publicly available legislation. </w:t>
            </w:r>
            <w:r w:rsidRPr="00172D2D">
              <w:rPr>
                <w:rFonts w:cs="Arial"/>
                <w:i/>
                <w:sz w:val="20"/>
                <w:szCs w:val="20"/>
              </w:rPr>
              <w:t xml:space="preserve">Management arrangements for the Giant Crab Fishery </w:t>
            </w:r>
            <w:r w:rsidRPr="00172D2D">
              <w:rPr>
                <w:rFonts w:cs="Arial"/>
                <w:sz w:val="20"/>
                <w:szCs w:val="20"/>
              </w:rPr>
              <w:t>(October 2002) also available online, along with Ecological Assessment of the South Australian Giant Crab (</w:t>
            </w:r>
            <w:r w:rsidRPr="00172D2D">
              <w:rPr>
                <w:rFonts w:cs="Arial"/>
                <w:i/>
                <w:sz w:val="20"/>
                <w:szCs w:val="20"/>
              </w:rPr>
              <w:t>Pseudocarcinus gigas</w:t>
            </w:r>
            <w:r w:rsidRPr="00172D2D">
              <w:rPr>
                <w:rFonts w:cs="Arial"/>
                <w:sz w:val="20"/>
                <w:szCs w:val="20"/>
              </w:rPr>
              <w:t>) Fishery – January 2007 (links above).</w:t>
            </w:r>
          </w:p>
        </w:tc>
      </w:tr>
      <w:tr w:rsidR="008925B9" w:rsidRPr="00172D2D" w14:paraId="229A42A2" w14:textId="77777777" w:rsidTr="005E11B6">
        <w:tc>
          <w:tcPr>
            <w:tcW w:w="2500" w:type="pct"/>
            <w:shd w:val="clear" w:color="auto" w:fill="auto"/>
          </w:tcPr>
          <w:p w14:paraId="229A429C" w14:textId="77777777" w:rsidR="0003695A" w:rsidRPr="00172D2D" w:rsidRDefault="0003695A" w:rsidP="00172D2D">
            <w:pPr>
              <w:spacing w:before="60" w:after="60" w:line="240" w:lineRule="auto"/>
              <w:rPr>
                <w:rFonts w:cs="Arial"/>
                <w:sz w:val="20"/>
                <w:szCs w:val="20"/>
              </w:rPr>
            </w:pPr>
            <w:r w:rsidRPr="00172D2D">
              <w:rPr>
                <w:rFonts w:cs="Arial"/>
                <w:sz w:val="20"/>
                <w:szCs w:val="20"/>
              </w:rPr>
              <w:t>Be developed through a consultative process providing opportunity to all interested and affected parties, including the general public</w:t>
            </w:r>
          </w:p>
        </w:tc>
        <w:tc>
          <w:tcPr>
            <w:tcW w:w="2500" w:type="pct"/>
            <w:shd w:val="clear" w:color="auto" w:fill="FFC000"/>
          </w:tcPr>
          <w:p w14:paraId="229A42A0" w14:textId="2FCC90E1" w:rsidR="0003695A" w:rsidRPr="00172D2D" w:rsidRDefault="0003695A" w:rsidP="00172D2D">
            <w:pPr>
              <w:spacing w:before="60" w:after="60" w:line="240" w:lineRule="auto"/>
              <w:rPr>
                <w:rFonts w:cs="Arial"/>
                <w:sz w:val="20"/>
                <w:szCs w:val="20"/>
              </w:rPr>
            </w:pPr>
            <w:r w:rsidRPr="00172D2D">
              <w:rPr>
                <w:rFonts w:cs="Arial"/>
                <w:sz w:val="20"/>
                <w:szCs w:val="20"/>
              </w:rPr>
              <w:t>Existing management policy framework (2002) developed and maintained through consultative process until 2007, with Fisheries Management Committee (FMC - combined with rock lobster fishery). FMCs held annual public meetings where community could discuss relevant issues.</w:t>
            </w:r>
          </w:p>
          <w:p w14:paraId="229A42A1" w14:textId="68C2E598" w:rsidR="0003695A" w:rsidRPr="00172D2D" w:rsidRDefault="0003695A" w:rsidP="00172D2D">
            <w:pPr>
              <w:spacing w:before="60" w:after="60" w:line="240" w:lineRule="auto"/>
              <w:rPr>
                <w:rFonts w:cs="Arial"/>
                <w:sz w:val="20"/>
                <w:szCs w:val="20"/>
              </w:rPr>
            </w:pPr>
            <w:r w:rsidRPr="00172D2D">
              <w:rPr>
                <w:rFonts w:cs="Arial"/>
                <w:sz w:val="20"/>
                <w:szCs w:val="20"/>
              </w:rPr>
              <w:t>FMCs ceased to operate in 2007, a new policy document under development (referring to new harvest strategy), planned to have targeted consultation with industry and public comment on web.</w:t>
            </w:r>
          </w:p>
        </w:tc>
      </w:tr>
      <w:tr w:rsidR="008925B9" w:rsidRPr="00172D2D" w14:paraId="229A42A8" w14:textId="77777777" w:rsidTr="005E11B6">
        <w:tc>
          <w:tcPr>
            <w:tcW w:w="2500" w:type="pct"/>
            <w:shd w:val="clear" w:color="auto" w:fill="auto"/>
          </w:tcPr>
          <w:p w14:paraId="229A42A3" w14:textId="77777777" w:rsidR="0003695A" w:rsidRPr="00172D2D" w:rsidRDefault="0003695A" w:rsidP="00172D2D">
            <w:pPr>
              <w:spacing w:before="60" w:after="60" w:line="240" w:lineRule="auto"/>
              <w:rPr>
                <w:rFonts w:cs="Arial"/>
                <w:sz w:val="20"/>
                <w:szCs w:val="20"/>
              </w:rPr>
            </w:pPr>
            <w:r w:rsidRPr="00172D2D">
              <w:rPr>
                <w:rFonts w:cs="Arial"/>
                <w:sz w:val="20"/>
                <w:szCs w:val="20"/>
              </w:rPr>
              <w:t>Ensure that a range of expertise and community interests are involved in individual fishery management committees and during the stock assessment process</w:t>
            </w:r>
          </w:p>
        </w:tc>
        <w:tc>
          <w:tcPr>
            <w:tcW w:w="2500" w:type="pct"/>
            <w:shd w:val="clear" w:color="auto" w:fill="FFC000"/>
          </w:tcPr>
          <w:p w14:paraId="229A42A7" w14:textId="5ED141BA" w:rsidR="0003695A" w:rsidRPr="00172D2D" w:rsidRDefault="0003695A" w:rsidP="00172D2D">
            <w:pPr>
              <w:spacing w:before="60" w:after="60" w:line="240" w:lineRule="auto"/>
              <w:rPr>
                <w:rFonts w:cs="Arial"/>
                <w:sz w:val="20"/>
                <w:szCs w:val="20"/>
                <w:highlight w:val="yellow"/>
              </w:rPr>
            </w:pPr>
            <w:r w:rsidRPr="00172D2D">
              <w:rPr>
                <w:rFonts w:cs="Arial"/>
                <w:sz w:val="20"/>
                <w:szCs w:val="20"/>
              </w:rPr>
              <w:t>Stock status reports completed annually. No public consultation but appropriate research expertise (SARDI). Reports sent to industry and posted on web.</w:t>
            </w:r>
          </w:p>
        </w:tc>
      </w:tr>
      <w:tr w:rsidR="008925B9" w:rsidRPr="00172D2D" w14:paraId="229A42AF" w14:textId="77777777" w:rsidTr="005E11B6">
        <w:tc>
          <w:tcPr>
            <w:tcW w:w="2500" w:type="pct"/>
            <w:shd w:val="clear" w:color="auto" w:fill="auto"/>
          </w:tcPr>
          <w:p w14:paraId="229A42A9" w14:textId="77777777" w:rsidR="0003695A" w:rsidRPr="00172D2D" w:rsidRDefault="0003695A" w:rsidP="00172D2D">
            <w:pPr>
              <w:spacing w:before="60" w:after="60" w:line="240" w:lineRule="auto"/>
              <w:rPr>
                <w:rFonts w:cs="Arial"/>
                <w:sz w:val="20"/>
                <w:szCs w:val="20"/>
              </w:rPr>
            </w:pPr>
            <w:r w:rsidRPr="00172D2D">
              <w:rPr>
                <w:rFonts w:cs="Arial"/>
                <w:sz w:val="20"/>
                <w:szCs w:val="20"/>
              </w:rPr>
              <w:t>Be strategic, containing objectives and performance criteria by which the effectiveness of the management arrangements are measured</w:t>
            </w:r>
          </w:p>
        </w:tc>
        <w:tc>
          <w:tcPr>
            <w:tcW w:w="2500" w:type="pct"/>
            <w:shd w:val="clear" w:color="auto" w:fill="FFC000"/>
          </w:tcPr>
          <w:p w14:paraId="229A42AE" w14:textId="20036D91" w:rsidR="0003695A" w:rsidRPr="00172D2D" w:rsidRDefault="0003695A" w:rsidP="00172D2D">
            <w:pPr>
              <w:spacing w:before="60" w:after="60" w:line="240" w:lineRule="auto"/>
              <w:rPr>
                <w:rFonts w:cs="Arial"/>
                <w:sz w:val="20"/>
                <w:szCs w:val="20"/>
                <w:highlight w:val="yellow"/>
              </w:rPr>
            </w:pPr>
            <w:r w:rsidRPr="00172D2D">
              <w:rPr>
                <w:rFonts w:cs="Arial"/>
                <w:sz w:val="20"/>
                <w:szCs w:val="20"/>
              </w:rPr>
              <w:t>Harvest strategy (HS) framework described in the 2002 and 2007 ESD reports has strategic objectives with performance indicators (PIs). The annual status reports assess PIs against reference levels, however recognised that not all PIs are appropriate accurate measurement of performance, Currently under revision in new HS.</w:t>
            </w:r>
          </w:p>
        </w:tc>
      </w:tr>
      <w:tr w:rsidR="008925B9" w:rsidRPr="00172D2D" w14:paraId="229A42B5" w14:textId="77777777" w:rsidTr="005E11B6">
        <w:tc>
          <w:tcPr>
            <w:tcW w:w="2500" w:type="pct"/>
            <w:shd w:val="clear" w:color="auto" w:fill="auto"/>
          </w:tcPr>
          <w:p w14:paraId="229A42B0" w14:textId="77777777" w:rsidR="0003695A" w:rsidRPr="00172D2D" w:rsidRDefault="0003695A" w:rsidP="00172D2D">
            <w:pPr>
              <w:spacing w:before="60" w:after="60" w:line="240" w:lineRule="auto"/>
              <w:rPr>
                <w:rFonts w:cs="Arial"/>
                <w:sz w:val="20"/>
                <w:szCs w:val="20"/>
              </w:rPr>
            </w:pPr>
            <w:r w:rsidRPr="00172D2D">
              <w:rPr>
                <w:rFonts w:cs="Arial"/>
                <w:sz w:val="20"/>
                <w:szCs w:val="20"/>
              </w:rPr>
              <w:t>Be capable of controlling the level of harvest in the fishery using input and/or output controls</w:t>
            </w:r>
          </w:p>
        </w:tc>
        <w:tc>
          <w:tcPr>
            <w:tcW w:w="2500" w:type="pct"/>
            <w:shd w:val="clear" w:color="auto" w:fill="92D050"/>
          </w:tcPr>
          <w:p w14:paraId="229A42B4" w14:textId="78F5D3C5" w:rsidR="0003695A" w:rsidRPr="00172D2D" w:rsidRDefault="0003695A" w:rsidP="00172D2D">
            <w:pPr>
              <w:spacing w:before="60" w:after="60" w:line="240" w:lineRule="auto"/>
              <w:rPr>
                <w:rFonts w:cs="Arial"/>
                <w:sz w:val="20"/>
                <w:szCs w:val="20"/>
                <w:highlight w:val="yellow"/>
              </w:rPr>
            </w:pPr>
            <w:r w:rsidRPr="00172D2D">
              <w:rPr>
                <w:rFonts w:cs="Arial"/>
                <w:sz w:val="20"/>
                <w:szCs w:val="20"/>
              </w:rPr>
              <w:t>Yes, input and output controls, including limited entry, daily catch limits (for catch as byproduct), size limits and TACCs</w:t>
            </w:r>
          </w:p>
        </w:tc>
      </w:tr>
      <w:tr w:rsidR="008925B9" w:rsidRPr="00172D2D" w14:paraId="229A42BB" w14:textId="77777777" w:rsidTr="005E11B6">
        <w:tc>
          <w:tcPr>
            <w:tcW w:w="2500" w:type="pct"/>
            <w:shd w:val="clear" w:color="auto" w:fill="auto"/>
          </w:tcPr>
          <w:p w14:paraId="229A42B6" w14:textId="77777777" w:rsidR="0003695A" w:rsidRPr="00172D2D" w:rsidRDefault="0003695A" w:rsidP="00172D2D">
            <w:pPr>
              <w:spacing w:before="60" w:after="60" w:line="240" w:lineRule="auto"/>
              <w:rPr>
                <w:rFonts w:cs="Arial"/>
                <w:sz w:val="20"/>
                <w:szCs w:val="20"/>
              </w:rPr>
            </w:pPr>
            <w:r w:rsidRPr="00172D2D">
              <w:rPr>
                <w:rFonts w:cs="Arial"/>
                <w:sz w:val="20"/>
                <w:szCs w:val="20"/>
              </w:rPr>
              <w:t>Contain the means of enforcing critical aspects of the management arrangements</w:t>
            </w:r>
          </w:p>
        </w:tc>
        <w:tc>
          <w:tcPr>
            <w:tcW w:w="2500" w:type="pct"/>
            <w:shd w:val="clear" w:color="auto" w:fill="92D050"/>
          </w:tcPr>
          <w:p w14:paraId="229A42BA" w14:textId="51439D95" w:rsidR="0003695A" w:rsidRPr="00172D2D" w:rsidRDefault="0003695A" w:rsidP="00172D2D">
            <w:pPr>
              <w:spacing w:before="60" w:after="60" w:line="240" w:lineRule="auto"/>
              <w:rPr>
                <w:rFonts w:cs="Arial"/>
                <w:sz w:val="20"/>
                <w:szCs w:val="20"/>
                <w:highlight w:val="yellow"/>
              </w:rPr>
            </w:pPr>
            <w:r w:rsidRPr="00172D2D">
              <w:rPr>
                <w:rFonts w:cs="Arial"/>
                <w:sz w:val="20"/>
                <w:szCs w:val="20"/>
              </w:rPr>
              <w:t>Yes, compliance program in place for giant crab, including risk assessment. Compliance effort commensurate with size of fishery and risks identified in compliance risk assessment. Compliance activities in this fishery closely linked with compliance in rock lobster fishery, including on water checks, checking returns and data sheets.</w:t>
            </w:r>
          </w:p>
        </w:tc>
      </w:tr>
      <w:tr w:rsidR="008925B9" w:rsidRPr="00172D2D" w14:paraId="229A42C1" w14:textId="77777777" w:rsidTr="005E11B6">
        <w:tc>
          <w:tcPr>
            <w:tcW w:w="2500" w:type="pct"/>
            <w:shd w:val="clear" w:color="auto" w:fill="auto"/>
          </w:tcPr>
          <w:p w14:paraId="229A42BC" w14:textId="77777777" w:rsidR="0003695A" w:rsidRPr="00172D2D" w:rsidRDefault="0003695A" w:rsidP="00172D2D">
            <w:pPr>
              <w:spacing w:before="60" w:after="60" w:line="240" w:lineRule="auto"/>
              <w:rPr>
                <w:rFonts w:cs="Arial"/>
                <w:sz w:val="20"/>
                <w:szCs w:val="20"/>
              </w:rPr>
            </w:pPr>
            <w:r w:rsidRPr="00172D2D">
              <w:rPr>
                <w:rFonts w:cs="Arial"/>
                <w:sz w:val="20"/>
                <w:szCs w:val="20"/>
              </w:rPr>
              <w:t>Provide for the periodic review of the performance of the fishery management arrangements and the management strategies, objectives and criteria</w:t>
            </w:r>
          </w:p>
        </w:tc>
        <w:tc>
          <w:tcPr>
            <w:tcW w:w="2500" w:type="pct"/>
            <w:shd w:val="clear" w:color="auto" w:fill="92D050"/>
          </w:tcPr>
          <w:p w14:paraId="229A42C0" w14:textId="7BCA937A" w:rsidR="0003695A" w:rsidRPr="00172D2D" w:rsidRDefault="0003695A" w:rsidP="00172D2D">
            <w:pPr>
              <w:spacing w:before="60" w:after="60" w:line="240" w:lineRule="auto"/>
              <w:rPr>
                <w:rFonts w:cs="Arial"/>
                <w:sz w:val="20"/>
                <w:szCs w:val="20"/>
                <w:highlight w:val="yellow"/>
              </w:rPr>
            </w:pPr>
            <w:r w:rsidRPr="00172D2D">
              <w:rPr>
                <w:rFonts w:cs="Arial"/>
                <w:sz w:val="20"/>
                <w:szCs w:val="20"/>
              </w:rPr>
              <w:t xml:space="preserve">Yes, stock status reports and TACCs reviewed annually. </w:t>
            </w:r>
          </w:p>
        </w:tc>
      </w:tr>
      <w:tr w:rsidR="008925B9" w:rsidRPr="00172D2D" w14:paraId="229A42C7" w14:textId="77777777" w:rsidTr="005E11B6">
        <w:tc>
          <w:tcPr>
            <w:tcW w:w="2500" w:type="pct"/>
            <w:shd w:val="clear" w:color="auto" w:fill="auto"/>
          </w:tcPr>
          <w:p w14:paraId="229A42C2" w14:textId="77777777" w:rsidR="0003695A" w:rsidRPr="00172D2D" w:rsidRDefault="0003695A" w:rsidP="00172D2D">
            <w:pPr>
              <w:spacing w:before="60" w:after="60" w:line="240" w:lineRule="auto"/>
              <w:rPr>
                <w:rFonts w:cs="Arial"/>
                <w:sz w:val="20"/>
                <w:szCs w:val="20"/>
              </w:rPr>
            </w:pPr>
            <w:r w:rsidRPr="00172D2D">
              <w:rPr>
                <w:rFonts w:cs="Arial"/>
                <w:sz w:val="20"/>
                <w:szCs w:val="20"/>
              </w:rPr>
              <w:lastRenderedPageBreak/>
              <w:t>Be capable of assessing, monitoring and avoiding, remedying or mitigating any adverse impacts on the wider marine ecosystem in which the target species lives and the fishery operates</w:t>
            </w:r>
          </w:p>
        </w:tc>
        <w:tc>
          <w:tcPr>
            <w:tcW w:w="2500" w:type="pct"/>
            <w:shd w:val="clear" w:color="auto" w:fill="92D050"/>
          </w:tcPr>
          <w:p w14:paraId="229A42C6" w14:textId="303347E0" w:rsidR="0003695A" w:rsidRPr="00172D2D" w:rsidRDefault="0003695A" w:rsidP="00172D2D">
            <w:pPr>
              <w:spacing w:before="60" w:after="60" w:line="240" w:lineRule="auto"/>
              <w:rPr>
                <w:rFonts w:cs="Arial"/>
                <w:sz w:val="20"/>
                <w:szCs w:val="20"/>
                <w:highlight w:val="yellow"/>
              </w:rPr>
            </w:pPr>
            <w:r w:rsidRPr="00172D2D">
              <w:rPr>
                <w:rFonts w:cs="Arial"/>
                <w:sz w:val="20"/>
                <w:szCs w:val="20"/>
              </w:rPr>
              <w:t xml:space="preserve">Yes, capacity to mitigate impacts on wider ecosystem through closures </w:t>
            </w:r>
            <w:proofErr w:type="spellStart"/>
            <w:r w:rsidRPr="00172D2D">
              <w:rPr>
                <w:rFonts w:cs="Arial"/>
                <w:sz w:val="20"/>
                <w:szCs w:val="20"/>
              </w:rPr>
              <w:t>etc</w:t>
            </w:r>
            <w:proofErr w:type="spellEnd"/>
            <w:r w:rsidRPr="00172D2D">
              <w:rPr>
                <w:rFonts w:cs="Arial"/>
                <w:sz w:val="20"/>
                <w:szCs w:val="20"/>
              </w:rPr>
              <w:t>, however, risks likely to be low, based on ESD risk assessment for similar gears (</w:t>
            </w:r>
            <w:proofErr w:type="spellStart"/>
            <w:r w:rsidRPr="00172D2D">
              <w:rPr>
                <w:rFonts w:cs="Arial"/>
                <w:sz w:val="20"/>
                <w:szCs w:val="20"/>
              </w:rPr>
              <w:t>eg</w:t>
            </w:r>
            <w:proofErr w:type="spellEnd"/>
            <w:r w:rsidRPr="00172D2D">
              <w:rPr>
                <w:rFonts w:cs="Arial"/>
                <w:sz w:val="20"/>
                <w:szCs w:val="20"/>
              </w:rPr>
              <w:t xml:space="preserve"> rock lobster and </w:t>
            </w:r>
            <w:proofErr w:type="spellStart"/>
            <w:r w:rsidRPr="00172D2D">
              <w:rPr>
                <w:rFonts w:cs="Arial"/>
                <w:sz w:val="20"/>
                <w:szCs w:val="20"/>
              </w:rPr>
              <w:t>deepwater</w:t>
            </w:r>
            <w:proofErr w:type="spellEnd"/>
            <w:r w:rsidRPr="00172D2D">
              <w:rPr>
                <w:rFonts w:cs="Arial"/>
                <w:sz w:val="20"/>
                <w:szCs w:val="20"/>
              </w:rPr>
              <w:t xml:space="preserve">). </w:t>
            </w:r>
          </w:p>
        </w:tc>
      </w:tr>
      <w:tr w:rsidR="008925B9" w:rsidRPr="00172D2D" w14:paraId="229A42CD" w14:textId="77777777" w:rsidTr="005E11B6">
        <w:tc>
          <w:tcPr>
            <w:tcW w:w="2500" w:type="pct"/>
            <w:shd w:val="clear" w:color="auto" w:fill="auto"/>
          </w:tcPr>
          <w:p w14:paraId="229A42C8" w14:textId="77777777" w:rsidR="0003695A" w:rsidRPr="00172D2D" w:rsidRDefault="0003695A" w:rsidP="00172D2D">
            <w:pPr>
              <w:spacing w:before="60" w:after="60" w:line="240" w:lineRule="auto"/>
              <w:rPr>
                <w:rFonts w:cs="Arial"/>
                <w:sz w:val="20"/>
                <w:szCs w:val="20"/>
              </w:rPr>
            </w:pPr>
            <w:r w:rsidRPr="00172D2D">
              <w:rPr>
                <w:rFonts w:cs="Arial"/>
                <w:sz w:val="20"/>
                <w:szCs w:val="20"/>
              </w:rPr>
              <w:t>Requires compliance with relevant threat abatement plans, recovery plans, the National Policy on Fisheries Bycatch, and bycatch action strategies developed under the policy</w:t>
            </w:r>
          </w:p>
        </w:tc>
        <w:tc>
          <w:tcPr>
            <w:tcW w:w="2500" w:type="pct"/>
            <w:shd w:val="clear" w:color="auto" w:fill="92D050"/>
          </w:tcPr>
          <w:p w14:paraId="229A42CC" w14:textId="3104CEB9" w:rsidR="0003695A" w:rsidRPr="00172D2D" w:rsidRDefault="0003695A" w:rsidP="00172D2D">
            <w:pPr>
              <w:spacing w:before="60" w:after="60" w:line="240" w:lineRule="auto"/>
              <w:rPr>
                <w:rFonts w:cs="Arial"/>
                <w:sz w:val="20"/>
                <w:szCs w:val="20"/>
                <w:highlight w:val="yellow"/>
              </w:rPr>
            </w:pPr>
            <w:r w:rsidRPr="00172D2D">
              <w:rPr>
                <w:rFonts w:cs="Arial"/>
                <w:sz w:val="20"/>
                <w:szCs w:val="20"/>
              </w:rPr>
              <w:t xml:space="preserve">No significant intersection with </w:t>
            </w:r>
            <w:proofErr w:type="spellStart"/>
            <w:r w:rsidRPr="00172D2D">
              <w:rPr>
                <w:rFonts w:cs="Arial"/>
                <w:sz w:val="20"/>
                <w:szCs w:val="20"/>
              </w:rPr>
              <w:t>Cwth</w:t>
            </w:r>
            <w:proofErr w:type="spellEnd"/>
            <w:r w:rsidRPr="00172D2D">
              <w:rPr>
                <w:rFonts w:cs="Arial"/>
                <w:sz w:val="20"/>
                <w:szCs w:val="20"/>
              </w:rPr>
              <w:t xml:space="preserve"> plans.</w:t>
            </w:r>
          </w:p>
        </w:tc>
      </w:tr>
      <w:tr w:rsidR="00B16E10" w:rsidRPr="00172D2D" w14:paraId="229A42D1" w14:textId="77777777" w:rsidTr="005E11B6">
        <w:tc>
          <w:tcPr>
            <w:tcW w:w="2500" w:type="pct"/>
            <w:gridSpan w:val="2"/>
            <w:shd w:val="clear" w:color="auto" w:fill="92CDDC"/>
          </w:tcPr>
          <w:p w14:paraId="229A42D0" w14:textId="77777777" w:rsidR="00B16E10" w:rsidRPr="00172D2D" w:rsidRDefault="00B16E10" w:rsidP="00172D2D">
            <w:pPr>
              <w:autoSpaceDE w:val="0"/>
              <w:autoSpaceDN w:val="0"/>
              <w:adjustRightInd w:val="0"/>
              <w:spacing w:before="60" w:after="60" w:line="240" w:lineRule="auto"/>
              <w:rPr>
                <w:rFonts w:cs="Arial"/>
                <w:b/>
                <w:bCs/>
                <w:sz w:val="20"/>
                <w:szCs w:val="20"/>
              </w:rPr>
            </w:pPr>
            <w:r w:rsidRPr="00172D2D">
              <w:rPr>
                <w:rFonts w:cs="Arial"/>
                <w:b/>
                <w:bCs/>
                <w:sz w:val="20"/>
                <w:szCs w:val="20"/>
              </w:rPr>
              <w:t xml:space="preserve">PRINCIPLE 1 - </w:t>
            </w:r>
            <w:r w:rsidRPr="00172D2D">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172D2D">
              <w:rPr>
                <w:rFonts w:cs="Arial"/>
                <w:b/>
                <w:bCs/>
                <w:sz w:val="20"/>
                <w:szCs w:val="20"/>
              </w:rPr>
              <w:t xml:space="preserve">. </w:t>
            </w:r>
          </w:p>
        </w:tc>
      </w:tr>
      <w:tr w:rsidR="00B16E10" w:rsidRPr="00172D2D" w14:paraId="229A42D3" w14:textId="77777777" w:rsidTr="005E11B6">
        <w:tc>
          <w:tcPr>
            <w:tcW w:w="2500" w:type="pct"/>
            <w:gridSpan w:val="2"/>
            <w:shd w:val="clear" w:color="auto" w:fill="B6DDE8"/>
          </w:tcPr>
          <w:p w14:paraId="229A42D2" w14:textId="77777777" w:rsidR="00B16E10" w:rsidRPr="00172D2D" w:rsidRDefault="00B16E10" w:rsidP="00172D2D">
            <w:pPr>
              <w:spacing w:before="60" w:after="60" w:line="240" w:lineRule="auto"/>
              <w:rPr>
                <w:rFonts w:cs="Arial"/>
                <w:b/>
                <w:bCs/>
                <w:sz w:val="20"/>
                <w:szCs w:val="20"/>
              </w:rPr>
            </w:pPr>
            <w:r w:rsidRPr="00172D2D">
              <w:rPr>
                <w:rFonts w:cs="Arial"/>
                <w:b/>
                <w:bCs/>
                <w:sz w:val="20"/>
                <w:szCs w:val="20"/>
              </w:rPr>
              <w:t xml:space="preserve">Objective 1 - </w:t>
            </w:r>
            <w:r w:rsidRPr="00172D2D">
              <w:rPr>
                <w:rFonts w:cs="Arial"/>
                <w:sz w:val="20"/>
                <w:szCs w:val="20"/>
              </w:rPr>
              <w:t xml:space="preserve">The fishery shall be conducted at catch levels that maintain ecologically viable stock levels at an agreed point or range, with acceptable levels of probability. </w:t>
            </w:r>
          </w:p>
        </w:tc>
      </w:tr>
      <w:tr w:rsidR="00B16E10" w:rsidRPr="00172D2D" w14:paraId="229A42D5" w14:textId="77777777" w:rsidTr="005E11B6">
        <w:tc>
          <w:tcPr>
            <w:tcW w:w="2500" w:type="pct"/>
            <w:gridSpan w:val="2"/>
            <w:shd w:val="clear" w:color="auto" w:fill="DAEEF3"/>
          </w:tcPr>
          <w:p w14:paraId="229A42D4" w14:textId="77777777" w:rsidR="00B16E10" w:rsidRPr="00172D2D" w:rsidRDefault="00B16E10" w:rsidP="00172D2D">
            <w:pPr>
              <w:spacing w:before="60" w:after="60" w:line="240" w:lineRule="auto"/>
              <w:rPr>
                <w:rFonts w:cs="Arial"/>
                <w:b/>
                <w:bCs/>
                <w:i/>
                <w:iCs/>
                <w:sz w:val="20"/>
                <w:szCs w:val="20"/>
              </w:rPr>
            </w:pPr>
            <w:r w:rsidRPr="00172D2D">
              <w:rPr>
                <w:rFonts w:cs="Arial"/>
                <w:b/>
                <w:bCs/>
                <w:i/>
                <w:iCs/>
                <w:sz w:val="20"/>
                <w:szCs w:val="20"/>
              </w:rPr>
              <w:t xml:space="preserve">Information requirements </w:t>
            </w:r>
          </w:p>
        </w:tc>
      </w:tr>
      <w:tr w:rsidR="008925B9" w:rsidRPr="00172D2D" w14:paraId="229A42DC" w14:textId="77777777" w:rsidTr="005E11B6">
        <w:tc>
          <w:tcPr>
            <w:tcW w:w="2500" w:type="pct"/>
          </w:tcPr>
          <w:p w14:paraId="229A42D7" w14:textId="29224E49" w:rsidR="0003695A" w:rsidRPr="00172D2D" w:rsidRDefault="0003695A" w:rsidP="005E11B6">
            <w:pPr>
              <w:spacing w:before="60" w:after="60" w:line="240" w:lineRule="auto"/>
              <w:rPr>
                <w:rFonts w:cs="Arial"/>
                <w:b/>
                <w:bCs/>
                <w:i/>
                <w:iCs/>
                <w:sz w:val="20"/>
                <w:szCs w:val="20"/>
              </w:rPr>
            </w:pPr>
            <w:r w:rsidRPr="00172D2D">
              <w:rPr>
                <w:rFonts w:cs="Arial"/>
                <w:b/>
                <w:bCs/>
                <w:i/>
                <w:iCs/>
                <w:sz w:val="20"/>
                <w:szCs w:val="20"/>
              </w:rPr>
              <w:t xml:space="preserve">1.1.1 </w:t>
            </w:r>
            <w:r w:rsidRPr="00172D2D">
              <w:rPr>
                <w:rFonts w:cs="Arial"/>
                <w:sz w:val="20"/>
                <w:szCs w:val="20"/>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2500" w:type="pct"/>
            <w:shd w:val="clear" w:color="auto" w:fill="92D050"/>
          </w:tcPr>
          <w:p w14:paraId="229A42DB" w14:textId="099D2347" w:rsidR="0003695A" w:rsidRPr="00172D2D" w:rsidRDefault="0003695A" w:rsidP="00172D2D">
            <w:pPr>
              <w:spacing w:before="60" w:after="60" w:line="240" w:lineRule="auto"/>
              <w:rPr>
                <w:rFonts w:cs="Arial"/>
                <w:sz w:val="20"/>
                <w:szCs w:val="20"/>
                <w:highlight w:val="yellow"/>
              </w:rPr>
            </w:pPr>
            <w:r w:rsidRPr="00172D2D">
              <w:rPr>
                <w:rFonts w:cs="Arial"/>
                <w:sz w:val="20"/>
                <w:szCs w:val="20"/>
              </w:rPr>
              <w:t>Yes, mandatory logbooks record daily catch and effort.</w:t>
            </w:r>
          </w:p>
        </w:tc>
      </w:tr>
      <w:tr w:rsidR="00B16E10" w:rsidRPr="00172D2D" w14:paraId="229A42DE" w14:textId="77777777" w:rsidTr="005E11B6">
        <w:tc>
          <w:tcPr>
            <w:tcW w:w="2500" w:type="pct"/>
            <w:gridSpan w:val="2"/>
            <w:shd w:val="clear" w:color="auto" w:fill="DAEEF3"/>
          </w:tcPr>
          <w:p w14:paraId="229A42DD" w14:textId="77777777" w:rsidR="00B16E10" w:rsidRPr="00172D2D" w:rsidRDefault="00B16E10" w:rsidP="00172D2D">
            <w:pPr>
              <w:spacing w:before="60" w:after="60" w:line="240" w:lineRule="auto"/>
              <w:rPr>
                <w:rFonts w:cs="Arial"/>
                <w:b/>
                <w:bCs/>
                <w:i/>
                <w:iCs/>
                <w:sz w:val="20"/>
                <w:szCs w:val="20"/>
              </w:rPr>
            </w:pPr>
            <w:r w:rsidRPr="00172D2D">
              <w:rPr>
                <w:rFonts w:cs="Arial"/>
                <w:b/>
                <w:bCs/>
                <w:i/>
                <w:iCs/>
                <w:sz w:val="20"/>
                <w:szCs w:val="20"/>
              </w:rPr>
              <w:t xml:space="preserve">Assessment </w:t>
            </w:r>
          </w:p>
        </w:tc>
      </w:tr>
      <w:tr w:rsidR="008925B9" w:rsidRPr="00172D2D" w14:paraId="229A42E4" w14:textId="77777777" w:rsidTr="005E11B6">
        <w:tc>
          <w:tcPr>
            <w:tcW w:w="2500" w:type="pct"/>
          </w:tcPr>
          <w:p w14:paraId="229A42DF" w14:textId="77777777" w:rsidR="0003695A" w:rsidRPr="00172D2D" w:rsidRDefault="0003695A" w:rsidP="00172D2D">
            <w:pPr>
              <w:spacing w:before="60" w:after="60" w:line="240" w:lineRule="auto"/>
              <w:rPr>
                <w:rFonts w:cs="Arial"/>
                <w:b/>
                <w:bCs/>
                <w:i/>
                <w:iCs/>
                <w:sz w:val="20"/>
                <w:szCs w:val="20"/>
              </w:rPr>
            </w:pPr>
            <w:r w:rsidRPr="00172D2D">
              <w:rPr>
                <w:rFonts w:cs="Arial"/>
                <w:b/>
                <w:bCs/>
                <w:i/>
                <w:iCs/>
                <w:sz w:val="20"/>
                <w:szCs w:val="20"/>
              </w:rPr>
              <w:t xml:space="preserve">1.1.2 </w:t>
            </w:r>
            <w:r w:rsidRPr="00172D2D">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2500" w:type="pct"/>
            <w:shd w:val="clear" w:color="auto" w:fill="92D050"/>
          </w:tcPr>
          <w:p w14:paraId="229A42E3" w14:textId="659A44DA" w:rsidR="0003695A" w:rsidRPr="00172D2D" w:rsidRDefault="0003695A" w:rsidP="00172D2D">
            <w:pPr>
              <w:spacing w:before="60" w:after="60" w:line="240" w:lineRule="auto"/>
              <w:rPr>
                <w:rFonts w:cs="Arial"/>
                <w:sz w:val="20"/>
                <w:szCs w:val="20"/>
                <w:highlight w:val="yellow"/>
              </w:rPr>
            </w:pPr>
            <w:r w:rsidRPr="00172D2D">
              <w:rPr>
                <w:rFonts w:cs="Arial"/>
                <w:sz w:val="20"/>
                <w:szCs w:val="20"/>
              </w:rPr>
              <w:t xml:space="preserve">Yes, annual stock status reports consider fishery dependent data. </w:t>
            </w:r>
          </w:p>
        </w:tc>
      </w:tr>
      <w:tr w:rsidR="008925B9" w:rsidRPr="00172D2D" w14:paraId="229A42EB" w14:textId="77777777" w:rsidTr="005E11B6">
        <w:tc>
          <w:tcPr>
            <w:tcW w:w="2500" w:type="pct"/>
          </w:tcPr>
          <w:p w14:paraId="229A42E6" w14:textId="002302BC" w:rsidR="0003695A" w:rsidRPr="00172D2D" w:rsidRDefault="0003695A" w:rsidP="005E11B6">
            <w:pPr>
              <w:spacing w:before="60" w:after="60" w:line="240" w:lineRule="auto"/>
              <w:rPr>
                <w:rFonts w:cs="Arial"/>
                <w:b/>
                <w:bCs/>
                <w:i/>
                <w:iCs/>
                <w:sz w:val="20"/>
                <w:szCs w:val="20"/>
              </w:rPr>
            </w:pPr>
            <w:r w:rsidRPr="00172D2D">
              <w:rPr>
                <w:rFonts w:cs="Arial"/>
                <w:b/>
                <w:bCs/>
                <w:i/>
                <w:iCs/>
                <w:sz w:val="20"/>
                <w:szCs w:val="20"/>
              </w:rPr>
              <w:t xml:space="preserve">1.1.3 </w:t>
            </w:r>
            <w:r w:rsidRPr="00172D2D">
              <w:rPr>
                <w:rFonts w:cs="Arial"/>
                <w:sz w:val="20"/>
                <w:szCs w:val="20"/>
              </w:rPr>
              <w:t>The distribution and spatial structure of the stock(s) has been established and factored into management responses</w:t>
            </w:r>
            <w:r w:rsidRPr="00172D2D">
              <w:rPr>
                <w:rFonts w:cs="Arial"/>
                <w:i/>
                <w:iCs/>
                <w:sz w:val="20"/>
                <w:szCs w:val="20"/>
              </w:rPr>
              <w:t xml:space="preserve">. </w:t>
            </w:r>
          </w:p>
        </w:tc>
        <w:tc>
          <w:tcPr>
            <w:tcW w:w="2500" w:type="pct"/>
            <w:shd w:val="clear" w:color="auto" w:fill="92D050"/>
          </w:tcPr>
          <w:p w14:paraId="229A42EA" w14:textId="5D69D41C" w:rsidR="0003695A" w:rsidRPr="00172D2D" w:rsidRDefault="0003695A" w:rsidP="00172D2D">
            <w:pPr>
              <w:spacing w:before="60" w:after="60" w:line="240" w:lineRule="auto"/>
              <w:rPr>
                <w:rFonts w:cs="Arial"/>
                <w:sz w:val="20"/>
                <w:szCs w:val="20"/>
                <w:highlight w:val="yellow"/>
              </w:rPr>
            </w:pPr>
            <w:r w:rsidRPr="00172D2D">
              <w:rPr>
                <w:rFonts w:cs="Arial"/>
                <w:sz w:val="20"/>
                <w:szCs w:val="20"/>
              </w:rPr>
              <w:t>Yes, single stock across southern Australia, stock structure well understood. Managed in two zones in SA to reflect different habitats and fishing operations.</w:t>
            </w:r>
          </w:p>
        </w:tc>
      </w:tr>
      <w:tr w:rsidR="008925B9" w:rsidRPr="00172D2D" w14:paraId="229A42F2" w14:textId="77777777" w:rsidTr="005E11B6">
        <w:tc>
          <w:tcPr>
            <w:tcW w:w="2500" w:type="pct"/>
          </w:tcPr>
          <w:p w14:paraId="229A42ED" w14:textId="011F79B8" w:rsidR="0003695A" w:rsidRPr="00172D2D" w:rsidRDefault="0003695A" w:rsidP="005E11B6">
            <w:pPr>
              <w:spacing w:before="60" w:after="60" w:line="240" w:lineRule="auto"/>
              <w:rPr>
                <w:rFonts w:cs="Arial"/>
                <w:b/>
                <w:bCs/>
                <w:i/>
                <w:iCs/>
                <w:sz w:val="20"/>
                <w:szCs w:val="20"/>
              </w:rPr>
            </w:pPr>
            <w:r w:rsidRPr="00172D2D">
              <w:rPr>
                <w:rFonts w:cs="Arial"/>
                <w:b/>
                <w:bCs/>
                <w:i/>
                <w:iCs/>
                <w:sz w:val="20"/>
                <w:szCs w:val="20"/>
              </w:rPr>
              <w:t xml:space="preserve">1.1.4 </w:t>
            </w:r>
            <w:r w:rsidRPr="00172D2D">
              <w:rPr>
                <w:rFonts w:cs="Arial"/>
                <w:sz w:val="20"/>
                <w:szCs w:val="20"/>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2500" w:type="pct"/>
            <w:shd w:val="clear" w:color="auto" w:fill="92D050"/>
          </w:tcPr>
          <w:p w14:paraId="229A42F1" w14:textId="1FA067F5" w:rsidR="0003695A" w:rsidRPr="00172D2D" w:rsidRDefault="0003695A" w:rsidP="00172D2D">
            <w:pPr>
              <w:spacing w:before="60" w:after="60" w:line="240" w:lineRule="auto"/>
              <w:rPr>
                <w:rFonts w:cs="Arial"/>
                <w:sz w:val="20"/>
                <w:szCs w:val="20"/>
                <w:highlight w:val="yellow"/>
              </w:rPr>
            </w:pPr>
            <w:r w:rsidRPr="00172D2D">
              <w:rPr>
                <w:rFonts w:cs="Arial"/>
                <w:sz w:val="20"/>
                <w:szCs w:val="20"/>
              </w:rPr>
              <w:t>Removal by other sectors (</w:t>
            </w:r>
            <w:proofErr w:type="spellStart"/>
            <w:r w:rsidRPr="00172D2D">
              <w:rPr>
                <w:rFonts w:cs="Arial"/>
                <w:sz w:val="20"/>
                <w:szCs w:val="20"/>
              </w:rPr>
              <w:t>eg</w:t>
            </w:r>
            <w:proofErr w:type="spellEnd"/>
            <w:r w:rsidRPr="00172D2D">
              <w:rPr>
                <w:rFonts w:cs="Arial"/>
                <w:sz w:val="20"/>
                <w:szCs w:val="20"/>
              </w:rPr>
              <w:t xml:space="preserve"> recreational and indigenous) assessed as minimal, given depth and distance from shore. Estimates of recreational take confirmed by 5 yearly recreational fishing surveys (link above). Removals by other commercial fishing activity considered in national stock assessment for species.</w:t>
            </w:r>
          </w:p>
        </w:tc>
      </w:tr>
      <w:tr w:rsidR="008925B9" w:rsidRPr="00172D2D" w14:paraId="229A42FA" w14:textId="77777777" w:rsidTr="005E11B6">
        <w:tc>
          <w:tcPr>
            <w:tcW w:w="2500" w:type="pct"/>
          </w:tcPr>
          <w:p w14:paraId="229A42F5" w14:textId="46E79836" w:rsidR="0003695A" w:rsidRPr="00172D2D" w:rsidRDefault="0003695A" w:rsidP="005E11B6">
            <w:pPr>
              <w:spacing w:before="60" w:after="60" w:line="240" w:lineRule="auto"/>
              <w:rPr>
                <w:rFonts w:cs="Arial"/>
                <w:b/>
                <w:bCs/>
                <w:i/>
                <w:iCs/>
                <w:sz w:val="20"/>
                <w:szCs w:val="20"/>
              </w:rPr>
            </w:pPr>
            <w:r w:rsidRPr="00172D2D">
              <w:rPr>
                <w:rFonts w:cs="Arial"/>
                <w:b/>
                <w:bCs/>
                <w:i/>
                <w:iCs/>
                <w:sz w:val="20"/>
                <w:szCs w:val="20"/>
              </w:rPr>
              <w:t xml:space="preserve">1.1.5 </w:t>
            </w:r>
            <w:r w:rsidRPr="00172D2D">
              <w:rPr>
                <w:rFonts w:cs="Arial"/>
                <w:sz w:val="20"/>
                <w:szCs w:val="20"/>
              </w:rPr>
              <w:t xml:space="preserve">There is a sound estimate of the potential productivity of the fished stock/s and the proportion that could be harvested. </w:t>
            </w:r>
          </w:p>
        </w:tc>
        <w:tc>
          <w:tcPr>
            <w:tcW w:w="2500" w:type="pct"/>
            <w:shd w:val="clear" w:color="auto" w:fill="FFC000"/>
          </w:tcPr>
          <w:p w14:paraId="229A42F9" w14:textId="6DCED8BE" w:rsidR="0003695A" w:rsidRPr="00172D2D" w:rsidRDefault="0003695A" w:rsidP="00172D2D">
            <w:pPr>
              <w:spacing w:before="60" w:after="60" w:line="240" w:lineRule="auto"/>
              <w:rPr>
                <w:rFonts w:cs="Arial"/>
                <w:sz w:val="20"/>
                <w:szCs w:val="20"/>
                <w:highlight w:val="yellow"/>
              </w:rPr>
            </w:pPr>
            <w:r w:rsidRPr="00172D2D">
              <w:rPr>
                <w:rFonts w:cs="Arial"/>
                <w:sz w:val="20"/>
                <w:szCs w:val="20"/>
              </w:rPr>
              <w:t>Yes, stock status reports based on fishery dependent data but no clear biomass estimate. FRDC SAFS notes stable catches in SA, but also uncertainty about stock status across southern Australia due to limitations of data across national stock.</w:t>
            </w:r>
          </w:p>
        </w:tc>
      </w:tr>
      <w:tr w:rsidR="00B16E10" w:rsidRPr="00172D2D" w14:paraId="229A42FC" w14:textId="77777777" w:rsidTr="005E11B6">
        <w:tc>
          <w:tcPr>
            <w:tcW w:w="2500" w:type="pct"/>
            <w:gridSpan w:val="2"/>
            <w:shd w:val="clear" w:color="auto" w:fill="DAEEF3"/>
          </w:tcPr>
          <w:p w14:paraId="229A42FB" w14:textId="77777777" w:rsidR="00B16E10" w:rsidRPr="00172D2D" w:rsidRDefault="00B16E10" w:rsidP="00172D2D">
            <w:pPr>
              <w:spacing w:before="60" w:after="60" w:line="240" w:lineRule="auto"/>
              <w:rPr>
                <w:rFonts w:cs="Arial"/>
                <w:b/>
                <w:bCs/>
                <w:i/>
                <w:iCs/>
                <w:sz w:val="20"/>
                <w:szCs w:val="20"/>
              </w:rPr>
            </w:pPr>
            <w:r w:rsidRPr="00172D2D">
              <w:rPr>
                <w:rFonts w:cs="Arial"/>
                <w:b/>
                <w:bCs/>
                <w:i/>
                <w:iCs/>
                <w:sz w:val="20"/>
                <w:szCs w:val="20"/>
              </w:rPr>
              <w:t xml:space="preserve">Management responses </w:t>
            </w:r>
          </w:p>
        </w:tc>
      </w:tr>
      <w:tr w:rsidR="008925B9" w:rsidRPr="008553F1" w14:paraId="229A4303" w14:textId="77777777" w:rsidTr="008553F1">
        <w:tc>
          <w:tcPr>
            <w:tcW w:w="2500" w:type="pct"/>
          </w:tcPr>
          <w:p w14:paraId="229A42FE" w14:textId="727CAE4C" w:rsidR="0003695A" w:rsidRPr="008553F1" w:rsidRDefault="0003695A" w:rsidP="005E11B6">
            <w:pPr>
              <w:autoSpaceDE w:val="0"/>
              <w:autoSpaceDN w:val="0"/>
              <w:adjustRightInd w:val="0"/>
              <w:spacing w:before="60" w:after="60" w:line="240" w:lineRule="auto"/>
              <w:rPr>
                <w:rFonts w:cs="Arial"/>
                <w:b/>
                <w:bCs/>
                <w:i/>
                <w:iCs/>
                <w:sz w:val="20"/>
                <w:szCs w:val="20"/>
              </w:rPr>
            </w:pPr>
            <w:r w:rsidRPr="008553F1">
              <w:rPr>
                <w:rFonts w:cs="Arial"/>
                <w:b/>
                <w:bCs/>
                <w:i/>
                <w:iCs/>
                <w:sz w:val="20"/>
                <w:szCs w:val="20"/>
              </w:rPr>
              <w:lastRenderedPageBreak/>
              <w:t xml:space="preserve">1.1.6 </w:t>
            </w:r>
            <w:r w:rsidRPr="008553F1">
              <w:rPr>
                <w:rFonts w:cs="Arial"/>
                <w:sz w:val="20"/>
                <w:szCs w:val="20"/>
              </w:rPr>
              <w:t>There are reference points (target and/or limit), that trigger management actions including a biological bottom line and/or a catch or effort upper limit beyond which the stock should not be taken.</w:t>
            </w:r>
          </w:p>
        </w:tc>
        <w:tc>
          <w:tcPr>
            <w:tcW w:w="2500" w:type="pct"/>
            <w:shd w:val="clear" w:color="auto" w:fill="FFC000"/>
          </w:tcPr>
          <w:p w14:paraId="229A4302" w14:textId="1EEC30F0" w:rsidR="0003695A" w:rsidRPr="008553F1" w:rsidRDefault="008553F1" w:rsidP="00172D2D">
            <w:pPr>
              <w:spacing w:before="60" w:after="60" w:line="240" w:lineRule="auto"/>
              <w:rPr>
                <w:rFonts w:cs="Arial"/>
                <w:sz w:val="20"/>
                <w:szCs w:val="20"/>
              </w:rPr>
            </w:pPr>
            <w:r w:rsidRPr="008553F1">
              <w:rPr>
                <w:rFonts w:cs="Arial"/>
                <w:sz w:val="20"/>
                <w:szCs w:val="20"/>
              </w:rPr>
              <w:t>Reference points and PIs described in harvest strategy but management responses articulated in Sloan (2002) and PIRSA (2007) are not prescriptive. New HS under development likely to contain limit, trigger and target reference points.</w:t>
            </w:r>
          </w:p>
        </w:tc>
      </w:tr>
      <w:tr w:rsidR="008925B9" w:rsidRPr="00172D2D" w14:paraId="229A430A" w14:textId="77777777" w:rsidTr="005E11B6">
        <w:tc>
          <w:tcPr>
            <w:tcW w:w="2500" w:type="pct"/>
          </w:tcPr>
          <w:p w14:paraId="229A4305" w14:textId="1C47FF3B" w:rsidR="008925B9" w:rsidRPr="00172D2D" w:rsidRDefault="008925B9" w:rsidP="005E11B6">
            <w:pPr>
              <w:spacing w:before="60" w:after="60" w:line="240" w:lineRule="auto"/>
              <w:rPr>
                <w:rFonts w:cs="Arial"/>
                <w:b/>
                <w:bCs/>
                <w:i/>
                <w:iCs/>
                <w:sz w:val="20"/>
                <w:szCs w:val="20"/>
              </w:rPr>
            </w:pPr>
            <w:r w:rsidRPr="00172D2D">
              <w:rPr>
                <w:rFonts w:cs="Arial"/>
                <w:b/>
                <w:bCs/>
                <w:i/>
                <w:iCs/>
                <w:sz w:val="20"/>
                <w:szCs w:val="20"/>
              </w:rPr>
              <w:t xml:space="preserve">1.1.7 </w:t>
            </w:r>
            <w:r w:rsidRPr="00172D2D">
              <w:rPr>
                <w:rFonts w:cs="Arial"/>
                <w:sz w:val="20"/>
                <w:szCs w:val="20"/>
              </w:rPr>
              <w:t xml:space="preserve">There are management strategies in place capable of controlling the level of take. </w:t>
            </w:r>
          </w:p>
        </w:tc>
        <w:tc>
          <w:tcPr>
            <w:tcW w:w="2500" w:type="pct"/>
            <w:shd w:val="clear" w:color="auto" w:fill="92D050"/>
          </w:tcPr>
          <w:p w14:paraId="229A4309" w14:textId="40272728" w:rsidR="008925B9" w:rsidRPr="00172D2D" w:rsidRDefault="008925B9" w:rsidP="00172D2D">
            <w:pPr>
              <w:spacing w:before="60" w:after="60" w:line="240" w:lineRule="auto"/>
              <w:rPr>
                <w:rFonts w:cs="Arial"/>
                <w:sz w:val="20"/>
                <w:szCs w:val="20"/>
                <w:highlight w:val="yellow"/>
              </w:rPr>
            </w:pPr>
            <w:r w:rsidRPr="00172D2D">
              <w:rPr>
                <w:rFonts w:cs="Arial"/>
                <w:sz w:val="20"/>
                <w:szCs w:val="20"/>
              </w:rPr>
              <w:t>Yes, both input and output controls, including limited entry, spatial and temporal measures, size limits, byproduct trip limits, ITQs and TACC.</w:t>
            </w:r>
          </w:p>
        </w:tc>
      </w:tr>
      <w:tr w:rsidR="008925B9" w:rsidRPr="00172D2D" w14:paraId="229A4312" w14:textId="77777777" w:rsidTr="005E11B6">
        <w:tc>
          <w:tcPr>
            <w:tcW w:w="2500" w:type="pct"/>
          </w:tcPr>
          <w:p w14:paraId="229A430C" w14:textId="0D800808" w:rsidR="008925B9" w:rsidRPr="00172D2D" w:rsidRDefault="008925B9" w:rsidP="005E11B6">
            <w:pPr>
              <w:autoSpaceDE w:val="0"/>
              <w:autoSpaceDN w:val="0"/>
              <w:adjustRightInd w:val="0"/>
              <w:spacing w:before="60" w:after="60" w:line="240" w:lineRule="auto"/>
              <w:rPr>
                <w:rFonts w:cs="Arial"/>
                <w:b/>
                <w:i/>
                <w:sz w:val="20"/>
                <w:szCs w:val="20"/>
              </w:rPr>
            </w:pPr>
            <w:r w:rsidRPr="00172D2D">
              <w:rPr>
                <w:rFonts w:cs="Arial"/>
                <w:b/>
                <w:bCs/>
                <w:i/>
                <w:iCs/>
                <w:sz w:val="20"/>
                <w:szCs w:val="20"/>
              </w:rPr>
              <w:t xml:space="preserve">1.1.8 </w:t>
            </w:r>
            <w:r w:rsidRPr="00172D2D">
              <w:rPr>
                <w:rFonts w:cs="Arial"/>
                <w:sz w:val="20"/>
                <w:szCs w:val="20"/>
              </w:rPr>
              <w:t>Fishing is conducted in a manner that does not threaten stocks of by-product species.</w:t>
            </w:r>
          </w:p>
        </w:tc>
        <w:tc>
          <w:tcPr>
            <w:tcW w:w="2500" w:type="pct"/>
            <w:shd w:val="clear" w:color="auto" w:fill="92D050"/>
          </w:tcPr>
          <w:p w14:paraId="229A4311" w14:textId="52AA48B5" w:rsidR="008925B9" w:rsidRPr="00172D2D" w:rsidRDefault="008925B9" w:rsidP="00172D2D">
            <w:pPr>
              <w:spacing w:before="60" w:after="60" w:line="240" w:lineRule="auto"/>
              <w:rPr>
                <w:rFonts w:cs="Arial"/>
                <w:i/>
                <w:sz w:val="20"/>
                <w:szCs w:val="20"/>
                <w:highlight w:val="yellow"/>
              </w:rPr>
            </w:pPr>
            <w:r w:rsidRPr="00172D2D">
              <w:rPr>
                <w:rFonts w:cs="Arial"/>
                <w:sz w:val="20"/>
                <w:szCs w:val="20"/>
              </w:rPr>
              <w:t xml:space="preserve">Byproduct very low, most non-target species do not have swim bladders so can be released alive. </w:t>
            </w:r>
          </w:p>
        </w:tc>
      </w:tr>
      <w:tr w:rsidR="00B16E10" w:rsidRPr="00172D2D" w14:paraId="229A4314" w14:textId="77777777" w:rsidTr="005E11B6">
        <w:tc>
          <w:tcPr>
            <w:tcW w:w="2500" w:type="pct"/>
            <w:gridSpan w:val="2"/>
            <w:shd w:val="clear" w:color="auto" w:fill="DAEEF3"/>
            <w:vAlign w:val="center"/>
          </w:tcPr>
          <w:p w14:paraId="229A4313" w14:textId="3C539B9B" w:rsidR="00B16E10" w:rsidRPr="00172D2D" w:rsidRDefault="00B16E10" w:rsidP="00172D2D">
            <w:pPr>
              <w:spacing w:before="60" w:after="60" w:line="240" w:lineRule="auto"/>
              <w:rPr>
                <w:rFonts w:cs="Arial"/>
                <w:sz w:val="20"/>
                <w:szCs w:val="20"/>
              </w:rPr>
            </w:pPr>
            <w:r w:rsidRPr="00172D2D">
              <w:rPr>
                <w:rFonts w:cs="Arial"/>
                <w:sz w:val="20"/>
                <w:szCs w:val="20"/>
              </w:rPr>
              <w:t xml:space="preserve">(Guidelines 1.1.1 to 1.1.7 should be applied to by-product species to an appropriate level) </w:t>
            </w:r>
          </w:p>
        </w:tc>
      </w:tr>
      <w:tr w:rsidR="008925B9" w:rsidRPr="00172D2D" w14:paraId="229A431B" w14:textId="77777777" w:rsidTr="005E11B6">
        <w:tc>
          <w:tcPr>
            <w:tcW w:w="2500" w:type="pct"/>
          </w:tcPr>
          <w:p w14:paraId="229A4316" w14:textId="2FB54B91" w:rsidR="008925B9" w:rsidRPr="00172D2D" w:rsidRDefault="008925B9" w:rsidP="005E11B6">
            <w:pPr>
              <w:autoSpaceDE w:val="0"/>
              <w:autoSpaceDN w:val="0"/>
              <w:adjustRightInd w:val="0"/>
              <w:spacing w:before="60" w:after="60" w:line="240" w:lineRule="auto"/>
              <w:rPr>
                <w:rFonts w:cs="Arial"/>
                <w:sz w:val="20"/>
                <w:szCs w:val="20"/>
              </w:rPr>
            </w:pPr>
            <w:r w:rsidRPr="00172D2D">
              <w:rPr>
                <w:rFonts w:cs="Arial"/>
                <w:b/>
                <w:bCs/>
                <w:i/>
                <w:iCs/>
                <w:sz w:val="20"/>
                <w:szCs w:val="20"/>
              </w:rPr>
              <w:t xml:space="preserve">1.1.9 </w:t>
            </w:r>
            <w:r w:rsidRPr="00172D2D">
              <w:rPr>
                <w:rFonts w:cs="Arial"/>
                <w:sz w:val="20"/>
                <w:szCs w:val="20"/>
              </w:rPr>
              <w:t>The management response, considering uncertainties in the assessment and precautionary management actions, has a high chance of achieving the objective.</w:t>
            </w:r>
          </w:p>
        </w:tc>
        <w:tc>
          <w:tcPr>
            <w:tcW w:w="2500" w:type="pct"/>
            <w:shd w:val="clear" w:color="auto" w:fill="92D050"/>
          </w:tcPr>
          <w:p w14:paraId="229A431A" w14:textId="2F17FA05" w:rsidR="008925B9" w:rsidRPr="00172D2D" w:rsidRDefault="008925B9" w:rsidP="00172D2D">
            <w:pPr>
              <w:spacing w:before="60" w:after="60" w:line="240" w:lineRule="auto"/>
              <w:rPr>
                <w:rFonts w:cs="Arial"/>
                <w:sz w:val="20"/>
                <w:szCs w:val="20"/>
              </w:rPr>
            </w:pPr>
            <w:r w:rsidRPr="00172D2D">
              <w:rPr>
                <w:rFonts w:cs="Arial"/>
                <w:sz w:val="20"/>
                <w:szCs w:val="20"/>
              </w:rPr>
              <w:t>Appears likely, based on historic performance, although environmental impacts influence recruitment.</w:t>
            </w:r>
          </w:p>
        </w:tc>
      </w:tr>
      <w:tr w:rsidR="00B16E10" w:rsidRPr="00172D2D" w14:paraId="229A431E" w14:textId="77777777" w:rsidTr="005E11B6">
        <w:tc>
          <w:tcPr>
            <w:tcW w:w="2500" w:type="pct"/>
            <w:gridSpan w:val="2"/>
            <w:shd w:val="clear" w:color="auto" w:fill="DAEEF3"/>
          </w:tcPr>
          <w:p w14:paraId="229A431C" w14:textId="77777777" w:rsidR="00B16E10" w:rsidRPr="00172D2D" w:rsidRDefault="00B16E10" w:rsidP="00172D2D">
            <w:pPr>
              <w:spacing w:before="60" w:after="60" w:line="240" w:lineRule="auto"/>
              <w:rPr>
                <w:rFonts w:cs="Arial"/>
                <w:b/>
                <w:bCs/>
                <w:sz w:val="20"/>
                <w:szCs w:val="20"/>
              </w:rPr>
            </w:pPr>
            <w:r w:rsidRPr="00172D2D">
              <w:rPr>
                <w:rFonts w:cs="Arial"/>
                <w:b/>
                <w:bCs/>
                <w:sz w:val="20"/>
                <w:szCs w:val="20"/>
              </w:rPr>
              <w:t>If overfished, go to Objective 2:</w:t>
            </w:r>
          </w:p>
          <w:p w14:paraId="229A431D" w14:textId="77777777" w:rsidR="00B16E10" w:rsidRPr="00172D2D" w:rsidRDefault="00B16E10" w:rsidP="00172D2D">
            <w:pPr>
              <w:spacing w:before="60" w:after="60" w:line="240" w:lineRule="auto"/>
              <w:rPr>
                <w:rFonts w:cs="Arial"/>
                <w:b/>
                <w:bCs/>
                <w:sz w:val="20"/>
                <w:szCs w:val="20"/>
              </w:rPr>
            </w:pPr>
            <w:r w:rsidRPr="00172D2D">
              <w:rPr>
                <w:rFonts w:cs="Arial"/>
                <w:b/>
                <w:bCs/>
                <w:sz w:val="20"/>
                <w:szCs w:val="20"/>
              </w:rPr>
              <w:t>If not overfished, go to PRINCIPLE 2:</w:t>
            </w:r>
          </w:p>
        </w:tc>
      </w:tr>
      <w:tr w:rsidR="00B16E10" w:rsidRPr="00172D2D" w14:paraId="229A4320" w14:textId="77777777" w:rsidTr="005E11B6">
        <w:tc>
          <w:tcPr>
            <w:tcW w:w="2500" w:type="pct"/>
            <w:gridSpan w:val="2"/>
            <w:shd w:val="clear" w:color="auto" w:fill="B6DDE8"/>
          </w:tcPr>
          <w:p w14:paraId="229A431F" w14:textId="77777777" w:rsidR="00B16E10" w:rsidRPr="00172D2D" w:rsidRDefault="00B16E10" w:rsidP="00172D2D">
            <w:pPr>
              <w:spacing w:before="60" w:after="60" w:line="240" w:lineRule="auto"/>
              <w:rPr>
                <w:rFonts w:cs="Arial"/>
                <w:b/>
                <w:bCs/>
                <w:sz w:val="20"/>
                <w:szCs w:val="20"/>
              </w:rPr>
            </w:pPr>
            <w:r w:rsidRPr="00172D2D">
              <w:rPr>
                <w:rFonts w:cs="Arial"/>
                <w:b/>
                <w:bCs/>
                <w:sz w:val="20"/>
                <w:szCs w:val="20"/>
              </w:rPr>
              <w:t xml:space="preserve">Objective 2 - </w:t>
            </w:r>
            <w:r w:rsidRPr="00172D2D">
              <w:rPr>
                <w:rFonts w:cs="Arial"/>
                <w:sz w:val="20"/>
                <w:szCs w:val="20"/>
              </w:rPr>
              <w:t xml:space="preserve">Where the fished stock(s) are below a defined reference point, the fishery will be managed to promote recovery to ecologically viable stock levels within nominated timeframes. </w:t>
            </w:r>
          </w:p>
        </w:tc>
      </w:tr>
      <w:tr w:rsidR="00B16E10" w:rsidRPr="00172D2D" w14:paraId="229A4322" w14:textId="77777777" w:rsidTr="005E11B6">
        <w:tc>
          <w:tcPr>
            <w:tcW w:w="2500" w:type="pct"/>
            <w:gridSpan w:val="2"/>
            <w:shd w:val="clear" w:color="auto" w:fill="DAEEF3"/>
          </w:tcPr>
          <w:p w14:paraId="229A4321" w14:textId="77777777" w:rsidR="00B16E10" w:rsidRPr="00172D2D" w:rsidRDefault="00B16E10" w:rsidP="00172D2D">
            <w:pPr>
              <w:spacing w:before="60" w:after="60" w:line="240" w:lineRule="auto"/>
              <w:rPr>
                <w:rFonts w:cs="Arial"/>
                <w:b/>
                <w:bCs/>
                <w:i/>
                <w:iCs/>
                <w:sz w:val="20"/>
                <w:szCs w:val="20"/>
              </w:rPr>
            </w:pPr>
            <w:r w:rsidRPr="00172D2D">
              <w:rPr>
                <w:rFonts w:cs="Arial"/>
                <w:b/>
                <w:bCs/>
                <w:i/>
                <w:iCs/>
                <w:sz w:val="20"/>
                <w:szCs w:val="20"/>
              </w:rPr>
              <w:t xml:space="preserve">Management responses </w:t>
            </w:r>
          </w:p>
        </w:tc>
      </w:tr>
      <w:tr w:rsidR="008925B9" w:rsidRPr="00172D2D" w14:paraId="229A4329" w14:textId="77777777" w:rsidTr="005E11B6">
        <w:tc>
          <w:tcPr>
            <w:tcW w:w="2500" w:type="pct"/>
            <w:tcBorders>
              <w:bottom w:val="single" w:sz="4" w:space="0" w:color="auto"/>
            </w:tcBorders>
          </w:tcPr>
          <w:p w14:paraId="229A4324" w14:textId="18B739DC" w:rsidR="008925B9" w:rsidRPr="00172D2D" w:rsidRDefault="008925B9" w:rsidP="005E11B6">
            <w:pPr>
              <w:spacing w:before="60" w:after="60" w:line="240" w:lineRule="auto"/>
              <w:rPr>
                <w:rFonts w:cs="Arial"/>
                <w:b/>
                <w:bCs/>
                <w:i/>
                <w:iCs/>
                <w:sz w:val="20"/>
                <w:szCs w:val="20"/>
              </w:rPr>
            </w:pPr>
            <w:r w:rsidRPr="00172D2D">
              <w:rPr>
                <w:rFonts w:cs="Arial"/>
                <w:b/>
                <w:bCs/>
                <w:i/>
                <w:iCs/>
                <w:sz w:val="20"/>
                <w:szCs w:val="20"/>
              </w:rPr>
              <w:t xml:space="preserve">1.2.1 </w:t>
            </w:r>
            <w:r w:rsidRPr="00172D2D">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2500" w:type="pct"/>
            <w:tcBorders>
              <w:bottom w:val="single" w:sz="4" w:space="0" w:color="auto"/>
            </w:tcBorders>
            <w:shd w:val="clear" w:color="auto" w:fill="auto"/>
          </w:tcPr>
          <w:p w14:paraId="229A4328" w14:textId="3F36313B" w:rsidR="008925B9" w:rsidRPr="005E11B6" w:rsidRDefault="008925B9" w:rsidP="005E11B6">
            <w:pPr>
              <w:spacing w:before="60" w:after="60" w:line="240" w:lineRule="auto"/>
              <w:rPr>
                <w:rFonts w:cs="Arial"/>
                <w:sz w:val="20"/>
                <w:szCs w:val="20"/>
              </w:rPr>
            </w:pPr>
            <w:r w:rsidRPr="005E11B6">
              <w:rPr>
                <w:rFonts w:cs="Arial"/>
                <w:sz w:val="20"/>
                <w:szCs w:val="20"/>
              </w:rPr>
              <w:t>Not applicable.</w:t>
            </w:r>
            <w:r w:rsidR="005E11B6">
              <w:rPr>
                <w:rFonts w:cs="Arial"/>
                <w:sz w:val="20"/>
                <w:szCs w:val="20"/>
              </w:rPr>
              <w:t xml:space="preserve"> </w:t>
            </w:r>
            <w:r w:rsidRPr="005E11B6">
              <w:rPr>
                <w:rFonts w:cs="Arial"/>
                <w:sz w:val="20"/>
                <w:szCs w:val="20"/>
              </w:rPr>
              <w:t>N/a, while whole national stock assessed as transitional-depleting, overfishing not considered to have occurred in SA.</w:t>
            </w:r>
          </w:p>
        </w:tc>
      </w:tr>
      <w:tr w:rsidR="008925B9" w:rsidRPr="00172D2D" w14:paraId="229A4330" w14:textId="77777777" w:rsidTr="005E11B6">
        <w:tc>
          <w:tcPr>
            <w:tcW w:w="2500" w:type="pct"/>
            <w:tcBorders>
              <w:bottom w:val="single" w:sz="4" w:space="0" w:color="auto"/>
            </w:tcBorders>
          </w:tcPr>
          <w:p w14:paraId="229A432B" w14:textId="5EF85CFC" w:rsidR="008925B9" w:rsidRPr="00172D2D" w:rsidRDefault="008925B9" w:rsidP="005E11B6">
            <w:pPr>
              <w:spacing w:before="60" w:after="60" w:line="240" w:lineRule="auto"/>
              <w:rPr>
                <w:rFonts w:cs="Arial"/>
                <w:b/>
                <w:bCs/>
                <w:i/>
                <w:iCs/>
                <w:sz w:val="20"/>
                <w:szCs w:val="20"/>
              </w:rPr>
            </w:pPr>
            <w:r w:rsidRPr="00172D2D">
              <w:rPr>
                <w:rFonts w:cs="Arial"/>
                <w:b/>
                <w:bCs/>
                <w:i/>
                <w:iCs/>
                <w:sz w:val="20"/>
                <w:szCs w:val="20"/>
              </w:rPr>
              <w:t xml:space="preserve">1.2.2 </w:t>
            </w:r>
            <w:r w:rsidRPr="00172D2D">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2500" w:type="pct"/>
            <w:tcBorders>
              <w:bottom w:val="single" w:sz="4" w:space="0" w:color="auto"/>
            </w:tcBorders>
            <w:shd w:val="clear" w:color="auto" w:fill="auto"/>
          </w:tcPr>
          <w:p w14:paraId="229A432F" w14:textId="4802B46B" w:rsidR="008925B9" w:rsidRPr="005E11B6" w:rsidRDefault="008925B9" w:rsidP="005E11B6">
            <w:pPr>
              <w:spacing w:before="60" w:after="60" w:line="240" w:lineRule="auto"/>
              <w:rPr>
                <w:rFonts w:cs="Arial"/>
                <w:sz w:val="20"/>
                <w:szCs w:val="20"/>
              </w:rPr>
            </w:pPr>
            <w:r w:rsidRPr="005E11B6">
              <w:rPr>
                <w:rFonts w:cs="Arial"/>
                <w:sz w:val="20"/>
                <w:szCs w:val="20"/>
              </w:rPr>
              <w:t>Not applicable.</w:t>
            </w:r>
            <w:r w:rsidR="005E11B6">
              <w:rPr>
                <w:rFonts w:cs="Arial"/>
                <w:sz w:val="20"/>
                <w:szCs w:val="20"/>
              </w:rPr>
              <w:t xml:space="preserve"> </w:t>
            </w:r>
            <w:r w:rsidRPr="005E11B6">
              <w:rPr>
                <w:rFonts w:cs="Arial"/>
                <w:sz w:val="20"/>
                <w:szCs w:val="20"/>
              </w:rPr>
              <w:t>The stock is not considered overfished in SA</w:t>
            </w:r>
          </w:p>
        </w:tc>
      </w:tr>
      <w:tr w:rsidR="00B16E10" w:rsidRPr="00172D2D" w14:paraId="229A4333" w14:textId="77777777" w:rsidTr="005E11B6">
        <w:tc>
          <w:tcPr>
            <w:tcW w:w="2500" w:type="pct"/>
            <w:gridSpan w:val="2"/>
            <w:tcBorders>
              <w:top w:val="single" w:sz="4" w:space="0" w:color="auto"/>
            </w:tcBorders>
            <w:shd w:val="clear" w:color="auto" w:fill="B2A1C7"/>
          </w:tcPr>
          <w:p w14:paraId="229A4332" w14:textId="07054280" w:rsidR="00B16E10" w:rsidRPr="00172D2D" w:rsidRDefault="00B16E10" w:rsidP="005E11B6">
            <w:pPr>
              <w:autoSpaceDE w:val="0"/>
              <w:autoSpaceDN w:val="0"/>
              <w:adjustRightInd w:val="0"/>
              <w:spacing w:before="60" w:after="60" w:line="240" w:lineRule="auto"/>
              <w:rPr>
                <w:rFonts w:cs="Arial"/>
                <w:b/>
                <w:bCs/>
                <w:sz w:val="20"/>
                <w:szCs w:val="20"/>
              </w:rPr>
            </w:pPr>
            <w:r w:rsidRPr="00172D2D">
              <w:rPr>
                <w:rFonts w:cs="Arial"/>
                <w:b/>
                <w:bCs/>
                <w:sz w:val="20"/>
                <w:szCs w:val="20"/>
              </w:rPr>
              <w:t xml:space="preserve">PRINCIPLE 2 - </w:t>
            </w:r>
            <w:r w:rsidRPr="00172D2D">
              <w:rPr>
                <w:rFonts w:cs="Arial"/>
                <w:sz w:val="20"/>
                <w:szCs w:val="20"/>
              </w:rPr>
              <w:t>Fishing operations should be managed to minimise their impact on the structure,</w:t>
            </w:r>
            <w:r w:rsidR="005E11B6">
              <w:rPr>
                <w:rFonts w:cs="Arial"/>
                <w:sz w:val="20"/>
                <w:szCs w:val="20"/>
              </w:rPr>
              <w:t xml:space="preserve"> </w:t>
            </w:r>
            <w:r w:rsidRPr="00172D2D">
              <w:rPr>
                <w:rFonts w:cs="Arial"/>
                <w:sz w:val="20"/>
                <w:szCs w:val="20"/>
              </w:rPr>
              <w:t>productivity, function and biological diversity of the ecosystem.</w:t>
            </w:r>
          </w:p>
        </w:tc>
      </w:tr>
      <w:tr w:rsidR="00B16E10" w:rsidRPr="00172D2D" w14:paraId="229A4336" w14:textId="77777777" w:rsidTr="005E11B6">
        <w:tc>
          <w:tcPr>
            <w:tcW w:w="2500" w:type="pct"/>
            <w:gridSpan w:val="2"/>
            <w:shd w:val="clear" w:color="auto" w:fill="CCC0D9"/>
          </w:tcPr>
          <w:p w14:paraId="229A4335" w14:textId="0A29B7F4" w:rsidR="00B16E10" w:rsidRPr="00172D2D" w:rsidRDefault="00B16E10" w:rsidP="005E11B6">
            <w:pPr>
              <w:autoSpaceDE w:val="0"/>
              <w:autoSpaceDN w:val="0"/>
              <w:adjustRightInd w:val="0"/>
              <w:spacing w:before="60" w:after="60" w:line="240" w:lineRule="auto"/>
              <w:rPr>
                <w:rFonts w:cs="Arial"/>
                <w:b/>
                <w:bCs/>
                <w:sz w:val="20"/>
                <w:szCs w:val="20"/>
              </w:rPr>
            </w:pPr>
            <w:r w:rsidRPr="00172D2D">
              <w:rPr>
                <w:rFonts w:cs="Arial"/>
                <w:b/>
                <w:bCs/>
                <w:sz w:val="20"/>
                <w:szCs w:val="20"/>
              </w:rPr>
              <w:t xml:space="preserve">Objective 1 - </w:t>
            </w:r>
            <w:r w:rsidRPr="00172D2D">
              <w:rPr>
                <w:rFonts w:cs="Arial"/>
                <w:sz w:val="20"/>
                <w:szCs w:val="20"/>
              </w:rPr>
              <w:t>The fishery is conducted in a manner that does not threaten bycatch</w:t>
            </w:r>
            <w:r w:rsidR="005E11B6">
              <w:rPr>
                <w:rFonts w:cs="Arial"/>
                <w:sz w:val="20"/>
                <w:szCs w:val="20"/>
              </w:rPr>
              <w:t xml:space="preserve"> </w:t>
            </w:r>
            <w:r w:rsidRPr="00172D2D">
              <w:rPr>
                <w:rFonts w:cs="Arial"/>
                <w:sz w:val="20"/>
                <w:szCs w:val="20"/>
              </w:rPr>
              <w:t>species.</w:t>
            </w:r>
          </w:p>
        </w:tc>
      </w:tr>
      <w:tr w:rsidR="00B16E10" w:rsidRPr="00172D2D" w14:paraId="229A4338" w14:textId="77777777" w:rsidTr="005E11B6">
        <w:tc>
          <w:tcPr>
            <w:tcW w:w="2500" w:type="pct"/>
            <w:gridSpan w:val="2"/>
            <w:shd w:val="clear" w:color="auto" w:fill="E5DFEC"/>
          </w:tcPr>
          <w:p w14:paraId="229A4337" w14:textId="77777777" w:rsidR="00B16E10" w:rsidRPr="00172D2D" w:rsidRDefault="00B16E10" w:rsidP="00172D2D">
            <w:pPr>
              <w:spacing w:before="60" w:after="60" w:line="240" w:lineRule="auto"/>
              <w:rPr>
                <w:rFonts w:cs="Arial"/>
                <w:b/>
                <w:bCs/>
                <w:i/>
                <w:iCs/>
                <w:sz w:val="20"/>
                <w:szCs w:val="20"/>
              </w:rPr>
            </w:pPr>
            <w:r w:rsidRPr="00172D2D">
              <w:rPr>
                <w:rFonts w:cs="Arial"/>
                <w:b/>
                <w:bCs/>
                <w:i/>
                <w:iCs/>
                <w:sz w:val="20"/>
                <w:szCs w:val="20"/>
              </w:rPr>
              <w:t>Information requirements</w:t>
            </w:r>
          </w:p>
        </w:tc>
      </w:tr>
      <w:tr w:rsidR="008925B9" w:rsidRPr="00172D2D" w14:paraId="229A433F" w14:textId="77777777" w:rsidTr="005E11B6">
        <w:tc>
          <w:tcPr>
            <w:tcW w:w="2500" w:type="pct"/>
          </w:tcPr>
          <w:p w14:paraId="229A433A" w14:textId="04537431" w:rsidR="008925B9" w:rsidRPr="005E11B6" w:rsidRDefault="008925B9" w:rsidP="00172D2D">
            <w:pPr>
              <w:autoSpaceDE w:val="0"/>
              <w:autoSpaceDN w:val="0"/>
              <w:adjustRightInd w:val="0"/>
              <w:spacing w:before="60" w:after="60" w:line="240" w:lineRule="auto"/>
              <w:rPr>
                <w:rFonts w:cs="Arial"/>
                <w:sz w:val="20"/>
                <w:szCs w:val="20"/>
              </w:rPr>
            </w:pPr>
            <w:r w:rsidRPr="00172D2D">
              <w:rPr>
                <w:rFonts w:cs="Arial"/>
                <w:b/>
                <w:bCs/>
                <w:i/>
                <w:iCs/>
                <w:sz w:val="20"/>
                <w:szCs w:val="20"/>
              </w:rPr>
              <w:t xml:space="preserve">2.1.1 </w:t>
            </w:r>
            <w:r w:rsidRPr="00172D2D">
              <w:rPr>
                <w:rFonts w:cs="Arial"/>
                <w:sz w:val="20"/>
                <w:szCs w:val="20"/>
              </w:rPr>
              <w:t>Reliable information, appropriate to the scale of the fishery, is collected on the composition and abundance of bycatch</w:t>
            </w:r>
            <w:r w:rsidR="005E11B6">
              <w:rPr>
                <w:rFonts w:cs="Arial"/>
                <w:sz w:val="20"/>
                <w:szCs w:val="20"/>
              </w:rPr>
              <w:t>.</w:t>
            </w:r>
          </w:p>
        </w:tc>
        <w:tc>
          <w:tcPr>
            <w:tcW w:w="2500" w:type="pct"/>
            <w:shd w:val="clear" w:color="auto" w:fill="92D050"/>
          </w:tcPr>
          <w:p w14:paraId="229A433E" w14:textId="027A5EE0" w:rsidR="008925B9" w:rsidRPr="00172D2D" w:rsidRDefault="008925B9" w:rsidP="00172D2D">
            <w:pPr>
              <w:spacing w:before="60" w:after="60" w:line="240" w:lineRule="auto"/>
              <w:rPr>
                <w:rFonts w:cs="Arial"/>
                <w:sz w:val="20"/>
                <w:szCs w:val="20"/>
                <w:highlight w:val="yellow"/>
              </w:rPr>
            </w:pPr>
            <w:r w:rsidRPr="00172D2D">
              <w:rPr>
                <w:rFonts w:cs="Arial"/>
                <w:sz w:val="20"/>
                <w:szCs w:val="20"/>
              </w:rPr>
              <w:t>Yes, mandatory daily logbooks, data summarised in annual reports.</w:t>
            </w:r>
          </w:p>
        </w:tc>
      </w:tr>
      <w:tr w:rsidR="00B16E10" w:rsidRPr="00172D2D" w14:paraId="229A4341" w14:textId="77777777" w:rsidTr="005E11B6">
        <w:tc>
          <w:tcPr>
            <w:tcW w:w="2500" w:type="pct"/>
            <w:gridSpan w:val="2"/>
            <w:shd w:val="clear" w:color="auto" w:fill="E5DFEC"/>
          </w:tcPr>
          <w:p w14:paraId="229A4340" w14:textId="77777777" w:rsidR="00B16E10" w:rsidRPr="00172D2D" w:rsidRDefault="00B16E10" w:rsidP="00172D2D">
            <w:pPr>
              <w:spacing w:before="60" w:after="60" w:line="240" w:lineRule="auto"/>
              <w:rPr>
                <w:rFonts w:cs="Arial"/>
                <w:b/>
                <w:bCs/>
                <w:i/>
                <w:iCs/>
                <w:sz w:val="20"/>
                <w:szCs w:val="20"/>
              </w:rPr>
            </w:pPr>
            <w:r w:rsidRPr="00172D2D">
              <w:rPr>
                <w:rFonts w:cs="Arial"/>
                <w:b/>
                <w:bCs/>
                <w:i/>
                <w:iCs/>
                <w:sz w:val="20"/>
                <w:szCs w:val="20"/>
              </w:rPr>
              <w:t>Assessments</w:t>
            </w:r>
          </w:p>
        </w:tc>
      </w:tr>
      <w:tr w:rsidR="008925B9" w:rsidRPr="00172D2D" w14:paraId="229A4349" w14:textId="77777777" w:rsidTr="005E11B6">
        <w:tc>
          <w:tcPr>
            <w:tcW w:w="2500" w:type="pct"/>
          </w:tcPr>
          <w:p w14:paraId="229A4344" w14:textId="510D6AA6" w:rsidR="008925B9" w:rsidRPr="005E11B6" w:rsidRDefault="008925B9" w:rsidP="005E11B6">
            <w:pPr>
              <w:autoSpaceDE w:val="0"/>
              <w:autoSpaceDN w:val="0"/>
              <w:adjustRightInd w:val="0"/>
              <w:spacing w:before="60" w:after="60" w:line="240" w:lineRule="auto"/>
              <w:rPr>
                <w:rFonts w:cs="Arial"/>
                <w:sz w:val="20"/>
                <w:szCs w:val="20"/>
              </w:rPr>
            </w:pPr>
            <w:r w:rsidRPr="00172D2D">
              <w:rPr>
                <w:rFonts w:cs="Arial"/>
                <w:b/>
                <w:bCs/>
                <w:i/>
                <w:iCs/>
                <w:sz w:val="20"/>
                <w:szCs w:val="20"/>
              </w:rPr>
              <w:lastRenderedPageBreak/>
              <w:t xml:space="preserve">2.1.2 </w:t>
            </w:r>
            <w:r w:rsidRPr="00172D2D">
              <w:rPr>
                <w:rFonts w:cs="Arial"/>
                <w:sz w:val="20"/>
                <w:szCs w:val="20"/>
              </w:rPr>
              <w:t>There is a risk analysis of the bycatch with respect to its vulnerability to</w:t>
            </w:r>
            <w:r w:rsidR="005E11B6">
              <w:rPr>
                <w:rFonts w:cs="Arial"/>
                <w:sz w:val="20"/>
                <w:szCs w:val="20"/>
              </w:rPr>
              <w:t xml:space="preserve"> </w:t>
            </w:r>
            <w:r w:rsidRPr="00172D2D">
              <w:rPr>
                <w:rFonts w:cs="Arial"/>
                <w:sz w:val="20"/>
                <w:szCs w:val="20"/>
              </w:rPr>
              <w:t>fishing.</w:t>
            </w:r>
          </w:p>
        </w:tc>
        <w:tc>
          <w:tcPr>
            <w:tcW w:w="2500" w:type="pct"/>
            <w:shd w:val="clear" w:color="auto" w:fill="92D050"/>
          </w:tcPr>
          <w:p w14:paraId="229A4348" w14:textId="44482186" w:rsidR="008925B9" w:rsidRPr="00172D2D" w:rsidRDefault="008925B9" w:rsidP="00172D2D">
            <w:pPr>
              <w:spacing w:before="60" w:after="60" w:line="240" w:lineRule="auto"/>
              <w:rPr>
                <w:rFonts w:cs="Arial"/>
                <w:sz w:val="20"/>
                <w:szCs w:val="20"/>
              </w:rPr>
            </w:pPr>
            <w:r w:rsidRPr="00172D2D">
              <w:rPr>
                <w:rFonts w:cs="Arial"/>
                <w:sz w:val="20"/>
                <w:szCs w:val="20"/>
              </w:rPr>
              <w:t>Bycatch very low, given specificity of method, most released alive.</w:t>
            </w:r>
          </w:p>
        </w:tc>
      </w:tr>
      <w:tr w:rsidR="00B16E10" w:rsidRPr="00172D2D" w14:paraId="229A434B" w14:textId="77777777" w:rsidTr="005E11B6">
        <w:tc>
          <w:tcPr>
            <w:tcW w:w="2500" w:type="pct"/>
            <w:gridSpan w:val="2"/>
            <w:shd w:val="clear" w:color="auto" w:fill="E5DFEC"/>
          </w:tcPr>
          <w:p w14:paraId="229A434A" w14:textId="77777777" w:rsidR="00B16E10" w:rsidRPr="00172D2D" w:rsidRDefault="00B16E10" w:rsidP="00172D2D">
            <w:pPr>
              <w:spacing w:before="60" w:after="60" w:line="240" w:lineRule="auto"/>
              <w:rPr>
                <w:rFonts w:cs="Arial"/>
                <w:b/>
                <w:bCs/>
                <w:i/>
                <w:iCs/>
                <w:sz w:val="20"/>
                <w:szCs w:val="20"/>
              </w:rPr>
            </w:pPr>
            <w:r w:rsidRPr="00172D2D">
              <w:rPr>
                <w:rFonts w:cs="Arial"/>
                <w:b/>
                <w:bCs/>
                <w:i/>
                <w:iCs/>
                <w:sz w:val="20"/>
                <w:szCs w:val="20"/>
              </w:rPr>
              <w:t>Management responses</w:t>
            </w:r>
          </w:p>
        </w:tc>
      </w:tr>
      <w:tr w:rsidR="008925B9" w:rsidRPr="00172D2D" w14:paraId="229A4352" w14:textId="77777777" w:rsidTr="005E11B6">
        <w:tc>
          <w:tcPr>
            <w:tcW w:w="2500" w:type="pct"/>
          </w:tcPr>
          <w:p w14:paraId="229A434D" w14:textId="37D83F46" w:rsidR="008925B9" w:rsidRPr="005E11B6" w:rsidRDefault="008925B9" w:rsidP="00172D2D">
            <w:pPr>
              <w:autoSpaceDE w:val="0"/>
              <w:autoSpaceDN w:val="0"/>
              <w:adjustRightInd w:val="0"/>
              <w:spacing w:before="60" w:after="60" w:line="240" w:lineRule="auto"/>
              <w:rPr>
                <w:rFonts w:cs="Arial"/>
                <w:sz w:val="20"/>
                <w:szCs w:val="20"/>
              </w:rPr>
            </w:pPr>
            <w:r w:rsidRPr="00172D2D">
              <w:rPr>
                <w:rFonts w:cs="Arial"/>
                <w:b/>
                <w:bCs/>
                <w:i/>
                <w:iCs/>
                <w:sz w:val="20"/>
                <w:szCs w:val="20"/>
              </w:rPr>
              <w:t xml:space="preserve">2.1.3 </w:t>
            </w:r>
            <w:r w:rsidRPr="00172D2D">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w:t>
            </w:r>
            <w:r w:rsidR="005E11B6">
              <w:rPr>
                <w:rFonts w:cs="Arial"/>
                <w:sz w:val="20"/>
                <w:szCs w:val="20"/>
              </w:rPr>
              <w:t xml:space="preserve">chnology if none is available. </w:t>
            </w:r>
          </w:p>
        </w:tc>
        <w:tc>
          <w:tcPr>
            <w:tcW w:w="2500" w:type="pct"/>
            <w:shd w:val="clear" w:color="auto" w:fill="auto"/>
          </w:tcPr>
          <w:p w14:paraId="229A4351" w14:textId="2749BD91" w:rsidR="008925B9" w:rsidRPr="00172D2D" w:rsidRDefault="008925B9" w:rsidP="00172D2D">
            <w:pPr>
              <w:spacing w:before="60" w:after="60" w:line="240" w:lineRule="auto"/>
              <w:rPr>
                <w:rFonts w:cs="Arial"/>
                <w:sz w:val="20"/>
                <w:szCs w:val="20"/>
                <w:highlight w:val="yellow"/>
              </w:rPr>
            </w:pPr>
            <w:r w:rsidRPr="005E11B6">
              <w:rPr>
                <w:rFonts w:cs="Arial"/>
                <w:sz w:val="20"/>
                <w:szCs w:val="20"/>
              </w:rPr>
              <w:t>Not required as bycatch minimal.</w:t>
            </w:r>
          </w:p>
        </w:tc>
      </w:tr>
      <w:tr w:rsidR="008925B9" w:rsidRPr="00172D2D" w14:paraId="229A4359" w14:textId="77777777" w:rsidTr="005E11B6">
        <w:tc>
          <w:tcPr>
            <w:tcW w:w="2500" w:type="pct"/>
          </w:tcPr>
          <w:p w14:paraId="229A4354" w14:textId="5E2F3649" w:rsidR="008925B9" w:rsidRPr="00172D2D" w:rsidRDefault="008925B9" w:rsidP="005E11B6">
            <w:pPr>
              <w:autoSpaceDE w:val="0"/>
              <w:autoSpaceDN w:val="0"/>
              <w:adjustRightInd w:val="0"/>
              <w:spacing w:before="60" w:after="60" w:line="240" w:lineRule="auto"/>
              <w:rPr>
                <w:rFonts w:cs="Arial"/>
                <w:b/>
                <w:bCs/>
                <w:i/>
                <w:iCs/>
                <w:sz w:val="20"/>
                <w:szCs w:val="20"/>
              </w:rPr>
            </w:pPr>
            <w:r w:rsidRPr="00172D2D">
              <w:rPr>
                <w:rFonts w:cs="Arial"/>
                <w:b/>
                <w:bCs/>
                <w:i/>
                <w:iCs/>
                <w:sz w:val="20"/>
                <w:szCs w:val="20"/>
              </w:rPr>
              <w:t xml:space="preserve">2.1.4 </w:t>
            </w:r>
            <w:r w:rsidRPr="00172D2D">
              <w:rPr>
                <w:rFonts w:cs="Arial"/>
                <w:sz w:val="20"/>
                <w:szCs w:val="20"/>
              </w:rPr>
              <w:t xml:space="preserve">An indicator group of bycatch species is monitored. </w:t>
            </w:r>
          </w:p>
        </w:tc>
        <w:tc>
          <w:tcPr>
            <w:tcW w:w="2500" w:type="pct"/>
            <w:shd w:val="clear" w:color="auto" w:fill="auto"/>
          </w:tcPr>
          <w:p w14:paraId="229A4358" w14:textId="0EE63537" w:rsidR="008925B9" w:rsidRPr="00172D2D" w:rsidRDefault="008925B9" w:rsidP="00172D2D">
            <w:pPr>
              <w:spacing w:before="60" w:after="60" w:line="240" w:lineRule="auto"/>
              <w:rPr>
                <w:rFonts w:cs="Arial"/>
                <w:sz w:val="20"/>
                <w:szCs w:val="20"/>
                <w:highlight w:val="yellow"/>
              </w:rPr>
            </w:pPr>
            <w:r w:rsidRPr="00172D2D">
              <w:rPr>
                <w:rFonts w:cs="Arial"/>
                <w:sz w:val="20"/>
                <w:szCs w:val="20"/>
              </w:rPr>
              <w:t>Not required</w:t>
            </w:r>
          </w:p>
        </w:tc>
      </w:tr>
      <w:tr w:rsidR="008925B9" w:rsidRPr="00172D2D" w14:paraId="229A4361" w14:textId="77777777" w:rsidTr="005E11B6">
        <w:tc>
          <w:tcPr>
            <w:tcW w:w="2500" w:type="pct"/>
          </w:tcPr>
          <w:p w14:paraId="229A435C" w14:textId="4C988F4E" w:rsidR="008925B9" w:rsidRPr="00172D2D" w:rsidRDefault="008925B9" w:rsidP="005E11B6">
            <w:pPr>
              <w:autoSpaceDE w:val="0"/>
              <w:autoSpaceDN w:val="0"/>
              <w:adjustRightInd w:val="0"/>
              <w:spacing w:before="60" w:after="60" w:line="240" w:lineRule="auto"/>
              <w:rPr>
                <w:rFonts w:cs="Arial"/>
                <w:b/>
                <w:bCs/>
                <w:i/>
                <w:iCs/>
                <w:sz w:val="20"/>
                <w:szCs w:val="20"/>
              </w:rPr>
            </w:pPr>
            <w:r w:rsidRPr="00172D2D">
              <w:rPr>
                <w:rFonts w:cs="Arial"/>
                <w:b/>
                <w:bCs/>
                <w:i/>
                <w:iCs/>
                <w:sz w:val="20"/>
                <w:szCs w:val="20"/>
              </w:rPr>
              <w:t xml:space="preserve">2.1.5 </w:t>
            </w:r>
            <w:r w:rsidRPr="00172D2D">
              <w:rPr>
                <w:rFonts w:cs="Arial"/>
                <w:sz w:val="20"/>
                <w:szCs w:val="20"/>
              </w:rPr>
              <w:t>There are decision rules that trigger additional management measures when there are significant perturbations in the indicator species numbers</w:t>
            </w:r>
            <w:r w:rsidRPr="00172D2D">
              <w:rPr>
                <w:rFonts w:cs="Arial"/>
                <w:i/>
                <w:iCs/>
                <w:sz w:val="20"/>
                <w:szCs w:val="20"/>
              </w:rPr>
              <w:t xml:space="preserve">. </w:t>
            </w:r>
          </w:p>
        </w:tc>
        <w:tc>
          <w:tcPr>
            <w:tcW w:w="2500" w:type="pct"/>
            <w:shd w:val="clear" w:color="auto" w:fill="auto"/>
          </w:tcPr>
          <w:p w14:paraId="229A4360" w14:textId="3FD17745" w:rsidR="008925B9" w:rsidRPr="00172D2D" w:rsidRDefault="008925B9" w:rsidP="00172D2D">
            <w:pPr>
              <w:spacing w:before="60" w:after="60" w:line="240" w:lineRule="auto"/>
              <w:rPr>
                <w:rFonts w:cs="Arial"/>
                <w:sz w:val="20"/>
                <w:szCs w:val="20"/>
              </w:rPr>
            </w:pPr>
            <w:r w:rsidRPr="00172D2D">
              <w:rPr>
                <w:rFonts w:cs="Arial"/>
                <w:sz w:val="20"/>
                <w:szCs w:val="20"/>
              </w:rPr>
              <w:t>Not required</w:t>
            </w:r>
          </w:p>
        </w:tc>
      </w:tr>
      <w:tr w:rsidR="008925B9" w:rsidRPr="00172D2D" w14:paraId="229A4368" w14:textId="77777777" w:rsidTr="005E11B6">
        <w:tc>
          <w:tcPr>
            <w:tcW w:w="2500" w:type="pct"/>
          </w:tcPr>
          <w:p w14:paraId="229A4363" w14:textId="34922E01" w:rsidR="008925B9" w:rsidRPr="00172D2D" w:rsidRDefault="008925B9" w:rsidP="005E11B6">
            <w:pPr>
              <w:autoSpaceDE w:val="0"/>
              <w:autoSpaceDN w:val="0"/>
              <w:adjustRightInd w:val="0"/>
              <w:spacing w:before="60" w:after="60" w:line="240" w:lineRule="auto"/>
              <w:rPr>
                <w:rFonts w:cs="Arial"/>
                <w:b/>
                <w:bCs/>
                <w:i/>
                <w:iCs/>
                <w:sz w:val="20"/>
                <w:szCs w:val="20"/>
              </w:rPr>
            </w:pPr>
            <w:r w:rsidRPr="00172D2D">
              <w:rPr>
                <w:rFonts w:cs="Arial"/>
                <w:b/>
                <w:bCs/>
                <w:i/>
                <w:iCs/>
                <w:sz w:val="20"/>
                <w:szCs w:val="20"/>
              </w:rPr>
              <w:t xml:space="preserve">2.1.6 </w:t>
            </w:r>
            <w:r w:rsidRPr="00172D2D">
              <w:rPr>
                <w:rFonts w:cs="Arial"/>
                <w:sz w:val="20"/>
                <w:szCs w:val="20"/>
              </w:rPr>
              <w:t>The management response, considering uncertainties in the assessment and precautionary management actions, has a high chance of achieving the objective.</w:t>
            </w:r>
          </w:p>
        </w:tc>
        <w:tc>
          <w:tcPr>
            <w:tcW w:w="2500" w:type="pct"/>
            <w:shd w:val="clear" w:color="auto" w:fill="auto"/>
          </w:tcPr>
          <w:p w14:paraId="229A4367" w14:textId="27F2146F" w:rsidR="008925B9" w:rsidRPr="00172D2D" w:rsidRDefault="008925B9" w:rsidP="005E11B6">
            <w:pPr>
              <w:spacing w:before="60" w:after="60" w:line="240" w:lineRule="auto"/>
              <w:rPr>
                <w:rFonts w:cs="Arial"/>
                <w:sz w:val="20"/>
                <w:szCs w:val="20"/>
              </w:rPr>
            </w:pPr>
            <w:r w:rsidRPr="005E11B6">
              <w:rPr>
                <w:rFonts w:cs="Arial"/>
                <w:sz w:val="20"/>
                <w:szCs w:val="20"/>
              </w:rPr>
              <w:t>Not applicable.</w:t>
            </w:r>
          </w:p>
        </w:tc>
      </w:tr>
      <w:tr w:rsidR="004F1428" w:rsidRPr="00172D2D" w14:paraId="229A436A" w14:textId="77777777" w:rsidTr="005E11B6">
        <w:tc>
          <w:tcPr>
            <w:tcW w:w="2500" w:type="pct"/>
            <w:gridSpan w:val="2"/>
            <w:shd w:val="clear" w:color="auto" w:fill="CCC0D9"/>
          </w:tcPr>
          <w:p w14:paraId="229A4369" w14:textId="77777777" w:rsidR="004F1428" w:rsidRPr="00172D2D" w:rsidRDefault="004F1428" w:rsidP="00172D2D">
            <w:pPr>
              <w:spacing w:before="60" w:after="60" w:line="240" w:lineRule="auto"/>
              <w:rPr>
                <w:rFonts w:cs="Arial"/>
                <w:b/>
                <w:bCs/>
                <w:sz w:val="20"/>
                <w:szCs w:val="20"/>
              </w:rPr>
            </w:pPr>
            <w:r w:rsidRPr="00172D2D">
              <w:rPr>
                <w:rFonts w:cs="Arial"/>
                <w:b/>
                <w:bCs/>
                <w:sz w:val="20"/>
                <w:szCs w:val="20"/>
              </w:rPr>
              <w:t xml:space="preserve">Objective 2 - </w:t>
            </w:r>
            <w:r w:rsidRPr="00172D2D">
              <w:rPr>
                <w:rFonts w:cs="Arial"/>
                <w:sz w:val="20"/>
                <w:szCs w:val="20"/>
              </w:rPr>
              <w:t>The fishery is conducted in a manner that avoids mortality of, or injuries to, endangered, threatened or protected species and avoids or minimises impacts on threatened ecological communities.</w:t>
            </w:r>
          </w:p>
        </w:tc>
      </w:tr>
      <w:tr w:rsidR="004F1428" w:rsidRPr="00172D2D" w14:paraId="229A436C" w14:textId="77777777" w:rsidTr="005E11B6">
        <w:tc>
          <w:tcPr>
            <w:tcW w:w="2500" w:type="pct"/>
            <w:gridSpan w:val="2"/>
            <w:shd w:val="clear" w:color="auto" w:fill="E5DFEC"/>
          </w:tcPr>
          <w:p w14:paraId="229A436B" w14:textId="769C04FA" w:rsidR="004F1428" w:rsidRPr="00172D2D" w:rsidRDefault="004F1428" w:rsidP="00172D2D">
            <w:pPr>
              <w:spacing w:before="60" w:after="60" w:line="240" w:lineRule="auto"/>
              <w:rPr>
                <w:rFonts w:cs="Arial"/>
                <w:sz w:val="20"/>
                <w:szCs w:val="20"/>
              </w:rPr>
            </w:pPr>
            <w:r w:rsidRPr="00172D2D">
              <w:rPr>
                <w:rFonts w:cs="Arial"/>
                <w:b/>
                <w:bCs/>
                <w:i/>
                <w:iCs/>
                <w:sz w:val="20"/>
                <w:szCs w:val="20"/>
              </w:rPr>
              <w:t xml:space="preserve">Information requirements </w:t>
            </w:r>
          </w:p>
        </w:tc>
      </w:tr>
      <w:tr w:rsidR="008925B9" w:rsidRPr="00172D2D" w14:paraId="229A4373" w14:textId="77777777" w:rsidTr="005E11B6">
        <w:tc>
          <w:tcPr>
            <w:tcW w:w="2500" w:type="pct"/>
          </w:tcPr>
          <w:p w14:paraId="229A436E" w14:textId="2FB1D6FF" w:rsidR="008925B9" w:rsidRPr="00172D2D" w:rsidRDefault="008925B9" w:rsidP="005E11B6">
            <w:pPr>
              <w:autoSpaceDE w:val="0"/>
              <w:autoSpaceDN w:val="0"/>
              <w:adjustRightInd w:val="0"/>
              <w:spacing w:before="60" w:after="60" w:line="240" w:lineRule="auto"/>
              <w:rPr>
                <w:rFonts w:cs="Arial"/>
                <w:b/>
                <w:i/>
                <w:sz w:val="20"/>
                <w:szCs w:val="20"/>
              </w:rPr>
            </w:pPr>
            <w:r w:rsidRPr="00172D2D">
              <w:rPr>
                <w:rFonts w:cs="Arial"/>
                <w:b/>
                <w:bCs/>
                <w:i/>
                <w:iCs/>
                <w:sz w:val="20"/>
                <w:szCs w:val="20"/>
              </w:rPr>
              <w:t xml:space="preserve">2.2.1 </w:t>
            </w:r>
            <w:r w:rsidRPr="00172D2D">
              <w:rPr>
                <w:rFonts w:cs="Arial"/>
                <w:sz w:val="20"/>
                <w:szCs w:val="20"/>
              </w:rPr>
              <w:t xml:space="preserve">Reliable information is collected on the interaction with endangered, threatened or protected species and threatened ecological communities. </w:t>
            </w:r>
          </w:p>
        </w:tc>
        <w:tc>
          <w:tcPr>
            <w:tcW w:w="2500" w:type="pct"/>
            <w:shd w:val="clear" w:color="auto" w:fill="92D050"/>
          </w:tcPr>
          <w:p w14:paraId="229A4372" w14:textId="02CAF2AF" w:rsidR="008925B9" w:rsidRPr="00172D2D" w:rsidRDefault="008925B9" w:rsidP="00172D2D">
            <w:pPr>
              <w:spacing w:before="60" w:after="60" w:line="240" w:lineRule="auto"/>
              <w:rPr>
                <w:rFonts w:cs="Arial"/>
                <w:sz w:val="20"/>
                <w:szCs w:val="20"/>
              </w:rPr>
            </w:pPr>
            <w:r w:rsidRPr="00172D2D">
              <w:rPr>
                <w:rFonts w:cs="Arial"/>
                <w:sz w:val="20"/>
                <w:szCs w:val="20"/>
              </w:rPr>
              <w:t>Interactions reported in mandatory daily logbooks, however none recorded since 2007.</w:t>
            </w:r>
          </w:p>
        </w:tc>
      </w:tr>
      <w:tr w:rsidR="004F1428" w:rsidRPr="00172D2D" w14:paraId="229A4375" w14:textId="77777777" w:rsidTr="005E11B6">
        <w:tc>
          <w:tcPr>
            <w:tcW w:w="2500" w:type="pct"/>
            <w:gridSpan w:val="2"/>
            <w:shd w:val="clear" w:color="auto" w:fill="E5DFEC"/>
          </w:tcPr>
          <w:p w14:paraId="229A4374" w14:textId="77777777" w:rsidR="004F1428" w:rsidRPr="00172D2D" w:rsidRDefault="004F1428" w:rsidP="00172D2D">
            <w:pPr>
              <w:spacing w:before="60" w:after="60" w:line="240" w:lineRule="auto"/>
              <w:rPr>
                <w:rFonts w:cs="Arial"/>
                <w:b/>
                <w:bCs/>
                <w:i/>
                <w:iCs/>
                <w:sz w:val="20"/>
                <w:szCs w:val="20"/>
              </w:rPr>
            </w:pPr>
            <w:r w:rsidRPr="00172D2D">
              <w:rPr>
                <w:rFonts w:cs="Arial"/>
                <w:b/>
                <w:bCs/>
                <w:i/>
                <w:iCs/>
                <w:sz w:val="20"/>
                <w:szCs w:val="20"/>
              </w:rPr>
              <w:t xml:space="preserve">Assessments </w:t>
            </w:r>
          </w:p>
        </w:tc>
      </w:tr>
      <w:tr w:rsidR="008925B9" w:rsidRPr="00172D2D" w14:paraId="229A437C" w14:textId="77777777" w:rsidTr="005E11B6">
        <w:tc>
          <w:tcPr>
            <w:tcW w:w="2500" w:type="pct"/>
          </w:tcPr>
          <w:p w14:paraId="229A4377" w14:textId="7C468827" w:rsidR="008925B9" w:rsidRPr="00172D2D" w:rsidRDefault="008925B9" w:rsidP="005E11B6">
            <w:pPr>
              <w:autoSpaceDE w:val="0"/>
              <w:autoSpaceDN w:val="0"/>
              <w:adjustRightInd w:val="0"/>
              <w:spacing w:before="60" w:after="60" w:line="240" w:lineRule="auto"/>
              <w:rPr>
                <w:rFonts w:cs="Arial"/>
                <w:b/>
                <w:bCs/>
                <w:i/>
                <w:iCs/>
                <w:sz w:val="20"/>
                <w:szCs w:val="20"/>
              </w:rPr>
            </w:pPr>
            <w:r w:rsidRPr="00172D2D">
              <w:rPr>
                <w:rFonts w:cs="Arial"/>
                <w:b/>
                <w:bCs/>
                <w:i/>
                <w:iCs/>
                <w:sz w:val="20"/>
                <w:szCs w:val="20"/>
              </w:rPr>
              <w:t xml:space="preserve">2.2.2 </w:t>
            </w:r>
            <w:r w:rsidRPr="00172D2D">
              <w:rPr>
                <w:rFonts w:cs="Arial"/>
                <w:sz w:val="20"/>
                <w:szCs w:val="20"/>
              </w:rPr>
              <w:t xml:space="preserve">There is an assessment of the impact of the fishery on endangered, threatened or protected species. </w:t>
            </w:r>
          </w:p>
        </w:tc>
        <w:tc>
          <w:tcPr>
            <w:tcW w:w="2500" w:type="pct"/>
            <w:shd w:val="clear" w:color="auto" w:fill="auto"/>
          </w:tcPr>
          <w:p w14:paraId="229A437B" w14:textId="76632F99" w:rsidR="008925B9" w:rsidRPr="00172D2D" w:rsidRDefault="008925B9" w:rsidP="00172D2D">
            <w:pPr>
              <w:spacing w:before="60" w:after="60" w:line="240" w:lineRule="auto"/>
              <w:rPr>
                <w:rFonts w:cs="Arial"/>
                <w:sz w:val="20"/>
                <w:szCs w:val="20"/>
              </w:rPr>
            </w:pPr>
            <w:r w:rsidRPr="00172D2D">
              <w:rPr>
                <w:rFonts w:cs="Arial"/>
                <w:sz w:val="20"/>
                <w:szCs w:val="20"/>
              </w:rPr>
              <w:t>Not considered necessary given absence of interactions to date and low impact method of fishing with sea lion exclusion devices (SLEDs) required in waters less than 100m in the rock lobster fishery.</w:t>
            </w:r>
          </w:p>
        </w:tc>
      </w:tr>
      <w:tr w:rsidR="008925B9" w:rsidRPr="00172D2D" w14:paraId="229A4383" w14:textId="77777777" w:rsidTr="005E11B6">
        <w:tc>
          <w:tcPr>
            <w:tcW w:w="2500" w:type="pct"/>
          </w:tcPr>
          <w:p w14:paraId="229A437E" w14:textId="14291CAC" w:rsidR="008925B9" w:rsidRPr="00172D2D" w:rsidRDefault="008925B9" w:rsidP="005E11B6">
            <w:pPr>
              <w:autoSpaceDE w:val="0"/>
              <w:autoSpaceDN w:val="0"/>
              <w:adjustRightInd w:val="0"/>
              <w:spacing w:before="60" w:after="60" w:line="240" w:lineRule="auto"/>
              <w:rPr>
                <w:rFonts w:cs="Arial"/>
                <w:b/>
                <w:bCs/>
                <w:i/>
                <w:iCs/>
                <w:sz w:val="20"/>
                <w:szCs w:val="20"/>
              </w:rPr>
            </w:pPr>
            <w:r w:rsidRPr="00172D2D">
              <w:rPr>
                <w:rFonts w:cs="Arial"/>
                <w:b/>
                <w:bCs/>
                <w:i/>
                <w:iCs/>
                <w:sz w:val="20"/>
                <w:szCs w:val="20"/>
              </w:rPr>
              <w:t xml:space="preserve">2.2.3 </w:t>
            </w:r>
            <w:r w:rsidRPr="00172D2D">
              <w:rPr>
                <w:rFonts w:cs="Arial"/>
                <w:sz w:val="20"/>
                <w:szCs w:val="20"/>
              </w:rPr>
              <w:t xml:space="preserve">There is an assessment of the impact of the fishery on threatened ecological communities. </w:t>
            </w:r>
          </w:p>
        </w:tc>
        <w:tc>
          <w:tcPr>
            <w:tcW w:w="2500" w:type="pct"/>
            <w:shd w:val="clear" w:color="auto" w:fill="auto"/>
          </w:tcPr>
          <w:p w14:paraId="229A4382" w14:textId="3BD7A062" w:rsidR="008925B9" w:rsidRPr="00172D2D" w:rsidRDefault="008925B9" w:rsidP="00172D2D">
            <w:pPr>
              <w:spacing w:before="60" w:after="60" w:line="240" w:lineRule="auto"/>
              <w:rPr>
                <w:rFonts w:cs="Arial"/>
                <w:sz w:val="20"/>
                <w:szCs w:val="20"/>
              </w:rPr>
            </w:pPr>
            <w:r w:rsidRPr="00172D2D">
              <w:rPr>
                <w:rFonts w:cs="Arial"/>
                <w:sz w:val="20"/>
                <w:szCs w:val="20"/>
              </w:rPr>
              <w:t>Not considered necessary. Only minimal overlap of fishery with EPBC listed Giant Kelp threatened ecological community, listed in August 2012. Trap fishery unlikely to significantly impact benthic habitat.</w:t>
            </w:r>
          </w:p>
        </w:tc>
      </w:tr>
      <w:tr w:rsidR="004F1428" w:rsidRPr="00172D2D" w14:paraId="229A4385" w14:textId="77777777" w:rsidTr="005E11B6">
        <w:tc>
          <w:tcPr>
            <w:tcW w:w="2500" w:type="pct"/>
            <w:gridSpan w:val="2"/>
            <w:shd w:val="clear" w:color="auto" w:fill="E5DFEC"/>
          </w:tcPr>
          <w:p w14:paraId="229A4384" w14:textId="77777777" w:rsidR="004F1428" w:rsidRPr="00172D2D" w:rsidRDefault="004F1428" w:rsidP="00172D2D">
            <w:pPr>
              <w:spacing w:before="60" w:after="60" w:line="240" w:lineRule="auto"/>
              <w:rPr>
                <w:rFonts w:cs="Arial"/>
                <w:b/>
                <w:bCs/>
                <w:i/>
                <w:iCs/>
                <w:sz w:val="20"/>
                <w:szCs w:val="20"/>
              </w:rPr>
            </w:pPr>
            <w:r w:rsidRPr="00172D2D">
              <w:rPr>
                <w:rFonts w:cs="Arial"/>
                <w:b/>
                <w:bCs/>
                <w:i/>
                <w:iCs/>
                <w:sz w:val="20"/>
                <w:szCs w:val="20"/>
              </w:rPr>
              <w:t xml:space="preserve">Management responses </w:t>
            </w:r>
          </w:p>
        </w:tc>
      </w:tr>
      <w:tr w:rsidR="008925B9" w:rsidRPr="00172D2D" w14:paraId="229A438C" w14:textId="77777777" w:rsidTr="005E11B6">
        <w:tc>
          <w:tcPr>
            <w:tcW w:w="2500" w:type="pct"/>
          </w:tcPr>
          <w:p w14:paraId="229A4387" w14:textId="26AFEC6B" w:rsidR="008925B9" w:rsidRPr="00172D2D" w:rsidRDefault="008925B9" w:rsidP="00172D2D">
            <w:pPr>
              <w:autoSpaceDE w:val="0"/>
              <w:autoSpaceDN w:val="0"/>
              <w:adjustRightInd w:val="0"/>
              <w:spacing w:before="60" w:after="60" w:line="240" w:lineRule="auto"/>
              <w:rPr>
                <w:rFonts w:cs="Arial"/>
                <w:b/>
                <w:bCs/>
                <w:i/>
                <w:iCs/>
                <w:sz w:val="20"/>
                <w:szCs w:val="20"/>
              </w:rPr>
            </w:pPr>
            <w:r w:rsidRPr="00172D2D">
              <w:rPr>
                <w:rFonts w:cs="Arial"/>
                <w:b/>
                <w:bCs/>
                <w:i/>
                <w:iCs/>
                <w:sz w:val="20"/>
                <w:szCs w:val="20"/>
              </w:rPr>
              <w:t xml:space="preserve">2.2.4 </w:t>
            </w:r>
            <w:r w:rsidRPr="00172D2D">
              <w:rPr>
                <w:rFonts w:cs="Arial"/>
                <w:sz w:val="20"/>
                <w:szCs w:val="20"/>
              </w:rPr>
              <w:t xml:space="preserve">There are measures in place to avoid capture and/or mortality of endangered, threatened or protected species. </w:t>
            </w:r>
          </w:p>
        </w:tc>
        <w:tc>
          <w:tcPr>
            <w:tcW w:w="2500" w:type="pct"/>
            <w:shd w:val="clear" w:color="auto" w:fill="92D050"/>
          </w:tcPr>
          <w:p w14:paraId="229A438B" w14:textId="161900B5" w:rsidR="008925B9" w:rsidRPr="00172D2D" w:rsidRDefault="008925B9" w:rsidP="00172D2D">
            <w:pPr>
              <w:spacing w:before="60" w:after="60" w:line="240" w:lineRule="auto"/>
              <w:rPr>
                <w:rFonts w:cs="Arial"/>
                <w:sz w:val="20"/>
                <w:szCs w:val="20"/>
                <w:highlight w:val="yellow"/>
              </w:rPr>
            </w:pPr>
            <w:r w:rsidRPr="00172D2D">
              <w:rPr>
                <w:rFonts w:cs="Arial"/>
                <w:sz w:val="20"/>
                <w:szCs w:val="20"/>
              </w:rPr>
              <w:t xml:space="preserve">Yes, where fishing occurs in waters less than 100m within Northern Zone, SLEDs required in pots to mitigate potential risk to Australian sea lions (ASL). </w:t>
            </w:r>
          </w:p>
        </w:tc>
      </w:tr>
      <w:tr w:rsidR="008925B9" w:rsidRPr="00172D2D" w14:paraId="229A4393" w14:textId="77777777" w:rsidTr="005E11B6">
        <w:tc>
          <w:tcPr>
            <w:tcW w:w="2500" w:type="pct"/>
          </w:tcPr>
          <w:p w14:paraId="229A438E" w14:textId="515AF383" w:rsidR="008925B9" w:rsidRPr="00172D2D" w:rsidRDefault="008925B9" w:rsidP="00172D2D">
            <w:pPr>
              <w:autoSpaceDE w:val="0"/>
              <w:autoSpaceDN w:val="0"/>
              <w:adjustRightInd w:val="0"/>
              <w:spacing w:before="60" w:after="60" w:line="240" w:lineRule="auto"/>
              <w:rPr>
                <w:rFonts w:cs="Arial"/>
                <w:b/>
                <w:bCs/>
                <w:i/>
                <w:iCs/>
                <w:sz w:val="20"/>
                <w:szCs w:val="20"/>
              </w:rPr>
            </w:pPr>
            <w:r w:rsidRPr="00172D2D">
              <w:rPr>
                <w:rFonts w:cs="Arial"/>
                <w:b/>
                <w:bCs/>
                <w:i/>
                <w:iCs/>
                <w:sz w:val="20"/>
                <w:szCs w:val="20"/>
              </w:rPr>
              <w:t xml:space="preserve">2.2.5 </w:t>
            </w:r>
            <w:r w:rsidRPr="00172D2D">
              <w:rPr>
                <w:rFonts w:cs="Arial"/>
                <w:sz w:val="20"/>
                <w:szCs w:val="20"/>
              </w:rPr>
              <w:t xml:space="preserve">There are measures in place to avoid impact on threatened ecological communities. </w:t>
            </w:r>
          </w:p>
        </w:tc>
        <w:tc>
          <w:tcPr>
            <w:tcW w:w="2500" w:type="pct"/>
            <w:shd w:val="clear" w:color="auto" w:fill="auto"/>
          </w:tcPr>
          <w:p w14:paraId="229A4392" w14:textId="39689CE0" w:rsidR="008925B9" w:rsidRPr="00172D2D" w:rsidRDefault="008925B9" w:rsidP="00172D2D">
            <w:pPr>
              <w:spacing w:before="60" w:after="60" w:line="240" w:lineRule="auto"/>
              <w:rPr>
                <w:rFonts w:cs="Arial"/>
                <w:sz w:val="20"/>
                <w:szCs w:val="20"/>
              </w:rPr>
            </w:pPr>
            <w:r w:rsidRPr="00172D2D">
              <w:rPr>
                <w:rFonts w:cs="Arial"/>
                <w:sz w:val="20"/>
                <w:szCs w:val="20"/>
              </w:rPr>
              <w:t>Not considered necessary.</w:t>
            </w:r>
          </w:p>
        </w:tc>
      </w:tr>
      <w:tr w:rsidR="008925B9" w:rsidRPr="00172D2D" w14:paraId="229A439A" w14:textId="77777777" w:rsidTr="005E11B6">
        <w:tc>
          <w:tcPr>
            <w:tcW w:w="2500" w:type="pct"/>
          </w:tcPr>
          <w:p w14:paraId="229A4395" w14:textId="051E7CAC" w:rsidR="008925B9" w:rsidRPr="00172D2D" w:rsidRDefault="008925B9" w:rsidP="00172D2D">
            <w:pPr>
              <w:autoSpaceDE w:val="0"/>
              <w:autoSpaceDN w:val="0"/>
              <w:adjustRightInd w:val="0"/>
              <w:spacing w:before="60" w:after="60" w:line="240" w:lineRule="auto"/>
              <w:rPr>
                <w:rFonts w:cs="Arial"/>
                <w:b/>
                <w:bCs/>
                <w:i/>
                <w:iCs/>
                <w:sz w:val="20"/>
                <w:szCs w:val="20"/>
              </w:rPr>
            </w:pPr>
            <w:r w:rsidRPr="00172D2D">
              <w:rPr>
                <w:rFonts w:cs="Arial"/>
                <w:b/>
                <w:bCs/>
                <w:i/>
                <w:iCs/>
                <w:sz w:val="20"/>
                <w:szCs w:val="20"/>
              </w:rPr>
              <w:t xml:space="preserve">2.2.6 </w:t>
            </w:r>
            <w:r w:rsidRPr="00172D2D">
              <w:rPr>
                <w:rFonts w:cs="Arial"/>
                <w:sz w:val="20"/>
                <w:szCs w:val="20"/>
              </w:rPr>
              <w:t xml:space="preserve">The management response, considering uncertainties in the assessment and precautionary management actions, has a high chance of achieving the objective. </w:t>
            </w:r>
          </w:p>
        </w:tc>
        <w:tc>
          <w:tcPr>
            <w:tcW w:w="2500" w:type="pct"/>
            <w:shd w:val="clear" w:color="auto" w:fill="auto"/>
          </w:tcPr>
          <w:p w14:paraId="229A4399" w14:textId="2A31F5A8" w:rsidR="008925B9" w:rsidRPr="00172D2D" w:rsidRDefault="005E11B6" w:rsidP="00172D2D">
            <w:pPr>
              <w:spacing w:before="60" w:after="60" w:line="240" w:lineRule="auto"/>
              <w:rPr>
                <w:rFonts w:cs="Arial"/>
                <w:sz w:val="20"/>
                <w:szCs w:val="20"/>
              </w:rPr>
            </w:pPr>
            <w:r>
              <w:rPr>
                <w:rFonts w:cs="Arial"/>
                <w:sz w:val="20"/>
                <w:szCs w:val="20"/>
              </w:rPr>
              <w:t>Not applicable.</w:t>
            </w:r>
          </w:p>
        </w:tc>
      </w:tr>
      <w:tr w:rsidR="004F1428" w:rsidRPr="00172D2D" w14:paraId="229A439C" w14:textId="77777777" w:rsidTr="005E11B6">
        <w:tc>
          <w:tcPr>
            <w:tcW w:w="2500" w:type="pct"/>
            <w:gridSpan w:val="2"/>
            <w:shd w:val="clear" w:color="auto" w:fill="CCC0D9"/>
          </w:tcPr>
          <w:p w14:paraId="229A439B" w14:textId="77777777" w:rsidR="004F1428" w:rsidRPr="00172D2D" w:rsidRDefault="004F1428" w:rsidP="00172D2D">
            <w:pPr>
              <w:spacing w:before="60" w:after="60" w:line="240" w:lineRule="auto"/>
              <w:rPr>
                <w:rFonts w:cs="Arial"/>
                <w:sz w:val="20"/>
                <w:szCs w:val="20"/>
              </w:rPr>
            </w:pPr>
            <w:r w:rsidRPr="00172D2D">
              <w:rPr>
                <w:rFonts w:cs="Arial"/>
                <w:b/>
                <w:bCs/>
                <w:sz w:val="20"/>
                <w:szCs w:val="20"/>
              </w:rPr>
              <w:lastRenderedPageBreak/>
              <w:t xml:space="preserve">Objective 3 </w:t>
            </w:r>
            <w:r w:rsidR="006777AA" w:rsidRPr="00172D2D">
              <w:rPr>
                <w:rFonts w:cs="Arial"/>
                <w:b/>
                <w:bCs/>
                <w:sz w:val="20"/>
                <w:szCs w:val="20"/>
              </w:rPr>
              <w:t>- The</w:t>
            </w:r>
            <w:r w:rsidRPr="00172D2D">
              <w:rPr>
                <w:rFonts w:cs="Arial"/>
                <w:sz w:val="20"/>
                <w:szCs w:val="20"/>
              </w:rPr>
              <w:t xml:space="preserve"> fishery is conducted, in a manner that minimises the impact of fishing operations on the ecosystem generally.</w:t>
            </w:r>
          </w:p>
        </w:tc>
      </w:tr>
      <w:tr w:rsidR="004F1428" w:rsidRPr="00172D2D" w14:paraId="229A439E" w14:textId="77777777" w:rsidTr="005E11B6">
        <w:tc>
          <w:tcPr>
            <w:tcW w:w="2500" w:type="pct"/>
            <w:gridSpan w:val="2"/>
            <w:shd w:val="clear" w:color="auto" w:fill="E5DFEC"/>
          </w:tcPr>
          <w:p w14:paraId="229A439D" w14:textId="77777777" w:rsidR="004F1428" w:rsidRPr="00172D2D" w:rsidRDefault="004F1428" w:rsidP="00172D2D">
            <w:pPr>
              <w:spacing w:before="60" w:after="60" w:line="240" w:lineRule="auto"/>
              <w:rPr>
                <w:rFonts w:cs="Arial"/>
                <w:b/>
                <w:bCs/>
                <w:i/>
                <w:iCs/>
                <w:sz w:val="20"/>
                <w:szCs w:val="20"/>
              </w:rPr>
            </w:pPr>
            <w:r w:rsidRPr="00172D2D">
              <w:rPr>
                <w:rFonts w:cs="Arial"/>
                <w:b/>
                <w:bCs/>
                <w:i/>
                <w:iCs/>
                <w:sz w:val="20"/>
                <w:szCs w:val="20"/>
              </w:rPr>
              <w:t xml:space="preserve">Information requirements </w:t>
            </w:r>
          </w:p>
        </w:tc>
      </w:tr>
      <w:tr w:rsidR="008925B9" w:rsidRPr="00172D2D" w14:paraId="229A43A5" w14:textId="77777777" w:rsidTr="005E11B6">
        <w:tc>
          <w:tcPr>
            <w:tcW w:w="2500" w:type="pct"/>
          </w:tcPr>
          <w:p w14:paraId="229A43A0" w14:textId="4E340F9C" w:rsidR="008925B9" w:rsidRPr="00172D2D" w:rsidRDefault="008925B9" w:rsidP="00172D2D">
            <w:pPr>
              <w:autoSpaceDE w:val="0"/>
              <w:autoSpaceDN w:val="0"/>
              <w:adjustRightInd w:val="0"/>
              <w:spacing w:before="60" w:after="60" w:line="240" w:lineRule="auto"/>
              <w:rPr>
                <w:rFonts w:cs="Arial"/>
                <w:b/>
                <w:bCs/>
                <w:i/>
                <w:iCs/>
                <w:sz w:val="20"/>
                <w:szCs w:val="20"/>
              </w:rPr>
            </w:pPr>
            <w:r w:rsidRPr="00172D2D">
              <w:rPr>
                <w:rFonts w:cs="Arial"/>
                <w:b/>
                <w:bCs/>
                <w:iCs/>
                <w:sz w:val="20"/>
                <w:szCs w:val="20"/>
              </w:rPr>
              <w:t xml:space="preserve">2.3.1 </w:t>
            </w:r>
            <w:r w:rsidRPr="00172D2D">
              <w:rPr>
                <w:rFonts w:cs="Arial"/>
                <w:sz w:val="20"/>
                <w:szCs w:val="20"/>
              </w:rPr>
              <w:t xml:space="preserve">Information appropriate for the analysis in 2.3.2 is collated and/or collected covering the fisheries impact on the ecosystem and environment generally. </w:t>
            </w:r>
          </w:p>
        </w:tc>
        <w:tc>
          <w:tcPr>
            <w:tcW w:w="2500" w:type="pct"/>
            <w:shd w:val="clear" w:color="auto" w:fill="auto"/>
          </w:tcPr>
          <w:p w14:paraId="229A43A4" w14:textId="40CD4B18" w:rsidR="008925B9" w:rsidRPr="00172D2D" w:rsidRDefault="005E11B6" w:rsidP="00172D2D">
            <w:pPr>
              <w:spacing w:before="60" w:after="60" w:line="240" w:lineRule="auto"/>
              <w:rPr>
                <w:rFonts w:cs="Arial"/>
                <w:sz w:val="20"/>
                <w:szCs w:val="20"/>
              </w:rPr>
            </w:pPr>
            <w:r>
              <w:rPr>
                <w:rFonts w:cs="Arial"/>
                <w:sz w:val="20"/>
                <w:szCs w:val="20"/>
              </w:rPr>
              <w:t>Not applicable.</w:t>
            </w:r>
          </w:p>
        </w:tc>
      </w:tr>
      <w:tr w:rsidR="004F1428" w:rsidRPr="00172D2D" w14:paraId="229A43A7" w14:textId="77777777" w:rsidTr="005E11B6">
        <w:tc>
          <w:tcPr>
            <w:tcW w:w="2500" w:type="pct"/>
            <w:gridSpan w:val="2"/>
            <w:shd w:val="clear" w:color="auto" w:fill="E5DFEC"/>
          </w:tcPr>
          <w:p w14:paraId="229A43A6" w14:textId="70551FA9" w:rsidR="004F1428" w:rsidRPr="00172D2D" w:rsidRDefault="004F1428" w:rsidP="00172D2D">
            <w:pPr>
              <w:spacing w:before="60" w:after="60" w:line="240" w:lineRule="auto"/>
              <w:rPr>
                <w:rFonts w:cs="Arial"/>
                <w:sz w:val="20"/>
                <w:szCs w:val="20"/>
              </w:rPr>
            </w:pPr>
            <w:r w:rsidRPr="00172D2D">
              <w:rPr>
                <w:rFonts w:cs="Arial"/>
                <w:b/>
                <w:bCs/>
                <w:i/>
                <w:iCs/>
                <w:sz w:val="20"/>
                <w:szCs w:val="20"/>
              </w:rPr>
              <w:t>Assessment</w:t>
            </w:r>
          </w:p>
        </w:tc>
      </w:tr>
      <w:tr w:rsidR="008925B9" w:rsidRPr="00172D2D" w14:paraId="229A43B7" w14:textId="77777777" w:rsidTr="005E11B6">
        <w:tc>
          <w:tcPr>
            <w:tcW w:w="2500" w:type="pct"/>
          </w:tcPr>
          <w:p w14:paraId="229A43A8" w14:textId="77777777" w:rsidR="008925B9" w:rsidRPr="00172D2D" w:rsidRDefault="008925B9" w:rsidP="00172D2D">
            <w:pPr>
              <w:autoSpaceDE w:val="0"/>
              <w:autoSpaceDN w:val="0"/>
              <w:adjustRightInd w:val="0"/>
              <w:spacing w:before="60" w:after="60" w:line="240" w:lineRule="auto"/>
              <w:rPr>
                <w:rFonts w:cs="Arial"/>
                <w:sz w:val="20"/>
                <w:szCs w:val="20"/>
              </w:rPr>
            </w:pPr>
            <w:r w:rsidRPr="00172D2D">
              <w:rPr>
                <w:rFonts w:cs="Arial"/>
                <w:b/>
                <w:bCs/>
                <w:sz w:val="20"/>
                <w:szCs w:val="20"/>
              </w:rPr>
              <w:t xml:space="preserve">2.3.2 </w:t>
            </w:r>
            <w:r w:rsidRPr="00172D2D">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29A43A9" w14:textId="77777777" w:rsidR="008925B9" w:rsidRPr="00172D2D" w:rsidRDefault="008925B9" w:rsidP="00172D2D">
            <w:pPr>
              <w:autoSpaceDE w:val="0"/>
              <w:autoSpaceDN w:val="0"/>
              <w:adjustRightInd w:val="0"/>
              <w:spacing w:before="60" w:after="60" w:line="240" w:lineRule="auto"/>
              <w:rPr>
                <w:rFonts w:cs="Arial"/>
                <w:sz w:val="20"/>
                <w:szCs w:val="20"/>
              </w:rPr>
            </w:pPr>
            <w:r w:rsidRPr="00172D2D">
              <w:rPr>
                <w:rFonts w:cs="Arial"/>
                <w:sz w:val="20"/>
                <w:szCs w:val="20"/>
              </w:rPr>
              <w:t>1. Impacts on ecological communities</w:t>
            </w:r>
          </w:p>
          <w:p w14:paraId="229A43AA" w14:textId="77777777" w:rsidR="008925B9" w:rsidRPr="00172D2D" w:rsidRDefault="008925B9" w:rsidP="00172D2D">
            <w:pPr>
              <w:autoSpaceDE w:val="0"/>
              <w:autoSpaceDN w:val="0"/>
              <w:adjustRightInd w:val="0"/>
              <w:spacing w:before="60" w:after="60" w:line="240" w:lineRule="auto"/>
              <w:ind w:left="360"/>
              <w:rPr>
                <w:rFonts w:cs="Arial"/>
                <w:sz w:val="20"/>
                <w:szCs w:val="20"/>
              </w:rPr>
            </w:pPr>
            <w:r w:rsidRPr="00172D2D">
              <w:rPr>
                <w:rFonts w:cs="Arial"/>
                <w:sz w:val="20"/>
                <w:szCs w:val="20"/>
              </w:rPr>
              <w:t>• Benthic communities</w:t>
            </w:r>
          </w:p>
          <w:p w14:paraId="229A43AB" w14:textId="77777777" w:rsidR="008925B9" w:rsidRPr="00172D2D" w:rsidRDefault="008925B9" w:rsidP="00172D2D">
            <w:pPr>
              <w:autoSpaceDE w:val="0"/>
              <w:autoSpaceDN w:val="0"/>
              <w:adjustRightInd w:val="0"/>
              <w:spacing w:before="60" w:after="60" w:line="240" w:lineRule="auto"/>
              <w:ind w:left="360"/>
              <w:rPr>
                <w:rFonts w:cs="Arial"/>
                <w:sz w:val="20"/>
                <w:szCs w:val="20"/>
              </w:rPr>
            </w:pPr>
            <w:r w:rsidRPr="00172D2D">
              <w:rPr>
                <w:rFonts w:cs="Arial"/>
                <w:sz w:val="20"/>
                <w:szCs w:val="20"/>
              </w:rPr>
              <w:t>• Ecologically related, associated or dependent species</w:t>
            </w:r>
          </w:p>
          <w:p w14:paraId="229A43AC" w14:textId="77777777" w:rsidR="008925B9" w:rsidRPr="00172D2D" w:rsidRDefault="008925B9" w:rsidP="00172D2D">
            <w:pPr>
              <w:autoSpaceDE w:val="0"/>
              <w:autoSpaceDN w:val="0"/>
              <w:adjustRightInd w:val="0"/>
              <w:spacing w:before="60" w:after="60" w:line="240" w:lineRule="auto"/>
              <w:ind w:left="360"/>
              <w:rPr>
                <w:rFonts w:cs="Arial"/>
                <w:sz w:val="20"/>
                <w:szCs w:val="20"/>
              </w:rPr>
            </w:pPr>
            <w:r w:rsidRPr="00172D2D">
              <w:rPr>
                <w:rFonts w:cs="Arial"/>
                <w:sz w:val="20"/>
                <w:szCs w:val="20"/>
              </w:rPr>
              <w:t>• Water column communities</w:t>
            </w:r>
          </w:p>
          <w:p w14:paraId="229A43AD" w14:textId="77777777" w:rsidR="008925B9" w:rsidRPr="00172D2D" w:rsidRDefault="008925B9" w:rsidP="00172D2D">
            <w:pPr>
              <w:autoSpaceDE w:val="0"/>
              <w:autoSpaceDN w:val="0"/>
              <w:adjustRightInd w:val="0"/>
              <w:spacing w:before="60" w:after="60" w:line="240" w:lineRule="auto"/>
              <w:rPr>
                <w:rFonts w:cs="Arial"/>
                <w:sz w:val="20"/>
                <w:szCs w:val="20"/>
              </w:rPr>
            </w:pPr>
            <w:r w:rsidRPr="00172D2D">
              <w:rPr>
                <w:rFonts w:cs="Arial"/>
                <w:sz w:val="20"/>
                <w:szCs w:val="20"/>
              </w:rPr>
              <w:t>2. Impacts on food chains</w:t>
            </w:r>
          </w:p>
          <w:p w14:paraId="229A43AE" w14:textId="77777777" w:rsidR="008925B9" w:rsidRPr="00172D2D" w:rsidRDefault="008925B9" w:rsidP="00172D2D">
            <w:pPr>
              <w:autoSpaceDE w:val="0"/>
              <w:autoSpaceDN w:val="0"/>
              <w:adjustRightInd w:val="0"/>
              <w:spacing w:before="60" w:after="60" w:line="240" w:lineRule="auto"/>
              <w:ind w:left="360"/>
              <w:rPr>
                <w:rFonts w:cs="Arial"/>
                <w:sz w:val="20"/>
                <w:szCs w:val="20"/>
              </w:rPr>
            </w:pPr>
            <w:r w:rsidRPr="00172D2D">
              <w:rPr>
                <w:rFonts w:cs="Arial"/>
                <w:sz w:val="20"/>
                <w:szCs w:val="20"/>
              </w:rPr>
              <w:t>• Structure</w:t>
            </w:r>
          </w:p>
          <w:p w14:paraId="229A43AF" w14:textId="77777777" w:rsidR="008925B9" w:rsidRPr="00172D2D" w:rsidRDefault="008925B9" w:rsidP="00172D2D">
            <w:pPr>
              <w:autoSpaceDE w:val="0"/>
              <w:autoSpaceDN w:val="0"/>
              <w:adjustRightInd w:val="0"/>
              <w:spacing w:before="60" w:after="60" w:line="240" w:lineRule="auto"/>
              <w:ind w:left="360"/>
              <w:rPr>
                <w:rFonts w:cs="Arial"/>
                <w:sz w:val="20"/>
                <w:szCs w:val="20"/>
              </w:rPr>
            </w:pPr>
            <w:r w:rsidRPr="00172D2D">
              <w:rPr>
                <w:rFonts w:cs="Arial"/>
                <w:sz w:val="20"/>
                <w:szCs w:val="20"/>
              </w:rPr>
              <w:t>• Productivity/flows</w:t>
            </w:r>
          </w:p>
          <w:p w14:paraId="229A43B0" w14:textId="77777777" w:rsidR="008925B9" w:rsidRPr="00172D2D" w:rsidRDefault="008925B9" w:rsidP="00172D2D">
            <w:pPr>
              <w:autoSpaceDE w:val="0"/>
              <w:autoSpaceDN w:val="0"/>
              <w:adjustRightInd w:val="0"/>
              <w:spacing w:before="60" w:after="60" w:line="240" w:lineRule="auto"/>
              <w:rPr>
                <w:rFonts w:cs="Arial"/>
                <w:sz w:val="20"/>
                <w:szCs w:val="20"/>
              </w:rPr>
            </w:pPr>
            <w:r w:rsidRPr="00172D2D">
              <w:rPr>
                <w:rFonts w:cs="Arial"/>
                <w:sz w:val="20"/>
                <w:szCs w:val="20"/>
              </w:rPr>
              <w:t>3. Impacts on the physical environment</w:t>
            </w:r>
          </w:p>
          <w:p w14:paraId="229A43B1" w14:textId="77777777" w:rsidR="008925B9" w:rsidRPr="00172D2D" w:rsidRDefault="008925B9" w:rsidP="00172D2D">
            <w:pPr>
              <w:autoSpaceDE w:val="0"/>
              <w:autoSpaceDN w:val="0"/>
              <w:adjustRightInd w:val="0"/>
              <w:spacing w:before="60" w:after="60" w:line="240" w:lineRule="auto"/>
              <w:ind w:left="360"/>
              <w:rPr>
                <w:rFonts w:cs="Arial"/>
                <w:sz w:val="20"/>
                <w:szCs w:val="20"/>
              </w:rPr>
            </w:pPr>
            <w:r w:rsidRPr="00172D2D">
              <w:rPr>
                <w:rFonts w:cs="Arial"/>
                <w:sz w:val="20"/>
                <w:szCs w:val="20"/>
              </w:rPr>
              <w:t>• Physical habitat</w:t>
            </w:r>
          </w:p>
          <w:p w14:paraId="229A43B2" w14:textId="77777777" w:rsidR="008925B9" w:rsidRPr="00172D2D" w:rsidRDefault="008925B9" w:rsidP="00172D2D">
            <w:pPr>
              <w:autoSpaceDE w:val="0"/>
              <w:autoSpaceDN w:val="0"/>
              <w:adjustRightInd w:val="0"/>
              <w:spacing w:before="60" w:after="60" w:line="240" w:lineRule="auto"/>
              <w:ind w:left="360"/>
              <w:rPr>
                <w:rFonts w:cs="Arial"/>
                <w:b/>
                <w:i/>
                <w:sz w:val="20"/>
                <w:szCs w:val="20"/>
              </w:rPr>
            </w:pPr>
            <w:r w:rsidRPr="00172D2D">
              <w:rPr>
                <w:rFonts w:cs="Arial"/>
                <w:sz w:val="20"/>
                <w:szCs w:val="20"/>
              </w:rPr>
              <w:t>• Water quality</w:t>
            </w:r>
          </w:p>
        </w:tc>
        <w:tc>
          <w:tcPr>
            <w:tcW w:w="2500" w:type="pct"/>
            <w:shd w:val="clear" w:color="auto" w:fill="FFC000"/>
          </w:tcPr>
          <w:p w14:paraId="229A43B6" w14:textId="6F63F572" w:rsidR="008925B9" w:rsidRPr="00172D2D" w:rsidRDefault="008925B9" w:rsidP="00172D2D">
            <w:pPr>
              <w:spacing w:before="60" w:after="60" w:line="240" w:lineRule="auto"/>
              <w:rPr>
                <w:rFonts w:cs="Arial"/>
                <w:i/>
                <w:sz w:val="20"/>
                <w:szCs w:val="20"/>
              </w:rPr>
            </w:pPr>
            <w:r w:rsidRPr="00172D2D">
              <w:rPr>
                <w:rFonts w:cs="Arial"/>
                <w:sz w:val="20"/>
                <w:szCs w:val="20"/>
              </w:rPr>
              <w:t>No specific ESD risk assessment for this fishery. However, risks likely to be low based on ESD risk assessment for similar gears (</w:t>
            </w:r>
            <w:proofErr w:type="spellStart"/>
            <w:r w:rsidRPr="00172D2D">
              <w:rPr>
                <w:rFonts w:cs="Arial"/>
                <w:sz w:val="20"/>
                <w:szCs w:val="20"/>
              </w:rPr>
              <w:t>eg</w:t>
            </w:r>
            <w:proofErr w:type="spellEnd"/>
            <w:r w:rsidRPr="00172D2D">
              <w:rPr>
                <w:rFonts w:cs="Arial"/>
                <w:sz w:val="20"/>
                <w:szCs w:val="20"/>
              </w:rPr>
              <w:t xml:space="preserve"> rock lobster) and </w:t>
            </w:r>
            <w:proofErr w:type="spellStart"/>
            <w:r w:rsidRPr="00172D2D">
              <w:rPr>
                <w:rFonts w:cs="Arial"/>
                <w:sz w:val="20"/>
                <w:szCs w:val="20"/>
              </w:rPr>
              <w:t>deepwater</w:t>
            </w:r>
            <w:proofErr w:type="spellEnd"/>
            <w:r w:rsidRPr="00172D2D">
              <w:rPr>
                <w:rFonts w:cs="Arial"/>
                <w:sz w:val="20"/>
                <w:szCs w:val="20"/>
              </w:rPr>
              <w:t xml:space="preserve"> fishing grounds. Rock lobster ESD risk assessment considers impact on giant crab bycatch, identified as negligible.</w:t>
            </w:r>
          </w:p>
        </w:tc>
      </w:tr>
      <w:tr w:rsidR="004F1428" w:rsidRPr="00172D2D" w14:paraId="229A43B9" w14:textId="77777777" w:rsidTr="005E11B6">
        <w:tc>
          <w:tcPr>
            <w:tcW w:w="2500" w:type="pct"/>
            <w:gridSpan w:val="2"/>
            <w:shd w:val="clear" w:color="auto" w:fill="E5DFEC"/>
          </w:tcPr>
          <w:p w14:paraId="229A43B8" w14:textId="77777777" w:rsidR="004F1428" w:rsidRPr="00172D2D" w:rsidRDefault="004F1428" w:rsidP="00172D2D">
            <w:pPr>
              <w:spacing w:before="60" w:after="60" w:line="240" w:lineRule="auto"/>
              <w:rPr>
                <w:rFonts w:cs="Arial"/>
                <w:b/>
                <w:bCs/>
                <w:i/>
                <w:iCs/>
                <w:sz w:val="20"/>
                <w:szCs w:val="20"/>
              </w:rPr>
            </w:pPr>
            <w:r w:rsidRPr="00172D2D">
              <w:rPr>
                <w:rFonts w:cs="Arial"/>
                <w:b/>
                <w:bCs/>
                <w:i/>
                <w:iCs/>
                <w:sz w:val="20"/>
                <w:szCs w:val="20"/>
              </w:rPr>
              <w:t>Management responses</w:t>
            </w:r>
          </w:p>
        </w:tc>
      </w:tr>
      <w:tr w:rsidR="008925B9" w:rsidRPr="00172D2D" w14:paraId="229A43BF" w14:textId="77777777" w:rsidTr="005E11B6">
        <w:tc>
          <w:tcPr>
            <w:tcW w:w="2500" w:type="pct"/>
          </w:tcPr>
          <w:p w14:paraId="229A43BA" w14:textId="77777777" w:rsidR="008925B9" w:rsidRPr="00172D2D" w:rsidRDefault="008925B9" w:rsidP="00172D2D">
            <w:pPr>
              <w:autoSpaceDE w:val="0"/>
              <w:autoSpaceDN w:val="0"/>
              <w:adjustRightInd w:val="0"/>
              <w:spacing w:before="60" w:after="60" w:line="240" w:lineRule="auto"/>
              <w:rPr>
                <w:rFonts w:cs="Arial"/>
                <w:sz w:val="20"/>
                <w:szCs w:val="20"/>
              </w:rPr>
            </w:pPr>
            <w:r w:rsidRPr="00172D2D">
              <w:rPr>
                <w:rFonts w:cs="Arial"/>
                <w:b/>
                <w:bCs/>
                <w:i/>
                <w:iCs/>
                <w:sz w:val="20"/>
                <w:szCs w:val="20"/>
              </w:rPr>
              <w:t xml:space="preserve">2.3.3 </w:t>
            </w:r>
            <w:r w:rsidRPr="00172D2D">
              <w:rPr>
                <w:rFonts w:cs="Arial"/>
                <w:sz w:val="20"/>
                <w:szCs w:val="20"/>
              </w:rPr>
              <w:t>Management actions are in place to ensure significant damage to ecosystems does not arise from the impacts described in 2.3.1.</w:t>
            </w:r>
          </w:p>
        </w:tc>
        <w:tc>
          <w:tcPr>
            <w:tcW w:w="2500" w:type="pct"/>
            <w:shd w:val="clear" w:color="auto" w:fill="auto"/>
          </w:tcPr>
          <w:p w14:paraId="229A43BE" w14:textId="0FA8A50D" w:rsidR="008925B9" w:rsidRPr="005E11B6" w:rsidRDefault="008925B9" w:rsidP="005E11B6">
            <w:pPr>
              <w:spacing w:before="60" w:after="60" w:line="240" w:lineRule="auto"/>
              <w:rPr>
                <w:rFonts w:cs="Arial"/>
                <w:sz w:val="20"/>
                <w:szCs w:val="20"/>
              </w:rPr>
            </w:pPr>
            <w:r w:rsidRPr="005E11B6">
              <w:rPr>
                <w:rFonts w:cs="Arial"/>
                <w:sz w:val="20"/>
                <w:szCs w:val="20"/>
              </w:rPr>
              <w:t>Not applicable.</w:t>
            </w:r>
          </w:p>
        </w:tc>
      </w:tr>
      <w:tr w:rsidR="008925B9" w:rsidRPr="00172D2D" w14:paraId="229A43C6" w14:textId="77777777" w:rsidTr="005E11B6">
        <w:tc>
          <w:tcPr>
            <w:tcW w:w="2500" w:type="pct"/>
          </w:tcPr>
          <w:p w14:paraId="229A43C1" w14:textId="2F52E567" w:rsidR="008925B9" w:rsidRPr="00172D2D" w:rsidRDefault="008925B9" w:rsidP="005E11B6">
            <w:pPr>
              <w:autoSpaceDE w:val="0"/>
              <w:autoSpaceDN w:val="0"/>
              <w:adjustRightInd w:val="0"/>
              <w:spacing w:before="60" w:after="60" w:line="240" w:lineRule="auto"/>
              <w:rPr>
                <w:rFonts w:cs="Arial"/>
                <w:b/>
                <w:bCs/>
                <w:i/>
                <w:iCs/>
                <w:sz w:val="20"/>
                <w:szCs w:val="20"/>
              </w:rPr>
            </w:pPr>
            <w:r w:rsidRPr="00172D2D">
              <w:rPr>
                <w:rFonts w:cs="Arial"/>
                <w:b/>
                <w:bCs/>
                <w:i/>
                <w:iCs/>
                <w:sz w:val="20"/>
                <w:szCs w:val="20"/>
              </w:rPr>
              <w:t xml:space="preserve">2.3.4 </w:t>
            </w:r>
            <w:r w:rsidRPr="00172D2D">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2500" w:type="pct"/>
            <w:shd w:val="clear" w:color="auto" w:fill="auto"/>
          </w:tcPr>
          <w:p w14:paraId="229A43C5" w14:textId="204F8FB1" w:rsidR="008925B9" w:rsidRPr="005E11B6" w:rsidRDefault="008925B9" w:rsidP="005E11B6">
            <w:pPr>
              <w:spacing w:before="60" w:after="60" w:line="240" w:lineRule="auto"/>
              <w:rPr>
                <w:rFonts w:cs="Arial"/>
                <w:sz w:val="20"/>
                <w:szCs w:val="20"/>
              </w:rPr>
            </w:pPr>
            <w:r w:rsidRPr="005E11B6">
              <w:rPr>
                <w:rFonts w:cs="Arial"/>
                <w:sz w:val="20"/>
                <w:szCs w:val="20"/>
              </w:rPr>
              <w:t>Not applicable.</w:t>
            </w:r>
          </w:p>
        </w:tc>
      </w:tr>
      <w:tr w:rsidR="008925B9" w:rsidRPr="00172D2D" w14:paraId="229A43CD" w14:textId="77777777" w:rsidTr="005E11B6">
        <w:tc>
          <w:tcPr>
            <w:tcW w:w="2500" w:type="pct"/>
          </w:tcPr>
          <w:p w14:paraId="229A43C8" w14:textId="07E2FD18" w:rsidR="008925B9" w:rsidRPr="00172D2D" w:rsidRDefault="008925B9" w:rsidP="00172D2D">
            <w:pPr>
              <w:autoSpaceDE w:val="0"/>
              <w:autoSpaceDN w:val="0"/>
              <w:adjustRightInd w:val="0"/>
              <w:spacing w:before="60" w:after="60" w:line="240" w:lineRule="auto"/>
              <w:rPr>
                <w:rFonts w:cs="Arial"/>
                <w:b/>
                <w:bCs/>
                <w:i/>
                <w:iCs/>
                <w:sz w:val="20"/>
                <w:szCs w:val="20"/>
              </w:rPr>
            </w:pPr>
            <w:r w:rsidRPr="00172D2D">
              <w:rPr>
                <w:rFonts w:cs="Arial"/>
                <w:b/>
                <w:bCs/>
                <w:i/>
                <w:iCs/>
                <w:sz w:val="20"/>
                <w:szCs w:val="20"/>
              </w:rPr>
              <w:t>2.3.5</w:t>
            </w:r>
            <w:r w:rsidRPr="00172D2D">
              <w:rPr>
                <w:rFonts w:cs="Arial"/>
                <w:sz w:val="20"/>
                <w:szCs w:val="20"/>
              </w:rPr>
              <w:t xml:space="preserve"> The management response, considering uncertainties in the assessment and precautionary management actions, has a high chance of achieving the objective.</w:t>
            </w:r>
          </w:p>
        </w:tc>
        <w:tc>
          <w:tcPr>
            <w:tcW w:w="2500" w:type="pct"/>
            <w:shd w:val="clear" w:color="auto" w:fill="auto"/>
          </w:tcPr>
          <w:p w14:paraId="229A43CC" w14:textId="14EE0755" w:rsidR="008925B9" w:rsidRPr="005E11B6" w:rsidRDefault="008925B9" w:rsidP="005E11B6">
            <w:pPr>
              <w:spacing w:before="60" w:after="60" w:line="240" w:lineRule="auto"/>
              <w:rPr>
                <w:rFonts w:cs="Arial"/>
                <w:sz w:val="20"/>
                <w:szCs w:val="20"/>
              </w:rPr>
            </w:pPr>
            <w:r w:rsidRPr="005E11B6">
              <w:rPr>
                <w:rFonts w:cs="Arial"/>
                <w:sz w:val="20"/>
                <w:szCs w:val="20"/>
              </w:rPr>
              <w:t>Not applicable.</w:t>
            </w:r>
          </w:p>
        </w:tc>
      </w:tr>
    </w:tbl>
    <w:p w14:paraId="229A43CE" w14:textId="77777777" w:rsidR="00B16E10" w:rsidRPr="00172D2D" w:rsidRDefault="00B16E10" w:rsidP="00172D2D">
      <w:pPr>
        <w:spacing w:before="60" w:after="60" w:line="240" w:lineRule="auto"/>
        <w:rPr>
          <w:rFonts w:cs="Arial"/>
          <w:sz w:val="20"/>
          <w:szCs w:val="20"/>
        </w:rPr>
      </w:pPr>
    </w:p>
    <w:p w14:paraId="229A43CF" w14:textId="77777777" w:rsidR="00106AA0" w:rsidRPr="00172D2D" w:rsidRDefault="00106AA0" w:rsidP="00172D2D">
      <w:pPr>
        <w:spacing w:before="60" w:after="60" w:line="240" w:lineRule="auto"/>
        <w:rPr>
          <w:rStyle w:val="Emphasis"/>
          <w:rFonts w:eastAsia="Times New Roman" w:cs="Arial"/>
          <w:b/>
          <w:bCs/>
          <w:i w:val="0"/>
          <w:iCs w:val="0"/>
          <w:sz w:val="20"/>
          <w:szCs w:val="20"/>
          <w:lang w:eastAsia="en-AU"/>
        </w:rPr>
      </w:pPr>
    </w:p>
    <w:p w14:paraId="229A43D0" w14:textId="77777777" w:rsidR="00B97E29" w:rsidRPr="00172D2D" w:rsidRDefault="00B97E29" w:rsidP="00172D2D">
      <w:pPr>
        <w:pStyle w:val="Heading6"/>
        <w:spacing w:before="60"/>
        <w:rPr>
          <w:rStyle w:val="Emphasis"/>
          <w:rFonts w:ascii="Arial" w:hAnsi="Arial" w:cs="Arial"/>
          <w:i w:val="0"/>
          <w:iCs w:val="0"/>
          <w:sz w:val="20"/>
          <w:szCs w:val="20"/>
        </w:rPr>
      </w:pPr>
    </w:p>
    <w:p w14:paraId="62972A66" w14:textId="77777777" w:rsidR="003C5B8E" w:rsidRPr="00172D2D" w:rsidRDefault="003C5B8E" w:rsidP="00172D2D">
      <w:pPr>
        <w:pStyle w:val="Heading6"/>
        <w:spacing w:before="60"/>
        <w:rPr>
          <w:rStyle w:val="Emphasis"/>
          <w:rFonts w:ascii="Arial" w:hAnsi="Arial" w:cs="Arial"/>
          <w:i w:val="0"/>
          <w:iCs w:val="0"/>
          <w:sz w:val="20"/>
          <w:szCs w:val="20"/>
        </w:rPr>
        <w:sectPr w:rsidR="003C5B8E" w:rsidRPr="00172D2D" w:rsidSect="00625455">
          <w:pgSz w:w="16838" w:h="11906" w:orient="landscape"/>
          <w:pgMar w:top="709" w:right="1361" w:bottom="709" w:left="1361" w:header="709" w:footer="54" w:gutter="0"/>
          <w:cols w:space="708"/>
          <w:docGrid w:linePitch="360"/>
        </w:sectPr>
      </w:pPr>
    </w:p>
    <w:p w14:paraId="11AB2BB8" w14:textId="17D7847B" w:rsidR="003C5B8E" w:rsidRPr="005E11B6" w:rsidRDefault="003C5B8E" w:rsidP="000431D7">
      <w:pPr>
        <w:pStyle w:val="Heading1"/>
      </w:pPr>
      <w:bookmarkStart w:id="9" w:name="_Toc514849745"/>
      <w:bookmarkStart w:id="10" w:name="_Toc522538910"/>
      <w:bookmarkStart w:id="11" w:name="_Toc514849475"/>
      <w:r w:rsidRPr="005E11B6">
        <w:lastRenderedPageBreak/>
        <w:t>Section 3: Assessment of the South Australian Giant Crab Fishery Against the Requirements of the EPBC Act</w:t>
      </w:r>
      <w:bookmarkEnd w:id="9"/>
      <w:bookmarkEnd w:id="10"/>
    </w:p>
    <w:bookmarkEnd w:id="11"/>
    <w:bookmarkEnd w:id="0"/>
    <w:p w14:paraId="229A43D2" w14:textId="77777777" w:rsidR="001219D8" w:rsidRPr="00172D2D" w:rsidRDefault="001219D8" w:rsidP="00172D2D">
      <w:pPr>
        <w:spacing w:before="60" w:after="60" w:line="240" w:lineRule="auto"/>
        <w:rPr>
          <w:rFonts w:cs="Arial"/>
          <w:sz w:val="20"/>
          <w:szCs w:val="20"/>
        </w:rPr>
      </w:pPr>
      <w:r w:rsidRPr="00172D2D">
        <w:rPr>
          <w:rFonts w:cs="Arial"/>
          <w:b/>
          <w:sz w:val="20"/>
          <w:szCs w:val="20"/>
        </w:rPr>
        <w:t xml:space="preserve">Please Note </w:t>
      </w:r>
      <w:r w:rsidRPr="00172D2D">
        <w:rPr>
          <w:rFonts w:cs="Arial"/>
          <w:sz w:val="20"/>
          <w:szCs w:val="20"/>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229A43D3" w14:textId="77777777" w:rsidR="00164E7C" w:rsidRPr="00172D2D" w:rsidRDefault="00164E7C" w:rsidP="00172D2D">
      <w:pPr>
        <w:spacing w:before="60" w:after="60" w:line="240" w:lineRule="auto"/>
        <w:rPr>
          <w:rFonts w:cs="Arial"/>
          <w:b/>
          <w:sz w:val="20"/>
          <w:szCs w:val="20"/>
        </w:rPr>
      </w:pPr>
    </w:p>
    <w:p w14:paraId="1A01E039" w14:textId="4F2C9878" w:rsidR="004A2F03" w:rsidRPr="005E11B6" w:rsidRDefault="004A2F03" w:rsidP="00172D2D">
      <w:pPr>
        <w:spacing w:before="60" w:after="60" w:line="240" w:lineRule="auto"/>
        <w:rPr>
          <w:rFonts w:cs="Arial"/>
          <w:b/>
        </w:rPr>
      </w:pPr>
      <w:r w:rsidRPr="005E11B6">
        <w:rPr>
          <w:rFonts w:cs="Arial"/>
          <w:b/>
        </w:rPr>
        <w:t>Part 12</w:t>
      </w:r>
    </w:p>
    <w:tbl>
      <w:tblPr>
        <w:tblStyle w:val="TableGrid"/>
        <w:tblW w:w="5000" w:type="pct"/>
        <w:tblLook w:val="04A0" w:firstRow="1" w:lastRow="0" w:firstColumn="1" w:lastColumn="0" w:noHBand="0" w:noVBand="1"/>
      </w:tblPr>
      <w:tblGrid>
        <w:gridCol w:w="7053"/>
        <w:gridCol w:w="7053"/>
      </w:tblGrid>
      <w:tr w:rsidR="005E11B6" w:rsidRPr="00172D2D" w14:paraId="4168F736" w14:textId="77777777" w:rsidTr="005E11B6">
        <w:trPr>
          <w:cnfStyle w:val="100000000000" w:firstRow="1" w:lastRow="0" w:firstColumn="0" w:lastColumn="0" w:oddVBand="0" w:evenVBand="0" w:oddHBand="0" w:evenHBand="0" w:firstRowFirstColumn="0" w:firstRowLastColumn="0" w:lastRowFirstColumn="0" w:lastRowLastColumn="0"/>
        </w:trPr>
        <w:tc>
          <w:tcPr>
            <w:tcW w:w="2500" w:type="pct"/>
          </w:tcPr>
          <w:p w14:paraId="6CCEFB6F" w14:textId="77777777" w:rsidR="005E11B6" w:rsidRPr="00172D2D" w:rsidRDefault="005E11B6" w:rsidP="005E11B6">
            <w:pPr>
              <w:spacing w:before="60" w:after="60" w:line="240" w:lineRule="auto"/>
              <w:ind w:left="426" w:hanging="426"/>
              <w:rPr>
                <w:rFonts w:cs="Arial"/>
                <w:b/>
                <w:sz w:val="20"/>
                <w:szCs w:val="20"/>
              </w:rPr>
            </w:pPr>
          </w:p>
        </w:tc>
        <w:tc>
          <w:tcPr>
            <w:tcW w:w="2500" w:type="pct"/>
            <w:shd w:val="clear" w:color="auto" w:fill="auto"/>
          </w:tcPr>
          <w:p w14:paraId="35921CD5" w14:textId="0263DDC2" w:rsidR="005E11B6" w:rsidRPr="00172D2D" w:rsidRDefault="005E11B6" w:rsidP="005E11B6">
            <w:pPr>
              <w:spacing w:before="60" w:after="60" w:line="240" w:lineRule="auto"/>
              <w:rPr>
                <w:rFonts w:cs="Arial"/>
                <w:b/>
                <w:sz w:val="20"/>
                <w:szCs w:val="20"/>
              </w:rPr>
            </w:pPr>
            <w:r w:rsidRPr="00172D2D">
              <w:rPr>
                <w:rFonts w:cs="Arial"/>
                <w:b/>
                <w:sz w:val="20"/>
                <w:szCs w:val="20"/>
              </w:rPr>
              <w:t>Comment</w:t>
            </w:r>
          </w:p>
        </w:tc>
      </w:tr>
      <w:tr w:rsidR="004A2F03" w:rsidRPr="00172D2D" w14:paraId="32196119" w14:textId="77777777" w:rsidTr="005E11B6">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72E0B8AB" w14:textId="77777777" w:rsidR="004A2F03" w:rsidRPr="00172D2D" w:rsidRDefault="004A2F03" w:rsidP="005E11B6">
            <w:pPr>
              <w:spacing w:before="60" w:after="60" w:line="240" w:lineRule="auto"/>
              <w:rPr>
                <w:rFonts w:cs="Arial"/>
                <w:sz w:val="20"/>
                <w:szCs w:val="20"/>
              </w:rPr>
            </w:pPr>
            <w:r w:rsidRPr="00172D2D">
              <w:rPr>
                <w:rFonts w:cs="Arial"/>
                <w:b/>
                <w:sz w:val="20"/>
                <w:szCs w:val="20"/>
              </w:rPr>
              <w:t>Section 176 Bioregional Plans</w:t>
            </w:r>
          </w:p>
        </w:tc>
      </w:tr>
      <w:tr w:rsidR="004A2F03" w:rsidRPr="00172D2D" w14:paraId="3EF07346" w14:textId="77777777" w:rsidTr="005E11B6">
        <w:trPr>
          <w:cnfStyle w:val="000000010000" w:firstRow="0" w:lastRow="0" w:firstColumn="0" w:lastColumn="0" w:oddVBand="0" w:evenVBand="0" w:oddHBand="0" w:evenHBand="1" w:firstRowFirstColumn="0" w:firstRowLastColumn="0" w:lastRowFirstColumn="0" w:lastRowLastColumn="0"/>
        </w:trPr>
        <w:tc>
          <w:tcPr>
            <w:tcW w:w="2500" w:type="pct"/>
          </w:tcPr>
          <w:p w14:paraId="12AEC1FE" w14:textId="77777777" w:rsidR="004A2F03" w:rsidRPr="00172D2D" w:rsidRDefault="004A2F03" w:rsidP="005E11B6">
            <w:pPr>
              <w:pStyle w:val="ListNumber"/>
              <w:rPr>
                <w:rFonts w:cs="Arial"/>
              </w:rPr>
            </w:pPr>
            <w:r w:rsidRPr="00172D2D">
              <w:rPr>
                <w:rFonts w:cs="Arial"/>
              </w:rPr>
              <w:t>(5)</w:t>
            </w:r>
            <w:r w:rsidRPr="00172D2D">
              <w:rPr>
                <w:rFonts w:cs="Arial"/>
              </w:rPr>
              <w:tab/>
              <w:t>Minister must have regard to relevant bioregional plans</w:t>
            </w:r>
          </w:p>
        </w:tc>
        <w:tc>
          <w:tcPr>
            <w:tcW w:w="2500" w:type="pct"/>
            <w:shd w:val="clear" w:color="auto" w:fill="auto"/>
          </w:tcPr>
          <w:p w14:paraId="36F3B841" w14:textId="69EA9DEE" w:rsidR="004A2F03" w:rsidRPr="00172D2D" w:rsidRDefault="008553F1" w:rsidP="000431D7">
            <w:pPr>
              <w:spacing w:before="60" w:after="60" w:line="240" w:lineRule="auto"/>
              <w:rPr>
                <w:rFonts w:cs="Arial"/>
                <w:sz w:val="20"/>
                <w:szCs w:val="20"/>
              </w:rPr>
            </w:pPr>
            <w:r>
              <w:rPr>
                <w:rFonts w:cs="Arial"/>
                <w:sz w:val="18"/>
                <w:szCs w:val="18"/>
              </w:rPr>
              <w:t>KEFs and BIAs in Bioregional Plan for South-West not compromised by fishing activity.</w:t>
            </w:r>
          </w:p>
        </w:tc>
      </w:tr>
    </w:tbl>
    <w:p w14:paraId="29832038" w14:textId="77777777" w:rsidR="004A2F03" w:rsidRPr="00172D2D" w:rsidRDefault="004A2F03" w:rsidP="00172D2D">
      <w:pPr>
        <w:spacing w:before="60" w:after="60" w:line="240" w:lineRule="auto"/>
        <w:rPr>
          <w:rFonts w:cs="Arial"/>
          <w:b/>
          <w:sz w:val="20"/>
          <w:szCs w:val="20"/>
        </w:rPr>
      </w:pPr>
    </w:p>
    <w:p w14:paraId="229A43D4" w14:textId="77777777" w:rsidR="001219D8" w:rsidRPr="00172D2D" w:rsidRDefault="001219D8" w:rsidP="00172D2D">
      <w:pPr>
        <w:spacing w:before="60" w:after="60" w:line="240" w:lineRule="auto"/>
        <w:rPr>
          <w:rFonts w:cs="Arial"/>
          <w:b/>
          <w:sz w:val="20"/>
          <w:szCs w:val="20"/>
        </w:rPr>
      </w:pPr>
      <w:r w:rsidRPr="00172D2D">
        <w:rPr>
          <w:rFonts w:cs="Arial"/>
          <w:b/>
          <w:sz w:val="20"/>
          <w:szCs w:val="20"/>
        </w:rPr>
        <w:t>Part 13</w:t>
      </w:r>
      <w:r w:rsidR="00836C83" w:rsidRPr="00172D2D">
        <w:rPr>
          <w:rFonts w:cs="Arial"/>
          <w:b/>
          <w:sz w:val="20"/>
          <w:szCs w:val="20"/>
        </w:rPr>
        <w:t xml:space="preserve"> </w:t>
      </w:r>
    </w:p>
    <w:tbl>
      <w:tblPr>
        <w:tblStyle w:val="TableGrid"/>
        <w:tblW w:w="5000" w:type="pct"/>
        <w:tblLook w:val="04A0" w:firstRow="1" w:lastRow="0" w:firstColumn="1" w:lastColumn="0" w:noHBand="0" w:noVBand="1"/>
      </w:tblPr>
      <w:tblGrid>
        <w:gridCol w:w="7053"/>
        <w:gridCol w:w="7053"/>
      </w:tblGrid>
      <w:tr w:rsidR="000431D7" w:rsidRPr="00172D2D" w14:paraId="4FEAE5FB" w14:textId="77777777" w:rsidTr="000431D7">
        <w:trPr>
          <w:cnfStyle w:val="100000000000" w:firstRow="1" w:lastRow="0" w:firstColumn="0" w:lastColumn="0" w:oddVBand="0" w:evenVBand="0" w:oddHBand="0" w:evenHBand="0" w:firstRowFirstColumn="0" w:firstRowLastColumn="0" w:lastRowFirstColumn="0" w:lastRowLastColumn="0"/>
        </w:trPr>
        <w:tc>
          <w:tcPr>
            <w:tcW w:w="2500" w:type="pct"/>
          </w:tcPr>
          <w:p w14:paraId="5E3B86C6" w14:textId="77777777" w:rsidR="000431D7" w:rsidRPr="00172D2D" w:rsidRDefault="000431D7" w:rsidP="00172D2D">
            <w:pPr>
              <w:spacing w:before="60" w:after="60" w:line="240" w:lineRule="auto"/>
              <w:ind w:left="426" w:hanging="426"/>
              <w:jc w:val="center"/>
              <w:rPr>
                <w:rFonts w:cs="Arial"/>
                <w:b/>
                <w:sz w:val="20"/>
                <w:szCs w:val="20"/>
              </w:rPr>
            </w:pPr>
          </w:p>
        </w:tc>
        <w:tc>
          <w:tcPr>
            <w:tcW w:w="2500" w:type="pct"/>
            <w:shd w:val="clear" w:color="auto" w:fill="auto"/>
          </w:tcPr>
          <w:p w14:paraId="5A4CD096" w14:textId="2AB2C5DE" w:rsidR="000431D7" w:rsidRPr="00172D2D" w:rsidRDefault="000431D7" w:rsidP="00172D2D">
            <w:pPr>
              <w:spacing w:before="60" w:after="60" w:line="240" w:lineRule="auto"/>
              <w:jc w:val="center"/>
              <w:rPr>
                <w:rFonts w:cs="Arial"/>
                <w:b/>
                <w:sz w:val="20"/>
                <w:szCs w:val="20"/>
              </w:rPr>
            </w:pPr>
            <w:r w:rsidRPr="00172D2D">
              <w:rPr>
                <w:rFonts w:cs="Arial"/>
                <w:b/>
                <w:sz w:val="20"/>
                <w:szCs w:val="20"/>
              </w:rPr>
              <w:t>Comment</w:t>
            </w:r>
          </w:p>
        </w:tc>
      </w:tr>
      <w:tr w:rsidR="004A2F03" w:rsidRPr="00172D2D" w14:paraId="7E4CAE34" w14:textId="77777777" w:rsidTr="000431D7">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01859FB6" w14:textId="77777777" w:rsidR="004A2F03" w:rsidRPr="00172D2D" w:rsidRDefault="004A2F03" w:rsidP="00172D2D">
            <w:pPr>
              <w:spacing w:before="60" w:after="60" w:line="240" w:lineRule="auto"/>
              <w:ind w:left="426" w:hanging="426"/>
              <w:rPr>
                <w:rFonts w:cs="Arial"/>
                <w:b/>
                <w:sz w:val="20"/>
                <w:szCs w:val="20"/>
              </w:rPr>
            </w:pPr>
            <w:r w:rsidRPr="00172D2D">
              <w:rPr>
                <w:rFonts w:cs="Arial"/>
                <w:b/>
                <w:sz w:val="20"/>
                <w:szCs w:val="20"/>
              </w:rPr>
              <w:t>Accreditable plan, regime or policy  (Division 1, Division 2, Division 3, Division 4)</w:t>
            </w:r>
          </w:p>
        </w:tc>
      </w:tr>
      <w:tr w:rsidR="004A2F03" w:rsidRPr="00172D2D" w14:paraId="1B6C3EEA" w14:textId="77777777" w:rsidTr="000431D7">
        <w:trPr>
          <w:cnfStyle w:val="000000010000" w:firstRow="0" w:lastRow="0" w:firstColumn="0" w:lastColumn="0" w:oddVBand="0" w:evenVBand="0" w:oddHBand="0" w:evenHBand="1" w:firstRowFirstColumn="0" w:firstRowLastColumn="0" w:lastRowFirstColumn="0" w:lastRowLastColumn="0"/>
        </w:trPr>
        <w:tc>
          <w:tcPr>
            <w:tcW w:w="2500" w:type="pct"/>
          </w:tcPr>
          <w:p w14:paraId="5EC3FDB9" w14:textId="77777777" w:rsidR="004A2F03" w:rsidRPr="00172D2D" w:rsidRDefault="004A2F03" w:rsidP="00172D2D">
            <w:pPr>
              <w:pStyle w:val="ListNumber2"/>
              <w:rPr>
                <w:rFonts w:cs="Arial"/>
              </w:rPr>
            </w:pPr>
            <w:r w:rsidRPr="00172D2D">
              <w:rPr>
                <w:rFonts w:cs="Arial"/>
              </w:rPr>
              <w:tab/>
              <w:t>s. 208A (1) (a-e) , s.222A (1) (a-e), s.245A (1) (a-e),  s.265 (1) (a-e)</w:t>
            </w:r>
          </w:p>
          <w:p w14:paraId="1FE978C0" w14:textId="77777777" w:rsidR="004A2F03" w:rsidRPr="00172D2D" w:rsidRDefault="004A2F03" w:rsidP="00172D2D">
            <w:pPr>
              <w:spacing w:before="60" w:after="60" w:line="240" w:lineRule="auto"/>
              <w:rPr>
                <w:rFonts w:cs="Arial"/>
                <w:sz w:val="20"/>
                <w:szCs w:val="20"/>
              </w:rPr>
            </w:pPr>
            <w:r w:rsidRPr="00172D2D">
              <w:rPr>
                <w:rFonts w:cs="Arial"/>
                <w:sz w:val="20"/>
                <w:szCs w:val="20"/>
              </w:rPr>
              <w:t xml:space="preserve">Does the fishery have an accreditable plan of management, regime or policy? </w:t>
            </w:r>
          </w:p>
        </w:tc>
        <w:tc>
          <w:tcPr>
            <w:tcW w:w="2500" w:type="pct"/>
            <w:shd w:val="clear" w:color="auto" w:fill="92D050"/>
          </w:tcPr>
          <w:p w14:paraId="19959B1C" w14:textId="4B2605D5" w:rsidR="004A2F03" w:rsidRPr="00172D2D" w:rsidRDefault="004A2F03" w:rsidP="00172D2D">
            <w:pPr>
              <w:spacing w:before="60" w:after="60" w:line="240" w:lineRule="auto"/>
              <w:rPr>
                <w:rFonts w:cs="Arial"/>
                <w:sz w:val="20"/>
                <w:szCs w:val="20"/>
              </w:rPr>
            </w:pPr>
            <w:r w:rsidRPr="00172D2D">
              <w:rPr>
                <w:rFonts w:cs="Arial"/>
                <w:sz w:val="20"/>
                <w:szCs w:val="20"/>
              </w:rPr>
              <w:t xml:space="preserve">The South Australian Giant Crab Fishery will be managed under the SA </w:t>
            </w:r>
            <w:r w:rsidRPr="00172D2D">
              <w:rPr>
                <w:rFonts w:cs="Arial"/>
                <w:i/>
                <w:sz w:val="20"/>
                <w:szCs w:val="20"/>
              </w:rPr>
              <w:t>Fisheries Management Act 2007</w:t>
            </w:r>
            <w:r w:rsidRPr="00172D2D">
              <w:rPr>
                <w:rFonts w:cs="Arial"/>
                <w:sz w:val="20"/>
                <w:szCs w:val="20"/>
              </w:rPr>
              <w:t xml:space="preserve">, </w:t>
            </w:r>
            <w:r w:rsidRPr="00172D2D">
              <w:rPr>
                <w:rFonts w:cs="Arial"/>
                <w:i/>
                <w:sz w:val="20"/>
                <w:szCs w:val="20"/>
              </w:rPr>
              <w:t>Fisheries Management (Miscellaneous Fishery) Regulations 2015</w:t>
            </w:r>
            <w:r w:rsidRPr="00172D2D">
              <w:rPr>
                <w:rFonts w:cs="Arial"/>
                <w:sz w:val="20"/>
                <w:szCs w:val="20"/>
              </w:rPr>
              <w:t xml:space="preserve"> and </w:t>
            </w:r>
            <w:r w:rsidRPr="00172D2D">
              <w:rPr>
                <w:rFonts w:cs="Arial"/>
                <w:i/>
                <w:sz w:val="20"/>
                <w:szCs w:val="20"/>
              </w:rPr>
              <w:t>Fisheries Management (General) Regulations 2007</w:t>
            </w:r>
            <w:r w:rsidRPr="00172D2D">
              <w:rPr>
                <w:rFonts w:cs="Arial"/>
                <w:sz w:val="20"/>
                <w:szCs w:val="20"/>
              </w:rPr>
              <w:t>.</w:t>
            </w:r>
          </w:p>
        </w:tc>
      </w:tr>
      <w:tr w:rsidR="004A2F03" w:rsidRPr="00172D2D" w14:paraId="4A311C3B" w14:textId="77777777" w:rsidTr="000431D7">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22B66443" w14:textId="77777777" w:rsidR="004A2F03" w:rsidRPr="00172D2D" w:rsidRDefault="004A2F03" w:rsidP="00172D2D">
            <w:pPr>
              <w:spacing w:before="60" w:after="60" w:line="240" w:lineRule="auto"/>
              <w:ind w:left="426" w:hanging="426"/>
              <w:rPr>
                <w:rFonts w:cs="Arial"/>
                <w:sz w:val="20"/>
                <w:szCs w:val="20"/>
              </w:rPr>
            </w:pPr>
            <w:r w:rsidRPr="00172D2D">
              <w:rPr>
                <w:rFonts w:cs="Arial"/>
                <w:b/>
                <w:sz w:val="20"/>
                <w:szCs w:val="20"/>
              </w:rPr>
              <w:t>Division 1 Listed threatened species, Section 208A Minister may accredit plans or regimes</w:t>
            </w:r>
          </w:p>
        </w:tc>
      </w:tr>
      <w:tr w:rsidR="004A2F03" w:rsidRPr="00172D2D" w14:paraId="4483E19E" w14:textId="77777777" w:rsidTr="000431D7">
        <w:trPr>
          <w:cnfStyle w:val="000000010000" w:firstRow="0" w:lastRow="0" w:firstColumn="0" w:lastColumn="0" w:oddVBand="0" w:evenVBand="0" w:oddHBand="0" w:evenHBand="1" w:firstRowFirstColumn="0" w:firstRowLastColumn="0" w:lastRowFirstColumn="0" w:lastRowLastColumn="0"/>
        </w:trPr>
        <w:tc>
          <w:tcPr>
            <w:tcW w:w="2500" w:type="pct"/>
          </w:tcPr>
          <w:p w14:paraId="5914DE9F" w14:textId="77777777" w:rsidR="004A2F03" w:rsidRPr="00172D2D" w:rsidRDefault="004A2F03" w:rsidP="00172D2D">
            <w:pPr>
              <w:pStyle w:val="ListNumber2"/>
              <w:rPr>
                <w:rFonts w:cs="Arial"/>
              </w:rPr>
            </w:pPr>
            <w:r w:rsidRPr="00172D2D">
              <w:rPr>
                <w:rFonts w:cs="Arial"/>
              </w:rPr>
              <w:t>(f)</w:t>
            </w:r>
            <w:r w:rsidRPr="00172D2D">
              <w:rPr>
                <w:rFonts w:cs="Arial"/>
              </w:rPr>
              <w:tab/>
              <w:t>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92D050"/>
          </w:tcPr>
          <w:p w14:paraId="64C068DD" w14:textId="52139A26" w:rsidR="004A2F03" w:rsidRPr="00172D2D" w:rsidRDefault="004A2F03" w:rsidP="00172D2D">
            <w:pPr>
              <w:spacing w:before="60" w:after="60" w:line="240" w:lineRule="auto"/>
              <w:rPr>
                <w:rFonts w:cs="Arial"/>
                <w:sz w:val="20"/>
                <w:szCs w:val="20"/>
              </w:rPr>
            </w:pPr>
            <w:r w:rsidRPr="00172D2D">
              <w:rPr>
                <w:rFonts w:cs="Arial"/>
                <w:sz w:val="20"/>
                <w:szCs w:val="20"/>
              </w:rPr>
              <w:t xml:space="preserve">Yes, interactions highly unlikely given method. SLEDs mandated where appropriate to protect ASL. The Department of the Environment and Energy considers that the management regime requires that all reasonable steps are taken to avoid the killing or injuring of protected species, and the risk of interaction under current fishing operations is low. On this basis, the Department is satisfied that an action taken by an individual fisher, acting in accordance with the management regime, would not be expected to have a significant impact on a listed threatened species protected by the EPBC Act. </w:t>
            </w:r>
          </w:p>
        </w:tc>
      </w:tr>
      <w:tr w:rsidR="004A2F03" w:rsidRPr="00172D2D" w14:paraId="390916D7" w14:textId="77777777" w:rsidTr="000431D7">
        <w:trPr>
          <w:cnfStyle w:val="000000100000" w:firstRow="0" w:lastRow="0" w:firstColumn="0" w:lastColumn="0" w:oddVBand="0" w:evenVBand="0" w:oddHBand="1" w:evenHBand="0" w:firstRowFirstColumn="0" w:firstRowLastColumn="0" w:lastRowFirstColumn="0" w:lastRowLastColumn="0"/>
        </w:trPr>
        <w:tc>
          <w:tcPr>
            <w:tcW w:w="2500" w:type="pct"/>
          </w:tcPr>
          <w:p w14:paraId="1273437E" w14:textId="77777777" w:rsidR="004A2F03" w:rsidRPr="00172D2D" w:rsidRDefault="004A2F03" w:rsidP="00172D2D">
            <w:pPr>
              <w:pStyle w:val="ListNumber2"/>
              <w:rPr>
                <w:rFonts w:cs="Arial"/>
              </w:rPr>
            </w:pPr>
            <w:r w:rsidRPr="00172D2D">
              <w:rPr>
                <w:rFonts w:cs="Arial"/>
              </w:rPr>
              <w:t>(g)</w:t>
            </w:r>
            <w:r w:rsidRPr="00172D2D">
              <w:rPr>
                <w:rFonts w:cs="Arial"/>
              </w:rPr>
              <w:tab/>
              <w:t>And, is the fishery likely to adversely affect the survival or recovery in nature of the species.</w:t>
            </w:r>
          </w:p>
        </w:tc>
        <w:tc>
          <w:tcPr>
            <w:tcW w:w="2500" w:type="pct"/>
            <w:shd w:val="clear" w:color="auto" w:fill="92D050"/>
          </w:tcPr>
          <w:p w14:paraId="377906DD" w14:textId="77777777" w:rsidR="004A2F03" w:rsidRPr="00172D2D" w:rsidRDefault="004A2F03" w:rsidP="00172D2D">
            <w:pPr>
              <w:spacing w:before="60" w:after="60" w:line="240" w:lineRule="auto"/>
              <w:rPr>
                <w:rFonts w:cs="Arial"/>
                <w:sz w:val="20"/>
                <w:szCs w:val="20"/>
              </w:rPr>
            </w:pPr>
            <w:r w:rsidRPr="00172D2D">
              <w:rPr>
                <w:rFonts w:cs="Arial"/>
                <w:sz w:val="20"/>
                <w:szCs w:val="20"/>
              </w:rPr>
              <w:t>The Department of the Environment and Energy considers that the fishery to which the management regime relates does not, or is not likely to, adversely affect the survival in nature of a listed threatened species or population of that species.</w:t>
            </w:r>
          </w:p>
        </w:tc>
      </w:tr>
      <w:tr w:rsidR="004A2F03" w:rsidRPr="00172D2D" w14:paraId="10ECBA4F" w14:textId="77777777" w:rsidTr="000431D7">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2CBE05AE" w14:textId="77777777" w:rsidR="004A2F03" w:rsidRPr="00172D2D" w:rsidRDefault="004A2F03" w:rsidP="00172D2D">
            <w:pPr>
              <w:spacing w:before="60" w:after="60" w:line="240" w:lineRule="auto"/>
              <w:ind w:left="426" w:hanging="426"/>
              <w:rPr>
                <w:rFonts w:cs="Arial"/>
                <w:sz w:val="20"/>
                <w:szCs w:val="20"/>
              </w:rPr>
            </w:pPr>
            <w:r w:rsidRPr="00172D2D">
              <w:rPr>
                <w:rFonts w:cs="Arial"/>
                <w:b/>
                <w:sz w:val="20"/>
                <w:szCs w:val="20"/>
              </w:rPr>
              <w:t>Division 2 Migratory species, Section 222A Minister may accredit plans or regimes</w:t>
            </w:r>
          </w:p>
        </w:tc>
      </w:tr>
      <w:tr w:rsidR="004A2F03" w:rsidRPr="00172D2D" w14:paraId="66C8A202" w14:textId="77777777" w:rsidTr="000431D7">
        <w:trPr>
          <w:cnfStyle w:val="000000100000" w:firstRow="0" w:lastRow="0" w:firstColumn="0" w:lastColumn="0" w:oddVBand="0" w:evenVBand="0" w:oddHBand="1" w:evenHBand="0" w:firstRowFirstColumn="0" w:firstRowLastColumn="0" w:lastRowFirstColumn="0" w:lastRowLastColumn="0"/>
        </w:trPr>
        <w:tc>
          <w:tcPr>
            <w:tcW w:w="2500" w:type="pct"/>
          </w:tcPr>
          <w:p w14:paraId="64B410DC" w14:textId="77777777" w:rsidR="004A2F03" w:rsidRPr="00172D2D" w:rsidRDefault="004A2F03" w:rsidP="00172D2D">
            <w:pPr>
              <w:pStyle w:val="ListNumber2"/>
              <w:rPr>
                <w:rFonts w:cs="Arial"/>
              </w:rPr>
            </w:pPr>
            <w:r w:rsidRPr="00172D2D">
              <w:rPr>
                <w:rFonts w:cs="Arial"/>
              </w:rPr>
              <w:t>(f)</w:t>
            </w:r>
            <w:r w:rsidRPr="00172D2D">
              <w:rPr>
                <w:rFonts w:cs="Arial"/>
              </w:rPr>
              <w:tab/>
              <w:t>Will the plan, regime or policy require fishers to take all reasonable steps to ensure that members of listed migratory species are not killed or injured as a result of the fishing?</w:t>
            </w:r>
          </w:p>
        </w:tc>
        <w:tc>
          <w:tcPr>
            <w:tcW w:w="2500" w:type="pct"/>
            <w:shd w:val="clear" w:color="auto" w:fill="92D050"/>
          </w:tcPr>
          <w:p w14:paraId="3B166FB7" w14:textId="77777777" w:rsidR="004A2F03" w:rsidRPr="00172D2D" w:rsidRDefault="004A2F03" w:rsidP="00172D2D">
            <w:pPr>
              <w:spacing w:before="60" w:after="60" w:line="240" w:lineRule="auto"/>
              <w:rPr>
                <w:rFonts w:cs="Arial"/>
                <w:sz w:val="20"/>
                <w:szCs w:val="20"/>
              </w:rPr>
            </w:pPr>
            <w:r w:rsidRPr="00172D2D">
              <w:rPr>
                <w:rFonts w:cs="Arial"/>
                <w:sz w:val="20"/>
                <w:szCs w:val="20"/>
              </w:rPr>
              <w:t xml:space="preserve">The Department of the Environment and Energy considers that the management regime requires that all reasonable steps are taken to avoid the killing or injuring of migratory species, and the risk of interaction under current fishing operations is low. On this basis, the Department is satisfied </w:t>
            </w:r>
            <w:r w:rsidRPr="00172D2D">
              <w:rPr>
                <w:rFonts w:cs="Arial"/>
                <w:sz w:val="20"/>
                <w:szCs w:val="20"/>
              </w:rPr>
              <w:lastRenderedPageBreak/>
              <w:t>that an action taken by an individual fisher, acting in accordance with the management regime, would not be expected to have a significant impact on a listed migratory species protected by the EPBC Act.</w:t>
            </w:r>
          </w:p>
        </w:tc>
      </w:tr>
      <w:tr w:rsidR="004A2F03" w:rsidRPr="00172D2D" w14:paraId="43EB0F72" w14:textId="77777777" w:rsidTr="000431D7">
        <w:trPr>
          <w:cnfStyle w:val="000000010000" w:firstRow="0" w:lastRow="0" w:firstColumn="0" w:lastColumn="0" w:oddVBand="0" w:evenVBand="0" w:oddHBand="0" w:evenHBand="1" w:firstRowFirstColumn="0" w:firstRowLastColumn="0" w:lastRowFirstColumn="0" w:lastRowLastColumn="0"/>
        </w:trPr>
        <w:tc>
          <w:tcPr>
            <w:tcW w:w="2500" w:type="pct"/>
          </w:tcPr>
          <w:p w14:paraId="39FC2176" w14:textId="77777777" w:rsidR="004A2F03" w:rsidRPr="00172D2D" w:rsidRDefault="004A2F03" w:rsidP="00172D2D">
            <w:pPr>
              <w:pStyle w:val="ListNumber2"/>
              <w:rPr>
                <w:rFonts w:cs="Arial"/>
              </w:rPr>
            </w:pPr>
            <w:r w:rsidRPr="00172D2D">
              <w:rPr>
                <w:rFonts w:cs="Arial"/>
              </w:rPr>
              <w:lastRenderedPageBreak/>
              <w:t>(g)</w:t>
            </w:r>
            <w:r w:rsidRPr="00172D2D">
              <w:rPr>
                <w:rFonts w:cs="Arial"/>
              </w:rPr>
              <w:tab/>
              <w:t>And, is the fishery likely to adversely affect the conservation status of a listed migratory species or a population of that species?</w:t>
            </w:r>
          </w:p>
        </w:tc>
        <w:tc>
          <w:tcPr>
            <w:tcW w:w="2500" w:type="pct"/>
            <w:shd w:val="clear" w:color="auto" w:fill="92D050"/>
          </w:tcPr>
          <w:p w14:paraId="450AA1B9" w14:textId="77777777" w:rsidR="004A2F03" w:rsidRPr="00172D2D" w:rsidRDefault="004A2F03" w:rsidP="00172D2D">
            <w:pPr>
              <w:spacing w:before="60" w:after="60" w:line="240" w:lineRule="auto"/>
              <w:rPr>
                <w:rFonts w:cs="Arial"/>
                <w:sz w:val="20"/>
                <w:szCs w:val="20"/>
              </w:rPr>
            </w:pPr>
            <w:r w:rsidRPr="00172D2D">
              <w:rPr>
                <w:rFonts w:cs="Arial"/>
                <w:sz w:val="20"/>
                <w:szCs w:val="20"/>
              </w:rPr>
              <w:t xml:space="preserve">The Department of the Environment and Energy considers that the fishery to which the management regime relates does not, or is not likely to, adversely affect the survival in nature of a listed migratory species or population of that species. </w:t>
            </w:r>
          </w:p>
        </w:tc>
      </w:tr>
      <w:tr w:rsidR="004A2F03" w:rsidRPr="00172D2D" w14:paraId="76FDB32B" w14:textId="77777777" w:rsidTr="000431D7">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2BBC6F11" w14:textId="77777777" w:rsidR="004A2F03" w:rsidRPr="00172D2D" w:rsidRDefault="004A2F03" w:rsidP="00172D2D">
            <w:pPr>
              <w:spacing w:before="60" w:after="60" w:line="240" w:lineRule="auto"/>
              <w:rPr>
                <w:rFonts w:cs="Arial"/>
                <w:sz w:val="20"/>
                <w:szCs w:val="20"/>
              </w:rPr>
            </w:pPr>
            <w:r w:rsidRPr="00172D2D">
              <w:rPr>
                <w:rFonts w:cs="Arial"/>
                <w:b/>
                <w:sz w:val="20"/>
                <w:szCs w:val="20"/>
              </w:rPr>
              <w:t>Division 3 Whales and other cetaceans, Section 245 Minister may accredit plans or regimes</w:t>
            </w:r>
          </w:p>
        </w:tc>
      </w:tr>
      <w:tr w:rsidR="004A2F03" w:rsidRPr="00172D2D" w14:paraId="586A380D" w14:textId="77777777" w:rsidTr="000431D7">
        <w:trPr>
          <w:cnfStyle w:val="000000010000" w:firstRow="0" w:lastRow="0" w:firstColumn="0" w:lastColumn="0" w:oddVBand="0" w:evenVBand="0" w:oddHBand="0" w:evenHBand="1" w:firstRowFirstColumn="0" w:firstRowLastColumn="0" w:lastRowFirstColumn="0" w:lastRowLastColumn="0"/>
        </w:trPr>
        <w:tc>
          <w:tcPr>
            <w:tcW w:w="2500" w:type="pct"/>
          </w:tcPr>
          <w:p w14:paraId="7DCF6A35" w14:textId="77777777" w:rsidR="004A2F03" w:rsidRPr="00172D2D" w:rsidRDefault="004A2F03" w:rsidP="00172D2D">
            <w:pPr>
              <w:pStyle w:val="ListNumber2"/>
              <w:rPr>
                <w:rFonts w:cs="Arial"/>
              </w:rPr>
            </w:pPr>
            <w:r w:rsidRPr="00172D2D">
              <w:rPr>
                <w:rFonts w:cs="Arial"/>
              </w:rPr>
              <w:t>(f)</w:t>
            </w:r>
            <w:r w:rsidRPr="00172D2D">
              <w:rPr>
                <w:rFonts w:cs="Arial"/>
              </w:rPr>
              <w:tab/>
              <w:t>Will the plan, regime or policy require fishers to take all reasonable steps to ensure that cetaceans are not killed or injured as a result of the fishing?</w:t>
            </w:r>
          </w:p>
        </w:tc>
        <w:tc>
          <w:tcPr>
            <w:tcW w:w="2500" w:type="pct"/>
            <w:shd w:val="clear" w:color="auto" w:fill="92D050"/>
          </w:tcPr>
          <w:p w14:paraId="0EB888F1" w14:textId="77777777" w:rsidR="004A2F03" w:rsidRPr="00172D2D" w:rsidRDefault="004A2F03" w:rsidP="00172D2D">
            <w:pPr>
              <w:spacing w:before="60" w:after="60" w:line="240" w:lineRule="auto"/>
              <w:rPr>
                <w:rFonts w:cs="Arial"/>
                <w:sz w:val="20"/>
                <w:szCs w:val="20"/>
              </w:rPr>
            </w:pPr>
            <w:r w:rsidRPr="00172D2D">
              <w:rPr>
                <w:rFonts w:cs="Arial"/>
                <w:sz w:val="20"/>
                <w:szCs w:val="20"/>
              </w:rPr>
              <w:t>The Department of the Environment and Energy considers that the management regime requires that all reasonable steps are taken to avoid the killing or injuring of whales and cetaceans, and the risk of interaction under current fishing operations is low. On this basis, the Department is satisfied that an action taken by an individual fisher, acting in accordance with the management regime, would not be expected to have a significant impact on a whale or cetacean species protected by the EPBC Act.</w:t>
            </w:r>
          </w:p>
        </w:tc>
      </w:tr>
      <w:tr w:rsidR="004A2F03" w:rsidRPr="00172D2D" w14:paraId="0233BE9F" w14:textId="77777777" w:rsidTr="000431D7">
        <w:trPr>
          <w:cnfStyle w:val="000000100000" w:firstRow="0" w:lastRow="0" w:firstColumn="0" w:lastColumn="0" w:oddVBand="0" w:evenVBand="0" w:oddHBand="1" w:evenHBand="0" w:firstRowFirstColumn="0" w:firstRowLastColumn="0" w:lastRowFirstColumn="0" w:lastRowLastColumn="0"/>
        </w:trPr>
        <w:tc>
          <w:tcPr>
            <w:tcW w:w="2500" w:type="pct"/>
          </w:tcPr>
          <w:p w14:paraId="7DF534E5" w14:textId="77777777" w:rsidR="004A2F03" w:rsidRPr="00172D2D" w:rsidRDefault="004A2F03" w:rsidP="00172D2D">
            <w:pPr>
              <w:pStyle w:val="ListNumber2"/>
              <w:rPr>
                <w:rFonts w:cs="Arial"/>
              </w:rPr>
            </w:pPr>
            <w:r w:rsidRPr="00172D2D">
              <w:rPr>
                <w:rFonts w:cs="Arial"/>
              </w:rPr>
              <w:t>(g)</w:t>
            </w:r>
            <w:r w:rsidRPr="00172D2D">
              <w:rPr>
                <w:rFonts w:cs="Arial"/>
              </w:rPr>
              <w:tab/>
              <w:t>And is the fishery likely to adversely affect the conservation status of a species of cetacean or a population of that species?</w:t>
            </w:r>
          </w:p>
        </w:tc>
        <w:tc>
          <w:tcPr>
            <w:tcW w:w="2500" w:type="pct"/>
            <w:shd w:val="clear" w:color="auto" w:fill="92D050"/>
          </w:tcPr>
          <w:p w14:paraId="36B2BE1A" w14:textId="77777777" w:rsidR="004A2F03" w:rsidRPr="00172D2D" w:rsidRDefault="004A2F03" w:rsidP="00172D2D">
            <w:pPr>
              <w:spacing w:before="60" w:after="60" w:line="240" w:lineRule="auto"/>
              <w:rPr>
                <w:rFonts w:cs="Arial"/>
                <w:sz w:val="20"/>
                <w:szCs w:val="20"/>
              </w:rPr>
            </w:pPr>
            <w:r w:rsidRPr="00172D2D">
              <w:rPr>
                <w:rFonts w:cs="Arial"/>
                <w:sz w:val="20"/>
                <w:szCs w:val="20"/>
              </w:rPr>
              <w:t>The Department of the Environment and Energy considers that the fishery to which the management regime relates does not, or is not likely to, adversely affect the survival in nature of a whale or cetacean or population of that species.</w:t>
            </w:r>
          </w:p>
        </w:tc>
      </w:tr>
      <w:tr w:rsidR="004A2F03" w:rsidRPr="00172D2D" w14:paraId="111D87ED" w14:textId="77777777" w:rsidTr="000431D7">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16247EB4" w14:textId="77777777" w:rsidR="004A2F03" w:rsidRPr="00172D2D" w:rsidRDefault="004A2F03" w:rsidP="00172D2D">
            <w:pPr>
              <w:spacing w:before="60" w:after="60" w:line="240" w:lineRule="auto"/>
              <w:rPr>
                <w:rFonts w:cs="Arial"/>
                <w:sz w:val="20"/>
                <w:szCs w:val="20"/>
              </w:rPr>
            </w:pPr>
            <w:r w:rsidRPr="00172D2D">
              <w:rPr>
                <w:rFonts w:cs="Arial"/>
                <w:b/>
                <w:sz w:val="20"/>
                <w:szCs w:val="20"/>
              </w:rPr>
              <w:t>Division 4 Listed marine species, Section 265 Minister may accredit plans or regimes</w:t>
            </w:r>
          </w:p>
        </w:tc>
      </w:tr>
      <w:tr w:rsidR="004A2F03" w:rsidRPr="00172D2D" w14:paraId="4866FCE0" w14:textId="77777777" w:rsidTr="000431D7">
        <w:trPr>
          <w:cnfStyle w:val="000000100000" w:firstRow="0" w:lastRow="0" w:firstColumn="0" w:lastColumn="0" w:oddVBand="0" w:evenVBand="0" w:oddHBand="1" w:evenHBand="0" w:firstRowFirstColumn="0" w:firstRowLastColumn="0" w:lastRowFirstColumn="0" w:lastRowLastColumn="0"/>
        </w:trPr>
        <w:tc>
          <w:tcPr>
            <w:tcW w:w="2500" w:type="pct"/>
          </w:tcPr>
          <w:p w14:paraId="34F452FC" w14:textId="77777777" w:rsidR="004A2F03" w:rsidRPr="00172D2D" w:rsidRDefault="004A2F03" w:rsidP="00172D2D">
            <w:pPr>
              <w:pStyle w:val="ListNumber2"/>
              <w:rPr>
                <w:rFonts w:cs="Arial"/>
              </w:rPr>
            </w:pPr>
            <w:r w:rsidRPr="00172D2D">
              <w:rPr>
                <w:rFonts w:cs="Arial"/>
              </w:rPr>
              <w:t>(f)</w:t>
            </w:r>
            <w:r w:rsidRPr="00172D2D">
              <w:rPr>
                <w:rFonts w:cs="Arial"/>
              </w:rPr>
              <w:tab/>
              <w:t>Will the plan, regime or policy require fishers to take all reasonable steps to ensure that members of listed marine species are not killed or injured as a result of the fishing?</w:t>
            </w:r>
          </w:p>
        </w:tc>
        <w:tc>
          <w:tcPr>
            <w:tcW w:w="2500" w:type="pct"/>
            <w:shd w:val="clear" w:color="auto" w:fill="92D050"/>
          </w:tcPr>
          <w:p w14:paraId="1FACEF59" w14:textId="2C649D7C" w:rsidR="004A2F03" w:rsidRPr="00172D2D" w:rsidRDefault="004A2F03" w:rsidP="00172D2D">
            <w:pPr>
              <w:spacing w:before="60" w:after="60" w:line="240" w:lineRule="auto"/>
              <w:rPr>
                <w:rFonts w:cs="Arial"/>
                <w:sz w:val="20"/>
                <w:szCs w:val="20"/>
              </w:rPr>
            </w:pPr>
            <w:r w:rsidRPr="00172D2D">
              <w:rPr>
                <w:rFonts w:cs="Arial"/>
                <w:sz w:val="20"/>
                <w:szCs w:val="20"/>
              </w:rPr>
              <w:t>Yes, interactions highly unlikely given method. SLEDs mandated where appropriate to protect ASL. The Department of the Environment and Energy considers that the management regime requires that all reasonable steps are taken to avoid the killing or injuring of listed marine species, and the risk of interaction under current fishing operations is low. On this basis, the Department is satisfied that an action taken by an individual fisher, acting in accordance with the management regime, would not be expected to have a significant impact on a listed marine species protected by the EPBC Act.</w:t>
            </w:r>
          </w:p>
        </w:tc>
      </w:tr>
      <w:tr w:rsidR="004A2F03" w:rsidRPr="00172D2D" w14:paraId="1D6DEEA0" w14:textId="77777777" w:rsidTr="000431D7">
        <w:trPr>
          <w:cnfStyle w:val="000000010000" w:firstRow="0" w:lastRow="0" w:firstColumn="0" w:lastColumn="0" w:oddVBand="0" w:evenVBand="0" w:oddHBand="0" w:evenHBand="1" w:firstRowFirstColumn="0" w:firstRowLastColumn="0" w:lastRowFirstColumn="0" w:lastRowLastColumn="0"/>
        </w:trPr>
        <w:tc>
          <w:tcPr>
            <w:tcW w:w="2500" w:type="pct"/>
          </w:tcPr>
          <w:p w14:paraId="32000B85" w14:textId="77777777" w:rsidR="004A2F03" w:rsidRPr="00172D2D" w:rsidRDefault="004A2F03" w:rsidP="00172D2D">
            <w:pPr>
              <w:pStyle w:val="ListNumber2"/>
              <w:rPr>
                <w:rFonts w:cs="Arial"/>
              </w:rPr>
            </w:pPr>
            <w:r w:rsidRPr="00172D2D">
              <w:rPr>
                <w:rFonts w:cs="Arial"/>
              </w:rPr>
              <w:t>(g)</w:t>
            </w:r>
            <w:r w:rsidRPr="00172D2D">
              <w:rPr>
                <w:rFonts w:cs="Arial"/>
              </w:rPr>
              <w:tab/>
              <w:t>And is the fishery likely to adversely affect the conservation status of a listed marine species or a population of that species?</w:t>
            </w:r>
          </w:p>
        </w:tc>
        <w:tc>
          <w:tcPr>
            <w:tcW w:w="2500" w:type="pct"/>
            <w:shd w:val="clear" w:color="auto" w:fill="92D050"/>
          </w:tcPr>
          <w:p w14:paraId="52E45A6D" w14:textId="77777777" w:rsidR="004A2F03" w:rsidRPr="00172D2D" w:rsidRDefault="004A2F03" w:rsidP="00172D2D">
            <w:pPr>
              <w:spacing w:before="60" w:after="60" w:line="240" w:lineRule="auto"/>
              <w:rPr>
                <w:rFonts w:cs="Arial"/>
                <w:sz w:val="20"/>
                <w:szCs w:val="20"/>
              </w:rPr>
            </w:pPr>
            <w:r w:rsidRPr="00172D2D">
              <w:rPr>
                <w:rFonts w:cs="Arial"/>
                <w:sz w:val="20"/>
                <w:szCs w:val="20"/>
              </w:rPr>
              <w:t xml:space="preserve">The Department of the Environment and Energy considers that the fishery to which the management regime relates does not, or is not likely to, adversely affect the survival in nature of a listed marine species or population of that species. </w:t>
            </w:r>
          </w:p>
        </w:tc>
      </w:tr>
      <w:tr w:rsidR="004A2F03" w:rsidRPr="00172D2D" w14:paraId="43830A91" w14:textId="77777777" w:rsidTr="000431D7">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1D68409A" w14:textId="77777777" w:rsidR="004A2F03" w:rsidRPr="00172D2D" w:rsidRDefault="004A2F03" w:rsidP="00172D2D">
            <w:pPr>
              <w:spacing w:before="60" w:after="60" w:line="240" w:lineRule="auto"/>
              <w:rPr>
                <w:rFonts w:cs="Arial"/>
                <w:sz w:val="20"/>
                <w:szCs w:val="20"/>
              </w:rPr>
            </w:pPr>
            <w:r w:rsidRPr="00172D2D">
              <w:rPr>
                <w:rFonts w:cs="Arial"/>
                <w:b/>
                <w:sz w:val="20"/>
                <w:szCs w:val="20"/>
              </w:rPr>
              <w:t>Section 303AA Conditions relating to accreditation of plans, regimes and policies</w:t>
            </w:r>
          </w:p>
        </w:tc>
      </w:tr>
      <w:tr w:rsidR="004A2F03" w:rsidRPr="00172D2D" w14:paraId="502D275E" w14:textId="77777777" w:rsidTr="000431D7">
        <w:trPr>
          <w:cnfStyle w:val="000000010000" w:firstRow="0" w:lastRow="0" w:firstColumn="0" w:lastColumn="0" w:oddVBand="0" w:evenVBand="0" w:oddHBand="0" w:evenHBand="1" w:firstRowFirstColumn="0" w:firstRowLastColumn="0" w:lastRowFirstColumn="0" w:lastRowLastColumn="0"/>
        </w:trPr>
        <w:tc>
          <w:tcPr>
            <w:tcW w:w="2500" w:type="pct"/>
          </w:tcPr>
          <w:p w14:paraId="1539467A" w14:textId="77777777" w:rsidR="004A2F03" w:rsidRPr="00172D2D" w:rsidRDefault="004A2F03" w:rsidP="00172D2D">
            <w:pPr>
              <w:pStyle w:val="ListNumber"/>
              <w:rPr>
                <w:rFonts w:cs="Arial"/>
              </w:rPr>
            </w:pPr>
            <w:r w:rsidRPr="00172D2D">
              <w:rPr>
                <w:rFonts w:cs="Arial"/>
              </w:rPr>
              <w:t>(1)</w:t>
            </w:r>
            <w:r w:rsidRPr="00172D2D">
              <w:rPr>
                <w:rFonts w:cs="Arial"/>
              </w:rPr>
              <w:tab/>
              <w:t>This section applies to an accreditation of a plan, regime or policy under section 208A, 222A, 245 or 265.</w:t>
            </w:r>
          </w:p>
        </w:tc>
        <w:tc>
          <w:tcPr>
            <w:tcW w:w="2500" w:type="pct"/>
            <w:shd w:val="clear" w:color="auto" w:fill="92D050"/>
          </w:tcPr>
          <w:p w14:paraId="3E11E93A" w14:textId="77777777" w:rsidR="004A2F03" w:rsidRPr="00172D2D" w:rsidRDefault="004A2F03" w:rsidP="00172D2D">
            <w:pPr>
              <w:spacing w:before="60" w:after="60" w:line="240" w:lineRule="auto"/>
              <w:rPr>
                <w:rFonts w:cs="Arial"/>
                <w:sz w:val="20"/>
                <w:szCs w:val="20"/>
              </w:rPr>
            </w:pPr>
            <w:r w:rsidRPr="00172D2D">
              <w:rPr>
                <w:rFonts w:cs="Arial"/>
                <w:sz w:val="20"/>
                <w:szCs w:val="20"/>
              </w:rPr>
              <w:t>The Department of the Environment and Energy recommends that the South Australian Blue Crab Fishery be accredited under sections 208A, 222A, 245 and 265.</w:t>
            </w:r>
          </w:p>
        </w:tc>
      </w:tr>
      <w:tr w:rsidR="004A2F03" w:rsidRPr="00172D2D" w14:paraId="48EB6BFD" w14:textId="77777777" w:rsidTr="000431D7">
        <w:trPr>
          <w:cnfStyle w:val="000000100000" w:firstRow="0" w:lastRow="0" w:firstColumn="0" w:lastColumn="0" w:oddVBand="0" w:evenVBand="0" w:oddHBand="1" w:evenHBand="0" w:firstRowFirstColumn="0" w:firstRowLastColumn="0" w:lastRowFirstColumn="0" w:lastRowLastColumn="0"/>
        </w:trPr>
        <w:tc>
          <w:tcPr>
            <w:tcW w:w="2500" w:type="pct"/>
          </w:tcPr>
          <w:p w14:paraId="6F4C1E0F" w14:textId="77777777" w:rsidR="004A2F03" w:rsidRPr="00172D2D" w:rsidRDefault="004A2F03" w:rsidP="00172D2D">
            <w:pPr>
              <w:spacing w:before="60" w:after="60" w:line="240" w:lineRule="auto"/>
              <w:ind w:left="540" w:hanging="540"/>
              <w:rPr>
                <w:rFonts w:cs="Arial"/>
                <w:sz w:val="20"/>
                <w:szCs w:val="20"/>
              </w:rPr>
            </w:pPr>
            <w:r w:rsidRPr="00172D2D">
              <w:rPr>
                <w:rFonts w:cs="Arial"/>
                <w:sz w:val="20"/>
                <w:szCs w:val="20"/>
              </w:rPr>
              <w:lastRenderedPageBreak/>
              <w:t>(2)</w:t>
            </w:r>
            <w:r w:rsidRPr="00172D2D">
              <w:rPr>
                <w:rFonts w:cs="Arial"/>
                <w:sz w:val="20"/>
                <w:szCs w:val="20"/>
              </w:rPr>
              <w:tab/>
              <w:t>The Minister may accredit a plan, regime or policy under that section even though he or she considers that the plan, regime or policy should be accredited only:</w:t>
            </w:r>
          </w:p>
          <w:p w14:paraId="562A0847" w14:textId="77777777" w:rsidR="004A2F03" w:rsidRPr="00172D2D" w:rsidRDefault="004A2F03" w:rsidP="00172D2D">
            <w:pPr>
              <w:pStyle w:val="ListNumber2"/>
              <w:rPr>
                <w:rFonts w:cs="Arial"/>
              </w:rPr>
            </w:pPr>
            <w:r w:rsidRPr="00172D2D">
              <w:rPr>
                <w:rFonts w:cs="Arial"/>
              </w:rPr>
              <w:t>(a)</w:t>
            </w:r>
            <w:r w:rsidRPr="00172D2D">
              <w:rPr>
                <w:rFonts w:cs="Arial"/>
              </w:rPr>
              <w:tab/>
              <w:t>during a particular period; or</w:t>
            </w:r>
          </w:p>
          <w:p w14:paraId="258C7C1D" w14:textId="77777777" w:rsidR="004A2F03" w:rsidRPr="00172D2D" w:rsidRDefault="004A2F03" w:rsidP="00172D2D">
            <w:pPr>
              <w:pStyle w:val="ListNumber2"/>
              <w:rPr>
                <w:rFonts w:cs="Arial"/>
              </w:rPr>
            </w:pPr>
            <w:r w:rsidRPr="00172D2D">
              <w:rPr>
                <w:rFonts w:cs="Arial"/>
              </w:rPr>
              <w:t>(b)</w:t>
            </w:r>
            <w:r w:rsidRPr="00172D2D">
              <w:rPr>
                <w:rFonts w:cs="Arial"/>
              </w:rPr>
              <w:tab/>
              <w:t>while certain circumstances exist; or</w:t>
            </w:r>
          </w:p>
          <w:p w14:paraId="198222BA" w14:textId="77777777" w:rsidR="004A2F03" w:rsidRPr="00172D2D" w:rsidRDefault="004A2F03" w:rsidP="00172D2D">
            <w:pPr>
              <w:pStyle w:val="ListNumber2"/>
              <w:rPr>
                <w:rFonts w:cs="Arial"/>
              </w:rPr>
            </w:pPr>
            <w:r w:rsidRPr="00172D2D">
              <w:rPr>
                <w:rFonts w:cs="Arial"/>
              </w:rPr>
              <w:t>(c)</w:t>
            </w:r>
            <w:r w:rsidRPr="00172D2D">
              <w:rPr>
                <w:rFonts w:cs="Arial"/>
              </w:rPr>
              <w:tab/>
            </w:r>
            <w:proofErr w:type="gramStart"/>
            <w:r w:rsidRPr="00172D2D">
              <w:rPr>
                <w:rFonts w:cs="Arial"/>
              </w:rPr>
              <w:t>while</w:t>
            </w:r>
            <w:proofErr w:type="gramEnd"/>
            <w:r w:rsidRPr="00172D2D">
              <w:rPr>
                <w:rFonts w:cs="Arial"/>
              </w:rPr>
              <w:t xml:space="preserve"> a certain condition is complied with.</w:t>
            </w:r>
          </w:p>
          <w:p w14:paraId="307B0A45" w14:textId="77777777" w:rsidR="004A2F03" w:rsidRPr="00172D2D" w:rsidRDefault="004A2F03" w:rsidP="00172D2D">
            <w:pPr>
              <w:spacing w:before="60" w:after="60" w:line="240" w:lineRule="auto"/>
              <w:rPr>
                <w:rFonts w:cs="Arial"/>
                <w:sz w:val="20"/>
                <w:szCs w:val="20"/>
              </w:rPr>
            </w:pPr>
            <w:r w:rsidRPr="00172D2D">
              <w:rPr>
                <w:rFonts w:cs="Arial"/>
                <w:sz w:val="20"/>
                <w:szCs w:val="20"/>
              </w:rPr>
              <w:t>In such a case, the instrument of accreditation is to specify the period, circumstances or condition.</w:t>
            </w:r>
          </w:p>
        </w:tc>
        <w:tc>
          <w:tcPr>
            <w:tcW w:w="2500" w:type="pct"/>
            <w:shd w:val="clear" w:color="auto" w:fill="92D050"/>
          </w:tcPr>
          <w:p w14:paraId="3E93D8A8" w14:textId="0B4B9253" w:rsidR="004A2F03" w:rsidRPr="00172D2D" w:rsidRDefault="004A2F03" w:rsidP="00172D2D">
            <w:pPr>
              <w:spacing w:before="60" w:after="60" w:line="240" w:lineRule="auto"/>
              <w:rPr>
                <w:rFonts w:cs="Arial"/>
                <w:sz w:val="20"/>
                <w:szCs w:val="20"/>
              </w:rPr>
            </w:pPr>
            <w:r w:rsidRPr="00172D2D">
              <w:rPr>
                <w:rFonts w:cs="Arial"/>
                <w:sz w:val="20"/>
                <w:szCs w:val="20"/>
              </w:rPr>
              <w:t>No condition has been imposed on the South Australian Giant Crab Fishery under Part 13.</w:t>
            </w:r>
          </w:p>
        </w:tc>
      </w:tr>
      <w:tr w:rsidR="004A2F03" w:rsidRPr="00172D2D" w14:paraId="15AE9AC6" w14:textId="77777777" w:rsidTr="000431D7">
        <w:trPr>
          <w:cnfStyle w:val="000000010000" w:firstRow="0" w:lastRow="0" w:firstColumn="0" w:lastColumn="0" w:oddVBand="0" w:evenVBand="0" w:oddHBand="0" w:evenHBand="1" w:firstRowFirstColumn="0" w:firstRowLastColumn="0" w:lastRowFirstColumn="0" w:lastRowLastColumn="0"/>
        </w:trPr>
        <w:tc>
          <w:tcPr>
            <w:tcW w:w="2500" w:type="pct"/>
          </w:tcPr>
          <w:p w14:paraId="0A9AA347" w14:textId="77777777" w:rsidR="004A2F03" w:rsidRPr="00172D2D" w:rsidRDefault="004A2F03" w:rsidP="00172D2D">
            <w:pPr>
              <w:pStyle w:val="ListNumber"/>
              <w:rPr>
                <w:rFonts w:cs="Arial"/>
              </w:rPr>
            </w:pPr>
            <w:r w:rsidRPr="00172D2D">
              <w:rPr>
                <w:rFonts w:cs="Arial"/>
              </w:rPr>
              <w:t>(7)</w:t>
            </w:r>
            <w:r w:rsidRPr="00172D2D">
              <w:rPr>
                <w:rFonts w:cs="Arial"/>
              </w:rPr>
              <w:tab/>
              <w:t>The Minister must, in writing, revoke an accreditation if he or she is satisfied that a condition of the accreditation has been contravened.</w:t>
            </w:r>
          </w:p>
        </w:tc>
        <w:tc>
          <w:tcPr>
            <w:tcW w:w="2500" w:type="pct"/>
            <w:shd w:val="clear" w:color="auto" w:fill="auto"/>
          </w:tcPr>
          <w:p w14:paraId="69769084" w14:textId="77777777" w:rsidR="004A2F03" w:rsidRPr="000431D7" w:rsidRDefault="004A2F03" w:rsidP="00172D2D">
            <w:pPr>
              <w:spacing w:before="60" w:after="60" w:line="240" w:lineRule="auto"/>
              <w:rPr>
                <w:rFonts w:cs="Arial"/>
                <w:sz w:val="20"/>
                <w:szCs w:val="20"/>
              </w:rPr>
            </w:pPr>
            <w:r w:rsidRPr="000431D7">
              <w:rPr>
                <w:rFonts w:cs="Arial"/>
                <w:sz w:val="20"/>
                <w:szCs w:val="20"/>
              </w:rPr>
              <w:t>Not applicable.</w:t>
            </w:r>
          </w:p>
          <w:p w14:paraId="0492FADD" w14:textId="77777777" w:rsidR="004A2F03" w:rsidRPr="00172D2D" w:rsidRDefault="004A2F03" w:rsidP="00172D2D">
            <w:pPr>
              <w:spacing w:before="60" w:after="60" w:line="240" w:lineRule="auto"/>
              <w:rPr>
                <w:rFonts w:cs="Arial"/>
                <w:sz w:val="20"/>
                <w:szCs w:val="20"/>
              </w:rPr>
            </w:pPr>
          </w:p>
        </w:tc>
      </w:tr>
    </w:tbl>
    <w:p w14:paraId="049BE3C1" w14:textId="572FC467" w:rsidR="004A2F03" w:rsidRPr="00172D2D" w:rsidRDefault="004A2F03" w:rsidP="00172D2D">
      <w:pPr>
        <w:spacing w:before="60" w:after="60" w:line="240" w:lineRule="auto"/>
        <w:rPr>
          <w:rFonts w:cs="Arial"/>
          <w:b/>
          <w:sz w:val="20"/>
          <w:szCs w:val="20"/>
        </w:rPr>
      </w:pPr>
    </w:p>
    <w:p w14:paraId="229A443A" w14:textId="77777777" w:rsidR="00F4533A" w:rsidRPr="000431D7" w:rsidRDefault="00F4533A" w:rsidP="00172D2D">
      <w:pPr>
        <w:spacing w:before="60" w:after="60" w:line="240" w:lineRule="auto"/>
        <w:rPr>
          <w:rFonts w:cs="Arial"/>
          <w:b/>
        </w:rPr>
      </w:pPr>
      <w:r w:rsidRPr="000431D7">
        <w:rPr>
          <w:rFonts w:cs="Arial"/>
          <w:b/>
        </w:rPr>
        <w:t>Part 13A</w:t>
      </w:r>
    </w:p>
    <w:tbl>
      <w:tblPr>
        <w:tblStyle w:val="TableGrid"/>
        <w:tblW w:w="5000" w:type="pct"/>
        <w:tblLook w:val="04A0" w:firstRow="1" w:lastRow="0" w:firstColumn="1" w:lastColumn="0" w:noHBand="0" w:noVBand="1"/>
      </w:tblPr>
      <w:tblGrid>
        <w:gridCol w:w="7053"/>
        <w:gridCol w:w="7053"/>
      </w:tblGrid>
      <w:tr w:rsidR="003C5B8E" w:rsidRPr="00172D2D" w14:paraId="4867156E" w14:textId="77777777" w:rsidTr="000431D7">
        <w:trPr>
          <w:cnfStyle w:val="100000000000" w:firstRow="1" w:lastRow="0" w:firstColumn="0" w:lastColumn="0" w:oddVBand="0" w:evenVBand="0" w:oddHBand="0" w:evenHBand="0" w:firstRowFirstColumn="0" w:firstRowLastColumn="0" w:lastRowFirstColumn="0" w:lastRowLastColumn="0"/>
        </w:trPr>
        <w:tc>
          <w:tcPr>
            <w:tcW w:w="2500" w:type="pct"/>
            <w:gridSpan w:val="2"/>
          </w:tcPr>
          <w:p w14:paraId="1BA29CD3" w14:textId="33277787" w:rsidR="003C5B8E" w:rsidRPr="00172D2D" w:rsidRDefault="003C5B8E" w:rsidP="00172D2D">
            <w:pPr>
              <w:spacing w:before="60" w:after="60" w:line="240" w:lineRule="auto"/>
              <w:rPr>
                <w:rFonts w:cs="Arial"/>
                <w:sz w:val="20"/>
                <w:szCs w:val="20"/>
              </w:rPr>
            </w:pPr>
            <w:r w:rsidRPr="00172D2D">
              <w:rPr>
                <w:rFonts w:cs="Arial"/>
                <w:b/>
                <w:bCs/>
                <w:noProof/>
                <w:sz w:val="20"/>
                <w:szCs w:val="20"/>
              </w:rPr>
              <w:t>Section 303BA Objects of Part 13A</w:t>
            </w:r>
          </w:p>
        </w:tc>
      </w:tr>
      <w:tr w:rsidR="003C5B8E" w:rsidRPr="00172D2D" w14:paraId="64E2AD8C" w14:textId="77777777" w:rsidTr="000431D7">
        <w:trPr>
          <w:cnfStyle w:val="000000100000" w:firstRow="0" w:lastRow="0" w:firstColumn="0" w:lastColumn="0" w:oddVBand="0" w:evenVBand="0" w:oddHBand="1" w:evenHBand="0" w:firstRowFirstColumn="0" w:firstRowLastColumn="0" w:lastRowFirstColumn="0" w:lastRowLastColumn="0"/>
        </w:trPr>
        <w:tc>
          <w:tcPr>
            <w:tcW w:w="2500" w:type="pct"/>
            <w:gridSpan w:val="2"/>
            <w:vAlign w:val="center"/>
          </w:tcPr>
          <w:p w14:paraId="35AE0171" w14:textId="77777777" w:rsidR="003C5B8E" w:rsidRPr="00172D2D" w:rsidRDefault="003C5B8E" w:rsidP="00172D2D">
            <w:pPr>
              <w:pStyle w:val="ListNumber"/>
              <w:rPr>
                <w:rFonts w:cs="Arial"/>
                <w:noProof/>
              </w:rPr>
            </w:pPr>
            <w:r w:rsidRPr="00172D2D">
              <w:rPr>
                <w:rFonts w:cs="Arial"/>
                <w:noProof/>
              </w:rPr>
              <w:t>(1)</w:t>
            </w:r>
            <w:r w:rsidRPr="00172D2D">
              <w:rPr>
                <w:rFonts w:cs="Arial"/>
              </w:rPr>
              <w:tab/>
            </w:r>
            <w:r w:rsidRPr="00172D2D">
              <w:rPr>
                <w:rFonts w:cs="Arial"/>
                <w:noProof/>
              </w:rPr>
              <w:t>The objects of this Part are as follows:</w:t>
            </w:r>
          </w:p>
          <w:p w14:paraId="6F7A15C7" w14:textId="77777777" w:rsidR="003C5B8E" w:rsidRPr="00172D2D" w:rsidRDefault="003C5B8E" w:rsidP="00172D2D">
            <w:pPr>
              <w:pStyle w:val="ListNumber2"/>
              <w:rPr>
                <w:rFonts w:cs="Arial"/>
              </w:rPr>
            </w:pPr>
            <w:r w:rsidRPr="00172D2D">
              <w:rPr>
                <w:rFonts w:cs="Arial"/>
              </w:rPr>
              <w:t>(a)</w:t>
            </w:r>
            <w:r w:rsidRPr="00172D2D">
              <w:rPr>
                <w:rFonts w:cs="Arial"/>
              </w:rPr>
              <w:tab/>
              <w:t>to ensure that Australia complies with its obligations under CITES and the Biodiversity Convention;</w:t>
            </w:r>
          </w:p>
          <w:p w14:paraId="39A2694E" w14:textId="77777777" w:rsidR="003C5B8E" w:rsidRPr="00172D2D" w:rsidRDefault="003C5B8E" w:rsidP="00172D2D">
            <w:pPr>
              <w:pStyle w:val="ListNumber2"/>
              <w:rPr>
                <w:rFonts w:cs="Arial"/>
              </w:rPr>
            </w:pPr>
            <w:r w:rsidRPr="00172D2D">
              <w:rPr>
                <w:rFonts w:cs="Arial"/>
              </w:rPr>
              <w:t>(b)</w:t>
            </w:r>
            <w:r w:rsidRPr="00172D2D">
              <w:rPr>
                <w:rFonts w:cs="Arial"/>
              </w:rPr>
              <w:tab/>
              <w:t>to protect wildlife that may be adversely affected by trade;</w:t>
            </w:r>
          </w:p>
          <w:p w14:paraId="26AEB279" w14:textId="77777777" w:rsidR="003C5B8E" w:rsidRPr="00172D2D" w:rsidRDefault="003C5B8E" w:rsidP="00172D2D">
            <w:pPr>
              <w:pStyle w:val="ListNumber2"/>
              <w:rPr>
                <w:rFonts w:cs="Arial"/>
              </w:rPr>
            </w:pPr>
            <w:r w:rsidRPr="00172D2D">
              <w:rPr>
                <w:rFonts w:cs="Arial"/>
              </w:rPr>
              <w:t>(c)</w:t>
            </w:r>
            <w:r w:rsidRPr="00172D2D">
              <w:rPr>
                <w:rFonts w:cs="Arial"/>
              </w:rPr>
              <w:tab/>
              <w:t>to promote the conservation of biodiversity in Australia and other countries;</w:t>
            </w:r>
          </w:p>
          <w:p w14:paraId="17019D55" w14:textId="77777777" w:rsidR="003C5B8E" w:rsidRPr="00172D2D" w:rsidRDefault="003C5B8E" w:rsidP="00172D2D">
            <w:pPr>
              <w:pStyle w:val="ListNumber2"/>
              <w:rPr>
                <w:rFonts w:cs="Arial"/>
              </w:rPr>
            </w:pPr>
            <w:r w:rsidRPr="00172D2D">
              <w:rPr>
                <w:rFonts w:cs="Arial"/>
              </w:rPr>
              <w:t>(d)</w:t>
            </w:r>
            <w:r w:rsidRPr="00172D2D">
              <w:rPr>
                <w:rFonts w:cs="Arial"/>
              </w:rPr>
              <w:tab/>
              <w:t>to ensure that any commercial utilisation of Australian native wildlife for the purposes of export is managed in an ecologically sustainable way;</w:t>
            </w:r>
          </w:p>
          <w:p w14:paraId="33FD8365" w14:textId="77777777" w:rsidR="003C5B8E" w:rsidRPr="00172D2D" w:rsidRDefault="003C5B8E" w:rsidP="00172D2D">
            <w:pPr>
              <w:pStyle w:val="ListNumber2"/>
              <w:rPr>
                <w:rFonts w:cs="Arial"/>
              </w:rPr>
            </w:pPr>
            <w:r w:rsidRPr="00172D2D">
              <w:rPr>
                <w:rFonts w:cs="Arial"/>
              </w:rPr>
              <w:t>(e)</w:t>
            </w:r>
            <w:r w:rsidRPr="00172D2D">
              <w:rPr>
                <w:rFonts w:cs="Arial"/>
              </w:rPr>
              <w:tab/>
              <w:t>to promote the humane treatment of wildlife;</w:t>
            </w:r>
          </w:p>
          <w:p w14:paraId="1FA69867" w14:textId="77777777" w:rsidR="003C5B8E" w:rsidRPr="00172D2D" w:rsidRDefault="003C5B8E" w:rsidP="00172D2D">
            <w:pPr>
              <w:pStyle w:val="ListNumber2"/>
              <w:rPr>
                <w:rFonts w:cs="Arial"/>
              </w:rPr>
            </w:pPr>
            <w:r w:rsidRPr="00172D2D">
              <w:rPr>
                <w:rFonts w:cs="Arial"/>
              </w:rPr>
              <w:t>(f)</w:t>
            </w:r>
            <w:r w:rsidRPr="00172D2D">
              <w:rPr>
                <w:rFonts w:cs="Arial"/>
              </w:rPr>
              <w:tab/>
              <w:t>to ensure ethical conduct during any research associated with the utilisation of wildlife; and</w:t>
            </w:r>
          </w:p>
          <w:p w14:paraId="553171AC" w14:textId="77777777" w:rsidR="003C5B8E" w:rsidRPr="00172D2D" w:rsidRDefault="003C5B8E" w:rsidP="00172D2D">
            <w:pPr>
              <w:pStyle w:val="ListNumber2"/>
              <w:rPr>
                <w:rFonts w:cs="Arial"/>
              </w:rPr>
            </w:pPr>
            <w:r w:rsidRPr="00172D2D">
              <w:rPr>
                <w:rFonts w:cs="Arial"/>
              </w:rPr>
              <w:t>(h)</w:t>
            </w:r>
            <w:r w:rsidRPr="00172D2D">
              <w:rPr>
                <w:rFonts w:cs="Arial"/>
              </w:rPr>
              <w:tab/>
            </w:r>
            <w:proofErr w:type="gramStart"/>
            <w:r w:rsidRPr="00172D2D">
              <w:rPr>
                <w:rFonts w:cs="Arial"/>
              </w:rPr>
              <w:t>to</w:t>
            </w:r>
            <w:proofErr w:type="gramEnd"/>
            <w:r w:rsidRPr="00172D2D">
              <w:rPr>
                <w:rFonts w:cs="Arial"/>
              </w:rPr>
              <w:t xml:space="preserve"> ensure the precautionary principle is taken into account in making decisions relating to the utilisation of wildlife.</w:t>
            </w:r>
          </w:p>
        </w:tc>
      </w:tr>
      <w:tr w:rsidR="000431D7" w:rsidRPr="00172D2D" w14:paraId="5426A5D0" w14:textId="77777777" w:rsidTr="000431D7">
        <w:trPr>
          <w:cnfStyle w:val="000000010000" w:firstRow="0" w:lastRow="0" w:firstColumn="0" w:lastColumn="0" w:oddVBand="0" w:evenVBand="0" w:oddHBand="0" w:evenHBand="1" w:firstRowFirstColumn="0" w:firstRowLastColumn="0" w:lastRowFirstColumn="0" w:lastRowLastColumn="0"/>
        </w:trPr>
        <w:tc>
          <w:tcPr>
            <w:tcW w:w="2500" w:type="pct"/>
            <w:vAlign w:val="center"/>
          </w:tcPr>
          <w:p w14:paraId="6728BA6F" w14:textId="77777777" w:rsidR="000431D7" w:rsidRPr="00172D2D" w:rsidRDefault="000431D7" w:rsidP="00172D2D">
            <w:pPr>
              <w:spacing w:before="60" w:after="60" w:line="240" w:lineRule="auto"/>
              <w:ind w:left="426" w:hanging="426"/>
              <w:rPr>
                <w:rFonts w:cs="Arial"/>
                <w:b/>
                <w:sz w:val="20"/>
                <w:szCs w:val="20"/>
              </w:rPr>
            </w:pPr>
          </w:p>
        </w:tc>
        <w:tc>
          <w:tcPr>
            <w:tcW w:w="2500" w:type="pct"/>
            <w:shd w:val="clear" w:color="auto" w:fill="auto"/>
            <w:vAlign w:val="center"/>
          </w:tcPr>
          <w:p w14:paraId="751C2790" w14:textId="33E26A27" w:rsidR="000431D7" w:rsidRPr="000431D7" w:rsidRDefault="000431D7" w:rsidP="00172D2D">
            <w:pPr>
              <w:spacing w:before="60" w:after="60" w:line="240" w:lineRule="auto"/>
              <w:rPr>
                <w:rFonts w:cs="Arial"/>
                <w:b/>
                <w:sz w:val="20"/>
                <w:szCs w:val="20"/>
              </w:rPr>
            </w:pPr>
            <w:r w:rsidRPr="000431D7">
              <w:rPr>
                <w:rFonts w:cs="Arial"/>
                <w:b/>
                <w:sz w:val="20"/>
                <w:szCs w:val="20"/>
              </w:rPr>
              <w:t>Comment</w:t>
            </w:r>
          </w:p>
        </w:tc>
      </w:tr>
      <w:tr w:rsidR="003C5B8E" w:rsidRPr="00172D2D" w14:paraId="3AC97F05" w14:textId="77777777" w:rsidTr="000431D7">
        <w:trPr>
          <w:cnfStyle w:val="000000100000" w:firstRow="0" w:lastRow="0" w:firstColumn="0" w:lastColumn="0" w:oddVBand="0" w:evenVBand="0" w:oddHBand="1" w:evenHBand="0" w:firstRowFirstColumn="0" w:firstRowLastColumn="0" w:lastRowFirstColumn="0" w:lastRowLastColumn="0"/>
        </w:trPr>
        <w:tc>
          <w:tcPr>
            <w:tcW w:w="2500" w:type="pct"/>
            <w:gridSpan w:val="2"/>
            <w:vAlign w:val="center"/>
          </w:tcPr>
          <w:p w14:paraId="69B408FB" w14:textId="77777777" w:rsidR="003C5B8E" w:rsidRPr="00172D2D" w:rsidRDefault="003C5B8E" w:rsidP="00172D2D">
            <w:pPr>
              <w:spacing w:before="60" w:after="60" w:line="240" w:lineRule="auto"/>
              <w:rPr>
                <w:rFonts w:cs="Arial"/>
                <w:sz w:val="20"/>
                <w:szCs w:val="20"/>
              </w:rPr>
            </w:pPr>
            <w:r w:rsidRPr="00172D2D">
              <w:rPr>
                <w:rFonts w:cs="Arial"/>
                <w:b/>
                <w:sz w:val="20"/>
                <w:szCs w:val="20"/>
              </w:rPr>
              <w:t>Section 303DC Minister may amend list (non CITES species)</w:t>
            </w:r>
          </w:p>
        </w:tc>
      </w:tr>
      <w:tr w:rsidR="003C5B8E" w:rsidRPr="00172D2D" w14:paraId="2802BDF0" w14:textId="77777777" w:rsidTr="000431D7">
        <w:trPr>
          <w:cnfStyle w:val="000000010000" w:firstRow="0" w:lastRow="0" w:firstColumn="0" w:lastColumn="0" w:oddVBand="0" w:evenVBand="0" w:oddHBand="0" w:evenHBand="1" w:firstRowFirstColumn="0" w:firstRowLastColumn="0" w:lastRowFirstColumn="0" w:lastRowLastColumn="0"/>
        </w:trPr>
        <w:tc>
          <w:tcPr>
            <w:tcW w:w="2500" w:type="pct"/>
          </w:tcPr>
          <w:p w14:paraId="5F1AA3A1" w14:textId="77777777" w:rsidR="003C5B8E" w:rsidRPr="00172D2D" w:rsidRDefault="003C5B8E" w:rsidP="00172D2D">
            <w:pPr>
              <w:pStyle w:val="ListNumber"/>
              <w:rPr>
                <w:rFonts w:cs="Arial"/>
              </w:rPr>
            </w:pPr>
            <w:r w:rsidRPr="00172D2D">
              <w:rPr>
                <w:rFonts w:cs="Arial"/>
              </w:rPr>
              <w:t>(1)</w:t>
            </w:r>
            <w:r w:rsidRPr="00172D2D">
              <w:rPr>
                <w:rFonts w:cs="Arial"/>
              </w:rPr>
              <w:tab/>
              <w:t>The Minister may amend the LENS by:</w:t>
            </w:r>
          </w:p>
          <w:p w14:paraId="1C0435E7" w14:textId="77777777" w:rsidR="003C5B8E" w:rsidRPr="00172D2D" w:rsidRDefault="003C5B8E" w:rsidP="00172D2D">
            <w:pPr>
              <w:pStyle w:val="ListNumber2"/>
              <w:rPr>
                <w:rFonts w:cs="Arial"/>
              </w:rPr>
            </w:pPr>
            <w:r w:rsidRPr="00172D2D">
              <w:rPr>
                <w:rFonts w:cs="Arial"/>
              </w:rPr>
              <w:t>(a)</w:t>
            </w:r>
            <w:r w:rsidRPr="00172D2D">
              <w:rPr>
                <w:rFonts w:cs="Arial"/>
              </w:rPr>
              <w:tab/>
              <w:t>doing any of the following:</w:t>
            </w:r>
          </w:p>
          <w:p w14:paraId="68948D4C" w14:textId="77777777" w:rsidR="003C5B8E" w:rsidRPr="00172D2D" w:rsidRDefault="003C5B8E" w:rsidP="00172D2D">
            <w:pPr>
              <w:pStyle w:val="ListNumber3"/>
              <w:rPr>
                <w:rFonts w:cs="Arial"/>
              </w:rPr>
            </w:pPr>
            <w:r w:rsidRPr="00172D2D">
              <w:rPr>
                <w:rFonts w:cs="Arial"/>
              </w:rPr>
              <w:t>(</w:t>
            </w:r>
            <w:proofErr w:type="spellStart"/>
            <w:r w:rsidRPr="00172D2D">
              <w:rPr>
                <w:rFonts w:cs="Arial"/>
              </w:rPr>
              <w:t>i</w:t>
            </w:r>
            <w:proofErr w:type="spellEnd"/>
            <w:r w:rsidRPr="00172D2D">
              <w:rPr>
                <w:rFonts w:cs="Arial"/>
              </w:rPr>
              <w:t>)</w:t>
            </w:r>
            <w:r w:rsidRPr="00172D2D">
              <w:rPr>
                <w:rFonts w:cs="Arial"/>
              </w:rPr>
              <w:tab/>
              <w:t xml:space="preserve">including items in the list; </w:t>
            </w:r>
          </w:p>
          <w:p w14:paraId="25FD8729" w14:textId="77777777" w:rsidR="003C5B8E" w:rsidRPr="00172D2D" w:rsidRDefault="003C5B8E" w:rsidP="00172D2D">
            <w:pPr>
              <w:pStyle w:val="ListNumber3"/>
              <w:rPr>
                <w:rFonts w:cs="Arial"/>
              </w:rPr>
            </w:pPr>
            <w:r w:rsidRPr="00172D2D">
              <w:rPr>
                <w:rFonts w:cs="Arial"/>
              </w:rPr>
              <w:t>(ii)</w:t>
            </w:r>
            <w:r w:rsidRPr="00172D2D">
              <w:rPr>
                <w:rFonts w:cs="Arial"/>
              </w:rPr>
              <w:tab/>
              <w:t>deleting items from</w:t>
            </w:r>
            <w:r w:rsidRPr="00172D2D">
              <w:rPr>
                <w:rStyle w:val="apple-converted-space"/>
                <w:rFonts w:cs="Arial"/>
              </w:rPr>
              <w:t> </w:t>
            </w:r>
            <w:r w:rsidRPr="00172D2D">
              <w:rPr>
                <w:rFonts w:cs="Arial"/>
              </w:rPr>
              <w:t>the</w:t>
            </w:r>
            <w:r w:rsidRPr="00172D2D">
              <w:rPr>
                <w:rStyle w:val="apple-converted-space"/>
                <w:rFonts w:cs="Arial"/>
              </w:rPr>
              <w:t> </w:t>
            </w:r>
            <w:r w:rsidRPr="00172D2D">
              <w:rPr>
                <w:rFonts w:cs="Arial"/>
              </w:rPr>
              <w:t>list;</w:t>
            </w:r>
          </w:p>
          <w:p w14:paraId="0A36EE9D" w14:textId="77777777" w:rsidR="003C5B8E" w:rsidRPr="00172D2D" w:rsidRDefault="003C5B8E" w:rsidP="00172D2D">
            <w:pPr>
              <w:pStyle w:val="ListNumber3"/>
              <w:rPr>
                <w:rFonts w:cs="Arial"/>
              </w:rPr>
            </w:pPr>
            <w:r w:rsidRPr="00172D2D">
              <w:rPr>
                <w:rFonts w:cs="Arial"/>
              </w:rPr>
              <w:t>(iii)</w:t>
            </w:r>
            <w:r w:rsidRPr="00172D2D">
              <w:rPr>
                <w:rFonts w:cs="Arial"/>
              </w:rPr>
              <w:tab/>
              <w:t>imposing a condition or restriction to which the inclusion of a specimen in the list is subject;</w:t>
            </w:r>
          </w:p>
          <w:p w14:paraId="786CB1C8" w14:textId="77777777" w:rsidR="003C5B8E" w:rsidRPr="00172D2D" w:rsidRDefault="003C5B8E" w:rsidP="00172D2D">
            <w:pPr>
              <w:pStyle w:val="ListNumber3"/>
              <w:rPr>
                <w:rFonts w:cs="Arial"/>
              </w:rPr>
            </w:pPr>
            <w:r w:rsidRPr="00172D2D">
              <w:rPr>
                <w:rFonts w:cs="Arial"/>
              </w:rPr>
              <w:t>(iv)</w:t>
            </w:r>
            <w:r w:rsidRPr="00172D2D">
              <w:rPr>
                <w:rFonts w:cs="Arial"/>
              </w:rPr>
              <w:tab/>
              <w:t>varying or revoking a condition or restriction to which the inclusion of a specimen in the list is subject</w:t>
            </w:r>
          </w:p>
        </w:tc>
        <w:tc>
          <w:tcPr>
            <w:tcW w:w="2500" w:type="pct"/>
            <w:shd w:val="clear" w:color="auto" w:fill="auto"/>
          </w:tcPr>
          <w:p w14:paraId="7CED410F" w14:textId="1DEE2D40" w:rsidR="003C5B8E" w:rsidRPr="00172D2D" w:rsidRDefault="003C5B8E" w:rsidP="00172D2D">
            <w:pPr>
              <w:spacing w:before="60" w:after="60" w:line="240" w:lineRule="auto"/>
              <w:rPr>
                <w:rFonts w:cs="Arial"/>
                <w:iCs/>
                <w:snapToGrid w:val="0"/>
                <w:sz w:val="20"/>
                <w:szCs w:val="20"/>
              </w:rPr>
            </w:pPr>
            <w:r w:rsidRPr="00172D2D">
              <w:rPr>
                <w:rFonts w:cs="Arial"/>
                <w:sz w:val="20"/>
                <w:szCs w:val="20"/>
              </w:rPr>
              <w:t xml:space="preserve">The Department </w:t>
            </w:r>
            <w:r w:rsidRPr="00172D2D">
              <w:rPr>
                <w:rFonts w:cs="Arial"/>
                <w:b/>
                <w:sz w:val="20"/>
                <w:szCs w:val="20"/>
              </w:rPr>
              <w:t>recommends</w:t>
            </w:r>
            <w:r w:rsidRPr="00172D2D">
              <w:rPr>
                <w:rFonts w:cs="Arial"/>
                <w:sz w:val="20"/>
                <w:szCs w:val="20"/>
              </w:rPr>
              <w:t xml:space="preserve"> that specimens </w:t>
            </w:r>
            <w:r w:rsidRPr="00172D2D">
              <w:rPr>
                <w:rFonts w:cs="Arial"/>
                <w:snapToGrid w:val="0"/>
                <w:sz w:val="20"/>
                <w:szCs w:val="20"/>
              </w:rPr>
              <w:t xml:space="preserve">that are or are derived from fish or invertebrates, taken in the </w:t>
            </w:r>
            <w:r w:rsidRPr="00172D2D">
              <w:rPr>
                <w:rFonts w:cs="Arial"/>
                <w:sz w:val="20"/>
                <w:szCs w:val="20"/>
              </w:rPr>
              <w:t xml:space="preserve">South Australian Giant Crab Fishery </w:t>
            </w:r>
            <w:r w:rsidRPr="00172D2D">
              <w:rPr>
                <w:rFonts w:cs="Arial"/>
                <w:snapToGrid w:val="0"/>
                <w:sz w:val="20"/>
                <w:szCs w:val="20"/>
              </w:rPr>
              <w:t xml:space="preserve">as defined in the </w:t>
            </w:r>
            <w:r w:rsidRPr="00172D2D">
              <w:rPr>
                <w:rFonts w:cs="Arial"/>
                <w:sz w:val="20"/>
                <w:szCs w:val="20"/>
              </w:rPr>
              <w:t xml:space="preserve">management regime in force under the South Australian </w:t>
            </w:r>
            <w:r w:rsidRPr="00172D2D">
              <w:rPr>
                <w:rFonts w:cs="Arial"/>
                <w:bCs/>
                <w:i/>
                <w:iCs/>
                <w:sz w:val="20"/>
                <w:szCs w:val="20"/>
              </w:rPr>
              <w:t>Fisheries Management Act 2007</w:t>
            </w:r>
            <w:r w:rsidRPr="00172D2D">
              <w:rPr>
                <w:rFonts w:cs="Arial"/>
                <w:sz w:val="20"/>
                <w:szCs w:val="20"/>
              </w:rPr>
              <w:t xml:space="preserve">, </w:t>
            </w:r>
            <w:r w:rsidRPr="00172D2D">
              <w:rPr>
                <w:rFonts w:cs="Arial"/>
                <w:snapToGrid w:val="0"/>
                <w:sz w:val="20"/>
                <w:szCs w:val="20"/>
              </w:rPr>
              <w:t>but not including</w:t>
            </w:r>
          </w:p>
          <w:p w14:paraId="34E5E2F2" w14:textId="77777777" w:rsidR="003C5B8E" w:rsidRPr="00172D2D" w:rsidRDefault="003C5B8E" w:rsidP="00172D2D">
            <w:pPr>
              <w:pStyle w:val="ListBullet"/>
              <w:tabs>
                <w:tab w:val="num" w:pos="720"/>
              </w:tabs>
              <w:spacing w:before="60" w:after="60" w:line="240" w:lineRule="auto"/>
              <w:ind w:left="357" w:hanging="357"/>
              <w:rPr>
                <w:rFonts w:cs="Arial"/>
                <w:sz w:val="20"/>
                <w:szCs w:val="20"/>
              </w:rPr>
            </w:pPr>
            <w:r w:rsidRPr="00172D2D">
              <w:rPr>
                <w:rFonts w:cs="Arial"/>
                <w:sz w:val="20"/>
                <w:szCs w:val="20"/>
              </w:rPr>
              <w:t xml:space="preserve">specimens that belong to eligible listed threatened species, as defined under section 303BC of the EPBC Act, or </w:t>
            </w:r>
          </w:p>
          <w:p w14:paraId="7240398C" w14:textId="77777777" w:rsidR="003C5B8E" w:rsidRPr="00172D2D" w:rsidRDefault="003C5B8E" w:rsidP="00172D2D">
            <w:pPr>
              <w:pStyle w:val="ListBullet"/>
              <w:tabs>
                <w:tab w:val="num" w:pos="720"/>
              </w:tabs>
              <w:spacing w:before="60" w:after="60" w:line="240" w:lineRule="auto"/>
              <w:ind w:left="357" w:hanging="357"/>
              <w:rPr>
                <w:rFonts w:cs="Arial"/>
                <w:sz w:val="20"/>
                <w:szCs w:val="20"/>
              </w:rPr>
            </w:pPr>
            <w:r w:rsidRPr="00172D2D">
              <w:rPr>
                <w:rFonts w:cs="Arial"/>
                <w:sz w:val="20"/>
                <w:szCs w:val="20"/>
              </w:rPr>
              <w:t xml:space="preserve">specimens that belong to taxa listed under section 303CA of the EPBC Act (Australia’s CITES list) </w:t>
            </w:r>
          </w:p>
          <w:p w14:paraId="24ECB5AF" w14:textId="77777777" w:rsidR="003C5B8E" w:rsidRPr="00172D2D" w:rsidRDefault="003C5B8E" w:rsidP="00172D2D">
            <w:pPr>
              <w:spacing w:before="60" w:after="60" w:line="240" w:lineRule="auto"/>
              <w:rPr>
                <w:rFonts w:cs="Arial"/>
                <w:sz w:val="20"/>
                <w:szCs w:val="20"/>
              </w:rPr>
            </w:pPr>
            <w:proofErr w:type="gramStart"/>
            <w:r w:rsidRPr="00172D2D">
              <w:rPr>
                <w:rFonts w:cs="Arial"/>
                <w:sz w:val="20"/>
                <w:szCs w:val="20"/>
              </w:rPr>
              <w:t>be</w:t>
            </w:r>
            <w:proofErr w:type="gramEnd"/>
            <w:r w:rsidRPr="00172D2D">
              <w:rPr>
                <w:rFonts w:cs="Arial"/>
                <w:sz w:val="20"/>
                <w:szCs w:val="20"/>
              </w:rPr>
              <w:t xml:space="preserve"> included in the list of exempt native specimens until 25 July 2025.</w:t>
            </w:r>
          </w:p>
        </w:tc>
      </w:tr>
      <w:tr w:rsidR="003C5B8E" w:rsidRPr="00172D2D" w14:paraId="5BDDFC89" w14:textId="77777777" w:rsidTr="000431D7">
        <w:trPr>
          <w:cnfStyle w:val="000000100000" w:firstRow="0" w:lastRow="0" w:firstColumn="0" w:lastColumn="0" w:oddVBand="0" w:evenVBand="0" w:oddHBand="1" w:evenHBand="0" w:firstRowFirstColumn="0" w:firstRowLastColumn="0" w:lastRowFirstColumn="0" w:lastRowLastColumn="0"/>
        </w:trPr>
        <w:tc>
          <w:tcPr>
            <w:tcW w:w="2500" w:type="pct"/>
          </w:tcPr>
          <w:p w14:paraId="0C3D5EFB" w14:textId="77777777" w:rsidR="003C5B8E" w:rsidRPr="00172D2D" w:rsidRDefault="003C5B8E" w:rsidP="00172D2D">
            <w:pPr>
              <w:pStyle w:val="ListNumber"/>
              <w:rPr>
                <w:rFonts w:cs="Arial"/>
              </w:rPr>
            </w:pPr>
            <w:r w:rsidRPr="00172D2D">
              <w:rPr>
                <w:rFonts w:cs="Arial"/>
              </w:rPr>
              <w:lastRenderedPageBreak/>
              <w:t>(1A)</w:t>
            </w:r>
            <w:r w:rsidRPr="00172D2D">
              <w:rPr>
                <w:rFonts w:cs="Arial"/>
              </w:rPr>
              <w:tab/>
              <w:t xml:space="preserve">In deciding to amend LENS, Minister must rely primarily on outcomes of Part 10, </w:t>
            </w:r>
            <w:proofErr w:type="spellStart"/>
            <w:r w:rsidRPr="00172D2D">
              <w:rPr>
                <w:rFonts w:cs="Arial"/>
              </w:rPr>
              <w:t>Div</w:t>
            </w:r>
            <w:proofErr w:type="spellEnd"/>
            <w:r w:rsidRPr="00172D2D">
              <w:rPr>
                <w:rFonts w:cs="Arial"/>
              </w:rPr>
              <w:t xml:space="preserve"> 1 0r 2 assessment</w:t>
            </w:r>
          </w:p>
        </w:tc>
        <w:tc>
          <w:tcPr>
            <w:tcW w:w="2500" w:type="pct"/>
            <w:shd w:val="clear" w:color="auto" w:fill="auto"/>
          </w:tcPr>
          <w:p w14:paraId="021E34D8" w14:textId="5630CD41" w:rsidR="003C5B8E" w:rsidRPr="00172D2D" w:rsidRDefault="003C5B8E" w:rsidP="000431D7">
            <w:pPr>
              <w:spacing w:before="60" w:after="60" w:line="240" w:lineRule="auto"/>
              <w:rPr>
                <w:rFonts w:cs="Arial"/>
                <w:sz w:val="20"/>
                <w:szCs w:val="20"/>
              </w:rPr>
            </w:pPr>
            <w:r w:rsidRPr="000431D7">
              <w:rPr>
                <w:rFonts w:cs="Arial"/>
                <w:sz w:val="20"/>
                <w:szCs w:val="20"/>
              </w:rPr>
              <w:t>Not applicable.</w:t>
            </w:r>
            <w:r w:rsidR="000431D7">
              <w:rPr>
                <w:rFonts w:cs="Arial"/>
                <w:sz w:val="20"/>
                <w:szCs w:val="20"/>
              </w:rPr>
              <w:t xml:space="preserve"> </w:t>
            </w:r>
            <w:r w:rsidRPr="00172D2D">
              <w:rPr>
                <w:rFonts w:cs="Arial"/>
                <w:sz w:val="20"/>
                <w:szCs w:val="20"/>
              </w:rPr>
              <w:t>No assessment under Part 10 of the EPBC Act has been completed as the South Australian Giant Crab Fishery is not a Commonwealth fishery.</w:t>
            </w:r>
          </w:p>
        </w:tc>
      </w:tr>
      <w:tr w:rsidR="003C5B8E" w:rsidRPr="00172D2D" w14:paraId="405D05F9" w14:textId="77777777" w:rsidTr="000431D7">
        <w:trPr>
          <w:cnfStyle w:val="000000010000" w:firstRow="0" w:lastRow="0" w:firstColumn="0" w:lastColumn="0" w:oddVBand="0" w:evenVBand="0" w:oddHBand="0" w:evenHBand="1" w:firstRowFirstColumn="0" w:firstRowLastColumn="0" w:lastRowFirstColumn="0" w:lastRowLastColumn="0"/>
        </w:trPr>
        <w:tc>
          <w:tcPr>
            <w:tcW w:w="2500" w:type="pct"/>
          </w:tcPr>
          <w:p w14:paraId="6E2E0B34" w14:textId="77777777" w:rsidR="003C5B8E" w:rsidRPr="00172D2D" w:rsidRDefault="003C5B8E" w:rsidP="00172D2D">
            <w:pPr>
              <w:pStyle w:val="ListNumber"/>
              <w:rPr>
                <w:rFonts w:cs="Arial"/>
              </w:rPr>
            </w:pPr>
            <w:r w:rsidRPr="00172D2D">
              <w:rPr>
                <w:rFonts w:cs="Arial"/>
              </w:rPr>
              <w:t>(1C)</w:t>
            </w:r>
            <w:r w:rsidRPr="00172D2D">
              <w:rPr>
                <w:rFonts w:cs="Arial"/>
              </w:rPr>
              <w:tab/>
            </w:r>
            <w:proofErr w:type="gramStart"/>
            <w:r w:rsidRPr="00172D2D">
              <w:rPr>
                <w:rFonts w:cs="Arial"/>
              </w:rPr>
              <w:t>The</w:t>
            </w:r>
            <w:proofErr w:type="gramEnd"/>
            <w:r w:rsidRPr="00172D2D">
              <w:rPr>
                <w:rFonts w:cs="Arial"/>
              </w:rPr>
              <w:t xml:space="preserve"> above does not limit matters that may be considered when deciding to amend LENS.</w:t>
            </w:r>
          </w:p>
        </w:tc>
        <w:tc>
          <w:tcPr>
            <w:tcW w:w="2500" w:type="pct"/>
            <w:shd w:val="clear" w:color="auto" w:fill="92D050"/>
          </w:tcPr>
          <w:p w14:paraId="3DCC2378" w14:textId="77777777" w:rsidR="003C5B8E" w:rsidRPr="00172D2D" w:rsidRDefault="003C5B8E" w:rsidP="00172D2D">
            <w:pPr>
              <w:spacing w:before="60" w:after="60" w:line="240" w:lineRule="auto"/>
              <w:rPr>
                <w:rFonts w:cs="Arial"/>
                <w:iCs/>
                <w:sz w:val="20"/>
                <w:szCs w:val="20"/>
              </w:rPr>
            </w:pPr>
            <w:r w:rsidRPr="00172D2D">
              <w:rPr>
                <w:rFonts w:cs="Arial"/>
                <w:sz w:val="20"/>
                <w:szCs w:val="20"/>
              </w:rPr>
              <w:t>The Department considers that the amendment of the list of exempt native specimens to include product derived from the fishery would be consistent with the provisions of Part 13A (listed above) as</w:t>
            </w:r>
            <w:r w:rsidRPr="00172D2D">
              <w:rPr>
                <w:rFonts w:cs="Arial"/>
                <w:iCs/>
                <w:sz w:val="20"/>
                <w:szCs w:val="20"/>
              </w:rPr>
              <w:t>:</w:t>
            </w:r>
          </w:p>
          <w:p w14:paraId="5B797C3F" w14:textId="77777777" w:rsidR="003C5B8E" w:rsidRPr="00172D2D" w:rsidRDefault="003C5B8E" w:rsidP="00172D2D">
            <w:pPr>
              <w:pStyle w:val="ListBullet"/>
              <w:spacing w:before="60" w:after="60" w:line="240" w:lineRule="auto"/>
              <w:rPr>
                <w:rFonts w:cs="Arial"/>
                <w:sz w:val="20"/>
                <w:szCs w:val="20"/>
              </w:rPr>
            </w:pPr>
            <w:r w:rsidRPr="00172D2D">
              <w:rPr>
                <w:rFonts w:cs="Arial"/>
                <w:sz w:val="20"/>
                <w:szCs w:val="20"/>
              </w:rPr>
              <w:t>the fishery will not harvest any Convention on International Trade in Endangered Species of Wild Fauna and Flora (CITES) listed species</w:t>
            </w:r>
          </w:p>
          <w:p w14:paraId="5EA06BEE" w14:textId="77777777" w:rsidR="003C5B8E" w:rsidRPr="00172D2D" w:rsidRDefault="003C5B8E" w:rsidP="00172D2D">
            <w:pPr>
              <w:pStyle w:val="ListBullet"/>
              <w:spacing w:before="60" w:after="60" w:line="240" w:lineRule="auto"/>
              <w:rPr>
                <w:rFonts w:cs="Arial"/>
                <w:sz w:val="20"/>
                <w:szCs w:val="20"/>
              </w:rPr>
            </w:pPr>
            <w:r w:rsidRPr="00172D2D">
              <w:rPr>
                <w:rFonts w:cs="Arial"/>
                <w:sz w:val="20"/>
                <w:szCs w:val="20"/>
              </w:rPr>
              <w:t>there are management arrangements in place to ensure that the resource is being managed in an ecologically sustainable way (see links above)</w:t>
            </w:r>
          </w:p>
          <w:p w14:paraId="4B596AA4" w14:textId="77777777" w:rsidR="003C5B8E" w:rsidRPr="00172D2D" w:rsidRDefault="003C5B8E" w:rsidP="00172D2D">
            <w:pPr>
              <w:pStyle w:val="ListBullet"/>
              <w:spacing w:before="60" w:after="60" w:line="240" w:lineRule="auto"/>
              <w:rPr>
                <w:rFonts w:cs="Arial"/>
                <w:sz w:val="20"/>
                <w:szCs w:val="20"/>
              </w:rPr>
            </w:pPr>
            <w:proofErr w:type="gramStart"/>
            <w:r w:rsidRPr="00172D2D">
              <w:rPr>
                <w:rFonts w:cs="Arial"/>
                <w:sz w:val="20"/>
                <w:szCs w:val="20"/>
              </w:rPr>
              <w:t>the</w:t>
            </w:r>
            <w:proofErr w:type="gramEnd"/>
            <w:r w:rsidRPr="00172D2D">
              <w:rPr>
                <w:rFonts w:cs="Arial"/>
                <w:sz w:val="20"/>
                <w:szCs w:val="20"/>
              </w:rPr>
              <w:t xml:space="preserve"> operation of the fishery is unlikely to be unsustainable and threaten biodiversity within the next ten years.</w:t>
            </w:r>
          </w:p>
        </w:tc>
      </w:tr>
      <w:tr w:rsidR="003C5B8E" w:rsidRPr="00172D2D" w14:paraId="69602809" w14:textId="77777777" w:rsidTr="000431D7">
        <w:trPr>
          <w:cnfStyle w:val="000000100000" w:firstRow="0" w:lastRow="0" w:firstColumn="0" w:lastColumn="0" w:oddVBand="0" w:evenVBand="0" w:oddHBand="1" w:evenHBand="0" w:firstRowFirstColumn="0" w:firstRowLastColumn="0" w:lastRowFirstColumn="0" w:lastRowLastColumn="0"/>
        </w:trPr>
        <w:tc>
          <w:tcPr>
            <w:tcW w:w="2500" w:type="pct"/>
            <w:vAlign w:val="center"/>
          </w:tcPr>
          <w:p w14:paraId="4BBAE69E" w14:textId="77777777" w:rsidR="003C5B8E" w:rsidRPr="00172D2D" w:rsidRDefault="003C5B8E" w:rsidP="00172D2D">
            <w:pPr>
              <w:pStyle w:val="ListNumber"/>
              <w:rPr>
                <w:rFonts w:cs="Arial"/>
              </w:rPr>
            </w:pPr>
            <w:r w:rsidRPr="00172D2D">
              <w:rPr>
                <w:rFonts w:cs="Arial"/>
              </w:rPr>
              <w:t>(3)</w:t>
            </w:r>
            <w:r w:rsidRPr="00172D2D">
              <w:rPr>
                <w:rFonts w:cs="Arial"/>
              </w:rPr>
              <w:tab/>
              <w:t>Before amending LENS, Minister must consult:</w:t>
            </w:r>
          </w:p>
          <w:p w14:paraId="5C2E07F9" w14:textId="77777777" w:rsidR="003C5B8E" w:rsidRPr="00172D2D" w:rsidRDefault="003C5B8E" w:rsidP="00172D2D">
            <w:pPr>
              <w:pStyle w:val="ListNumber2"/>
              <w:rPr>
                <w:rFonts w:cs="Arial"/>
              </w:rPr>
            </w:pPr>
            <w:r w:rsidRPr="00172D2D">
              <w:rPr>
                <w:rFonts w:cs="Arial"/>
              </w:rPr>
              <w:t>(a)</w:t>
            </w:r>
            <w:r w:rsidRPr="00172D2D">
              <w:rPr>
                <w:rFonts w:cs="Arial"/>
              </w:rPr>
              <w:tab/>
              <w:t>other Minister or Ministers as appropriate; and</w:t>
            </w:r>
          </w:p>
          <w:p w14:paraId="6CF4CDB8" w14:textId="77777777" w:rsidR="003C5B8E" w:rsidRPr="00172D2D" w:rsidRDefault="003C5B8E" w:rsidP="00172D2D">
            <w:pPr>
              <w:pStyle w:val="ListNumber2"/>
              <w:rPr>
                <w:rFonts w:cs="Arial"/>
              </w:rPr>
            </w:pPr>
            <w:r w:rsidRPr="00172D2D">
              <w:rPr>
                <w:rFonts w:cs="Arial"/>
              </w:rPr>
              <w:t>(b)</w:t>
            </w:r>
            <w:r w:rsidRPr="00172D2D">
              <w:rPr>
                <w:rFonts w:cs="Arial"/>
              </w:rPr>
              <w:tab/>
              <w:t>other Minister or Ministers of each State and self-governing Territory as appropriate; and</w:t>
            </w:r>
          </w:p>
          <w:p w14:paraId="06850C20" w14:textId="77777777" w:rsidR="003C5B8E" w:rsidRPr="00172D2D" w:rsidRDefault="003C5B8E" w:rsidP="00172D2D">
            <w:pPr>
              <w:pStyle w:val="ListNumber2"/>
              <w:rPr>
                <w:rFonts w:cs="Arial"/>
              </w:rPr>
            </w:pPr>
            <w:r w:rsidRPr="00172D2D">
              <w:rPr>
                <w:rFonts w:cs="Arial"/>
              </w:rPr>
              <w:t>(c)</w:t>
            </w:r>
            <w:r w:rsidRPr="00172D2D">
              <w:rPr>
                <w:rFonts w:cs="Arial"/>
              </w:rPr>
              <w:tab/>
            </w:r>
            <w:proofErr w:type="gramStart"/>
            <w:r w:rsidRPr="00172D2D">
              <w:rPr>
                <w:rFonts w:cs="Arial"/>
              </w:rPr>
              <w:t>other</w:t>
            </w:r>
            <w:proofErr w:type="gramEnd"/>
            <w:r w:rsidRPr="00172D2D">
              <w:rPr>
                <w:rFonts w:cs="Arial"/>
              </w:rPr>
              <w:t xml:space="preserve"> persons and organisations as appropriate.</w:t>
            </w:r>
          </w:p>
        </w:tc>
        <w:tc>
          <w:tcPr>
            <w:tcW w:w="2500" w:type="pct"/>
            <w:shd w:val="clear" w:color="auto" w:fill="FFC000"/>
          </w:tcPr>
          <w:p w14:paraId="556A482F" w14:textId="77777777" w:rsidR="003C5B8E" w:rsidRPr="00172D2D" w:rsidRDefault="003C5B8E" w:rsidP="00172D2D">
            <w:pPr>
              <w:spacing w:before="60" w:after="60" w:line="240" w:lineRule="auto"/>
              <w:rPr>
                <w:rFonts w:cs="Arial"/>
                <w:sz w:val="20"/>
                <w:szCs w:val="20"/>
              </w:rPr>
            </w:pPr>
            <w:r w:rsidRPr="00172D2D">
              <w:rPr>
                <w:rFonts w:cs="Arial"/>
                <w:sz w:val="20"/>
                <w:szCs w:val="20"/>
              </w:rPr>
              <w:t>General consultation with the (SA) Minister for Fisheries in October 2014 (MS14-002367).</w:t>
            </w:r>
          </w:p>
        </w:tc>
      </w:tr>
    </w:tbl>
    <w:p w14:paraId="050F4668" w14:textId="77777777" w:rsidR="003C5B8E" w:rsidRPr="00172D2D" w:rsidRDefault="003C5B8E" w:rsidP="00172D2D">
      <w:pPr>
        <w:spacing w:before="60" w:after="60" w:line="240" w:lineRule="auto"/>
        <w:rPr>
          <w:rFonts w:cs="Arial"/>
          <w:sz w:val="20"/>
          <w:szCs w:val="20"/>
        </w:rPr>
      </w:pPr>
    </w:p>
    <w:p w14:paraId="229A448A" w14:textId="35F7F8C4" w:rsidR="001F21F3" w:rsidRPr="00172D2D" w:rsidRDefault="003C5B8E" w:rsidP="00172D2D">
      <w:pPr>
        <w:spacing w:before="60" w:after="60" w:line="240" w:lineRule="auto"/>
        <w:rPr>
          <w:rFonts w:cs="Arial"/>
          <w:b/>
          <w:sz w:val="20"/>
          <w:szCs w:val="20"/>
        </w:rPr>
      </w:pPr>
      <w:r w:rsidRPr="00172D2D">
        <w:rPr>
          <w:rFonts w:cs="Arial"/>
          <w:b/>
          <w:sz w:val="20"/>
          <w:szCs w:val="20"/>
        </w:rPr>
        <w:t>Part 16</w:t>
      </w:r>
    </w:p>
    <w:tbl>
      <w:tblPr>
        <w:tblStyle w:val="TableGrid"/>
        <w:tblW w:w="5000" w:type="pct"/>
        <w:tblLook w:val="04A0" w:firstRow="1" w:lastRow="0" w:firstColumn="1" w:lastColumn="0" w:noHBand="0" w:noVBand="1"/>
      </w:tblPr>
      <w:tblGrid>
        <w:gridCol w:w="7053"/>
        <w:gridCol w:w="7053"/>
      </w:tblGrid>
      <w:tr w:rsidR="000431D7" w:rsidRPr="00172D2D" w14:paraId="03CCEC08" w14:textId="77777777" w:rsidTr="000431D7">
        <w:trPr>
          <w:cnfStyle w:val="100000000000" w:firstRow="1" w:lastRow="0" w:firstColumn="0" w:lastColumn="0" w:oddVBand="0" w:evenVBand="0" w:oddHBand="0" w:evenHBand="0" w:firstRowFirstColumn="0" w:firstRowLastColumn="0" w:lastRowFirstColumn="0" w:lastRowLastColumn="0"/>
        </w:trPr>
        <w:tc>
          <w:tcPr>
            <w:tcW w:w="2500" w:type="pct"/>
          </w:tcPr>
          <w:p w14:paraId="2176A662" w14:textId="77777777" w:rsidR="000431D7" w:rsidRPr="00172D2D" w:rsidRDefault="000431D7" w:rsidP="000431D7">
            <w:pPr>
              <w:spacing w:before="60" w:after="60" w:line="240" w:lineRule="auto"/>
              <w:ind w:left="426" w:hanging="426"/>
              <w:rPr>
                <w:rFonts w:cs="Arial"/>
                <w:b/>
                <w:sz w:val="20"/>
                <w:szCs w:val="20"/>
              </w:rPr>
            </w:pPr>
          </w:p>
        </w:tc>
        <w:tc>
          <w:tcPr>
            <w:tcW w:w="2500" w:type="pct"/>
            <w:shd w:val="clear" w:color="auto" w:fill="auto"/>
          </w:tcPr>
          <w:p w14:paraId="2B4150FE" w14:textId="2C800828" w:rsidR="000431D7" w:rsidRPr="00172D2D" w:rsidRDefault="000431D7" w:rsidP="000431D7">
            <w:pPr>
              <w:spacing w:before="60" w:after="60" w:line="240" w:lineRule="auto"/>
              <w:rPr>
                <w:rFonts w:cs="Arial"/>
                <w:b/>
                <w:sz w:val="20"/>
                <w:szCs w:val="20"/>
              </w:rPr>
            </w:pPr>
            <w:r w:rsidRPr="00172D2D">
              <w:rPr>
                <w:rFonts w:cs="Arial"/>
                <w:b/>
                <w:sz w:val="20"/>
                <w:szCs w:val="20"/>
              </w:rPr>
              <w:t>Comment</w:t>
            </w:r>
          </w:p>
        </w:tc>
      </w:tr>
      <w:tr w:rsidR="003C5B8E" w:rsidRPr="00172D2D" w14:paraId="57599333" w14:textId="77777777" w:rsidTr="000431D7">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67879485" w14:textId="77777777" w:rsidR="003C5B8E" w:rsidRPr="00172D2D" w:rsidRDefault="003C5B8E" w:rsidP="000431D7">
            <w:pPr>
              <w:spacing w:before="60" w:after="60" w:line="240" w:lineRule="auto"/>
              <w:rPr>
                <w:rFonts w:cs="Arial"/>
                <w:sz w:val="20"/>
                <w:szCs w:val="20"/>
              </w:rPr>
            </w:pPr>
            <w:r w:rsidRPr="00172D2D">
              <w:rPr>
                <w:rFonts w:cs="Arial"/>
                <w:b/>
                <w:sz w:val="20"/>
                <w:szCs w:val="20"/>
              </w:rPr>
              <w:t>Section 391 Minister must consider precautionary principle in making decisions</w:t>
            </w:r>
          </w:p>
        </w:tc>
      </w:tr>
      <w:tr w:rsidR="003C5B8E" w:rsidRPr="00172D2D" w14:paraId="7EECA73D" w14:textId="77777777" w:rsidTr="000431D7">
        <w:trPr>
          <w:cnfStyle w:val="000000010000" w:firstRow="0" w:lastRow="0" w:firstColumn="0" w:lastColumn="0" w:oddVBand="0" w:evenVBand="0" w:oddHBand="0" w:evenHBand="1" w:firstRowFirstColumn="0" w:firstRowLastColumn="0" w:lastRowFirstColumn="0" w:lastRowLastColumn="0"/>
        </w:trPr>
        <w:tc>
          <w:tcPr>
            <w:tcW w:w="2500" w:type="pct"/>
          </w:tcPr>
          <w:p w14:paraId="2270E00C" w14:textId="77777777" w:rsidR="003C5B8E" w:rsidRPr="00172D2D" w:rsidRDefault="003C5B8E" w:rsidP="000431D7">
            <w:pPr>
              <w:spacing w:before="60" w:after="60" w:line="240" w:lineRule="auto"/>
              <w:ind w:left="426" w:hanging="426"/>
              <w:rPr>
                <w:rFonts w:cs="Arial"/>
                <w:sz w:val="20"/>
                <w:szCs w:val="20"/>
              </w:rPr>
            </w:pPr>
            <w:r w:rsidRPr="00172D2D">
              <w:rPr>
                <w:rFonts w:cs="Arial"/>
                <w:sz w:val="20"/>
                <w:szCs w:val="20"/>
              </w:rPr>
              <w:t>(1)</w:t>
            </w:r>
            <w:r w:rsidRPr="00172D2D">
              <w:rPr>
                <w:rFonts w:cs="Arial"/>
                <w:sz w:val="20"/>
                <w:szCs w:val="20"/>
              </w:rPr>
              <w:tab/>
              <w:t>Minister must take account of precautionary principle</w:t>
            </w:r>
          </w:p>
          <w:p w14:paraId="5F500200" w14:textId="77777777" w:rsidR="003C5B8E" w:rsidRPr="00172D2D" w:rsidRDefault="003C5B8E" w:rsidP="000431D7">
            <w:pPr>
              <w:spacing w:before="60" w:after="60" w:line="240" w:lineRule="auto"/>
              <w:ind w:left="426" w:hanging="426"/>
              <w:rPr>
                <w:rFonts w:cs="Arial"/>
                <w:sz w:val="20"/>
                <w:szCs w:val="20"/>
              </w:rPr>
            </w:pPr>
            <w:r w:rsidRPr="00172D2D">
              <w:rPr>
                <w:rFonts w:cs="Arial"/>
                <w:sz w:val="20"/>
                <w:szCs w:val="20"/>
              </w:rPr>
              <w:t>(2)</w:t>
            </w:r>
            <w:r w:rsidRPr="00172D2D">
              <w:rPr>
                <w:rFonts w:cs="Arial"/>
                <w:sz w:val="20"/>
                <w:szCs w:val="20"/>
              </w:rPr>
              <w:tab/>
              <w:t xml:space="preserve">The </w:t>
            </w:r>
            <w:r w:rsidRPr="00172D2D">
              <w:rPr>
                <w:rFonts w:cs="Arial"/>
                <w:color w:val="000000"/>
                <w:sz w:val="20"/>
                <w:szCs w:val="20"/>
              </w:rPr>
              <w:t>precautionary principle is that lack of full scientific certainty should not be used as a reason for postponing a measure to prevent degradation of the environment where there are threats of serious or irreversible environmental</w:t>
            </w:r>
            <w:r w:rsidRPr="00172D2D">
              <w:rPr>
                <w:rFonts w:cs="Arial"/>
                <w:sz w:val="20"/>
                <w:szCs w:val="20"/>
              </w:rPr>
              <w:t xml:space="preserve"> damage.</w:t>
            </w:r>
          </w:p>
        </w:tc>
        <w:tc>
          <w:tcPr>
            <w:tcW w:w="2500" w:type="pct"/>
            <w:shd w:val="clear" w:color="auto" w:fill="92D050"/>
          </w:tcPr>
          <w:p w14:paraId="3FE2E80A" w14:textId="77B4CFC9" w:rsidR="003C5B8E" w:rsidRPr="00172D2D" w:rsidRDefault="003C5B8E" w:rsidP="000431D7">
            <w:pPr>
              <w:spacing w:before="60" w:after="60" w:line="240" w:lineRule="auto"/>
              <w:rPr>
                <w:rFonts w:cs="Arial"/>
                <w:sz w:val="20"/>
                <w:szCs w:val="20"/>
              </w:rPr>
            </w:pPr>
            <w:r w:rsidRPr="000431D7">
              <w:rPr>
                <w:rFonts w:cs="Arial"/>
                <w:sz w:val="20"/>
                <w:szCs w:val="20"/>
              </w:rPr>
              <w:t>Precautionary management measures in place</w:t>
            </w:r>
            <w:r w:rsidR="004A2F03" w:rsidRPr="000431D7">
              <w:rPr>
                <w:rFonts w:cs="Arial"/>
                <w:sz w:val="20"/>
                <w:szCs w:val="20"/>
              </w:rPr>
              <w:t>.</w:t>
            </w:r>
            <w:r w:rsidR="000431D7">
              <w:rPr>
                <w:rFonts w:cs="Arial"/>
                <w:sz w:val="20"/>
                <w:szCs w:val="20"/>
              </w:rPr>
              <w:t xml:space="preserve"> </w:t>
            </w:r>
            <w:r w:rsidRPr="00172D2D">
              <w:rPr>
                <w:rFonts w:cs="Arial"/>
                <w:sz w:val="20"/>
                <w:szCs w:val="20"/>
              </w:rPr>
              <w:t>The precautionary principle has been considered by the Department when making its recommendation to the delegate to include specimens in the list of exempt native specimens.</w:t>
            </w:r>
          </w:p>
        </w:tc>
      </w:tr>
    </w:tbl>
    <w:p w14:paraId="229A44A8" w14:textId="77777777" w:rsidR="00164E7C" w:rsidRPr="00172D2D" w:rsidRDefault="00164E7C" w:rsidP="00172D2D">
      <w:pPr>
        <w:spacing w:before="60" w:after="60" w:line="240" w:lineRule="auto"/>
        <w:rPr>
          <w:rFonts w:cs="Arial"/>
          <w:b/>
          <w:sz w:val="20"/>
          <w:szCs w:val="20"/>
        </w:rPr>
      </w:pPr>
    </w:p>
    <w:sectPr w:rsidR="00164E7C" w:rsidRPr="00172D2D"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A44AB" w14:textId="77777777" w:rsidR="00172D2D" w:rsidRDefault="00172D2D" w:rsidP="00A60185">
      <w:pPr>
        <w:spacing w:after="0" w:line="240" w:lineRule="auto"/>
      </w:pPr>
      <w:r>
        <w:separator/>
      </w:r>
    </w:p>
  </w:endnote>
  <w:endnote w:type="continuationSeparator" w:id="0">
    <w:p w14:paraId="229A44AC" w14:textId="77777777" w:rsidR="00172D2D" w:rsidRDefault="00172D2D"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2BDF2" w14:textId="77777777" w:rsidR="00BE30EF" w:rsidRDefault="00BE30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3DE98" w14:textId="77777777" w:rsidR="00BE30EF" w:rsidRDefault="00BE30E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981DE" w14:textId="77777777" w:rsidR="00172D2D" w:rsidRPr="009E0662" w:rsidRDefault="00172D2D" w:rsidP="004A2F03">
    <w:pPr>
      <w:pStyle w:val="Footer"/>
    </w:pPr>
  </w:p>
  <w:p w14:paraId="0707E89A" w14:textId="77777777" w:rsidR="00172D2D" w:rsidRPr="009E0662" w:rsidRDefault="00172D2D" w:rsidP="004A2F0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2584776"/>
      <w:docPartObj>
        <w:docPartGallery w:val="Page Numbers (Bottom of Page)"/>
        <w:docPartUnique/>
      </w:docPartObj>
    </w:sdtPr>
    <w:sdtEndPr/>
    <w:sdtContent>
      <w:p w14:paraId="32D4CA6F" w14:textId="77777777" w:rsidR="00172D2D" w:rsidRPr="009827EA" w:rsidRDefault="00172D2D" w:rsidP="004A2F03">
        <w:pPr>
          <w:pStyle w:val="Footer"/>
        </w:pPr>
        <w:r w:rsidRPr="009827EA">
          <w:fldChar w:fldCharType="begin"/>
        </w:r>
        <w:r w:rsidRPr="009827EA">
          <w:instrText xml:space="preserve"> PAGE   \* MERGEFORMAT </w:instrText>
        </w:r>
        <w:r w:rsidRPr="009827EA">
          <w:fldChar w:fldCharType="separate"/>
        </w:r>
        <w:r w:rsidR="00BE30EF">
          <w:rPr>
            <w:noProof/>
          </w:rPr>
          <w:t>2</w:t>
        </w:r>
        <w:r w:rsidRPr="009827EA">
          <w:rPr>
            <w:noProof/>
          </w:rPr>
          <w:fldChar w:fldCharType="end"/>
        </w:r>
      </w:p>
    </w:sdtContent>
  </w:sdt>
  <w:p w14:paraId="2866E2A9" w14:textId="77777777" w:rsidR="00172D2D" w:rsidRPr="009827EA" w:rsidRDefault="00172D2D" w:rsidP="004A2F0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26735"/>
      <w:docPartObj>
        <w:docPartGallery w:val="Page Numbers (Bottom of Page)"/>
        <w:docPartUnique/>
      </w:docPartObj>
    </w:sdtPr>
    <w:sdtEndPr/>
    <w:sdtContent>
      <w:p w14:paraId="229A44AF" w14:textId="77777777" w:rsidR="00172D2D" w:rsidRPr="004A2F03" w:rsidRDefault="00172D2D" w:rsidP="004A2F03">
        <w:pPr>
          <w:pStyle w:val="Footer"/>
        </w:pPr>
        <w:r w:rsidRPr="004A2F03">
          <w:fldChar w:fldCharType="begin"/>
        </w:r>
        <w:r w:rsidRPr="004A2F03">
          <w:instrText xml:space="preserve"> PAGE   \* MERGEFORMAT </w:instrText>
        </w:r>
        <w:r w:rsidRPr="004A2F03">
          <w:fldChar w:fldCharType="separate"/>
        </w:r>
        <w:r w:rsidR="00BE30EF">
          <w:rPr>
            <w:noProof/>
          </w:rPr>
          <w:t>14</w:t>
        </w:r>
        <w:r w:rsidRPr="004A2F03">
          <w:fldChar w:fldCharType="end"/>
        </w:r>
      </w:p>
    </w:sdtContent>
  </w:sdt>
  <w:p w14:paraId="229A44B0" w14:textId="77777777" w:rsidR="00172D2D" w:rsidRPr="004A2F03" w:rsidRDefault="00172D2D" w:rsidP="004A2F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9A44A9" w14:textId="77777777" w:rsidR="00172D2D" w:rsidRDefault="00172D2D" w:rsidP="00A60185">
      <w:pPr>
        <w:spacing w:after="0" w:line="240" w:lineRule="auto"/>
      </w:pPr>
      <w:r>
        <w:separator/>
      </w:r>
    </w:p>
  </w:footnote>
  <w:footnote w:type="continuationSeparator" w:id="0">
    <w:p w14:paraId="229A44AA" w14:textId="77777777" w:rsidR="00172D2D" w:rsidRDefault="00172D2D"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468C9" w14:textId="1EF17982" w:rsidR="00172D2D" w:rsidRDefault="00172D2D" w:rsidP="004A2F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EA7C5" w14:textId="30CF39E2" w:rsidR="00172D2D" w:rsidRDefault="00172D2D" w:rsidP="004A2F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2B577" w14:textId="2B66B9C5" w:rsidR="00172D2D" w:rsidRDefault="00172D2D" w:rsidP="004A2F0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E4156" w14:textId="3E89E8D7" w:rsidR="00172D2D" w:rsidRDefault="00172D2D" w:rsidP="00E45765">
    <w:pPr>
      <w:pStyle w:val="Classification"/>
    </w:pPr>
    <w:r>
      <w:fldChar w:fldCharType="begin"/>
    </w:r>
    <w:r>
      <w:instrText xml:space="preserve"> DOCPROPERTY SecurityClassification \* MERGEFORMAT </w:instrText>
    </w:r>
    <w:r>
      <w:fldChar w:fldCharType="separate"/>
    </w:r>
    <w:r w:rsidR="00264342">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EBAE4" w14:textId="4BB64A22" w:rsidR="00172D2D" w:rsidRPr="009E0662" w:rsidRDefault="00172D2D" w:rsidP="004A2F03">
    <w:pPr>
      <w:pStyle w:val="Header"/>
    </w:pPr>
    <w:r w:rsidRPr="009E0662">
      <w:t>Tasmanian Abalone Fishery</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4CF4A" w14:textId="18EC5BC9" w:rsidR="00172D2D" w:rsidRDefault="00172D2D" w:rsidP="004A2F0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A44AD" w14:textId="77777777" w:rsidR="00172D2D" w:rsidRDefault="00172D2D" w:rsidP="00E45765">
    <w:pPr>
      <w:pStyle w:val="Classification"/>
    </w:pPr>
    <w:r>
      <w:fldChar w:fldCharType="begin"/>
    </w:r>
    <w:r>
      <w:instrText xml:space="preserve"> DOCPROPERTY SecurityClassification \* MERGEFORMAT </w:instrText>
    </w:r>
    <w:r>
      <w:fldChar w:fldCharType="separate"/>
    </w:r>
    <w:r w:rsidR="00264342">
      <w:rPr>
        <w:b/>
        <w:bCs/>
        <w:lang w:val="en-US"/>
      </w:rPr>
      <w:t>Error! Unknown document property name.</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A44AE" w14:textId="77777777" w:rsidR="00172D2D" w:rsidRPr="004A2F03" w:rsidRDefault="00172D2D" w:rsidP="004A2F03">
    <w:pPr>
      <w:pStyle w:val="Header"/>
    </w:pPr>
    <w:r w:rsidRPr="004A2F03">
      <w:t>SA Giant Crab Fishery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F745BC2"/>
    <w:multiLevelType w:val="multilevel"/>
    <w:tmpl w:val="E5E89F92"/>
    <w:numStyleLink w:val="BulletList"/>
  </w:abstractNum>
  <w:abstractNum w:abstractNumId="10"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5456429"/>
    <w:multiLevelType w:val="multilevel"/>
    <w:tmpl w:val="E898CC72"/>
    <w:numStyleLink w:val="KeyPoints"/>
  </w:abstractNum>
  <w:abstractNum w:abstractNumId="27"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2"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1"/>
  </w:num>
  <w:num w:numId="2">
    <w:abstractNumId w:val="1"/>
  </w:num>
  <w:num w:numId="3">
    <w:abstractNumId w:val="17"/>
  </w:num>
  <w:num w:numId="4">
    <w:abstractNumId w:val="0"/>
  </w:num>
  <w:num w:numId="5">
    <w:abstractNumId w:val="16"/>
  </w:num>
  <w:num w:numId="6">
    <w:abstractNumId w:val="26"/>
  </w:num>
  <w:num w:numId="7">
    <w:abstractNumId w:val="9"/>
  </w:num>
  <w:num w:numId="8">
    <w:abstractNumId w:val="4"/>
  </w:num>
  <w:num w:numId="9">
    <w:abstractNumId w:val="19"/>
  </w:num>
  <w:num w:numId="10">
    <w:abstractNumId w:val="28"/>
  </w:num>
  <w:num w:numId="11">
    <w:abstractNumId w:val="22"/>
  </w:num>
  <w:num w:numId="12">
    <w:abstractNumId w:val="5"/>
  </w:num>
  <w:num w:numId="13">
    <w:abstractNumId w:val="13"/>
  </w:num>
  <w:num w:numId="14">
    <w:abstractNumId w:val="29"/>
  </w:num>
  <w:num w:numId="15">
    <w:abstractNumId w:val="23"/>
  </w:num>
  <w:num w:numId="16">
    <w:abstractNumId w:val="2"/>
  </w:num>
  <w:num w:numId="17">
    <w:abstractNumId w:val="14"/>
  </w:num>
  <w:num w:numId="18">
    <w:abstractNumId w:val="10"/>
  </w:num>
  <w:num w:numId="19">
    <w:abstractNumId w:val="21"/>
  </w:num>
  <w:num w:numId="20">
    <w:abstractNumId w:val="12"/>
  </w:num>
  <w:num w:numId="21">
    <w:abstractNumId w:val="8"/>
  </w:num>
  <w:num w:numId="22">
    <w:abstractNumId w:val="11"/>
  </w:num>
  <w:num w:numId="23">
    <w:abstractNumId w:val="20"/>
  </w:num>
  <w:num w:numId="24">
    <w:abstractNumId w:val="25"/>
  </w:num>
  <w:num w:numId="25">
    <w:abstractNumId w:val="18"/>
  </w:num>
  <w:num w:numId="26">
    <w:abstractNumId w:val="6"/>
  </w:num>
  <w:num w:numId="27">
    <w:abstractNumId w:val="7"/>
  </w:num>
  <w:num w:numId="28">
    <w:abstractNumId w:val="24"/>
  </w:num>
  <w:num w:numId="29">
    <w:abstractNumId w:val="30"/>
  </w:num>
  <w:num w:numId="30">
    <w:abstractNumId w:val="32"/>
  </w:num>
  <w:num w:numId="31">
    <w:abstractNumId w:val="27"/>
  </w:num>
  <w:num w:numId="32">
    <w:abstractNumId w:val="0"/>
    <w:lvlOverride w:ilvl="0">
      <w:startOverride w:val="1"/>
    </w:lvlOverride>
  </w:num>
  <w:num w:numId="33">
    <w:abstractNumId w:val="3"/>
  </w:num>
  <w:num w:numId="34">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0B10"/>
    <w:rsid w:val="00004AEE"/>
    <w:rsid w:val="00005CAA"/>
    <w:rsid w:val="000063A6"/>
    <w:rsid w:val="0000761A"/>
    <w:rsid w:val="00010210"/>
    <w:rsid w:val="00012D66"/>
    <w:rsid w:val="00015ADA"/>
    <w:rsid w:val="00020C99"/>
    <w:rsid w:val="00021E54"/>
    <w:rsid w:val="00021F7A"/>
    <w:rsid w:val="0002707B"/>
    <w:rsid w:val="0003695A"/>
    <w:rsid w:val="00037057"/>
    <w:rsid w:val="0004210D"/>
    <w:rsid w:val="000431D7"/>
    <w:rsid w:val="0005148E"/>
    <w:rsid w:val="0005678B"/>
    <w:rsid w:val="00060173"/>
    <w:rsid w:val="000652E8"/>
    <w:rsid w:val="000707FE"/>
    <w:rsid w:val="00072C5A"/>
    <w:rsid w:val="000759E5"/>
    <w:rsid w:val="00080CF6"/>
    <w:rsid w:val="00084AC6"/>
    <w:rsid w:val="00091608"/>
    <w:rsid w:val="0009333C"/>
    <w:rsid w:val="0009704F"/>
    <w:rsid w:val="000A0527"/>
    <w:rsid w:val="000A0F11"/>
    <w:rsid w:val="000A125A"/>
    <w:rsid w:val="000A57CD"/>
    <w:rsid w:val="000A7439"/>
    <w:rsid w:val="000A7A4E"/>
    <w:rsid w:val="000B2634"/>
    <w:rsid w:val="000B3758"/>
    <w:rsid w:val="000B3BD8"/>
    <w:rsid w:val="000B7681"/>
    <w:rsid w:val="000B7B42"/>
    <w:rsid w:val="000B7D60"/>
    <w:rsid w:val="000C02B7"/>
    <w:rsid w:val="000C5100"/>
    <w:rsid w:val="000C5342"/>
    <w:rsid w:val="000C6D16"/>
    <w:rsid w:val="000C706A"/>
    <w:rsid w:val="000D2887"/>
    <w:rsid w:val="000D6D63"/>
    <w:rsid w:val="000E0081"/>
    <w:rsid w:val="000E07CF"/>
    <w:rsid w:val="000E31C1"/>
    <w:rsid w:val="000E549D"/>
    <w:rsid w:val="000F2CF2"/>
    <w:rsid w:val="000F36AA"/>
    <w:rsid w:val="00100BEF"/>
    <w:rsid w:val="00102E56"/>
    <w:rsid w:val="00103079"/>
    <w:rsid w:val="00106930"/>
    <w:rsid w:val="00106AA0"/>
    <w:rsid w:val="00111326"/>
    <w:rsid w:val="00111BFD"/>
    <w:rsid w:val="001137AD"/>
    <w:rsid w:val="0011498E"/>
    <w:rsid w:val="00116583"/>
    <w:rsid w:val="001167CB"/>
    <w:rsid w:val="00117A45"/>
    <w:rsid w:val="001219D8"/>
    <w:rsid w:val="001224AE"/>
    <w:rsid w:val="001337D4"/>
    <w:rsid w:val="00133F76"/>
    <w:rsid w:val="00134C7B"/>
    <w:rsid w:val="00134DBD"/>
    <w:rsid w:val="001437EE"/>
    <w:rsid w:val="00147C12"/>
    <w:rsid w:val="00151762"/>
    <w:rsid w:val="001527A1"/>
    <w:rsid w:val="001530DC"/>
    <w:rsid w:val="00154989"/>
    <w:rsid w:val="00154E10"/>
    <w:rsid w:val="00155A9F"/>
    <w:rsid w:val="00160262"/>
    <w:rsid w:val="00164155"/>
    <w:rsid w:val="00164E7C"/>
    <w:rsid w:val="0016780A"/>
    <w:rsid w:val="001713FA"/>
    <w:rsid w:val="00172D2D"/>
    <w:rsid w:val="00173EBF"/>
    <w:rsid w:val="00175ED3"/>
    <w:rsid w:val="00180D1E"/>
    <w:rsid w:val="001842A2"/>
    <w:rsid w:val="001843CC"/>
    <w:rsid w:val="00187BD6"/>
    <w:rsid w:val="00187FA8"/>
    <w:rsid w:val="00192F5E"/>
    <w:rsid w:val="001955CD"/>
    <w:rsid w:val="00197772"/>
    <w:rsid w:val="001A51C8"/>
    <w:rsid w:val="001A652E"/>
    <w:rsid w:val="001B4CA8"/>
    <w:rsid w:val="001B5EA1"/>
    <w:rsid w:val="001B5EDC"/>
    <w:rsid w:val="001B6C59"/>
    <w:rsid w:val="001C0C6F"/>
    <w:rsid w:val="001C196E"/>
    <w:rsid w:val="001C4F3D"/>
    <w:rsid w:val="001D0CDC"/>
    <w:rsid w:val="001D1D82"/>
    <w:rsid w:val="001D1EAF"/>
    <w:rsid w:val="001D4C5D"/>
    <w:rsid w:val="001D7659"/>
    <w:rsid w:val="001E1182"/>
    <w:rsid w:val="001E4141"/>
    <w:rsid w:val="001F1137"/>
    <w:rsid w:val="001F21F3"/>
    <w:rsid w:val="00202C90"/>
    <w:rsid w:val="0020445D"/>
    <w:rsid w:val="00213DE8"/>
    <w:rsid w:val="00216118"/>
    <w:rsid w:val="002209AB"/>
    <w:rsid w:val="00224BAB"/>
    <w:rsid w:val="002251E3"/>
    <w:rsid w:val="00227A95"/>
    <w:rsid w:val="002316BD"/>
    <w:rsid w:val="00234726"/>
    <w:rsid w:val="002473FC"/>
    <w:rsid w:val="00247569"/>
    <w:rsid w:val="0024773B"/>
    <w:rsid w:val="00251347"/>
    <w:rsid w:val="00251F2A"/>
    <w:rsid w:val="00252E3C"/>
    <w:rsid w:val="00262198"/>
    <w:rsid w:val="002631C0"/>
    <w:rsid w:val="00264342"/>
    <w:rsid w:val="00277E2F"/>
    <w:rsid w:val="00285F1B"/>
    <w:rsid w:val="00292B81"/>
    <w:rsid w:val="0029710B"/>
    <w:rsid w:val="0029751A"/>
    <w:rsid w:val="00297699"/>
    <w:rsid w:val="002B18AE"/>
    <w:rsid w:val="002B7822"/>
    <w:rsid w:val="002C04BE"/>
    <w:rsid w:val="002C0E14"/>
    <w:rsid w:val="002C1C93"/>
    <w:rsid w:val="002C5066"/>
    <w:rsid w:val="002C5813"/>
    <w:rsid w:val="002D4AAC"/>
    <w:rsid w:val="002D594F"/>
    <w:rsid w:val="002D781C"/>
    <w:rsid w:val="002E02C4"/>
    <w:rsid w:val="002F045A"/>
    <w:rsid w:val="002F0B87"/>
    <w:rsid w:val="002F2769"/>
    <w:rsid w:val="0030039D"/>
    <w:rsid w:val="00301307"/>
    <w:rsid w:val="0030326F"/>
    <w:rsid w:val="00310701"/>
    <w:rsid w:val="00315980"/>
    <w:rsid w:val="00316F7F"/>
    <w:rsid w:val="003218E8"/>
    <w:rsid w:val="00323B2B"/>
    <w:rsid w:val="00325E34"/>
    <w:rsid w:val="00330DCE"/>
    <w:rsid w:val="00331E11"/>
    <w:rsid w:val="00334761"/>
    <w:rsid w:val="00337EBC"/>
    <w:rsid w:val="003407E0"/>
    <w:rsid w:val="003416B6"/>
    <w:rsid w:val="00341DCD"/>
    <w:rsid w:val="003437F4"/>
    <w:rsid w:val="0034563E"/>
    <w:rsid w:val="003518D6"/>
    <w:rsid w:val="0035460C"/>
    <w:rsid w:val="003556BD"/>
    <w:rsid w:val="00365147"/>
    <w:rsid w:val="00365F93"/>
    <w:rsid w:val="00366F99"/>
    <w:rsid w:val="0037016E"/>
    <w:rsid w:val="00372214"/>
    <w:rsid w:val="00372908"/>
    <w:rsid w:val="00383020"/>
    <w:rsid w:val="0039325D"/>
    <w:rsid w:val="00394D65"/>
    <w:rsid w:val="00394D7E"/>
    <w:rsid w:val="003975FD"/>
    <w:rsid w:val="003A38A3"/>
    <w:rsid w:val="003B057D"/>
    <w:rsid w:val="003B60CC"/>
    <w:rsid w:val="003C1B25"/>
    <w:rsid w:val="003C2443"/>
    <w:rsid w:val="003C4448"/>
    <w:rsid w:val="003C5B8E"/>
    <w:rsid w:val="003C5DA3"/>
    <w:rsid w:val="003D08A3"/>
    <w:rsid w:val="003D4BCD"/>
    <w:rsid w:val="003D6C2B"/>
    <w:rsid w:val="003E01D8"/>
    <w:rsid w:val="003E2100"/>
    <w:rsid w:val="003E4571"/>
    <w:rsid w:val="003F46A2"/>
    <w:rsid w:val="003F4F69"/>
    <w:rsid w:val="003F5351"/>
    <w:rsid w:val="003F6F5B"/>
    <w:rsid w:val="0040342D"/>
    <w:rsid w:val="004116FE"/>
    <w:rsid w:val="0041192D"/>
    <w:rsid w:val="00413EE1"/>
    <w:rsid w:val="0042128E"/>
    <w:rsid w:val="00427D77"/>
    <w:rsid w:val="00431124"/>
    <w:rsid w:val="00432B60"/>
    <w:rsid w:val="00440698"/>
    <w:rsid w:val="004452AE"/>
    <w:rsid w:val="00446BB5"/>
    <w:rsid w:val="00446EEE"/>
    <w:rsid w:val="004540E2"/>
    <w:rsid w:val="00454454"/>
    <w:rsid w:val="00467924"/>
    <w:rsid w:val="004712A5"/>
    <w:rsid w:val="0047266F"/>
    <w:rsid w:val="00476D6B"/>
    <w:rsid w:val="00491090"/>
    <w:rsid w:val="00492C16"/>
    <w:rsid w:val="004A0678"/>
    <w:rsid w:val="004A2505"/>
    <w:rsid w:val="004A2F03"/>
    <w:rsid w:val="004A48A3"/>
    <w:rsid w:val="004B0D92"/>
    <w:rsid w:val="004B0EC0"/>
    <w:rsid w:val="004B66F1"/>
    <w:rsid w:val="004C3EA0"/>
    <w:rsid w:val="004C40C4"/>
    <w:rsid w:val="004C42AF"/>
    <w:rsid w:val="004C4525"/>
    <w:rsid w:val="004D2EE3"/>
    <w:rsid w:val="004D323F"/>
    <w:rsid w:val="004D7B56"/>
    <w:rsid w:val="004E7333"/>
    <w:rsid w:val="004F0D66"/>
    <w:rsid w:val="004F1428"/>
    <w:rsid w:val="004F5419"/>
    <w:rsid w:val="004F7169"/>
    <w:rsid w:val="00500D66"/>
    <w:rsid w:val="00501A2A"/>
    <w:rsid w:val="00501C06"/>
    <w:rsid w:val="005022B0"/>
    <w:rsid w:val="005037E3"/>
    <w:rsid w:val="005114B1"/>
    <w:rsid w:val="00514C8E"/>
    <w:rsid w:val="00531DBF"/>
    <w:rsid w:val="00545759"/>
    <w:rsid w:val="00545BE0"/>
    <w:rsid w:val="00546930"/>
    <w:rsid w:val="00554485"/>
    <w:rsid w:val="00554C6A"/>
    <w:rsid w:val="00562E85"/>
    <w:rsid w:val="0056332F"/>
    <w:rsid w:val="005677E6"/>
    <w:rsid w:val="005719B3"/>
    <w:rsid w:val="0057295E"/>
    <w:rsid w:val="00581C39"/>
    <w:rsid w:val="005903B6"/>
    <w:rsid w:val="005A0247"/>
    <w:rsid w:val="005A126E"/>
    <w:rsid w:val="005A452F"/>
    <w:rsid w:val="005A680D"/>
    <w:rsid w:val="005A72BA"/>
    <w:rsid w:val="005B140D"/>
    <w:rsid w:val="005C1FEA"/>
    <w:rsid w:val="005C3495"/>
    <w:rsid w:val="005C4978"/>
    <w:rsid w:val="005E11B6"/>
    <w:rsid w:val="005E3DFC"/>
    <w:rsid w:val="005E5942"/>
    <w:rsid w:val="005E60AF"/>
    <w:rsid w:val="005F1DEA"/>
    <w:rsid w:val="005F368D"/>
    <w:rsid w:val="005F4D7A"/>
    <w:rsid w:val="005F5153"/>
    <w:rsid w:val="005F6A46"/>
    <w:rsid w:val="00603408"/>
    <w:rsid w:val="00607FC9"/>
    <w:rsid w:val="006137B1"/>
    <w:rsid w:val="00622FE1"/>
    <w:rsid w:val="00624201"/>
    <w:rsid w:val="0062521C"/>
    <w:rsid w:val="00625455"/>
    <w:rsid w:val="00630A2B"/>
    <w:rsid w:val="00632DC7"/>
    <w:rsid w:val="006357FB"/>
    <w:rsid w:val="006406FC"/>
    <w:rsid w:val="00640E57"/>
    <w:rsid w:val="00645C89"/>
    <w:rsid w:val="00646122"/>
    <w:rsid w:val="00653E16"/>
    <w:rsid w:val="00657220"/>
    <w:rsid w:val="00657362"/>
    <w:rsid w:val="0066104B"/>
    <w:rsid w:val="00662339"/>
    <w:rsid w:val="00664725"/>
    <w:rsid w:val="006655EE"/>
    <w:rsid w:val="006671C4"/>
    <w:rsid w:val="00667C10"/>
    <w:rsid w:val="00667EF4"/>
    <w:rsid w:val="0067066D"/>
    <w:rsid w:val="00670D99"/>
    <w:rsid w:val="00675513"/>
    <w:rsid w:val="00676FCA"/>
    <w:rsid w:val="00677177"/>
    <w:rsid w:val="006777AA"/>
    <w:rsid w:val="00683E9A"/>
    <w:rsid w:val="0068612E"/>
    <w:rsid w:val="00686EF1"/>
    <w:rsid w:val="00687C92"/>
    <w:rsid w:val="00694192"/>
    <w:rsid w:val="00694E5D"/>
    <w:rsid w:val="0069534E"/>
    <w:rsid w:val="0069669C"/>
    <w:rsid w:val="006A0622"/>
    <w:rsid w:val="006A1200"/>
    <w:rsid w:val="006A32D6"/>
    <w:rsid w:val="006A4F4E"/>
    <w:rsid w:val="006A6C23"/>
    <w:rsid w:val="006A72FA"/>
    <w:rsid w:val="006B14DB"/>
    <w:rsid w:val="006B21C4"/>
    <w:rsid w:val="006C16EF"/>
    <w:rsid w:val="006C4A1A"/>
    <w:rsid w:val="006D0393"/>
    <w:rsid w:val="006D1A83"/>
    <w:rsid w:val="006E1CFE"/>
    <w:rsid w:val="006F10C4"/>
    <w:rsid w:val="006F40E9"/>
    <w:rsid w:val="006F5603"/>
    <w:rsid w:val="006F647C"/>
    <w:rsid w:val="006F7B87"/>
    <w:rsid w:val="00701400"/>
    <w:rsid w:val="007037CF"/>
    <w:rsid w:val="00710668"/>
    <w:rsid w:val="007167C0"/>
    <w:rsid w:val="00720481"/>
    <w:rsid w:val="00721CBE"/>
    <w:rsid w:val="00733193"/>
    <w:rsid w:val="007340D8"/>
    <w:rsid w:val="007430E0"/>
    <w:rsid w:val="00744DDA"/>
    <w:rsid w:val="00745E03"/>
    <w:rsid w:val="007561F5"/>
    <w:rsid w:val="007563D3"/>
    <w:rsid w:val="0075732A"/>
    <w:rsid w:val="007600F8"/>
    <w:rsid w:val="00760262"/>
    <w:rsid w:val="0076310C"/>
    <w:rsid w:val="0076744F"/>
    <w:rsid w:val="00767BCE"/>
    <w:rsid w:val="00767EFC"/>
    <w:rsid w:val="007707DE"/>
    <w:rsid w:val="00770B5D"/>
    <w:rsid w:val="00772535"/>
    <w:rsid w:val="00774AB5"/>
    <w:rsid w:val="007752F1"/>
    <w:rsid w:val="00775534"/>
    <w:rsid w:val="00776768"/>
    <w:rsid w:val="007777A6"/>
    <w:rsid w:val="0078187A"/>
    <w:rsid w:val="00794ED8"/>
    <w:rsid w:val="007962DA"/>
    <w:rsid w:val="007A2573"/>
    <w:rsid w:val="007A4476"/>
    <w:rsid w:val="007B106C"/>
    <w:rsid w:val="007B1A4E"/>
    <w:rsid w:val="007B3D05"/>
    <w:rsid w:val="007B5503"/>
    <w:rsid w:val="007B63C6"/>
    <w:rsid w:val="007C179C"/>
    <w:rsid w:val="007C21E3"/>
    <w:rsid w:val="007C3FD1"/>
    <w:rsid w:val="007C6BB3"/>
    <w:rsid w:val="007C6D7C"/>
    <w:rsid w:val="007D14B4"/>
    <w:rsid w:val="007D3AD7"/>
    <w:rsid w:val="007D452D"/>
    <w:rsid w:val="007E24F6"/>
    <w:rsid w:val="007E6086"/>
    <w:rsid w:val="007F308B"/>
    <w:rsid w:val="007F72FD"/>
    <w:rsid w:val="00800F64"/>
    <w:rsid w:val="00801050"/>
    <w:rsid w:val="00802F0B"/>
    <w:rsid w:val="00803690"/>
    <w:rsid w:val="00803DBE"/>
    <w:rsid w:val="00810A67"/>
    <w:rsid w:val="00810CFF"/>
    <w:rsid w:val="008157AC"/>
    <w:rsid w:val="00817FA3"/>
    <w:rsid w:val="00833CF7"/>
    <w:rsid w:val="00834CDE"/>
    <w:rsid w:val="00836C83"/>
    <w:rsid w:val="0083708B"/>
    <w:rsid w:val="00842464"/>
    <w:rsid w:val="0084348C"/>
    <w:rsid w:val="0084431D"/>
    <w:rsid w:val="0084437A"/>
    <w:rsid w:val="00845601"/>
    <w:rsid w:val="008553F1"/>
    <w:rsid w:val="00855C5C"/>
    <w:rsid w:val="008679B5"/>
    <w:rsid w:val="008714E5"/>
    <w:rsid w:val="00872577"/>
    <w:rsid w:val="008925B9"/>
    <w:rsid w:val="00892D56"/>
    <w:rsid w:val="00896A08"/>
    <w:rsid w:val="008A0759"/>
    <w:rsid w:val="008A3C96"/>
    <w:rsid w:val="008B4019"/>
    <w:rsid w:val="008B65C9"/>
    <w:rsid w:val="008B709E"/>
    <w:rsid w:val="008B7774"/>
    <w:rsid w:val="008C2D4A"/>
    <w:rsid w:val="008D3900"/>
    <w:rsid w:val="008D3FB3"/>
    <w:rsid w:val="008D6E1D"/>
    <w:rsid w:val="008E3774"/>
    <w:rsid w:val="008E3C86"/>
    <w:rsid w:val="008E680F"/>
    <w:rsid w:val="008F39B4"/>
    <w:rsid w:val="008F4162"/>
    <w:rsid w:val="008F6ABF"/>
    <w:rsid w:val="00903E02"/>
    <w:rsid w:val="00905260"/>
    <w:rsid w:val="009066F6"/>
    <w:rsid w:val="00911A6D"/>
    <w:rsid w:val="00913175"/>
    <w:rsid w:val="0091486A"/>
    <w:rsid w:val="00916EDB"/>
    <w:rsid w:val="00920197"/>
    <w:rsid w:val="00920861"/>
    <w:rsid w:val="00922B13"/>
    <w:rsid w:val="009242EF"/>
    <w:rsid w:val="00932291"/>
    <w:rsid w:val="00932861"/>
    <w:rsid w:val="0093408E"/>
    <w:rsid w:val="009449B4"/>
    <w:rsid w:val="009479D2"/>
    <w:rsid w:val="00952DDF"/>
    <w:rsid w:val="00955EA3"/>
    <w:rsid w:val="009610A3"/>
    <w:rsid w:val="00963B6A"/>
    <w:rsid w:val="00970950"/>
    <w:rsid w:val="009777AA"/>
    <w:rsid w:val="00977BF3"/>
    <w:rsid w:val="009812D4"/>
    <w:rsid w:val="00983592"/>
    <w:rsid w:val="009920D8"/>
    <w:rsid w:val="009952F5"/>
    <w:rsid w:val="00996723"/>
    <w:rsid w:val="00996B7B"/>
    <w:rsid w:val="009A2060"/>
    <w:rsid w:val="009A3B25"/>
    <w:rsid w:val="009B38BE"/>
    <w:rsid w:val="009B5B57"/>
    <w:rsid w:val="009C3D0F"/>
    <w:rsid w:val="009E1B19"/>
    <w:rsid w:val="009F35E2"/>
    <w:rsid w:val="009F65F9"/>
    <w:rsid w:val="009F68BA"/>
    <w:rsid w:val="00A06277"/>
    <w:rsid w:val="00A079DC"/>
    <w:rsid w:val="00A111C2"/>
    <w:rsid w:val="00A118FF"/>
    <w:rsid w:val="00A338E7"/>
    <w:rsid w:val="00A35CAA"/>
    <w:rsid w:val="00A36E7F"/>
    <w:rsid w:val="00A41E65"/>
    <w:rsid w:val="00A43E0A"/>
    <w:rsid w:val="00A530C7"/>
    <w:rsid w:val="00A55F5B"/>
    <w:rsid w:val="00A60185"/>
    <w:rsid w:val="00A6045A"/>
    <w:rsid w:val="00A62A7F"/>
    <w:rsid w:val="00A6516A"/>
    <w:rsid w:val="00A661EA"/>
    <w:rsid w:val="00A74B88"/>
    <w:rsid w:val="00A77983"/>
    <w:rsid w:val="00A830E5"/>
    <w:rsid w:val="00A87135"/>
    <w:rsid w:val="00A90B96"/>
    <w:rsid w:val="00A93280"/>
    <w:rsid w:val="00A951EA"/>
    <w:rsid w:val="00AA2548"/>
    <w:rsid w:val="00AA27F9"/>
    <w:rsid w:val="00AA58C4"/>
    <w:rsid w:val="00AA5E2A"/>
    <w:rsid w:val="00AA6BB6"/>
    <w:rsid w:val="00AA7003"/>
    <w:rsid w:val="00AB11C8"/>
    <w:rsid w:val="00AB3900"/>
    <w:rsid w:val="00AB3C21"/>
    <w:rsid w:val="00AB4423"/>
    <w:rsid w:val="00AC0090"/>
    <w:rsid w:val="00AC08A8"/>
    <w:rsid w:val="00AC467B"/>
    <w:rsid w:val="00AD26A6"/>
    <w:rsid w:val="00AD56C8"/>
    <w:rsid w:val="00AD58F2"/>
    <w:rsid w:val="00AF505A"/>
    <w:rsid w:val="00B01255"/>
    <w:rsid w:val="00B033A8"/>
    <w:rsid w:val="00B0512A"/>
    <w:rsid w:val="00B0529F"/>
    <w:rsid w:val="00B1418B"/>
    <w:rsid w:val="00B1512B"/>
    <w:rsid w:val="00B16E10"/>
    <w:rsid w:val="00B21195"/>
    <w:rsid w:val="00B24B22"/>
    <w:rsid w:val="00B25310"/>
    <w:rsid w:val="00B30BCF"/>
    <w:rsid w:val="00B32F8F"/>
    <w:rsid w:val="00B3492A"/>
    <w:rsid w:val="00B35C0A"/>
    <w:rsid w:val="00B37DB3"/>
    <w:rsid w:val="00B441EC"/>
    <w:rsid w:val="00B54DE9"/>
    <w:rsid w:val="00B553EC"/>
    <w:rsid w:val="00B55E3F"/>
    <w:rsid w:val="00B6012C"/>
    <w:rsid w:val="00B63C1E"/>
    <w:rsid w:val="00B93DD0"/>
    <w:rsid w:val="00B97732"/>
    <w:rsid w:val="00B97E29"/>
    <w:rsid w:val="00BA1D36"/>
    <w:rsid w:val="00BA65A8"/>
    <w:rsid w:val="00BA6D19"/>
    <w:rsid w:val="00BA7461"/>
    <w:rsid w:val="00BA7A53"/>
    <w:rsid w:val="00BA7DA9"/>
    <w:rsid w:val="00BB3894"/>
    <w:rsid w:val="00BB426D"/>
    <w:rsid w:val="00BC4215"/>
    <w:rsid w:val="00BD1A6F"/>
    <w:rsid w:val="00BE0216"/>
    <w:rsid w:val="00BE051B"/>
    <w:rsid w:val="00BE0F48"/>
    <w:rsid w:val="00BE30EF"/>
    <w:rsid w:val="00BE6D3C"/>
    <w:rsid w:val="00BE7852"/>
    <w:rsid w:val="00BF15D4"/>
    <w:rsid w:val="00BF7CEE"/>
    <w:rsid w:val="00C028F3"/>
    <w:rsid w:val="00C0312C"/>
    <w:rsid w:val="00C03880"/>
    <w:rsid w:val="00C10E66"/>
    <w:rsid w:val="00C135CF"/>
    <w:rsid w:val="00C2374D"/>
    <w:rsid w:val="00C2683F"/>
    <w:rsid w:val="00C3184D"/>
    <w:rsid w:val="00C43748"/>
    <w:rsid w:val="00C4714E"/>
    <w:rsid w:val="00C50AC2"/>
    <w:rsid w:val="00C51CCA"/>
    <w:rsid w:val="00C5504F"/>
    <w:rsid w:val="00C568A7"/>
    <w:rsid w:val="00C57B55"/>
    <w:rsid w:val="00C63376"/>
    <w:rsid w:val="00C74F97"/>
    <w:rsid w:val="00C8276E"/>
    <w:rsid w:val="00C842AC"/>
    <w:rsid w:val="00C85BEF"/>
    <w:rsid w:val="00C946CC"/>
    <w:rsid w:val="00C96688"/>
    <w:rsid w:val="00CA0723"/>
    <w:rsid w:val="00CB1690"/>
    <w:rsid w:val="00CB591C"/>
    <w:rsid w:val="00CC0E44"/>
    <w:rsid w:val="00CC1B41"/>
    <w:rsid w:val="00CC28BB"/>
    <w:rsid w:val="00CC4365"/>
    <w:rsid w:val="00CD11B0"/>
    <w:rsid w:val="00CD3B46"/>
    <w:rsid w:val="00CE5C2A"/>
    <w:rsid w:val="00CE6B07"/>
    <w:rsid w:val="00CE71C2"/>
    <w:rsid w:val="00CF3134"/>
    <w:rsid w:val="00CF34E9"/>
    <w:rsid w:val="00CF42D5"/>
    <w:rsid w:val="00CF4EDA"/>
    <w:rsid w:val="00CF7B39"/>
    <w:rsid w:val="00D00C8A"/>
    <w:rsid w:val="00D021CB"/>
    <w:rsid w:val="00D10F1A"/>
    <w:rsid w:val="00D116F8"/>
    <w:rsid w:val="00D16C5F"/>
    <w:rsid w:val="00D17596"/>
    <w:rsid w:val="00D21D54"/>
    <w:rsid w:val="00D22640"/>
    <w:rsid w:val="00D24533"/>
    <w:rsid w:val="00D2475A"/>
    <w:rsid w:val="00D26D3A"/>
    <w:rsid w:val="00D45EE3"/>
    <w:rsid w:val="00D50618"/>
    <w:rsid w:val="00D509E9"/>
    <w:rsid w:val="00D53B1C"/>
    <w:rsid w:val="00D6198A"/>
    <w:rsid w:val="00D836FD"/>
    <w:rsid w:val="00DA1B12"/>
    <w:rsid w:val="00DA54C9"/>
    <w:rsid w:val="00DA6739"/>
    <w:rsid w:val="00DA6CAE"/>
    <w:rsid w:val="00DB08A1"/>
    <w:rsid w:val="00DB1A9E"/>
    <w:rsid w:val="00DB31D6"/>
    <w:rsid w:val="00DB4005"/>
    <w:rsid w:val="00DC1229"/>
    <w:rsid w:val="00DC34EB"/>
    <w:rsid w:val="00DC6D74"/>
    <w:rsid w:val="00DD0FF3"/>
    <w:rsid w:val="00DD7A6B"/>
    <w:rsid w:val="00DE4E8D"/>
    <w:rsid w:val="00DF01A4"/>
    <w:rsid w:val="00DF09E5"/>
    <w:rsid w:val="00DF10A6"/>
    <w:rsid w:val="00DF1E5B"/>
    <w:rsid w:val="00DF2275"/>
    <w:rsid w:val="00DF2B4E"/>
    <w:rsid w:val="00DF3F5E"/>
    <w:rsid w:val="00DF5653"/>
    <w:rsid w:val="00DF5905"/>
    <w:rsid w:val="00E0046F"/>
    <w:rsid w:val="00E03D6A"/>
    <w:rsid w:val="00E0596E"/>
    <w:rsid w:val="00E05B92"/>
    <w:rsid w:val="00E06F66"/>
    <w:rsid w:val="00E07AB7"/>
    <w:rsid w:val="00E178E0"/>
    <w:rsid w:val="00E17F9F"/>
    <w:rsid w:val="00E27835"/>
    <w:rsid w:val="00E308CB"/>
    <w:rsid w:val="00E356E5"/>
    <w:rsid w:val="00E36F81"/>
    <w:rsid w:val="00E400D9"/>
    <w:rsid w:val="00E45765"/>
    <w:rsid w:val="00E5098C"/>
    <w:rsid w:val="00E55AB5"/>
    <w:rsid w:val="00E60213"/>
    <w:rsid w:val="00E66012"/>
    <w:rsid w:val="00E661B2"/>
    <w:rsid w:val="00E72F65"/>
    <w:rsid w:val="00E74D29"/>
    <w:rsid w:val="00E83C74"/>
    <w:rsid w:val="00E83CEE"/>
    <w:rsid w:val="00E8763B"/>
    <w:rsid w:val="00E91F18"/>
    <w:rsid w:val="00E9226D"/>
    <w:rsid w:val="00E961F9"/>
    <w:rsid w:val="00EA0D2D"/>
    <w:rsid w:val="00EA15F5"/>
    <w:rsid w:val="00EA416C"/>
    <w:rsid w:val="00EA48C9"/>
    <w:rsid w:val="00EA5941"/>
    <w:rsid w:val="00EB4449"/>
    <w:rsid w:val="00EB60CE"/>
    <w:rsid w:val="00EB7D53"/>
    <w:rsid w:val="00EC393E"/>
    <w:rsid w:val="00EE3146"/>
    <w:rsid w:val="00EF50BB"/>
    <w:rsid w:val="00EF53FF"/>
    <w:rsid w:val="00F00192"/>
    <w:rsid w:val="00F01DF6"/>
    <w:rsid w:val="00F0340D"/>
    <w:rsid w:val="00F059A6"/>
    <w:rsid w:val="00F11C68"/>
    <w:rsid w:val="00F14829"/>
    <w:rsid w:val="00F163AD"/>
    <w:rsid w:val="00F23756"/>
    <w:rsid w:val="00F2523A"/>
    <w:rsid w:val="00F25FFA"/>
    <w:rsid w:val="00F310D2"/>
    <w:rsid w:val="00F314C4"/>
    <w:rsid w:val="00F36896"/>
    <w:rsid w:val="00F36F3D"/>
    <w:rsid w:val="00F41748"/>
    <w:rsid w:val="00F4533A"/>
    <w:rsid w:val="00F477BD"/>
    <w:rsid w:val="00F52DEA"/>
    <w:rsid w:val="00F53491"/>
    <w:rsid w:val="00F62801"/>
    <w:rsid w:val="00F62968"/>
    <w:rsid w:val="00F64D6E"/>
    <w:rsid w:val="00F6522C"/>
    <w:rsid w:val="00F65A1C"/>
    <w:rsid w:val="00F66F50"/>
    <w:rsid w:val="00F7393E"/>
    <w:rsid w:val="00F74590"/>
    <w:rsid w:val="00F77950"/>
    <w:rsid w:val="00F82FF8"/>
    <w:rsid w:val="00F8330D"/>
    <w:rsid w:val="00F84305"/>
    <w:rsid w:val="00F8485C"/>
    <w:rsid w:val="00F87149"/>
    <w:rsid w:val="00F87FFE"/>
    <w:rsid w:val="00F954C9"/>
    <w:rsid w:val="00F96FBA"/>
    <w:rsid w:val="00FA4CF0"/>
    <w:rsid w:val="00FA5E16"/>
    <w:rsid w:val="00FA5E45"/>
    <w:rsid w:val="00FA61AA"/>
    <w:rsid w:val="00FA69A4"/>
    <w:rsid w:val="00FB1279"/>
    <w:rsid w:val="00FB1495"/>
    <w:rsid w:val="00FB6E4C"/>
    <w:rsid w:val="00FC1856"/>
    <w:rsid w:val="00FD1694"/>
    <w:rsid w:val="00FD7636"/>
    <w:rsid w:val="00FD76A3"/>
    <w:rsid w:val="00FE0751"/>
    <w:rsid w:val="00FE2F77"/>
    <w:rsid w:val="00FE3229"/>
    <w:rsid w:val="00FE74C3"/>
    <w:rsid w:val="00FF215C"/>
    <w:rsid w:val="00FF2C68"/>
    <w:rsid w:val="00FF47A9"/>
    <w:rsid w:val="00FF49E8"/>
    <w:rsid w:val="00FF560F"/>
    <w:rsid w:val="00FF672F"/>
    <w:rsid w:val="00FF7A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29A4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172D2D"/>
    <w:pPr>
      <w:keepNext/>
      <w:spacing w:before="120" w:after="120" w:line="240" w:lineRule="auto"/>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A2F03"/>
    <w:pPr>
      <w:pBdr>
        <w:bottom w:val="single" w:sz="4" w:space="1" w:color="808080" w:themeColor="background1" w:themeShade="80"/>
      </w:pBdr>
      <w:tabs>
        <w:tab w:val="center" w:pos="4513"/>
        <w:tab w:val="right" w:pos="9026"/>
      </w:tabs>
      <w:spacing w:after="120" w:line="240" w:lineRule="auto"/>
      <w:jc w:val="right"/>
    </w:pPr>
    <w:rPr>
      <w:color w:val="808080" w:themeColor="background1" w:themeShade="80"/>
      <w:sz w:val="18"/>
      <w:szCs w:val="18"/>
    </w:rPr>
  </w:style>
  <w:style w:type="character" w:customStyle="1" w:styleId="HeaderChar">
    <w:name w:val="Header Char"/>
    <w:basedOn w:val="DefaultParagraphFont"/>
    <w:link w:val="Header"/>
    <w:rsid w:val="004A2F03"/>
    <w:rPr>
      <w:color w:val="808080" w:themeColor="background1" w:themeShade="80"/>
      <w:sz w:val="18"/>
      <w:szCs w:val="18"/>
      <w:lang w:eastAsia="en-US"/>
    </w:rPr>
  </w:style>
  <w:style w:type="paragraph" w:styleId="Footer">
    <w:name w:val="footer"/>
    <w:basedOn w:val="Normal"/>
    <w:link w:val="FooterChar"/>
    <w:uiPriority w:val="99"/>
    <w:unhideWhenUsed/>
    <w:rsid w:val="004A2F03"/>
    <w:pPr>
      <w:tabs>
        <w:tab w:val="center" w:pos="4513"/>
        <w:tab w:val="right" w:pos="9026"/>
      </w:tabs>
      <w:spacing w:after="0" w:line="240" w:lineRule="auto"/>
      <w:jc w:val="center"/>
    </w:pPr>
    <w:rPr>
      <w:sz w:val="18"/>
      <w:szCs w:val="18"/>
    </w:rPr>
  </w:style>
  <w:style w:type="character" w:customStyle="1" w:styleId="FooterChar">
    <w:name w:val="Footer Char"/>
    <w:basedOn w:val="DefaultParagraphFont"/>
    <w:link w:val="Footer"/>
    <w:uiPriority w:val="99"/>
    <w:rsid w:val="004A2F03"/>
    <w:rPr>
      <w:sz w:val="18"/>
      <w:szCs w:val="18"/>
      <w:lang w:eastAsia="en-US"/>
    </w:rPr>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172D2D"/>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3C5B8E"/>
    <w:pPr>
      <w:spacing w:before="60" w:after="60" w:line="240" w:lineRule="auto"/>
    </w:pPr>
    <w:rPr>
      <w:sz w:val="20"/>
      <w:szCs w:val="20"/>
    </w:rPr>
  </w:style>
  <w:style w:type="paragraph" w:styleId="ListNumber2">
    <w:name w:val="List Number 2"/>
    <w:basedOn w:val="Normal"/>
    <w:uiPriority w:val="99"/>
    <w:rsid w:val="003C5B8E"/>
    <w:pPr>
      <w:spacing w:before="60" w:after="60" w:line="240" w:lineRule="auto"/>
      <w:ind w:left="596" w:hanging="369"/>
    </w:pPr>
    <w:rPr>
      <w:sz w:val="20"/>
      <w:szCs w:val="20"/>
    </w:rPr>
  </w:style>
  <w:style w:type="paragraph" w:styleId="ListNumber3">
    <w:name w:val="List Number 3"/>
    <w:basedOn w:val="Normal"/>
    <w:uiPriority w:val="99"/>
    <w:rsid w:val="003C5B8E"/>
    <w:pPr>
      <w:spacing w:before="60" w:after="60" w:line="240" w:lineRule="auto"/>
      <w:ind w:left="738" w:hanging="369"/>
    </w:pPr>
    <w:rPr>
      <w:sz w:val="20"/>
      <w:szCs w:val="20"/>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A2F03"/>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character" w:styleId="FollowedHyperlink">
    <w:name w:val="FollowedHyperlink"/>
    <w:basedOn w:val="DefaultParagraphFont"/>
    <w:uiPriority w:val="99"/>
    <w:semiHidden/>
    <w:unhideWhenUsed/>
    <w:rsid w:val="00021E54"/>
    <w:rPr>
      <w:color w:val="800080" w:themeColor="followedHyperlink"/>
      <w:u w:val="single"/>
    </w:rPr>
  </w:style>
  <w:style w:type="character" w:customStyle="1" w:styleId="apple-converted-space">
    <w:name w:val="apple-converted-space"/>
    <w:basedOn w:val="DefaultParagraphFont"/>
    <w:rsid w:val="003C5B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61958275">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yperlink" Target="https://www.environment.gov.au/system/files/pages/70f73d2b-e5d8-4b53-90e5-71e64bb16acd/files/sagc-submission-07.pdf" TargetMode="Externa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pir.sa.gov.au/__data/assets/pdf_file/0006/12777/giant_crab2002.pdf" TargetMode="Externa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yperlink" Target="http://recfishingresearch.org/south-australian-recreational-fishing-survey-20070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pir.sa.gov.au/fishing/commercial_fishing/commercial_fisheries/miscellaneous_fishery" TargetMode="Externa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pir.sa.gov.au/__data/assets/pdf_file/0011/232400/Wildlife_Interactions_in_SA_Fisheries_2013_-_FINAL.pdf" TargetMode="External"/><Relationship Id="rId28" Type="http://schemas.openxmlformats.org/officeDocument/2006/relationships/hyperlink" Target="http://fish.gov.au/reports/crustaceans/crabs/Pages/giant_crab.aspx" TargetMode="Externa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pir.sa.gov.au/research/publications/research_report_series" TargetMode="External"/><Relationship Id="rId27" Type="http://schemas.openxmlformats.org/officeDocument/2006/relationships/hyperlink" Target="http://pir.sa.gov.au/__data/assets/pdf_file/0008/247265/2013_14_Giant_Crab_Status_Report_-_FINAL_.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7C860C98.dotm</Template>
  <TotalTime>0</TotalTime>
  <Pages>15</Pages>
  <Words>4907</Words>
  <Characters>27972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report for the South Australian Giant Crab Fishery - November 2015</dc:title>
  <dc:creator/>
  <cp:lastModifiedBy/>
  <cp:revision>1</cp:revision>
  <dcterms:created xsi:type="dcterms:W3CDTF">2018-08-22T03:19:00Z</dcterms:created>
  <dcterms:modified xsi:type="dcterms:W3CDTF">2018-08-22T03:19:00Z</dcterms:modified>
</cp:coreProperties>
</file>