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DEC23" w14:textId="2D613CF8" w:rsidR="000133C9" w:rsidRPr="000133C9" w:rsidRDefault="000133C9" w:rsidP="000133C9">
      <w:pPr>
        <w:widowControl w:val="0"/>
        <w:tabs>
          <w:tab w:val="left" w:pos="6700"/>
        </w:tabs>
        <w:spacing w:after="120"/>
        <w:jc w:val="center"/>
        <w:rPr>
          <w:b/>
          <w:sz w:val="48"/>
        </w:rPr>
      </w:pPr>
      <w:bookmarkStart w:id="0" w:name="_Toc513464264"/>
      <w:bookmarkStart w:id="1" w:name="_Toc513712779"/>
      <w:bookmarkStart w:id="2" w:name="_GoBack"/>
      <w:bookmarkEnd w:id="2"/>
      <w:r w:rsidRPr="000133C9">
        <w:rPr>
          <w:b/>
          <w:noProof/>
          <w:sz w:val="48"/>
          <w:lang w:eastAsia="en-AU"/>
        </w:rPr>
        <w:drawing>
          <wp:inline distT="0" distB="0" distL="0" distR="0" wp14:anchorId="302F947A" wp14:editId="65CE10A3">
            <wp:extent cx="5373370" cy="914400"/>
            <wp:effectExtent l="0" t="0" r="0"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3370" cy="914400"/>
                    </a:xfrm>
                    <a:prstGeom prst="rect">
                      <a:avLst/>
                    </a:prstGeom>
                    <a:noFill/>
                    <a:ln>
                      <a:noFill/>
                    </a:ln>
                  </pic:spPr>
                </pic:pic>
              </a:graphicData>
            </a:graphic>
          </wp:inline>
        </w:drawing>
      </w:r>
    </w:p>
    <w:p w14:paraId="2F78F586" w14:textId="77777777" w:rsidR="000133C9" w:rsidRPr="000133C9" w:rsidRDefault="000133C9" w:rsidP="000133C9">
      <w:pPr>
        <w:widowControl w:val="0"/>
        <w:tabs>
          <w:tab w:val="left" w:pos="6700"/>
        </w:tabs>
        <w:spacing w:after="120"/>
        <w:jc w:val="center"/>
        <w:rPr>
          <w:b/>
          <w:sz w:val="48"/>
        </w:rPr>
      </w:pPr>
    </w:p>
    <w:p w14:paraId="4E6FE46E" w14:textId="77777777" w:rsidR="000133C9" w:rsidRPr="000133C9" w:rsidRDefault="000133C9" w:rsidP="000133C9">
      <w:pPr>
        <w:widowControl w:val="0"/>
        <w:tabs>
          <w:tab w:val="left" w:pos="6700"/>
        </w:tabs>
        <w:spacing w:after="120"/>
        <w:jc w:val="center"/>
        <w:rPr>
          <w:b/>
          <w:sz w:val="48"/>
        </w:rPr>
      </w:pPr>
    </w:p>
    <w:p w14:paraId="359B2621" w14:textId="77777777" w:rsidR="000133C9" w:rsidRPr="000133C9" w:rsidRDefault="000133C9" w:rsidP="000133C9">
      <w:pPr>
        <w:widowControl w:val="0"/>
        <w:tabs>
          <w:tab w:val="left" w:pos="6700"/>
        </w:tabs>
        <w:spacing w:after="120"/>
        <w:jc w:val="center"/>
        <w:rPr>
          <w:b/>
          <w:sz w:val="48"/>
        </w:rPr>
      </w:pPr>
    </w:p>
    <w:p w14:paraId="1C12957C" w14:textId="1D123877" w:rsidR="000133C9" w:rsidRPr="000133C9" w:rsidRDefault="000133C9" w:rsidP="000133C9">
      <w:pPr>
        <w:spacing w:after="120"/>
        <w:jc w:val="center"/>
        <w:rPr>
          <w:sz w:val="36"/>
        </w:rPr>
      </w:pPr>
      <w:r w:rsidRPr="000133C9">
        <w:rPr>
          <w:sz w:val="36"/>
        </w:rPr>
        <w:t xml:space="preserve">Assessment of </w:t>
      </w:r>
    </w:p>
    <w:p w14:paraId="0FFD7331" w14:textId="1C177601" w:rsidR="000133C9" w:rsidRPr="000133C9" w:rsidRDefault="000133C9" w:rsidP="000133C9">
      <w:pPr>
        <w:pStyle w:val="Heading6"/>
        <w:spacing w:after="120"/>
        <w:jc w:val="center"/>
        <w:rPr>
          <w:rFonts w:ascii="Arial" w:hAnsi="Arial"/>
          <w:i/>
          <w:color w:val="auto"/>
          <w:sz w:val="36"/>
        </w:rPr>
      </w:pPr>
      <w:r w:rsidRPr="000133C9">
        <w:rPr>
          <w:rFonts w:ascii="Arial" w:hAnsi="Arial"/>
          <w:color w:val="auto"/>
          <w:sz w:val="36"/>
        </w:rPr>
        <w:t>Australian New and Exploratory Fisheries in the Commission for the Convention of Antarctic Marine Living Resources in Divisions 58.4.1 and 58.4.2</w:t>
      </w:r>
    </w:p>
    <w:p w14:paraId="0938DAAC" w14:textId="77777777" w:rsidR="000133C9" w:rsidRPr="000133C9" w:rsidRDefault="000133C9" w:rsidP="000133C9">
      <w:pPr>
        <w:widowControl w:val="0"/>
        <w:tabs>
          <w:tab w:val="left" w:pos="6700"/>
        </w:tabs>
        <w:spacing w:after="120"/>
        <w:jc w:val="center"/>
        <w:rPr>
          <w:b/>
          <w:sz w:val="48"/>
        </w:rPr>
      </w:pPr>
    </w:p>
    <w:p w14:paraId="6529B0FA" w14:textId="77777777" w:rsidR="000133C9" w:rsidRPr="000133C9" w:rsidRDefault="000133C9" w:rsidP="000133C9">
      <w:pPr>
        <w:widowControl w:val="0"/>
        <w:tabs>
          <w:tab w:val="left" w:pos="6700"/>
        </w:tabs>
        <w:spacing w:after="120"/>
        <w:jc w:val="center"/>
        <w:rPr>
          <w:b/>
          <w:sz w:val="48"/>
        </w:rPr>
      </w:pPr>
    </w:p>
    <w:p w14:paraId="0B776561" w14:textId="77777777" w:rsidR="000133C9" w:rsidRPr="000133C9" w:rsidRDefault="000133C9" w:rsidP="000133C9">
      <w:pPr>
        <w:widowControl w:val="0"/>
        <w:tabs>
          <w:tab w:val="left" w:pos="6700"/>
        </w:tabs>
        <w:spacing w:after="120"/>
        <w:jc w:val="center"/>
        <w:rPr>
          <w:b/>
          <w:sz w:val="32"/>
        </w:rPr>
      </w:pPr>
    </w:p>
    <w:p w14:paraId="7E78E5B1" w14:textId="77777777" w:rsidR="000133C9" w:rsidRPr="000133C9" w:rsidRDefault="000133C9" w:rsidP="000133C9">
      <w:pPr>
        <w:widowControl w:val="0"/>
        <w:tabs>
          <w:tab w:val="left" w:pos="6700"/>
        </w:tabs>
        <w:spacing w:after="120"/>
        <w:jc w:val="center"/>
        <w:rPr>
          <w:b/>
          <w:sz w:val="32"/>
        </w:rPr>
      </w:pPr>
    </w:p>
    <w:p w14:paraId="7F10C4FD" w14:textId="77777777" w:rsidR="000133C9" w:rsidRPr="000133C9" w:rsidRDefault="000133C9" w:rsidP="000133C9">
      <w:pPr>
        <w:widowControl w:val="0"/>
        <w:tabs>
          <w:tab w:val="left" w:pos="6700"/>
        </w:tabs>
        <w:spacing w:after="120"/>
        <w:jc w:val="center"/>
        <w:rPr>
          <w:b/>
          <w:sz w:val="32"/>
        </w:rPr>
      </w:pPr>
    </w:p>
    <w:p w14:paraId="41620A55" w14:textId="77777777" w:rsidR="000133C9" w:rsidRPr="000133C9" w:rsidRDefault="000133C9" w:rsidP="000133C9">
      <w:pPr>
        <w:widowControl w:val="0"/>
        <w:tabs>
          <w:tab w:val="left" w:pos="6700"/>
        </w:tabs>
        <w:spacing w:after="120"/>
        <w:jc w:val="center"/>
        <w:rPr>
          <w:b/>
          <w:sz w:val="32"/>
        </w:rPr>
      </w:pPr>
    </w:p>
    <w:p w14:paraId="6933326C" w14:textId="77777777" w:rsidR="000133C9" w:rsidRPr="000133C9" w:rsidRDefault="000133C9" w:rsidP="000133C9">
      <w:pPr>
        <w:widowControl w:val="0"/>
        <w:tabs>
          <w:tab w:val="left" w:pos="6700"/>
        </w:tabs>
        <w:spacing w:after="120"/>
        <w:jc w:val="center"/>
        <w:rPr>
          <w:b/>
          <w:sz w:val="32"/>
        </w:rPr>
      </w:pPr>
    </w:p>
    <w:p w14:paraId="6C224760" w14:textId="77777777" w:rsidR="000133C9" w:rsidRPr="000133C9" w:rsidRDefault="000133C9" w:rsidP="000133C9">
      <w:pPr>
        <w:widowControl w:val="0"/>
        <w:tabs>
          <w:tab w:val="left" w:pos="6700"/>
        </w:tabs>
        <w:spacing w:after="120"/>
        <w:jc w:val="center"/>
        <w:rPr>
          <w:b/>
          <w:sz w:val="32"/>
        </w:rPr>
      </w:pPr>
    </w:p>
    <w:p w14:paraId="7A192E86" w14:textId="77777777" w:rsidR="000133C9" w:rsidRPr="000133C9" w:rsidRDefault="000133C9" w:rsidP="000133C9">
      <w:pPr>
        <w:widowControl w:val="0"/>
        <w:tabs>
          <w:tab w:val="left" w:pos="6700"/>
        </w:tabs>
        <w:spacing w:after="120"/>
        <w:jc w:val="center"/>
        <w:rPr>
          <w:b/>
          <w:sz w:val="32"/>
        </w:rPr>
      </w:pPr>
    </w:p>
    <w:p w14:paraId="331AC63D" w14:textId="77777777" w:rsidR="000133C9" w:rsidRPr="000133C9" w:rsidRDefault="000133C9" w:rsidP="000133C9">
      <w:pPr>
        <w:widowControl w:val="0"/>
        <w:tabs>
          <w:tab w:val="left" w:pos="6700"/>
        </w:tabs>
        <w:spacing w:after="120"/>
        <w:jc w:val="center"/>
        <w:rPr>
          <w:b/>
          <w:sz w:val="32"/>
        </w:rPr>
      </w:pPr>
    </w:p>
    <w:p w14:paraId="2533D9DE" w14:textId="77777777" w:rsidR="000133C9" w:rsidRPr="000133C9" w:rsidRDefault="000133C9" w:rsidP="000133C9">
      <w:pPr>
        <w:widowControl w:val="0"/>
        <w:tabs>
          <w:tab w:val="left" w:pos="6700"/>
        </w:tabs>
        <w:spacing w:after="120"/>
        <w:jc w:val="center"/>
        <w:rPr>
          <w:b/>
          <w:sz w:val="32"/>
        </w:rPr>
      </w:pPr>
    </w:p>
    <w:p w14:paraId="5139ECF8" w14:textId="77777777" w:rsidR="000133C9" w:rsidRPr="000133C9" w:rsidRDefault="000133C9" w:rsidP="000133C9">
      <w:pPr>
        <w:widowControl w:val="0"/>
        <w:tabs>
          <w:tab w:val="left" w:pos="6700"/>
        </w:tabs>
        <w:spacing w:after="120"/>
        <w:jc w:val="center"/>
        <w:rPr>
          <w:b/>
          <w:sz w:val="32"/>
        </w:rPr>
      </w:pPr>
    </w:p>
    <w:p w14:paraId="3644BF56" w14:textId="77777777" w:rsidR="000133C9" w:rsidRPr="000133C9" w:rsidRDefault="000133C9" w:rsidP="000133C9">
      <w:pPr>
        <w:widowControl w:val="0"/>
        <w:tabs>
          <w:tab w:val="left" w:pos="6700"/>
        </w:tabs>
        <w:spacing w:after="120"/>
        <w:jc w:val="center"/>
        <w:rPr>
          <w:b/>
          <w:sz w:val="32"/>
        </w:rPr>
      </w:pPr>
    </w:p>
    <w:p w14:paraId="066D0689" w14:textId="1FB37BC6" w:rsidR="000133C9" w:rsidRPr="000133C9" w:rsidRDefault="000133C9" w:rsidP="000133C9">
      <w:pPr>
        <w:pStyle w:val="Heading7"/>
        <w:jc w:val="center"/>
        <w:rPr>
          <w:rFonts w:ascii="Arial" w:hAnsi="Arial"/>
          <w:b/>
          <w:color w:val="auto"/>
          <w:sz w:val="20"/>
        </w:rPr>
      </w:pPr>
      <w:r>
        <w:rPr>
          <w:rFonts w:ascii="Arial" w:hAnsi="Arial"/>
          <w:color w:val="auto"/>
        </w:rPr>
        <w:t>February 2018</w:t>
      </w:r>
    </w:p>
    <w:p w14:paraId="1FA06367" w14:textId="77777777" w:rsidR="000133C9" w:rsidRPr="000133C9" w:rsidRDefault="000133C9" w:rsidP="000133C9"/>
    <w:p w14:paraId="671231A5" w14:textId="77777777" w:rsidR="000133C9" w:rsidRPr="000133C9" w:rsidRDefault="000133C9" w:rsidP="000133C9"/>
    <w:p w14:paraId="40076EDE" w14:textId="77777777" w:rsidR="000133C9" w:rsidRPr="000133C9" w:rsidRDefault="000133C9" w:rsidP="000133C9">
      <w:pPr>
        <w:spacing w:after="0"/>
        <w:sectPr w:rsidR="000133C9" w:rsidRPr="000133C9">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20"/>
        </w:sectPr>
      </w:pPr>
    </w:p>
    <w:p w14:paraId="78351203" w14:textId="77777777" w:rsidR="000133C9" w:rsidRPr="000133C9" w:rsidRDefault="000133C9" w:rsidP="000133C9">
      <w:pPr>
        <w:spacing w:before="60" w:after="0"/>
        <w:rPr>
          <w:sz w:val="20"/>
          <w:szCs w:val="20"/>
        </w:rPr>
      </w:pPr>
    </w:p>
    <w:p w14:paraId="2700F55A" w14:textId="77777777" w:rsidR="000133C9" w:rsidRPr="000133C9" w:rsidRDefault="000133C9" w:rsidP="000133C9">
      <w:pPr>
        <w:spacing w:before="60" w:after="0"/>
        <w:rPr>
          <w:rStyle w:val="Hyperlink"/>
          <w:rFonts w:eastAsia="Times New Roman"/>
          <w:noProof/>
          <w:color w:val="auto"/>
          <w:lang w:eastAsia="en-AU"/>
        </w:rPr>
      </w:pPr>
    </w:p>
    <w:p w14:paraId="6AD145B3" w14:textId="77777777" w:rsidR="000133C9" w:rsidRPr="000133C9" w:rsidRDefault="000133C9" w:rsidP="000133C9">
      <w:pPr>
        <w:spacing w:before="60" w:after="0"/>
        <w:rPr>
          <w:rStyle w:val="Hyperlink"/>
          <w:rFonts w:eastAsia="Times New Roman"/>
          <w:noProof/>
          <w:color w:val="auto"/>
          <w:sz w:val="20"/>
          <w:szCs w:val="20"/>
          <w:lang w:eastAsia="en-AU"/>
        </w:rPr>
      </w:pPr>
    </w:p>
    <w:p w14:paraId="796BD338" w14:textId="77777777" w:rsidR="000133C9" w:rsidRPr="000133C9" w:rsidRDefault="000133C9" w:rsidP="000133C9">
      <w:pPr>
        <w:spacing w:before="60" w:after="0"/>
        <w:rPr>
          <w:rStyle w:val="Hyperlink"/>
          <w:rFonts w:eastAsia="Times New Roman"/>
          <w:noProof/>
          <w:color w:val="auto"/>
          <w:sz w:val="20"/>
          <w:szCs w:val="20"/>
          <w:lang w:eastAsia="en-AU"/>
        </w:rPr>
      </w:pPr>
    </w:p>
    <w:p w14:paraId="3892FA77" w14:textId="77777777" w:rsidR="000133C9" w:rsidRPr="000133C9" w:rsidRDefault="000133C9" w:rsidP="000133C9">
      <w:pPr>
        <w:spacing w:before="60" w:after="0"/>
        <w:rPr>
          <w:rStyle w:val="Hyperlink"/>
          <w:rFonts w:eastAsia="Times New Roman"/>
          <w:noProof/>
          <w:color w:val="auto"/>
          <w:sz w:val="20"/>
          <w:szCs w:val="20"/>
          <w:lang w:eastAsia="en-AU"/>
        </w:rPr>
      </w:pPr>
    </w:p>
    <w:p w14:paraId="799F6917" w14:textId="77777777" w:rsidR="000133C9" w:rsidRPr="000133C9" w:rsidRDefault="000133C9" w:rsidP="000133C9">
      <w:pPr>
        <w:spacing w:before="60" w:after="0"/>
        <w:rPr>
          <w:rStyle w:val="Hyperlink"/>
          <w:rFonts w:eastAsia="Times New Roman"/>
          <w:noProof/>
          <w:color w:val="auto"/>
          <w:sz w:val="20"/>
          <w:szCs w:val="20"/>
          <w:lang w:eastAsia="en-AU"/>
        </w:rPr>
      </w:pPr>
    </w:p>
    <w:p w14:paraId="738F8A98" w14:textId="77777777" w:rsidR="000133C9" w:rsidRPr="000133C9" w:rsidRDefault="000133C9" w:rsidP="000133C9">
      <w:pPr>
        <w:spacing w:before="60" w:after="0"/>
        <w:rPr>
          <w:rStyle w:val="Hyperlink"/>
          <w:rFonts w:eastAsia="Times New Roman"/>
          <w:noProof/>
          <w:color w:val="auto"/>
          <w:sz w:val="20"/>
          <w:szCs w:val="20"/>
          <w:lang w:eastAsia="en-AU"/>
        </w:rPr>
      </w:pPr>
    </w:p>
    <w:p w14:paraId="64C4D124" w14:textId="77777777" w:rsidR="000133C9" w:rsidRPr="000133C9" w:rsidRDefault="000133C9" w:rsidP="000133C9">
      <w:pPr>
        <w:spacing w:before="60" w:after="0"/>
        <w:rPr>
          <w:rStyle w:val="Hyperlink"/>
          <w:rFonts w:eastAsia="Times New Roman"/>
          <w:noProof/>
          <w:color w:val="auto"/>
          <w:sz w:val="20"/>
          <w:szCs w:val="20"/>
          <w:lang w:eastAsia="en-AU"/>
        </w:rPr>
      </w:pPr>
    </w:p>
    <w:p w14:paraId="6D984FE1" w14:textId="77777777" w:rsidR="000133C9" w:rsidRPr="000133C9" w:rsidRDefault="000133C9" w:rsidP="000133C9">
      <w:pPr>
        <w:tabs>
          <w:tab w:val="right" w:leader="dot" w:pos="8302"/>
        </w:tabs>
        <w:spacing w:before="60" w:after="0"/>
      </w:pPr>
    </w:p>
    <w:p w14:paraId="073D69F8" w14:textId="77777777" w:rsidR="000133C9" w:rsidRPr="000133C9" w:rsidRDefault="000133C9" w:rsidP="000133C9">
      <w:pPr>
        <w:tabs>
          <w:tab w:val="right" w:leader="dot" w:pos="8302"/>
        </w:tabs>
        <w:spacing w:before="60" w:after="0"/>
        <w:rPr>
          <w:noProof/>
          <w:webHidden/>
          <w:sz w:val="20"/>
          <w:szCs w:val="20"/>
        </w:rPr>
      </w:pPr>
    </w:p>
    <w:p w14:paraId="5A17130D" w14:textId="77777777" w:rsidR="000133C9" w:rsidRPr="000133C9" w:rsidRDefault="000133C9" w:rsidP="000133C9">
      <w:pPr>
        <w:tabs>
          <w:tab w:val="right" w:leader="dot" w:pos="8302"/>
        </w:tabs>
        <w:spacing w:before="60" w:after="0"/>
        <w:rPr>
          <w:noProof/>
          <w:webHidden/>
          <w:sz w:val="20"/>
          <w:szCs w:val="20"/>
        </w:rPr>
      </w:pPr>
    </w:p>
    <w:p w14:paraId="4242D042" w14:textId="77777777" w:rsidR="000133C9" w:rsidRPr="000133C9" w:rsidRDefault="000133C9" w:rsidP="000133C9">
      <w:pPr>
        <w:tabs>
          <w:tab w:val="right" w:leader="dot" w:pos="8302"/>
        </w:tabs>
        <w:spacing w:before="60" w:after="0"/>
        <w:rPr>
          <w:noProof/>
          <w:webHidden/>
          <w:sz w:val="20"/>
          <w:szCs w:val="20"/>
        </w:rPr>
      </w:pPr>
    </w:p>
    <w:p w14:paraId="183C5B75" w14:textId="77777777" w:rsidR="000133C9" w:rsidRPr="000133C9" w:rsidRDefault="000133C9" w:rsidP="000133C9">
      <w:pPr>
        <w:tabs>
          <w:tab w:val="right" w:leader="dot" w:pos="8302"/>
        </w:tabs>
        <w:spacing w:before="60" w:after="0"/>
        <w:rPr>
          <w:noProof/>
          <w:webHidden/>
          <w:sz w:val="20"/>
          <w:szCs w:val="20"/>
        </w:rPr>
      </w:pPr>
    </w:p>
    <w:p w14:paraId="5E8D450F" w14:textId="77777777" w:rsidR="000133C9" w:rsidRPr="000133C9" w:rsidRDefault="000133C9" w:rsidP="000133C9">
      <w:pPr>
        <w:tabs>
          <w:tab w:val="right" w:leader="dot" w:pos="8302"/>
        </w:tabs>
        <w:spacing w:before="60" w:after="0"/>
        <w:rPr>
          <w:noProof/>
          <w:webHidden/>
          <w:sz w:val="20"/>
          <w:szCs w:val="20"/>
        </w:rPr>
      </w:pPr>
    </w:p>
    <w:p w14:paraId="6C9F3B12" w14:textId="77777777" w:rsidR="000133C9" w:rsidRPr="000133C9" w:rsidRDefault="000133C9" w:rsidP="000133C9">
      <w:pPr>
        <w:tabs>
          <w:tab w:val="right" w:leader="dot" w:pos="8302"/>
        </w:tabs>
        <w:spacing w:before="60" w:after="0"/>
        <w:rPr>
          <w:noProof/>
          <w:webHidden/>
          <w:sz w:val="20"/>
          <w:szCs w:val="20"/>
        </w:rPr>
      </w:pPr>
    </w:p>
    <w:p w14:paraId="33AA0D96" w14:textId="77777777" w:rsidR="000133C9" w:rsidRPr="000133C9" w:rsidRDefault="000133C9" w:rsidP="000133C9">
      <w:pPr>
        <w:tabs>
          <w:tab w:val="right" w:leader="dot" w:pos="8302"/>
        </w:tabs>
        <w:spacing w:before="60" w:after="0"/>
        <w:rPr>
          <w:noProof/>
          <w:webHidden/>
          <w:sz w:val="20"/>
          <w:szCs w:val="20"/>
        </w:rPr>
      </w:pPr>
    </w:p>
    <w:p w14:paraId="1DD80AA3" w14:textId="77777777" w:rsidR="000133C9" w:rsidRPr="000133C9" w:rsidRDefault="000133C9" w:rsidP="000133C9">
      <w:pPr>
        <w:tabs>
          <w:tab w:val="right" w:leader="dot" w:pos="8302"/>
        </w:tabs>
        <w:spacing w:before="60" w:after="0"/>
        <w:rPr>
          <w:noProof/>
          <w:webHidden/>
          <w:sz w:val="20"/>
          <w:szCs w:val="20"/>
        </w:rPr>
      </w:pPr>
    </w:p>
    <w:p w14:paraId="041CCC36" w14:textId="77777777" w:rsidR="000133C9" w:rsidRPr="000133C9" w:rsidRDefault="000133C9" w:rsidP="000133C9">
      <w:pPr>
        <w:tabs>
          <w:tab w:val="right" w:leader="dot" w:pos="8302"/>
        </w:tabs>
        <w:spacing w:before="60" w:after="0"/>
        <w:rPr>
          <w:noProof/>
          <w:webHidden/>
          <w:sz w:val="20"/>
          <w:szCs w:val="20"/>
        </w:rPr>
      </w:pPr>
    </w:p>
    <w:p w14:paraId="5FD2E18C" w14:textId="77777777" w:rsidR="000133C9" w:rsidRPr="000133C9" w:rsidRDefault="000133C9" w:rsidP="000133C9">
      <w:pPr>
        <w:tabs>
          <w:tab w:val="right" w:leader="dot" w:pos="8302"/>
        </w:tabs>
        <w:spacing w:before="60" w:after="0"/>
        <w:rPr>
          <w:noProof/>
          <w:webHidden/>
          <w:sz w:val="20"/>
          <w:szCs w:val="20"/>
        </w:rPr>
      </w:pPr>
    </w:p>
    <w:p w14:paraId="38239EF6" w14:textId="77777777" w:rsidR="000133C9" w:rsidRPr="000133C9" w:rsidRDefault="000133C9" w:rsidP="000133C9">
      <w:pPr>
        <w:spacing w:before="60" w:after="0"/>
        <w:rPr>
          <w:webHidden/>
          <w:sz w:val="20"/>
          <w:szCs w:val="20"/>
        </w:rPr>
      </w:pPr>
    </w:p>
    <w:p w14:paraId="49961ACF" w14:textId="77777777" w:rsidR="000133C9" w:rsidRPr="000133C9" w:rsidRDefault="000133C9" w:rsidP="000133C9">
      <w:pPr>
        <w:spacing w:before="60" w:after="0"/>
        <w:rPr>
          <w:sz w:val="20"/>
          <w:szCs w:val="20"/>
        </w:rPr>
      </w:pPr>
    </w:p>
    <w:p w14:paraId="1E8F5011" w14:textId="77777777" w:rsidR="000133C9" w:rsidRPr="000133C9" w:rsidRDefault="000133C9" w:rsidP="000133C9">
      <w:pPr>
        <w:spacing w:before="60" w:after="0"/>
        <w:rPr>
          <w:sz w:val="20"/>
          <w:szCs w:val="20"/>
        </w:rPr>
      </w:pPr>
    </w:p>
    <w:p w14:paraId="7AFF5FFC" w14:textId="77777777" w:rsidR="000133C9" w:rsidRPr="000133C9" w:rsidRDefault="000133C9" w:rsidP="000133C9">
      <w:pPr>
        <w:spacing w:before="60" w:after="0"/>
        <w:rPr>
          <w:sz w:val="20"/>
          <w:szCs w:val="20"/>
        </w:rPr>
      </w:pPr>
    </w:p>
    <w:p w14:paraId="32122F26" w14:textId="77777777" w:rsidR="000133C9" w:rsidRPr="000133C9" w:rsidRDefault="000133C9" w:rsidP="000133C9">
      <w:pPr>
        <w:spacing w:before="60" w:after="0"/>
        <w:rPr>
          <w:sz w:val="20"/>
          <w:szCs w:val="20"/>
        </w:rPr>
      </w:pPr>
    </w:p>
    <w:p w14:paraId="7EA78E28" w14:textId="77777777" w:rsidR="000133C9" w:rsidRPr="000133C9" w:rsidRDefault="000133C9" w:rsidP="000133C9">
      <w:pPr>
        <w:spacing w:before="60" w:after="0"/>
        <w:rPr>
          <w:sz w:val="20"/>
          <w:szCs w:val="20"/>
        </w:rPr>
      </w:pPr>
    </w:p>
    <w:p w14:paraId="7D058E10" w14:textId="77777777" w:rsidR="000133C9" w:rsidRPr="000133C9" w:rsidRDefault="000133C9" w:rsidP="000133C9">
      <w:pPr>
        <w:spacing w:before="60" w:after="0"/>
        <w:rPr>
          <w:sz w:val="20"/>
          <w:szCs w:val="20"/>
        </w:rPr>
      </w:pPr>
    </w:p>
    <w:p w14:paraId="5927EDA1" w14:textId="77777777" w:rsidR="000133C9" w:rsidRPr="000133C9" w:rsidRDefault="000133C9" w:rsidP="000133C9">
      <w:pPr>
        <w:spacing w:before="60" w:after="0"/>
        <w:rPr>
          <w:sz w:val="20"/>
          <w:szCs w:val="20"/>
        </w:rPr>
      </w:pPr>
    </w:p>
    <w:p w14:paraId="6BD41007" w14:textId="77777777" w:rsidR="000133C9" w:rsidRPr="000133C9" w:rsidRDefault="000133C9" w:rsidP="000133C9">
      <w:pPr>
        <w:spacing w:before="60" w:after="0"/>
        <w:rPr>
          <w:sz w:val="20"/>
          <w:szCs w:val="20"/>
        </w:rPr>
      </w:pPr>
    </w:p>
    <w:p w14:paraId="4177D4E1" w14:textId="54037BB5" w:rsidR="000133C9" w:rsidRPr="000133C9" w:rsidRDefault="000133C9" w:rsidP="000133C9">
      <w:pPr>
        <w:pStyle w:val="NormalWeb"/>
        <w:spacing w:before="60" w:beforeAutospacing="0" w:after="0" w:afterAutospacing="0"/>
        <w:rPr>
          <w:rFonts w:ascii="Arial" w:hAnsi="Arial" w:cs="Arial"/>
          <w:sz w:val="16"/>
          <w:szCs w:val="16"/>
        </w:rPr>
      </w:pPr>
      <w:r w:rsidRPr="000133C9">
        <w:rPr>
          <w:rFonts w:ascii="Arial" w:hAnsi="Arial" w:cs="Arial"/>
          <w:sz w:val="16"/>
          <w:szCs w:val="16"/>
        </w:rPr>
        <w:t>© Copyright Commonwealth of Australia, 201</w:t>
      </w:r>
      <w:r>
        <w:rPr>
          <w:rFonts w:ascii="Arial" w:hAnsi="Arial" w:cs="Arial"/>
          <w:sz w:val="16"/>
          <w:szCs w:val="16"/>
        </w:rPr>
        <w:t>8</w:t>
      </w:r>
      <w:r w:rsidRPr="000133C9">
        <w:rPr>
          <w:rFonts w:ascii="Arial" w:hAnsi="Arial" w:cs="Arial"/>
          <w:sz w:val="16"/>
          <w:szCs w:val="16"/>
        </w:rPr>
        <w:t>.</w:t>
      </w:r>
    </w:p>
    <w:p w14:paraId="2D2E8ACA" w14:textId="7AD8875A" w:rsidR="000133C9" w:rsidRPr="000133C9" w:rsidRDefault="000133C9" w:rsidP="000133C9">
      <w:pPr>
        <w:pStyle w:val="NormalWeb"/>
        <w:spacing w:before="60" w:beforeAutospacing="0" w:after="0" w:afterAutospacing="0"/>
        <w:rPr>
          <w:rFonts w:ascii="Arial" w:hAnsi="Arial" w:cs="Arial"/>
          <w:i/>
          <w:sz w:val="16"/>
          <w:szCs w:val="16"/>
        </w:rPr>
      </w:pPr>
      <w:r w:rsidRPr="000133C9">
        <w:rPr>
          <w:rFonts w:ascii="Arial" w:hAnsi="Arial" w:cs="Arial"/>
          <w:noProof/>
          <w:sz w:val="16"/>
          <w:szCs w:val="16"/>
          <w:lang w:val="en-AU" w:eastAsia="en-AU"/>
        </w:rPr>
        <w:drawing>
          <wp:inline distT="0" distB="0" distL="0" distR="0" wp14:anchorId="2C5FCF3C" wp14:editId="48AEF422">
            <wp:extent cx="1816100" cy="463550"/>
            <wp:effectExtent l="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16100" cy="463550"/>
                    </a:xfrm>
                    <a:prstGeom prst="rect">
                      <a:avLst/>
                    </a:prstGeom>
                    <a:noFill/>
                    <a:ln>
                      <a:noFill/>
                    </a:ln>
                  </pic:spPr>
                </pic:pic>
              </a:graphicData>
            </a:graphic>
          </wp:inline>
        </w:drawing>
      </w:r>
    </w:p>
    <w:p w14:paraId="6D8F330F" w14:textId="123C568D" w:rsidR="000133C9" w:rsidRPr="000133C9" w:rsidRDefault="000133C9" w:rsidP="000133C9">
      <w:pPr>
        <w:pStyle w:val="NormalWeb"/>
        <w:spacing w:before="60" w:beforeAutospacing="0" w:after="0" w:afterAutospacing="0"/>
        <w:rPr>
          <w:rFonts w:ascii="Arial" w:hAnsi="Arial" w:cs="Arial"/>
          <w:sz w:val="16"/>
          <w:szCs w:val="16"/>
        </w:rPr>
      </w:pPr>
      <w:r>
        <w:rPr>
          <w:rFonts w:ascii="Arial" w:hAnsi="Arial" w:cs="Arial"/>
          <w:i/>
          <w:sz w:val="16"/>
          <w:szCs w:val="16"/>
        </w:rPr>
        <w:t>Assessment of Australian New and Exploratory Fisheries in the Commission for the Convention of Antarctic Marine Living Resources in Divisions 58.4.1 and 58.4.2</w:t>
      </w:r>
      <w:r w:rsidRPr="000133C9">
        <w:rPr>
          <w:rFonts w:ascii="Arial" w:hAnsi="Arial" w:cs="Arial"/>
          <w:i/>
          <w:sz w:val="16"/>
          <w:szCs w:val="16"/>
        </w:rPr>
        <w:t xml:space="preserve"> </w:t>
      </w:r>
      <w:r>
        <w:rPr>
          <w:rFonts w:ascii="Arial" w:hAnsi="Arial" w:cs="Arial"/>
          <w:i/>
          <w:sz w:val="16"/>
          <w:szCs w:val="16"/>
        </w:rPr>
        <w:t>February 2018</w:t>
      </w:r>
      <w:r w:rsidRPr="000133C9">
        <w:rPr>
          <w:rFonts w:ascii="Arial" w:hAnsi="Arial" w:cs="Arial"/>
          <w:i/>
          <w:sz w:val="16"/>
          <w:szCs w:val="16"/>
        </w:rPr>
        <w:t xml:space="preserve"> </w:t>
      </w:r>
      <w:r w:rsidRPr="000133C9">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29A6B1D3" w14:textId="09D13272" w:rsidR="000133C9" w:rsidRPr="000133C9" w:rsidRDefault="000133C9" w:rsidP="000133C9">
      <w:pPr>
        <w:pStyle w:val="NormalWeb"/>
        <w:spacing w:before="60" w:beforeAutospacing="0" w:after="0" w:afterAutospacing="0"/>
        <w:rPr>
          <w:rFonts w:ascii="Arial" w:hAnsi="Arial" w:cs="Arial"/>
          <w:sz w:val="16"/>
          <w:szCs w:val="16"/>
        </w:rPr>
      </w:pPr>
      <w:r w:rsidRPr="000133C9">
        <w:rPr>
          <w:rFonts w:ascii="Arial" w:hAnsi="Arial" w:cs="Arial"/>
          <w:sz w:val="16"/>
          <w:szCs w:val="16"/>
        </w:rPr>
        <w:t>This report should be attributed as ‘</w:t>
      </w:r>
      <w:r w:rsidRPr="000133C9">
        <w:rPr>
          <w:rFonts w:ascii="Arial" w:hAnsi="Arial" w:cs="Arial"/>
          <w:i/>
          <w:sz w:val="16"/>
          <w:szCs w:val="16"/>
        </w:rPr>
        <w:t xml:space="preserve">Assessment of </w:t>
      </w:r>
      <w:r>
        <w:rPr>
          <w:rFonts w:ascii="Arial" w:hAnsi="Arial" w:cs="Arial"/>
          <w:i/>
          <w:sz w:val="16"/>
          <w:szCs w:val="16"/>
        </w:rPr>
        <w:t>Australian New and Exploratory Fisheries in the Commission for the Convention of Antarctic Marine Living Resources in Divisions 58.4.1 and 58.4.2</w:t>
      </w:r>
      <w:r w:rsidRPr="000133C9">
        <w:rPr>
          <w:rFonts w:ascii="Arial" w:hAnsi="Arial" w:cs="Arial"/>
          <w:i/>
          <w:sz w:val="16"/>
          <w:szCs w:val="16"/>
        </w:rPr>
        <w:t xml:space="preserve"> </w:t>
      </w:r>
      <w:r>
        <w:rPr>
          <w:rFonts w:ascii="Arial" w:hAnsi="Arial" w:cs="Arial"/>
          <w:i/>
          <w:sz w:val="16"/>
          <w:szCs w:val="16"/>
        </w:rPr>
        <w:t>February 2018</w:t>
      </w:r>
      <w:r w:rsidRPr="000133C9">
        <w:rPr>
          <w:rFonts w:ascii="Arial" w:hAnsi="Arial" w:cs="Arial"/>
          <w:sz w:val="16"/>
          <w:szCs w:val="16"/>
        </w:rPr>
        <w:t>, Commonwealth of Australia 201</w:t>
      </w:r>
      <w:r>
        <w:rPr>
          <w:rFonts w:ascii="Arial" w:hAnsi="Arial" w:cs="Arial"/>
          <w:sz w:val="16"/>
          <w:szCs w:val="16"/>
        </w:rPr>
        <w:t>8</w:t>
      </w:r>
      <w:r w:rsidRPr="000133C9">
        <w:rPr>
          <w:rFonts w:ascii="Arial" w:hAnsi="Arial" w:cs="Arial"/>
          <w:sz w:val="16"/>
          <w:szCs w:val="16"/>
        </w:rPr>
        <w:t>’.</w:t>
      </w:r>
    </w:p>
    <w:p w14:paraId="7B00AA5D" w14:textId="77777777" w:rsidR="000133C9" w:rsidRPr="000133C9" w:rsidRDefault="000133C9" w:rsidP="000133C9">
      <w:pPr>
        <w:pStyle w:val="NormalWeb"/>
        <w:spacing w:before="60" w:beforeAutospacing="0" w:after="0" w:afterAutospacing="0"/>
        <w:rPr>
          <w:rFonts w:ascii="Arial" w:hAnsi="Arial" w:cs="Arial"/>
          <w:sz w:val="20"/>
          <w:szCs w:val="20"/>
          <w:lang w:val="en-AU"/>
        </w:rPr>
      </w:pPr>
      <w:r w:rsidRPr="000133C9">
        <w:rPr>
          <w:rFonts w:ascii="Arial" w:hAnsi="Arial" w:cs="Arial"/>
          <w:sz w:val="20"/>
          <w:szCs w:val="20"/>
          <w:lang w:val="en-AU"/>
        </w:rPr>
        <w:t xml:space="preserve"> </w:t>
      </w:r>
    </w:p>
    <w:p w14:paraId="6394B342" w14:textId="77777777" w:rsidR="000133C9" w:rsidRPr="000133C9" w:rsidRDefault="000133C9" w:rsidP="000133C9">
      <w:pPr>
        <w:spacing w:before="60" w:after="0"/>
        <w:rPr>
          <w:b/>
          <w:sz w:val="16"/>
          <w:szCs w:val="16"/>
        </w:rPr>
      </w:pPr>
      <w:r w:rsidRPr="000133C9">
        <w:rPr>
          <w:b/>
          <w:sz w:val="16"/>
          <w:szCs w:val="16"/>
        </w:rPr>
        <w:t>Disclaimer</w:t>
      </w:r>
    </w:p>
    <w:p w14:paraId="5AADE662" w14:textId="77777777" w:rsidR="000133C9" w:rsidRPr="000133C9" w:rsidRDefault="000133C9" w:rsidP="000133C9">
      <w:pPr>
        <w:pStyle w:val="NormalWeb"/>
        <w:spacing w:before="60" w:beforeAutospacing="0" w:after="0" w:afterAutospacing="0"/>
        <w:rPr>
          <w:rFonts w:ascii="Arial" w:hAnsi="Arial" w:cs="Arial"/>
          <w:sz w:val="16"/>
          <w:szCs w:val="16"/>
          <w:lang w:val="en-AU"/>
        </w:rPr>
      </w:pPr>
      <w:r w:rsidRPr="000133C9">
        <w:rPr>
          <w:rFonts w:ascii="Arial" w:hAnsi="Arial" w:cs="Arial"/>
          <w:sz w:val="16"/>
          <w:szCs w:val="16"/>
          <w:lang w:val="en-AU"/>
        </w:rPr>
        <w:t xml:space="preserve">This document is an assessment carried out by the Department of the Environment and Energy of a commercial fishery against the Australian Government </w:t>
      </w:r>
      <w:r w:rsidRPr="000133C9">
        <w:rPr>
          <w:rFonts w:ascii="Arial" w:hAnsi="Arial" w:cs="Arial"/>
          <w:i/>
          <w:iCs/>
          <w:sz w:val="16"/>
          <w:szCs w:val="16"/>
          <w:lang w:val="en-AU"/>
        </w:rPr>
        <w:t>Guidelines for the Ecologically Sustainable Management of Fisheries – 2nd Edition</w:t>
      </w:r>
      <w:r w:rsidRPr="000133C9">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0133C9">
        <w:rPr>
          <w:rFonts w:ascii="Arial" w:hAnsi="Arial" w:cs="Arial"/>
          <w:i/>
          <w:iCs/>
          <w:sz w:val="16"/>
          <w:szCs w:val="16"/>
          <w:lang w:val="en-AU"/>
        </w:rPr>
        <w:t>Environment Protection and Biodiversity Conservation Act 1999</w:t>
      </w:r>
      <w:r w:rsidRPr="000133C9">
        <w:rPr>
          <w:rFonts w:ascii="Arial" w:hAnsi="Arial" w:cs="Arial"/>
          <w:sz w:val="16"/>
          <w:szCs w:val="16"/>
          <w:lang w:val="en-AU"/>
        </w:rPr>
        <w:t>. The views expressed do not necessarily reflect those of the Minister for the Environment and Energy or the Australian Government.</w:t>
      </w:r>
    </w:p>
    <w:p w14:paraId="5C6C1DA9" w14:textId="77777777" w:rsidR="000133C9" w:rsidRPr="000133C9" w:rsidRDefault="000133C9" w:rsidP="000133C9">
      <w:pPr>
        <w:spacing w:before="60" w:after="0"/>
        <w:rPr>
          <w:sz w:val="16"/>
          <w:szCs w:val="16"/>
        </w:rPr>
      </w:pPr>
      <w:r w:rsidRPr="000133C9">
        <w:rPr>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ABAB0FD" w14:textId="77777777" w:rsidR="000133C9" w:rsidRPr="000133C9" w:rsidRDefault="000133C9" w:rsidP="000133C9">
      <w:pPr>
        <w:spacing w:before="60" w:after="0"/>
        <w:rPr>
          <w:sz w:val="16"/>
          <w:szCs w:val="16"/>
        </w:rPr>
      </w:pPr>
    </w:p>
    <w:p w14:paraId="76C7BC93" w14:textId="77777777" w:rsidR="000133C9" w:rsidRPr="000133C9" w:rsidRDefault="000133C9" w:rsidP="000133C9">
      <w:pPr>
        <w:spacing w:after="0"/>
        <w:rPr>
          <w:b/>
        </w:rPr>
        <w:sectPr w:rsidR="000133C9" w:rsidRPr="000133C9">
          <w:pgSz w:w="11906" w:h="16838"/>
          <w:pgMar w:top="1418" w:right="1276" w:bottom="567" w:left="1418" w:header="425" w:footer="425" w:gutter="0"/>
          <w:pgNumType w:start="1"/>
          <w:cols w:space="720"/>
        </w:sectPr>
      </w:pPr>
    </w:p>
    <w:p w14:paraId="1E14AB58" w14:textId="3266F37C" w:rsidR="000133C9" w:rsidRPr="000133C9" w:rsidRDefault="000133C9" w:rsidP="000133C9">
      <w:pPr>
        <w:rPr>
          <w:b/>
          <w:i/>
          <w:caps/>
        </w:rPr>
      </w:pPr>
      <w:bookmarkStart w:id="3" w:name="_Toc514849745"/>
      <w:bookmarkStart w:id="4" w:name="_Toc514849475"/>
      <w:r w:rsidRPr="000133C9">
        <w:rPr>
          <w:b/>
          <w:i/>
          <w:caps/>
        </w:rPr>
        <w:lastRenderedPageBreak/>
        <w:t>Section 1: Assessment of the Australian New and Exploratory Fisheries in the Commission for the Convention of Antarctic Marine Living Resources in Divisions 58.4.1 and 58.4.2 For the Purposes of Part 13 of the EPBC Act</w:t>
      </w:r>
      <w:bookmarkEnd w:id="3"/>
      <w:bookmarkEnd w:id="4"/>
    </w:p>
    <w:bookmarkEnd w:id="0"/>
    <w:bookmarkEnd w:id="1"/>
    <w:p w14:paraId="4FDBC6C2" w14:textId="77777777" w:rsidR="00036C4B" w:rsidRPr="000133C9" w:rsidRDefault="00036C4B" w:rsidP="00036C4B">
      <w:pPr>
        <w:spacing w:before="60" w:after="0" w:line="240" w:lineRule="auto"/>
        <w:rPr>
          <w:rFonts w:cs="Arial"/>
          <w:sz w:val="20"/>
          <w:szCs w:val="20"/>
        </w:rPr>
      </w:pPr>
      <w:r w:rsidRPr="000133C9">
        <w:rPr>
          <w:rFonts w:cs="Arial"/>
          <w:sz w:val="20"/>
          <w:szCs w:val="20"/>
        </w:rPr>
        <w:t xml:space="preserve">The table below is not a complete or exact representation of the EPBC Act. It is intended to show that the relevant sections and components of the EPBC Act have been taken into account in the formulation of advice on the fishery in relation to decisions under Part 13. </w:t>
      </w:r>
    </w:p>
    <w:p w14:paraId="3D64D60C" w14:textId="77777777" w:rsidR="00036C4B" w:rsidRPr="000133C9" w:rsidRDefault="00036C4B" w:rsidP="00036C4B">
      <w:pPr>
        <w:spacing w:before="60" w:after="0" w:line="240" w:lineRule="auto"/>
        <w:rPr>
          <w:rFonts w:cs="Arial"/>
          <w:b/>
          <w:sz w:val="20"/>
          <w:szCs w:val="20"/>
        </w:rPr>
      </w:pPr>
      <w:r w:rsidRPr="000133C9">
        <w:rPr>
          <w:rFonts w:cs="Arial"/>
          <w:b/>
          <w:sz w:val="20"/>
          <w:szCs w:val="20"/>
        </w:rPr>
        <w:t>Part 13</w:t>
      </w:r>
    </w:p>
    <w:tbl>
      <w:tblPr>
        <w:tblStyle w:val="TableGrid"/>
        <w:tblW w:w="5000" w:type="pct"/>
        <w:tblLook w:val="04A0" w:firstRow="1" w:lastRow="0" w:firstColumn="1" w:lastColumn="0" w:noHBand="0" w:noVBand="1"/>
      </w:tblPr>
      <w:tblGrid>
        <w:gridCol w:w="6974"/>
        <w:gridCol w:w="6974"/>
      </w:tblGrid>
      <w:tr w:rsidR="000133C9" w:rsidRPr="000133C9" w14:paraId="5479EBA0" w14:textId="77777777" w:rsidTr="000133C9">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0744E78" w14:textId="77777777" w:rsidR="00036C4B" w:rsidRPr="000133C9" w:rsidRDefault="00036C4B" w:rsidP="000133C9">
            <w:pPr>
              <w:spacing w:before="60" w:after="60"/>
              <w:ind w:left="426" w:hanging="426"/>
              <w:contextualSpacing/>
              <w:rPr>
                <w:rFonts w:cs="Arial"/>
                <w:b/>
              </w:rPr>
            </w:pPr>
            <w:r w:rsidRPr="000133C9">
              <w:rPr>
                <w:rFonts w:cs="Arial"/>
                <w:b/>
              </w:rPr>
              <w:t>Accreditable plan, regime or policy  (Division 1, Division 2, Division 3, Division 4)</w:t>
            </w:r>
          </w:p>
        </w:tc>
        <w:tc>
          <w:tcPr>
            <w:tcW w:w="2500" w:type="pct"/>
            <w:shd w:val="clear" w:color="auto" w:fill="D9D9D9" w:themeFill="background1" w:themeFillShade="D9"/>
          </w:tcPr>
          <w:p w14:paraId="68F32FB4" w14:textId="77777777" w:rsidR="00036C4B" w:rsidRPr="000133C9" w:rsidRDefault="00036C4B" w:rsidP="000133C9">
            <w:pPr>
              <w:spacing w:before="60" w:after="60"/>
              <w:contextualSpacing/>
              <w:rPr>
                <w:rFonts w:cs="Arial"/>
                <w:b/>
              </w:rPr>
            </w:pPr>
            <w:r w:rsidRPr="000133C9">
              <w:rPr>
                <w:rFonts w:cs="Arial"/>
                <w:b/>
              </w:rPr>
              <w:t>Comment</w:t>
            </w:r>
          </w:p>
        </w:tc>
      </w:tr>
      <w:tr w:rsidR="000133C9" w:rsidRPr="000133C9" w14:paraId="12EAA787"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tcPr>
          <w:p w14:paraId="64512DCB" w14:textId="77777777" w:rsidR="00036C4B" w:rsidRPr="000133C9" w:rsidRDefault="00036C4B" w:rsidP="000133C9">
            <w:pPr>
              <w:pStyle w:val="ListNumber"/>
              <w:contextualSpacing/>
              <w:rPr>
                <w:sz w:val="20"/>
                <w:szCs w:val="20"/>
              </w:rPr>
            </w:pPr>
            <w:r w:rsidRPr="000133C9">
              <w:rPr>
                <w:sz w:val="20"/>
                <w:szCs w:val="20"/>
              </w:rPr>
              <w:t>s. 208A (1) (a-e), s.222A (1) (a-e), s.245 (1) (a-e), s.265 (1) (a-e)</w:t>
            </w:r>
          </w:p>
          <w:p w14:paraId="1956A854" w14:textId="77777777" w:rsidR="00036C4B" w:rsidRPr="000133C9" w:rsidRDefault="00036C4B" w:rsidP="000133C9">
            <w:pPr>
              <w:pStyle w:val="ListNumber"/>
              <w:contextualSpacing/>
              <w:rPr>
                <w:sz w:val="20"/>
                <w:szCs w:val="20"/>
              </w:rPr>
            </w:pPr>
            <w:r w:rsidRPr="000133C9">
              <w:rPr>
                <w:sz w:val="20"/>
                <w:szCs w:val="20"/>
              </w:rPr>
              <w:t xml:space="preserve">Does the fishery have an accreditable plan of management, regime or policy? </w:t>
            </w:r>
          </w:p>
        </w:tc>
        <w:tc>
          <w:tcPr>
            <w:tcW w:w="2500" w:type="pct"/>
            <w:shd w:val="clear" w:color="auto" w:fill="92D050"/>
          </w:tcPr>
          <w:p w14:paraId="2C84615A" w14:textId="77777777" w:rsidR="00036C4B" w:rsidRPr="000133C9" w:rsidRDefault="00036C4B" w:rsidP="000133C9">
            <w:pPr>
              <w:spacing w:before="60" w:after="60"/>
              <w:contextualSpacing/>
              <w:rPr>
                <w:rFonts w:cs="Arial"/>
                <w:b/>
              </w:rPr>
            </w:pPr>
            <w:r w:rsidRPr="000133C9">
              <w:rPr>
                <w:rFonts w:cs="Arial"/>
                <w:b/>
              </w:rPr>
              <w:t>Meets</w:t>
            </w:r>
          </w:p>
          <w:p w14:paraId="6D97946E" w14:textId="77777777" w:rsidR="006472B2" w:rsidRPr="000133C9" w:rsidRDefault="00036C4B" w:rsidP="000133C9">
            <w:pPr>
              <w:spacing w:before="60" w:after="60"/>
              <w:contextualSpacing/>
              <w:rPr>
                <w:rFonts w:cs="Arial"/>
              </w:rPr>
            </w:pPr>
            <w:r w:rsidRPr="000133C9">
              <w:rPr>
                <w:rFonts w:cs="Arial"/>
                <w:b/>
              </w:rPr>
              <w:t>Yes</w:t>
            </w:r>
            <w:r w:rsidRPr="000133C9">
              <w:rPr>
                <w:rFonts w:cs="Arial"/>
              </w:rPr>
              <w:t xml:space="preserve">. There is an accreditable management regime in place for the Australian </w:t>
            </w:r>
            <w:r w:rsidR="006472B2" w:rsidRPr="000133C9">
              <w:rPr>
                <w:rFonts w:cs="Arial"/>
              </w:rPr>
              <w:t>Fishing in Exploratory Fisheries</w:t>
            </w:r>
            <w:r w:rsidRPr="000133C9">
              <w:rPr>
                <w:rFonts w:cs="Arial"/>
              </w:rPr>
              <w:t xml:space="preserve"> in Commission for the Convention of Antarctic Marine Living Resources in Divisions 58.4.1 and 58.4.2 (CCAMLR Exploratory Fisheries) for the purposes of section 245 of the EPBC Act. </w:t>
            </w:r>
          </w:p>
          <w:p w14:paraId="6B263EE3" w14:textId="77777777" w:rsidR="00036C4B" w:rsidRPr="000133C9" w:rsidRDefault="00036C4B" w:rsidP="000133C9">
            <w:pPr>
              <w:spacing w:before="60" w:after="60"/>
              <w:contextualSpacing/>
              <w:rPr>
                <w:rFonts w:cs="Arial"/>
              </w:rPr>
            </w:pPr>
            <w:r w:rsidRPr="000133C9">
              <w:rPr>
                <w:rFonts w:cs="Arial"/>
              </w:rPr>
              <w:t>Sections 208A, 222A and 265 do not apply outside Australia’s exclusive economic zone</w:t>
            </w:r>
            <w:r w:rsidR="001C0037" w:rsidRPr="000133C9">
              <w:rPr>
                <w:rFonts w:cs="Arial"/>
              </w:rPr>
              <w:t xml:space="preserve"> (EEZ)</w:t>
            </w:r>
            <w:r w:rsidR="006472B2" w:rsidRPr="000133C9">
              <w:rPr>
                <w:rFonts w:cs="Arial"/>
              </w:rPr>
              <w:t>, and therefore are</w:t>
            </w:r>
            <w:r w:rsidRPr="000133C9">
              <w:rPr>
                <w:rFonts w:cs="Arial"/>
              </w:rPr>
              <w:t xml:space="preserve"> not applicable to </w:t>
            </w:r>
            <w:r w:rsidR="001C0037" w:rsidRPr="000133C9">
              <w:rPr>
                <w:rFonts w:cs="Arial"/>
              </w:rPr>
              <w:t xml:space="preserve">Australian Fishing in </w:t>
            </w:r>
            <w:r w:rsidR="006472B2" w:rsidRPr="000133C9">
              <w:rPr>
                <w:rFonts w:cs="Arial"/>
              </w:rPr>
              <w:t>CCAMLR Exploratory Fisheries</w:t>
            </w:r>
            <w:r w:rsidRPr="000133C9">
              <w:rPr>
                <w:rFonts w:cs="Arial"/>
              </w:rPr>
              <w:t>.</w:t>
            </w:r>
          </w:p>
          <w:p w14:paraId="35477F47" w14:textId="77777777" w:rsidR="00722FB8" w:rsidRPr="000133C9" w:rsidRDefault="001C0037" w:rsidP="000133C9">
            <w:pPr>
              <w:spacing w:before="60" w:after="60"/>
              <w:contextualSpacing/>
              <w:rPr>
                <w:rFonts w:cs="Arial"/>
              </w:rPr>
            </w:pPr>
            <w:r w:rsidRPr="000133C9">
              <w:rPr>
                <w:rFonts w:cs="Arial"/>
              </w:rPr>
              <w:t xml:space="preserve">AFMA’s powers are conferred through Part 6 of the </w:t>
            </w:r>
            <w:r w:rsidRPr="000133C9">
              <w:rPr>
                <w:rFonts w:cs="Arial"/>
                <w:i/>
              </w:rPr>
              <w:t>Fisheries Management Act 1991</w:t>
            </w:r>
            <w:r w:rsidRPr="000133C9">
              <w:rPr>
                <w:rFonts w:cs="Arial"/>
              </w:rPr>
              <w:t xml:space="preserve"> (</w:t>
            </w:r>
            <w:proofErr w:type="spellStart"/>
            <w:r w:rsidRPr="000133C9">
              <w:rPr>
                <w:rFonts w:cs="Arial"/>
              </w:rPr>
              <w:t>Cth</w:t>
            </w:r>
            <w:proofErr w:type="spellEnd"/>
            <w:r w:rsidRPr="000133C9">
              <w:rPr>
                <w:rFonts w:cs="Arial"/>
              </w:rPr>
              <w:t>), and regulated under the Fisheries Management Regulations 1992 (</w:t>
            </w:r>
            <w:proofErr w:type="spellStart"/>
            <w:r w:rsidRPr="000133C9">
              <w:rPr>
                <w:rFonts w:cs="Arial"/>
              </w:rPr>
              <w:t>Cth</w:t>
            </w:r>
            <w:proofErr w:type="spellEnd"/>
            <w:r w:rsidRPr="000133C9">
              <w:rPr>
                <w:rFonts w:cs="Arial"/>
              </w:rPr>
              <w:t>).</w:t>
            </w:r>
            <w:r w:rsidR="00105B07" w:rsidRPr="000133C9">
              <w:rPr>
                <w:rFonts w:cs="Arial"/>
              </w:rPr>
              <w:t xml:space="preserve"> </w:t>
            </w:r>
          </w:p>
        </w:tc>
      </w:tr>
      <w:tr w:rsidR="000133C9" w:rsidRPr="000133C9" w14:paraId="2F33C16C" w14:textId="77777777" w:rsidTr="000133C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4F29ACA0" w14:textId="77777777" w:rsidR="00036C4B" w:rsidRPr="000133C9" w:rsidRDefault="00036C4B" w:rsidP="000133C9">
            <w:pPr>
              <w:spacing w:before="60" w:after="60"/>
              <w:ind w:left="426" w:hanging="426"/>
              <w:contextualSpacing/>
              <w:rPr>
                <w:rFonts w:cs="Arial"/>
                <w:b/>
              </w:rPr>
            </w:pPr>
            <w:r w:rsidRPr="000133C9">
              <w:rPr>
                <w:rFonts w:cs="Arial"/>
                <w:b/>
              </w:rPr>
              <w:t>Division 1 Listed threatened species, Section 208A Minister may accredit plans or regimes</w:t>
            </w:r>
          </w:p>
        </w:tc>
        <w:tc>
          <w:tcPr>
            <w:tcW w:w="2500" w:type="pct"/>
            <w:shd w:val="clear" w:color="auto" w:fill="D9D9D9" w:themeFill="background1" w:themeFillShade="D9"/>
          </w:tcPr>
          <w:p w14:paraId="0CD05403" w14:textId="77777777" w:rsidR="00036C4B" w:rsidRPr="000133C9" w:rsidRDefault="00036C4B" w:rsidP="000133C9">
            <w:pPr>
              <w:spacing w:before="60" w:after="60"/>
              <w:contextualSpacing/>
              <w:rPr>
                <w:rFonts w:cs="Arial"/>
                <w:b/>
              </w:rPr>
            </w:pPr>
            <w:r w:rsidRPr="000133C9">
              <w:rPr>
                <w:rFonts w:cs="Arial"/>
                <w:b/>
              </w:rPr>
              <w:t>Comment</w:t>
            </w:r>
          </w:p>
        </w:tc>
      </w:tr>
      <w:tr w:rsidR="000133C9" w:rsidRPr="000133C9" w14:paraId="5F63E3A3"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tcPr>
          <w:p w14:paraId="6F9006E7" w14:textId="77777777" w:rsidR="00036C4B" w:rsidRPr="000133C9" w:rsidRDefault="00036C4B" w:rsidP="000133C9">
            <w:pPr>
              <w:pStyle w:val="ListNumber2"/>
              <w:contextualSpacing/>
              <w:rPr>
                <w:sz w:val="20"/>
                <w:szCs w:val="20"/>
              </w:rPr>
            </w:pPr>
            <w:r w:rsidRPr="000133C9">
              <w:rPr>
                <w:sz w:val="20"/>
                <w:szCs w:val="20"/>
              </w:rPr>
              <w:t>(f)</w:t>
            </w:r>
            <w:r w:rsidRPr="000133C9">
              <w:rPr>
                <w:sz w:val="20"/>
                <w:szCs w:val="20"/>
              </w:rPr>
              <w:tab/>
              <w:t>Will the plan, regime or policy require fishers to take all reasonable steps to ensure that members of listed threatened species (other than conservation dependent species) are not killed or injured as a result of the fishing?</w:t>
            </w:r>
          </w:p>
          <w:p w14:paraId="0365AE61" w14:textId="77777777" w:rsidR="006472B2" w:rsidRPr="000133C9" w:rsidRDefault="006472B2" w:rsidP="000133C9">
            <w:pPr>
              <w:pStyle w:val="ListNumber2"/>
              <w:contextualSpacing/>
              <w:rPr>
                <w:sz w:val="20"/>
                <w:szCs w:val="20"/>
              </w:rPr>
            </w:pPr>
            <w:r w:rsidRPr="000133C9">
              <w:rPr>
                <w:sz w:val="20"/>
                <w:szCs w:val="20"/>
              </w:rPr>
              <w:t>(g)</w:t>
            </w:r>
            <w:r w:rsidRPr="000133C9">
              <w:rPr>
                <w:sz w:val="20"/>
                <w:szCs w:val="20"/>
              </w:rPr>
              <w:tab/>
              <w:t>And, is the fishery likely to adversely affect the survival or recovery in nature of the species?</w:t>
            </w:r>
          </w:p>
        </w:tc>
        <w:tc>
          <w:tcPr>
            <w:tcW w:w="2500" w:type="pct"/>
            <w:shd w:val="clear" w:color="auto" w:fill="auto"/>
          </w:tcPr>
          <w:p w14:paraId="6EDF666C" w14:textId="77777777" w:rsidR="00036C4B" w:rsidRPr="000133C9" w:rsidRDefault="00036C4B" w:rsidP="000133C9">
            <w:pPr>
              <w:spacing w:before="60" w:after="60"/>
              <w:contextualSpacing/>
              <w:rPr>
                <w:rFonts w:cs="Arial"/>
                <w:b/>
              </w:rPr>
            </w:pPr>
            <w:r w:rsidRPr="000133C9">
              <w:rPr>
                <w:rFonts w:cs="Arial"/>
                <w:b/>
              </w:rPr>
              <w:t>Not applicable</w:t>
            </w:r>
          </w:p>
          <w:p w14:paraId="0B693D5E" w14:textId="2A618680" w:rsidR="00036C4B" w:rsidRPr="000133C9" w:rsidRDefault="00036C4B" w:rsidP="000133C9">
            <w:pPr>
              <w:spacing w:before="60" w:after="60"/>
              <w:contextualSpacing/>
              <w:rPr>
                <w:rFonts w:cs="Arial"/>
              </w:rPr>
            </w:pPr>
            <w:r w:rsidRPr="000133C9">
              <w:rPr>
                <w:rFonts w:cs="Arial"/>
              </w:rPr>
              <w:t xml:space="preserve">Section 208A does not apply outside Australia’s </w:t>
            </w:r>
            <w:r w:rsidR="00105B07" w:rsidRPr="000133C9">
              <w:rPr>
                <w:rFonts w:cs="Arial"/>
              </w:rPr>
              <w:t>EEZ</w:t>
            </w:r>
            <w:r w:rsidR="006472B2" w:rsidRPr="000133C9">
              <w:rPr>
                <w:rFonts w:cs="Arial"/>
              </w:rPr>
              <w:t>, and therefore are not applicable to CCAMLR Exploratory Fisheries</w:t>
            </w:r>
            <w:r w:rsidRPr="000133C9">
              <w:rPr>
                <w:rFonts w:cs="Arial"/>
              </w:rPr>
              <w:t>.</w:t>
            </w:r>
            <w:r w:rsidR="006472B2" w:rsidRPr="000133C9">
              <w:rPr>
                <w:rFonts w:cs="Arial"/>
              </w:rPr>
              <w:t xml:space="preserve"> </w:t>
            </w:r>
          </w:p>
        </w:tc>
      </w:tr>
      <w:tr w:rsidR="000133C9" w:rsidRPr="000133C9" w14:paraId="2EEF502C" w14:textId="77777777" w:rsidTr="000133C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620CFAA" w14:textId="77777777" w:rsidR="00036C4B" w:rsidRPr="000133C9" w:rsidRDefault="00036C4B" w:rsidP="000133C9">
            <w:pPr>
              <w:spacing w:before="60" w:after="60"/>
              <w:ind w:left="426" w:hanging="426"/>
              <w:contextualSpacing/>
              <w:rPr>
                <w:rFonts w:cs="Arial"/>
                <w:b/>
              </w:rPr>
            </w:pPr>
            <w:r w:rsidRPr="000133C9">
              <w:rPr>
                <w:rFonts w:cs="Arial"/>
                <w:b/>
              </w:rPr>
              <w:t>Division 2 Migratory species, Section 222A Minister may accredit plans or regimes</w:t>
            </w:r>
          </w:p>
        </w:tc>
        <w:tc>
          <w:tcPr>
            <w:tcW w:w="2500" w:type="pct"/>
            <w:shd w:val="clear" w:color="auto" w:fill="D9D9D9" w:themeFill="background1" w:themeFillShade="D9"/>
          </w:tcPr>
          <w:p w14:paraId="03CB725F" w14:textId="77777777" w:rsidR="00036C4B" w:rsidRPr="000133C9" w:rsidRDefault="00036C4B" w:rsidP="000133C9">
            <w:pPr>
              <w:spacing w:before="60" w:after="60"/>
              <w:contextualSpacing/>
              <w:rPr>
                <w:rFonts w:cs="Arial"/>
                <w:b/>
              </w:rPr>
            </w:pPr>
            <w:r w:rsidRPr="000133C9">
              <w:rPr>
                <w:rFonts w:cs="Arial"/>
                <w:b/>
              </w:rPr>
              <w:t>Comment</w:t>
            </w:r>
          </w:p>
        </w:tc>
      </w:tr>
      <w:tr w:rsidR="000133C9" w:rsidRPr="000133C9" w14:paraId="71A9D37B"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tcPr>
          <w:p w14:paraId="2DE38186" w14:textId="77777777" w:rsidR="00036C4B" w:rsidRPr="000133C9" w:rsidRDefault="00036C4B" w:rsidP="000133C9">
            <w:pPr>
              <w:pStyle w:val="ListNumber2"/>
              <w:contextualSpacing/>
              <w:rPr>
                <w:sz w:val="20"/>
                <w:szCs w:val="20"/>
              </w:rPr>
            </w:pPr>
            <w:r w:rsidRPr="000133C9">
              <w:rPr>
                <w:sz w:val="20"/>
                <w:szCs w:val="20"/>
              </w:rPr>
              <w:t>(f)</w:t>
            </w:r>
            <w:r w:rsidRPr="000133C9">
              <w:rPr>
                <w:sz w:val="20"/>
                <w:szCs w:val="20"/>
              </w:rPr>
              <w:tab/>
              <w:t>Will the plan, regime or policy require fishers to take all reasonable steps to ensure that members of listed migratory species are not killed or injured as a result of the fishing?</w:t>
            </w:r>
          </w:p>
          <w:p w14:paraId="0BECCDD8" w14:textId="77777777" w:rsidR="009F7E5A" w:rsidRPr="000133C9" w:rsidRDefault="009F7E5A" w:rsidP="000133C9">
            <w:pPr>
              <w:tabs>
                <w:tab w:val="right" w:pos="1531"/>
              </w:tabs>
              <w:spacing w:before="60" w:after="60"/>
              <w:ind w:left="901" w:hanging="720"/>
              <w:contextualSpacing/>
              <w:rPr>
                <w:rFonts w:cs="Arial"/>
              </w:rPr>
            </w:pPr>
            <w:r w:rsidRPr="000133C9">
              <w:rPr>
                <w:rFonts w:cs="Arial"/>
              </w:rPr>
              <w:lastRenderedPageBreak/>
              <w:t>(g)</w:t>
            </w:r>
            <w:r w:rsidRPr="000133C9">
              <w:rPr>
                <w:rFonts w:cs="Arial"/>
              </w:rPr>
              <w:tab/>
              <w:t>And, is the fishery likely to adversely affect the conservation status of a listed migratory species or a population of that species?</w:t>
            </w:r>
          </w:p>
        </w:tc>
        <w:tc>
          <w:tcPr>
            <w:tcW w:w="2500" w:type="pct"/>
            <w:shd w:val="clear" w:color="auto" w:fill="auto"/>
          </w:tcPr>
          <w:p w14:paraId="16A19AFB" w14:textId="77777777" w:rsidR="00036C4B" w:rsidRPr="000133C9" w:rsidRDefault="00036C4B" w:rsidP="000133C9">
            <w:pPr>
              <w:keepNext/>
              <w:spacing w:before="60" w:after="60"/>
              <w:contextualSpacing/>
              <w:rPr>
                <w:rFonts w:cs="Arial"/>
                <w:b/>
              </w:rPr>
            </w:pPr>
            <w:r w:rsidRPr="000133C9">
              <w:rPr>
                <w:rFonts w:cs="Arial"/>
                <w:b/>
              </w:rPr>
              <w:lastRenderedPageBreak/>
              <w:t>Not applicable</w:t>
            </w:r>
          </w:p>
          <w:p w14:paraId="50C35BE9" w14:textId="1E518845" w:rsidR="00036C4B" w:rsidRPr="000133C9" w:rsidRDefault="00036C4B" w:rsidP="000133C9">
            <w:pPr>
              <w:spacing w:before="60" w:after="60"/>
              <w:contextualSpacing/>
              <w:rPr>
                <w:rFonts w:cs="Arial"/>
              </w:rPr>
            </w:pPr>
            <w:r w:rsidRPr="000133C9">
              <w:rPr>
                <w:rFonts w:cs="Arial"/>
              </w:rPr>
              <w:t xml:space="preserve">Section 222A does not apply outside Australia’s </w:t>
            </w:r>
            <w:r w:rsidR="00105B07" w:rsidRPr="000133C9">
              <w:rPr>
                <w:rFonts w:cs="Arial"/>
              </w:rPr>
              <w:t>EEZ</w:t>
            </w:r>
            <w:r w:rsidR="009F7E5A" w:rsidRPr="000133C9">
              <w:rPr>
                <w:rFonts w:cs="Arial"/>
              </w:rPr>
              <w:t>, and therefore are not applicable t</w:t>
            </w:r>
            <w:r w:rsidR="00B17E71" w:rsidRPr="000133C9">
              <w:rPr>
                <w:rFonts w:cs="Arial"/>
              </w:rPr>
              <w:t>o CCAMLR Exploratory Fisheries.</w:t>
            </w:r>
          </w:p>
        </w:tc>
      </w:tr>
      <w:tr w:rsidR="000133C9" w:rsidRPr="000133C9" w14:paraId="5AF0FCC3" w14:textId="77777777" w:rsidTr="000133C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B230DB9" w14:textId="77777777" w:rsidR="00036C4B" w:rsidRPr="000133C9" w:rsidRDefault="00036C4B" w:rsidP="000133C9">
            <w:pPr>
              <w:spacing w:before="60" w:after="60"/>
              <w:ind w:left="426" w:hanging="426"/>
              <w:contextualSpacing/>
              <w:rPr>
                <w:rFonts w:cs="Arial"/>
                <w:b/>
              </w:rPr>
            </w:pPr>
            <w:r w:rsidRPr="000133C9">
              <w:rPr>
                <w:rFonts w:cs="Arial"/>
                <w:b/>
              </w:rPr>
              <w:t>Division 3 Whales and other cetaceans, Section 245 Minister may accredit plans or regimes</w:t>
            </w:r>
          </w:p>
        </w:tc>
        <w:tc>
          <w:tcPr>
            <w:tcW w:w="2500" w:type="pct"/>
            <w:shd w:val="clear" w:color="auto" w:fill="D9D9D9" w:themeFill="background1" w:themeFillShade="D9"/>
          </w:tcPr>
          <w:p w14:paraId="2AD22562" w14:textId="77777777" w:rsidR="00036C4B" w:rsidRPr="000133C9" w:rsidRDefault="00036C4B" w:rsidP="000133C9">
            <w:pPr>
              <w:spacing w:before="60" w:after="60"/>
              <w:contextualSpacing/>
              <w:rPr>
                <w:rFonts w:cs="Arial"/>
                <w:b/>
              </w:rPr>
            </w:pPr>
            <w:r w:rsidRPr="000133C9">
              <w:rPr>
                <w:rFonts w:cs="Arial"/>
                <w:b/>
              </w:rPr>
              <w:t>Comment</w:t>
            </w:r>
          </w:p>
        </w:tc>
      </w:tr>
      <w:tr w:rsidR="000133C9" w:rsidRPr="000133C9" w14:paraId="71F05C12"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tcPr>
          <w:p w14:paraId="6A1DAEB6" w14:textId="77777777" w:rsidR="00036C4B" w:rsidRPr="000133C9" w:rsidRDefault="00036C4B" w:rsidP="000133C9">
            <w:pPr>
              <w:pStyle w:val="ListNumber2"/>
              <w:contextualSpacing/>
              <w:rPr>
                <w:sz w:val="20"/>
                <w:szCs w:val="20"/>
              </w:rPr>
            </w:pPr>
            <w:r w:rsidRPr="000133C9">
              <w:rPr>
                <w:sz w:val="20"/>
                <w:szCs w:val="20"/>
              </w:rPr>
              <w:t>(f)</w:t>
            </w:r>
            <w:r w:rsidRPr="000133C9">
              <w:rPr>
                <w:sz w:val="20"/>
                <w:szCs w:val="20"/>
              </w:rPr>
              <w:tab/>
              <w:t>Will the plan, regime or policy require fishers to take all reasonable steps to ensure that cetaceans are not killed or injured as a result of the fishing?</w:t>
            </w:r>
          </w:p>
          <w:p w14:paraId="0FC46F36" w14:textId="77777777" w:rsidR="009F7E5A" w:rsidRPr="000133C9" w:rsidRDefault="009F7E5A" w:rsidP="000133C9">
            <w:pPr>
              <w:pStyle w:val="ListNumber2"/>
              <w:contextualSpacing/>
              <w:rPr>
                <w:sz w:val="20"/>
                <w:szCs w:val="20"/>
              </w:rPr>
            </w:pPr>
            <w:r w:rsidRPr="000133C9">
              <w:rPr>
                <w:sz w:val="20"/>
                <w:szCs w:val="20"/>
              </w:rPr>
              <w:t>(g)</w:t>
            </w:r>
            <w:r w:rsidRPr="000133C9">
              <w:rPr>
                <w:sz w:val="20"/>
                <w:szCs w:val="20"/>
              </w:rPr>
              <w:tab/>
              <w:t>And, is the fishery likely to adversely affect the conservation status of a species of cetacean or a population of that species?</w:t>
            </w:r>
          </w:p>
        </w:tc>
        <w:tc>
          <w:tcPr>
            <w:tcW w:w="2500" w:type="pct"/>
            <w:shd w:val="clear" w:color="auto" w:fill="92D050"/>
          </w:tcPr>
          <w:p w14:paraId="7DEB1E17" w14:textId="77777777" w:rsidR="00036C4B" w:rsidRPr="000133C9" w:rsidRDefault="00036C4B" w:rsidP="000133C9">
            <w:pPr>
              <w:spacing w:before="60" w:after="60"/>
              <w:contextualSpacing/>
              <w:rPr>
                <w:rFonts w:cs="Arial"/>
                <w:b/>
              </w:rPr>
            </w:pPr>
            <w:r w:rsidRPr="000133C9">
              <w:rPr>
                <w:rFonts w:cs="Arial"/>
                <w:b/>
              </w:rPr>
              <w:t>Meets</w:t>
            </w:r>
          </w:p>
          <w:p w14:paraId="3FEE5064" w14:textId="2A802227" w:rsidR="00105B07" w:rsidRPr="000133C9" w:rsidRDefault="009F7E5A" w:rsidP="000133C9">
            <w:pPr>
              <w:spacing w:before="60" w:after="60"/>
              <w:contextualSpacing/>
              <w:rPr>
                <w:rFonts w:cs="Arial"/>
              </w:rPr>
            </w:pPr>
            <w:r w:rsidRPr="000133C9">
              <w:rPr>
                <w:rFonts w:cs="Arial"/>
              </w:rPr>
              <w:t xml:space="preserve">Yes. There is an accreditable regime in place for the CCAMLR Exploratory Fisheries. </w:t>
            </w:r>
          </w:p>
          <w:p w14:paraId="348EE5DE" w14:textId="77777777" w:rsidR="00105B07" w:rsidRPr="000133C9" w:rsidRDefault="00105B07" w:rsidP="000133C9">
            <w:pPr>
              <w:spacing w:before="60" w:after="60"/>
              <w:contextualSpacing/>
              <w:rPr>
                <w:rFonts w:cs="Arial"/>
              </w:rPr>
            </w:pPr>
            <w:r w:rsidRPr="000133C9">
              <w:rPr>
                <w:rFonts w:cs="Arial"/>
              </w:rPr>
              <w:t>The Department considers that the management regime for the CCAMLR Exploratory Fisheries requires persons engaged in fishing under that regime to take all reasonable steps to ensure that cetaceans, or population of a cetacean species, are not killed or injured as a result of the fishing.</w:t>
            </w:r>
          </w:p>
          <w:p w14:paraId="691551CF" w14:textId="77777777" w:rsidR="00105B07" w:rsidRPr="000133C9" w:rsidRDefault="00105B07" w:rsidP="000133C9">
            <w:pPr>
              <w:spacing w:before="60" w:after="60"/>
              <w:contextualSpacing/>
              <w:rPr>
                <w:rFonts w:cs="Arial"/>
              </w:rPr>
            </w:pPr>
            <w:r w:rsidRPr="000133C9">
              <w:rPr>
                <w:rFonts w:cs="Arial"/>
              </w:rPr>
              <w:t>The fishery is not expected to adversely affect the conservation status of a species of cetacean or a population of that species.</w:t>
            </w:r>
          </w:p>
        </w:tc>
      </w:tr>
      <w:tr w:rsidR="000133C9" w:rsidRPr="000133C9" w14:paraId="314F9330" w14:textId="77777777" w:rsidTr="000133C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2D0911A1" w14:textId="77777777" w:rsidR="00036C4B" w:rsidRPr="000133C9" w:rsidRDefault="00036C4B" w:rsidP="000133C9">
            <w:pPr>
              <w:spacing w:before="60" w:after="60"/>
              <w:ind w:left="426" w:hanging="426"/>
              <w:contextualSpacing/>
              <w:rPr>
                <w:rFonts w:cs="Arial"/>
                <w:b/>
              </w:rPr>
            </w:pPr>
            <w:r w:rsidRPr="000133C9">
              <w:rPr>
                <w:rFonts w:cs="Arial"/>
                <w:b/>
              </w:rPr>
              <w:t>Division 4 Listed marine species, Section 265 Minister may accredit plans or regimes</w:t>
            </w:r>
          </w:p>
        </w:tc>
        <w:tc>
          <w:tcPr>
            <w:tcW w:w="2500" w:type="pct"/>
            <w:shd w:val="clear" w:color="auto" w:fill="D9D9D9" w:themeFill="background1" w:themeFillShade="D9"/>
          </w:tcPr>
          <w:p w14:paraId="4FF62754" w14:textId="77777777" w:rsidR="00036C4B" w:rsidRPr="000133C9" w:rsidRDefault="00036C4B" w:rsidP="000133C9">
            <w:pPr>
              <w:spacing w:before="60" w:after="60"/>
              <w:contextualSpacing/>
              <w:rPr>
                <w:rFonts w:cs="Arial"/>
                <w:b/>
              </w:rPr>
            </w:pPr>
            <w:r w:rsidRPr="000133C9">
              <w:rPr>
                <w:rFonts w:cs="Arial"/>
                <w:b/>
              </w:rPr>
              <w:t>Comment</w:t>
            </w:r>
          </w:p>
        </w:tc>
      </w:tr>
      <w:tr w:rsidR="000133C9" w:rsidRPr="000133C9" w14:paraId="59751F73"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tcPr>
          <w:p w14:paraId="54CE71D3" w14:textId="77777777" w:rsidR="00036C4B" w:rsidRPr="000133C9" w:rsidRDefault="00036C4B" w:rsidP="000133C9">
            <w:pPr>
              <w:pStyle w:val="ListNumber2"/>
              <w:contextualSpacing/>
              <w:rPr>
                <w:sz w:val="20"/>
                <w:szCs w:val="20"/>
              </w:rPr>
            </w:pPr>
            <w:r w:rsidRPr="000133C9">
              <w:rPr>
                <w:sz w:val="20"/>
                <w:szCs w:val="20"/>
              </w:rPr>
              <w:t>(f)</w:t>
            </w:r>
            <w:r w:rsidRPr="000133C9">
              <w:rPr>
                <w:sz w:val="20"/>
                <w:szCs w:val="20"/>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0EF1A03E" w14:textId="77777777" w:rsidR="00036C4B" w:rsidRPr="000133C9" w:rsidRDefault="00036C4B" w:rsidP="000133C9">
            <w:pPr>
              <w:spacing w:before="60" w:after="60"/>
              <w:contextualSpacing/>
              <w:rPr>
                <w:rFonts w:cs="Arial"/>
                <w:b/>
              </w:rPr>
            </w:pPr>
            <w:r w:rsidRPr="000133C9">
              <w:rPr>
                <w:rFonts w:cs="Arial"/>
                <w:b/>
              </w:rPr>
              <w:t>Not applicable</w:t>
            </w:r>
          </w:p>
          <w:p w14:paraId="669D3646" w14:textId="7CA716C1" w:rsidR="0010318A" w:rsidRPr="000133C9" w:rsidRDefault="00036C4B" w:rsidP="000133C9">
            <w:pPr>
              <w:spacing w:before="60" w:after="60"/>
              <w:contextualSpacing/>
              <w:rPr>
                <w:rFonts w:cs="Arial"/>
              </w:rPr>
            </w:pPr>
            <w:r w:rsidRPr="000133C9">
              <w:rPr>
                <w:rFonts w:cs="Arial"/>
              </w:rPr>
              <w:t xml:space="preserve">Section 265 does not apply outside Australia’s </w:t>
            </w:r>
            <w:r w:rsidR="00616264" w:rsidRPr="000133C9">
              <w:rPr>
                <w:rFonts w:cs="Arial"/>
              </w:rPr>
              <w:t>EEZ</w:t>
            </w:r>
            <w:r w:rsidR="009F7E5A" w:rsidRPr="000133C9">
              <w:rPr>
                <w:rFonts w:cs="Arial"/>
              </w:rPr>
              <w:t xml:space="preserve">, and therefore are not applicable to CCAMLR Exploratory Fisheries. </w:t>
            </w:r>
          </w:p>
          <w:p w14:paraId="38380DC5" w14:textId="6F99F36A" w:rsidR="00105B07" w:rsidRPr="000133C9" w:rsidRDefault="00105B07" w:rsidP="000133C9">
            <w:pPr>
              <w:spacing w:before="60" w:after="60"/>
              <w:contextualSpacing/>
              <w:rPr>
                <w:rFonts w:cs="Arial"/>
              </w:rPr>
            </w:pPr>
          </w:p>
        </w:tc>
      </w:tr>
      <w:tr w:rsidR="000133C9" w:rsidRPr="000133C9" w14:paraId="444568C4" w14:textId="77777777" w:rsidTr="000133C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7D44534B" w14:textId="77777777" w:rsidR="00036C4B" w:rsidRPr="000133C9" w:rsidRDefault="00036C4B" w:rsidP="000133C9">
            <w:pPr>
              <w:spacing w:before="60" w:after="60"/>
              <w:ind w:left="426" w:hanging="426"/>
              <w:contextualSpacing/>
              <w:rPr>
                <w:rFonts w:cs="Arial"/>
                <w:b/>
              </w:rPr>
            </w:pPr>
            <w:r w:rsidRPr="000133C9">
              <w:rPr>
                <w:rFonts w:cs="Arial"/>
                <w:b/>
              </w:rPr>
              <w:t>Section 303AA Conditions relating to accreditation of plans, regimes and policies</w:t>
            </w:r>
          </w:p>
        </w:tc>
        <w:tc>
          <w:tcPr>
            <w:tcW w:w="2500" w:type="pct"/>
            <w:shd w:val="clear" w:color="auto" w:fill="D9D9D9" w:themeFill="background1" w:themeFillShade="D9"/>
          </w:tcPr>
          <w:p w14:paraId="413C6041" w14:textId="77777777" w:rsidR="00036C4B" w:rsidRPr="000133C9" w:rsidRDefault="00036C4B" w:rsidP="000133C9">
            <w:pPr>
              <w:keepNext/>
              <w:spacing w:before="60" w:after="60"/>
              <w:contextualSpacing/>
              <w:rPr>
                <w:rFonts w:cs="Arial"/>
                <w:b/>
              </w:rPr>
            </w:pPr>
            <w:r w:rsidRPr="000133C9">
              <w:rPr>
                <w:rFonts w:cs="Arial"/>
                <w:b/>
              </w:rPr>
              <w:t>Comment</w:t>
            </w:r>
          </w:p>
        </w:tc>
      </w:tr>
      <w:tr w:rsidR="000133C9" w:rsidRPr="000133C9" w14:paraId="5BA9FB22" w14:textId="77777777" w:rsidTr="000133C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35D10829" w14:textId="77777777" w:rsidR="00036C4B" w:rsidRPr="000133C9" w:rsidRDefault="00036C4B" w:rsidP="000133C9">
            <w:pPr>
              <w:pStyle w:val="ListNumber"/>
              <w:contextualSpacing/>
              <w:rPr>
                <w:sz w:val="20"/>
                <w:szCs w:val="20"/>
              </w:rPr>
            </w:pPr>
            <w:r w:rsidRPr="000133C9">
              <w:rPr>
                <w:sz w:val="20"/>
                <w:szCs w:val="20"/>
              </w:rPr>
              <w:t>(1)</w:t>
            </w:r>
            <w:r w:rsidRPr="000133C9">
              <w:rPr>
                <w:sz w:val="20"/>
                <w:szCs w:val="20"/>
              </w:rPr>
              <w:tab/>
              <w:t>This section applies to an accreditation of a plan, regime or policy under section 208A, 222A, 245 or 265.</w:t>
            </w:r>
          </w:p>
          <w:p w14:paraId="2F32E862" w14:textId="77777777" w:rsidR="00036C4B" w:rsidRPr="000133C9" w:rsidRDefault="00036C4B" w:rsidP="000133C9">
            <w:pPr>
              <w:pStyle w:val="ListNumber"/>
              <w:contextualSpacing/>
              <w:rPr>
                <w:sz w:val="20"/>
                <w:szCs w:val="20"/>
              </w:rPr>
            </w:pPr>
            <w:r w:rsidRPr="000133C9">
              <w:rPr>
                <w:sz w:val="20"/>
                <w:szCs w:val="20"/>
              </w:rPr>
              <w:t>(2)</w:t>
            </w:r>
            <w:r w:rsidRPr="000133C9">
              <w:rPr>
                <w:sz w:val="20"/>
                <w:szCs w:val="20"/>
              </w:rPr>
              <w:tab/>
              <w:t>The Minister may accredit a plan, regime or policy under that section even though he or she considers that the plan, regime or policy should be accredited only:</w:t>
            </w:r>
          </w:p>
          <w:p w14:paraId="4F09C91F" w14:textId="77777777" w:rsidR="00036C4B" w:rsidRPr="000133C9" w:rsidRDefault="00036C4B" w:rsidP="000133C9">
            <w:pPr>
              <w:pStyle w:val="ListNumber2"/>
              <w:contextualSpacing/>
              <w:rPr>
                <w:sz w:val="20"/>
                <w:szCs w:val="20"/>
              </w:rPr>
            </w:pPr>
            <w:r w:rsidRPr="000133C9">
              <w:rPr>
                <w:sz w:val="20"/>
                <w:szCs w:val="20"/>
              </w:rPr>
              <w:t>(a)</w:t>
            </w:r>
            <w:r w:rsidRPr="000133C9">
              <w:rPr>
                <w:sz w:val="20"/>
                <w:szCs w:val="20"/>
              </w:rPr>
              <w:tab/>
              <w:t>during a particular period; or</w:t>
            </w:r>
          </w:p>
          <w:p w14:paraId="45759C14" w14:textId="77777777" w:rsidR="00036C4B" w:rsidRPr="000133C9" w:rsidRDefault="00036C4B" w:rsidP="000133C9">
            <w:pPr>
              <w:pStyle w:val="ListNumber2"/>
              <w:contextualSpacing/>
              <w:rPr>
                <w:sz w:val="20"/>
                <w:szCs w:val="20"/>
              </w:rPr>
            </w:pPr>
            <w:r w:rsidRPr="000133C9">
              <w:rPr>
                <w:sz w:val="20"/>
                <w:szCs w:val="20"/>
              </w:rPr>
              <w:t>(b)</w:t>
            </w:r>
            <w:r w:rsidRPr="000133C9">
              <w:rPr>
                <w:sz w:val="20"/>
                <w:szCs w:val="20"/>
              </w:rPr>
              <w:tab/>
              <w:t>while certain circumstances exist; or</w:t>
            </w:r>
          </w:p>
          <w:p w14:paraId="4BF181BC" w14:textId="77777777" w:rsidR="00036C4B" w:rsidRPr="000133C9" w:rsidRDefault="00036C4B" w:rsidP="000133C9">
            <w:pPr>
              <w:pStyle w:val="ListNumber2"/>
              <w:contextualSpacing/>
              <w:rPr>
                <w:sz w:val="20"/>
                <w:szCs w:val="20"/>
              </w:rPr>
            </w:pPr>
            <w:r w:rsidRPr="000133C9">
              <w:rPr>
                <w:sz w:val="20"/>
                <w:szCs w:val="20"/>
              </w:rPr>
              <w:t>(c)</w:t>
            </w:r>
            <w:r w:rsidRPr="000133C9">
              <w:rPr>
                <w:sz w:val="20"/>
                <w:szCs w:val="20"/>
              </w:rPr>
              <w:tab/>
            </w:r>
            <w:proofErr w:type="gramStart"/>
            <w:r w:rsidRPr="000133C9">
              <w:rPr>
                <w:sz w:val="20"/>
                <w:szCs w:val="20"/>
              </w:rPr>
              <w:t>while</w:t>
            </w:r>
            <w:proofErr w:type="gramEnd"/>
            <w:r w:rsidRPr="000133C9">
              <w:rPr>
                <w:sz w:val="20"/>
                <w:szCs w:val="20"/>
              </w:rPr>
              <w:t xml:space="preserve"> a certain condition is complied with.</w:t>
            </w:r>
          </w:p>
          <w:p w14:paraId="0B0AD44E" w14:textId="77777777" w:rsidR="00036C4B" w:rsidRPr="000133C9" w:rsidRDefault="00036C4B" w:rsidP="000133C9">
            <w:pPr>
              <w:spacing w:before="60" w:after="60"/>
              <w:contextualSpacing/>
              <w:rPr>
                <w:rFonts w:cs="Arial"/>
              </w:rPr>
            </w:pPr>
            <w:r w:rsidRPr="000133C9">
              <w:rPr>
                <w:rFonts w:cs="Arial"/>
              </w:rPr>
              <w:t>In such a case, the instrument of accreditation is to specify the period, circumstances or condition.</w:t>
            </w:r>
          </w:p>
        </w:tc>
        <w:tc>
          <w:tcPr>
            <w:tcW w:w="2500" w:type="pct"/>
            <w:shd w:val="clear" w:color="auto" w:fill="92D050"/>
          </w:tcPr>
          <w:p w14:paraId="397F60FE" w14:textId="77777777" w:rsidR="00036C4B" w:rsidRPr="000133C9" w:rsidRDefault="00036C4B" w:rsidP="000133C9">
            <w:pPr>
              <w:spacing w:before="60" w:after="60"/>
              <w:contextualSpacing/>
              <w:rPr>
                <w:rFonts w:cs="Arial"/>
              </w:rPr>
            </w:pPr>
            <w:r w:rsidRPr="000133C9">
              <w:rPr>
                <w:rFonts w:cs="Arial"/>
              </w:rPr>
              <w:t>Accreditation is recommended for the management regime, under section 245 of the EPBC Act. No specific period, circumstances or conditions required.</w:t>
            </w:r>
          </w:p>
          <w:p w14:paraId="66B8D400" w14:textId="77777777" w:rsidR="00036C4B" w:rsidRPr="000133C9" w:rsidRDefault="00036C4B" w:rsidP="000133C9">
            <w:pPr>
              <w:spacing w:before="60" w:after="60"/>
              <w:contextualSpacing/>
              <w:rPr>
                <w:rFonts w:cs="Arial"/>
              </w:rPr>
            </w:pPr>
            <w:r w:rsidRPr="000133C9">
              <w:rPr>
                <w:rFonts w:cs="Arial"/>
              </w:rPr>
              <w:t xml:space="preserve">Accreditation is not applicable under sections 208A, 222A and 265 of the EPBC Act as these sections do not apply outside Australia’s </w:t>
            </w:r>
            <w:r w:rsidR="00616264" w:rsidRPr="000133C9">
              <w:rPr>
                <w:rFonts w:cs="Arial"/>
              </w:rPr>
              <w:t xml:space="preserve">EEZ, and therefore are not applicable to CCAMLR Exploratory Fisheries. </w:t>
            </w:r>
          </w:p>
        </w:tc>
      </w:tr>
    </w:tbl>
    <w:p w14:paraId="5AF030EE" w14:textId="77777777" w:rsidR="00B041A4" w:rsidRPr="000133C9" w:rsidRDefault="00B041A4">
      <w:pPr>
        <w:rPr>
          <w:rFonts w:cs="Arial"/>
          <w:sz w:val="20"/>
          <w:szCs w:val="20"/>
        </w:rPr>
      </w:pPr>
    </w:p>
    <w:sectPr w:rsidR="00B041A4" w:rsidRPr="000133C9" w:rsidSect="00036C4B">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10F00" w14:textId="77777777" w:rsidR="002C7EE1" w:rsidRDefault="002C7EE1" w:rsidP="002C7EE1">
      <w:pPr>
        <w:spacing w:after="0" w:line="240" w:lineRule="auto"/>
      </w:pPr>
      <w:r>
        <w:separator/>
      </w:r>
    </w:p>
  </w:endnote>
  <w:endnote w:type="continuationSeparator" w:id="0">
    <w:p w14:paraId="7A212471" w14:textId="77777777" w:rsidR="002C7EE1" w:rsidRDefault="002C7EE1" w:rsidP="002C7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B7CC9" w14:textId="77777777" w:rsidR="002C7EE1" w:rsidRDefault="002C7E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462E5" w14:textId="77777777" w:rsidR="002C7EE1" w:rsidRDefault="002C7E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C4D84" w14:textId="77777777" w:rsidR="002C7EE1" w:rsidRDefault="002C7E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6D983" w14:textId="77777777" w:rsidR="002C7EE1" w:rsidRDefault="002C7EE1" w:rsidP="002C7EE1">
      <w:pPr>
        <w:spacing w:after="0" w:line="240" w:lineRule="auto"/>
      </w:pPr>
      <w:r>
        <w:separator/>
      </w:r>
    </w:p>
  </w:footnote>
  <w:footnote w:type="continuationSeparator" w:id="0">
    <w:p w14:paraId="7FE56073" w14:textId="77777777" w:rsidR="002C7EE1" w:rsidRDefault="002C7EE1" w:rsidP="002C7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FB70C" w14:textId="77777777" w:rsidR="002C7EE1" w:rsidRDefault="002C7E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2FC7" w14:textId="77777777" w:rsidR="002C7EE1" w:rsidRDefault="002C7E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F5B96" w14:textId="77777777" w:rsidR="002C7EE1" w:rsidRDefault="002C7E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B6541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F745BC2"/>
    <w:multiLevelType w:val="multilevel"/>
    <w:tmpl w:val="E5E89F92"/>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28881934"/>
    <w:multiLevelType w:val="hybridMultilevel"/>
    <w:tmpl w:val="09EAD62A"/>
    <w:lvl w:ilvl="0" w:tplc="7BC6F128">
      <w:start w:val="1"/>
      <w:numFmt w:val="bullet"/>
      <w:pStyle w:val="List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C4B"/>
    <w:rsid w:val="000133C9"/>
    <w:rsid w:val="00036C4B"/>
    <w:rsid w:val="00042641"/>
    <w:rsid w:val="00077A32"/>
    <w:rsid w:val="00096B73"/>
    <w:rsid w:val="000B06BF"/>
    <w:rsid w:val="000C155B"/>
    <w:rsid w:val="0010318A"/>
    <w:rsid w:val="00105B07"/>
    <w:rsid w:val="00115E9E"/>
    <w:rsid w:val="00123046"/>
    <w:rsid w:val="00132933"/>
    <w:rsid w:val="00135A4F"/>
    <w:rsid w:val="0014697B"/>
    <w:rsid w:val="00150548"/>
    <w:rsid w:val="001C0037"/>
    <w:rsid w:val="001C2160"/>
    <w:rsid w:val="001D327D"/>
    <w:rsid w:val="00211629"/>
    <w:rsid w:val="002218E2"/>
    <w:rsid w:val="00253E71"/>
    <w:rsid w:val="00273BB4"/>
    <w:rsid w:val="002C559A"/>
    <w:rsid w:val="002C7EE1"/>
    <w:rsid w:val="002F29F4"/>
    <w:rsid w:val="0034558C"/>
    <w:rsid w:val="00355F67"/>
    <w:rsid w:val="00372AB6"/>
    <w:rsid w:val="00373D68"/>
    <w:rsid w:val="00392EB4"/>
    <w:rsid w:val="003F20FC"/>
    <w:rsid w:val="00401DE9"/>
    <w:rsid w:val="00416BE2"/>
    <w:rsid w:val="00435659"/>
    <w:rsid w:val="00444851"/>
    <w:rsid w:val="004B3920"/>
    <w:rsid w:val="004B61E3"/>
    <w:rsid w:val="0052771D"/>
    <w:rsid w:val="005473A6"/>
    <w:rsid w:val="005529DB"/>
    <w:rsid w:val="0057632D"/>
    <w:rsid w:val="005968C3"/>
    <w:rsid w:val="005E5BA7"/>
    <w:rsid w:val="00615A54"/>
    <w:rsid w:val="00616264"/>
    <w:rsid w:val="00630A65"/>
    <w:rsid w:val="00630AC1"/>
    <w:rsid w:val="006472B2"/>
    <w:rsid w:val="006924EB"/>
    <w:rsid w:val="006A3F00"/>
    <w:rsid w:val="006C175D"/>
    <w:rsid w:val="006E4D5D"/>
    <w:rsid w:val="006F27C9"/>
    <w:rsid w:val="006F3D2D"/>
    <w:rsid w:val="006F431C"/>
    <w:rsid w:val="006F64A3"/>
    <w:rsid w:val="00701704"/>
    <w:rsid w:val="00722FB8"/>
    <w:rsid w:val="00750480"/>
    <w:rsid w:val="00754526"/>
    <w:rsid w:val="00763B61"/>
    <w:rsid w:val="00781079"/>
    <w:rsid w:val="00791253"/>
    <w:rsid w:val="007A50E3"/>
    <w:rsid w:val="007B5CF5"/>
    <w:rsid w:val="007D76BC"/>
    <w:rsid w:val="007E1D68"/>
    <w:rsid w:val="007F2C51"/>
    <w:rsid w:val="00854C61"/>
    <w:rsid w:val="00857820"/>
    <w:rsid w:val="008A0E8F"/>
    <w:rsid w:val="008A7DA4"/>
    <w:rsid w:val="008B0760"/>
    <w:rsid w:val="008D06B2"/>
    <w:rsid w:val="008D2817"/>
    <w:rsid w:val="008F0B4A"/>
    <w:rsid w:val="009234FD"/>
    <w:rsid w:val="0094432A"/>
    <w:rsid w:val="009866F8"/>
    <w:rsid w:val="00995FC1"/>
    <w:rsid w:val="009A5E99"/>
    <w:rsid w:val="009F7E5A"/>
    <w:rsid w:val="00A32A1C"/>
    <w:rsid w:val="00A45992"/>
    <w:rsid w:val="00A50B7B"/>
    <w:rsid w:val="00A511A3"/>
    <w:rsid w:val="00A648AE"/>
    <w:rsid w:val="00A719A9"/>
    <w:rsid w:val="00A83758"/>
    <w:rsid w:val="00A85833"/>
    <w:rsid w:val="00A94BB5"/>
    <w:rsid w:val="00AA2E61"/>
    <w:rsid w:val="00AB5702"/>
    <w:rsid w:val="00AD3833"/>
    <w:rsid w:val="00AD3B53"/>
    <w:rsid w:val="00AE6571"/>
    <w:rsid w:val="00AF3E53"/>
    <w:rsid w:val="00B041A4"/>
    <w:rsid w:val="00B14A59"/>
    <w:rsid w:val="00B17E71"/>
    <w:rsid w:val="00B445B2"/>
    <w:rsid w:val="00B5136C"/>
    <w:rsid w:val="00B71861"/>
    <w:rsid w:val="00B94C2B"/>
    <w:rsid w:val="00B95A2A"/>
    <w:rsid w:val="00C07F9B"/>
    <w:rsid w:val="00C44D18"/>
    <w:rsid w:val="00C96665"/>
    <w:rsid w:val="00CA44A8"/>
    <w:rsid w:val="00CA748A"/>
    <w:rsid w:val="00CB56BD"/>
    <w:rsid w:val="00CF0FF9"/>
    <w:rsid w:val="00D16752"/>
    <w:rsid w:val="00D737E7"/>
    <w:rsid w:val="00D828EF"/>
    <w:rsid w:val="00DD189C"/>
    <w:rsid w:val="00DD5AF3"/>
    <w:rsid w:val="00E31D74"/>
    <w:rsid w:val="00E61B2F"/>
    <w:rsid w:val="00E9448A"/>
    <w:rsid w:val="00EA6EC9"/>
    <w:rsid w:val="00ED277B"/>
    <w:rsid w:val="00EE22FD"/>
    <w:rsid w:val="00EE2AD0"/>
    <w:rsid w:val="00F242A6"/>
    <w:rsid w:val="00F27F97"/>
    <w:rsid w:val="00F34551"/>
    <w:rsid w:val="00F4220A"/>
    <w:rsid w:val="00F704A1"/>
    <w:rsid w:val="00F74B07"/>
    <w:rsid w:val="00F75CAD"/>
    <w:rsid w:val="00F91579"/>
    <w:rsid w:val="00F93443"/>
    <w:rsid w:val="00FF6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77E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C4B"/>
    <w:rPr>
      <w:rFonts w:ascii="Arial" w:eastAsia="Calibri" w:hAnsi="Arial" w:cs="Times New Roman"/>
    </w:rPr>
  </w:style>
  <w:style w:type="paragraph" w:styleId="Heading1">
    <w:name w:val="heading 1"/>
    <w:basedOn w:val="Normal"/>
    <w:next w:val="Normal"/>
    <w:link w:val="Heading1Char"/>
    <w:qFormat/>
    <w:rsid w:val="00036C4B"/>
    <w:pPr>
      <w:keepNext/>
      <w:outlineLvl w:val="0"/>
    </w:pPr>
    <w:rPr>
      <w:rFonts w:cs="Arial"/>
      <w:b/>
      <w:caps/>
    </w:rPr>
  </w:style>
  <w:style w:type="paragraph" w:styleId="Heading6">
    <w:name w:val="heading 6"/>
    <w:basedOn w:val="Normal"/>
    <w:next w:val="Normal"/>
    <w:link w:val="Heading6Char"/>
    <w:uiPriority w:val="9"/>
    <w:semiHidden/>
    <w:unhideWhenUsed/>
    <w:qFormat/>
    <w:rsid w:val="000133C9"/>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133C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unhideWhenUsed/>
    <w:qFormat/>
    <w:rsid w:val="006F3D2D"/>
    <w:pPr>
      <w:numPr>
        <w:numId w:val="2"/>
      </w:numPr>
      <w:tabs>
        <w:tab w:val="left" w:pos="1096"/>
      </w:tabs>
      <w:autoSpaceDE w:val="0"/>
      <w:autoSpaceDN w:val="0"/>
      <w:adjustRightInd w:val="0"/>
      <w:spacing w:before="60" w:after="60" w:line="240" w:lineRule="auto"/>
    </w:pPr>
    <w:rPr>
      <w:rFonts w:ascii="Times New Roman" w:hAnsi="Times New Roman"/>
      <w:snapToGrid w:val="0"/>
      <w:color w:val="000000"/>
      <w:lang w:eastAsia="en-AU"/>
    </w:rPr>
  </w:style>
  <w:style w:type="character" w:customStyle="1" w:styleId="Heading1Char">
    <w:name w:val="Heading 1 Char"/>
    <w:basedOn w:val="DefaultParagraphFont"/>
    <w:link w:val="Heading1"/>
    <w:rsid w:val="00036C4B"/>
    <w:rPr>
      <w:rFonts w:ascii="Arial" w:eastAsia="Calibri" w:hAnsi="Arial" w:cs="Arial"/>
      <w:b/>
      <w:caps/>
    </w:rPr>
  </w:style>
  <w:style w:type="paragraph" w:styleId="ListNumber">
    <w:name w:val="List Number"/>
    <w:basedOn w:val="Normal"/>
    <w:uiPriority w:val="99"/>
    <w:qFormat/>
    <w:rsid w:val="00036C4B"/>
    <w:pPr>
      <w:tabs>
        <w:tab w:val="right" w:pos="1021"/>
      </w:tabs>
      <w:spacing w:before="60" w:after="60" w:line="240" w:lineRule="auto"/>
      <w:ind w:left="720" w:hanging="720"/>
    </w:pPr>
    <w:rPr>
      <w:rFonts w:eastAsia="Times New Roman" w:cs="Arial"/>
      <w:sz w:val="18"/>
      <w:szCs w:val="18"/>
      <w:lang w:eastAsia="en-AU"/>
    </w:rPr>
  </w:style>
  <w:style w:type="paragraph" w:styleId="ListNumber2">
    <w:name w:val="List Number 2"/>
    <w:basedOn w:val="Normal"/>
    <w:uiPriority w:val="99"/>
    <w:rsid w:val="00036C4B"/>
    <w:pPr>
      <w:tabs>
        <w:tab w:val="right" w:pos="1531"/>
      </w:tabs>
      <w:spacing w:before="60" w:after="60" w:line="240" w:lineRule="auto"/>
      <w:ind w:left="901" w:hanging="720"/>
    </w:pPr>
    <w:rPr>
      <w:rFonts w:eastAsia="Times New Roman" w:cs="Arial"/>
      <w:sz w:val="18"/>
      <w:szCs w:val="18"/>
      <w:lang w:eastAsia="en-AU"/>
    </w:rPr>
  </w:style>
  <w:style w:type="table" w:styleId="TableGrid">
    <w:name w:val="Table Grid"/>
    <w:basedOn w:val="TableNormal"/>
    <w:uiPriority w:val="59"/>
    <w:rsid w:val="00036C4B"/>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styleId="CommentReference">
    <w:name w:val="annotation reference"/>
    <w:basedOn w:val="DefaultParagraphFont"/>
    <w:semiHidden/>
    <w:rsid w:val="00036C4B"/>
    <w:rPr>
      <w:sz w:val="16"/>
      <w:szCs w:val="16"/>
    </w:rPr>
  </w:style>
  <w:style w:type="paragraph" w:styleId="CommentText">
    <w:name w:val="annotation text"/>
    <w:basedOn w:val="Normal"/>
    <w:link w:val="CommentTextChar"/>
    <w:semiHidden/>
    <w:rsid w:val="00036C4B"/>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036C4B"/>
    <w:rPr>
      <w:rFonts w:ascii="Times New Roman" w:eastAsia="Times New Roman" w:hAnsi="Times New Roman" w:cs="Times New Roman"/>
      <w:sz w:val="20"/>
      <w:szCs w:val="20"/>
      <w:lang w:eastAsia="en-AU"/>
    </w:rPr>
  </w:style>
  <w:style w:type="character" w:styleId="Emphasis">
    <w:name w:val="Emphasis"/>
    <w:basedOn w:val="DefaultParagraphFont"/>
    <w:qFormat/>
    <w:rsid w:val="00036C4B"/>
    <w:rPr>
      <w:i/>
      <w:iCs/>
    </w:rPr>
  </w:style>
  <w:style w:type="character" w:styleId="Hyperlink">
    <w:name w:val="Hyperlink"/>
    <w:basedOn w:val="DefaultParagraphFont"/>
    <w:uiPriority w:val="99"/>
    <w:rsid w:val="00036C4B"/>
    <w:rPr>
      <w:color w:val="0000FF"/>
      <w:u w:val="single"/>
    </w:rPr>
  </w:style>
  <w:style w:type="paragraph" w:styleId="BalloonText">
    <w:name w:val="Balloon Text"/>
    <w:basedOn w:val="Normal"/>
    <w:link w:val="BalloonTextChar"/>
    <w:uiPriority w:val="99"/>
    <w:semiHidden/>
    <w:unhideWhenUsed/>
    <w:rsid w:val="00036C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6C4B"/>
    <w:rPr>
      <w:rFonts w:ascii="Segoe UI" w:eastAsia="Calibri" w:hAnsi="Segoe UI" w:cs="Segoe UI"/>
      <w:sz w:val="18"/>
      <w:szCs w:val="18"/>
    </w:rPr>
  </w:style>
  <w:style w:type="numbering" w:customStyle="1" w:styleId="BulletList">
    <w:name w:val="Bullet List"/>
    <w:uiPriority w:val="99"/>
    <w:rsid w:val="00722FB8"/>
    <w:pPr>
      <w:numPr>
        <w:numId w:val="3"/>
      </w:numPr>
    </w:pPr>
  </w:style>
  <w:style w:type="paragraph" w:styleId="ListBullet2">
    <w:name w:val="List Bullet 2"/>
    <w:basedOn w:val="Normal"/>
    <w:uiPriority w:val="99"/>
    <w:unhideWhenUsed/>
    <w:rsid w:val="00722FB8"/>
    <w:pPr>
      <w:ind w:left="737" w:hanging="368"/>
    </w:pPr>
  </w:style>
  <w:style w:type="paragraph" w:styleId="ListBullet3">
    <w:name w:val="List Bullet 3"/>
    <w:basedOn w:val="Normal"/>
    <w:uiPriority w:val="99"/>
    <w:unhideWhenUsed/>
    <w:rsid w:val="00722FB8"/>
    <w:pPr>
      <w:ind w:left="1106" w:hanging="369"/>
    </w:pPr>
  </w:style>
  <w:style w:type="paragraph" w:styleId="ListBullet4">
    <w:name w:val="List Bullet 4"/>
    <w:basedOn w:val="Normal"/>
    <w:uiPriority w:val="99"/>
    <w:unhideWhenUsed/>
    <w:rsid w:val="00722FB8"/>
    <w:pPr>
      <w:ind w:left="1474" w:hanging="368"/>
    </w:pPr>
  </w:style>
  <w:style w:type="paragraph" w:styleId="ListBullet5">
    <w:name w:val="List Bullet 5"/>
    <w:basedOn w:val="Normal"/>
    <w:uiPriority w:val="99"/>
    <w:unhideWhenUsed/>
    <w:rsid w:val="00722FB8"/>
    <w:pPr>
      <w:ind w:left="1800" w:hanging="360"/>
    </w:pPr>
  </w:style>
  <w:style w:type="paragraph" w:styleId="CommentSubject">
    <w:name w:val="annotation subject"/>
    <w:basedOn w:val="CommentText"/>
    <w:next w:val="CommentText"/>
    <w:link w:val="CommentSubjectChar"/>
    <w:uiPriority w:val="99"/>
    <w:semiHidden/>
    <w:unhideWhenUsed/>
    <w:rsid w:val="001C2160"/>
    <w:pPr>
      <w:spacing w:after="200"/>
    </w:pPr>
    <w:rPr>
      <w:rFonts w:ascii="Arial" w:eastAsia="Calibri" w:hAnsi="Arial"/>
      <w:b/>
      <w:bCs/>
      <w:lang w:eastAsia="en-US"/>
    </w:rPr>
  </w:style>
  <w:style w:type="character" w:customStyle="1" w:styleId="CommentSubjectChar">
    <w:name w:val="Comment Subject Char"/>
    <w:basedOn w:val="CommentTextChar"/>
    <w:link w:val="CommentSubject"/>
    <w:uiPriority w:val="99"/>
    <w:semiHidden/>
    <w:rsid w:val="001C2160"/>
    <w:rPr>
      <w:rFonts w:ascii="Arial" w:eastAsia="Calibri" w:hAnsi="Arial" w:cs="Times New Roman"/>
      <w:b/>
      <w:bCs/>
      <w:sz w:val="20"/>
      <w:szCs w:val="20"/>
      <w:lang w:eastAsia="en-AU"/>
    </w:rPr>
  </w:style>
  <w:style w:type="character" w:customStyle="1" w:styleId="Heading6Char">
    <w:name w:val="Heading 6 Char"/>
    <w:basedOn w:val="DefaultParagraphFont"/>
    <w:link w:val="Heading6"/>
    <w:uiPriority w:val="9"/>
    <w:semiHidden/>
    <w:rsid w:val="000133C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133C9"/>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0133C9"/>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OC1">
    <w:name w:val="toc 1"/>
    <w:basedOn w:val="Normal"/>
    <w:next w:val="Normal"/>
    <w:autoRedefine/>
    <w:uiPriority w:val="39"/>
    <w:semiHidden/>
    <w:unhideWhenUsed/>
    <w:rsid w:val="000133C9"/>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styleId="Header">
    <w:name w:val="header"/>
    <w:basedOn w:val="Normal"/>
    <w:link w:val="HeaderChar"/>
    <w:uiPriority w:val="99"/>
    <w:unhideWhenUsed/>
    <w:rsid w:val="002C7E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EE1"/>
    <w:rPr>
      <w:rFonts w:ascii="Arial" w:eastAsia="Calibri" w:hAnsi="Arial" w:cs="Times New Roman"/>
    </w:rPr>
  </w:style>
  <w:style w:type="paragraph" w:styleId="Footer">
    <w:name w:val="footer"/>
    <w:basedOn w:val="Normal"/>
    <w:link w:val="FooterChar"/>
    <w:uiPriority w:val="99"/>
    <w:unhideWhenUsed/>
    <w:rsid w:val="002C7E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EE1"/>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72127">
      <w:bodyDiv w:val="1"/>
      <w:marLeft w:val="0"/>
      <w:marRight w:val="0"/>
      <w:marTop w:val="0"/>
      <w:marBottom w:val="0"/>
      <w:divBdr>
        <w:top w:val="none" w:sz="0" w:space="0" w:color="auto"/>
        <w:left w:val="none" w:sz="0" w:space="0" w:color="auto"/>
        <w:bottom w:val="none" w:sz="0" w:space="0" w:color="auto"/>
        <w:right w:val="none" w:sz="0" w:space="0" w:color="auto"/>
      </w:divBdr>
    </w:div>
    <w:div w:id="188783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FDAA18C7.dotm</Template>
  <TotalTime>0</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2018-08-16T03:53:00Z</dcterms:created>
  <dcterms:modified xsi:type="dcterms:W3CDTF">2018-08-16T03:53:00Z</dcterms:modified>
</cp:coreProperties>
</file>