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Default Extension="jpeg" ContentType="image/jpeg"/>
  <Default Extension="emf" ContentType="image/x-e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Default Extension="gif" ContentType="image/gif"/>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cfecdece1ce64ade" Type="http://schemas.microsoft.com/office/2006/relationships/ui/extensibility" Target="customUI/customUI.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12C" w:rsidRPr="00815013" w:rsidRDefault="007430E0" w:rsidP="001955CD">
      <w:pPr>
        <w:widowControl w:val="0"/>
        <w:tabs>
          <w:tab w:val="left" w:pos="6700"/>
        </w:tabs>
        <w:spacing w:after="120"/>
        <w:jc w:val="center"/>
        <w:rPr>
          <w:rFonts w:cs="Arial"/>
          <w:b/>
          <w:sz w:val="48"/>
        </w:rPr>
      </w:pPr>
      <w:r w:rsidRPr="00815013">
        <w:rPr>
          <w:rFonts w:cs="Arial"/>
          <w:b/>
          <w:noProof/>
          <w:sz w:val="48"/>
          <w:lang w:eastAsia="en-AU"/>
        </w:rPr>
        <w:drawing>
          <wp:inline distT="0" distB="0" distL="0" distR="0">
            <wp:extent cx="3648075" cy="2362200"/>
            <wp:effectExtent l="19050" t="0" r="9525"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3648075" cy="2362200"/>
                    </a:xfrm>
                    <a:prstGeom prst="rect">
                      <a:avLst/>
                    </a:prstGeom>
                    <a:noFill/>
                    <a:ln w="9525">
                      <a:noFill/>
                      <a:miter lim="800000"/>
                      <a:headEnd/>
                      <a:tailEnd/>
                    </a:ln>
                  </pic:spPr>
                </pic:pic>
              </a:graphicData>
            </a:graphic>
          </wp:inline>
        </w:drawing>
      </w:r>
    </w:p>
    <w:p w:rsidR="00B6012C" w:rsidRPr="00815013" w:rsidRDefault="00B6012C" w:rsidP="001955CD">
      <w:pPr>
        <w:widowControl w:val="0"/>
        <w:tabs>
          <w:tab w:val="left" w:pos="6700"/>
        </w:tabs>
        <w:spacing w:after="120"/>
        <w:jc w:val="center"/>
        <w:rPr>
          <w:rFonts w:cs="Arial"/>
          <w:b/>
          <w:sz w:val="48"/>
        </w:rPr>
      </w:pPr>
    </w:p>
    <w:p w:rsidR="00B6012C" w:rsidRPr="00815013" w:rsidRDefault="00B6012C" w:rsidP="001955CD">
      <w:pPr>
        <w:widowControl w:val="0"/>
        <w:tabs>
          <w:tab w:val="left" w:pos="6700"/>
        </w:tabs>
        <w:spacing w:after="120"/>
        <w:rPr>
          <w:rFonts w:cs="Arial"/>
          <w:b/>
          <w:sz w:val="48"/>
        </w:rPr>
      </w:pPr>
    </w:p>
    <w:p w:rsidR="00B6012C" w:rsidRPr="00815013" w:rsidRDefault="00B6012C" w:rsidP="001955CD">
      <w:pPr>
        <w:widowControl w:val="0"/>
        <w:tabs>
          <w:tab w:val="left" w:pos="6700"/>
        </w:tabs>
        <w:spacing w:after="120"/>
        <w:rPr>
          <w:rFonts w:cs="Arial"/>
          <w:b/>
          <w:sz w:val="48"/>
        </w:rPr>
      </w:pPr>
    </w:p>
    <w:p w:rsidR="00B6012C" w:rsidRPr="00815013" w:rsidRDefault="00B6012C" w:rsidP="001955CD">
      <w:pPr>
        <w:spacing w:after="120"/>
        <w:jc w:val="center"/>
        <w:rPr>
          <w:rFonts w:cs="Arial"/>
          <w:sz w:val="36"/>
        </w:rPr>
      </w:pPr>
      <w:r w:rsidRPr="00815013">
        <w:rPr>
          <w:rFonts w:cs="Arial"/>
          <w:sz w:val="36"/>
        </w:rPr>
        <w:t xml:space="preserve">Assessment </w:t>
      </w:r>
      <w:r w:rsidR="004C6107" w:rsidRPr="00815013">
        <w:rPr>
          <w:rFonts w:cs="Arial"/>
          <w:sz w:val="36"/>
        </w:rPr>
        <w:t>of</w:t>
      </w:r>
    </w:p>
    <w:p w:rsidR="00B6012C" w:rsidRPr="00815013" w:rsidRDefault="004C6107" w:rsidP="004C6107">
      <w:pPr>
        <w:pStyle w:val="Heading6"/>
        <w:spacing w:after="120"/>
        <w:jc w:val="center"/>
        <w:rPr>
          <w:rFonts w:ascii="Arial" w:hAnsi="Arial" w:cs="Arial"/>
          <w:caps/>
          <w:kern w:val="36"/>
          <w:sz w:val="36"/>
          <w:szCs w:val="36"/>
        </w:rPr>
      </w:pPr>
      <w:r w:rsidRPr="00815013">
        <w:rPr>
          <w:rFonts w:ascii="Arial" w:hAnsi="Arial" w:cs="Arial"/>
          <w:caps/>
          <w:kern w:val="36"/>
          <w:sz w:val="36"/>
          <w:szCs w:val="36"/>
        </w:rPr>
        <w:t>Australian fishing in exploratory fisheries in CCAM</w:t>
      </w:r>
      <w:r w:rsidR="0064284F" w:rsidRPr="00815013">
        <w:rPr>
          <w:rFonts w:ascii="Arial" w:hAnsi="Arial" w:cs="Arial"/>
          <w:caps/>
          <w:kern w:val="36"/>
          <w:sz w:val="36"/>
          <w:szCs w:val="36"/>
        </w:rPr>
        <w:t>LR divisions 58.4.1 and </w:t>
      </w:r>
      <w:r w:rsidRPr="00815013">
        <w:rPr>
          <w:rFonts w:ascii="Arial" w:hAnsi="Arial" w:cs="Arial"/>
          <w:caps/>
          <w:kern w:val="36"/>
          <w:sz w:val="36"/>
          <w:szCs w:val="36"/>
        </w:rPr>
        <w:t xml:space="preserve">58.4.2 </w:t>
      </w:r>
    </w:p>
    <w:p w:rsidR="00B6012C" w:rsidRPr="00815013" w:rsidRDefault="00B6012C" w:rsidP="001955CD">
      <w:pPr>
        <w:widowControl w:val="0"/>
        <w:tabs>
          <w:tab w:val="left" w:pos="6700"/>
        </w:tabs>
        <w:spacing w:after="120"/>
        <w:jc w:val="center"/>
        <w:rPr>
          <w:rFonts w:cs="Arial"/>
          <w:b/>
          <w:sz w:val="48"/>
        </w:rPr>
      </w:pPr>
    </w:p>
    <w:p w:rsidR="00B6012C" w:rsidRPr="00815013" w:rsidRDefault="00B6012C" w:rsidP="001955CD">
      <w:pPr>
        <w:widowControl w:val="0"/>
        <w:tabs>
          <w:tab w:val="left" w:pos="6700"/>
        </w:tabs>
        <w:spacing w:after="120"/>
        <w:jc w:val="center"/>
        <w:rPr>
          <w:rFonts w:cs="Arial"/>
          <w:b/>
        </w:rPr>
      </w:pPr>
    </w:p>
    <w:p w:rsidR="00B6012C" w:rsidRPr="00815013" w:rsidRDefault="00B6012C" w:rsidP="001955CD">
      <w:pPr>
        <w:widowControl w:val="0"/>
        <w:tabs>
          <w:tab w:val="left" w:pos="6700"/>
        </w:tabs>
        <w:spacing w:after="120"/>
        <w:jc w:val="center"/>
        <w:rPr>
          <w:rFonts w:cs="Arial"/>
          <w:b/>
        </w:rPr>
      </w:pPr>
    </w:p>
    <w:p w:rsidR="00B6012C" w:rsidRPr="00815013" w:rsidRDefault="00B6012C" w:rsidP="001955CD">
      <w:pPr>
        <w:widowControl w:val="0"/>
        <w:tabs>
          <w:tab w:val="left" w:pos="6700"/>
        </w:tabs>
        <w:spacing w:after="120"/>
        <w:jc w:val="center"/>
        <w:rPr>
          <w:rFonts w:cs="Arial"/>
          <w:b/>
        </w:rPr>
      </w:pPr>
    </w:p>
    <w:p w:rsidR="00B6012C" w:rsidRPr="00815013" w:rsidRDefault="00B6012C" w:rsidP="001955CD">
      <w:pPr>
        <w:widowControl w:val="0"/>
        <w:tabs>
          <w:tab w:val="left" w:pos="6700"/>
        </w:tabs>
        <w:spacing w:after="120"/>
        <w:jc w:val="center"/>
        <w:rPr>
          <w:rFonts w:cs="Arial"/>
          <w:b/>
        </w:rPr>
      </w:pPr>
    </w:p>
    <w:p w:rsidR="00B6012C" w:rsidRPr="00815013" w:rsidRDefault="00B6012C" w:rsidP="001955CD">
      <w:pPr>
        <w:widowControl w:val="0"/>
        <w:tabs>
          <w:tab w:val="left" w:pos="6700"/>
        </w:tabs>
        <w:spacing w:after="120"/>
        <w:jc w:val="center"/>
        <w:rPr>
          <w:rFonts w:cs="Arial"/>
          <w:b/>
        </w:rPr>
      </w:pPr>
    </w:p>
    <w:p w:rsidR="00B6012C" w:rsidRPr="00815013" w:rsidRDefault="00B6012C" w:rsidP="001955CD">
      <w:pPr>
        <w:widowControl w:val="0"/>
        <w:tabs>
          <w:tab w:val="left" w:pos="6700"/>
        </w:tabs>
        <w:spacing w:after="120"/>
        <w:jc w:val="center"/>
        <w:rPr>
          <w:rFonts w:cs="Arial"/>
          <w:b/>
        </w:rPr>
      </w:pPr>
    </w:p>
    <w:p w:rsidR="00B6012C" w:rsidRPr="00815013" w:rsidRDefault="004C6107" w:rsidP="004C6107">
      <w:pPr>
        <w:pStyle w:val="Heading7"/>
        <w:rPr>
          <w:rFonts w:ascii="Arial" w:hAnsi="Arial" w:cs="Arial"/>
          <w:lang w:val="en-AU"/>
        </w:rPr>
      </w:pPr>
      <w:r w:rsidRPr="00815013">
        <w:rPr>
          <w:rFonts w:ascii="Arial" w:hAnsi="Arial" w:cs="Arial"/>
          <w:lang w:val="en-AU"/>
        </w:rPr>
        <w:t>D</w:t>
      </w:r>
      <w:r w:rsidR="00C90728" w:rsidRPr="00815013">
        <w:rPr>
          <w:rFonts w:ascii="Arial" w:hAnsi="Arial" w:cs="Arial"/>
          <w:lang w:val="en-AU"/>
        </w:rPr>
        <w:t>ECEM</w:t>
      </w:r>
      <w:r w:rsidRPr="00815013">
        <w:rPr>
          <w:rFonts w:ascii="Arial" w:hAnsi="Arial" w:cs="Arial"/>
          <w:lang w:val="en-AU"/>
        </w:rPr>
        <w:t>BER 2015</w:t>
      </w:r>
    </w:p>
    <w:p w:rsidR="00B6012C" w:rsidRPr="00815013" w:rsidRDefault="00B6012C" w:rsidP="001955CD">
      <w:pPr>
        <w:rPr>
          <w:rFonts w:cs="Arial"/>
          <w:color w:val="FF0000"/>
        </w:rPr>
      </w:pPr>
    </w:p>
    <w:p w:rsidR="00B6012C" w:rsidRPr="00815013" w:rsidRDefault="00B6012C" w:rsidP="001955CD">
      <w:pPr>
        <w:rPr>
          <w:rFonts w:cs="Arial"/>
        </w:rPr>
      </w:pPr>
    </w:p>
    <w:p w:rsidR="00B6012C" w:rsidRPr="00815013" w:rsidRDefault="00B6012C" w:rsidP="001955CD">
      <w:pPr>
        <w:rPr>
          <w:rFonts w:cs="Arial"/>
        </w:rPr>
      </w:pPr>
    </w:p>
    <w:p w:rsidR="00B6012C" w:rsidRPr="00815013" w:rsidRDefault="00B6012C" w:rsidP="001955CD">
      <w:pPr>
        <w:rPr>
          <w:rFonts w:cs="Arial"/>
        </w:rPr>
      </w:pPr>
    </w:p>
    <w:p w:rsidR="00B6012C" w:rsidRPr="00815013" w:rsidRDefault="00B6012C" w:rsidP="001955CD">
      <w:pPr>
        <w:rPr>
          <w:rFonts w:cs="Arial"/>
        </w:rPr>
      </w:pPr>
    </w:p>
    <w:p w:rsidR="00B6012C" w:rsidRPr="00815013" w:rsidRDefault="00B6012C" w:rsidP="001955CD">
      <w:pPr>
        <w:rPr>
          <w:rFonts w:cs="Arial"/>
        </w:rPr>
      </w:pPr>
    </w:p>
    <w:p w:rsidR="00B6012C" w:rsidRPr="00815013" w:rsidRDefault="00B6012C" w:rsidP="001955CD">
      <w:pPr>
        <w:rPr>
          <w:rFonts w:cs="Arial"/>
        </w:rPr>
      </w:pPr>
    </w:p>
    <w:p w:rsidR="00B6012C" w:rsidRPr="00815013" w:rsidRDefault="00B6012C" w:rsidP="001955CD">
      <w:pPr>
        <w:rPr>
          <w:rFonts w:cs="Arial"/>
        </w:rPr>
      </w:pPr>
    </w:p>
    <w:p w:rsidR="00B6012C" w:rsidRPr="00815013" w:rsidRDefault="00B6012C" w:rsidP="001955CD">
      <w:pPr>
        <w:rPr>
          <w:rFonts w:cs="Arial"/>
        </w:rPr>
      </w:pPr>
    </w:p>
    <w:p w:rsidR="00B6012C" w:rsidRPr="00815013" w:rsidRDefault="00B6012C" w:rsidP="001955CD">
      <w:pPr>
        <w:rPr>
          <w:rFonts w:cs="Arial"/>
        </w:rPr>
      </w:pPr>
    </w:p>
    <w:p w:rsidR="00B6012C" w:rsidRPr="00815013" w:rsidRDefault="00B6012C" w:rsidP="001955CD">
      <w:pPr>
        <w:rPr>
          <w:rFonts w:cs="Arial"/>
        </w:rPr>
      </w:pPr>
    </w:p>
    <w:p w:rsidR="00B6012C" w:rsidRPr="00815013" w:rsidRDefault="00B6012C" w:rsidP="001955CD">
      <w:pPr>
        <w:rPr>
          <w:rFonts w:cs="Arial"/>
        </w:rPr>
      </w:pPr>
    </w:p>
    <w:p w:rsidR="00B6012C" w:rsidRPr="00815013" w:rsidRDefault="00B6012C" w:rsidP="001955CD">
      <w:pPr>
        <w:rPr>
          <w:rFonts w:cs="Arial"/>
        </w:rPr>
      </w:pPr>
    </w:p>
    <w:p w:rsidR="00B6012C" w:rsidRPr="00815013" w:rsidRDefault="00B6012C" w:rsidP="001955CD">
      <w:pPr>
        <w:rPr>
          <w:rFonts w:cs="Arial"/>
        </w:rPr>
      </w:pPr>
    </w:p>
    <w:p w:rsidR="00B6012C" w:rsidRPr="00815013" w:rsidRDefault="00B6012C" w:rsidP="001955CD">
      <w:pPr>
        <w:rPr>
          <w:rFonts w:cs="Arial"/>
        </w:rPr>
      </w:pPr>
    </w:p>
    <w:p w:rsidR="00B6012C" w:rsidRPr="00815013" w:rsidRDefault="00B6012C" w:rsidP="001955CD">
      <w:pPr>
        <w:rPr>
          <w:rFonts w:cs="Arial"/>
        </w:rPr>
      </w:pPr>
    </w:p>
    <w:p w:rsidR="007C21E3" w:rsidRPr="00815013" w:rsidRDefault="007C21E3" w:rsidP="007C21E3">
      <w:pPr>
        <w:pStyle w:val="NormalWeb"/>
        <w:rPr>
          <w:rFonts w:ascii="Arial" w:hAnsi="Arial" w:cs="Arial"/>
          <w:sz w:val="16"/>
          <w:szCs w:val="16"/>
        </w:rPr>
      </w:pPr>
      <w:r w:rsidRPr="00815013">
        <w:rPr>
          <w:rFonts w:ascii="Arial" w:hAnsi="Arial" w:cs="Arial"/>
          <w:sz w:val="16"/>
          <w:szCs w:val="16"/>
        </w:rPr>
        <w:t>© Copyright</w:t>
      </w:r>
      <w:r w:rsidR="00265044" w:rsidRPr="00815013">
        <w:rPr>
          <w:rFonts w:ascii="Arial" w:hAnsi="Arial" w:cs="Arial"/>
          <w:sz w:val="16"/>
          <w:szCs w:val="16"/>
        </w:rPr>
        <w:t xml:space="preserve"> Commonwealth of Australia, 2015</w:t>
      </w:r>
      <w:r w:rsidRPr="00815013">
        <w:rPr>
          <w:rFonts w:ascii="Arial" w:hAnsi="Arial" w:cs="Arial"/>
          <w:sz w:val="16"/>
          <w:szCs w:val="16"/>
        </w:rPr>
        <w:t>.</w:t>
      </w:r>
    </w:p>
    <w:p w:rsidR="007C21E3" w:rsidRPr="00815013" w:rsidRDefault="007C21E3" w:rsidP="007C21E3">
      <w:pPr>
        <w:pStyle w:val="NormalWeb"/>
        <w:rPr>
          <w:rFonts w:ascii="Arial" w:hAnsi="Arial" w:cs="Arial"/>
          <w:i/>
          <w:sz w:val="16"/>
          <w:szCs w:val="16"/>
        </w:rPr>
      </w:pPr>
      <w:r w:rsidRPr="00815013">
        <w:rPr>
          <w:rFonts w:ascii="Arial" w:hAnsi="Arial" w:cs="Arial"/>
          <w:noProof/>
          <w:sz w:val="16"/>
          <w:szCs w:val="16"/>
          <w:lang w:val="en-AU" w:eastAsia="en-AU"/>
        </w:rPr>
        <w:drawing>
          <wp:inline distT="0" distB="0" distL="0" distR="0">
            <wp:extent cx="1809750" cy="457200"/>
            <wp:effectExtent l="19050" t="0" r="0" b="0"/>
            <wp:docPr id="2"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9"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rsidR="007C21E3" w:rsidRPr="00815013" w:rsidRDefault="007C21E3" w:rsidP="007C21E3">
      <w:pPr>
        <w:pStyle w:val="NormalWeb"/>
        <w:rPr>
          <w:rFonts w:ascii="Arial" w:hAnsi="Arial" w:cs="Arial"/>
          <w:sz w:val="16"/>
          <w:szCs w:val="16"/>
        </w:rPr>
      </w:pPr>
      <w:r w:rsidRPr="00815013">
        <w:rPr>
          <w:rFonts w:ascii="Arial" w:hAnsi="Arial" w:cs="Arial"/>
          <w:i/>
          <w:sz w:val="16"/>
          <w:szCs w:val="16"/>
        </w:rPr>
        <w:t xml:space="preserve">Assessment of Australian </w:t>
      </w:r>
      <w:r w:rsidR="00521535" w:rsidRPr="00815013">
        <w:rPr>
          <w:rFonts w:ascii="Arial" w:hAnsi="Arial" w:cs="Arial"/>
          <w:i/>
          <w:sz w:val="16"/>
          <w:szCs w:val="16"/>
        </w:rPr>
        <w:t>Fishing in Exploratory Fisheries in CCAMLR Divisions 58.4.1 and 58.4.2</w:t>
      </w:r>
      <w:r w:rsidRPr="00815013">
        <w:rPr>
          <w:rFonts w:ascii="Arial" w:hAnsi="Arial" w:cs="Arial"/>
          <w:i/>
          <w:sz w:val="16"/>
          <w:szCs w:val="16"/>
        </w:rPr>
        <w:t xml:space="preserve"> December </w:t>
      </w:r>
      <w:r w:rsidR="00521535" w:rsidRPr="00815013">
        <w:rPr>
          <w:rFonts w:ascii="Arial" w:hAnsi="Arial" w:cs="Arial"/>
          <w:i/>
          <w:sz w:val="16"/>
          <w:szCs w:val="16"/>
        </w:rPr>
        <w:t>2015</w:t>
      </w:r>
      <w:r w:rsidR="00521535" w:rsidRPr="00815013">
        <w:rPr>
          <w:rFonts w:ascii="Arial" w:hAnsi="Arial" w:cs="Arial"/>
          <w:sz w:val="16"/>
          <w:szCs w:val="16"/>
        </w:rPr>
        <w:t xml:space="preserve"> </w:t>
      </w:r>
      <w:r w:rsidRPr="00815013">
        <w:rPr>
          <w:rFonts w:ascii="Arial" w:hAnsi="Arial" w:cs="Arial"/>
          <w:sz w:val="16"/>
          <w:szCs w:val="16"/>
        </w:rPr>
        <w:t xml:space="preserve">is licensed by the Commonwealth of Australia for use under a Creative Commons By Attribution 3.0 Australia </w:t>
      </w:r>
      <w:proofErr w:type="spellStart"/>
      <w:r w:rsidRPr="00815013">
        <w:rPr>
          <w:rFonts w:ascii="Arial" w:hAnsi="Arial" w:cs="Arial"/>
          <w:sz w:val="16"/>
          <w:szCs w:val="16"/>
        </w:rPr>
        <w:t>licence</w:t>
      </w:r>
      <w:proofErr w:type="spellEnd"/>
      <w:r w:rsidRPr="00815013">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815013">
        <w:rPr>
          <w:rFonts w:ascii="Arial" w:hAnsi="Arial" w:cs="Arial"/>
          <w:sz w:val="16"/>
          <w:szCs w:val="16"/>
        </w:rPr>
        <w:t>licence</w:t>
      </w:r>
      <w:proofErr w:type="spellEnd"/>
      <w:r w:rsidRPr="00815013">
        <w:rPr>
          <w:rFonts w:ascii="Arial" w:hAnsi="Arial" w:cs="Arial"/>
          <w:sz w:val="16"/>
          <w:szCs w:val="16"/>
        </w:rPr>
        <w:t xml:space="preserve"> conditions see: http://creativecommons.org/licenses/by/3.0/au/.</w:t>
      </w:r>
    </w:p>
    <w:p w:rsidR="007C21E3" w:rsidRPr="00815013" w:rsidRDefault="007C21E3" w:rsidP="007C21E3">
      <w:pPr>
        <w:pStyle w:val="NormalWeb"/>
        <w:rPr>
          <w:rFonts w:ascii="Arial" w:hAnsi="Arial" w:cs="Arial"/>
          <w:sz w:val="16"/>
          <w:szCs w:val="16"/>
        </w:rPr>
      </w:pPr>
      <w:r w:rsidRPr="00815013">
        <w:rPr>
          <w:rFonts w:ascii="Arial" w:hAnsi="Arial" w:cs="Arial"/>
          <w:sz w:val="16"/>
          <w:szCs w:val="16"/>
        </w:rPr>
        <w:t>This report should be attributed as ‘</w:t>
      </w:r>
      <w:r w:rsidR="00521535" w:rsidRPr="00815013">
        <w:rPr>
          <w:rFonts w:ascii="Arial" w:hAnsi="Arial" w:cs="Arial"/>
          <w:i/>
          <w:sz w:val="16"/>
          <w:szCs w:val="16"/>
        </w:rPr>
        <w:t xml:space="preserve">Australian Fishing in Exploratory Fisheries in CCAMLR Divisions 58.4.1 and 58.4.2 December </w:t>
      </w:r>
      <w:proofErr w:type="gramStart"/>
      <w:r w:rsidR="00521535" w:rsidRPr="00815013">
        <w:rPr>
          <w:rFonts w:ascii="Arial" w:hAnsi="Arial" w:cs="Arial"/>
          <w:i/>
          <w:sz w:val="16"/>
          <w:szCs w:val="16"/>
        </w:rPr>
        <w:t>2015</w:t>
      </w:r>
      <w:r w:rsidR="00521535" w:rsidRPr="00815013">
        <w:rPr>
          <w:rFonts w:ascii="Arial" w:hAnsi="Arial" w:cs="Arial"/>
          <w:sz w:val="16"/>
          <w:szCs w:val="16"/>
        </w:rPr>
        <w:t xml:space="preserve"> </w:t>
      </w:r>
      <w:r w:rsidRPr="00815013">
        <w:rPr>
          <w:rFonts w:ascii="Arial" w:hAnsi="Arial" w:cs="Arial"/>
          <w:sz w:val="16"/>
          <w:szCs w:val="16"/>
        </w:rPr>
        <w:t>,</w:t>
      </w:r>
      <w:proofErr w:type="gramEnd"/>
      <w:r w:rsidRPr="00815013">
        <w:rPr>
          <w:rFonts w:ascii="Arial" w:hAnsi="Arial" w:cs="Arial"/>
          <w:sz w:val="16"/>
          <w:szCs w:val="16"/>
        </w:rPr>
        <w:t xml:space="preserve"> Commonwealth of Australia </w:t>
      </w:r>
      <w:r w:rsidR="00265044" w:rsidRPr="00815013">
        <w:rPr>
          <w:rFonts w:ascii="Arial" w:hAnsi="Arial" w:cs="Arial"/>
          <w:sz w:val="16"/>
          <w:szCs w:val="16"/>
        </w:rPr>
        <w:t>2015</w:t>
      </w:r>
      <w:r w:rsidRPr="00815013">
        <w:rPr>
          <w:rFonts w:ascii="Arial" w:hAnsi="Arial" w:cs="Arial"/>
          <w:sz w:val="16"/>
          <w:szCs w:val="16"/>
        </w:rPr>
        <w:t>’.</w:t>
      </w:r>
    </w:p>
    <w:p w:rsidR="007C21E3" w:rsidRPr="00815013" w:rsidRDefault="007C21E3" w:rsidP="007C21E3">
      <w:pPr>
        <w:pStyle w:val="NormalWeb"/>
        <w:rPr>
          <w:rFonts w:ascii="Arial" w:hAnsi="Arial" w:cs="Arial"/>
          <w:sz w:val="20"/>
          <w:szCs w:val="20"/>
          <w:lang w:val="en-AU"/>
        </w:rPr>
      </w:pPr>
      <w:r w:rsidRPr="00815013">
        <w:rPr>
          <w:rFonts w:ascii="Arial" w:hAnsi="Arial" w:cs="Arial"/>
          <w:sz w:val="20"/>
          <w:szCs w:val="20"/>
          <w:lang w:val="en-AU"/>
        </w:rPr>
        <w:t xml:space="preserve"> </w:t>
      </w:r>
    </w:p>
    <w:p w:rsidR="007C21E3" w:rsidRPr="00815013" w:rsidRDefault="007C21E3" w:rsidP="007C21E3">
      <w:pPr>
        <w:spacing w:after="120"/>
        <w:rPr>
          <w:rFonts w:cs="Arial"/>
          <w:b/>
          <w:sz w:val="16"/>
          <w:szCs w:val="16"/>
        </w:rPr>
      </w:pPr>
      <w:r w:rsidRPr="00815013">
        <w:rPr>
          <w:rFonts w:cs="Arial"/>
          <w:b/>
          <w:sz w:val="16"/>
          <w:szCs w:val="16"/>
        </w:rPr>
        <w:t>Disclaimer</w:t>
      </w:r>
    </w:p>
    <w:p w:rsidR="007C21E3" w:rsidRPr="00815013" w:rsidRDefault="007C21E3" w:rsidP="007C21E3">
      <w:pPr>
        <w:pStyle w:val="NormalWeb"/>
        <w:rPr>
          <w:rFonts w:ascii="Arial" w:hAnsi="Arial" w:cs="Arial"/>
          <w:sz w:val="16"/>
          <w:szCs w:val="16"/>
          <w:lang w:val="en-AU"/>
        </w:rPr>
      </w:pPr>
      <w:r w:rsidRPr="00815013">
        <w:rPr>
          <w:rFonts w:ascii="Arial" w:hAnsi="Arial" w:cs="Arial"/>
          <w:sz w:val="16"/>
          <w:szCs w:val="16"/>
          <w:lang w:val="en-AU"/>
        </w:rPr>
        <w:t xml:space="preserve">This document is an assessment carried out by the Department of the Environment of a commercial fishery against the Australian Government </w:t>
      </w:r>
      <w:r w:rsidRPr="00815013">
        <w:rPr>
          <w:rFonts w:ascii="Arial" w:hAnsi="Arial" w:cs="Arial"/>
          <w:i/>
          <w:iCs/>
          <w:sz w:val="16"/>
          <w:szCs w:val="16"/>
          <w:lang w:val="en-AU"/>
        </w:rPr>
        <w:t>Guidelines for the Ecologically Sustainable Management of Fisheries – 2nd Edition</w:t>
      </w:r>
      <w:r w:rsidRPr="00815013">
        <w:rPr>
          <w:rFonts w:ascii="Arial" w:hAnsi="Arial" w:cs="Arial"/>
          <w:sz w:val="16"/>
          <w:szCs w:val="16"/>
          <w:lang w:val="en-AU"/>
        </w:rPr>
        <w:t xml:space="preserve">. It forms part of the advice provided to the Minister for the Environment on the fishery in relation to decisions under Parts 13 and 13A of the </w:t>
      </w:r>
      <w:r w:rsidRPr="00815013">
        <w:rPr>
          <w:rFonts w:ascii="Arial" w:hAnsi="Arial" w:cs="Arial"/>
          <w:i/>
          <w:iCs/>
          <w:sz w:val="16"/>
          <w:szCs w:val="16"/>
          <w:lang w:val="en-AU"/>
        </w:rPr>
        <w:t>Environment Protection and Biodiversity Conservation Act 1999</w:t>
      </w:r>
      <w:r w:rsidRPr="00815013">
        <w:rPr>
          <w:rFonts w:ascii="Arial" w:hAnsi="Arial" w:cs="Arial"/>
          <w:sz w:val="16"/>
          <w:szCs w:val="16"/>
          <w:lang w:val="en-AU"/>
        </w:rPr>
        <w:t>. The views expressed do not necessarily reflect those of the Minister for the Environment or the Australian Government.</w:t>
      </w:r>
    </w:p>
    <w:p w:rsidR="00B6012C" w:rsidRPr="00815013" w:rsidRDefault="007C21E3" w:rsidP="007C21E3">
      <w:pPr>
        <w:rPr>
          <w:rFonts w:cs="Arial"/>
          <w:sz w:val="16"/>
          <w:szCs w:val="16"/>
        </w:rPr>
      </w:pPr>
      <w:r w:rsidRPr="00815013">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rsidR="002857B8" w:rsidRDefault="00B6012C">
      <w:pPr>
        <w:spacing w:before="60" w:after="60" w:line="240" w:lineRule="auto"/>
        <w:jc w:val="center"/>
        <w:rPr>
          <w:snapToGrid w:val="0"/>
        </w:rPr>
      </w:pPr>
      <w:r w:rsidRPr="00815013">
        <w:rPr>
          <w:sz w:val="24"/>
        </w:rPr>
        <w:br w:type="page"/>
      </w:r>
      <w:bookmarkStart w:id="0" w:name="_Toc291514154"/>
      <w:bookmarkStart w:id="1" w:name="_Toc316301047"/>
      <w:bookmarkStart w:id="2" w:name="_Toc438558514"/>
      <w:r w:rsidR="00AC678D" w:rsidRPr="00AC678D">
        <w:rPr>
          <w:rFonts w:cs="Arial"/>
          <w:b/>
          <w:snapToGrid w:val="0"/>
        </w:rPr>
        <w:lastRenderedPageBreak/>
        <w:t>CONTENTS</w:t>
      </w:r>
      <w:bookmarkEnd w:id="0"/>
      <w:bookmarkEnd w:id="1"/>
      <w:bookmarkEnd w:id="2"/>
    </w:p>
    <w:p w:rsidR="00B6012C" w:rsidRPr="00815013" w:rsidRDefault="00B6012C" w:rsidP="00D22439">
      <w:pPr>
        <w:pStyle w:val="TOCHeading"/>
      </w:pPr>
      <w:r w:rsidRPr="00815013">
        <w:t xml:space="preserve">  </w:t>
      </w:r>
    </w:p>
    <w:p w:rsidR="00954B04" w:rsidRDefault="00D440B7">
      <w:pPr>
        <w:pStyle w:val="TOC1"/>
        <w:rPr>
          <w:rFonts w:asciiTheme="minorHAnsi" w:eastAsiaTheme="minorEastAsia" w:hAnsiTheme="minorHAnsi" w:cstheme="minorBidi"/>
          <w:b w:val="0"/>
        </w:rPr>
      </w:pPr>
      <w:r w:rsidRPr="00815013">
        <w:fldChar w:fldCharType="begin"/>
      </w:r>
      <w:r w:rsidR="00B6012C" w:rsidRPr="00815013">
        <w:instrText xml:space="preserve"> TOC \o "1-3" \h \z \u </w:instrText>
      </w:r>
      <w:r w:rsidRPr="00815013">
        <w:fldChar w:fldCharType="separate"/>
      </w:r>
      <w:hyperlink w:anchor="_Toc438626353" w:history="1">
        <w:r w:rsidR="00954B04" w:rsidRPr="00CF6FBB">
          <w:rPr>
            <w:rStyle w:val="Hyperlink"/>
          </w:rPr>
          <w:t>Table 1: Summary of Australian fishing in exploratory fisheries in CCAMLR divisions 58.4.1 and 58.4.2 (CCAMLR Exploratory Fisheries)</w:t>
        </w:r>
        <w:r w:rsidR="00954B04">
          <w:rPr>
            <w:webHidden/>
          </w:rPr>
          <w:tab/>
        </w:r>
        <w:r>
          <w:rPr>
            <w:webHidden/>
          </w:rPr>
          <w:fldChar w:fldCharType="begin"/>
        </w:r>
        <w:r w:rsidR="00954B04">
          <w:rPr>
            <w:webHidden/>
          </w:rPr>
          <w:instrText xml:space="preserve"> PAGEREF _Toc438626353 \h </w:instrText>
        </w:r>
        <w:r>
          <w:rPr>
            <w:webHidden/>
          </w:rPr>
        </w:r>
        <w:r>
          <w:rPr>
            <w:webHidden/>
          </w:rPr>
          <w:fldChar w:fldCharType="separate"/>
        </w:r>
        <w:r w:rsidR="002434DD">
          <w:rPr>
            <w:webHidden/>
          </w:rPr>
          <w:t>1</w:t>
        </w:r>
        <w:r>
          <w:rPr>
            <w:webHidden/>
          </w:rPr>
          <w:fldChar w:fldCharType="end"/>
        </w:r>
      </w:hyperlink>
    </w:p>
    <w:p w:rsidR="00954B04" w:rsidRDefault="00D440B7">
      <w:pPr>
        <w:pStyle w:val="TOC1"/>
        <w:rPr>
          <w:rFonts w:asciiTheme="minorHAnsi" w:eastAsiaTheme="minorEastAsia" w:hAnsiTheme="minorHAnsi" w:cstheme="minorBidi"/>
          <w:b w:val="0"/>
        </w:rPr>
      </w:pPr>
      <w:hyperlink w:anchor="_Toc438626354" w:history="1">
        <w:r w:rsidR="00954B04" w:rsidRPr="00CF6FBB">
          <w:rPr>
            <w:rStyle w:val="Hyperlink"/>
          </w:rPr>
          <w:t>Table 2: Assessment of Australian Fishing in Exploratory Fisheries in the Convention for the Conservation of Antarctic Marine Living Resources (CCAMLR) Divisions 58.4.1 and 58.4.2 (CCAMLR Exploratory Fisheries) against the Guidelines for the Ecologically Sustainable Management of Fisheries (2nd edition)</w:t>
        </w:r>
        <w:r w:rsidR="00954B04">
          <w:rPr>
            <w:webHidden/>
          </w:rPr>
          <w:tab/>
        </w:r>
        <w:r>
          <w:rPr>
            <w:webHidden/>
          </w:rPr>
          <w:fldChar w:fldCharType="begin"/>
        </w:r>
        <w:r w:rsidR="00954B04">
          <w:rPr>
            <w:webHidden/>
          </w:rPr>
          <w:instrText xml:space="preserve"> PAGEREF _Toc438626354 \h </w:instrText>
        </w:r>
        <w:r>
          <w:rPr>
            <w:webHidden/>
          </w:rPr>
        </w:r>
        <w:r>
          <w:rPr>
            <w:webHidden/>
          </w:rPr>
          <w:fldChar w:fldCharType="separate"/>
        </w:r>
        <w:r w:rsidR="002434DD">
          <w:rPr>
            <w:webHidden/>
          </w:rPr>
          <w:t>8</w:t>
        </w:r>
        <w:r>
          <w:rPr>
            <w:webHidden/>
          </w:rPr>
          <w:fldChar w:fldCharType="end"/>
        </w:r>
      </w:hyperlink>
    </w:p>
    <w:p w:rsidR="00954B04" w:rsidRDefault="00D440B7">
      <w:pPr>
        <w:pStyle w:val="TOC1"/>
        <w:rPr>
          <w:rFonts w:asciiTheme="minorHAnsi" w:eastAsiaTheme="minorEastAsia" w:hAnsiTheme="minorHAnsi" w:cstheme="minorBidi"/>
          <w:b w:val="0"/>
        </w:rPr>
      </w:pPr>
      <w:hyperlink w:anchor="_Toc438626355" w:history="1">
        <w:r w:rsidR="00954B04" w:rsidRPr="00CF6FBB">
          <w:rPr>
            <w:rStyle w:val="Hyperlink"/>
          </w:rPr>
          <w:t>Table 3: The Department of the Environment’s assessment of the CCAMLR Exploratory Fisheries against the requirements of the EPBC Act related to decisions made under Part 13A.</w:t>
        </w:r>
        <w:r w:rsidR="00954B04">
          <w:rPr>
            <w:webHidden/>
          </w:rPr>
          <w:tab/>
        </w:r>
        <w:r>
          <w:rPr>
            <w:webHidden/>
          </w:rPr>
          <w:fldChar w:fldCharType="begin"/>
        </w:r>
        <w:r w:rsidR="00954B04">
          <w:rPr>
            <w:webHidden/>
          </w:rPr>
          <w:instrText xml:space="preserve"> PAGEREF _Toc438626355 \h </w:instrText>
        </w:r>
        <w:r>
          <w:rPr>
            <w:webHidden/>
          </w:rPr>
        </w:r>
        <w:r>
          <w:rPr>
            <w:webHidden/>
          </w:rPr>
          <w:fldChar w:fldCharType="separate"/>
        </w:r>
        <w:r w:rsidR="002434DD">
          <w:rPr>
            <w:webHidden/>
          </w:rPr>
          <w:t>35</w:t>
        </w:r>
        <w:r>
          <w:rPr>
            <w:webHidden/>
          </w:rPr>
          <w:fldChar w:fldCharType="end"/>
        </w:r>
      </w:hyperlink>
    </w:p>
    <w:p w:rsidR="00954B04" w:rsidRDefault="00D440B7">
      <w:pPr>
        <w:pStyle w:val="TOC1"/>
        <w:rPr>
          <w:rFonts w:asciiTheme="minorHAnsi" w:eastAsiaTheme="minorEastAsia" w:hAnsiTheme="minorHAnsi" w:cstheme="minorBidi"/>
          <w:b w:val="0"/>
        </w:rPr>
      </w:pPr>
      <w:hyperlink w:anchor="_Toc438626356" w:history="1">
        <w:r w:rsidR="00954B04" w:rsidRPr="00CF6FBB">
          <w:rPr>
            <w:rStyle w:val="Hyperlink"/>
          </w:rPr>
          <w:t>The Department of the Environment’s final recommendations to the Australian Fisheries Management Authority for the CCAMLR Exploratory Fisheries</w:t>
        </w:r>
        <w:r w:rsidR="00954B04">
          <w:rPr>
            <w:webHidden/>
          </w:rPr>
          <w:tab/>
        </w:r>
        <w:r>
          <w:rPr>
            <w:webHidden/>
          </w:rPr>
          <w:fldChar w:fldCharType="begin"/>
        </w:r>
        <w:r w:rsidR="00954B04">
          <w:rPr>
            <w:webHidden/>
          </w:rPr>
          <w:instrText xml:space="preserve"> PAGEREF _Toc438626356 \h </w:instrText>
        </w:r>
        <w:r>
          <w:rPr>
            <w:webHidden/>
          </w:rPr>
        </w:r>
        <w:r>
          <w:rPr>
            <w:webHidden/>
          </w:rPr>
          <w:fldChar w:fldCharType="separate"/>
        </w:r>
        <w:r w:rsidR="002434DD">
          <w:rPr>
            <w:webHidden/>
          </w:rPr>
          <w:t>39</w:t>
        </w:r>
        <w:r>
          <w:rPr>
            <w:webHidden/>
          </w:rPr>
          <w:fldChar w:fldCharType="end"/>
        </w:r>
      </w:hyperlink>
    </w:p>
    <w:p w:rsidR="00954B04" w:rsidRDefault="00D440B7">
      <w:pPr>
        <w:pStyle w:val="TOC1"/>
        <w:rPr>
          <w:rFonts w:asciiTheme="minorHAnsi" w:eastAsiaTheme="minorEastAsia" w:hAnsiTheme="minorHAnsi" w:cstheme="minorBidi"/>
          <w:b w:val="0"/>
        </w:rPr>
      </w:pPr>
      <w:hyperlink w:anchor="_Toc438626357" w:history="1">
        <w:r w:rsidR="00954B04" w:rsidRPr="00CF6FBB">
          <w:rPr>
            <w:rStyle w:val="Hyperlink"/>
          </w:rPr>
          <w:t>Table 4: CCAMLR Exploratory Fisheries Assessment – Summary of Issues and Recommendations December, 2015</w:t>
        </w:r>
        <w:r w:rsidR="00954B04">
          <w:rPr>
            <w:webHidden/>
          </w:rPr>
          <w:tab/>
        </w:r>
        <w:r>
          <w:rPr>
            <w:webHidden/>
          </w:rPr>
          <w:fldChar w:fldCharType="begin"/>
        </w:r>
        <w:r w:rsidR="00954B04">
          <w:rPr>
            <w:webHidden/>
          </w:rPr>
          <w:instrText xml:space="preserve"> PAGEREF _Toc438626357 \h </w:instrText>
        </w:r>
        <w:r>
          <w:rPr>
            <w:webHidden/>
          </w:rPr>
        </w:r>
        <w:r>
          <w:rPr>
            <w:webHidden/>
          </w:rPr>
          <w:fldChar w:fldCharType="separate"/>
        </w:r>
        <w:r w:rsidR="002434DD">
          <w:rPr>
            <w:webHidden/>
          </w:rPr>
          <w:t>41</w:t>
        </w:r>
        <w:r>
          <w:rPr>
            <w:webHidden/>
          </w:rPr>
          <w:fldChar w:fldCharType="end"/>
        </w:r>
      </w:hyperlink>
    </w:p>
    <w:p w:rsidR="00954B04" w:rsidRDefault="00D440B7">
      <w:pPr>
        <w:pStyle w:val="TOC1"/>
        <w:rPr>
          <w:rFonts w:asciiTheme="minorHAnsi" w:eastAsiaTheme="minorEastAsia" w:hAnsiTheme="minorHAnsi" w:cstheme="minorBidi"/>
          <w:b w:val="0"/>
        </w:rPr>
      </w:pPr>
      <w:hyperlink w:anchor="_Toc438626358" w:history="1">
        <w:r w:rsidR="00954B04" w:rsidRPr="00CF6FBB">
          <w:rPr>
            <w:rStyle w:val="Hyperlink"/>
          </w:rPr>
          <w:t>References</w:t>
        </w:r>
        <w:r w:rsidR="00954B04">
          <w:rPr>
            <w:webHidden/>
          </w:rPr>
          <w:tab/>
        </w:r>
        <w:r>
          <w:rPr>
            <w:webHidden/>
          </w:rPr>
          <w:fldChar w:fldCharType="begin"/>
        </w:r>
        <w:r w:rsidR="00954B04">
          <w:rPr>
            <w:webHidden/>
          </w:rPr>
          <w:instrText xml:space="preserve"> PAGEREF _Toc438626358 \h </w:instrText>
        </w:r>
        <w:r>
          <w:rPr>
            <w:webHidden/>
          </w:rPr>
        </w:r>
        <w:r>
          <w:rPr>
            <w:webHidden/>
          </w:rPr>
          <w:fldChar w:fldCharType="separate"/>
        </w:r>
        <w:r w:rsidR="002434DD">
          <w:rPr>
            <w:webHidden/>
          </w:rPr>
          <w:t>44</w:t>
        </w:r>
        <w:r>
          <w:rPr>
            <w:webHidden/>
          </w:rPr>
          <w:fldChar w:fldCharType="end"/>
        </w:r>
      </w:hyperlink>
    </w:p>
    <w:p w:rsidR="00954B04" w:rsidRDefault="00D440B7">
      <w:pPr>
        <w:pStyle w:val="TOC1"/>
        <w:rPr>
          <w:rFonts w:asciiTheme="minorHAnsi" w:eastAsiaTheme="minorEastAsia" w:hAnsiTheme="minorHAnsi" w:cstheme="minorBidi"/>
          <w:b w:val="0"/>
        </w:rPr>
      </w:pPr>
      <w:hyperlink w:anchor="_Toc438626359" w:history="1">
        <w:r w:rsidR="00954B04" w:rsidRPr="00CF6FBB">
          <w:rPr>
            <w:rStyle w:val="Hyperlink"/>
          </w:rPr>
          <w:t>Acronyms</w:t>
        </w:r>
        <w:r w:rsidR="00954B04">
          <w:rPr>
            <w:webHidden/>
          </w:rPr>
          <w:tab/>
        </w:r>
        <w:r>
          <w:rPr>
            <w:webHidden/>
          </w:rPr>
          <w:fldChar w:fldCharType="begin"/>
        </w:r>
        <w:r w:rsidR="00954B04">
          <w:rPr>
            <w:webHidden/>
          </w:rPr>
          <w:instrText xml:space="preserve"> PAGEREF _Toc438626359 \h </w:instrText>
        </w:r>
        <w:r>
          <w:rPr>
            <w:webHidden/>
          </w:rPr>
        </w:r>
        <w:r>
          <w:rPr>
            <w:webHidden/>
          </w:rPr>
          <w:fldChar w:fldCharType="separate"/>
        </w:r>
        <w:r w:rsidR="002434DD">
          <w:rPr>
            <w:webHidden/>
          </w:rPr>
          <w:t>45</w:t>
        </w:r>
        <w:r>
          <w:rPr>
            <w:webHidden/>
          </w:rPr>
          <w:fldChar w:fldCharType="end"/>
        </w:r>
      </w:hyperlink>
    </w:p>
    <w:p w:rsidR="00B6012C" w:rsidRPr="00815013" w:rsidRDefault="00D440B7" w:rsidP="005E12BF">
      <w:pPr>
        <w:pStyle w:val="TOC1"/>
      </w:pPr>
      <w:r w:rsidRPr="00815013">
        <w:fldChar w:fldCharType="end"/>
      </w:r>
    </w:p>
    <w:p w:rsidR="00B6012C" w:rsidRPr="00014608" w:rsidRDefault="00B6012C" w:rsidP="001955CD">
      <w:pPr>
        <w:tabs>
          <w:tab w:val="left" w:pos="7371"/>
        </w:tabs>
        <w:ind w:left="993" w:right="941"/>
        <w:rPr>
          <w:rFonts w:cs="Arial"/>
        </w:rPr>
      </w:pPr>
      <w:r w:rsidRPr="00014608">
        <w:rPr>
          <w:rFonts w:cs="Arial"/>
        </w:rPr>
        <w:t>Table 1 contains a brief overview of the operation of the fisher</w:t>
      </w:r>
      <w:r w:rsidR="00E86B63" w:rsidRPr="00014608">
        <w:rPr>
          <w:rFonts w:cs="Arial"/>
        </w:rPr>
        <w:t>ies</w:t>
      </w:r>
      <w:r w:rsidRPr="00014608">
        <w:rPr>
          <w:rFonts w:cs="Arial"/>
        </w:rPr>
        <w:t xml:space="preserve"> including: the gear used, species targeted, </w:t>
      </w:r>
      <w:proofErr w:type="spellStart"/>
      <w:r w:rsidRPr="00014608">
        <w:rPr>
          <w:rFonts w:cs="Arial"/>
        </w:rPr>
        <w:t>byproduct</w:t>
      </w:r>
      <w:proofErr w:type="spellEnd"/>
      <w:r w:rsidRPr="00014608">
        <w:rPr>
          <w:rFonts w:cs="Arial"/>
        </w:rPr>
        <w:t xml:space="preserve"> species, </w:t>
      </w:r>
      <w:proofErr w:type="spellStart"/>
      <w:r w:rsidRPr="00014608">
        <w:rPr>
          <w:rFonts w:cs="Arial"/>
        </w:rPr>
        <w:t>bycatch</w:t>
      </w:r>
      <w:proofErr w:type="spellEnd"/>
      <w:r w:rsidRPr="00014608">
        <w:rPr>
          <w:rFonts w:cs="Arial"/>
        </w:rPr>
        <w:t xml:space="preserve"> species, annual catch, management regime and ecosystem impacts.</w:t>
      </w:r>
    </w:p>
    <w:p w:rsidR="00B6012C" w:rsidRPr="00014608" w:rsidRDefault="00B6012C" w:rsidP="001955CD">
      <w:pPr>
        <w:tabs>
          <w:tab w:val="left" w:pos="7371"/>
        </w:tabs>
        <w:ind w:left="993" w:right="941"/>
        <w:rPr>
          <w:rFonts w:cs="Arial"/>
        </w:rPr>
      </w:pPr>
      <w:r w:rsidRPr="00014608">
        <w:rPr>
          <w:rFonts w:cs="Arial"/>
        </w:rPr>
        <w:t xml:space="preserve">Table 2 contains </w:t>
      </w:r>
      <w:r w:rsidR="005E750F" w:rsidRPr="00014608">
        <w:rPr>
          <w:rFonts w:cs="Arial"/>
        </w:rPr>
        <w:t>the Department’s assessment of the CCAMLR Exploratory Fisheries</w:t>
      </w:r>
      <w:r w:rsidR="00014608">
        <w:rPr>
          <w:rFonts w:cs="Arial"/>
        </w:rPr>
        <w:t>’</w:t>
      </w:r>
      <w:r w:rsidR="005E750F" w:rsidRPr="00014608">
        <w:rPr>
          <w:rFonts w:cs="Arial"/>
        </w:rPr>
        <w:t xml:space="preserve"> management arrangements against </w:t>
      </w:r>
      <w:r w:rsidR="00E86B63" w:rsidRPr="00014608">
        <w:rPr>
          <w:rFonts w:cs="Arial"/>
        </w:rPr>
        <w:t>the Guidelines for the Ecologically Susta</w:t>
      </w:r>
      <w:r w:rsidR="005E750F" w:rsidRPr="00014608">
        <w:rPr>
          <w:rFonts w:cs="Arial"/>
        </w:rPr>
        <w:t xml:space="preserve">inable Management of Fisheries </w:t>
      </w:r>
      <w:r w:rsidR="00E86B63" w:rsidRPr="00014608">
        <w:rPr>
          <w:rFonts w:cs="Arial"/>
        </w:rPr>
        <w:t>(2nd edition).</w:t>
      </w:r>
    </w:p>
    <w:p w:rsidR="00B6012C" w:rsidRPr="00014608" w:rsidRDefault="00B6012C" w:rsidP="001955CD">
      <w:pPr>
        <w:tabs>
          <w:tab w:val="left" w:pos="7371"/>
        </w:tabs>
        <w:ind w:left="993" w:right="941"/>
        <w:rPr>
          <w:rFonts w:cs="Arial"/>
        </w:rPr>
      </w:pPr>
      <w:r w:rsidRPr="00014608">
        <w:rPr>
          <w:rFonts w:cs="Arial"/>
        </w:rPr>
        <w:t xml:space="preserve">Table 3 contains the Department’s assessment of the </w:t>
      </w:r>
      <w:r w:rsidR="00521535" w:rsidRPr="00014608">
        <w:rPr>
          <w:rFonts w:cs="Arial"/>
        </w:rPr>
        <w:t>CCAMLR Expl</w:t>
      </w:r>
      <w:r w:rsidR="00E86B63" w:rsidRPr="00014608">
        <w:rPr>
          <w:rFonts w:cs="Arial"/>
        </w:rPr>
        <w:t>oratory Fisheries</w:t>
      </w:r>
      <w:r w:rsidR="00014608">
        <w:rPr>
          <w:rFonts w:cs="Arial"/>
        </w:rPr>
        <w:t>’</w:t>
      </w:r>
      <w:r w:rsidRPr="00014608">
        <w:rPr>
          <w:rFonts w:cs="Arial"/>
        </w:rPr>
        <w:t xml:space="preserve"> management arrangements against all the relevant parts of the </w:t>
      </w:r>
      <w:r w:rsidRPr="00014608">
        <w:rPr>
          <w:rFonts w:cs="Arial"/>
          <w:i/>
        </w:rPr>
        <w:t>Environment Protection and Biodiversity Conservation Act 1999</w:t>
      </w:r>
      <w:r w:rsidR="00014608">
        <w:rPr>
          <w:rFonts w:cs="Arial"/>
        </w:rPr>
        <w:t xml:space="preserve"> that the M</w:t>
      </w:r>
      <w:r w:rsidRPr="00014608">
        <w:rPr>
          <w:rFonts w:cs="Arial"/>
        </w:rPr>
        <w:t>inister must con</w:t>
      </w:r>
      <w:r w:rsidR="00014608" w:rsidRPr="00014608">
        <w:rPr>
          <w:rFonts w:cs="Arial"/>
        </w:rPr>
        <w:t>sider before making a decision</w:t>
      </w:r>
      <w:r w:rsidR="00014608" w:rsidRPr="00014608">
        <w:t xml:space="preserve">; and the reasons the Department recommends that </w:t>
      </w:r>
      <w:r w:rsidR="00014608">
        <w:t xml:space="preserve">product from </w:t>
      </w:r>
      <w:r w:rsidR="00014608" w:rsidRPr="00014608">
        <w:t>the fisheries be included in the list of exempt native specimens</w:t>
      </w:r>
    </w:p>
    <w:p w:rsidR="00B6012C" w:rsidRPr="00815013" w:rsidRDefault="00B6012C" w:rsidP="00A10FE0">
      <w:pPr>
        <w:tabs>
          <w:tab w:val="left" w:pos="7371"/>
        </w:tabs>
        <w:ind w:left="993" w:right="941"/>
        <w:rPr>
          <w:rFonts w:cs="Arial"/>
          <w:b/>
        </w:rPr>
      </w:pPr>
      <w:r w:rsidRPr="00014608">
        <w:rPr>
          <w:rFonts w:cs="Arial"/>
        </w:rPr>
        <w:t xml:space="preserve">Table 4 contains a description of the issues identified by the Department with the current management regime for the </w:t>
      </w:r>
      <w:r w:rsidR="00521535" w:rsidRPr="00014608">
        <w:rPr>
          <w:rFonts w:cs="Arial"/>
        </w:rPr>
        <w:t>CCAMLR Exploratory Fishery</w:t>
      </w:r>
      <w:r w:rsidRPr="00014608">
        <w:rPr>
          <w:rFonts w:cs="Arial"/>
        </w:rPr>
        <w:t xml:space="preserve"> and outlines the proposed recommendatio</w:t>
      </w:r>
      <w:r w:rsidR="00014608">
        <w:rPr>
          <w:rFonts w:cs="Arial"/>
        </w:rPr>
        <w:t>ns that would form part of the M</w:t>
      </w:r>
      <w:r w:rsidRPr="00014608">
        <w:rPr>
          <w:rFonts w:cs="Arial"/>
        </w:rPr>
        <w:t xml:space="preserve">inister’s decision to include </w:t>
      </w:r>
      <w:r w:rsidR="00014608">
        <w:rPr>
          <w:rFonts w:cs="Arial"/>
        </w:rPr>
        <w:t>product derived from the fisheries</w:t>
      </w:r>
      <w:r w:rsidRPr="00014608">
        <w:rPr>
          <w:rFonts w:cs="Arial"/>
        </w:rPr>
        <w:t xml:space="preserve"> in the list of exempt native specimens.</w:t>
      </w:r>
    </w:p>
    <w:p w:rsidR="00B6012C" w:rsidRPr="00815013" w:rsidRDefault="00B6012C" w:rsidP="001955CD">
      <w:pPr>
        <w:rPr>
          <w:rFonts w:cs="Arial"/>
          <w:b/>
        </w:rPr>
      </w:pPr>
    </w:p>
    <w:p w:rsidR="00B6012C" w:rsidRPr="00815013" w:rsidRDefault="00B6012C" w:rsidP="00D22439">
      <w:pPr>
        <w:pStyle w:val="Heading1"/>
        <w:sectPr w:rsidR="00B6012C" w:rsidRPr="00815013" w:rsidSect="001955CD">
          <w:headerReference w:type="even" r:id="rId10"/>
          <w:headerReference w:type="default" r:id="rId11"/>
          <w:footerReference w:type="even" r:id="rId12"/>
          <w:footerReference w:type="default" r:id="rId13"/>
          <w:headerReference w:type="first" r:id="rId14"/>
          <w:footerReference w:type="first" r:id="rId15"/>
          <w:pgSz w:w="11906" w:h="16838"/>
          <w:pgMar w:top="1418" w:right="1276" w:bottom="567" w:left="1418" w:header="425" w:footer="425" w:gutter="0"/>
          <w:pgNumType w:start="1"/>
          <w:cols w:space="708"/>
          <w:titlePg/>
          <w:docGrid w:linePitch="360"/>
        </w:sectPr>
      </w:pPr>
    </w:p>
    <w:p w:rsidR="002857B8" w:rsidRPr="00D22439" w:rsidRDefault="00FF1DDA" w:rsidP="00D22439">
      <w:pPr>
        <w:pStyle w:val="Heading1"/>
      </w:pPr>
      <w:bookmarkStart w:id="3" w:name="_Toc438626353"/>
      <w:r w:rsidRPr="00FF1DDA">
        <w:lastRenderedPageBreak/>
        <w:t>Table 1: Summary of Australian fishing in exploratory fisheries in CCAMLR divisions 58.4.1 and 58.4.2 (CCAMLR Exploratory Fisheries)</w:t>
      </w:r>
      <w:bookmarkEnd w:id="3"/>
    </w:p>
    <w:tbl>
      <w:tblPr>
        <w:tblW w:w="9720"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2484"/>
        <w:gridCol w:w="7236"/>
      </w:tblGrid>
      <w:tr w:rsidR="00EF430B" w:rsidRPr="00815013" w:rsidTr="00CD56A6">
        <w:trPr>
          <w:jc w:val="center"/>
        </w:trPr>
        <w:tc>
          <w:tcPr>
            <w:tcW w:w="2484" w:type="dxa"/>
            <w:tcBorders>
              <w:top w:val="single" w:sz="4" w:space="0" w:color="auto"/>
              <w:left w:val="single" w:sz="4" w:space="0" w:color="auto"/>
              <w:bottom w:val="single" w:sz="4" w:space="0" w:color="auto"/>
              <w:right w:val="single" w:sz="4" w:space="0" w:color="auto"/>
            </w:tcBorders>
          </w:tcPr>
          <w:p w:rsidR="00EF430B" w:rsidRPr="00815013" w:rsidRDefault="00EF430B" w:rsidP="00157A78">
            <w:pPr>
              <w:spacing w:before="60" w:after="60" w:line="240" w:lineRule="auto"/>
              <w:rPr>
                <w:rFonts w:cs="Arial"/>
                <w:b/>
                <w:snapToGrid w:val="0"/>
              </w:rPr>
            </w:pPr>
            <w:r w:rsidRPr="00815013">
              <w:rPr>
                <w:rFonts w:cs="Arial"/>
                <w:b/>
                <w:snapToGrid w:val="0"/>
              </w:rPr>
              <w:t>Brief description of fisher</w:t>
            </w:r>
            <w:r w:rsidR="004B734E">
              <w:rPr>
                <w:rFonts w:cs="Arial"/>
                <w:b/>
                <w:snapToGrid w:val="0"/>
              </w:rPr>
              <w:t>ies</w:t>
            </w:r>
          </w:p>
        </w:tc>
        <w:tc>
          <w:tcPr>
            <w:tcW w:w="7236" w:type="dxa"/>
            <w:tcBorders>
              <w:top w:val="single" w:sz="4" w:space="0" w:color="auto"/>
              <w:left w:val="single" w:sz="4" w:space="0" w:color="auto"/>
              <w:bottom w:val="single" w:sz="4" w:space="0" w:color="auto"/>
              <w:right w:val="single" w:sz="4" w:space="0" w:color="auto"/>
            </w:tcBorders>
          </w:tcPr>
          <w:p w:rsidR="00EF430B" w:rsidRPr="00815013" w:rsidRDefault="00295785" w:rsidP="00157A78">
            <w:pPr>
              <w:spacing w:before="60" w:after="60" w:line="240" w:lineRule="auto"/>
              <w:rPr>
                <w:rFonts w:cs="Arial"/>
              </w:rPr>
            </w:pPr>
            <w:r w:rsidRPr="00815013">
              <w:rPr>
                <w:rFonts w:cs="Arial"/>
              </w:rPr>
              <w:t>This assessment covers proposed operations by Australian flagged vessels in the Commission for the Conservation of Antarctic Marine Living Resources</w:t>
            </w:r>
            <w:r w:rsidRPr="00815013">
              <w:rPr>
                <w:rStyle w:val="FootnoteReference"/>
                <w:rFonts w:cs="Arial"/>
              </w:rPr>
              <w:footnoteReference w:id="1"/>
            </w:r>
            <w:r w:rsidRPr="00815013">
              <w:rPr>
                <w:rFonts w:cs="Arial"/>
              </w:rPr>
              <w:t xml:space="preserve"> (CCAMLR) ‘Exploratory fisher</w:t>
            </w:r>
            <w:r w:rsidR="004B734E">
              <w:rPr>
                <w:rFonts w:cs="Arial"/>
              </w:rPr>
              <w:t>ies</w:t>
            </w:r>
            <w:r w:rsidRPr="00815013">
              <w:rPr>
                <w:rFonts w:cs="Arial"/>
              </w:rPr>
              <w:t xml:space="preserve"> for </w:t>
            </w:r>
            <w:proofErr w:type="spellStart"/>
            <w:r w:rsidRPr="00815013">
              <w:rPr>
                <w:rFonts w:cs="Arial"/>
                <w:i/>
                <w:iCs/>
              </w:rPr>
              <w:t>Dissostichus</w:t>
            </w:r>
            <w:proofErr w:type="spellEnd"/>
            <w:r w:rsidRPr="00815013">
              <w:rPr>
                <w:rFonts w:cs="Arial"/>
                <w:i/>
                <w:iCs/>
              </w:rPr>
              <w:t> </w:t>
            </w:r>
            <w:r w:rsidRPr="00815013">
              <w:rPr>
                <w:rFonts w:cs="Arial"/>
              </w:rPr>
              <w:t>spp. in Sub</w:t>
            </w:r>
            <w:r w:rsidR="00A32C71" w:rsidRPr="00815013">
              <w:rPr>
                <w:rFonts w:cs="Arial"/>
              </w:rPr>
              <w:t>-</w:t>
            </w:r>
            <w:r w:rsidRPr="00815013">
              <w:rPr>
                <w:rFonts w:cs="Arial"/>
              </w:rPr>
              <w:t>areas 58.4.1 and 58.4.2’ of the CCAMLR Convention Area in the Southern Ocean adjacent to Antarctica.</w:t>
            </w:r>
          </w:p>
        </w:tc>
      </w:tr>
      <w:tr w:rsidR="00CD3FE7" w:rsidRPr="00815013" w:rsidTr="00CD56A6">
        <w:trPr>
          <w:jc w:val="center"/>
        </w:trPr>
        <w:tc>
          <w:tcPr>
            <w:tcW w:w="2484" w:type="dxa"/>
            <w:tcBorders>
              <w:top w:val="single" w:sz="4" w:space="0" w:color="auto"/>
              <w:left w:val="single" w:sz="4" w:space="0" w:color="auto"/>
              <w:bottom w:val="single" w:sz="4" w:space="0" w:color="auto"/>
              <w:right w:val="single" w:sz="4" w:space="0" w:color="auto"/>
            </w:tcBorders>
          </w:tcPr>
          <w:p w:rsidR="00CD3FE7" w:rsidRPr="00815013" w:rsidRDefault="00CD3FE7" w:rsidP="00157A78">
            <w:pPr>
              <w:spacing w:before="60" w:after="60" w:line="240" w:lineRule="auto"/>
              <w:rPr>
                <w:rFonts w:cs="Arial"/>
                <w:b/>
                <w:snapToGrid w:val="0"/>
              </w:rPr>
            </w:pPr>
            <w:r w:rsidRPr="00815013">
              <w:rPr>
                <w:rFonts w:cs="Arial"/>
                <w:b/>
                <w:snapToGrid w:val="0"/>
              </w:rPr>
              <w:t>Key documents relevant to the fisher</w:t>
            </w:r>
            <w:r w:rsidR="004B734E">
              <w:rPr>
                <w:rFonts w:cs="Arial"/>
                <w:b/>
                <w:snapToGrid w:val="0"/>
              </w:rPr>
              <w:t>ies</w:t>
            </w:r>
          </w:p>
        </w:tc>
        <w:tc>
          <w:tcPr>
            <w:tcW w:w="7236" w:type="dxa"/>
            <w:tcBorders>
              <w:top w:val="single" w:sz="4" w:space="0" w:color="auto"/>
              <w:left w:val="single" w:sz="4" w:space="0" w:color="auto"/>
              <w:bottom w:val="single" w:sz="4" w:space="0" w:color="auto"/>
              <w:right w:val="single" w:sz="4" w:space="0" w:color="auto"/>
            </w:tcBorders>
          </w:tcPr>
          <w:p w:rsidR="00CD3FE7" w:rsidRPr="00815013" w:rsidRDefault="00D440B7" w:rsidP="00157A78">
            <w:pPr>
              <w:pStyle w:val="ListBullet"/>
              <w:spacing w:before="60" w:after="60" w:line="240" w:lineRule="auto"/>
              <w:rPr>
                <w:rFonts w:cs="Arial"/>
                <w:i/>
              </w:rPr>
            </w:pPr>
            <w:hyperlink r:id="rId16" w:history="1">
              <w:r w:rsidR="00CD3FE7" w:rsidRPr="00A6628D">
                <w:rPr>
                  <w:rStyle w:val="Hyperlink"/>
                  <w:rFonts w:cs="Arial"/>
                  <w:i/>
                </w:rPr>
                <w:t>Antarctic Marine Living Resources Conservation Act 1981</w:t>
              </w:r>
            </w:hyperlink>
          </w:p>
          <w:p w:rsidR="00CD3FE7" w:rsidRPr="00815013" w:rsidRDefault="00D440B7" w:rsidP="00157A78">
            <w:pPr>
              <w:pStyle w:val="ListBullet"/>
              <w:spacing w:before="60" w:after="60" w:line="240" w:lineRule="auto"/>
              <w:rPr>
                <w:rFonts w:cs="Arial"/>
                <w:i/>
              </w:rPr>
            </w:pPr>
            <w:hyperlink r:id="rId17" w:history="1">
              <w:r w:rsidR="00CD3FE7" w:rsidRPr="00A6628D">
                <w:rPr>
                  <w:rStyle w:val="Hyperlink"/>
                  <w:rFonts w:cs="Arial"/>
                  <w:i/>
                </w:rPr>
                <w:t>Fisheries Management Act 1991</w:t>
              </w:r>
              <w:r w:rsidR="00FF1C90" w:rsidRPr="00A6628D">
                <w:rPr>
                  <w:rStyle w:val="Hyperlink"/>
                  <w:rFonts w:cs="Arial"/>
                  <w:i/>
                </w:rPr>
                <w:t xml:space="preserve"> </w:t>
              </w:r>
              <w:r w:rsidR="00FF1C90" w:rsidRPr="00A6628D">
                <w:rPr>
                  <w:rStyle w:val="Hyperlink"/>
                  <w:rFonts w:cs="Arial"/>
                </w:rPr>
                <w:t>(FM Act)</w:t>
              </w:r>
            </w:hyperlink>
          </w:p>
          <w:p w:rsidR="00CD3FE7" w:rsidRPr="00815013" w:rsidRDefault="00D440B7" w:rsidP="00157A78">
            <w:pPr>
              <w:pStyle w:val="ListBullet"/>
              <w:spacing w:before="60" w:after="60" w:line="240" w:lineRule="auto"/>
              <w:rPr>
                <w:rFonts w:cs="Arial"/>
                <w:i/>
              </w:rPr>
            </w:pPr>
            <w:hyperlink r:id="rId18" w:history="1">
              <w:r w:rsidR="00FF1DDA" w:rsidRPr="00FF1DDA">
                <w:rPr>
                  <w:rStyle w:val="Hyperlink"/>
                  <w:rFonts w:cs="Arial"/>
                </w:rPr>
                <w:t xml:space="preserve">Fisheries Management Regulations 1992 </w:t>
              </w:r>
              <w:r w:rsidR="00FF1C90" w:rsidRPr="00A6628D">
                <w:rPr>
                  <w:rStyle w:val="Hyperlink"/>
                  <w:rFonts w:cs="Arial"/>
                </w:rPr>
                <w:t>(FM Regulations)</w:t>
              </w:r>
            </w:hyperlink>
          </w:p>
          <w:p w:rsidR="00CD3FE7" w:rsidRPr="00815013" w:rsidRDefault="00D440B7" w:rsidP="00157A78">
            <w:pPr>
              <w:pStyle w:val="ListBullet"/>
              <w:spacing w:before="60" w:after="60" w:line="240" w:lineRule="auto"/>
              <w:rPr>
                <w:rFonts w:cs="Arial"/>
              </w:rPr>
            </w:pPr>
            <w:hyperlink r:id="rId19" w:history="1">
              <w:r w:rsidR="00CD3FE7" w:rsidRPr="00A6628D">
                <w:rPr>
                  <w:rStyle w:val="Hyperlink"/>
                  <w:rFonts w:cs="Arial"/>
                </w:rPr>
                <w:t xml:space="preserve">Guide to CCAMLR </w:t>
              </w:r>
              <w:r w:rsidR="00A82CB7">
                <w:rPr>
                  <w:rStyle w:val="Hyperlink"/>
                  <w:rFonts w:cs="Arial"/>
                </w:rPr>
                <w:t>N</w:t>
              </w:r>
              <w:r w:rsidR="00CD3FE7" w:rsidRPr="00A6628D">
                <w:rPr>
                  <w:rStyle w:val="Hyperlink"/>
                  <w:rFonts w:cs="Arial"/>
                </w:rPr>
                <w:t xml:space="preserve">ew and </w:t>
              </w:r>
              <w:r w:rsidR="00A82CB7">
                <w:rPr>
                  <w:rStyle w:val="Hyperlink"/>
                  <w:rFonts w:cs="Arial"/>
                </w:rPr>
                <w:t>E</w:t>
              </w:r>
              <w:r w:rsidR="00CD3FE7" w:rsidRPr="00A6628D">
                <w:rPr>
                  <w:rStyle w:val="Hyperlink"/>
                  <w:rFonts w:cs="Arial"/>
                </w:rPr>
                <w:t xml:space="preserve">xploratory Fisheries </w:t>
              </w:r>
              <w:r w:rsidR="00C62E3B" w:rsidRPr="00A6628D">
                <w:rPr>
                  <w:rStyle w:val="Hyperlink"/>
                  <w:rFonts w:cs="Arial"/>
                </w:rPr>
                <w:t>February 2015</w:t>
              </w:r>
            </w:hyperlink>
            <w:r w:rsidR="00CD3FE7" w:rsidRPr="00815013">
              <w:rPr>
                <w:rFonts w:cs="Arial"/>
              </w:rPr>
              <w:t xml:space="preserve"> </w:t>
            </w:r>
          </w:p>
          <w:p w:rsidR="00C15209" w:rsidRPr="00815013" w:rsidRDefault="00D440B7" w:rsidP="00157A78">
            <w:pPr>
              <w:pStyle w:val="ListBullet"/>
              <w:spacing w:before="60" w:after="60" w:line="240" w:lineRule="auto"/>
              <w:rPr>
                <w:rFonts w:cs="Arial"/>
              </w:rPr>
            </w:pPr>
            <w:hyperlink r:id="rId20" w:history="1">
              <w:r w:rsidR="00CD3FE7" w:rsidRPr="00A6628D">
                <w:rPr>
                  <w:rStyle w:val="Hyperlink"/>
                  <w:rFonts w:cs="Arial"/>
                </w:rPr>
                <w:t>Schedule of Conserva</w:t>
              </w:r>
              <w:r w:rsidR="00C15209" w:rsidRPr="00A6628D">
                <w:rPr>
                  <w:rStyle w:val="Hyperlink"/>
                  <w:rFonts w:cs="Arial"/>
                </w:rPr>
                <w:t xml:space="preserve">tion Measures in </w:t>
              </w:r>
              <w:r w:rsidR="00A82CB7">
                <w:rPr>
                  <w:rStyle w:val="Hyperlink"/>
                  <w:rFonts w:cs="Arial"/>
                </w:rPr>
                <w:t>F</w:t>
              </w:r>
              <w:r w:rsidR="00C15209" w:rsidRPr="00A6628D">
                <w:rPr>
                  <w:rStyle w:val="Hyperlink"/>
                  <w:rFonts w:cs="Arial"/>
                </w:rPr>
                <w:t xml:space="preserve">orce </w:t>
              </w:r>
              <w:r w:rsidR="00A6628D" w:rsidRPr="00A6628D">
                <w:rPr>
                  <w:rStyle w:val="Hyperlink"/>
                  <w:rFonts w:cs="Arial"/>
                </w:rPr>
                <w:t>2015/16 Season</w:t>
              </w:r>
            </w:hyperlink>
          </w:p>
          <w:p w:rsidR="00CD3FE7" w:rsidRPr="00815013" w:rsidRDefault="00D440B7" w:rsidP="00157A78">
            <w:pPr>
              <w:pStyle w:val="ListBullet"/>
              <w:spacing w:before="60" w:after="60" w:line="240" w:lineRule="auto"/>
              <w:rPr>
                <w:rFonts w:cs="Arial"/>
              </w:rPr>
            </w:pPr>
            <w:hyperlink r:id="rId21" w:history="1">
              <w:r w:rsidR="00CD3FE7" w:rsidRPr="00A6628D">
                <w:rPr>
                  <w:rStyle w:val="Hyperlink"/>
                  <w:rFonts w:cs="Arial"/>
                </w:rPr>
                <w:t xml:space="preserve">Fishery Report </w:t>
              </w:r>
              <w:r w:rsidR="00B63698" w:rsidRPr="00A6628D">
                <w:rPr>
                  <w:rStyle w:val="Hyperlink"/>
                  <w:rFonts w:cs="Arial"/>
                </w:rPr>
                <w:t xml:space="preserve">2014: Exploratory Fishery for </w:t>
              </w:r>
              <w:proofErr w:type="spellStart"/>
              <w:r w:rsidR="00B63698" w:rsidRPr="00A6628D">
                <w:rPr>
                  <w:rStyle w:val="Hyperlink"/>
                  <w:rFonts w:cs="Arial"/>
                  <w:i/>
                </w:rPr>
                <w:t>Dissostichus</w:t>
              </w:r>
              <w:proofErr w:type="spellEnd"/>
              <w:r w:rsidR="00B63698" w:rsidRPr="00A6628D">
                <w:rPr>
                  <w:rStyle w:val="Hyperlink"/>
                  <w:rFonts w:cs="Arial"/>
                </w:rPr>
                <w:t xml:space="preserve"> spp. in Division 58.4.1</w:t>
              </w:r>
            </w:hyperlink>
          </w:p>
          <w:p w:rsidR="00B63698" w:rsidRPr="00815013" w:rsidRDefault="00D440B7" w:rsidP="00157A78">
            <w:pPr>
              <w:pStyle w:val="ListBullet"/>
              <w:spacing w:before="60" w:after="60" w:line="240" w:lineRule="auto"/>
              <w:rPr>
                <w:rFonts w:cs="Arial"/>
              </w:rPr>
            </w:pPr>
            <w:hyperlink r:id="rId22" w:history="1">
              <w:r w:rsidR="00B63698" w:rsidRPr="00A6628D">
                <w:rPr>
                  <w:rStyle w:val="Hyperlink"/>
                  <w:rFonts w:cs="Arial"/>
                </w:rPr>
                <w:t xml:space="preserve">Fishery Report 2014: Exploratory Fishery for </w:t>
              </w:r>
              <w:proofErr w:type="spellStart"/>
              <w:r w:rsidR="00B63698" w:rsidRPr="00A6628D">
                <w:rPr>
                  <w:rStyle w:val="Hyperlink"/>
                  <w:rFonts w:cs="Arial"/>
                  <w:i/>
                </w:rPr>
                <w:t>Dissostichus</w:t>
              </w:r>
              <w:proofErr w:type="spellEnd"/>
              <w:r w:rsidR="00B63698" w:rsidRPr="00A6628D">
                <w:rPr>
                  <w:rStyle w:val="Hyperlink"/>
                  <w:rFonts w:cs="Arial"/>
                </w:rPr>
                <w:t xml:space="preserve"> spp. in Division 58.4.2</w:t>
              </w:r>
            </w:hyperlink>
          </w:p>
        </w:tc>
      </w:tr>
      <w:tr w:rsidR="00B6012C" w:rsidRPr="00815013" w:rsidTr="00CD56A6">
        <w:trPr>
          <w:jc w:val="center"/>
        </w:trPr>
        <w:tc>
          <w:tcPr>
            <w:tcW w:w="2484" w:type="dxa"/>
            <w:tcBorders>
              <w:top w:val="single" w:sz="4" w:space="0" w:color="auto"/>
              <w:left w:val="single" w:sz="4" w:space="0" w:color="auto"/>
              <w:bottom w:val="single" w:sz="4" w:space="0" w:color="auto"/>
              <w:right w:val="single" w:sz="4" w:space="0" w:color="auto"/>
            </w:tcBorders>
          </w:tcPr>
          <w:p w:rsidR="00B6012C" w:rsidRPr="00815013" w:rsidRDefault="005A1FC1" w:rsidP="00157A78">
            <w:pPr>
              <w:spacing w:before="60" w:after="60" w:line="240" w:lineRule="auto"/>
              <w:rPr>
                <w:rFonts w:cs="Arial"/>
              </w:rPr>
            </w:pPr>
            <w:r w:rsidRPr="00815013">
              <w:rPr>
                <w:rFonts w:cs="Arial"/>
              </w:rPr>
              <w:br w:type="page"/>
            </w:r>
            <w:r w:rsidR="00B6012C" w:rsidRPr="00815013">
              <w:rPr>
                <w:rFonts w:cs="Arial"/>
                <w:b/>
                <w:snapToGrid w:val="0"/>
              </w:rPr>
              <w:t>Area</w:t>
            </w:r>
          </w:p>
        </w:tc>
        <w:tc>
          <w:tcPr>
            <w:tcW w:w="7236" w:type="dxa"/>
            <w:tcBorders>
              <w:top w:val="single" w:sz="4" w:space="0" w:color="auto"/>
              <w:left w:val="single" w:sz="4" w:space="0" w:color="auto"/>
              <w:bottom w:val="single" w:sz="4" w:space="0" w:color="auto"/>
              <w:right w:val="single" w:sz="4" w:space="0" w:color="auto"/>
            </w:tcBorders>
          </w:tcPr>
          <w:p w:rsidR="008E7AE1" w:rsidRPr="00815013" w:rsidRDefault="008E7AE1" w:rsidP="00157A78">
            <w:pPr>
              <w:spacing w:before="60" w:after="60" w:line="240" w:lineRule="auto"/>
              <w:rPr>
                <w:rFonts w:cs="Arial"/>
              </w:rPr>
            </w:pPr>
            <w:r w:rsidRPr="00815013">
              <w:rPr>
                <w:rFonts w:cs="Arial"/>
              </w:rPr>
              <w:t xml:space="preserve">The </w:t>
            </w:r>
            <w:r w:rsidR="00A82CB7">
              <w:rPr>
                <w:rFonts w:cs="Arial"/>
              </w:rPr>
              <w:t xml:space="preserve">CCAMLR </w:t>
            </w:r>
            <w:r w:rsidRPr="00815013">
              <w:rPr>
                <w:rFonts w:cs="Arial"/>
              </w:rPr>
              <w:t xml:space="preserve">Convention Area is divided into three internationally agreed </w:t>
            </w:r>
            <w:r w:rsidR="00204735" w:rsidRPr="00815013">
              <w:rPr>
                <w:rFonts w:cs="Arial"/>
              </w:rPr>
              <w:t>A</w:t>
            </w:r>
            <w:r w:rsidRPr="00815013">
              <w:rPr>
                <w:rFonts w:cs="Arial"/>
              </w:rPr>
              <w:t>reas:</w:t>
            </w:r>
          </w:p>
          <w:p w:rsidR="008E7AE1" w:rsidRPr="00815013" w:rsidRDefault="008E7AE1" w:rsidP="00157A78">
            <w:pPr>
              <w:pStyle w:val="ListBullet"/>
              <w:spacing w:before="60" w:after="60" w:line="240" w:lineRule="auto"/>
              <w:rPr>
                <w:rFonts w:cs="Arial"/>
              </w:rPr>
            </w:pPr>
            <w:r w:rsidRPr="00815013">
              <w:rPr>
                <w:rFonts w:cs="Arial"/>
              </w:rPr>
              <w:t>Area 48 (Atlantic Ocean sector)</w:t>
            </w:r>
          </w:p>
          <w:p w:rsidR="008E7AE1" w:rsidRPr="00815013" w:rsidRDefault="008E7AE1" w:rsidP="00157A78">
            <w:pPr>
              <w:pStyle w:val="ListBullet"/>
              <w:spacing w:before="60" w:after="60" w:line="240" w:lineRule="auto"/>
              <w:rPr>
                <w:rFonts w:cs="Arial"/>
              </w:rPr>
            </w:pPr>
            <w:r w:rsidRPr="00815013">
              <w:rPr>
                <w:rFonts w:cs="Arial"/>
              </w:rPr>
              <w:t>Area 58 (Indian Ocean sector)</w:t>
            </w:r>
          </w:p>
          <w:p w:rsidR="008E7AE1" w:rsidRPr="00815013" w:rsidRDefault="008E7AE1" w:rsidP="00157A78">
            <w:pPr>
              <w:pStyle w:val="ListBullet"/>
              <w:spacing w:before="60" w:after="60" w:line="240" w:lineRule="auto"/>
              <w:rPr>
                <w:rFonts w:cs="Arial"/>
              </w:rPr>
            </w:pPr>
            <w:r w:rsidRPr="00815013">
              <w:rPr>
                <w:rFonts w:cs="Arial"/>
              </w:rPr>
              <w:t>Area 88 (Pacific Ocean sector).</w:t>
            </w:r>
          </w:p>
          <w:p w:rsidR="00204735" w:rsidRPr="00815013" w:rsidRDefault="00204735" w:rsidP="00157A78">
            <w:pPr>
              <w:spacing w:before="60" w:after="60" w:line="240" w:lineRule="auto"/>
              <w:rPr>
                <w:rFonts w:cs="Arial"/>
              </w:rPr>
            </w:pPr>
            <w:r w:rsidRPr="00815013">
              <w:rPr>
                <w:rFonts w:cs="Arial"/>
              </w:rPr>
              <w:t xml:space="preserve">These </w:t>
            </w:r>
            <w:r w:rsidR="005D1EC8" w:rsidRPr="00815013">
              <w:rPr>
                <w:rFonts w:cs="Arial"/>
              </w:rPr>
              <w:t>Area</w:t>
            </w:r>
            <w:r w:rsidRPr="00815013">
              <w:rPr>
                <w:rFonts w:cs="Arial"/>
              </w:rPr>
              <w:t>s are further subdivided into Divisions</w:t>
            </w:r>
            <w:r w:rsidR="00A32C71" w:rsidRPr="00815013">
              <w:rPr>
                <w:rFonts w:cs="Arial"/>
              </w:rPr>
              <w:t xml:space="preserve"> (Figure 1)</w:t>
            </w:r>
            <w:r w:rsidRPr="00815013">
              <w:rPr>
                <w:rFonts w:cs="Arial"/>
              </w:rPr>
              <w:t xml:space="preserve">. </w:t>
            </w:r>
          </w:p>
          <w:p w:rsidR="00FF1DDA" w:rsidRDefault="00204735" w:rsidP="00FF1DDA">
            <w:pPr>
              <w:spacing w:before="60" w:after="60" w:line="240" w:lineRule="auto"/>
              <w:rPr>
                <w:rFonts w:cs="Arial"/>
              </w:rPr>
            </w:pPr>
            <w:r w:rsidRPr="00815013">
              <w:rPr>
                <w:rFonts w:cs="Arial"/>
              </w:rPr>
              <w:t xml:space="preserve">Area </w:t>
            </w:r>
            <w:r w:rsidR="005D1EC8" w:rsidRPr="00815013">
              <w:rPr>
                <w:rFonts w:cs="Arial"/>
              </w:rPr>
              <w:t>58.4</w:t>
            </w:r>
            <w:r w:rsidRPr="00815013">
              <w:rPr>
                <w:rFonts w:cs="Arial"/>
              </w:rPr>
              <w:t xml:space="preserve"> is </w:t>
            </w:r>
            <w:r w:rsidR="005D1EC8" w:rsidRPr="00815013">
              <w:rPr>
                <w:rFonts w:cs="Arial"/>
              </w:rPr>
              <w:t xml:space="preserve">adjacent to Australia’s </w:t>
            </w:r>
            <w:r w:rsidRPr="00815013">
              <w:rPr>
                <w:rFonts w:cs="Arial"/>
              </w:rPr>
              <w:t>Antarctic Territory and overlap</w:t>
            </w:r>
            <w:r w:rsidR="00355504" w:rsidRPr="00815013">
              <w:rPr>
                <w:rFonts w:cs="Arial"/>
              </w:rPr>
              <w:t>s</w:t>
            </w:r>
            <w:r w:rsidR="005D1EC8" w:rsidRPr="00815013">
              <w:rPr>
                <w:rFonts w:cs="Arial"/>
              </w:rPr>
              <w:t xml:space="preserve"> Australia’s Antarctic Exclusive Economic Zone (EEZ) and the Australian Fishing Zone (AFZ). Divisions 58.4.1 and 58.4.2 are adjacent to Australia’s Antarctic Territory and overlap Australia’s </w:t>
            </w:r>
            <w:r w:rsidR="00355504" w:rsidRPr="00815013">
              <w:rPr>
                <w:rFonts w:cs="Arial"/>
              </w:rPr>
              <w:t>Antarctic EEZ</w:t>
            </w:r>
            <w:r w:rsidR="00395419" w:rsidRPr="00815013">
              <w:rPr>
                <w:rFonts w:cs="Arial"/>
              </w:rPr>
              <w:t xml:space="preserve"> (Figure 2)</w:t>
            </w:r>
            <w:r w:rsidR="00355504" w:rsidRPr="00815013">
              <w:rPr>
                <w:rFonts w:cs="Arial"/>
              </w:rPr>
              <w:t>.</w:t>
            </w:r>
          </w:p>
          <w:p w:rsidR="00B6012C" w:rsidRPr="00447C82" w:rsidRDefault="00CD56A6" w:rsidP="00157A78">
            <w:pPr>
              <w:spacing w:before="60" w:after="60" w:line="240" w:lineRule="auto"/>
              <w:rPr>
                <w:rFonts w:ascii="Verdana" w:hAnsi="Verdana"/>
                <w:noProof/>
                <w:color w:val="222222"/>
                <w:sz w:val="21"/>
                <w:szCs w:val="21"/>
                <w:lang w:eastAsia="en-AU"/>
              </w:rPr>
            </w:pPr>
            <w:r>
              <w:rPr>
                <w:rFonts w:ascii="Verdana" w:hAnsi="Verdana"/>
                <w:noProof/>
                <w:color w:val="222222"/>
                <w:sz w:val="21"/>
                <w:szCs w:val="21"/>
                <w:lang w:eastAsia="en-AU"/>
              </w:rPr>
              <w:drawing>
                <wp:inline distT="0" distB="0" distL="0" distR="0">
                  <wp:extent cx="4464000" cy="3302224"/>
                  <wp:effectExtent l="19050" t="0" r="0" b="0"/>
                  <wp:docPr id="6" name="Picture 5" descr="Map of CCAMLR Convention Ar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p of CCAMLR Convention Area"/>
                          <pic:cNvPicPr>
                            <a:picLocks noChangeAspect="1" noChangeArrowheads="1"/>
                          </pic:cNvPicPr>
                        </pic:nvPicPr>
                        <pic:blipFill>
                          <a:blip r:embed="rId23" cstate="print"/>
                          <a:srcRect/>
                          <a:stretch>
                            <a:fillRect/>
                          </a:stretch>
                        </pic:blipFill>
                        <pic:spPr bwMode="auto">
                          <a:xfrm>
                            <a:off x="0" y="0"/>
                            <a:ext cx="4464000" cy="3302224"/>
                          </a:xfrm>
                          <a:prstGeom prst="rect">
                            <a:avLst/>
                          </a:prstGeom>
                          <a:noFill/>
                          <a:ln w="9525">
                            <a:noFill/>
                            <a:miter lim="800000"/>
                            <a:headEnd/>
                            <a:tailEnd/>
                          </a:ln>
                        </pic:spPr>
                      </pic:pic>
                    </a:graphicData>
                  </a:graphic>
                </wp:inline>
              </w:drawing>
            </w:r>
            <w:r w:rsidR="00447C82">
              <w:rPr>
                <w:rFonts w:cs="Arial"/>
                <w:snapToGrid w:val="0"/>
                <w:sz w:val="20"/>
                <w:szCs w:val="20"/>
              </w:rPr>
              <w:t xml:space="preserve">Figure 1. </w:t>
            </w:r>
            <w:r w:rsidR="00863D31" w:rsidRPr="00815013">
              <w:rPr>
                <w:rFonts w:cs="Arial"/>
                <w:snapToGrid w:val="0"/>
                <w:sz w:val="20"/>
                <w:szCs w:val="20"/>
              </w:rPr>
              <w:t>CCAMLR convention area</w:t>
            </w:r>
            <w:r w:rsidR="00447C82">
              <w:rPr>
                <w:rFonts w:cs="Arial"/>
                <w:snapToGrid w:val="0"/>
                <w:sz w:val="20"/>
                <w:szCs w:val="20"/>
              </w:rPr>
              <w:t xml:space="preserve"> </w:t>
            </w:r>
            <w:r w:rsidR="00863D31" w:rsidRPr="00815013">
              <w:rPr>
                <w:rFonts w:cs="Arial"/>
                <w:snapToGrid w:val="0"/>
                <w:sz w:val="20"/>
                <w:szCs w:val="20"/>
              </w:rPr>
              <w:t>(</w:t>
            </w:r>
            <w:r w:rsidR="00863D31" w:rsidRPr="00815013">
              <w:rPr>
                <w:rFonts w:cs="Arial"/>
                <w:i/>
                <w:snapToGrid w:val="0"/>
                <w:sz w:val="20"/>
                <w:szCs w:val="20"/>
              </w:rPr>
              <w:t xml:space="preserve">Source: </w:t>
            </w:r>
            <w:hyperlink r:id="rId24" w:history="1">
              <w:r w:rsidR="00863D31" w:rsidRPr="00C75D9A">
                <w:rPr>
                  <w:rStyle w:val="Hyperlink"/>
                  <w:rFonts w:cs="Arial"/>
                  <w:i/>
                  <w:snapToGrid w:val="0"/>
                  <w:sz w:val="20"/>
                  <w:szCs w:val="20"/>
                </w:rPr>
                <w:t>CCAMLR</w:t>
              </w:r>
              <w:r w:rsidR="00C75D9A" w:rsidRPr="00C75D9A">
                <w:rPr>
                  <w:rStyle w:val="Hyperlink"/>
                  <w:rFonts w:cs="Arial"/>
                  <w:i/>
                  <w:snapToGrid w:val="0"/>
                  <w:sz w:val="20"/>
                  <w:szCs w:val="20"/>
                </w:rPr>
                <w:t xml:space="preserve"> website</w:t>
              </w:r>
            </w:hyperlink>
            <w:r w:rsidR="00863D31" w:rsidRPr="00815013">
              <w:rPr>
                <w:rFonts w:cs="Arial"/>
                <w:snapToGrid w:val="0"/>
                <w:sz w:val="20"/>
                <w:szCs w:val="20"/>
              </w:rPr>
              <w:t>)</w:t>
            </w:r>
          </w:p>
          <w:p w:rsidR="00105033" w:rsidRPr="00815013" w:rsidRDefault="00105033" w:rsidP="00157A78">
            <w:pPr>
              <w:spacing w:before="60" w:after="60" w:line="240" w:lineRule="auto"/>
              <w:rPr>
                <w:rFonts w:cs="Arial"/>
                <w:snapToGrid w:val="0"/>
                <w:color w:val="3366FF"/>
                <w:sz w:val="20"/>
                <w:szCs w:val="20"/>
              </w:rPr>
            </w:pPr>
            <w:r w:rsidRPr="00815013">
              <w:rPr>
                <w:rFonts w:cs="Arial"/>
                <w:noProof/>
                <w:color w:val="3366FF"/>
                <w:sz w:val="20"/>
                <w:szCs w:val="20"/>
                <w:lang w:eastAsia="en-AU"/>
              </w:rPr>
              <w:lastRenderedPageBreak/>
              <w:drawing>
                <wp:inline distT="0" distB="0" distL="0" distR="0">
                  <wp:extent cx="4464000" cy="2640410"/>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srcRect/>
                          <a:stretch>
                            <a:fillRect/>
                          </a:stretch>
                        </pic:blipFill>
                        <pic:spPr bwMode="auto">
                          <a:xfrm>
                            <a:off x="0" y="0"/>
                            <a:ext cx="4464000" cy="2640410"/>
                          </a:xfrm>
                          <a:prstGeom prst="rect">
                            <a:avLst/>
                          </a:prstGeom>
                          <a:noFill/>
                          <a:ln w="9525">
                            <a:noFill/>
                            <a:miter lim="800000"/>
                            <a:headEnd/>
                            <a:tailEnd/>
                          </a:ln>
                        </pic:spPr>
                      </pic:pic>
                    </a:graphicData>
                  </a:graphic>
                </wp:inline>
              </w:drawing>
            </w:r>
            <w:r w:rsidR="00863D31" w:rsidRPr="00815013">
              <w:rPr>
                <w:rFonts w:cs="Arial"/>
                <w:snapToGrid w:val="0"/>
                <w:sz w:val="20"/>
                <w:szCs w:val="20"/>
              </w:rPr>
              <w:t>Figure 2. CCAMLR Divisions 58.4.1 and 58.4.2 (</w:t>
            </w:r>
            <w:r w:rsidRPr="00815013">
              <w:rPr>
                <w:rFonts w:cs="Arial"/>
                <w:snapToGrid w:val="0"/>
                <w:sz w:val="20"/>
                <w:szCs w:val="20"/>
              </w:rPr>
              <w:t xml:space="preserve">Source: </w:t>
            </w:r>
            <w:hyperlink r:id="rId26" w:history="1">
              <w:r w:rsidRPr="00C75D9A">
                <w:rPr>
                  <w:rStyle w:val="Hyperlink"/>
                  <w:rFonts w:cs="Arial"/>
                  <w:i/>
                  <w:snapToGrid w:val="0"/>
                  <w:sz w:val="20"/>
                  <w:szCs w:val="20"/>
                </w:rPr>
                <w:t>ABARES Fishery Status Reports 2011</w:t>
              </w:r>
            </w:hyperlink>
            <w:r w:rsidR="00863D31" w:rsidRPr="00815013">
              <w:rPr>
                <w:rFonts w:cs="Arial"/>
                <w:snapToGrid w:val="0"/>
                <w:sz w:val="20"/>
                <w:szCs w:val="20"/>
              </w:rPr>
              <w:t>)</w:t>
            </w:r>
            <w:r w:rsidRPr="00815013">
              <w:rPr>
                <w:rFonts w:cs="Arial"/>
                <w:snapToGrid w:val="0"/>
                <w:sz w:val="20"/>
                <w:szCs w:val="20"/>
              </w:rPr>
              <w:t>.</w:t>
            </w:r>
          </w:p>
        </w:tc>
      </w:tr>
      <w:tr w:rsidR="00B6012C" w:rsidRPr="00815013" w:rsidTr="00CD56A6">
        <w:trPr>
          <w:jc w:val="center"/>
        </w:trPr>
        <w:tc>
          <w:tcPr>
            <w:tcW w:w="2484" w:type="dxa"/>
            <w:tcBorders>
              <w:top w:val="single" w:sz="4" w:space="0" w:color="auto"/>
              <w:left w:val="single" w:sz="4" w:space="0" w:color="auto"/>
              <w:bottom w:val="single" w:sz="4" w:space="0" w:color="auto"/>
              <w:right w:val="single" w:sz="4" w:space="0" w:color="auto"/>
            </w:tcBorders>
          </w:tcPr>
          <w:p w:rsidR="00B6012C" w:rsidRPr="00815013" w:rsidRDefault="00B6012C" w:rsidP="00157A78">
            <w:pPr>
              <w:spacing w:before="60" w:after="60" w:line="240" w:lineRule="auto"/>
              <w:rPr>
                <w:rFonts w:cs="Arial"/>
                <w:b/>
                <w:snapToGrid w:val="0"/>
              </w:rPr>
            </w:pPr>
            <w:r w:rsidRPr="00815013">
              <w:rPr>
                <w:rFonts w:cs="Arial"/>
                <w:b/>
                <w:snapToGrid w:val="0"/>
              </w:rPr>
              <w:lastRenderedPageBreak/>
              <w:t>Target Species</w:t>
            </w:r>
          </w:p>
        </w:tc>
        <w:tc>
          <w:tcPr>
            <w:tcW w:w="7236" w:type="dxa"/>
            <w:tcBorders>
              <w:top w:val="single" w:sz="4" w:space="0" w:color="auto"/>
              <w:left w:val="single" w:sz="4" w:space="0" w:color="auto"/>
              <w:bottom w:val="single" w:sz="4" w:space="0" w:color="auto"/>
              <w:right w:val="single" w:sz="4" w:space="0" w:color="auto"/>
            </w:tcBorders>
          </w:tcPr>
          <w:p w:rsidR="00C87E3B" w:rsidRPr="00815013" w:rsidRDefault="00C87E3B" w:rsidP="00157A78">
            <w:pPr>
              <w:spacing w:before="60" w:after="60" w:line="240" w:lineRule="auto"/>
              <w:rPr>
                <w:rFonts w:cs="Arial"/>
              </w:rPr>
            </w:pPr>
            <w:r w:rsidRPr="00815013">
              <w:rPr>
                <w:rFonts w:cs="Arial"/>
              </w:rPr>
              <w:t xml:space="preserve">The target species for CCAMLR Divisions 58.4.1 and 58.4.2 are Antarctic </w:t>
            </w:r>
            <w:proofErr w:type="spellStart"/>
            <w:r w:rsidRPr="00815013">
              <w:rPr>
                <w:rFonts w:cs="Arial"/>
              </w:rPr>
              <w:t>toothfish</w:t>
            </w:r>
            <w:proofErr w:type="spellEnd"/>
            <w:r w:rsidRPr="00815013">
              <w:rPr>
                <w:rFonts w:cs="Arial"/>
              </w:rPr>
              <w:t xml:space="preserve"> (</w:t>
            </w:r>
            <w:proofErr w:type="spellStart"/>
            <w:r w:rsidRPr="00815013">
              <w:rPr>
                <w:rFonts w:cs="Arial"/>
                <w:i/>
              </w:rPr>
              <w:t>Dissostichus</w:t>
            </w:r>
            <w:proofErr w:type="spellEnd"/>
            <w:r w:rsidRPr="00815013">
              <w:rPr>
                <w:rFonts w:cs="Arial"/>
                <w:i/>
              </w:rPr>
              <w:t xml:space="preserve"> </w:t>
            </w:r>
            <w:proofErr w:type="spellStart"/>
            <w:r w:rsidRPr="00815013">
              <w:rPr>
                <w:rFonts w:cs="Arial"/>
                <w:i/>
              </w:rPr>
              <w:t>mawsoni</w:t>
            </w:r>
            <w:proofErr w:type="spellEnd"/>
            <w:r w:rsidRPr="00815013">
              <w:rPr>
                <w:rFonts w:cs="Arial"/>
              </w:rPr>
              <w:t xml:space="preserve">) and Patagonian </w:t>
            </w:r>
            <w:proofErr w:type="spellStart"/>
            <w:r w:rsidRPr="00815013">
              <w:rPr>
                <w:rFonts w:cs="Arial"/>
              </w:rPr>
              <w:t>toothfish</w:t>
            </w:r>
            <w:proofErr w:type="spellEnd"/>
            <w:r w:rsidRPr="00815013">
              <w:rPr>
                <w:rFonts w:cs="Arial"/>
              </w:rPr>
              <w:t xml:space="preserve"> (</w:t>
            </w:r>
            <w:r w:rsidRPr="00815013">
              <w:rPr>
                <w:rFonts w:cs="Arial"/>
                <w:i/>
              </w:rPr>
              <w:t>D</w:t>
            </w:r>
            <w:r w:rsidR="00F91718" w:rsidRPr="00815013">
              <w:rPr>
                <w:rFonts w:cs="Arial"/>
                <w:i/>
              </w:rPr>
              <w:t>.</w:t>
            </w:r>
            <w:r w:rsidR="00746298">
              <w:rPr>
                <w:rFonts w:cs="Arial"/>
                <w:i/>
              </w:rPr>
              <w:t> </w:t>
            </w:r>
            <w:proofErr w:type="spellStart"/>
            <w:r w:rsidRPr="00815013">
              <w:rPr>
                <w:rFonts w:cs="Arial"/>
                <w:i/>
              </w:rPr>
              <w:t>eleginoides</w:t>
            </w:r>
            <w:proofErr w:type="spellEnd"/>
            <w:r w:rsidR="00D83405" w:rsidRPr="00815013">
              <w:rPr>
                <w:rFonts w:cs="Arial"/>
              </w:rPr>
              <w:t>).</w:t>
            </w:r>
            <w:r w:rsidR="00815013">
              <w:rPr>
                <w:rFonts w:cs="Arial"/>
              </w:rPr>
              <w:t xml:space="preserve"> </w:t>
            </w:r>
            <w:r w:rsidR="00815013" w:rsidRPr="00815013">
              <w:rPr>
                <w:rFonts w:cs="Arial"/>
              </w:rPr>
              <w:t>Catches in 58.4.2 are do</w:t>
            </w:r>
            <w:r w:rsidR="00815013">
              <w:rPr>
                <w:rFonts w:cs="Arial"/>
              </w:rPr>
              <w:t xml:space="preserve">minated by Antarctic </w:t>
            </w:r>
            <w:proofErr w:type="spellStart"/>
            <w:r w:rsidR="00815013">
              <w:rPr>
                <w:rFonts w:cs="Arial"/>
              </w:rPr>
              <w:t>toothfish</w:t>
            </w:r>
            <w:proofErr w:type="spellEnd"/>
            <w:r w:rsidR="002D69E8" w:rsidRPr="00815013">
              <w:rPr>
                <w:rFonts w:cs="Arial"/>
                <w:snapToGrid w:val="0"/>
              </w:rPr>
              <w:t xml:space="preserve"> </w:t>
            </w:r>
            <w:r w:rsidR="002D69E8">
              <w:rPr>
                <w:rFonts w:cs="Arial"/>
                <w:snapToGrid w:val="0"/>
              </w:rPr>
              <w:t xml:space="preserve">which are </w:t>
            </w:r>
            <w:r w:rsidR="002D69E8" w:rsidRPr="00815013">
              <w:rPr>
                <w:rFonts w:cs="Arial"/>
                <w:snapToGrid w:val="0"/>
              </w:rPr>
              <w:t xml:space="preserve">only found in the Southern Ocean south of the </w:t>
            </w:r>
            <w:hyperlink r:id="rId27" w:history="1">
              <w:r w:rsidR="002D69E8" w:rsidRPr="002D69E8">
                <w:rPr>
                  <w:rStyle w:val="Hyperlink"/>
                  <w:rFonts w:cs="Arial"/>
                  <w:snapToGrid w:val="0"/>
                </w:rPr>
                <w:t>Antarctic Convergence</w:t>
              </w:r>
            </w:hyperlink>
            <w:r w:rsidR="00815013">
              <w:rPr>
                <w:rFonts w:cs="Arial"/>
              </w:rPr>
              <w:t>.</w:t>
            </w:r>
          </w:p>
          <w:p w:rsidR="00156306" w:rsidRDefault="00156306" w:rsidP="00157A78">
            <w:pPr>
              <w:spacing w:before="60" w:after="60" w:line="240" w:lineRule="auto"/>
              <w:rPr>
                <w:rFonts w:cs="Arial"/>
              </w:rPr>
            </w:pPr>
            <w:r>
              <w:rPr>
                <w:rFonts w:cs="Arial"/>
              </w:rPr>
              <w:t>Both</w:t>
            </w:r>
            <w:r w:rsidR="00D83405" w:rsidRPr="00815013">
              <w:rPr>
                <w:rFonts w:cs="Arial"/>
              </w:rPr>
              <w:t xml:space="preserve"> species </w:t>
            </w:r>
            <w:r w:rsidR="0020277F" w:rsidRPr="00815013">
              <w:rPr>
                <w:rFonts w:cs="Arial"/>
              </w:rPr>
              <w:t xml:space="preserve">are characterised by </w:t>
            </w:r>
            <w:r w:rsidR="00D83405" w:rsidRPr="00815013">
              <w:rPr>
                <w:rFonts w:cs="Arial"/>
              </w:rPr>
              <w:t>slow growth, late reproductive maturity, low fecundity and protracted spawning periods</w:t>
            </w:r>
            <w:r w:rsidR="0020277F" w:rsidRPr="00815013">
              <w:rPr>
                <w:rFonts w:cs="Arial"/>
              </w:rPr>
              <w:t xml:space="preserve">; this </w:t>
            </w:r>
            <w:r w:rsidR="00D83405" w:rsidRPr="00815013">
              <w:rPr>
                <w:rFonts w:cs="Arial"/>
              </w:rPr>
              <w:t>ma</w:t>
            </w:r>
            <w:r w:rsidR="0020277F" w:rsidRPr="00815013">
              <w:rPr>
                <w:rFonts w:cs="Arial"/>
              </w:rPr>
              <w:t>kes</w:t>
            </w:r>
            <w:r w:rsidR="00D83405" w:rsidRPr="00815013">
              <w:rPr>
                <w:rFonts w:cs="Arial"/>
              </w:rPr>
              <w:t xml:space="preserve"> them particularly </w:t>
            </w:r>
            <w:r w:rsidR="00EF7DB6" w:rsidRPr="00815013">
              <w:rPr>
                <w:rFonts w:cs="Arial"/>
              </w:rPr>
              <w:t>vulnera</w:t>
            </w:r>
            <w:r w:rsidR="00D83405" w:rsidRPr="00815013">
              <w:rPr>
                <w:rFonts w:cs="Arial"/>
              </w:rPr>
              <w:t xml:space="preserve">ble to overfishing. </w:t>
            </w:r>
          </w:p>
          <w:p w:rsidR="00AB4D25" w:rsidRPr="00815013" w:rsidRDefault="00D83405" w:rsidP="00157A78">
            <w:pPr>
              <w:spacing w:before="60" w:after="60" w:line="240" w:lineRule="auto"/>
              <w:rPr>
                <w:rFonts w:cs="Arial"/>
              </w:rPr>
            </w:pPr>
            <w:r w:rsidRPr="00815013">
              <w:rPr>
                <w:rFonts w:cs="Arial"/>
              </w:rPr>
              <w:t xml:space="preserve">Spawning can extend from late </w:t>
            </w:r>
            <w:r w:rsidR="00815013">
              <w:rPr>
                <w:rFonts w:cs="Arial"/>
              </w:rPr>
              <w:t>a</w:t>
            </w:r>
            <w:r w:rsidRPr="00815013">
              <w:rPr>
                <w:rFonts w:cs="Arial"/>
              </w:rPr>
              <w:t>utumn into spri</w:t>
            </w:r>
            <w:r w:rsidR="00426368">
              <w:rPr>
                <w:rFonts w:cs="Arial"/>
              </w:rPr>
              <w:t>ng, but mainly occurs in winter</w:t>
            </w:r>
            <w:r w:rsidRPr="00815013">
              <w:rPr>
                <w:rFonts w:cs="Arial"/>
              </w:rPr>
              <w:t xml:space="preserve"> when sea ice presents a natural limit </w:t>
            </w:r>
            <w:r w:rsidR="00F91718" w:rsidRPr="00815013">
              <w:rPr>
                <w:rFonts w:cs="Arial"/>
              </w:rPr>
              <w:t>to fishing.</w:t>
            </w:r>
            <w:r w:rsidR="00156306">
              <w:rPr>
                <w:rFonts w:cs="Arial"/>
              </w:rPr>
              <w:t xml:space="preserve"> Spawning is not thought to occur in Divisions 58.4.1 or 58.4.2.</w:t>
            </w:r>
          </w:p>
        </w:tc>
      </w:tr>
      <w:tr w:rsidR="00534AFF" w:rsidRPr="00815013" w:rsidTr="00CD56A6">
        <w:trPr>
          <w:jc w:val="center"/>
        </w:trPr>
        <w:tc>
          <w:tcPr>
            <w:tcW w:w="2484" w:type="dxa"/>
            <w:tcBorders>
              <w:top w:val="single" w:sz="4" w:space="0" w:color="auto"/>
              <w:left w:val="single" w:sz="4" w:space="0" w:color="auto"/>
              <w:bottom w:val="single" w:sz="4" w:space="0" w:color="auto"/>
              <w:right w:val="single" w:sz="4" w:space="0" w:color="auto"/>
            </w:tcBorders>
          </w:tcPr>
          <w:p w:rsidR="00534AFF" w:rsidRPr="00815013" w:rsidRDefault="00534AFF" w:rsidP="00157A78">
            <w:pPr>
              <w:spacing w:before="60" w:after="60" w:line="240" w:lineRule="auto"/>
              <w:rPr>
                <w:rFonts w:cs="Arial"/>
                <w:b/>
                <w:snapToGrid w:val="0"/>
              </w:rPr>
            </w:pPr>
            <w:r w:rsidRPr="00815013">
              <w:rPr>
                <w:rFonts w:cs="Arial"/>
                <w:b/>
                <w:snapToGrid w:val="0"/>
              </w:rPr>
              <w:t xml:space="preserve">Fishery status </w:t>
            </w:r>
          </w:p>
        </w:tc>
        <w:tc>
          <w:tcPr>
            <w:tcW w:w="7236" w:type="dxa"/>
            <w:tcBorders>
              <w:top w:val="single" w:sz="4" w:space="0" w:color="auto"/>
              <w:left w:val="single" w:sz="4" w:space="0" w:color="auto"/>
              <w:bottom w:val="single" w:sz="4" w:space="0" w:color="auto"/>
              <w:right w:val="single" w:sz="4" w:space="0" w:color="auto"/>
            </w:tcBorders>
          </w:tcPr>
          <w:p w:rsidR="00E44237" w:rsidRPr="00815013" w:rsidRDefault="00E44237" w:rsidP="00157A78">
            <w:pPr>
              <w:spacing w:before="60" w:after="60" w:line="240" w:lineRule="auto"/>
              <w:rPr>
                <w:rFonts w:cs="Arial"/>
              </w:rPr>
            </w:pPr>
            <w:r w:rsidRPr="00815013">
              <w:rPr>
                <w:rFonts w:cs="Arial"/>
              </w:rPr>
              <w:t>Stocks in Divisions 58.4.1 and 58.4.2 were classified as overfished and subject to overfishing from 2009 until they were removed from the annual Australian Government Fishery Status Reports in 2012. This was because Australia had not commercially fished these divisions since 2005, had no future intention to do so at that time, and because the total Australian catch (including research catch) since 1990 had been relatively small (149 t</w:t>
            </w:r>
            <w:r w:rsidR="00A82CB7">
              <w:rPr>
                <w:rFonts w:cs="Arial"/>
              </w:rPr>
              <w:t>onnes (t)</w:t>
            </w:r>
            <w:r w:rsidRPr="00815013">
              <w:rPr>
                <w:rFonts w:cs="Arial"/>
              </w:rPr>
              <w:t xml:space="preserve">). </w:t>
            </w:r>
          </w:p>
          <w:p w:rsidR="00815013" w:rsidRPr="00815013" w:rsidRDefault="00815013" w:rsidP="00157A78">
            <w:pPr>
              <w:spacing w:before="60" w:after="60" w:line="240" w:lineRule="auto"/>
              <w:rPr>
                <w:rFonts w:cs="Arial"/>
              </w:rPr>
            </w:pPr>
            <w:r w:rsidRPr="00815013">
              <w:rPr>
                <w:rFonts w:cs="Arial"/>
              </w:rPr>
              <w:t xml:space="preserve">Assessments undertaken in 2008 for Divisions 58.4.1 and 58.4.2 found catch rates were low compared to those in the Ross Sea, suggesting Divisions </w:t>
            </w:r>
            <w:r w:rsidR="006F7DF6">
              <w:rPr>
                <w:rFonts w:cs="Arial"/>
              </w:rPr>
              <w:t xml:space="preserve">58.4.1 and 58.4.2 </w:t>
            </w:r>
            <w:r w:rsidRPr="00815013">
              <w:rPr>
                <w:rFonts w:cs="Arial"/>
              </w:rPr>
              <w:t xml:space="preserve">were unlikely to support a large population of </w:t>
            </w:r>
            <w:proofErr w:type="spellStart"/>
            <w:r w:rsidRPr="00815013">
              <w:rPr>
                <w:rFonts w:cs="Arial"/>
              </w:rPr>
              <w:t>toothfish</w:t>
            </w:r>
            <w:proofErr w:type="spellEnd"/>
            <w:r w:rsidRPr="00815013">
              <w:rPr>
                <w:rFonts w:cs="Arial"/>
              </w:rPr>
              <w:t xml:space="preserve"> (</w:t>
            </w:r>
            <w:proofErr w:type="spellStart"/>
            <w:r w:rsidR="00D440B7">
              <w:fldChar w:fldCharType="begin"/>
            </w:r>
            <w:r w:rsidR="00D440B7">
              <w:instrText>HYPERLINK "https://www.ccamlr.org/en/wg-fsa-11/35"</w:instrText>
            </w:r>
            <w:r w:rsidR="00D440B7">
              <w:fldChar w:fldCharType="separate"/>
            </w:r>
            <w:r w:rsidRPr="00D156F0">
              <w:rPr>
                <w:rStyle w:val="Hyperlink"/>
                <w:rFonts w:cs="Arial"/>
              </w:rPr>
              <w:t>Welsford</w:t>
            </w:r>
            <w:proofErr w:type="spellEnd"/>
            <w:r w:rsidRPr="00D156F0">
              <w:rPr>
                <w:rStyle w:val="Hyperlink"/>
                <w:rFonts w:cs="Arial"/>
              </w:rPr>
              <w:t xml:space="preserve"> 2011</w:t>
            </w:r>
            <w:r w:rsidR="00D440B7">
              <w:fldChar w:fldCharType="end"/>
            </w:r>
            <w:r w:rsidRPr="00815013">
              <w:rPr>
                <w:rFonts w:cs="Arial"/>
              </w:rPr>
              <w:t>).</w:t>
            </w:r>
          </w:p>
          <w:p w:rsidR="00E44237" w:rsidRPr="00815013" w:rsidRDefault="00E44237" w:rsidP="00157A78">
            <w:pPr>
              <w:spacing w:before="60" w:after="60" w:line="240" w:lineRule="auto"/>
              <w:rPr>
                <w:rFonts w:cs="Arial"/>
              </w:rPr>
            </w:pPr>
            <w:r w:rsidRPr="00815013">
              <w:rPr>
                <w:rFonts w:cs="Arial"/>
              </w:rPr>
              <w:t xml:space="preserve">Illegal, unreported and unregulated (IUU) fishing was the likely cause of the initial </w:t>
            </w:r>
            <w:proofErr w:type="gramStart"/>
            <w:r w:rsidRPr="00815013">
              <w:rPr>
                <w:rFonts w:cs="Arial"/>
              </w:rPr>
              <w:t>depletion,</w:t>
            </w:r>
            <w:proofErr w:type="gramEnd"/>
            <w:r w:rsidRPr="00815013">
              <w:rPr>
                <w:rFonts w:cs="Arial"/>
              </w:rPr>
              <w:t xml:space="preserve"> and in 2012 was expected to continue to exceed the CCAMLR catch limits. IUU fishing remains a significant challenge to the sustainable management of CCAMLR fisheries.</w:t>
            </w:r>
          </w:p>
          <w:p w:rsidR="00E44237" w:rsidRDefault="00E44237" w:rsidP="00157A78">
            <w:pPr>
              <w:spacing w:before="60" w:after="60" w:line="240" w:lineRule="auto"/>
              <w:rPr>
                <w:rFonts w:cs="Arial"/>
              </w:rPr>
            </w:pPr>
            <w:r w:rsidRPr="00815013">
              <w:rPr>
                <w:rFonts w:cs="Arial"/>
              </w:rPr>
              <w:t xml:space="preserve">Information on stocks remains </w:t>
            </w:r>
            <w:proofErr w:type="gramStart"/>
            <w:r w:rsidRPr="00815013">
              <w:rPr>
                <w:rFonts w:cs="Arial"/>
              </w:rPr>
              <w:t>limited,</w:t>
            </w:r>
            <w:proofErr w:type="gramEnd"/>
            <w:r w:rsidRPr="00815013">
              <w:rPr>
                <w:rFonts w:cs="Arial"/>
              </w:rPr>
              <w:t xml:space="preserve"> however management arrangements are precautionary and designed to improve understanding of the fisher</w:t>
            </w:r>
            <w:r w:rsidR="004B734E">
              <w:rPr>
                <w:rFonts w:cs="Arial"/>
              </w:rPr>
              <w:t>ies</w:t>
            </w:r>
            <w:r w:rsidRPr="00815013">
              <w:rPr>
                <w:rFonts w:cs="Arial"/>
              </w:rPr>
              <w:t>. CCAMLR do</w:t>
            </w:r>
            <w:r w:rsidR="00B244BD">
              <w:rPr>
                <w:rFonts w:cs="Arial"/>
              </w:rPr>
              <w:t>es</w:t>
            </w:r>
            <w:r w:rsidRPr="00815013">
              <w:rPr>
                <w:rFonts w:cs="Arial"/>
              </w:rPr>
              <w:t xml:space="preserve"> not consider stocks to be below the limit reference point </w:t>
            </w:r>
            <w:r w:rsidR="00B244BD">
              <w:rPr>
                <w:rFonts w:cs="Arial"/>
              </w:rPr>
              <w:t xml:space="preserve">which is set at </w:t>
            </w:r>
            <w:r w:rsidRPr="00815013">
              <w:rPr>
                <w:rFonts w:cs="Arial"/>
              </w:rPr>
              <w:t xml:space="preserve">20% </w:t>
            </w:r>
            <w:r w:rsidR="00B244BD">
              <w:rPr>
                <w:rFonts w:cs="Arial"/>
              </w:rPr>
              <w:t>of the unfished biomass</w:t>
            </w:r>
            <w:r w:rsidRPr="00815013">
              <w:rPr>
                <w:rFonts w:cs="Arial"/>
              </w:rPr>
              <w:t>.</w:t>
            </w:r>
          </w:p>
          <w:p w:rsidR="00534AFF" w:rsidRPr="00815013" w:rsidRDefault="001C6AC3" w:rsidP="00157A78">
            <w:pPr>
              <w:spacing w:before="60" w:after="60" w:line="240" w:lineRule="auto"/>
              <w:rPr>
                <w:rFonts w:cs="Arial"/>
              </w:rPr>
            </w:pPr>
            <w:r>
              <w:rPr>
                <w:rFonts w:cs="Arial"/>
              </w:rPr>
              <w:t>Under CCAMLR arrangements, t</w:t>
            </w:r>
            <w:r w:rsidR="004770D5" w:rsidRPr="00815013">
              <w:rPr>
                <w:rFonts w:cs="Arial"/>
              </w:rPr>
              <w:t>he fisher</w:t>
            </w:r>
            <w:r w:rsidR="004B734E">
              <w:rPr>
                <w:rFonts w:cs="Arial"/>
              </w:rPr>
              <w:t>ies</w:t>
            </w:r>
            <w:r w:rsidR="004770D5" w:rsidRPr="00815013">
              <w:rPr>
                <w:rFonts w:cs="Arial"/>
              </w:rPr>
              <w:t xml:space="preserve"> </w:t>
            </w:r>
            <w:r w:rsidR="00E44237" w:rsidRPr="00815013">
              <w:rPr>
                <w:rFonts w:cs="Arial"/>
              </w:rPr>
              <w:t>will remain</w:t>
            </w:r>
            <w:r w:rsidR="004770D5" w:rsidRPr="00815013">
              <w:rPr>
                <w:rFonts w:cs="Arial"/>
              </w:rPr>
              <w:t xml:space="preserve"> exploratory fisher</w:t>
            </w:r>
            <w:r w:rsidR="004B734E">
              <w:rPr>
                <w:rFonts w:cs="Arial"/>
              </w:rPr>
              <w:t>ies</w:t>
            </w:r>
            <w:r w:rsidR="004770D5" w:rsidRPr="00815013">
              <w:rPr>
                <w:rFonts w:cs="Arial"/>
              </w:rPr>
              <w:t xml:space="preserve"> until sufficient information is available </w:t>
            </w:r>
            <w:r w:rsidR="00E44237" w:rsidRPr="00815013">
              <w:rPr>
                <w:rFonts w:cs="Arial"/>
              </w:rPr>
              <w:t xml:space="preserve">for more robust stock assessments, setting </w:t>
            </w:r>
            <w:r w:rsidR="004770D5" w:rsidRPr="00815013">
              <w:rPr>
                <w:rFonts w:cs="Arial"/>
              </w:rPr>
              <w:t xml:space="preserve">appropriate catch and effort levels and </w:t>
            </w:r>
            <w:r w:rsidR="00E44237" w:rsidRPr="00815013">
              <w:rPr>
                <w:rFonts w:cs="Arial"/>
              </w:rPr>
              <w:t xml:space="preserve">managing </w:t>
            </w:r>
            <w:r w:rsidR="004770D5" w:rsidRPr="00815013">
              <w:rPr>
                <w:rFonts w:cs="Arial"/>
              </w:rPr>
              <w:t>the potential impacts on dependent and related species.</w:t>
            </w:r>
            <w:r w:rsidR="00193B83" w:rsidRPr="00815013">
              <w:rPr>
                <w:rFonts w:cs="Arial"/>
              </w:rPr>
              <w:t xml:space="preserve"> </w:t>
            </w:r>
          </w:p>
        </w:tc>
      </w:tr>
    </w:tbl>
    <w:p w:rsidR="001C6AC3" w:rsidRDefault="001C6AC3">
      <w:r>
        <w:br w:type="page"/>
      </w:r>
    </w:p>
    <w:tbl>
      <w:tblPr>
        <w:tblW w:w="9720"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2484"/>
        <w:gridCol w:w="7236"/>
      </w:tblGrid>
      <w:tr w:rsidR="00534AFF" w:rsidRPr="00815013" w:rsidTr="00CD56A6">
        <w:trPr>
          <w:jc w:val="center"/>
        </w:trPr>
        <w:tc>
          <w:tcPr>
            <w:tcW w:w="2484" w:type="dxa"/>
            <w:tcBorders>
              <w:top w:val="single" w:sz="4" w:space="0" w:color="auto"/>
              <w:left w:val="single" w:sz="4" w:space="0" w:color="auto"/>
              <w:bottom w:val="single" w:sz="4" w:space="0" w:color="auto"/>
              <w:right w:val="single" w:sz="4" w:space="0" w:color="auto"/>
            </w:tcBorders>
          </w:tcPr>
          <w:p w:rsidR="00534AFF" w:rsidRPr="00815013" w:rsidRDefault="00534AFF" w:rsidP="001B08D4">
            <w:pPr>
              <w:spacing w:before="60" w:after="60" w:line="240" w:lineRule="auto"/>
              <w:rPr>
                <w:rFonts w:cs="Arial"/>
                <w:b/>
                <w:snapToGrid w:val="0"/>
              </w:rPr>
            </w:pPr>
            <w:r w:rsidRPr="00815013">
              <w:rPr>
                <w:rFonts w:cs="Arial"/>
                <w:b/>
                <w:snapToGrid w:val="0"/>
              </w:rPr>
              <w:t>Gear</w:t>
            </w:r>
          </w:p>
        </w:tc>
        <w:tc>
          <w:tcPr>
            <w:tcW w:w="7236" w:type="dxa"/>
            <w:tcBorders>
              <w:top w:val="single" w:sz="4" w:space="0" w:color="auto"/>
              <w:left w:val="single" w:sz="4" w:space="0" w:color="auto"/>
              <w:bottom w:val="single" w:sz="4" w:space="0" w:color="auto"/>
              <w:right w:val="single" w:sz="4" w:space="0" w:color="auto"/>
            </w:tcBorders>
          </w:tcPr>
          <w:p w:rsidR="00534AFF" w:rsidRPr="00815013" w:rsidRDefault="00534AFF" w:rsidP="001B08D4">
            <w:pPr>
              <w:spacing w:before="60" w:after="60" w:line="240" w:lineRule="auto"/>
              <w:rPr>
                <w:rFonts w:cs="Arial"/>
              </w:rPr>
            </w:pPr>
            <w:proofErr w:type="spellStart"/>
            <w:r w:rsidRPr="00815013">
              <w:rPr>
                <w:rFonts w:cs="Arial"/>
              </w:rPr>
              <w:t>Demersal</w:t>
            </w:r>
            <w:proofErr w:type="spellEnd"/>
            <w:r w:rsidRPr="00815013">
              <w:rPr>
                <w:rFonts w:cs="Arial"/>
              </w:rPr>
              <w:t xml:space="preserve"> </w:t>
            </w:r>
            <w:proofErr w:type="spellStart"/>
            <w:r w:rsidRPr="00815013">
              <w:rPr>
                <w:rFonts w:cs="Arial"/>
              </w:rPr>
              <w:t>longline</w:t>
            </w:r>
            <w:proofErr w:type="spellEnd"/>
            <w:r w:rsidRPr="00815013">
              <w:rPr>
                <w:rFonts w:cs="Arial"/>
              </w:rPr>
              <w:t xml:space="preserve"> (details are available in the CCAMLR on-line gear library: </w:t>
            </w:r>
            <w:hyperlink r:id="rId28" w:history="1">
              <w:r w:rsidRPr="00815013">
                <w:rPr>
                  <w:rStyle w:val="Hyperlink"/>
                  <w:rFonts w:cs="Arial"/>
                </w:rPr>
                <w:t>http://www.ccamlr.org/en/publications/fishing-gear-library</w:t>
              </w:r>
            </w:hyperlink>
            <w:r w:rsidR="00863D31" w:rsidRPr="00815013">
              <w:rPr>
                <w:rFonts w:cs="Arial"/>
              </w:rPr>
              <w:t>)</w:t>
            </w:r>
            <w:r w:rsidRPr="00815013">
              <w:rPr>
                <w:rFonts w:cs="Arial"/>
              </w:rPr>
              <w:t>.</w:t>
            </w:r>
            <w:r w:rsidR="00204F17" w:rsidRPr="00815013">
              <w:rPr>
                <w:rFonts w:cs="Arial"/>
              </w:rPr>
              <w:t xml:space="preserve"> Additional bycatch mitigation devices are also associated with the gear and are prescribed through CCAMLR </w:t>
            </w:r>
            <w:r w:rsidR="00456967">
              <w:rPr>
                <w:rFonts w:cs="Arial"/>
              </w:rPr>
              <w:t>conservation measure</w:t>
            </w:r>
            <w:r w:rsidR="00204F17" w:rsidRPr="00815013">
              <w:rPr>
                <w:rFonts w:cs="Arial"/>
              </w:rPr>
              <w:t xml:space="preserve">s </w:t>
            </w:r>
            <w:r w:rsidR="00C329D3">
              <w:rPr>
                <w:rFonts w:cs="Arial"/>
              </w:rPr>
              <w:t xml:space="preserve">(CMs) </w:t>
            </w:r>
            <w:r w:rsidR="00204F17" w:rsidRPr="00815013">
              <w:rPr>
                <w:rFonts w:cs="Arial"/>
              </w:rPr>
              <w:t xml:space="preserve">and conditions on permits issued by </w:t>
            </w:r>
            <w:r w:rsidR="00F431DB">
              <w:rPr>
                <w:rFonts w:cs="Arial"/>
              </w:rPr>
              <w:t>the Australian Fisheries Management Authority (</w:t>
            </w:r>
            <w:r w:rsidR="00204F17" w:rsidRPr="00815013">
              <w:rPr>
                <w:rFonts w:cs="Arial"/>
              </w:rPr>
              <w:t>AFMA</w:t>
            </w:r>
            <w:r w:rsidR="00F431DB">
              <w:rPr>
                <w:rFonts w:cs="Arial"/>
              </w:rPr>
              <w:t>)</w:t>
            </w:r>
            <w:r w:rsidR="00204F17" w:rsidRPr="00815013">
              <w:rPr>
                <w:rFonts w:cs="Arial"/>
              </w:rPr>
              <w:t>.</w:t>
            </w:r>
          </w:p>
        </w:tc>
      </w:tr>
      <w:tr w:rsidR="00534AFF" w:rsidRPr="00815013" w:rsidTr="00CD56A6">
        <w:trPr>
          <w:jc w:val="center"/>
        </w:trPr>
        <w:tc>
          <w:tcPr>
            <w:tcW w:w="2484" w:type="dxa"/>
            <w:tcBorders>
              <w:top w:val="single" w:sz="4" w:space="0" w:color="auto"/>
              <w:left w:val="single" w:sz="4" w:space="0" w:color="auto"/>
              <w:bottom w:val="single" w:sz="4" w:space="0" w:color="auto"/>
              <w:right w:val="single" w:sz="4" w:space="0" w:color="auto"/>
            </w:tcBorders>
          </w:tcPr>
          <w:p w:rsidR="00534AFF" w:rsidRPr="00815013" w:rsidRDefault="00534AFF" w:rsidP="001B08D4">
            <w:pPr>
              <w:spacing w:before="60" w:after="60" w:line="240" w:lineRule="auto"/>
              <w:rPr>
                <w:rFonts w:cs="Arial"/>
                <w:b/>
                <w:snapToGrid w:val="0"/>
              </w:rPr>
            </w:pPr>
            <w:r w:rsidRPr="00815013">
              <w:rPr>
                <w:rFonts w:cs="Arial"/>
                <w:b/>
                <w:snapToGrid w:val="0"/>
              </w:rPr>
              <w:t>Season</w:t>
            </w:r>
          </w:p>
        </w:tc>
        <w:tc>
          <w:tcPr>
            <w:tcW w:w="7236" w:type="dxa"/>
            <w:tcBorders>
              <w:top w:val="single" w:sz="4" w:space="0" w:color="auto"/>
              <w:left w:val="single" w:sz="4" w:space="0" w:color="auto"/>
              <w:bottom w:val="single" w:sz="4" w:space="0" w:color="auto"/>
              <w:right w:val="single" w:sz="4" w:space="0" w:color="auto"/>
            </w:tcBorders>
          </w:tcPr>
          <w:p w:rsidR="00F431DB" w:rsidRDefault="00534AFF" w:rsidP="001B08D4">
            <w:pPr>
              <w:spacing w:before="60" w:after="60" w:line="240" w:lineRule="auto"/>
              <w:rPr>
                <w:rFonts w:cs="Arial"/>
              </w:rPr>
            </w:pPr>
            <w:r w:rsidRPr="00815013">
              <w:rPr>
                <w:rFonts w:cs="Arial"/>
              </w:rPr>
              <w:t xml:space="preserve">The annual fishing season for each </w:t>
            </w:r>
            <w:r w:rsidR="00915CF2" w:rsidRPr="00815013">
              <w:rPr>
                <w:rFonts w:cs="Arial"/>
              </w:rPr>
              <w:t>s</w:t>
            </w:r>
            <w:r w:rsidRPr="00815013">
              <w:rPr>
                <w:rFonts w:cs="Arial"/>
              </w:rPr>
              <w:t>ub</w:t>
            </w:r>
            <w:r w:rsidR="00915CF2" w:rsidRPr="00815013">
              <w:rPr>
                <w:rFonts w:cs="Arial"/>
              </w:rPr>
              <w:t>-</w:t>
            </w:r>
            <w:r w:rsidRPr="00815013">
              <w:rPr>
                <w:rFonts w:cs="Arial"/>
              </w:rPr>
              <w:t xml:space="preserve">area is defined in </w:t>
            </w:r>
            <w:hyperlink r:id="rId29" w:history="1">
              <w:r w:rsidRPr="00F431DB">
                <w:rPr>
                  <w:rStyle w:val="Hyperlink"/>
                  <w:rFonts w:cs="Arial"/>
                </w:rPr>
                <w:t>C</w:t>
              </w:r>
              <w:r w:rsidR="00C329D3">
                <w:rPr>
                  <w:rStyle w:val="Hyperlink"/>
                  <w:rFonts w:cs="Arial"/>
                </w:rPr>
                <w:t>M</w:t>
              </w:r>
              <w:r w:rsidR="00F431DB" w:rsidRPr="00F431DB">
                <w:rPr>
                  <w:rStyle w:val="Hyperlink"/>
                  <w:rFonts w:cs="Arial"/>
                </w:rPr>
                <w:t xml:space="preserve"> 32-01</w:t>
              </w:r>
            </w:hyperlink>
            <w:r w:rsidRPr="00815013">
              <w:rPr>
                <w:rFonts w:cs="Arial"/>
              </w:rPr>
              <w:t>.</w:t>
            </w:r>
            <w:r w:rsidR="00C123FE" w:rsidRPr="00815013">
              <w:rPr>
                <w:rFonts w:cs="Arial"/>
              </w:rPr>
              <w:t xml:space="preserve"> </w:t>
            </w:r>
            <w:r w:rsidR="00F431DB">
              <w:rPr>
                <w:rFonts w:cs="Arial"/>
              </w:rPr>
              <w:t xml:space="preserve">In 2015-16 this is 1 December to 30 November for all CCAMLR Areas. </w:t>
            </w:r>
          </w:p>
          <w:p w:rsidR="00534AFF" w:rsidRPr="00815013" w:rsidRDefault="00F431DB" w:rsidP="008E7F0C">
            <w:pPr>
              <w:spacing w:before="60" w:after="60" w:line="240" w:lineRule="auto"/>
              <w:rPr>
                <w:rFonts w:cs="Arial"/>
              </w:rPr>
            </w:pPr>
            <w:r>
              <w:rPr>
                <w:rFonts w:cs="Arial"/>
              </w:rPr>
              <w:t>F</w:t>
            </w:r>
            <w:r w:rsidR="00534AFF" w:rsidRPr="00815013">
              <w:rPr>
                <w:rFonts w:cs="Arial"/>
              </w:rPr>
              <w:t>ishing typically begins in December following the sea ice breakup and ends between January and May, depending on ice conditions.</w:t>
            </w:r>
          </w:p>
        </w:tc>
      </w:tr>
      <w:tr w:rsidR="00B6012C" w:rsidRPr="00815013" w:rsidTr="00CD56A6">
        <w:trPr>
          <w:jc w:val="center"/>
        </w:trPr>
        <w:tc>
          <w:tcPr>
            <w:tcW w:w="2484" w:type="dxa"/>
            <w:tcBorders>
              <w:top w:val="single" w:sz="4" w:space="0" w:color="auto"/>
              <w:left w:val="single" w:sz="4" w:space="0" w:color="auto"/>
              <w:bottom w:val="single" w:sz="4" w:space="0" w:color="auto"/>
              <w:right w:val="single" w:sz="4" w:space="0" w:color="auto"/>
            </w:tcBorders>
          </w:tcPr>
          <w:p w:rsidR="00B6012C" w:rsidRPr="00815013" w:rsidRDefault="00B6012C" w:rsidP="001B08D4">
            <w:pPr>
              <w:spacing w:before="60" w:after="60" w:line="240" w:lineRule="auto"/>
              <w:rPr>
                <w:rFonts w:cs="Arial"/>
                <w:b/>
                <w:snapToGrid w:val="0"/>
              </w:rPr>
            </w:pPr>
            <w:r w:rsidRPr="00815013">
              <w:rPr>
                <w:rFonts w:cs="Arial"/>
                <w:b/>
                <w:snapToGrid w:val="0"/>
              </w:rPr>
              <w:t xml:space="preserve">Commercial harvest </w:t>
            </w:r>
          </w:p>
        </w:tc>
        <w:tc>
          <w:tcPr>
            <w:tcW w:w="7236" w:type="dxa"/>
            <w:tcBorders>
              <w:top w:val="single" w:sz="4" w:space="0" w:color="auto"/>
              <w:left w:val="single" w:sz="4" w:space="0" w:color="auto"/>
              <w:bottom w:val="single" w:sz="4" w:space="0" w:color="auto"/>
              <w:right w:val="single" w:sz="4" w:space="0" w:color="auto"/>
            </w:tcBorders>
          </w:tcPr>
          <w:p w:rsidR="00FF1DDA" w:rsidRDefault="00332423" w:rsidP="00FF1DDA">
            <w:pPr>
              <w:spacing w:before="60" w:after="60" w:line="240" w:lineRule="auto"/>
              <w:rPr>
                <w:rFonts w:cs="Arial"/>
              </w:rPr>
            </w:pPr>
            <w:r>
              <w:rPr>
                <w:rFonts w:cs="Arial"/>
              </w:rPr>
              <w:t xml:space="preserve">Over the past three seasons the total </w:t>
            </w:r>
            <w:proofErr w:type="spellStart"/>
            <w:r>
              <w:rPr>
                <w:rFonts w:cs="Arial"/>
              </w:rPr>
              <w:t>toothfish</w:t>
            </w:r>
            <w:proofErr w:type="spellEnd"/>
            <w:r>
              <w:rPr>
                <w:rFonts w:cs="Arial"/>
              </w:rPr>
              <w:t xml:space="preserve"> catch from Division 58.4.1 has ranged between 48 and 157 t. In 2014-15 it was 100 t. In Division 58.4.2, </w:t>
            </w:r>
            <w:r w:rsidR="005A7B02">
              <w:rPr>
                <w:rFonts w:cs="Arial"/>
              </w:rPr>
              <w:t xml:space="preserve">catch ranged from 4-54 tonnes. No </w:t>
            </w:r>
            <w:r>
              <w:rPr>
                <w:rFonts w:cs="Arial"/>
              </w:rPr>
              <w:t>catch</w:t>
            </w:r>
            <w:r w:rsidR="005A7B02">
              <w:rPr>
                <w:rFonts w:cs="Arial"/>
              </w:rPr>
              <w:t xml:space="preserve"> was reported for 2014-15 in this Division.</w:t>
            </w:r>
          </w:p>
          <w:p w:rsidR="00FF1DDA" w:rsidRDefault="00A30DEE" w:rsidP="00FF1DDA">
            <w:pPr>
              <w:spacing w:before="60" w:after="60" w:line="240" w:lineRule="auto"/>
              <w:rPr>
                <w:rFonts w:cs="Arial"/>
              </w:rPr>
            </w:pPr>
            <w:r>
              <w:rPr>
                <w:rFonts w:cs="Arial"/>
              </w:rPr>
              <w:t xml:space="preserve">Historic catch </w:t>
            </w:r>
            <w:r w:rsidR="006C341E">
              <w:rPr>
                <w:rFonts w:cs="Arial"/>
              </w:rPr>
              <w:t xml:space="preserve">has </w:t>
            </w:r>
            <w:r w:rsidR="005A7B02">
              <w:rPr>
                <w:rFonts w:cs="Arial"/>
              </w:rPr>
              <w:t xml:space="preserve">almost exclusively comprised of Antarctic </w:t>
            </w:r>
            <w:proofErr w:type="spellStart"/>
            <w:r w:rsidR="005A7B02">
              <w:rPr>
                <w:rFonts w:cs="Arial"/>
              </w:rPr>
              <w:t>toothfish</w:t>
            </w:r>
            <w:proofErr w:type="spellEnd"/>
            <w:r w:rsidR="005A7B02">
              <w:rPr>
                <w:rFonts w:cs="Arial"/>
              </w:rPr>
              <w:t xml:space="preserve">, with very little Patagonian </w:t>
            </w:r>
            <w:proofErr w:type="spellStart"/>
            <w:r w:rsidR="005A7B02">
              <w:rPr>
                <w:rFonts w:cs="Arial"/>
              </w:rPr>
              <w:t>toothfish</w:t>
            </w:r>
            <w:proofErr w:type="spellEnd"/>
            <w:r w:rsidR="005A7B02">
              <w:rPr>
                <w:rFonts w:cs="Arial"/>
              </w:rPr>
              <w:t xml:space="preserve"> reported from either </w:t>
            </w:r>
            <w:r w:rsidR="006C341E">
              <w:rPr>
                <w:rFonts w:cs="Arial"/>
              </w:rPr>
              <w:t>Division</w:t>
            </w:r>
            <w:r w:rsidR="005A7B02">
              <w:rPr>
                <w:rFonts w:cs="Arial"/>
              </w:rPr>
              <w:t>.</w:t>
            </w:r>
          </w:p>
          <w:p w:rsidR="00FF1DDA" w:rsidRDefault="00332423" w:rsidP="00FF1DDA">
            <w:pPr>
              <w:spacing w:before="60" w:after="60" w:line="240" w:lineRule="auto"/>
              <w:rPr>
                <w:rFonts w:cs="Arial"/>
              </w:rPr>
            </w:pPr>
            <w:r>
              <w:rPr>
                <w:rFonts w:cs="Arial"/>
              </w:rPr>
              <w:t>C</w:t>
            </w:r>
            <w:r w:rsidRPr="00815013">
              <w:rPr>
                <w:rFonts w:cs="Arial"/>
              </w:rPr>
              <w:t xml:space="preserve">atch limits for the 2015-16 fishing season </w:t>
            </w:r>
            <w:r>
              <w:rPr>
                <w:rFonts w:cs="Arial"/>
              </w:rPr>
              <w:t xml:space="preserve">are </w:t>
            </w:r>
            <w:r w:rsidRPr="00815013">
              <w:rPr>
                <w:rFonts w:cs="Arial"/>
              </w:rPr>
              <w:t xml:space="preserve">set at 660 </w:t>
            </w:r>
            <w:r>
              <w:rPr>
                <w:rFonts w:cs="Arial"/>
              </w:rPr>
              <w:t>t</w:t>
            </w:r>
            <w:r w:rsidRPr="00815013">
              <w:rPr>
                <w:rFonts w:cs="Arial"/>
              </w:rPr>
              <w:t xml:space="preserve"> (total </w:t>
            </w:r>
            <w:proofErr w:type="spellStart"/>
            <w:r w:rsidRPr="00AF4690">
              <w:rPr>
                <w:rFonts w:cs="Arial"/>
              </w:rPr>
              <w:t>toothfish</w:t>
            </w:r>
            <w:proofErr w:type="spellEnd"/>
            <w:r>
              <w:rPr>
                <w:rFonts w:cs="Arial"/>
              </w:rPr>
              <w:t xml:space="preserve">) for Division 58.4.1 and 35 </w:t>
            </w:r>
            <w:r w:rsidRPr="00815013">
              <w:rPr>
                <w:rFonts w:cs="Arial"/>
              </w:rPr>
              <w:t xml:space="preserve">t for Division 58.4.2. These limits are defined in </w:t>
            </w:r>
            <w:hyperlink r:id="rId30" w:history="1">
              <w:r w:rsidRPr="00C329D3">
                <w:rPr>
                  <w:rStyle w:val="Hyperlink"/>
                  <w:rFonts w:cs="Arial"/>
                </w:rPr>
                <w:t>CM 41-11</w:t>
              </w:r>
            </w:hyperlink>
            <w:r w:rsidRPr="00815013">
              <w:rPr>
                <w:rFonts w:cs="Arial"/>
              </w:rPr>
              <w:t xml:space="preserve"> and </w:t>
            </w:r>
            <w:hyperlink r:id="rId31" w:history="1">
              <w:r w:rsidRPr="00C329D3">
                <w:rPr>
                  <w:rStyle w:val="Hyperlink"/>
                  <w:rFonts w:cs="Arial"/>
                </w:rPr>
                <w:t>CM 41-05</w:t>
              </w:r>
            </w:hyperlink>
            <w:r w:rsidRPr="00815013">
              <w:rPr>
                <w:rFonts w:cs="Arial"/>
              </w:rPr>
              <w:t xml:space="preserve"> respectively.</w:t>
            </w:r>
          </w:p>
          <w:p w:rsidR="00FF1DDA" w:rsidRDefault="005A7B02" w:rsidP="00FF1DDA">
            <w:pPr>
              <w:spacing w:before="60" w:after="60" w:line="240" w:lineRule="auto"/>
              <w:rPr>
                <w:rFonts w:cs="Arial"/>
              </w:rPr>
            </w:pPr>
            <w:r>
              <w:rPr>
                <w:rFonts w:cs="Arial"/>
              </w:rPr>
              <w:t>Catches vary considerably and appear to reflect changes in fishery participation rather than stock abundance (Figu</w:t>
            </w:r>
            <w:r w:rsidR="006C341E">
              <w:rPr>
                <w:rFonts w:cs="Arial"/>
              </w:rPr>
              <w:t>r</w:t>
            </w:r>
            <w:r>
              <w:rPr>
                <w:rFonts w:cs="Arial"/>
              </w:rPr>
              <w:t xml:space="preserve">e 3). </w:t>
            </w:r>
          </w:p>
          <w:p w:rsidR="001A569F" w:rsidRPr="00815013" w:rsidRDefault="00332423" w:rsidP="00157A78">
            <w:pPr>
              <w:spacing w:before="60" w:after="60" w:line="240" w:lineRule="auto"/>
              <w:jc w:val="both"/>
              <w:rPr>
                <w:rFonts w:cs="Arial"/>
              </w:rPr>
            </w:pPr>
            <w:r w:rsidRPr="00332423">
              <w:rPr>
                <w:rFonts w:cs="Arial"/>
                <w:noProof/>
                <w:lang w:eastAsia="en-AU"/>
              </w:rPr>
              <w:drawing>
                <wp:inline distT="0" distB="0" distL="0" distR="0">
                  <wp:extent cx="4572000" cy="2743200"/>
                  <wp:effectExtent l="19050" t="0" r="19050" b="0"/>
                  <wp:docPr id="7"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r>
              <w:rPr>
                <w:rFonts w:cs="Arial"/>
              </w:rPr>
              <w:t xml:space="preserve">Figure 3. Reported catch of </w:t>
            </w:r>
            <w:proofErr w:type="spellStart"/>
            <w:r>
              <w:rPr>
                <w:rFonts w:cs="Arial"/>
              </w:rPr>
              <w:t>toothfish</w:t>
            </w:r>
            <w:proofErr w:type="spellEnd"/>
            <w:r>
              <w:rPr>
                <w:rFonts w:cs="Arial"/>
              </w:rPr>
              <w:t xml:space="preserve"> from Divisions 58.4.1 and 58.4.2. (</w:t>
            </w:r>
            <w:r w:rsidRPr="00332423">
              <w:rPr>
                <w:rFonts w:cs="Arial"/>
                <w:i/>
              </w:rPr>
              <w:t>Source</w:t>
            </w:r>
            <w:r w:rsidR="00CA32E0">
              <w:rPr>
                <w:rFonts w:cs="Arial"/>
                <w:i/>
              </w:rPr>
              <w:t xml:space="preserve"> data derived from</w:t>
            </w:r>
            <w:r w:rsidRPr="00332423">
              <w:rPr>
                <w:rFonts w:cs="Arial"/>
                <w:i/>
              </w:rPr>
              <w:t xml:space="preserve"> </w:t>
            </w:r>
            <w:hyperlink r:id="rId33" w:history="1">
              <w:r w:rsidRPr="00447C82">
                <w:rPr>
                  <w:rStyle w:val="Hyperlink"/>
                  <w:rFonts w:cs="Arial"/>
                  <w:i/>
                </w:rPr>
                <w:t>CCAMLR Fishery Reports 2014</w:t>
              </w:r>
            </w:hyperlink>
            <w:r>
              <w:rPr>
                <w:rFonts w:cs="Arial"/>
              </w:rPr>
              <w:t>)</w:t>
            </w:r>
            <w:r w:rsidR="00CA32E0">
              <w:rPr>
                <w:rFonts w:cs="Arial"/>
              </w:rPr>
              <w:t>.</w:t>
            </w:r>
            <w:r w:rsidR="007047D3">
              <w:rPr>
                <w:rFonts w:cs="Arial"/>
              </w:rPr>
              <w:br/>
            </w:r>
            <w:r w:rsidR="00FF1DDA" w:rsidRPr="00FF1DDA">
              <w:rPr>
                <w:rFonts w:cs="Arial"/>
                <w:i/>
              </w:rPr>
              <w:t>Note years 2007, 2009, 2010 and 2011 do not include catch data quarantined by CCAMLR due to lack of confidence in the location and/or quantity of the take.</w:t>
            </w:r>
            <w:r w:rsidR="007047D3">
              <w:rPr>
                <w:rFonts w:cs="Arial"/>
                <w:i/>
              </w:rPr>
              <w:t xml:space="preserve"> </w:t>
            </w:r>
            <w:r w:rsidR="00157A78">
              <w:rPr>
                <w:rFonts w:cs="Arial"/>
                <w:i/>
              </w:rPr>
              <w:t xml:space="preserve">These </w:t>
            </w:r>
            <w:r w:rsidR="007047D3" w:rsidRPr="007047D3">
              <w:rPr>
                <w:rFonts w:cs="Arial"/>
                <w:i/>
              </w:rPr>
              <w:t>catch figures range</w:t>
            </w:r>
            <w:r w:rsidR="00157A78">
              <w:rPr>
                <w:rFonts w:cs="Arial"/>
                <w:i/>
              </w:rPr>
              <w:t xml:space="preserve"> </w:t>
            </w:r>
            <w:r w:rsidR="007047D3" w:rsidRPr="007047D3">
              <w:rPr>
                <w:rFonts w:cs="Arial"/>
                <w:i/>
              </w:rPr>
              <w:t>between 47 and 136 tonnes</w:t>
            </w:r>
            <w:r w:rsidR="007047D3">
              <w:rPr>
                <w:rFonts w:cs="Arial"/>
                <w:i/>
              </w:rPr>
              <w:t xml:space="preserve"> per Division per year</w:t>
            </w:r>
            <w:r w:rsidR="00157A78">
              <w:rPr>
                <w:rFonts w:cs="Arial"/>
                <w:i/>
              </w:rPr>
              <w:t xml:space="preserve"> and are detailed in the CCAMLR Fishery Reports</w:t>
            </w:r>
            <w:r w:rsidR="007047D3">
              <w:rPr>
                <w:rFonts w:cs="Arial"/>
                <w:i/>
              </w:rPr>
              <w:t>.</w:t>
            </w:r>
          </w:p>
        </w:tc>
      </w:tr>
      <w:tr w:rsidR="00B6012C" w:rsidRPr="00815013" w:rsidTr="00CD56A6">
        <w:trPr>
          <w:jc w:val="center"/>
        </w:trPr>
        <w:tc>
          <w:tcPr>
            <w:tcW w:w="2484" w:type="dxa"/>
            <w:tcBorders>
              <w:top w:val="single" w:sz="4" w:space="0" w:color="auto"/>
              <w:left w:val="single" w:sz="4" w:space="0" w:color="auto"/>
              <w:bottom w:val="single" w:sz="4" w:space="0" w:color="auto"/>
              <w:right w:val="single" w:sz="4" w:space="0" w:color="auto"/>
            </w:tcBorders>
          </w:tcPr>
          <w:p w:rsidR="00B6012C" w:rsidRPr="00815013" w:rsidRDefault="00B6012C" w:rsidP="001B08D4">
            <w:pPr>
              <w:spacing w:before="60" w:after="60" w:line="240" w:lineRule="auto"/>
              <w:rPr>
                <w:rFonts w:cs="Arial"/>
                <w:b/>
                <w:snapToGrid w:val="0"/>
              </w:rPr>
            </w:pPr>
            <w:r w:rsidRPr="00815013">
              <w:rPr>
                <w:rFonts w:cs="Arial"/>
                <w:b/>
                <w:snapToGrid w:val="0"/>
              </w:rPr>
              <w:t xml:space="preserve">Value of commercial harvest </w:t>
            </w:r>
          </w:p>
        </w:tc>
        <w:tc>
          <w:tcPr>
            <w:tcW w:w="7236" w:type="dxa"/>
            <w:tcBorders>
              <w:top w:val="single" w:sz="4" w:space="0" w:color="auto"/>
              <w:left w:val="single" w:sz="4" w:space="0" w:color="auto"/>
              <w:bottom w:val="single" w:sz="4" w:space="0" w:color="auto"/>
              <w:right w:val="single" w:sz="4" w:space="0" w:color="auto"/>
            </w:tcBorders>
          </w:tcPr>
          <w:p w:rsidR="00B6012C" w:rsidRPr="00815013" w:rsidRDefault="00B3529E" w:rsidP="002D558E">
            <w:pPr>
              <w:spacing w:before="60" w:after="60" w:line="240" w:lineRule="auto"/>
              <w:rPr>
                <w:rFonts w:cs="Arial"/>
                <w:snapToGrid w:val="0"/>
                <w:color w:val="3366FF"/>
              </w:rPr>
            </w:pPr>
            <w:r w:rsidRPr="00815013">
              <w:rPr>
                <w:rFonts w:cs="Arial"/>
              </w:rPr>
              <w:t>Information on the potentia</w:t>
            </w:r>
            <w:r w:rsidR="002D558E">
              <w:rPr>
                <w:rFonts w:cs="Arial"/>
              </w:rPr>
              <w:t>l value of commercial harvest i</w:t>
            </w:r>
            <w:r w:rsidRPr="00815013">
              <w:rPr>
                <w:rFonts w:cs="Arial"/>
              </w:rPr>
              <w:t>s not available.</w:t>
            </w:r>
            <w:r w:rsidR="009A3C99" w:rsidRPr="00815013">
              <w:rPr>
                <w:rFonts w:cs="Arial"/>
              </w:rPr>
              <w:t xml:space="preserve"> Historic information </w:t>
            </w:r>
            <w:r w:rsidR="002D558E">
              <w:rPr>
                <w:rFonts w:cs="Arial"/>
              </w:rPr>
              <w:t>i</w:t>
            </w:r>
            <w:r w:rsidR="009A3C99" w:rsidRPr="00815013">
              <w:rPr>
                <w:rFonts w:cs="Arial"/>
              </w:rPr>
              <w:t>s also confidential due to the small number of operators participating in the fisher</w:t>
            </w:r>
            <w:r w:rsidR="004B734E">
              <w:rPr>
                <w:rFonts w:cs="Arial"/>
              </w:rPr>
              <w:t>ies</w:t>
            </w:r>
            <w:r w:rsidR="009A3C99" w:rsidRPr="00815013">
              <w:rPr>
                <w:rFonts w:cs="Arial"/>
              </w:rPr>
              <w:t>.</w:t>
            </w:r>
          </w:p>
        </w:tc>
      </w:tr>
      <w:tr w:rsidR="00B6012C" w:rsidRPr="00815013" w:rsidTr="00CD56A6">
        <w:trPr>
          <w:jc w:val="center"/>
        </w:trPr>
        <w:tc>
          <w:tcPr>
            <w:tcW w:w="2484" w:type="dxa"/>
            <w:tcBorders>
              <w:top w:val="single" w:sz="4" w:space="0" w:color="auto"/>
              <w:left w:val="single" w:sz="4" w:space="0" w:color="auto"/>
              <w:bottom w:val="single" w:sz="4" w:space="0" w:color="auto"/>
              <w:right w:val="single" w:sz="4" w:space="0" w:color="auto"/>
            </w:tcBorders>
          </w:tcPr>
          <w:p w:rsidR="00B6012C" w:rsidRPr="00815013" w:rsidRDefault="00B6012C" w:rsidP="001B08D4">
            <w:pPr>
              <w:spacing w:before="60" w:after="60" w:line="240" w:lineRule="auto"/>
              <w:rPr>
                <w:rFonts w:cs="Arial"/>
                <w:b/>
                <w:snapToGrid w:val="0"/>
              </w:rPr>
            </w:pPr>
            <w:r w:rsidRPr="00815013">
              <w:rPr>
                <w:rFonts w:cs="Arial"/>
                <w:b/>
                <w:snapToGrid w:val="0"/>
              </w:rPr>
              <w:t xml:space="preserve">Take by other sectors </w:t>
            </w:r>
          </w:p>
        </w:tc>
        <w:tc>
          <w:tcPr>
            <w:tcW w:w="7236" w:type="dxa"/>
            <w:tcBorders>
              <w:top w:val="single" w:sz="4" w:space="0" w:color="auto"/>
              <w:left w:val="single" w:sz="4" w:space="0" w:color="auto"/>
              <w:bottom w:val="single" w:sz="4" w:space="0" w:color="auto"/>
              <w:right w:val="single" w:sz="4" w:space="0" w:color="auto"/>
            </w:tcBorders>
          </w:tcPr>
          <w:p w:rsidR="00FF1DDA" w:rsidRDefault="00AF4690" w:rsidP="00FF1DDA">
            <w:pPr>
              <w:spacing w:before="60" w:after="60" w:line="240" w:lineRule="auto"/>
              <w:rPr>
                <w:rFonts w:cs="Arial"/>
              </w:rPr>
            </w:pPr>
            <w:proofErr w:type="spellStart"/>
            <w:r>
              <w:rPr>
                <w:rFonts w:cs="Arial"/>
              </w:rPr>
              <w:t>Toothfish</w:t>
            </w:r>
            <w:proofErr w:type="spellEnd"/>
            <w:r w:rsidR="00D85C12" w:rsidRPr="00815013">
              <w:rPr>
                <w:rFonts w:cs="Arial"/>
              </w:rPr>
              <w:t xml:space="preserve"> are taken </w:t>
            </w:r>
            <w:r w:rsidR="0096492B">
              <w:rPr>
                <w:rFonts w:cs="Arial"/>
              </w:rPr>
              <w:t>by</w:t>
            </w:r>
            <w:r w:rsidR="00D85C12" w:rsidRPr="00815013">
              <w:rPr>
                <w:rFonts w:cs="Arial"/>
              </w:rPr>
              <w:t xml:space="preserve"> fisheries</w:t>
            </w:r>
            <w:r w:rsidR="0096492B">
              <w:rPr>
                <w:rFonts w:cs="Arial"/>
              </w:rPr>
              <w:t xml:space="preserve"> in other areas, h</w:t>
            </w:r>
            <w:r w:rsidR="00D85C12" w:rsidRPr="00815013">
              <w:rPr>
                <w:rFonts w:cs="Arial"/>
              </w:rPr>
              <w:t xml:space="preserve">owever the stocks in these </w:t>
            </w:r>
            <w:r w:rsidR="0096492B">
              <w:rPr>
                <w:rFonts w:cs="Arial"/>
              </w:rPr>
              <w:t xml:space="preserve">other </w:t>
            </w:r>
            <w:r w:rsidR="00D85C12" w:rsidRPr="00815013">
              <w:rPr>
                <w:rFonts w:cs="Arial"/>
              </w:rPr>
              <w:t xml:space="preserve">fisheries are considered </w:t>
            </w:r>
            <w:r w:rsidR="0096492B">
              <w:rPr>
                <w:rFonts w:cs="Arial"/>
              </w:rPr>
              <w:t xml:space="preserve">separate </w:t>
            </w:r>
            <w:r w:rsidR="00D85C12" w:rsidRPr="00815013">
              <w:rPr>
                <w:rFonts w:cs="Arial"/>
              </w:rPr>
              <w:t xml:space="preserve">to </w:t>
            </w:r>
            <w:r w:rsidR="0096492B">
              <w:rPr>
                <w:rFonts w:cs="Arial"/>
              </w:rPr>
              <w:t xml:space="preserve">those </w:t>
            </w:r>
            <w:r w:rsidR="00D85C12" w:rsidRPr="00815013">
              <w:rPr>
                <w:rFonts w:cs="Arial"/>
              </w:rPr>
              <w:t>in Divisions 58.4.1 and 58.4.2.</w:t>
            </w:r>
          </w:p>
          <w:p w:rsidR="00FF1DDA" w:rsidRDefault="00232B76" w:rsidP="00FF1DDA">
            <w:pPr>
              <w:spacing w:before="60" w:after="60" w:line="240" w:lineRule="auto"/>
              <w:rPr>
                <w:rFonts w:cs="Arial"/>
              </w:rPr>
            </w:pPr>
            <w:r w:rsidRPr="00815013">
              <w:rPr>
                <w:rFonts w:cs="Arial"/>
              </w:rPr>
              <w:t>Removals from the fisher</w:t>
            </w:r>
            <w:r w:rsidR="004B734E">
              <w:rPr>
                <w:rFonts w:cs="Arial"/>
              </w:rPr>
              <w:t>ies</w:t>
            </w:r>
            <w:r w:rsidRPr="00815013">
              <w:rPr>
                <w:rFonts w:cs="Arial"/>
              </w:rPr>
              <w:t xml:space="preserve"> </w:t>
            </w:r>
            <w:r w:rsidR="0096492B">
              <w:rPr>
                <w:rFonts w:cs="Arial"/>
              </w:rPr>
              <w:t xml:space="preserve">by the commercial sector </w:t>
            </w:r>
            <w:r w:rsidRPr="00815013">
              <w:rPr>
                <w:rFonts w:cs="Arial"/>
              </w:rPr>
              <w:t>are highly regulated</w:t>
            </w:r>
            <w:r w:rsidR="0096492B">
              <w:rPr>
                <w:rFonts w:cs="Arial"/>
              </w:rPr>
              <w:t xml:space="preserve">. There is </w:t>
            </w:r>
            <w:r w:rsidRPr="00815013">
              <w:rPr>
                <w:rFonts w:cs="Arial"/>
              </w:rPr>
              <w:t>no recreational or indigenous catch</w:t>
            </w:r>
            <w:r w:rsidR="0096492B">
              <w:rPr>
                <w:rFonts w:cs="Arial"/>
              </w:rPr>
              <w:t xml:space="preserve"> given the remote location of the fisher</w:t>
            </w:r>
            <w:r w:rsidR="004B734E">
              <w:rPr>
                <w:rFonts w:cs="Arial"/>
              </w:rPr>
              <w:t>ies</w:t>
            </w:r>
            <w:r w:rsidRPr="00815013">
              <w:rPr>
                <w:rFonts w:cs="Arial"/>
              </w:rPr>
              <w:t xml:space="preserve">. CCAMLR and its Members actively monitor and manage IUU fishing, and consider its potential impact each year when setting </w:t>
            </w:r>
            <w:r w:rsidR="00C329D3">
              <w:rPr>
                <w:rFonts w:cs="Arial"/>
              </w:rPr>
              <w:t>CMs</w:t>
            </w:r>
            <w:r w:rsidRPr="00815013">
              <w:rPr>
                <w:rFonts w:cs="Arial"/>
              </w:rPr>
              <w:t>, including catch limits.</w:t>
            </w:r>
          </w:p>
          <w:p w:rsidR="002857B8" w:rsidRDefault="00232B76">
            <w:pPr>
              <w:spacing w:before="60" w:after="60" w:line="240" w:lineRule="auto"/>
              <w:rPr>
                <w:rFonts w:cs="Arial"/>
              </w:rPr>
            </w:pPr>
            <w:r w:rsidRPr="00815013">
              <w:rPr>
                <w:rFonts w:cs="Arial"/>
              </w:rPr>
              <w:t xml:space="preserve">IUU catch in 2015 </w:t>
            </w:r>
            <w:r w:rsidR="00B5615D">
              <w:rPr>
                <w:rFonts w:cs="Arial"/>
              </w:rPr>
              <w:t xml:space="preserve">was estimated to be </w:t>
            </w:r>
            <w:r w:rsidR="00B5615D" w:rsidRPr="00815013">
              <w:rPr>
                <w:rFonts w:cs="Arial"/>
              </w:rPr>
              <w:t xml:space="preserve">between 1264 </w:t>
            </w:r>
            <w:r w:rsidR="00B5615D">
              <w:rPr>
                <w:rFonts w:cs="Arial"/>
              </w:rPr>
              <w:t xml:space="preserve">t </w:t>
            </w:r>
            <w:r w:rsidR="00B5615D" w:rsidRPr="00815013">
              <w:rPr>
                <w:rFonts w:cs="Arial"/>
              </w:rPr>
              <w:t>and 1500 t</w:t>
            </w:r>
            <w:r w:rsidR="00B5615D">
              <w:rPr>
                <w:rFonts w:cs="Arial"/>
              </w:rPr>
              <w:t>,</w:t>
            </w:r>
            <w:r w:rsidR="00B5615D" w:rsidRPr="00815013">
              <w:rPr>
                <w:rFonts w:cs="Arial"/>
              </w:rPr>
              <w:t xml:space="preserve"> </w:t>
            </w:r>
            <w:r w:rsidRPr="00815013">
              <w:rPr>
                <w:rFonts w:cs="Arial"/>
              </w:rPr>
              <w:t xml:space="preserve">for the whole of the </w:t>
            </w:r>
            <w:r w:rsidR="00B5615D">
              <w:rPr>
                <w:rFonts w:cs="Arial"/>
              </w:rPr>
              <w:t>CCAMLR</w:t>
            </w:r>
            <w:r w:rsidR="00B5615D" w:rsidRPr="00815013">
              <w:rPr>
                <w:rFonts w:cs="Arial"/>
              </w:rPr>
              <w:t xml:space="preserve"> </w:t>
            </w:r>
            <w:r w:rsidRPr="00815013">
              <w:rPr>
                <w:rFonts w:cs="Arial"/>
              </w:rPr>
              <w:t>area</w:t>
            </w:r>
            <w:r w:rsidR="00B5615D">
              <w:rPr>
                <w:rFonts w:cs="Arial"/>
              </w:rPr>
              <w:t xml:space="preserve">. However, this is </w:t>
            </w:r>
            <w:r w:rsidRPr="00815013">
              <w:rPr>
                <w:rFonts w:cs="Arial"/>
              </w:rPr>
              <w:t>likely to be an underestimate</w:t>
            </w:r>
            <w:r w:rsidR="00B5615D">
              <w:rPr>
                <w:rFonts w:cs="Arial"/>
              </w:rPr>
              <w:t xml:space="preserve">, as it is </w:t>
            </w:r>
            <w:r w:rsidRPr="00815013">
              <w:rPr>
                <w:rFonts w:cs="Arial"/>
              </w:rPr>
              <w:t>based on</w:t>
            </w:r>
            <w:r w:rsidR="00EA67DF">
              <w:rPr>
                <w:rFonts w:cs="Arial"/>
              </w:rPr>
              <w:t>ly on</w:t>
            </w:r>
            <w:r w:rsidRPr="00815013">
              <w:rPr>
                <w:rFonts w:cs="Arial"/>
              </w:rPr>
              <w:t xml:space="preserve"> the vessels actually detected</w:t>
            </w:r>
            <w:r w:rsidR="00EA67DF">
              <w:rPr>
                <w:rFonts w:cs="Arial"/>
              </w:rPr>
              <w:t xml:space="preserve"> (three)</w:t>
            </w:r>
            <w:r w:rsidRPr="00815013">
              <w:rPr>
                <w:rFonts w:cs="Arial"/>
              </w:rPr>
              <w:t xml:space="preserve"> and do</w:t>
            </w:r>
            <w:r w:rsidR="00B5615D">
              <w:rPr>
                <w:rFonts w:cs="Arial"/>
              </w:rPr>
              <w:t>es</w:t>
            </w:r>
            <w:r w:rsidRPr="00815013">
              <w:rPr>
                <w:rFonts w:cs="Arial"/>
              </w:rPr>
              <w:t xml:space="preserve"> not include mortality associated with lost IUU gillnets (‘ghost fishing’). </w:t>
            </w:r>
            <w:r w:rsidR="00EA67DF">
              <w:rPr>
                <w:rFonts w:cs="Arial"/>
              </w:rPr>
              <w:t>R</w:t>
            </w:r>
            <w:r w:rsidRPr="00815013">
              <w:rPr>
                <w:rFonts w:cs="Arial"/>
              </w:rPr>
              <w:t xml:space="preserve">ecent shifts in IUU fishing from </w:t>
            </w:r>
            <w:proofErr w:type="spellStart"/>
            <w:r w:rsidRPr="00815013">
              <w:rPr>
                <w:rFonts w:cs="Arial"/>
              </w:rPr>
              <w:t>longline</w:t>
            </w:r>
            <w:proofErr w:type="spellEnd"/>
            <w:r w:rsidRPr="00815013">
              <w:rPr>
                <w:rFonts w:cs="Arial"/>
              </w:rPr>
              <w:t xml:space="preserve"> to </w:t>
            </w:r>
            <w:proofErr w:type="gramStart"/>
            <w:r w:rsidRPr="00815013">
              <w:rPr>
                <w:rFonts w:cs="Arial"/>
              </w:rPr>
              <w:t>gillnets</w:t>
            </w:r>
            <w:proofErr w:type="gramEnd"/>
            <w:r w:rsidRPr="00815013">
              <w:rPr>
                <w:rFonts w:cs="Arial"/>
              </w:rPr>
              <w:t xml:space="preserve"> </w:t>
            </w:r>
            <w:r w:rsidR="00EA67DF">
              <w:rPr>
                <w:rFonts w:cs="Arial"/>
              </w:rPr>
              <w:t xml:space="preserve">have </w:t>
            </w:r>
            <w:r w:rsidRPr="00815013">
              <w:rPr>
                <w:rFonts w:cs="Arial"/>
              </w:rPr>
              <w:t>made it more difficult to estimate IUU catches</w:t>
            </w:r>
            <w:r w:rsidR="00EA67DF">
              <w:rPr>
                <w:rFonts w:cs="Arial"/>
              </w:rPr>
              <w:t>, however, e</w:t>
            </w:r>
            <w:r w:rsidRPr="00815013">
              <w:rPr>
                <w:rFonts w:cs="Arial"/>
              </w:rPr>
              <w:t>stimates of IUU catch from Divisions 58.4.1 and 58.4.2 have been historically far greater than the catch limits set by CCAMLR (</w:t>
            </w:r>
            <w:hyperlink r:id="rId34" w:history="1">
              <w:r w:rsidRPr="00815013">
                <w:rPr>
                  <w:rStyle w:val="Hyperlink"/>
                  <w:rFonts w:cs="Arial"/>
                </w:rPr>
                <w:t>58.4.1</w:t>
              </w:r>
            </w:hyperlink>
            <w:r w:rsidRPr="00815013">
              <w:rPr>
                <w:rFonts w:cs="Arial"/>
              </w:rPr>
              <w:t xml:space="preserve"> and </w:t>
            </w:r>
            <w:hyperlink r:id="rId35" w:history="1">
              <w:r w:rsidRPr="00815013">
                <w:rPr>
                  <w:rStyle w:val="Hyperlink"/>
                  <w:rFonts w:cs="Arial"/>
                </w:rPr>
                <w:t>58.4.2</w:t>
              </w:r>
            </w:hyperlink>
            <w:r w:rsidRPr="00815013">
              <w:rPr>
                <w:rFonts w:cs="Arial"/>
              </w:rPr>
              <w:t>).</w:t>
            </w:r>
          </w:p>
        </w:tc>
      </w:tr>
      <w:tr w:rsidR="00B6012C" w:rsidRPr="00815013" w:rsidTr="00CD56A6">
        <w:trPr>
          <w:jc w:val="center"/>
        </w:trPr>
        <w:tc>
          <w:tcPr>
            <w:tcW w:w="2484" w:type="dxa"/>
            <w:tcBorders>
              <w:top w:val="single" w:sz="4" w:space="0" w:color="auto"/>
              <w:left w:val="single" w:sz="4" w:space="0" w:color="auto"/>
              <w:bottom w:val="single" w:sz="4" w:space="0" w:color="auto"/>
              <w:right w:val="single" w:sz="4" w:space="0" w:color="auto"/>
            </w:tcBorders>
          </w:tcPr>
          <w:p w:rsidR="00B6012C" w:rsidRPr="00815013" w:rsidRDefault="00B6012C" w:rsidP="001B08D4">
            <w:pPr>
              <w:spacing w:before="60" w:after="60" w:line="240" w:lineRule="auto"/>
              <w:rPr>
                <w:rFonts w:cs="Arial"/>
                <w:b/>
                <w:snapToGrid w:val="0"/>
              </w:rPr>
            </w:pPr>
            <w:r w:rsidRPr="00815013">
              <w:rPr>
                <w:rFonts w:cs="Arial"/>
                <w:b/>
                <w:snapToGrid w:val="0"/>
              </w:rPr>
              <w:t>Commercial licences issued</w:t>
            </w:r>
          </w:p>
        </w:tc>
        <w:tc>
          <w:tcPr>
            <w:tcW w:w="7236" w:type="dxa"/>
            <w:tcBorders>
              <w:top w:val="single" w:sz="4" w:space="0" w:color="auto"/>
              <w:left w:val="single" w:sz="4" w:space="0" w:color="auto"/>
              <w:bottom w:val="single" w:sz="4" w:space="0" w:color="auto"/>
              <w:right w:val="single" w:sz="4" w:space="0" w:color="auto"/>
            </w:tcBorders>
          </w:tcPr>
          <w:p w:rsidR="00742D33" w:rsidRPr="00815013" w:rsidRDefault="007323EA" w:rsidP="00184EEA">
            <w:pPr>
              <w:spacing w:before="60" w:after="60" w:line="240" w:lineRule="auto"/>
              <w:rPr>
                <w:rFonts w:cs="Arial"/>
              </w:rPr>
            </w:pPr>
            <w:r w:rsidRPr="00815013">
              <w:rPr>
                <w:rFonts w:cs="Arial"/>
              </w:rPr>
              <w:t xml:space="preserve">CCAMLR has approved </w:t>
            </w:r>
            <w:r w:rsidR="00481896" w:rsidRPr="00815013">
              <w:rPr>
                <w:rFonts w:cs="Arial"/>
              </w:rPr>
              <w:t xml:space="preserve">a total of five </w:t>
            </w:r>
            <w:r w:rsidR="0096492B">
              <w:rPr>
                <w:rFonts w:cs="Arial"/>
              </w:rPr>
              <w:t>vessel</w:t>
            </w:r>
            <w:r w:rsidR="00481896" w:rsidRPr="00815013">
              <w:rPr>
                <w:rFonts w:cs="Arial"/>
              </w:rPr>
              <w:t xml:space="preserve">s to fish </w:t>
            </w:r>
            <w:r w:rsidRPr="00815013">
              <w:rPr>
                <w:rFonts w:cs="Arial"/>
              </w:rPr>
              <w:t xml:space="preserve">in Divisions 58.4.1 and 58.4.2 during 2015-16. </w:t>
            </w:r>
            <w:r w:rsidR="00481896" w:rsidRPr="00815013">
              <w:rPr>
                <w:rFonts w:cs="Arial"/>
              </w:rPr>
              <w:t xml:space="preserve">This includes one Australian </w:t>
            </w:r>
            <w:r w:rsidR="0096492B">
              <w:rPr>
                <w:rFonts w:cs="Arial"/>
              </w:rPr>
              <w:t>vessel</w:t>
            </w:r>
            <w:r w:rsidR="00481896" w:rsidRPr="00815013">
              <w:rPr>
                <w:rFonts w:cs="Arial"/>
              </w:rPr>
              <w:t xml:space="preserve"> (to which this assessment applies) as well as a</w:t>
            </w:r>
            <w:r w:rsidRPr="00815013">
              <w:rPr>
                <w:rFonts w:cs="Arial"/>
              </w:rPr>
              <w:t xml:space="preserve">n additional four </w:t>
            </w:r>
            <w:r w:rsidR="0096492B">
              <w:rPr>
                <w:rFonts w:cs="Arial"/>
              </w:rPr>
              <w:t>vessel</w:t>
            </w:r>
            <w:r w:rsidRPr="00815013">
              <w:rPr>
                <w:rFonts w:cs="Arial"/>
              </w:rPr>
              <w:t xml:space="preserve">s from France, Japan, </w:t>
            </w:r>
            <w:r w:rsidR="00215A6F">
              <w:rPr>
                <w:rFonts w:cs="Arial"/>
              </w:rPr>
              <w:t xml:space="preserve">the </w:t>
            </w:r>
            <w:r w:rsidR="00481896" w:rsidRPr="00815013">
              <w:rPr>
                <w:rFonts w:cs="Arial"/>
              </w:rPr>
              <w:t>Republic of Korea and Spain.</w:t>
            </w:r>
          </w:p>
        </w:tc>
      </w:tr>
      <w:tr w:rsidR="00B6012C" w:rsidRPr="00815013" w:rsidTr="00CD56A6">
        <w:trPr>
          <w:jc w:val="center"/>
        </w:trPr>
        <w:tc>
          <w:tcPr>
            <w:tcW w:w="2484" w:type="dxa"/>
            <w:tcBorders>
              <w:top w:val="single" w:sz="4" w:space="0" w:color="auto"/>
              <w:left w:val="single" w:sz="4" w:space="0" w:color="auto"/>
              <w:bottom w:val="single" w:sz="4" w:space="0" w:color="auto"/>
              <w:right w:val="single" w:sz="4" w:space="0" w:color="auto"/>
            </w:tcBorders>
          </w:tcPr>
          <w:p w:rsidR="00B6012C" w:rsidRPr="00815013" w:rsidRDefault="00B6012C" w:rsidP="001B08D4">
            <w:pPr>
              <w:spacing w:before="60" w:after="60" w:line="240" w:lineRule="auto"/>
              <w:rPr>
                <w:rFonts w:cs="Arial"/>
                <w:snapToGrid w:val="0"/>
              </w:rPr>
            </w:pPr>
            <w:r w:rsidRPr="00815013">
              <w:rPr>
                <w:rFonts w:cs="Arial"/>
                <w:b/>
                <w:snapToGrid w:val="0"/>
              </w:rPr>
              <w:t>Management arrangements</w:t>
            </w:r>
            <w:r w:rsidRPr="00815013">
              <w:rPr>
                <w:rFonts w:cs="Arial"/>
                <w:snapToGrid w:val="0"/>
              </w:rPr>
              <w:t xml:space="preserve"> </w:t>
            </w:r>
          </w:p>
        </w:tc>
        <w:tc>
          <w:tcPr>
            <w:tcW w:w="7236" w:type="dxa"/>
            <w:tcBorders>
              <w:top w:val="single" w:sz="4" w:space="0" w:color="auto"/>
              <w:left w:val="single" w:sz="4" w:space="0" w:color="auto"/>
              <w:bottom w:val="single" w:sz="4" w:space="0" w:color="auto"/>
              <w:right w:val="single" w:sz="4" w:space="0" w:color="auto"/>
            </w:tcBorders>
          </w:tcPr>
          <w:p w:rsidR="006E3532" w:rsidRDefault="006E3532" w:rsidP="006E3532">
            <w:pPr>
              <w:spacing w:before="60" w:after="60" w:line="240" w:lineRule="auto"/>
              <w:rPr>
                <w:rFonts w:cs="Arial"/>
              </w:rPr>
            </w:pPr>
            <w:r w:rsidRPr="000A0224">
              <w:rPr>
                <w:rFonts w:cs="Arial"/>
              </w:rPr>
              <w:t xml:space="preserve">Management arrangements are defined in </w:t>
            </w:r>
            <w:hyperlink r:id="rId36" w:history="1">
              <w:r w:rsidR="00456967">
                <w:rPr>
                  <w:rStyle w:val="Hyperlink"/>
                  <w:rFonts w:cs="Arial"/>
                </w:rPr>
                <w:t>conservation measure</w:t>
              </w:r>
              <w:r w:rsidRPr="000A0224">
                <w:rPr>
                  <w:rStyle w:val="Hyperlink"/>
                  <w:rFonts w:cs="Arial"/>
                </w:rPr>
                <w:t>s</w:t>
              </w:r>
            </w:hyperlink>
            <w:r w:rsidRPr="000A0224">
              <w:rPr>
                <w:rFonts w:cs="Arial"/>
              </w:rPr>
              <w:t xml:space="preserve"> and applied to Australian operations through conditions on fishing permits administered by AFMA under the FM Act.</w:t>
            </w:r>
          </w:p>
          <w:p w:rsidR="00EA67DF" w:rsidRPr="00BC3213" w:rsidRDefault="00EA67DF" w:rsidP="00EA67DF">
            <w:pPr>
              <w:spacing w:before="60" w:after="60" w:line="240" w:lineRule="auto"/>
              <w:rPr>
                <w:rFonts w:cs="Arial"/>
              </w:rPr>
            </w:pPr>
            <w:r>
              <w:rPr>
                <w:rFonts w:cs="Arial"/>
              </w:rPr>
              <w:t xml:space="preserve">Broadly, harvest controls </w:t>
            </w:r>
            <w:r w:rsidR="00047A18">
              <w:rPr>
                <w:rFonts w:cs="Arial"/>
              </w:rPr>
              <w:t>in th</w:t>
            </w:r>
            <w:r w:rsidR="004B734E">
              <w:rPr>
                <w:rFonts w:cs="Arial"/>
              </w:rPr>
              <w:t>ese</w:t>
            </w:r>
            <w:r w:rsidR="00047A18">
              <w:rPr>
                <w:rFonts w:cs="Arial"/>
              </w:rPr>
              <w:t xml:space="preserve"> fisher</w:t>
            </w:r>
            <w:r w:rsidR="004B734E">
              <w:rPr>
                <w:rFonts w:cs="Arial"/>
              </w:rPr>
              <w:t>ies</w:t>
            </w:r>
            <w:r w:rsidR="00047A18">
              <w:rPr>
                <w:rFonts w:cs="Arial"/>
              </w:rPr>
              <w:t xml:space="preserve"> </w:t>
            </w:r>
            <w:r>
              <w:rPr>
                <w:rFonts w:cs="Arial"/>
              </w:rPr>
              <w:t>include</w:t>
            </w:r>
            <w:r w:rsidRPr="00BC3213">
              <w:rPr>
                <w:rFonts w:cs="Arial"/>
              </w:rPr>
              <w:t xml:space="preserve"> limited entry, gear restrictions, catch triggers and limits, spatial and temporal controls.</w:t>
            </w:r>
          </w:p>
          <w:p w:rsidR="00010439" w:rsidRDefault="00010439" w:rsidP="006C7B2E">
            <w:pPr>
              <w:spacing w:before="60" w:after="60" w:line="240" w:lineRule="auto"/>
              <w:rPr>
                <w:rFonts w:cs="Arial"/>
              </w:rPr>
            </w:pPr>
            <w:r w:rsidRPr="000A0224">
              <w:rPr>
                <w:rFonts w:cs="Arial"/>
              </w:rPr>
              <w:t xml:space="preserve">Catch limits are prescribed for </w:t>
            </w:r>
            <w:proofErr w:type="spellStart"/>
            <w:r w:rsidRPr="000A0224">
              <w:rPr>
                <w:rFonts w:cs="Arial"/>
              </w:rPr>
              <w:t>toothfish</w:t>
            </w:r>
            <w:proofErr w:type="spellEnd"/>
            <w:r w:rsidRPr="000A0224">
              <w:rPr>
                <w:rFonts w:cs="Arial"/>
              </w:rPr>
              <w:t xml:space="preserve"> (</w:t>
            </w:r>
            <w:hyperlink r:id="rId37" w:history="1">
              <w:r>
                <w:rPr>
                  <w:rStyle w:val="Hyperlink"/>
                  <w:rFonts w:cs="Arial"/>
                </w:rPr>
                <w:t>CM 4</w:t>
              </w:r>
              <w:r w:rsidRPr="000A0224">
                <w:rPr>
                  <w:rStyle w:val="Hyperlink"/>
                  <w:rFonts w:cs="Arial"/>
                </w:rPr>
                <w:t>1-05</w:t>
              </w:r>
            </w:hyperlink>
            <w:r w:rsidRPr="000A0224">
              <w:rPr>
                <w:rFonts w:cs="Arial"/>
              </w:rPr>
              <w:t xml:space="preserve"> and </w:t>
            </w:r>
            <w:hyperlink r:id="rId38" w:history="1">
              <w:r>
                <w:rPr>
                  <w:rStyle w:val="Hyperlink"/>
                  <w:rFonts w:cs="Arial"/>
                </w:rPr>
                <w:t>CM 4</w:t>
              </w:r>
              <w:r w:rsidRPr="000A0224">
                <w:rPr>
                  <w:rStyle w:val="Hyperlink"/>
                  <w:rFonts w:cs="Arial"/>
                </w:rPr>
                <w:t>1-11</w:t>
              </w:r>
            </w:hyperlink>
            <w:r w:rsidRPr="000A0224">
              <w:rPr>
                <w:rFonts w:cs="Arial"/>
              </w:rPr>
              <w:t>), bycatch (</w:t>
            </w:r>
            <w:hyperlink r:id="rId39" w:history="1">
              <w:r>
                <w:rPr>
                  <w:rStyle w:val="Hyperlink"/>
                  <w:rFonts w:cs="Arial"/>
                </w:rPr>
                <w:t>CM 3</w:t>
              </w:r>
              <w:r w:rsidRPr="000A0224">
                <w:rPr>
                  <w:rStyle w:val="Hyperlink"/>
                  <w:rFonts w:cs="Arial"/>
                </w:rPr>
                <w:t>3-03</w:t>
              </w:r>
            </w:hyperlink>
            <w:r w:rsidRPr="000A0224">
              <w:rPr>
                <w:rFonts w:cs="Arial"/>
              </w:rPr>
              <w:t>) as well as vulnerable marine ecosystems (</w:t>
            </w:r>
            <w:hyperlink r:id="rId40" w:history="1">
              <w:r>
                <w:rPr>
                  <w:rStyle w:val="Hyperlink"/>
                  <w:rFonts w:cs="Arial"/>
                </w:rPr>
                <w:t>CM 2</w:t>
              </w:r>
              <w:r w:rsidRPr="000A0224">
                <w:rPr>
                  <w:rStyle w:val="Hyperlink"/>
                  <w:rFonts w:cs="Arial"/>
                </w:rPr>
                <w:t>2-07</w:t>
              </w:r>
            </w:hyperlink>
            <w:r w:rsidRPr="000A0224">
              <w:rPr>
                <w:rFonts w:cs="Arial"/>
              </w:rPr>
              <w:t>) in each of the two Divisions. Within each Division fishing is directed to occur over as large a geographic and bathymetric range as possible.</w:t>
            </w:r>
          </w:p>
          <w:p w:rsidR="00E06643" w:rsidRPr="000A0224" w:rsidRDefault="006C7B2E" w:rsidP="006C7B2E">
            <w:pPr>
              <w:spacing w:before="60" w:after="60" w:line="240" w:lineRule="auto"/>
              <w:rPr>
                <w:rFonts w:cs="Arial"/>
              </w:rPr>
            </w:pPr>
            <w:r w:rsidRPr="000A0224">
              <w:rPr>
                <w:rFonts w:cs="Arial"/>
              </w:rPr>
              <w:t xml:space="preserve">Each fishery has a data collection plan, a research plan and a tagging program. These plans </w:t>
            </w:r>
            <w:r w:rsidR="006E3532">
              <w:rPr>
                <w:rFonts w:cs="Arial"/>
              </w:rPr>
              <w:t>are used to</w:t>
            </w:r>
            <w:r w:rsidRPr="000A0224">
              <w:rPr>
                <w:rFonts w:cs="Arial"/>
              </w:rPr>
              <w:t xml:space="preserve"> set requirements for catch, effort and related biological, ecological and environmental data, including plans for directing fishing effort. </w:t>
            </w:r>
            <w:r w:rsidR="006E3532" w:rsidRPr="000A0224">
              <w:rPr>
                <w:rFonts w:cs="Arial"/>
              </w:rPr>
              <w:t xml:space="preserve">Research needs are prescribed in </w:t>
            </w:r>
            <w:hyperlink r:id="rId41" w:history="1">
              <w:r w:rsidR="006E3532" w:rsidRPr="000A0224">
                <w:rPr>
                  <w:rStyle w:val="Hyperlink"/>
                  <w:rFonts w:cs="Arial"/>
                </w:rPr>
                <w:t xml:space="preserve">CCAMLR </w:t>
              </w:r>
              <w:r w:rsidR="00456967">
                <w:rPr>
                  <w:rStyle w:val="Hyperlink"/>
                  <w:rFonts w:cs="Arial"/>
                </w:rPr>
                <w:t>conservation measure</w:t>
              </w:r>
              <w:r w:rsidR="006E3532">
                <w:rPr>
                  <w:rStyle w:val="Hyperlink"/>
                  <w:rFonts w:cs="Arial"/>
                </w:rPr>
                <w:t>s</w:t>
              </w:r>
            </w:hyperlink>
            <w:r w:rsidR="006E3532" w:rsidRPr="000A0224">
              <w:t xml:space="preserve"> </w:t>
            </w:r>
            <w:r w:rsidR="006E3532" w:rsidRPr="000A0224">
              <w:rPr>
                <w:rFonts w:cs="Arial"/>
              </w:rPr>
              <w:t>and include general provisions for all species (</w:t>
            </w:r>
            <w:hyperlink r:id="rId42" w:history="1">
              <w:r w:rsidR="006E3532" w:rsidRPr="00C329D3">
                <w:rPr>
                  <w:rStyle w:val="Hyperlink"/>
                  <w:rFonts w:cs="Arial"/>
                </w:rPr>
                <w:t>CM 21-02</w:t>
              </w:r>
            </w:hyperlink>
            <w:r w:rsidR="006E3532" w:rsidRPr="000A0224">
              <w:rPr>
                <w:rFonts w:cs="Arial"/>
              </w:rPr>
              <w:t xml:space="preserve">), measures designed for </w:t>
            </w:r>
            <w:proofErr w:type="spellStart"/>
            <w:r w:rsidR="006E3532" w:rsidRPr="000A0224">
              <w:rPr>
                <w:rFonts w:cs="Arial"/>
              </w:rPr>
              <w:t>toothfish</w:t>
            </w:r>
            <w:proofErr w:type="spellEnd"/>
            <w:r w:rsidR="006E3532" w:rsidRPr="000A0224">
              <w:rPr>
                <w:rFonts w:cs="Arial"/>
              </w:rPr>
              <w:t xml:space="preserve"> (</w:t>
            </w:r>
            <w:hyperlink r:id="rId43" w:history="1">
              <w:r w:rsidR="006E3532" w:rsidRPr="00C329D3">
                <w:rPr>
                  <w:rStyle w:val="Hyperlink"/>
                  <w:rFonts w:cs="Arial"/>
                </w:rPr>
                <w:t>CM 41-01</w:t>
              </w:r>
            </w:hyperlink>
            <w:r w:rsidR="006E3532" w:rsidRPr="000A0224">
              <w:rPr>
                <w:rFonts w:cs="Arial"/>
              </w:rPr>
              <w:t>) and measures tailored to Divisions 58.4.1 (</w:t>
            </w:r>
            <w:hyperlink r:id="rId44" w:history="1">
              <w:r w:rsidR="006E3532" w:rsidRPr="00C329D3">
                <w:rPr>
                  <w:rStyle w:val="Hyperlink"/>
                  <w:rFonts w:cs="Arial"/>
                </w:rPr>
                <w:t>CM 41-11</w:t>
              </w:r>
            </w:hyperlink>
            <w:r w:rsidR="006E3532" w:rsidRPr="000A0224">
              <w:rPr>
                <w:rFonts w:cs="Arial"/>
              </w:rPr>
              <w:t>) and 58.4.2 (</w:t>
            </w:r>
            <w:hyperlink r:id="rId45" w:history="1">
              <w:r w:rsidR="006E3532" w:rsidRPr="00C329D3">
                <w:rPr>
                  <w:rStyle w:val="Hyperlink"/>
                  <w:rFonts w:cs="Arial"/>
                </w:rPr>
                <w:t>CM 41-05</w:t>
              </w:r>
            </w:hyperlink>
            <w:r w:rsidR="006E3532" w:rsidRPr="000A0224">
              <w:rPr>
                <w:rFonts w:cs="Arial"/>
              </w:rPr>
              <w:t>).</w:t>
            </w:r>
          </w:p>
          <w:p w:rsidR="00215A6F" w:rsidRDefault="008E62B1" w:rsidP="006C7B2E">
            <w:pPr>
              <w:spacing w:before="60" w:after="60" w:line="240" w:lineRule="auto"/>
              <w:rPr>
                <w:rFonts w:cs="Arial"/>
              </w:rPr>
            </w:pPr>
            <w:r w:rsidRPr="000A0224">
              <w:rPr>
                <w:rFonts w:cs="Arial"/>
              </w:rPr>
              <w:t xml:space="preserve">Management arrangements are </w:t>
            </w:r>
            <w:r>
              <w:rPr>
                <w:rFonts w:cs="Arial"/>
              </w:rPr>
              <w:t xml:space="preserve">considered </w:t>
            </w:r>
            <w:r w:rsidRPr="000A0224">
              <w:rPr>
                <w:rFonts w:cs="Arial"/>
              </w:rPr>
              <w:t>precautionary and designed to improve understanding of the fisher</w:t>
            </w:r>
            <w:r w:rsidR="004B734E">
              <w:rPr>
                <w:rFonts w:cs="Arial"/>
              </w:rPr>
              <w:t>ies</w:t>
            </w:r>
            <w:r w:rsidRPr="000A0224">
              <w:rPr>
                <w:rFonts w:cs="Arial"/>
              </w:rPr>
              <w:t xml:space="preserve">. There is regular </w:t>
            </w:r>
            <w:r w:rsidR="00D55CED" w:rsidRPr="000A0224">
              <w:rPr>
                <w:rFonts w:cs="Arial"/>
              </w:rPr>
              <w:t>monitoring,</w:t>
            </w:r>
            <w:r>
              <w:rPr>
                <w:rFonts w:cs="Arial"/>
              </w:rPr>
              <w:t xml:space="preserve"> </w:t>
            </w:r>
            <w:r w:rsidRPr="000A0224">
              <w:rPr>
                <w:rFonts w:cs="Arial"/>
              </w:rPr>
              <w:t xml:space="preserve">assessment </w:t>
            </w:r>
            <w:r>
              <w:rPr>
                <w:rFonts w:cs="Arial"/>
              </w:rPr>
              <w:t xml:space="preserve">and revision </w:t>
            </w:r>
            <w:r w:rsidRPr="000A0224">
              <w:rPr>
                <w:rFonts w:cs="Arial"/>
              </w:rPr>
              <w:t>of management performance</w:t>
            </w:r>
            <w:r>
              <w:rPr>
                <w:rFonts w:cs="Arial"/>
              </w:rPr>
              <w:t xml:space="preserve">. </w:t>
            </w:r>
            <w:r w:rsidRPr="000A0224">
              <w:rPr>
                <w:rFonts w:cs="Arial"/>
              </w:rPr>
              <w:t>Access to the fisher</w:t>
            </w:r>
            <w:r w:rsidR="004B734E">
              <w:rPr>
                <w:rFonts w:cs="Arial"/>
              </w:rPr>
              <w:t>ies</w:t>
            </w:r>
            <w:r w:rsidRPr="000A0224">
              <w:rPr>
                <w:rFonts w:cs="Arial"/>
              </w:rPr>
              <w:t xml:space="preserve"> is carefully managed by CCAMLR and its Members; this includes management of licensed fishers as well as </w:t>
            </w:r>
            <w:r>
              <w:rPr>
                <w:rFonts w:cs="Arial"/>
              </w:rPr>
              <w:t>IUU</w:t>
            </w:r>
            <w:r w:rsidRPr="000A0224">
              <w:rPr>
                <w:rFonts w:cs="Arial"/>
              </w:rPr>
              <w:t xml:space="preserve"> fishing.</w:t>
            </w:r>
          </w:p>
          <w:p w:rsidR="00E06643" w:rsidRPr="001713EC" w:rsidRDefault="00FF1DDA" w:rsidP="006C7B2E">
            <w:pPr>
              <w:spacing w:before="60" w:after="60" w:line="240" w:lineRule="auto"/>
              <w:rPr>
                <w:rFonts w:cs="Arial"/>
                <w:b/>
                <w:i/>
              </w:rPr>
            </w:pPr>
            <w:r w:rsidRPr="00FF1DDA">
              <w:rPr>
                <w:rFonts w:cs="Arial"/>
                <w:b/>
                <w:i/>
              </w:rPr>
              <w:t>Monitoring and data collection</w:t>
            </w:r>
          </w:p>
          <w:p w:rsidR="006C7B2E" w:rsidRPr="000A0224" w:rsidRDefault="006C7B2E" w:rsidP="006C7B2E">
            <w:pPr>
              <w:spacing w:before="60" w:after="60" w:line="240" w:lineRule="auto"/>
              <w:rPr>
                <w:rFonts w:cs="Arial"/>
              </w:rPr>
            </w:pPr>
            <w:r w:rsidRPr="000A0224">
              <w:rPr>
                <w:rFonts w:cs="Arial"/>
              </w:rPr>
              <w:t>Fishing activity is closely monitored by CCAMLR wh</w:t>
            </w:r>
            <w:r w:rsidR="002D558E">
              <w:rPr>
                <w:rFonts w:cs="Arial"/>
              </w:rPr>
              <w:t>ich</w:t>
            </w:r>
            <w:r w:rsidRPr="000A0224">
              <w:rPr>
                <w:rFonts w:cs="Arial"/>
              </w:rPr>
              <w:t xml:space="preserve"> notifies Contracting Parties such as AFMA when catches are likely to reach a limit. Concession holders must cease fishing in part or all of the fisheries if certain triggers are met.</w:t>
            </w:r>
          </w:p>
          <w:p w:rsidR="006C7B2E" w:rsidRPr="000A0224" w:rsidRDefault="006C7B2E" w:rsidP="006C7B2E">
            <w:pPr>
              <w:spacing w:before="60" w:after="60" w:line="240" w:lineRule="auto"/>
              <w:rPr>
                <w:rFonts w:cs="Arial"/>
              </w:rPr>
            </w:pPr>
            <w:r w:rsidRPr="000A0224">
              <w:rPr>
                <w:rFonts w:cs="Arial"/>
              </w:rPr>
              <w:t>The</w:t>
            </w:r>
            <w:r w:rsidR="001B7294">
              <w:rPr>
                <w:rFonts w:cs="Arial"/>
              </w:rPr>
              <w:t xml:space="preserve">re </w:t>
            </w:r>
            <w:proofErr w:type="gramStart"/>
            <w:r w:rsidR="001B7294">
              <w:rPr>
                <w:rFonts w:cs="Arial"/>
              </w:rPr>
              <w:t>are</w:t>
            </w:r>
            <w:proofErr w:type="gramEnd"/>
            <w:r w:rsidR="001B7294">
              <w:rPr>
                <w:rFonts w:cs="Arial"/>
              </w:rPr>
              <w:t xml:space="preserve"> strict</w:t>
            </w:r>
            <w:r w:rsidRPr="000A0224">
              <w:rPr>
                <w:rFonts w:cs="Arial"/>
              </w:rPr>
              <w:t xml:space="preserve"> monitoring and data collection requirements for participa</w:t>
            </w:r>
            <w:r w:rsidR="001B7294">
              <w:rPr>
                <w:rFonts w:cs="Arial"/>
              </w:rPr>
              <w:t>nts</w:t>
            </w:r>
            <w:r w:rsidRPr="000A0224">
              <w:rPr>
                <w:rFonts w:cs="Arial"/>
              </w:rPr>
              <w:t xml:space="preserve"> in CCAMLR managed fisheries. All catch must be reported by the Vessel Master on a shot by shot basis, as well as by two independent scientific observers who are present on all voyages. The Vessel Master must also operate Integrated Computerised Vessel Monitoring Systems (VMS) which provide information on the vessel’s location and course, and notify AFMA prior to entering and exiting the fisher</w:t>
            </w:r>
            <w:r w:rsidR="004B734E">
              <w:rPr>
                <w:rFonts w:cs="Arial"/>
              </w:rPr>
              <w:t>ies</w:t>
            </w:r>
            <w:r w:rsidRPr="000A0224">
              <w:rPr>
                <w:rFonts w:cs="Arial"/>
              </w:rPr>
              <w:t>, transhipping fish, persons or any other goods to limit the opportunity for IUU catch.</w:t>
            </w:r>
          </w:p>
          <w:p w:rsidR="001A569F" w:rsidRPr="000A0224" w:rsidRDefault="006C7B2E" w:rsidP="00F15DAF">
            <w:pPr>
              <w:spacing w:before="60" w:after="60" w:line="240" w:lineRule="auto"/>
              <w:rPr>
                <w:rFonts w:cs="Arial"/>
              </w:rPr>
            </w:pPr>
            <w:r w:rsidRPr="000A0224">
              <w:rPr>
                <w:rFonts w:cs="Arial"/>
              </w:rPr>
              <w:t>AFMA plays an important role in surveillance and enforcement activities within the region. Although th</w:t>
            </w:r>
            <w:r w:rsidR="0059416B">
              <w:rPr>
                <w:rFonts w:cs="Arial"/>
              </w:rPr>
              <w:t>is</w:t>
            </w:r>
            <w:r w:rsidRPr="000A0224">
              <w:rPr>
                <w:rFonts w:cs="Arial"/>
              </w:rPr>
              <w:t xml:space="preserve"> area is not part of the </w:t>
            </w:r>
            <w:r w:rsidR="00B50404">
              <w:rPr>
                <w:rFonts w:cs="Arial"/>
              </w:rPr>
              <w:t>AFZ</w:t>
            </w:r>
            <w:r w:rsidRPr="000A0224">
              <w:rPr>
                <w:rFonts w:cs="Arial"/>
              </w:rPr>
              <w:t xml:space="preserve"> for the purposes of the </w:t>
            </w:r>
            <w:r w:rsidR="00B50404">
              <w:rPr>
                <w:rFonts w:cs="Arial"/>
              </w:rPr>
              <w:t xml:space="preserve">FM </w:t>
            </w:r>
            <w:r w:rsidRPr="000A0224">
              <w:rPr>
                <w:rFonts w:cs="Arial"/>
              </w:rPr>
              <w:t>Act</w:t>
            </w:r>
            <w:r w:rsidRPr="000A0224">
              <w:rPr>
                <w:rFonts w:cs="Arial"/>
                <w:i/>
              </w:rPr>
              <w:t xml:space="preserve">, </w:t>
            </w:r>
            <w:r w:rsidRPr="000A0224">
              <w:rPr>
                <w:rFonts w:cs="Arial"/>
              </w:rPr>
              <w:t>the FM Regulations</w:t>
            </w:r>
            <w:r w:rsidRPr="000A0224">
              <w:rPr>
                <w:rFonts w:cs="Arial"/>
                <w:i/>
              </w:rPr>
              <w:t xml:space="preserve"> </w:t>
            </w:r>
            <w:r w:rsidRPr="000A0224">
              <w:rPr>
                <w:rFonts w:cs="Arial"/>
              </w:rPr>
              <w:t xml:space="preserve">extend the Act to Australian citizens and </w:t>
            </w:r>
            <w:proofErr w:type="gramStart"/>
            <w:r w:rsidRPr="000A0224">
              <w:rPr>
                <w:rFonts w:cs="Arial"/>
              </w:rPr>
              <w:t>bodies</w:t>
            </w:r>
            <w:proofErr w:type="gramEnd"/>
            <w:r w:rsidRPr="000A0224">
              <w:rPr>
                <w:rFonts w:cs="Arial"/>
              </w:rPr>
              <w:t xml:space="preserve"> corporate, Australian vessels and all persons on any </w:t>
            </w:r>
            <w:r w:rsidR="00F15DAF">
              <w:rPr>
                <w:rFonts w:cs="Arial"/>
              </w:rPr>
              <w:t xml:space="preserve">Australian vessel in this area </w:t>
            </w:r>
            <w:r w:rsidRPr="000A0224">
              <w:rPr>
                <w:rFonts w:cs="Arial"/>
              </w:rPr>
              <w:t>(</w:t>
            </w:r>
            <w:hyperlink r:id="rId46" w:history="1">
              <w:r w:rsidR="006B68EC" w:rsidRPr="000A0224">
                <w:rPr>
                  <w:rStyle w:val="Hyperlink"/>
                  <w:rFonts w:cs="Arial"/>
                </w:rPr>
                <w:t>Patterso</w:t>
              </w:r>
              <w:r w:rsidR="00935D92" w:rsidRPr="000A0224">
                <w:rPr>
                  <w:rStyle w:val="Hyperlink"/>
                  <w:rFonts w:cs="Arial"/>
                </w:rPr>
                <w:t xml:space="preserve">n and </w:t>
              </w:r>
              <w:proofErr w:type="spellStart"/>
              <w:r w:rsidR="00935D92" w:rsidRPr="000A0224">
                <w:rPr>
                  <w:rStyle w:val="Hyperlink"/>
                  <w:rFonts w:cs="Arial"/>
                </w:rPr>
                <w:t>Skirtun</w:t>
              </w:r>
              <w:proofErr w:type="spellEnd"/>
              <w:r w:rsidR="00935D92" w:rsidRPr="000A0224">
                <w:rPr>
                  <w:rStyle w:val="Hyperlink"/>
                  <w:rFonts w:cs="Arial"/>
                </w:rPr>
                <w:t>, 2012</w:t>
              </w:r>
            </w:hyperlink>
            <w:r w:rsidRPr="000A0224">
              <w:rPr>
                <w:rFonts w:cs="Arial"/>
              </w:rPr>
              <w:t>).</w:t>
            </w:r>
          </w:p>
        </w:tc>
      </w:tr>
      <w:tr w:rsidR="00B6012C" w:rsidRPr="00815013" w:rsidTr="00CD56A6">
        <w:trPr>
          <w:jc w:val="center"/>
        </w:trPr>
        <w:tc>
          <w:tcPr>
            <w:tcW w:w="2484" w:type="dxa"/>
            <w:tcBorders>
              <w:top w:val="single" w:sz="4" w:space="0" w:color="auto"/>
              <w:left w:val="single" w:sz="4" w:space="0" w:color="auto"/>
              <w:bottom w:val="single" w:sz="4" w:space="0" w:color="auto"/>
              <w:right w:val="single" w:sz="4" w:space="0" w:color="auto"/>
            </w:tcBorders>
          </w:tcPr>
          <w:p w:rsidR="00B6012C" w:rsidRPr="00815013" w:rsidRDefault="00B6012C" w:rsidP="001B08D4">
            <w:pPr>
              <w:spacing w:before="60" w:after="60" w:line="240" w:lineRule="auto"/>
              <w:rPr>
                <w:rFonts w:cs="Arial"/>
                <w:b/>
                <w:snapToGrid w:val="0"/>
              </w:rPr>
            </w:pPr>
            <w:r w:rsidRPr="00815013">
              <w:rPr>
                <w:rFonts w:cs="Arial"/>
                <w:b/>
                <w:snapToGrid w:val="0"/>
              </w:rPr>
              <w:t>Export</w:t>
            </w:r>
          </w:p>
        </w:tc>
        <w:tc>
          <w:tcPr>
            <w:tcW w:w="7236" w:type="dxa"/>
            <w:tcBorders>
              <w:top w:val="single" w:sz="4" w:space="0" w:color="auto"/>
              <w:left w:val="single" w:sz="4" w:space="0" w:color="auto"/>
              <w:bottom w:val="single" w:sz="4" w:space="0" w:color="auto"/>
              <w:right w:val="single" w:sz="4" w:space="0" w:color="auto"/>
            </w:tcBorders>
          </w:tcPr>
          <w:p w:rsidR="00B6012C" w:rsidRPr="00815013" w:rsidRDefault="00B3529E" w:rsidP="001B08D4">
            <w:pPr>
              <w:spacing w:before="60" w:after="60" w:line="240" w:lineRule="auto"/>
              <w:rPr>
                <w:rFonts w:cs="Arial"/>
                <w:snapToGrid w:val="0"/>
                <w:color w:val="3366FF"/>
              </w:rPr>
            </w:pPr>
            <w:r w:rsidRPr="00815013">
              <w:rPr>
                <w:rFonts w:cs="Arial"/>
              </w:rPr>
              <w:t>No information is available on the potential export of product from th</w:t>
            </w:r>
            <w:r w:rsidR="004B734E">
              <w:rPr>
                <w:rFonts w:cs="Arial"/>
              </w:rPr>
              <w:t>ese</w:t>
            </w:r>
            <w:r w:rsidRPr="00815013">
              <w:rPr>
                <w:rFonts w:cs="Arial"/>
              </w:rPr>
              <w:t xml:space="preserve"> </w:t>
            </w:r>
            <w:proofErr w:type="gramStart"/>
            <w:r w:rsidRPr="00815013">
              <w:rPr>
                <w:rFonts w:cs="Arial"/>
              </w:rPr>
              <w:t>fisher</w:t>
            </w:r>
            <w:r w:rsidR="004B734E">
              <w:rPr>
                <w:rFonts w:cs="Arial"/>
              </w:rPr>
              <w:t>ies</w:t>
            </w:r>
            <w:r w:rsidRPr="00815013">
              <w:rPr>
                <w:rFonts w:cs="Arial"/>
              </w:rPr>
              <w:t>,</w:t>
            </w:r>
            <w:proofErr w:type="gramEnd"/>
            <w:r w:rsidRPr="00815013">
              <w:rPr>
                <w:rFonts w:cs="Arial"/>
              </w:rPr>
              <w:t xml:space="preserve"> however it is likely that catch will be unloaded in New Zealand.</w:t>
            </w:r>
          </w:p>
        </w:tc>
      </w:tr>
      <w:tr w:rsidR="00B6012C" w:rsidRPr="00815013" w:rsidTr="00CD56A6">
        <w:trPr>
          <w:jc w:val="center"/>
        </w:trPr>
        <w:tc>
          <w:tcPr>
            <w:tcW w:w="2484" w:type="dxa"/>
            <w:tcBorders>
              <w:top w:val="single" w:sz="4" w:space="0" w:color="auto"/>
              <w:left w:val="single" w:sz="4" w:space="0" w:color="auto"/>
              <w:bottom w:val="single" w:sz="4" w:space="0" w:color="auto"/>
              <w:right w:val="single" w:sz="4" w:space="0" w:color="auto"/>
            </w:tcBorders>
          </w:tcPr>
          <w:p w:rsidR="00B6012C" w:rsidRPr="00815013" w:rsidRDefault="00A82CB7" w:rsidP="001B08D4">
            <w:pPr>
              <w:spacing w:before="60" w:after="60" w:line="240" w:lineRule="auto"/>
              <w:rPr>
                <w:rFonts w:cs="Arial"/>
                <w:b/>
                <w:snapToGrid w:val="0"/>
              </w:rPr>
            </w:pPr>
            <w:proofErr w:type="spellStart"/>
            <w:r>
              <w:rPr>
                <w:rFonts w:cs="Arial"/>
                <w:b/>
                <w:snapToGrid w:val="0"/>
              </w:rPr>
              <w:t>Byproduct</w:t>
            </w:r>
            <w:proofErr w:type="spellEnd"/>
            <w:r>
              <w:rPr>
                <w:rFonts w:cs="Arial"/>
                <w:b/>
                <w:snapToGrid w:val="0"/>
              </w:rPr>
              <w:t xml:space="preserve"> and </w:t>
            </w:r>
            <w:proofErr w:type="spellStart"/>
            <w:r w:rsidR="0059416B">
              <w:rPr>
                <w:rFonts w:cs="Arial"/>
                <w:b/>
                <w:snapToGrid w:val="0"/>
              </w:rPr>
              <w:t>b</w:t>
            </w:r>
            <w:r w:rsidR="00B6012C" w:rsidRPr="00815013">
              <w:rPr>
                <w:rFonts w:cs="Arial"/>
                <w:b/>
                <w:snapToGrid w:val="0"/>
              </w:rPr>
              <w:t>ycatch</w:t>
            </w:r>
            <w:proofErr w:type="spellEnd"/>
          </w:p>
        </w:tc>
        <w:tc>
          <w:tcPr>
            <w:tcW w:w="7236" w:type="dxa"/>
            <w:tcBorders>
              <w:top w:val="single" w:sz="4" w:space="0" w:color="auto"/>
              <w:left w:val="single" w:sz="4" w:space="0" w:color="auto"/>
              <w:bottom w:val="single" w:sz="4" w:space="0" w:color="auto"/>
              <w:right w:val="single" w:sz="4" w:space="0" w:color="auto"/>
            </w:tcBorders>
          </w:tcPr>
          <w:p w:rsidR="00A82CB7" w:rsidRDefault="00A82CB7" w:rsidP="007B15B8">
            <w:pPr>
              <w:spacing w:before="60" w:after="60" w:line="240" w:lineRule="auto"/>
              <w:rPr>
                <w:rFonts w:cs="Arial"/>
                <w:snapToGrid w:val="0"/>
              </w:rPr>
            </w:pPr>
            <w:bookmarkStart w:id="4" w:name="_Toc395796939"/>
            <w:bookmarkStart w:id="5" w:name="_Toc427248127"/>
            <w:r w:rsidRPr="00815013">
              <w:rPr>
                <w:rFonts w:cs="Arial"/>
                <w:snapToGrid w:val="0"/>
              </w:rPr>
              <w:t xml:space="preserve">No distinction is made between </w:t>
            </w:r>
            <w:proofErr w:type="spellStart"/>
            <w:r w:rsidRPr="00815013">
              <w:rPr>
                <w:rFonts w:cs="Arial"/>
                <w:snapToGrid w:val="0"/>
              </w:rPr>
              <w:t>byproduct</w:t>
            </w:r>
            <w:proofErr w:type="spellEnd"/>
            <w:r w:rsidRPr="00815013">
              <w:rPr>
                <w:rFonts w:cs="Arial"/>
                <w:snapToGrid w:val="0"/>
              </w:rPr>
              <w:t xml:space="preserve"> and </w:t>
            </w:r>
            <w:proofErr w:type="spellStart"/>
            <w:r w:rsidRPr="00815013">
              <w:rPr>
                <w:rFonts w:cs="Arial"/>
                <w:snapToGrid w:val="0"/>
              </w:rPr>
              <w:t>bycatch</w:t>
            </w:r>
            <w:proofErr w:type="spellEnd"/>
            <w:r w:rsidRPr="00815013">
              <w:rPr>
                <w:rFonts w:cs="Arial"/>
                <w:snapToGrid w:val="0"/>
              </w:rPr>
              <w:t xml:space="preserve"> species in CCAMLR New and Exploratory </w:t>
            </w:r>
            <w:r>
              <w:rPr>
                <w:rFonts w:cs="Arial"/>
                <w:snapToGrid w:val="0"/>
              </w:rPr>
              <w:t>F</w:t>
            </w:r>
            <w:r w:rsidRPr="00815013">
              <w:rPr>
                <w:rFonts w:cs="Arial"/>
                <w:snapToGrid w:val="0"/>
              </w:rPr>
              <w:t>isheries.</w:t>
            </w:r>
            <w:bookmarkEnd w:id="4"/>
            <w:bookmarkEnd w:id="5"/>
            <w:r w:rsidRPr="00815013">
              <w:rPr>
                <w:rFonts w:cs="Arial"/>
                <w:snapToGrid w:val="0"/>
              </w:rPr>
              <w:t xml:space="preserve"> </w:t>
            </w:r>
          </w:p>
          <w:p w:rsidR="007B15B8" w:rsidRDefault="000F1ACC" w:rsidP="007B15B8">
            <w:pPr>
              <w:spacing w:before="60" w:after="60" w:line="240" w:lineRule="auto"/>
              <w:rPr>
                <w:rFonts w:cs="Arial"/>
                <w:snapToGrid w:val="0"/>
              </w:rPr>
            </w:pPr>
            <w:r w:rsidRPr="00F675B3">
              <w:rPr>
                <w:rFonts w:cs="Arial"/>
                <w:snapToGrid w:val="0"/>
              </w:rPr>
              <w:t>Current bycatch categories are based on catch composition rather than any consideration of value as an indicator of ecological impact. However, a</w:t>
            </w:r>
            <w:r w:rsidR="009A536B" w:rsidRPr="00F675B3">
              <w:rPr>
                <w:rFonts w:cs="Arial"/>
                <w:snapToGrid w:val="0"/>
              </w:rPr>
              <w:t xml:space="preserve"> recent study in Divisions 58.4.1 and 58.4.2 found grenadiers were the main prey item for </w:t>
            </w:r>
            <w:proofErr w:type="spellStart"/>
            <w:r w:rsidR="009A536B" w:rsidRPr="00F675B3">
              <w:rPr>
                <w:rFonts w:cs="Arial"/>
                <w:snapToGrid w:val="0"/>
              </w:rPr>
              <w:t>toothfish</w:t>
            </w:r>
            <w:proofErr w:type="spellEnd"/>
            <w:r w:rsidR="009A536B" w:rsidRPr="00F675B3">
              <w:rPr>
                <w:rFonts w:cs="Arial"/>
                <w:snapToGrid w:val="0"/>
              </w:rPr>
              <w:t xml:space="preserve"> (47.6% by weight</w:t>
            </w:r>
            <w:r w:rsidRPr="00F675B3">
              <w:rPr>
                <w:rFonts w:cs="Arial"/>
                <w:snapToGrid w:val="0"/>
              </w:rPr>
              <w:t xml:space="preserve"> stomach contents</w:t>
            </w:r>
            <w:r w:rsidR="009A536B" w:rsidRPr="00F675B3">
              <w:rPr>
                <w:rFonts w:cs="Arial"/>
                <w:snapToGrid w:val="0"/>
              </w:rPr>
              <w:t>)</w:t>
            </w:r>
            <w:r w:rsidRPr="00F675B3">
              <w:rPr>
                <w:rFonts w:cs="Arial"/>
                <w:snapToGrid w:val="0"/>
              </w:rPr>
              <w:t>,</w:t>
            </w:r>
            <w:r w:rsidR="009A536B" w:rsidRPr="00F675B3">
              <w:rPr>
                <w:rFonts w:cs="Arial"/>
                <w:snapToGrid w:val="0"/>
              </w:rPr>
              <w:t xml:space="preserve"> and </w:t>
            </w:r>
            <w:r w:rsidRPr="00F675B3">
              <w:rPr>
                <w:rFonts w:cs="Arial"/>
                <w:snapToGrid w:val="0"/>
              </w:rPr>
              <w:t xml:space="preserve">were </w:t>
            </w:r>
            <w:r w:rsidR="009A536B" w:rsidRPr="00F675B3">
              <w:rPr>
                <w:rFonts w:cs="Arial"/>
                <w:snapToGrid w:val="0"/>
              </w:rPr>
              <w:t>also the primary bycatch s</w:t>
            </w:r>
            <w:r w:rsidRPr="00F675B3">
              <w:rPr>
                <w:rFonts w:cs="Arial"/>
                <w:snapToGrid w:val="0"/>
              </w:rPr>
              <w:t>pecies in these waters.</w:t>
            </w:r>
            <w:r w:rsidR="007B15B8">
              <w:rPr>
                <w:rFonts w:cs="Arial"/>
                <w:snapToGrid w:val="0"/>
              </w:rPr>
              <w:t xml:space="preserve"> </w:t>
            </w:r>
          </w:p>
          <w:p w:rsidR="002F4C54" w:rsidRDefault="009A536B" w:rsidP="001B08D4">
            <w:pPr>
              <w:spacing w:before="60" w:after="60" w:line="240" w:lineRule="auto"/>
              <w:rPr>
                <w:rFonts w:cs="Arial"/>
                <w:snapToGrid w:val="0"/>
              </w:rPr>
            </w:pPr>
            <w:r w:rsidRPr="00F675B3">
              <w:rPr>
                <w:rFonts w:cs="Arial"/>
                <w:snapToGrid w:val="0"/>
              </w:rPr>
              <w:t xml:space="preserve">Bycatch </w:t>
            </w:r>
            <w:r w:rsidR="00A82106" w:rsidRPr="00F675B3">
              <w:rPr>
                <w:rFonts w:cs="Arial"/>
                <w:snapToGrid w:val="0"/>
              </w:rPr>
              <w:t xml:space="preserve">limits </w:t>
            </w:r>
            <w:r w:rsidR="007B15B8">
              <w:rPr>
                <w:rFonts w:cs="Arial"/>
                <w:snapToGrid w:val="0"/>
              </w:rPr>
              <w:t>for three groups</w:t>
            </w:r>
            <w:r w:rsidR="00932D9A">
              <w:rPr>
                <w:rFonts w:cs="Arial"/>
                <w:snapToGrid w:val="0"/>
              </w:rPr>
              <w:t xml:space="preserve"> (</w:t>
            </w:r>
            <w:r w:rsidR="007B15B8" w:rsidRPr="00F675B3">
              <w:rPr>
                <w:rFonts w:cs="Arial"/>
                <w:snapToGrid w:val="0"/>
              </w:rPr>
              <w:t>skates and rays (</w:t>
            </w:r>
            <w:proofErr w:type="spellStart"/>
            <w:r w:rsidR="007B15B8" w:rsidRPr="00F675B3">
              <w:rPr>
                <w:rFonts w:cs="Arial"/>
                <w:snapToGrid w:val="0"/>
              </w:rPr>
              <w:t>Rajids</w:t>
            </w:r>
            <w:proofErr w:type="spellEnd"/>
            <w:r w:rsidR="007B15B8" w:rsidRPr="00F675B3">
              <w:rPr>
                <w:rFonts w:cs="Arial"/>
                <w:snapToGrid w:val="0"/>
              </w:rPr>
              <w:t>), grenadiers (</w:t>
            </w:r>
            <w:proofErr w:type="spellStart"/>
            <w:r w:rsidR="007B15B8" w:rsidRPr="00F675B3">
              <w:rPr>
                <w:rFonts w:cs="Arial"/>
                <w:snapToGrid w:val="0"/>
              </w:rPr>
              <w:t>Macrourids</w:t>
            </w:r>
            <w:proofErr w:type="spellEnd"/>
            <w:r w:rsidR="007B15B8" w:rsidRPr="00F675B3">
              <w:rPr>
                <w:rFonts w:cs="Arial"/>
                <w:snapToGrid w:val="0"/>
              </w:rPr>
              <w:t>)</w:t>
            </w:r>
            <w:r w:rsidR="00932D9A">
              <w:rPr>
                <w:rFonts w:cs="Arial"/>
                <w:snapToGrid w:val="0"/>
              </w:rPr>
              <w:t>,</w:t>
            </w:r>
            <w:r w:rsidR="007B15B8" w:rsidRPr="00F675B3">
              <w:rPr>
                <w:rFonts w:cs="Arial"/>
                <w:snapToGrid w:val="0"/>
              </w:rPr>
              <w:t xml:space="preserve"> </w:t>
            </w:r>
            <w:r w:rsidR="007B15B8">
              <w:rPr>
                <w:rFonts w:cs="Arial"/>
                <w:snapToGrid w:val="0"/>
              </w:rPr>
              <w:t>and</w:t>
            </w:r>
            <w:r w:rsidR="007B15B8" w:rsidRPr="00F675B3">
              <w:rPr>
                <w:rFonts w:cs="Arial"/>
                <w:snapToGrid w:val="0"/>
              </w:rPr>
              <w:t xml:space="preserve"> all other species</w:t>
            </w:r>
            <w:r w:rsidR="00932D9A">
              <w:rPr>
                <w:rFonts w:cs="Arial"/>
                <w:snapToGrid w:val="0"/>
              </w:rPr>
              <w:t xml:space="preserve">) are set as </w:t>
            </w:r>
            <w:r w:rsidR="000F1ACC" w:rsidRPr="00F675B3">
              <w:rPr>
                <w:rFonts w:cs="Arial"/>
                <w:snapToGrid w:val="0"/>
              </w:rPr>
              <w:t xml:space="preserve">either a </w:t>
            </w:r>
            <w:r w:rsidR="00A82106" w:rsidRPr="00F675B3">
              <w:rPr>
                <w:rFonts w:cs="Arial"/>
                <w:snapToGrid w:val="0"/>
              </w:rPr>
              <w:t>proportion of the target species catch limits, or a defined amount (whichever is greater)</w:t>
            </w:r>
            <w:r w:rsidR="00932D9A">
              <w:rPr>
                <w:rFonts w:cs="Arial"/>
                <w:snapToGrid w:val="0"/>
              </w:rPr>
              <w:t xml:space="preserve">. These limits </w:t>
            </w:r>
            <w:r w:rsidR="00A82106" w:rsidRPr="00F675B3">
              <w:rPr>
                <w:rFonts w:cs="Arial"/>
                <w:snapToGrid w:val="0"/>
              </w:rPr>
              <w:t xml:space="preserve">are prescribed in </w:t>
            </w:r>
            <w:r w:rsidR="001002ED" w:rsidRPr="00F675B3">
              <w:rPr>
                <w:rFonts w:cs="Arial"/>
                <w:snapToGrid w:val="0"/>
              </w:rPr>
              <w:t xml:space="preserve">CCAMLR </w:t>
            </w:r>
            <w:hyperlink r:id="rId47" w:history="1">
              <w:r w:rsidR="007B15B8" w:rsidRPr="006D232B">
                <w:rPr>
                  <w:rStyle w:val="Hyperlink"/>
                  <w:rFonts w:cs="Arial"/>
                  <w:snapToGrid w:val="0"/>
                </w:rPr>
                <w:t>C</w:t>
              </w:r>
              <w:r w:rsidR="00C329D3">
                <w:rPr>
                  <w:rStyle w:val="Hyperlink"/>
                  <w:rFonts w:cs="Arial"/>
                  <w:snapToGrid w:val="0"/>
                </w:rPr>
                <w:t>M</w:t>
              </w:r>
              <w:r w:rsidR="007B15B8" w:rsidRPr="006D232B">
                <w:rPr>
                  <w:rStyle w:val="Hyperlink"/>
                  <w:rFonts w:cs="Arial"/>
                  <w:snapToGrid w:val="0"/>
                </w:rPr>
                <w:t xml:space="preserve"> 33-03</w:t>
              </w:r>
            </w:hyperlink>
            <w:r w:rsidR="007B15B8">
              <w:rPr>
                <w:rFonts w:cs="Arial"/>
                <w:snapToGrid w:val="0"/>
              </w:rPr>
              <w:t xml:space="preserve"> and </w:t>
            </w:r>
            <w:r w:rsidR="00A82106" w:rsidRPr="00F675B3">
              <w:rPr>
                <w:rFonts w:cs="Arial"/>
                <w:snapToGrid w:val="0"/>
              </w:rPr>
              <w:t xml:space="preserve">are </w:t>
            </w:r>
            <w:r w:rsidR="002D558E">
              <w:rPr>
                <w:rFonts w:cs="Arial"/>
                <w:snapToGrid w:val="0"/>
              </w:rPr>
              <w:t xml:space="preserve">spatially restricted </w:t>
            </w:r>
            <w:r w:rsidR="00A82106" w:rsidRPr="00F675B3">
              <w:rPr>
                <w:rFonts w:cs="Arial"/>
                <w:snapToGrid w:val="0"/>
              </w:rPr>
              <w:t>within each Division</w:t>
            </w:r>
            <w:r w:rsidR="006152EA" w:rsidRPr="00F675B3">
              <w:rPr>
                <w:rFonts w:cs="Arial"/>
                <w:snapToGrid w:val="0"/>
              </w:rPr>
              <w:t>. W</w:t>
            </w:r>
            <w:r w:rsidR="000F1ACC" w:rsidRPr="00F675B3">
              <w:rPr>
                <w:rFonts w:cs="Arial"/>
                <w:snapToGrid w:val="0"/>
              </w:rPr>
              <w:t xml:space="preserve">here possible </w:t>
            </w:r>
            <w:r w:rsidR="006152EA" w:rsidRPr="00F675B3">
              <w:rPr>
                <w:rFonts w:cs="Arial"/>
                <w:snapToGrid w:val="0"/>
              </w:rPr>
              <w:t xml:space="preserve">all </w:t>
            </w:r>
            <w:r w:rsidR="000F1ACC" w:rsidRPr="00F675B3">
              <w:rPr>
                <w:rFonts w:cs="Arial"/>
                <w:snapToGrid w:val="0"/>
              </w:rPr>
              <w:t>catch is reported at a species level.</w:t>
            </w:r>
            <w:r w:rsidR="006152EA" w:rsidRPr="00F675B3">
              <w:rPr>
                <w:rFonts w:cs="Arial"/>
                <w:snapToGrid w:val="0"/>
              </w:rPr>
              <w:t xml:space="preserve"> M</w:t>
            </w:r>
            <w:r w:rsidR="00A82106" w:rsidRPr="00F675B3">
              <w:rPr>
                <w:rFonts w:cs="Arial"/>
                <w:snapToGrid w:val="0"/>
              </w:rPr>
              <w:t xml:space="preserve">ove-on provisions </w:t>
            </w:r>
            <w:r w:rsidR="006152EA" w:rsidRPr="00F675B3">
              <w:rPr>
                <w:rFonts w:cs="Arial"/>
                <w:snapToGrid w:val="0"/>
              </w:rPr>
              <w:t xml:space="preserve">apply </w:t>
            </w:r>
            <w:r w:rsidR="00A82106" w:rsidRPr="00F675B3">
              <w:rPr>
                <w:rFonts w:cs="Arial"/>
                <w:snapToGrid w:val="0"/>
              </w:rPr>
              <w:t xml:space="preserve">if catches of any one species reach one tonne in a single haul, and closures </w:t>
            </w:r>
            <w:r w:rsidR="006152EA" w:rsidRPr="00F675B3">
              <w:rPr>
                <w:rFonts w:cs="Arial"/>
                <w:snapToGrid w:val="0"/>
              </w:rPr>
              <w:t xml:space="preserve">apply </w:t>
            </w:r>
            <w:r w:rsidR="00A82106" w:rsidRPr="00F675B3">
              <w:rPr>
                <w:rFonts w:cs="Arial"/>
                <w:snapToGrid w:val="0"/>
              </w:rPr>
              <w:t>where catches reach defined levels.</w:t>
            </w:r>
          </w:p>
          <w:p w:rsidR="007B15B8" w:rsidRPr="00F675B3" w:rsidRDefault="007B15B8" w:rsidP="007B15B8">
            <w:pPr>
              <w:spacing w:before="60" w:after="60" w:line="240" w:lineRule="auto"/>
              <w:rPr>
                <w:rFonts w:cs="Arial"/>
              </w:rPr>
            </w:pPr>
            <w:r w:rsidRPr="00F675B3">
              <w:rPr>
                <w:rFonts w:cs="Arial"/>
              </w:rPr>
              <w:t xml:space="preserve">Fishing in Divisions 58.4.1 and 58.4.2 is </w:t>
            </w:r>
            <w:r>
              <w:rPr>
                <w:rFonts w:cs="Arial"/>
              </w:rPr>
              <w:t xml:space="preserve">also </w:t>
            </w:r>
            <w:r w:rsidRPr="00F675B3">
              <w:rPr>
                <w:rFonts w:cs="Arial"/>
              </w:rPr>
              <w:t xml:space="preserve">restricted to </w:t>
            </w:r>
            <w:proofErr w:type="spellStart"/>
            <w:r w:rsidRPr="00F675B3">
              <w:rPr>
                <w:rFonts w:cs="Arial"/>
              </w:rPr>
              <w:t>demersal</w:t>
            </w:r>
            <w:proofErr w:type="spellEnd"/>
            <w:r w:rsidRPr="00F675B3">
              <w:rPr>
                <w:rFonts w:cs="Arial"/>
              </w:rPr>
              <w:t xml:space="preserve"> </w:t>
            </w:r>
            <w:proofErr w:type="spellStart"/>
            <w:r w:rsidRPr="00F675B3">
              <w:rPr>
                <w:rFonts w:cs="Arial"/>
              </w:rPr>
              <w:t>longline</w:t>
            </w:r>
            <w:proofErr w:type="spellEnd"/>
            <w:r w:rsidRPr="00F675B3">
              <w:rPr>
                <w:rFonts w:cs="Arial"/>
              </w:rPr>
              <w:t xml:space="preserve"> methods in waters deeper than 550 </w:t>
            </w:r>
            <w:r w:rsidR="00215A6F">
              <w:rPr>
                <w:rFonts w:cs="Arial"/>
              </w:rPr>
              <w:t>metres (</w:t>
            </w:r>
            <w:r w:rsidRPr="00F675B3">
              <w:rPr>
                <w:rFonts w:cs="Arial"/>
              </w:rPr>
              <w:t>m</w:t>
            </w:r>
            <w:r w:rsidR="00215A6F">
              <w:rPr>
                <w:rFonts w:cs="Arial"/>
              </w:rPr>
              <w:t>)</w:t>
            </w:r>
            <w:r>
              <w:rPr>
                <w:rFonts w:cs="Arial"/>
              </w:rPr>
              <w:t xml:space="preserve"> </w:t>
            </w:r>
            <w:r w:rsidRPr="00F675B3">
              <w:rPr>
                <w:rFonts w:cs="Arial"/>
              </w:rPr>
              <w:t xml:space="preserve">to minimise the potential impacts on juvenile </w:t>
            </w:r>
            <w:proofErr w:type="spellStart"/>
            <w:r w:rsidRPr="00F675B3">
              <w:rPr>
                <w:rFonts w:cs="Arial"/>
              </w:rPr>
              <w:t>toothfish</w:t>
            </w:r>
            <w:proofErr w:type="spellEnd"/>
            <w:r w:rsidRPr="00F675B3">
              <w:rPr>
                <w:rFonts w:cs="Arial"/>
              </w:rPr>
              <w:t xml:space="preserve"> and vulnerable marine ecosystems</w:t>
            </w:r>
            <w:r>
              <w:rPr>
                <w:rFonts w:cs="Arial"/>
              </w:rPr>
              <w:t xml:space="preserve"> </w:t>
            </w:r>
            <w:r w:rsidRPr="00F675B3">
              <w:rPr>
                <w:rFonts w:cs="Arial"/>
              </w:rPr>
              <w:t>(</w:t>
            </w:r>
            <w:hyperlink r:id="rId48" w:history="1">
              <w:r w:rsidRPr="006D232B">
                <w:rPr>
                  <w:rStyle w:val="Hyperlink"/>
                  <w:rFonts w:cs="Arial"/>
                </w:rPr>
                <w:t>C</w:t>
              </w:r>
              <w:r w:rsidR="00C329D3">
                <w:rPr>
                  <w:rStyle w:val="Hyperlink"/>
                  <w:rFonts w:cs="Arial"/>
                </w:rPr>
                <w:t>M</w:t>
              </w:r>
              <w:r w:rsidRPr="006D232B">
                <w:rPr>
                  <w:rStyle w:val="Hyperlink"/>
                  <w:rFonts w:cs="Arial"/>
                </w:rPr>
                <w:t xml:space="preserve"> 22-08</w:t>
              </w:r>
            </w:hyperlink>
            <w:r w:rsidRPr="00F675B3">
              <w:rPr>
                <w:rFonts w:cs="Arial"/>
              </w:rPr>
              <w:t>).</w:t>
            </w:r>
          </w:p>
          <w:p w:rsidR="002D558E" w:rsidRDefault="002F4C54" w:rsidP="001B08D4">
            <w:pPr>
              <w:spacing w:before="60" w:after="60" w:line="240" w:lineRule="auto"/>
              <w:rPr>
                <w:rFonts w:cs="Arial"/>
                <w:snapToGrid w:val="0"/>
              </w:rPr>
            </w:pPr>
            <w:r w:rsidRPr="00F675B3">
              <w:rPr>
                <w:rFonts w:cs="Arial"/>
                <w:snapToGrid w:val="0"/>
              </w:rPr>
              <w:t xml:space="preserve">Bycatch levels are monitored and managed by CCAMLR and AFMA. Monitoring is achieved through daily shot by shot catch reports, active vessel satellite monitoring systems and information from two independent onboard scientific observers. </w:t>
            </w:r>
          </w:p>
          <w:p w:rsidR="00B6012C" w:rsidRPr="00F675B3" w:rsidRDefault="009A536B" w:rsidP="006F4369">
            <w:pPr>
              <w:spacing w:before="60" w:after="60" w:line="240" w:lineRule="auto"/>
              <w:rPr>
                <w:rFonts w:cs="Arial"/>
                <w:snapToGrid w:val="0"/>
              </w:rPr>
            </w:pPr>
            <w:r w:rsidRPr="00F675B3">
              <w:rPr>
                <w:rFonts w:cs="Arial"/>
                <w:snapToGrid w:val="0"/>
              </w:rPr>
              <w:t>C</w:t>
            </w:r>
            <w:r w:rsidR="001002ED" w:rsidRPr="00F675B3">
              <w:rPr>
                <w:rFonts w:cs="Arial"/>
                <w:snapToGrid w:val="0"/>
              </w:rPr>
              <w:t xml:space="preserve">atches are considered annually when </w:t>
            </w:r>
            <w:r w:rsidR="00456967">
              <w:rPr>
                <w:rFonts w:cs="Arial"/>
                <w:snapToGrid w:val="0"/>
              </w:rPr>
              <w:t>conservation measure</w:t>
            </w:r>
            <w:r w:rsidR="001002ED" w:rsidRPr="00F675B3">
              <w:rPr>
                <w:rFonts w:cs="Arial"/>
                <w:snapToGrid w:val="0"/>
              </w:rPr>
              <w:t>s are reviewed</w:t>
            </w:r>
            <w:r w:rsidRPr="00F675B3">
              <w:rPr>
                <w:rFonts w:cs="Arial"/>
                <w:snapToGrid w:val="0"/>
              </w:rPr>
              <w:t xml:space="preserve"> and b</w:t>
            </w:r>
            <w:r w:rsidR="00A82106" w:rsidRPr="00F675B3">
              <w:rPr>
                <w:rFonts w:cs="Arial"/>
                <w:snapToGrid w:val="0"/>
              </w:rPr>
              <w:t xml:space="preserve">ycatch levels in both Divisions have been significantly lower than the prescribed limits for all years since </w:t>
            </w:r>
            <w:r w:rsidRPr="00F675B3">
              <w:rPr>
                <w:rFonts w:cs="Arial"/>
                <w:snapToGrid w:val="0"/>
              </w:rPr>
              <w:t xml:space="preserve">the </w:t>
            </w:r>
            <w:r w:rsidR="00A82106" w:rsidRPr="00F675B3">
              <w:rPr>
                <w:rFonts w:cs="Arial"/>
                <w:snapToGrid w:val="0"/>
              </w:rPr>
              <w:t xml:space="preserve">commencement </w:t>
            </w:r>
            <w:r w:rsidRPr="00F675B3">
              <w:rPr>
                <w:rFonts w:cs="Arial"/>
                <w:snapToGrid w:val="0"/>
              </w:rPr>
              <w:t xml:space="preserve">of the fisheries </w:t>
            </w:r>
            <w:r w:rsidR="00A82106" w:rsidRPr="00F675B3">
              <w:rPr>
                <w:rFonts w:cs="Arial"/>
                <w:snapToGrid w:val="0"/>
              </w:rPr>
              <w:t>in 2003</w:t>
            </w:r>
            <w:r w:rsidRPr="00F675B3">
              <w:rPr>
                <w:rFonts w:cs="Arial"/>
                <w:snapToGrid w:val="0"/>
              </w:rPr>
              <w:t xml:space="preserve"> and </w:t>
            </w:r>
            <w:r w:rsidR="00A82106" w:rsidRPr="00F675B3">
              <w:rPr>
                <w:rFonts w:cs="Arial"/>
                <w:snapToGrid w:val="0"/>
              </w:rPr>
              <w:t>2005 (</w:t>
            </w:r>
            <w:hyperlink r:id="rId49" w:history="1">
              <w:r w:rsidR="00D21C36" w:rsidRPr="00D21C36">
                <w:rPr>
                  <w:rStyle w:val="Hyperlink"/>
                  <w:rFonts w:cs="Arial"/>
                </w:rPr>
                <w:t>CCAMLR Fishery Reports 2014</w:t>
              </w:r>
            </w:hyperlink>
            <w:r w:rsidR="00A82106" w:rsidRPr="00F675B3">
              <w:rPr>
                <w:rFonts w:cs="Arial"/>
                <w:snapToGrid w:val="0"/>
              </w:rPr>
              <w:t>).</w:t>
            </w:r>
          </w:p>
        </w:tc>
      </w:tr>
      <w:tr w:rsidR="00B6012C" w:rsidRPr="00815013" w:rsidTr="00CD56A6">
        <w:trPr>
          <w:jc w:val="center"/>
        </w:trPr>
        <w:tc>
          <w:tcPr>
            <w:tcW w:w="2484" w:type="dxa"/>
            <w:tcBorders>
              <w:top w:val="single" w:sz="4" w:space="0" w:color="auto"/>
              <w:left w:val="single" w:sz="4" w:space="0" w:color="auto"/>
              <w:bottom w:val="single" w:sz="4" w:space="0" w:color="auto"/>
              <w:right w:val="single" w:sz="4" w:space="0" w:color="auto"/>
            </w:tcBorders>
          </w:tcPr>
          <w:p w:rsidR="00B6012C" w:rsidRPr="00815013" w:rsidRDefault="00B6012C" w:rsidP="001B08D4">
            <w:pPr>
              <w:spacing w:before="60" w:after="60" w:line="240" w:lineRule="auto"/>
              <w:rPr>
                <w:rFonts w:cs="Arial"/>
                <w:b/>
                <w:snapToGrid w:val="0"/>
              </w:rPr>
            </w:pPr>
            <w:r w:rsidRPr="00815013">
              <w:rPr>
                <w:rFonts w:cs="Arial"/>
                <w:b/>
                <w:snapToGrid w:val="0"/>
              </w:rPr>
              <w:t>Interaction with Protected Species</w:t>
            </w:r>
            <w:r w:rsidRPr="00815013">
              <w:rPr>
                <w:rStyle w:val="FootnoteReference"/>
                <w:rFonts w:cs="Arial"/>
                <w:b/>
                <w:snapToGrid w:val="0"/>
              </w:rPr>
              <w:footnoteReference w:id="2"/>
            </w:r>
          </w:p>
        </w:tc>
        <w:tc>
          <w:tcPr>
            <w:tcW w:w="7236" w:type="dxa"/>
            <w:tcBorders>
              <w:top w:val="single" w:sz="4" w:space="0" w:color="auto"/>
              <w:left w:val="single" w:sz="4" w:space="0" w:color="auto"/>
              <w:bottom w:val="single" w:sz="4" w:space="0" w:color="auto"/>
              <w:right w:val="single" w:sz="4" w:space="0" w:color="auto"/>
            </w:tcBorders>
          </w:tcPr>
          <w:p w:rsidR="00A82106" w:rsidRPr="00815013" w:rsidRDefault="002F4C54" w:rsidP="001B08D4">
            <w:pPr>
              <w:spacing w:before="60" w:after="60" w:line="240" w:lineRule="auto"/>
              <w:rPr>
                <w:rFonts w:cs="Arial"/>
                <w:snapToGrid w:val="0"/>
              </w:rPr>
            </w:pPr>
            <w:r w:rsidRPr="00815013">
              <w:rPr>
                <w:rFonts w:cs="Arial"/>
                <w:snapToGrid w:val="0"/>
              </w:rPr>
              <w:t xml:space="preserve">Protected species interactions are monitored and managed by CCAMLR and AFMA. </w:t>
            </w:r>
            <w:r w:rsidR="0006148F" w:rsidRPr="00815013">
              <w:rPr>
                <w:rFonts w:cs="Arial"/>
                <w:snapToGrid w:val="0"/>
              </w:rPr>
              <w:t>CCAMLR has developed risk frameworks for seabirds and marine mammals, and the CCAMLR Working Group on Incidental Mortality Associated with Fishing undertake</w:t>
            </w:r>
            <w:r w:rsidR="006F4369">
              <w:rPr>
                <w:rFonts w:cs="Arial"/>
                <w:snapToGrid w:val="0"/>
              </w:rPr>
              <w:t>s</w:t>
            </w:r>
            <w:r w:rsidR="0006148F" w:rsidRPr="00815013">
              <w:rPr>
                <w:rFonts w:cs="Arial"/>
                <w:snapToGrid w:val="0"/>
              </w:rPr>
              <w:t xml:space="preserve"> regular assessments </w:t>
            </w:r>
            <w:r w:rsidR="008E4070" w:rsidRPr="00815013">
              <w:rPr>
                <w:rFonts w:cs="Arial"/>
                <w:snapToGrid w:val="0"/>
              </w:rPr>
              <w:t xml:space="preserve">for </w:t>
            </w:r>
            <w:r w:rsidR="00A0727E">
              <w:rPr>
                <w:rFonts w:cs="Arial"/>
                <w:snapToGrid w:val="0"/>
              </w:rPr>
              <w:t>all Divisions.</w:t>
            </w:r>
          </w:p>
          <w:p w:rsidR="002F4C54" w:rsidRPr="00815013" w:rsidRDefault="00F503B2" w:rsidP="001B08D4">
            <w:pPr>
              <w:spacing w:before="60" w:after="60" w:line="240" w:lineRule="auto"/>
              <w:rPr>
                <w:rFonts w:cs="Arial"/>
                <w:snapToGrid w:val="0"/>
              </w:rPr>
            </w:pPr>
            <w:r w:rsidRPr="00815013">
              <w:rPr>
                <w:rFonts w:cs="Arial"/>
                <w:snapToGrid w:val="0"/>
              </w:rPr>
              <w:t xml:space="preserve">Since the inception of </w:t>
            </w:r>
            <w:r w:rsidR="002F4C54" w:rsidRPr="00815013">
              <w:rPr>
                <w:rFonts w:cs="Arial"/>
                <w:snapToGrid w:val="0"/>
              </w:rPr>
              <w:t>Division 58.4.1 in 2005, when two southern giant petrels (</w:t>
            </w:r>
            <w:proofErr w:type="spellStart"/>
            <w:r w:rsidR="002F4C54" w:rsidRPr="00815013">
              <w:rPr>
                <w:rFonts w:cs="Arial"/>
                <w:i/>
                <w:snapToGrid w:val="0"/>
              </w:rPr>
              <w:t>Macronectes</w:t>
            </w:r>
            <w:proofErr w:type="spellEnd"/>
            <w:r w:rsidR="002F4C54" w:rsidRPr="00815013">
              <w:rPr>
                <w:rFonts w:cs="Arial"/>
                <w:i/>
                <w:snapToGrid w:val="0"/>
              </w:rPr>
              <w:t xml:space="preserve"> </w:t>
            </w:r>
            <w:proofErr w:type="spellStart"/>
            <w:r w:rsidR="002F4C54" w:rsidRPr="00815013">
              <w:rPr>
                <w:rFonts w:cs="Arial"/>
                <w:i/>
                <w:snapToGrid w:val="0"/>
              </w:rPr>
              <w:t>giganticus</w:t>
            </w:r>
            <w:proofErr w:type="spellEnd"/>
            <w:r w:rsidR="002F4C54" w:rsidRPr="00815013">
              <w:rPr>
                <w:rFonts w:cs="Arial"/>
                <w:snapToGrid w:val="0"/>
              </w:rPr>
              <w:t>) and three sooty shearwaters (</w:t>
            </w:r>
            <w:proofErr w:type="spellStart"/>
            <w:r w:rsidR="002F4C54" w:rsidRPr="00815013">
              <w:rPr>
                <w:rFonts w:cs="Arial"/>
                <w:i/>
                <w:snapToGrid w:val="0"/>
              </w:rPr>
              <w:t>Puffinus</w:t>
            </w:r>
            <w:proofErr w:type="spellEnd"/>
            <w:r w:rsidR="002F4C54" w:rsidRPr="00815013">
              <w:rPr>
                <w:rFonts w:cs="Arial"/>
                <w:i/>
                <w:snapToGrid w:val="0"/>
              </w:rPr>
              <w:t xml:space="preserve"> </w:t>
            </w:r>
            <w:proofErr w:type="spellStart"/>
            <w:r w:rsidR="002F4C54" w:rsidRPr="00815013">
              <w:rPr>
                <w:rFonts w:cs="Arial"/>
                <w:i/>
                <w:snapToGrid w:val="0"/>
              </w:rPr>
              <w:t>griseus</w:t>
            </w:r>
            <w:proofErr w:type="spellEnd"/>
            <w:r w:rsidR="002F4C54" w:rsidRPr="00815013">
              <w:rPr>
                <w:rFonts w:cs="Arial"/>
                <w:snapToGrid w:val="0"/>
              </w:rPr>
              <w:t xml:space="preserve">) were reported injured or killed, there have been no incidental mortalities of seabirds or marine mammals. </w:t>
            </w:r>
            <w:r w:rsidRPr="00815013">
              <w:rPr>
                <w:rFonts w:cs="Arial"/>
                <w:snapToGrid w:val="0"/>
              </w:rPr>
              <w:t xml:space="preserve">Since the inception of </w:t>
            </w:r>
            <w:r w:rsidR="002F4C54" w:rsidRPr="00815013">
              <w:rPr>
                <w:rFonts w:cs="Arial"/>
                <w:snapToGrid w:val="0"/>
              </w:rPr>
              <w:t>Division 58.4.2 in 2003</w:t>
            </w:r>
            <w:r w:rsidRPr="00815013">
              <w:rPr>
                <w:rFonts w:cs="Arial"/>
                <w:snapToGrid w:val="0"/>
              </w:rPr>
              <w:t>,</w:t>
            </w:r>
            <w:r w:rsidR="002F4C54" w:rsidRPr="00815013">
              <w:rPr>
                <w:rFonts w:cs="Arial"/>
                <w:snapToGrid w:val="0"/>
              </w:rPr>
              <w:t xml:space="preserve"> there have been no observed incidental mortalities of seabirds, and only one reported mortality of a leopard seal (</w:t>
            </w:r>
            <w:proofErr w:type="spellStart"/>
            <w:r w:rsidR="002F4C54" w:rsidRPr="00815013">
              <w:rPr>
                <w:rFonts w:cs="Arial"/>
                <w:i/>
                <w:snapToGrid w:val="0"/>
              </w:rPr>
              <w:t>Hydrurga</w:t>
            </w:r>
            <w:proofErr w:type="spellEnd"/>
            <w:r w:rsidR="002F4C54" w:rsidRPr="00815013">
              <w:rPr>
                <w:rFonts w:cs="Arial"/>
                <w:i/>
                <w:snapToGrid w:val="0"/>
              </w:rPr>
              <w:t xml:space="preserve"> </w:t>
            </w:r>
            <w:proofErr w:type="spellStart"/>
            <w:r w:rsidR="002F4C54" w:rsidRPr="00815013">
              <w:rPr>
                <w:rFonts w:cs="Arial"/>
                <w:i/>
                <w:snapToGrid w:val="0"/>
              </w:rPr>
              <w:t>leptonyx</w:t>
            </w:r>
            <w:proofErr w:type="spellEnd"/>
            <w:r w:rsidR="002F4C54" w:rsidRPr="00815013">
              <w:rPr>
                <w:rFonts w:cs="Arial"/>
                <w:snapToGrid w:val="0"/>
              </w:rPr>
              <w:t>). This occurred in 2005 (</w:t>
            </w:r>
            <w:hyperlink r:id="rId50" w:history="1">
              <w:r w:rsidR="00D21C36" w:rsidRPr="00D21C36">
                <w:rPr>
                  <w:rStyle w:val="Hyperlink"/>
                  <w:rFonts w:cs="Arial"/>
                </w:rPr>
                <w:t>CCAMLR Fishery Reports 2014</w:t>
              </w:r>
            </w:hyperlink>
            <w:r w:rsidR="002F4C54" w:rsidRPr="00815013">
              <w:rPr>
                <w:rFonts w:cs="Arial"/>
                <w:snapToGrid w:val="0"/>
              </w:rPr>
              <w:t>).</w:t>
            </w:r>
          </w:p>
          <w:p w:rsidR="005A64BA" w:rsidRPr="00815013" w:rsidRDefault="003D37C7" w:rsidP="001B08D4">
            <w:pPr>
              <w:spacing w:before="60" w:after="60" w:line="240" w:lineRule="auto"/>
              <w:rPr>
                <w:rFonts w:cs="Arial"/>
                <w:snapToGrid w:val="0"/>
              </w:rPr>
            </w:pPr>
            <w:r w:rsidRPr="00815013">
              <w:rPr>
                <w:rFonts w:cs="Arial"/>
                <w:snapToGrid w:val="0"/>
              </w:rPr>
              <w:t>CCAMLR and AFMA require w</w:t>
            </w:r>
            <w:r w:rsidR="005A64BA" w:rsidRPr="00815013">
              <w:rPr>
                <w:rFonts w:cs="Arial"/>
                <w:snapToGrid w:val="0"/>
              </w:rPr>
              <w:t xml:space="preserve">ildlife interaction reports </w:t>
            </w:r>
            <w:r w:rsidRPr="00815013">
              <w:rPr>
                <w:rFonts w:cs="Arial"/>
                <w:snapToGrid w:val="0"/>
              </w:rPr>
              <w:t>to be completed and submitted within 24 hours of an interaction with a protected specie</w:t>
            </w:r>
            <w:r w:rsidR="009563DA">
              <w:rPr>
                <w:rFonts w:cs="Arial"/>
                <w:snapToGrid w:val="0"/>
              </w:rPr>
              <w:t>s</w:t>
            </w:r>
            <w:r w:rsidR="007C08E5" w:rsidRPr="00815013">
              <w:rPr>
                <w:rFonts w:cs="Arial"/>
                <w:snapToGrid w:val="0"/>
              </w:rPr>
              <w:t xml:space="preserve">. Each report must </w:t>
            </w:r>
            <w:r w:rsidR="005A64BA" w:rsidRPr="00815013">
              <w:rPr>
                <w:rFonts w:cs="Arial"/>
                <w:snapToGrid w:val="0"/>
              </w:rPr>
              <w:t>include a detailed response to each wildlife interaction</w:t>
            </w:r>
            <w:r w:rsidR="007C08E5" w:rsidRPr="00815013">
              <w:rPr>
                <w:rFonts w:cs="Arial"/>
                <w:snapToGrid w:val="0"/>
              </w:rPr>
              <w:t>,</w:t>
            </w:r>
            <w:r w:rsidR="005A64BA" w:rsidRPr="00815013">
              <w:rPr>
                <w:rFonts w:cs="Arial"/>
                <w:snapToGrid w:val="0"/>
              </w:rPr>
              <w:t xml:space="preserve"> which must be implemented immediately by the fisher to minimise the likelihood of similar interactions.</w:t>
            </w:r>
            <w:r w:rsidR="007C08E5" w:rsidRPr="00815013">
              <w:rPr>
                <w:rFonts w:cs="Arial"/>
                <w:snapToGrid w:val="0"/>
              </w:rPr>
              <w:t xml:space="preserve"> These </w:t>
            </w:r>
            <w:r w:rsidR="005A64BA" w:rsidRPr="00815013">
              <w:rPr>
                <w:rFonts w:cs="Arial"/>
                <w:snapToGrid w:val="0"/>
              </w:rPr>
              <w:t xml:space="preserve">reports are reviewed regularly </w:t>
            </w:r>
            <w:r w:rsidR="007C08E5" w:rsidRPr="00815013">
              <w:rPr>
                <w:rFonts w:cs="Arial"/>
                <w:snapToGrid w:val="0"/>
              </w:rPr>
              <w:t xml:space="preserve">by AFMA’s </w:t>
            </w:r>
            <w:r w:rsidR="0096492B">
              <w:rPr>
                <w:rFonts w:cs="Arial"/>
                <w:snapToGrid w:val="0"/>
              </w:rPr>
              <w:t>Sub-Ant</w:t>
            </w:r>
            <w:r w:rsidR="005A64BA" w:rsidRPr="00815013">
              <w:rPr>
                <w:rFonts w:cs="Arial"/>
                <w:snapToGrid w:val="0"/>
              </w:rPr>
              <w:t>arctic Resource Assessment Group</w:t>
            </w:r>
            <w:r w:rsidR="007C08E5" w:rsidRPr="00815013">
              <w:rPr>
                <w:rFonts w:cs="Arial"/>
                <w:snapToGrid w:val="0"/>
              </w:rPr>
              <w:t xml:space="preserve">, who </w:t>
            </w:r>
            <w:proofErr w:type="gramStart"/>
            <w:r w:rsidR="007C08E5" w:rsidRPr="00815013">
              <w:rPr>
                <w:rFonts w:cs="Arial"/>
                <w:snapToGrid w:val="0"/>
              </w:rPr>
              <w:t>advise</w:t>
            </w:r>
            <w:proofErr w:type="gramEnd"/>
            <w:r w:rsidR="007C08E5" w:rsidRPr="00815013">
              <w:rPr>
                <w:rFonts w:cs="Arial"/>
                <w:snapToGrid w:val="0"/>
              </w:rPr>
              <w:t xml:space="preserve"> </w:t>
            </w:r>
            <w:r w:rsidR="005A64BA" w:rsidRPr="00815013">
              <w:rPr>
                <w:rFonts w:cs="Arial"/>
                <w:snapToGrid w:val="0"/>
              </w:rPr>
              <w:t xml:space="preserve">AFMA </w:t>
            </w:r>
            <w:r w:rsidR="007C08E5" w:rsidRPr="00815013">
              <w:rPr>
                <w:rFonts w:cs="Arial"/>
                <w:snapToGrid w:val="0"/>
              </w:rPr>
              <w:t xml:space="preserve">on ways to </w:t>
            </w:r>
            <w:r w:rsidR="005A64BA" w:rsidRPr="00815013">
              <w:rPr>
                <w:rFonts w:cs="Arial"/>
                <w:snapToGrid w:val="0"/>
              </w:rPr>
              <w:t>further refine management arrangements.</w:t>
            </w:r>
          </w:p>
          <w:p w:rsidR="005A64BA" w:rsidRPr="00815013" w:rsidRDefault="005A64BA" w:rsidP="001B08D4">
            <w:pPr>
              <w:spacing w:before="60" w:after="60" w:line="240" w:lineRule="auto"/>
              <w:rPr>
                <w:rFonts w:cs="Arial"/>
                <w:snapToGrid w:val="0"/>
              </w:rPr>
            </w:pPr>
            <w:r w:rsidRPr="00815013">
              <w:rPr>
                <w:rFonts w:cs="Arial"/>
                <w:snapToGrid w:val="0"/>
              </w:rPr>
              <w:t>Current measures in place to minimise risk to protected species and ecological communities include:</w:t>
            </w:r>
          </w:p>
          <w:p w:rsidR="00C75517" w:rsidRDefault="00C75517" w:rsidP="00C75517">
            <w:pPr>
              <w:pStyle w:val="ListBullet"/>
              <w:spacing w:before="60" w:after="60" w:line="240" w:lineRule="auto"/>
              <w:rPr>
                <w:rFonts w:cs="Arial"/>
              </w:rPr>
            </w:pPr>
            <w:r w:rsidRPr="00815013">
              <w:rPr>
                <w:rFonts w:cs="Arial"/>
              </w:rPr>
              <w:t>Prohibition on offal</w:t>
            </w:r>
            <w:r>
              <w:rPr>
                <w:rFonts w:cs="Arial"/>
              </w:rPr>
              <w:t xml:space="preserve"> discharge</w:t>
            </w:r>
            <w:r w:rsidRPr="00815013">
              <w:rPr>
                <w:rFonts w:cs="Arial"/>
              </w:rPr>
              <w:t xml:space="preserve">, and </w:t>
            </w:r>
            <w:r>
              <w:rPr>
                <w:rFonts w:cs="Arial"/>
              </w:rPr>
              <w:t xml:space="preserve">restrictions </w:t>
            </w:r>
            <w:r w:rsidRPr="00815013">
              <w:rPr>
                <w:rFonts w:cs="Arial"/>
              </w:rPr>
              <w:t xml:space="preserve">on bycatch </w:t>
            </w:r>
            <w:r>
              <w:rPr>
                <w:rFonts w:cs="Arial"/>
              </w:rPr>
              <w:t xml:space="preserve">release </w:t>
            </w:r>
            <w:r w:rsidRPr="00815013">
              <w:rPr>
                <w:rFonts w:cs="Arial"/>
              </w:rPr>
              <w:t xml:space="preserve">to avoid attracting </w:t>
            </w:r>
            <w:r>
              <w:rPr>
                <w:rFonts w:cs="Arial"/>
              </w:rPr>
              <w:t xml:space="preserve">and provisioning </w:t>
            </w:r>
            <w:r w:rsidRPr="00815013">
              <w:rPr>
                <w:rFonts w:cs="Arial"/>
              </w:rPr>
              <w:t>wildlife</w:t>
            </w:r>
          </w:p>
          <w:p w:rsidR="00C75517" w:rsidRPr="00C75517" w:rsidRDefault="00C75517" w:rsidP="00C75517">
            <w:pPr>
              <w:pStyle w:val="ListBullet"/>
              <w:spacing w:before="60" w:after="60" w:line="240" w:lineRule="auto"/>
              <w:rPr>
                <w:rFonts w:cs="Arial"/>
              </w:rPr>
            </w:pPr>
            <w:r w:rsidRPr="00815013">
              <w:rPr>
                <w:rFonts w:cs="Arial"/>
              </w:rPr>
              <w:t>Contingency arrangements for disposal of fish meal if the fish meal plant breaks down</w:t>
            </w:r>
          </w:p>
          <w:p w:rsidR="005A64BA" w:rsidRPr="00815013" w:rsidRDefault="005A64BA" w:rsidP="001B08D4">
            <w:pPr>
              <w:pStyle w:val="ListBullet"/>
              <w:spacing w:before="60" w:after="60" w:line="240" w:lineRule="auto"/>
              <w:rPr>
                <w:rFonts w:cs="Arial"/>
                <w:snapToGrid w:val="0"/>
              </w:rPr>
            </w:pPr>
            <w:r w:rsidRPr="00815013">
              <w:rPr>
                <w:rFonts w:cs="Arial"/>
                <w:snapToGrid w:val="0"/>
              </w:rPr>
              <w:t xml:space="preserve">Using integrated weight line, paired streamer lines, </w:t>
            </w:r>
            <w:proofErr w:type="spellStart"/>
            <w:r w:rsidRPr="00815013">
              <w:rPr>
                <w:rFonts w:cs="Arial"/>
                <w:snapToGrid w:val="0"/>
              </w:rPr>
              <w:t>brickle</w:t>
            </w:r>
            <w:proofErr w:type="spellEnd"/>
            <w:r w:rsidRPr="00815013">
              <w:rPr>
                <w:rFonts w:cs="Arial"/>
                <w:snapToGrid w:val="0"/>
              </w:rPr>
              <w:t xml:space="preserve"> curtains and seasonal closures to avoid seabirds attendi</w:t>
            </w:r>
            <w:r w:rsidR="007C08E5" w:rsidRPr="00815013">
              <w:rPr>
                <w:rFonts w:cs="Arial"/>
                <w:snapToGrid w:val="0"/>
              </w:rPr>
              <w:t>ng baits</w:t>
            </w:r>
          </w:p>
          <w:p w:rsidR="005A64BA" w:rsidRPr="00815013" w:rsidRDefault="005A64BA" w:rsidP="001B08D4">
            <w:pPr>
              <w:pStyle w:val="ListBullet"/>
              <w:spacing w:before="60" w:after="60" w:line="240" w:lineRule="auto"/>
              <w:rPr>
                <w:rFonts w:cs="Arial"/>
                <w:snapToGrid w:val="0"/>
              </w:rPr>
            </w:pPr>
            <w:r w:rsidRPr="00815013">
              <w:rPr>
                <w:rFonts w:cs="Arial"/>
                <w:snapToGrid w:val="0"/>
              </w:rPr>
              <w:t xml:space="preserve">Minimising lighting on fishing </w:t>
            </w:r>
            <w:r w:rsidR="0096492B">
              <w:rPr>
                <w:rFonts w:cs="Arial"/>
                <w:snapToGrid w:val="0"/>
              </w:rPr>
              <w:t>vessel</w:t>
            </w:r>
            <w:r w:rsidRPr="00815013">
              <w:rPr>
                <w:rFonts w:cs="Arial"/>
                <w:snapToGrid w:val="0"/>
              </w:rPr>
              <w:t>s to reduce the risk o</w:t>
            </w:r>
            <w:r w:rsidR="007C08E5" w:rsidRPr="00815013">
              <w:rPr>
                <w:rFonts w:cs="Arial"/>
                <w:snapToGrid w:val="0"/>
              </w:rPr>
              <w:t xml:space="preserve">f seabirds colliding with </w:t>
            </w:r>
            <w:r w:rsidR="0096492B">
              <w:rPr>
                <w:rFonts w:cs="Arial"/>
                <w:snapToGrid w:val="0"/>
              </w:rPr>
              <w:t>vessel</w:t>
            </w:r>
            <w:r w:rsidR="007C08E5" w:rsidRPr="00815013">
              <w:rPr>
                <w:rFonts w:cs="Arial"/>
                <w:snapToGrid w:val="0"/>
              </w:rPr>
              <w:t>s</w:t>
            </w:r>
          </w:p>
          <w:p w:rsidR="005A64BA" w:rsidRDefault="005A64BA" w:rsidP="001B08D4">
            <w:pPr>
              <w:pStyle w:val="ListBullet"/>
              <w:spacing w:before="60" w:after="60" w:line="240" w:lineRule="auto"/>
              <w:rPr>
                <w:rFonts w:cs="Arial"/>
                <w:snapToGrid w:val="0"/>
              </w:rPr>
            </w:pPr>
            <w:r w:rsidRPr="00815013">
              <w:rPr>
                <w:rFonts w:cs="Arial"/>
                <w:snapToGrid w:val="0"/>
              </w:rPr>
              <w:t>Prohibition on use of plastic packaging bands to secure bait boxes.</w:t>
            </w:r>
          </w:p>
          <w:p w:rsidR="006A2775" w:rsidRPr="00815013" w:rsidRDefault="006A2775" w:rsidP="006A2775">
            <w:pPr>
              <w:pStyle w:val="ListBullet"/>
              <w:spacing w:before="60" w:after="60" w:line="240" w:lineRule="auto"/>
              <w:rPr>
                <w:rFonts w:cs="Arial"/>
              </w:rPr>
            </w:pPr>
            <w:r w:rsidRPr="00815013">
              <w:rPr>
                <w:rFonts w:cs="Arial"/>
              </w:rPr>
              <w:t xml:space="preserve">Requirement that all plastic be burned and </w:t>
            </w:r>
            <w:r>
              <w:rPr>
                <w:rFonts w:cs="Arial"/>
              </w:rPr>
              <w:t xml:space="preserve">the </w:t>
            </w:r>
            <w:r w:rsidRPr="00815013">
              <w:rPr>
                <w:rFonts w:cs="Arial"/>
              </w:rPr>
              <w:t>residue not discarded at sea</w:t>
            </w:r>
          </w:p>
          <w:p w:rsidR="006A2775" w:rsidRPr="00C75517" w:rsidRDefault="006A2775" w:rsidP="006A2775">
            <w:pPr>
              <w:pStyle w:val="ListBullet"/>
              <w:spacing w:before="60" w:after="60" w:line="240" w:lineRule="auto"/>
              <w:rPr>
                <w:rFonts w:cs="Arial"/>
              </w:rPr>
            </w:pPr>
            <w:r w:rsidRPr="00815013">
              <w:rPr>
                <w:rFonts w:cs="Arial"/>
              </w:rPr>
              <w:t>Prohibition on the dumping of oil, plastic, garbage, food waste, sewage and ash</w:t>
            </w:r>
          </w:p>
          <w:p w:rsidR="006A2775" w:rsidRPr="00815013" w:rsidRDefault="006A2775" w:rsidP="006A2775">
            <w:pPr>
              <w:pStyle w:val="ListBullet"/>
              <w:spacing w:before="60" w:after="60" w:line="240" w:lineRule="auto"/>
              <w:rPr>
                <w:rFonts w:cs="Arial"/>
              </w:rPr>
            </w:pPr>
            <w:r w:rsidRPr="00815013">
              <w:rPr>
                <w:rFonts w:cs="Arial"/>
              </w:rPr>
              <w:t xml:space="preserve">Restriction on the discharge of poultry products </w:t>
            </w:r>
            <w:r>
              <w:rPr>
                <w:rFonts w:cs="Arial"/>
              </w:rPr>
              <w:t>and</w:t>
            </w:r>
            <w:r w:rsidRPr="00815013">
              <w:rPr>
                <w:rFonts w:cs="Arial"/>
              </w:rPr>
              <w:t xml:space="preserve"> </w:t>
            </w:r>
            <w:proofErr w:type="spellStart"/>
            <w:r w:rsidRPr="00815013">
              <w:rPr>
                <w:rFonts w:cs="Arial"/>
              </w:rPr>
              <w:t>brassicas</w:t>
            </w:r>
            <w:proofErr w:type="spellEnd"/>
            <w:r w:rsidRPr="00815013">
              <w:rPr>
                <w:rFonts w:cs="Arial"/>
              </w:rPr>
              <w:t xml:space="preserve"> to avoid the introduction of avian diseases and non-native plants</w:t>
            </w:r>
          </w:p>
          <w:p w:rsidR="00AD59AA" w:rsidRPr="00815013" w:rsidRDefault="00AD59AA" w:rsidP="001B08D4">
            <w:pPr>
              <w:spacing w:before="60" w:after="60" w:line="240" w:lineRule="auto"/>
              <w:rPr>
                <w:rFonts w:cs="Arial"/>
                <w:snapToGrid w:val="0"/>
              </w:rPr>
            </w:pPr>
            <w:r w:rsidRPr="00815013">
              <w:rPr>
                <w:rFonts w:cs="Arial"/>
                <w:snapToGrid w:val="0"/>
              </w:rPr>
              <w:t>Australia has a strong record of compliance with these requirements, which are reviewed and reported on annually by CCAMLR.</w:t>
            </w:r>
          </w:p>
          <w:p w:rsidR="008E4070" w:rsidRPr="00815013" w:rsidRDefault="008E4070" w:rsidP="001B08D4">
            <w:pPr>
              <w:spacing w:before="60" w:after="60" w:line="240" w:lineRule="auto"/>
              <w:rPr>
                <w:rFonts w:cs="Arial"/>
                <w:snapToGrid w:val="0"/>
              </w:rPr>
            </w:pPr>
            <w:r w:rsidRPr="00815013">
              <w:rPr>
                <w:rFonts w:cs="Arial"/>
                <w:snapToGrid w:val="0"/>
              </w:rPr>
              <w:t xml:space="preserve">AFMA’s management arrangements are also consistent with the following </w:t>
            </w:r>
            <w:r w:rsidR="009563DA">
              <w:rPr>
                <w:rFonts w:cs="Arial"/>
                <w:snapToGrid w:val="0"/>
              </w:rPr>
              <w:t>national and international plans for the conservation for protected species</w:t>
            </w:r>
            <w:r w:rsidRPr="00815013">
              <w:rPr>
                <w:rFonts w:cs="Arial"/>
                <w:snapToGrid w:val="0"/>
              </w:rPr>
              <w:t>:</w:t>
            </w:r>
          </w:p>
          <w:p w:rsidR="008E4070" w:rsidRPr="00815013" w:rsidRDefault="00D440B7" w:rsidP="001B08D4">
            <w:pPr>
              <w:pStyle w:val="ListBullet"/>
              <w:spacing w:before="60" w:after="60" w:line="240" w:lineRule="auto"/>
              <w:rPr>
                <w:rFonts w:cs="Arial"/>
                <w:snapToGrid w:val="0"/>
              </w:rPr>
            </w:pPr>
            <w:hyperlink r:id="rId51" w:history="1">
              <w:r w:rsidR="008E4070" w:rsidRPr="00C329D3">
                <w:rPr>
                  <w:rStyle w:val="Hyperlink"/>
                  <w:rFonts w:cs="Arial"/>
                  <w:snapToGrid w:val="0"/>
                </w:rPr>
                <w:t xml:space="preserve">CCAMLR </w:t>
              </w:r>
              <w:r w:rsidR="00456967">
                <w:rPr>
                  <w:rStyle w:val="Hyperlink"/>
                  <w:rFonts w:cs="Arial"/>
                  <w:snapToGrid w:val="0"/>
                </w:rPr>
                <w:t>conservation measure</w:t>
              </w:r>
              <w:r w:rsidR="008E4070" w:rsidRPr="00C329D3">
                <w:rPr>
                  <w:rStyle w:val="Hyperlink"/>
                  <w:rFonts w:cs="Arial"/>
                  <w:snapToGrid w:val="0"/>
                </w:rPr>
                <w:t>s</w:t>
              </w:r>
            </w:hyperlink>
          </w:p>
          <w:p w:rsidR="008E4070" w:rsidRPr="00815013" w:rsidRDefault="00D440B7" w:rsidP="001B08D4">
            <w:pPr>
              <w:pStyle w:val="ListBullet"/>
              <w:spacing w:before="60" w:after="60" w:line="240" w:lineRule="auto"/>
              <w:rPr>
                <w:rFonts w:cs="Arial"/>
                <w:snapToGrid w:val="0"/>
              </w:rPr>
            </w:pPr>
            <w:hyperlink r:id="rId52" w:history="1">
              <w:r w:rsidR="008E4070" w:rsidRPr="00C329D3">
                <w:rPr>
                  <w:rStyle w:val="Hyperlink"/>
                  <w:rFonts w:cs="Arial"/>
                  <w:snapToGrid w:val="0"/>
                </w:rPr>
                <w:t>National recovery plan for threatened albatrosses and giant petrels 2011–2016</w:t>
              </w:r>
            </w:hyperlink>
          </w:p>
          <w:p w:rsidR="008E4070" w:rsidRPr="00815013" w:rsidRDefault="00D440B7" w:rsidP="001B08D4">
            <w:pPr>
              <w:pStyle w:val="ListBullet"/>
              <w:spacing w:before="60" w:after="60" w:line="240" w:lineRule="auto"/>
              <w:rPr>
                <w:rFonts w:cs="Arial"/>
                <w:snapToGrid w:val="0"/>
              </w:rPr>
            </w:pPr>
            <w:hyperlink r:id="rId53" w:history="1">
              <w:r w:rsidR="008E4070" w:rsidRPr="00C329D3">
                <w:rPr>
                  <w:rStyle w:val="Hyperlink"/>
                  <w:rFonts w:cs="Arial"/>
                  <w:snapToGrid w:val="0"/>
                </w:rPr>
                <w:t xml:space="preserve">Threat Abatement Plan 2014 for the incidental catch (or bycatch) of seabirds during oceanic </w:t>
              </w:r>
              <w:proofErr w:type="spellStart"/>
              <w:r w:rsidR="008E4070" w:rsidRPr="00C329D3">
                <w:rPr>
                  <w:rStyle w:val="Hyperlink"/>
                  <w:rFonts w:cs="Arial"/>
                  <w:snapToGrid w:val="0"/>
                </w:rPr>
                <w:t>longline</w:t>
              </w:r>
              <w:proofErr w:type="spellEnd"/>
              <w:r w:rsidR="008E4070" w:rsidRPr="00C329D3">
                <w:rPr>
                  <w:rStyle w:val="Hyperlink"/>
                  <w:rFonts w:cs="Arial"/>
                  <w:snapToGrid w:val="0"/>
                </w:rPr>
                <w:t xml:space="preserve"> fishing operations</w:t>
              </w:r>
            </w:hyperlink>
            <w:r w:rsidR="008E4070" w:rsidRPr="00815013">
              <w:rPr>
                <w:rFonts w:cs="Arial"/>
                <w:snapToGrid w:val="0"/>
              </w:rPr>
              <w:t>, and</w:t>
            </w:r>
          </w:p>
          <w:p w:rsidR="00AD59AA" w:rsidRPr="00815013" w:rsidRDefault="00D440B7" w:rsidP="001B08D4">
            <w:pPr>
              <w:pStyle w:val="ListBullet"/>
              <w:spacing w:before="60" w:after="60" w:line="240" w:lineRule="auto"/>
              <w:rPr>
                <w:rFonts w:cs="Arial"/>
                <w:snapToGrid w:val="0"/>
              </w:rPr>
            </w:pPr>
            <w:hyperlink r:id="rId54" w:history="1">
              <w:r w:rsidR="008E4070" w:rsidRPr="00C329D3">
                <w:rPr>
                  <w:rStyle w:val="Hyperlink"/>
                  <w:rFonts w:cs="Arial"/>
                  <w:snapToGrid w:val="0"/>
                </w:rPr>
                <w:t>Agreement on the Conservation of Albatrosses and Petrels</w:t>
              </w:r>
            </w:hyperlink>
            <w:r w:rsidR="007C08E5" w:rsidRPr="00815013">
              <w:rPr>
                <w:rFonts w:cs="Arial"/>
                <w:snapToGrid w:val="0"/>
              </w:rPr>
              <w:t>.</w:t>
            </w:r>
          </w:p>
        </w:tc>
      </w:tr>
      <w:tr w:rsidR="00DB3554" w:rsidRPr="00815013" w:rsidTr="00CD56A6">
        <w:trPr>
          <w:jc w:val="center"/>
        </w:trPr>
        <w:tc>
          <w:tcPr>
            <w:tcW w:w="2484" w:type="dxa"/>
            <w:tcBorders>
              <w:top w:val="single" w:sz="4" w:space="0" w:color="auto"/>
              <w:left w:val="single" w:sz="4" w:space="0" w:color="auto"/>
              <w:bottom w:val="single" w:sz="4" w:space="0" w:color="auto"/>
              <w:right w:val="single" w:sz="4" w:space="0" w:color="auto"/>
            </w:tcBorders>
          </w:tcPr>
          <w:p w:rsidR="00DB3554" w:rsidRPr="00815013" w:rsidRDefault="00DB3554" w:rsidP="001B08D4">
            <w:pPr>
              <w:spacing w:before="60" w:after="60" w:line="240" w:lineRule="auto"/>
              <w:rPr>
                <w:rFonts w:cs="Arial"/>
                <w:b/>
                <w:snapToGrid w:val="0"/>
              </w:rPr>
            </w:pPr>
            <w:r w:rsidRPr="00815013">
              <w:rPr>
                <w:rFonts w:cs="Arial"/>
                <w:b/>
                <w:snapToGrid w:val="0"/>
              </w:rPr>
              <w:t>Ecosystem Impacts</w:t>
            </w:r>
          </w:p>
        </w:tc>
        <w:tc>
          <w:tcPr>
            <w:tcW w:w="7236" w:type="dxa"/>
            <w:tcBorders>
              <w:top w:val="single" w:sz="4" w:space="0" w:color="auto"/>
              <w:left w:val="single" w:sz="4" w:space="0" w:color="auto"/>
              <w:bottom w:val="single" w:sz="4" w:space="0" w:color="auto"/>
              <w:right w:val="single" w:sz="4" w:space="0" w:color="auto"/>
            </w:tcBorders>
          </w:tcPr>
          <w:p w:rsidR="004B734E" w:rsidRPr="00AC678D" w:rsidRDefault="000F7A58" w:rsidP="00AC678D">
            <w:pPr>
              <w:spacing w:before="60" w:after="60" w:line="240" w:lineRule="auto"/>
              <w:rPr>
                <w:rFonts w:cs="Arial"/>
                <w:snapToGrid w:val="0"/>
              </w:rPr>
            </w:pPr>
            <w:r w:rsidRPr="00AC678D">
              <w:rPr>
                <w:rFonts w:cs="Arial"/>
                <w:snapToGrid w:val="0"/>
              </w:rPr>
              <w:t>Due to the harvesting method used in the CCAMLR Exploratory Fisheries (</w:t>
            </w:r>
            <w:proofErr w:type="spellStart"/>
            <w:r w:rsidRPr="00AC678D">
              <w:rPr>
                <w:rFonts w:cs="Arial"/>
                <w:snapToGrid w:val="0"/>
              </w:rPr>
              <w:t>demersal</w:t>
            </w:r>
            <w:proofErr w:type="spellEnd"/>
            <w:r w:rsidRPr="00AC678D">
              <w:rPr>
                <w:rFonts w:cs="Arial"/>
                <w:snapToGrid w:val="0"/>
              </w:rPr>
              <w:t xml:space="preserve"> </w:t>
            </w:r>
            <w:proofErr w:type="spellStart"/>
            <w:r w:rsidRPr="00AC678D">
              <w:rPr>
                <w:rFonts w:cs="Arial"/>
                <w:snapToGrid w:val="0"/>
              </w:rPr>
              <w:t>longlines</w:t>
            </w:r>
            <w:proofErr w:type="spellEnd"/>
            <w:r w:rsidRPr="00AC678D">
              <w:rPr>
                <w:rFonts w:cs="Arial"/>
                <w:snapToGrid w:val="0"/>
              </w:rPr>
              <w:t xml:space="preserve">) impacts to the physical ecosystem are considered to be relatively low. </w:t>
            </w:r>
            <w:r w:rsidR="005C0908" w:rsidRPr="00AC678D">
              <w:rPr>
                <w:rFonts w:cs="Arial"/>
                <w:snapToGrid w:val="0"/>
              </w:rPr>
              <w:t xml:space="preserve">However, to mitigate potential impacts, </w:t>
            </w:r>
            <w:r w:rsidR="00050A76" w:rsidRPr="00AC678D">
              <w:rPr>
                <w:rFonts w:cs="Arial"/>
                <w:snapToGrid w:val="0"/>
              </w:rPr>
              <w:t xml:space="preserve">on potentially vulnerable marine ecosystems, such as sponge-dominated communities, cold water corals and seep and vent communities, </w:t>
            </w:r>
            <w:r w:rsidR="00FF1DDA" w:rsidRPr="00FF1DDA">
              <w:rPr>
                <w:rFonts w:cs="Arial"/>
                <w:snapToGrid w:val="0"/>
              </w:rPr>
              <w:t>CCAMLR applies a risk framework with regular risk assessments undertaken for all Divisions.</w:t>
            </w:r>
          </w:p>
          <w:p w:rsidR="00DB3554" w:rsidRPr="00815013" w:rsidRDefault="00DB3554" w:rsidP="001B08D4">
            <w:pPr>
              <w:spacing w:before="60" w:after="60" w:line="240" w:lineRule="auto"/>
              <w:rPr>
                <w:rFonts w:cs="Arial"/>
                <w:snapToGrid w:val="0"/>
              </w:rPr>
            </w:pPr>
            <w:r w:rsidRPr="00815013">
              <w:rPr>
                <w:rFonts w:cs="Arial"/>
                <w:snapToGrid w:val="0"/>
              </w:rPr>
              <w:t xml:space="preserve">In line with international guidelines (FAO 2014b), CCAMLR has developed </w:t>
            </w:r>
            <w:r w:rsidR="004D5DED" w:rsidRPr="00815013">
              <w:rPr>
                <w:rFonts w:cs="Arial"/>
                <w:snapToGrid w:val="0"/>
              </w:rPr>
              <w:t>means</w:t>
            </w:r>
            <w:r w:rsidRPr="00815013">
              <w:rPr>
                <w:rFonts w:cs="Arial"/>
                <w:snapToGrid w:val="0"/>
              </w:rPr>
              <w:t xml:space="preserve"> </w:t>
            </w:r>
            <w:r w:rsidR="003C4F4D" w:rsidRPr="00815013">
              <w:rPr>
                <w:rFonts w:cs="Arial"/>
                <w:snapToGrid w:val="0"/>
              </w:rPr>
              <w:t>to identify and protect</w:t>
            </w:r>
            <w:r w:rsidRPr="00815013">
              <w:rPr>
                <w:rFonts w:cs="Arial"/>
                <w:snapToGrid w:val="0"/>
              </w:rPr>
              <w:t xml:space="preserve"> vulnerable marine ecosystems from the effects of fishing</w:t>
            </w:r>
            <w:r w:rsidR="00B51A2B" w:rsidRPr="00815013">
              <w:rPr>
                <w:rFonts w:cs="Arial"/>
                <w:snapToGrid w:val="0"/>
              </w:rPr>
              <w:t xml:space="preserve">; these </w:t>
            </w:r>
            <w:r w:rsidR="004D5DED" w:rsidRPr="00815013">
              <w:rPr>
                <w:rFonts w:cs="Arial"/>
                <w:snapToGrid w:val="0"/>
              </w:rPr>
              <w:t xml:space="preserve">are reflected in </w:t>
            </w:r>
            <w:r w:rsidR="00456967">
              <w:rPr>
                <w:rFonts w:cs="Arial"/>
                <w:snapToGrid w:val="0"/>
              </w:rPr>
              <w:t>conservation measure</w:t>
            </w:r>
            <w:r w:rsidR="004D5DED" w:rsidRPr="00815013">
              <w:rPr>
                <w:rFonts w:cs="Arial"/>
                <w:snapToGrid w:val="0"/>
              </w:rPr>
              <w:t xml:space="preserve">s including </w:t>
            </w:r>
            <w:hyperlink r:id="rId55" w:history="1">
              <w:r w:rsidR="00C329D3" w:rsidRPr="00C329D3">
                <w:rPr>
                  <w:rStyle w:val="Hyperlink"/>
                  <w:rFonts w:cs="Arial"/>
                  <w:snapToGrid w:val="0"/>
                </w:rPr>
                <w:t xml:space="preserve">CM </w:t>
              </w:r>
              <w:r w:rsidR="004D5DED" w:rsidRPr="00C329D3">
                <w:rPr>
                  <w:rStyle w:val="Hyperlink"/>
                  <w:rFonts w:cs="Arial"/>
                  <w:snapToGrid w:val="0"/>
                </w:rPr>
                <w:t>22-05</w:t>
              </w:r>
            </w:hyperlink>
            <w:r w:rsidR="004D5DED" w:rsidRPr="00815013">
              <w:rPr>
                <w:rFonts w:cs="Arial"/>
                <w:snapToGrid w:val="0"/>
              </w:rPr>
              <w:t xml:space="preserve">, </w:t>
            </w:r>
            <w:hyperlink r:id="rId56" w:history="1">
              <w:r w:rsidR="00C329D3" w:rsidRPr="00C329D3">
                <w:rPr>
                  <w:rStyle w:val="Hyperlink"/>
                  <w:rFonts w:cs="Arial"/>
                  <w:snapToGrid w:val="0"/>
                </w:rPr>
                <w:t xml:space="preserve">CM </w:t>
              </w:r>
              <w:r w:rsidR="004D5DED" w:rsidRPr="00C329D3">
                <w:rPr>
                  <w:rStyle w:val="Hyperlink"/>
                  <w:rFonts w:cs="Arial"/>
                  <w:snapToGrid w:val="0"/>
                </w:rPr>
                <w:t>22-06</w:t>
              </w:r>
            </w:hyperlink>
            <w:r w:rsidR="004D5DED" w:rsidRPr="00815013">
              <w:rPr>
                <w:rFonts w:cs="Arial"/>
                <w:snapToGrid w:val="0"/>
              </w:rPr>
              <w:t xml:space="preserve">, </w:t>
            </w:r>
            <w:hyperlink r:id="rId57" w:history="1">
              <w:r w:rsidR="00C329D3" w:rsidRPr="00C329D3">
                <w:rPr>
                  <w:rStyle w:val="Hyperlink"/>
                  <w:rFonts w:cs="Arial"/>
                  <w:snapToGrid w:val="0"/>
                </w:rPr>
                <w:t xml:space="preserve">CM </w:t>
              </w:r>
              <w:r w:rsidR="004D5DED" w:rsidRPr="00C329D3">
                <w:rPr>
                  <w:rStyle w:val="Hyperlink"/>
                  <w:rFonts w:cs="Arial"/>
                  <w:snapToGrid w:val="0"/>
                </w:rPr>
                <w:t>22-07</w:t>
              </w:r>
            </w:hyperlink>
            <w:r w:rsidR="004D5DED" w:rsidRPr="00815013">
              <w:rPr>
                <w:rFonts w:cs="Arial"/>
                <w:snapToGrid w:val="0"/>
              </w:rPr>
              <w:t xml:space="preserve">, </w:t>
            </w:r>
            <w:hyperlink r:id="rId58" w:history="1">
              <w:r w:rsidR="00C329D3" w:rsidRPr="00C329D3">
                <w:rPr>
                  <w:rStyle w:val="Hyperlink"/>
                  <w:rFonts w:cs="Arial"/>
                  <w:snapToGrid w:val="0"/>
                </w:rPr>
                <w:t xml:space="preserve">CM </w:t>
              </w:r>
              <w:r w:rsidR="004D5DED" w:rsidRPr="00C329D3">
                <w:rPr>
                  <w:rStyle w:val="Hyperlink"/>
                  <w:rFonts w:cs="Arial"/>
                  <w:snapToGrid w:val="0"/>
                </w:rPr>
                <w:t>22-08</w:t>
              </w:r>
            </w:hyperlink>
            <w:r w:rsidR="004D5DED" w:rsidRPr="00815013">
              <w:rPr>
                <w:rFonts w:cs="Arial"/>
                <w:snapToGrid w:val="0"/>
              </w:rPr>
              <w:t xml:space="preserve"> and </w:t>
            </w:r>
            <w:hyperlink r:id="rId59" w:history="1">
              <w:r w:rsidR="00C329D3" w:rsidRPr="00C329D3">
                <w:rPr>
                  <w:rStyle w:val="Hyperlink"/>
                  <w:rFonts w:cs="Arial"/>
                  <w:snapToGrid w:val="0"/>
                </w:rPr>
                <w:t xml:space="preserve">CM </w:t>
              </w:r>
              <w:r w:rsidR="004D5DED" w:rsidRPr="00C329D3">
                <w:rPr>
                  <w:rStyle w:val="Hyperlink"/>
                  <w:rFonts w:cs="Arial"/>
                  <w:snapToGrid w:val="0"/>
                </w:rPr>
                <w:t>22-09</w:t>
              </w:r>
            </w:hyperlink>
            <w:r w:rsidR="004D5DED" w:rsidRPr="00815013">
              <w:rPr>
                <w:rFonts w:cs="Arial"/>
                <w:snapToGrid w:val="0"/>
              </w:rPr>
              <w:t xml:space="preserve"> which cover</w:t>
            </w:r>
            <w:r w:rsidRPr="00815013">
              <w:rPr>
                <w:rFonts w:cs="Arial"/>
                <w:snapToGrid w:val="0"/>
              </w:rPr>
              <w:t>:</w:t>
            </w:r>
          </w:p>
          <w:p w:rsidR="00DB3554" w:rsidRPr="00815013" w:rsidRDefault="00DB3554" w:rsidP="001B08D4">
            <w:pPr>
              <w:pStyle w:val="ListBullet"/>
              <w:spacing w:before="60" w:after="60" w:line="240" w:lineRule="auto"/>
              <w:rPr>
                <w:rFonts w:cs="Arial"/>
                <w:snapToGrid w:val="0"/>
              </w:rPr>
            </w:pPr>
            <w:r w:rsidRPr="00815013">
              <w:rPr>
                <w:rFonts w:cs="Arial"/>
                <w:snapToGrid w:val="0"/>
              </w:rPr>
              <w:t>assessment of bottom fishing proposals by CCAMLR’s Scientific Committee</w:t>
            </w:r>
            <w:r w:rsidR="006A2775">
              <w:rPr>
                <w:rFonts w:cs="Arial"/>
                <w:snapToGrid w:val="0"/>
              </w:rPr>
              <w:t>, and ongoing assessment of impacts</w:t>
            </w:r>
          </w:p>
          <w:p w:rsidR="00DB3554" w:rsidRPr="00815013" w:rsidRDefault="006707B9" w:rsidP="001B08D4">
            <w:pPr>
              <w:pStyle w:val="ListBullet"/>
              <w:spacing w:before="60" w:after="60" w:line="240" w:lineRule="auto"/>
              <w:rPr>
                <w:rFonts w:cs="Arial"/>
                <w:snapToGrid w:val="0"/>
              </w:rPr>
            </w:pPr>
            <w:r w:rsidRPr="00815013">
              <w:rPr>
                <w:rFonts w:cs="Arial"/>
                <w:snapToGrid w:val="0"/>
              </w:rPr>
              <w:t xml:space="preserve">prohibition of </w:t>
            </w:r>
            <w:r w:rsidR="00DB3554" w:rsidRPr="00815013">
              <w:rPr>
                <w:rFonts w:cs="Arial"/>
                <w:snapToGrid w:val="0"/>
              </w:rPr>
              <w:t>fishing in depths shallower than 550 m</w:t>
            </w:r>
          </w:p>
          <w:p w:rsidR="00DB3554" w:rsidRPr="00815013" w:rsidRDefault="00DB3554" w:rsidP="001B08D4">
            <w:pPr>
              <w:pStyle w:val="ListBullet"/>
              <w:spacing w:before="60" w:after="60" w:line="240" w:lineRule="auto"/>
              <w:rPr>
                <w:rFonts w:cs="Arial"/>
                <w:snapToGrid w:val="0"/>
              </w:rPr>
            </w:pPr>
            <w:r w:rsidRPr="00815013">
              <w:rPr>
                <w:rFonts w:cs="Arial"/>
                <w:snapToGrid w:val="0"/>
              </w:rPr>
              <w:t>avoidance of registered vulnerable marine ecosystems</w:t>
            </w:r>
          </w:p>
          <w:p w:rsidR="00CD73AE" w:rsidRPr="00815013" w:rsidRDefault="00DB3554" w:rsidP="001B08D4">
            <w:pPr>
              <w:pStyle w:val="ListBullet"/>
              <w:spacing w:before="60" w:after="60" w:line="240" w:lineRule="auto"/>
              <w:rPr>
                <w:rFonts w:cs="Arial"/>
                <w:snapToGrid w:val="0"/>
              </w:rPr>
            </w:pPr>
            <w:r w:rsidRPr="00815013">
              <w:rPr>
                <w:rFonts w:cs="Arial"/>
                <w:snapToGrid w:val="0"/>
              </w:rPr>
              <w:t xml:space="preserve">data collection to </w:t>
            </w:r>
            <w:r w:rsidR="00CD73AE" w:rsidRPr="00815013">
              <w:rPr>
                <w:rFonts w:cs="Arial"/>
                <w:snapToGrid w:val="0"/>
              </w:rPr>
              <w:t>identify</w:t>
            </w:r>
            <w:r w:rsidRPr="00815013">
              <w:rPr>
                <w:rFonts w:cs="Arial"/>
                <w:snapToGrid w:val="0"/>
              </w:rPr>
              <w:t xml:space="preserve"> high risk areas</w:t>
            </w:r>
            <w:r w:rsidR="00CD73AE" w:rsidRPr="00815013">
              <w:rPr>
                <w:rFonts w:cs="Arial"/>
                <w:snapToGrid w:val="0"/>
              </w:rPr>
              <w:t>,</w:t>
            </w:r>
            <w:r w:rsidRPr="00815013">
              <w:rPr>
                <w:rFonts w:cs="Arial"/>
                <w:snapToGrid w:val="0"/>
              </w:rPr>
              <w:t xml:space="preserve"> and</w:t>
            </w:r>
          </w:p>
          <w:p w:rsidR="00DB3554" w:rsidRPr="00815013" w:rsidRDefault="005B220F" w:rsidP="001B08D4">
            <w:pPr>
              <w:pStyle w:val="ListBullet"/>
              <w:spacing w:before="60" w:after="60" w:line="240" w:lineRule="auto"/>
              <w:rPr>
                <w:rFonts w:cs="Arial"/>
                <w:snapToGrid w:val="0"/>
              </w:rPr>
            </w:pPr>
            <w:proofErr w:type="gramStart"/>
            <w:r w:rsidRPr="00815013">
              <w:rPr>
                <w:rFonts w:cs="Arial"/>
                <w:snapToGrid w:val="0"/>
              </w:rPr>
              <w:t>catch</w:t>
            </w:r>
            <w:proofErr w:type="gramEnd"/>
            <w:r w:rsidRPr="00815013">
              <w:rPr>
                <w:rFonts w:cs="Arial"/>
                <w:snapToGrid w:val="0"/>
              </w:rPr>
              <w:t xml:space="preserve"> limits and </w:t>
            </w:r>
            <w:r w:rsidR="00DB3554" w:rsidRPr="00815013">
              <w:rPr>
                <w:rFonts w:cs="Arial"/>
                <w:snapToGrid w:val="0"/>
              </w:rPr>
              <w:t>move-on provisions to avoid damage to high risk areas encountered when fishing.</w:t>
            </w:r>
          </w:p>
          <w:p w:rsidR="008E4070" w:rsidRPr="00815013" w:rsidRDefault="00050A76" w:rsidP="001B08D4">
            <w:pPr>
              <w:spacing w:before="60" w:after="60" w:line="240" w:lineRule="auto"/>
              <w:rPr>
                <w:rFonts w:cs="Arial"/>
                <w:snapToGrid w:val="0"/>
              </w:rPr>
            </w:pPr>
            <w:r>
              <w:rPr>
                <w:rFonts w:cs="Arial"/>
                <w:snapToGrid w:val="0"/>
              </w:rPr>
              <w:t>All fishing is</w:t>
            </w:r>
            <w:r w:rsidR="005B220F" w:rsidRPr="00815013">
              <w:rPr>
                <w:rFonts w:cs="Arial"/>
                <w:snapToGrid w:val="0"/>
              </w:rPr>
              <w:t xml:space="preserve"> </w:t>
            </w:r>
            <w:r w:rsidR="008E4070" w:rsidRPr="00815013">
              <w:rPr>
                <w:rFonts w:cs="Arial"/>
                <w:snapToGrid w:val="0"/>
              </w:rPr>
              <w:t>closely monitored and managed by CCAMLR and AFMA through a combination of daily shot-by-shot catch reports, active vessel satellite monitoring systems and information from the two independent onboard scientific observers.</w:t>
            </w:r>
          </w:p>
          <w:p w:rsidR="00CC5D24" w:rsidRDefault="00CC5D24" w:rsidP="001B08D4">
            <w:pPr>
              <w:pStyle w:val="ListBullet"/>
              <w:numPr>
                <w:ilvl w:val="0"/>
                <w:numId w:val="0"/>
              </w:numPr>
              <w:spacing w:before="60" w:after="60" w:line="240" w:lineRule="auto"/>
              <w:rPr>
                <w:rFonts w:cs="Arial"/>
                <w:snapToGrid w:val="0"/>
              </w:rPr>
            </w:pPr>
            <w:r w:rsidRPr="00815013">
              <w:rPr>
                <w:rFonts w:cs="Arial"/>
                <w:snapToGrid w:val="0"/>
              </w:rPr>
              <w:t xml:space="preserve">Spatial closures and move-on provisions apply when interactions with vulnerable marine ecosystems reach defined limits. These limits are further divided within each Division to maximise the value of fishery data being collected and minimise any risk of localised impact. </w:t>
            </w:r>
          </w:p>
          <w:p w:rsidR="00FF1DDA" w:rsidRPr="00FF1DDA" w:rsidRDefault="00FF1DDA" w:rsidP="00FF1DDA">
            <w:pPr>
              <w:spacing w:before="60" w:after="60" w:line="240" w:lineRule="auto"/>
            </w:pPr>
            <w:r w:rsidRPr="00FF1DDA">
              <w:rPr>
                <w:rFonts w:cs="Arial"/>
                <w:b/>
                <w:i/>
              </w:rPr>
              <w:t>Madrid Protocol</w:t>
            </w:r>
          </w:p>
          <w:p w:rsidR="00DB3554" w:rsidRPr="00815013" w:rsidRDefault="00DB3554" w:rsidP="001B08D4">
            <w:pPr>
              <w:spacing w:before="60" w:after="60" w:line="240" w:lineRule="auto"/>
              <w:rPr>
                <w:rFonts w:cs="Arial"/>
                <w:snapToGrid w:val="0"/>
              </w:rPr>
            </w:pPr>
            <w:r w:rsidRPr="00815013">
              <w:rPr>
                <w:rFonts w:cs="Arial"/>
                <w:snapToGrid w:val="0"/>
              </w:rPr>
              <w:t xml:space="preserve">The Protocol on Environmental Protection to the Antarctic Treaty (Madrid Protocol) requires vessels engaged in fishing in CCAMLR fisheries to adopt several measures to prevent </w:t>
            </w:r>
            <w:r w:rsidR="00517968">
              <w:rPr>
                <w:rFonts w:cs="Arial"/>
                <w:snapToGrid w:val="0"/>
              </w:rPr>
              <w:t xml:space="preserve">impacts on the ecosystem caused by </w:t>
            </w:r>
            <w:r w:rsidRPr="00815013">
              <w:rPr>
                <w:rFonts w:cs="Arial"/>
                <w:snapToGrid w:val="0"/>
              </w:rPr>
              <w:t>marine pollution:</w:t>
            </w:r>
          </w:p>
          <w:p w:rsidR="00DB3554" w:rsidRPr="00815013" w:rsidRDefault="00DB3554" w:rsidP="001B08D4">
            <w:pPr>
              <w:pStyle w:val="ListBullet"/>
              <w:spacing w:before="60" w:after="60" w:line="240" w:lineRule="auto"/>
              <w:rPr>
                <w:rFonts w:cs="Arial"/>
              </w:rPr>
            </w:pPr>
            <w:r w:rsidRPr="00815013">
              <w:rPr>
                <w:rFonts w:cs="Arial"/>
              </w:rPr>
              <w:t>prohibition on plastic packaging bands, avoiding any possible impact these bands may have on wild animals</w:t>
            </w:r>
          </w:p>
          <w:p w:rsidR="00DB3554" w:rsidRPr="00815013" w:rsidRDefault="00DB3554" w:rsidP="001B08D4">
            <w:pPr>
              <w:pStyle w:val="ListBullet"/>
              <w:spacing w:before="60" w:after="60" w:line="240" w:lineRule="auto"/>
              <w:rPr>
                <w:rFonts w:cs="Arial"/>
              </w:rPr>
            </w:pPr>
            <w:r w:rsidRPr="00815013">
              <w:rPr>
                <w:rFonts w:cs="Arial"/>
              </w:rPr>
              <w:t>a requirement that plastic residue not be discarded at sea to avoid wild animals having any interactions with plastic from the fisher</w:t>
            </w:r>
            <w:r w:rsidR="004B734E">
              <w:rPr>
                <w:rFonts w:cs="Arial"/>
              </w:rPr>
              <w:t>ies</w:t>
            </w:r>
          </w:p>
          <w:p w:rsidR="00DB3554" w:rsidRPr="00815013" w:rsidRDefault="00DB3554" w:rsidP="001B08D4">
            <w:pPr>
              <w:pStyle w:val="ListBullet"/>
              <w:spacing w:before="60" w:after="60" w:line="240" w:lineRule="auto"/>
              <w:rPr>
                <w:rFonts w:cs="Arial"/>
              </w:rPr>
            </w:pPr>
            <w:r w:rsidRPr="00815013">
              <w:rPr>
                <w:rFonts w:cs="Arial"/>
              </w:rPr>
              <w:t>a restriction on the discharge of poultry products to avoid the introduction of avian diseases</w:t>
            </w:r>
          </w:p>
          <w:p w:rsidR="00DB3554" w:rsidRPr="00815013" w:rsidRDefault="00DB3554" w:rsidP="001B08D4">
            <w:pPr>
              <w:pStyle w:val="ListBullet"/>
              <w:spacing w:before="60" w:after="60" w:line="240" w:lineRule="auto"/>
              <w:rPr>
                <w:rFonts w:cs="Arial"/>
                <w:snapToGrid w:val="0"/>
              </w:rPr>
            </w:pPr>
            <w:proofErr w:type="gramStart"/>
            <w:r w:rsidRPr="00815013">
              <w:rPr>
                <w:rFonts w:cs="Arial"/>
              </w:rPr>
              <w:t>operators</w:t>
            </w:r>
            <w:proofErr w:type="gramEnd"/>
            <w:r w:rsidRPr="00815013">
              <w:rPr>
                <w:rFonts w:cs="Arial"/>
              </w:rPr>
              <w:t xml:space="preserve"> are required to make attempts to retrieve any lost fishing gear.</w:t>
            </w:r>
          </w:p>
          <w:p w:rsidR="00BC2DA7" w:rsidRPr="00815013" w:rsidRDefault="00BC2DA7" w:rsidP="00C329D3">
            <w:pPr>
              <w:pStyle w:val="ListBullet"/>
              <w:numPr>
                <w:ilvl w:val="0"/>
                <w:numId w:val="0"/>
              </w:numPr>
              <w:spacing w:before="60" w:after="60" w:line="240" w:lineRule="auto"/>
              <w:rPr>
                <w:rFonts w:cs="Arial"/>
                <w:snapToGrid w:val="0"/>
              </w:rPr>
            </w:pPr>
            <w:r w:rsidRPr="00815013">
              <w:rPr>
                <w:rFonts w:cs="Arial"/>
              </w:rPr>
              <w:t xml:space="preserve">These measures are reflected in CCAMLR </w:t>
            </w:r>
            <w:r w:rsidR="00456967">
              <w:rPr>
                <w:rFonts w:cs="Arial"/>
              </w:rPr>
              <w:t>conservation measure</w:t>
            </w:r>
            <w:r w:rsidRPr="00815013">
              <w:rPr>
                <w:rFonts w:cs="Arial"/>
              </w:rPr>
              <w:t>s.</w:t>
            </w:r>
          </w:p>
        </w:tc>
      </w:tr>
      <w:tr w:rsidR="00B6012C" w:rsidRPr="00815013" w:rsidTr="00CD56A6">
        <w:trPr>
          <w:jc w:val="center"/>
        </w:trPr>
        <w:tc>
          <w:tcPr>
            <w:tcW w:w="2484" w:type="dxa"/>
            <w:tcBorders>
              <w:top w:val="single" w:sz="4" w:space="0" w:color="auto"/>
              <w:left w:val="single" w:sz="4" w:space="0" w:color="auto"/>
              <w:bottom w:val="single" w:sz="4" w:space="0" w:color="auto"/>
              <w:right w:val="single" w:sz="4" w:space="0" w:color="auto"/>
            </w:tcBorders>
          </w:tcPr>
          <w:p w:rsidR="00B6012C" w:rsidRPr="00815013" w:rsidRDefault="00B6012C" w:rsidP="001B08D4">
            <w:pPr>
              <w:spacing w:before="60" w:after="60" w:line="240" w:lineRule="auto"/>
              <w:rPr>
                <w:rFonts w:cs="Arial"/>
                <w:b/>
                <w:snapToGrid w:val="0"/>
                <w:highlight w:val="cyan"/>
              </w:rPr>
            </w:pPr>
            <w:r w:rsidRPr="00815013">
              <w:rPr>
                <w:rFonts w:cs="Arial"/>
                <w:b/>
                <w:snapToGrid w:val="0"/>
              </w:rPr>
              <w:t>Impacts on CITES species</w:t>
            </w:r>
          </w:p>
        </w:tc>
        <w:tc>
          <w:tcPr>
            <w:tcW w:w="7236" w:type="dxa"/>
            <w:tcBorders>
              <w:top w:val="single" w:sz="4" w:space="0" w:color="auto"/>
              <w:left w:val="single" w:sz="4" w:space="0" w:color="auto"/>
              <w:bottom w:val="single" w:sz="4" w:space="0" w:color="auto"/>
              <w:right w:val="single" w:sz="4" w:space="0" w:color="auto"/>
            </w:tcBorders>
          </w:tcPr>
          <w:p w:rsidR="00B6012C" w:rsidRPr="00815013" w:rsidRDefault="00B6012C" w:rsidP="001B08D4">
            <w:pPr>
              <w:spacing w:before="60" w:after="60" w:line="240" w:lineRule="auto"/>
              <w:rPr>
                <w:rFonts w:cs="Arial"/>
                <w:b/>
                <w:bCs/>
                <w:caps/>
                <w:highlight w:val="cyan"/>
              </w:rPr>
            </w:pPr>
            <w:r w:rsidRPr="00815013">
              <w:rPr>
                <w:rFonts w:cs="Arial"/>
              </w:rPr>
              <w:t>The</w:t>
            </w:r>
            <w:r w:rsidR="00C90728" w:rsidRPr="00815013">
              <w:rPr>
                <w:rFonts w:cs="Arial"/>
              </w:rPr>
              <w:t>re are no CITES species taken in the fisher</w:t>
            </w:r>
            <w:r w:rsidR="004B734E">
              <w:rPr>
                <w:rFonts w:cs="Arial"/>
              </w:rPr>
              <w:t>ies</w:t>
            </w:r>
            <w:r w:rsidR="00C90728" w:rsidRPr="00815013">
              <w:rPr>
                <w:rFonts w:cs="Arial"/>
              </w:rPr>
              <w:t xml:space="preserve">. </w:t>
            </w:r>
          </w:p>
        </w:tc>
      </w:tr>
      <w:tr w:rsidR="00B6012C" w:rsidRPr="00815013" w:rsidTr="00CD56A6">
        <w:trPr>
          <w:jc w:val="center"/>
        </w:trPr>
        <w:tc>
          <w:tcPr>
            <w:tcW w:w="2484" w:type="dxa"/>
            <w:tcBorders>
              <w:top w:val="single" w:sz="4" w:space="0" w:color="auto"/>
              <w:left w:val="single" w:sz="4" w:space="0" w:color="auto"/>
              <w:bottom w:val="single" w:sz="4" w:space="0" w:color="auto"/>
              <w:right w:val="single" w:sz="4" w:space="0" w:color="auto"/>
            </w:tcBorders>
          </w:tcPr>
          <w:p w:rsidR="00B6012C" w:rsidRPr="00815013" w:rsidRDefault="00B6012C" w:rsidP="001B08D4">
            <w:pPr>
              <w:spacing w:before="60" w:after="60" w:line="240" w:lineRule="auto"/>
              <w:rPr>
                <w:rFonts w:cs="Arial"/>
                <w:b/>
                <w:snapToGrid w:val="0"/>
              </w:rPr>
            </w:pPr>
            <w:r w:rsidRPr="00815013">
              <w:rPr>
                <w:rFonts w:cs="Arial"/>
                <w:b/>
                <w:snapToGrid w:val="0"/>
              </w:rPr>
              <w:t>Impacts on World Heritage property/</w:t>
            </w:r>
            <w:r w:rsidR="00601A1C" w:rsidRPr="00815013">
              <w:rPr>
                <w:rFonts w:cs="Arial"/>
                <w:b/>
                <w:snapToGrid w:val="0"/>
              </w:rPr>
              <w:t>Ramsar</w:t>
            </w:r>
            <w:r w:rsidRPr="00815013">
              <w:rPr>
                <w:rFonts w:cs="Arial"/>
                <w:b/>
                <w:snapToGrid w:val="0"/>
              </w:rPr>
              <w:t xml:space="preserve"> site</w:t>
            </w:r>
            <w:r w:rsidR="00601A1C" w:rsidRPr="00815013">
              <w:rPr>
                <w:rFonts w:cs="Arial"/>
                <w:b/>
                <w:snapToGrid w:val="0"/>
              </w:rPr>
              <w:t>s</w:t>
            </w:r>
          </w:p>
        </w:tc>
        <w:tc>
          <w:tcPr>
            <w:tcW w:w="7236" w:type="dxa"/>
            <w:tcBorders>
              <w:top w:val="single" w:sz="4" w:space="0" w:color="auto"/>
              <w:left w:val="single" w:sz="4" w:space="0" w:color="auto"/>
              <w:bottom w:val="single" w:sz="4" w:space="0" w:color="auto"/>
              <w:right w:val="single" w:sz="4" w:space="0" w:color="auto"/>
            </w:tcBorders>
          </w:tcPr>
          <w:p w:rsidR="000A10BF" w:rsidRPr="00815013" w:rsidRDefault="000A10BF" w:rsidP="001B08D4">
            <w:pPr>
              <w:spacing w:before="60" w:after="60" w:line="240" w:lineRule="auto"/>
              <w:rPr>
                <w:rFonts w:cs="Arial"/>
              </w:rPr>
            </w:pPr>
            <w:r w:rsidRPr="00815013">
              <w:rPr>
                <w:rFonts w:cs="Arial"/>
              </w:rPr>
              <w:t>There are no Ramsar sites i</w:t>
            </w:r>
            <w:r w:rsidR="00BC2DA7" w:rsidRPr="00815013">
              <w:rPr>
                <w:rFonts w:cs="Arial"/>
              </w:rPr>
              <w:t>n the vicinity of the fisher</w:t>
            </w:r>
            <w:r w:rsidR="004B734E">
              <w:rPr>
                <w:rFonts w:cs="Arial"/>
              </w:rPr>
              <w:t>ies</w:t>
            </w:r>
            <w:r w:rsidR="00BC2DA7" w:rsidRPr="00815013">
              <w:rPr>
                <w:rFonts w:cs="Arial"/>
              </w:rPr>
              <w:t>.</w:t>
            </w:r>
          </w:p>
          <w:p w:rsidR="00B6012C" w:rsidRPr="00815013" w:rsidRDefault="00601A1C" w:rsidP="004B734E">
            <w:pPr>
              <w:spacing w:before="60" w:after="60" w:line="240" w:lineRule="auto"/>
              <w:rPr>
                <w:rFonts w:cs="Arial"/>
              </w:rPr>
            </w:pPr>
            <w:r w:rsidRPr="00815013">
              <w:rPr>
                <w:rFonts w:cs="Arial"/>
                <w:lang w:eastAsia="en-AU"/>
              </w:rPr>
              <w:t>The fisher</w:t>
            </w:r>
            <w:r w:rsidR="004B734E">
              <w:rPr>
                <w:rFonts w:cs="Arial"/>
                <w:lang w:eastAsia="en-AU"/>
              </w:rPr>
              <w:t>ies</w:t>
            </w:r>
            <w:r w:rsidRPr="00815013">
              <w:rPr>
                <w:rFonts w:cs="Arial"/>
                <w:lang w:eastAsia="en-AU"/>
              </w:rPr>
              <w:t xml:space="preserve"> do not operate in the vicinity of the Macquarie Island World Heritage Area or the Heard and McDonald Island World Heritage Area. We consider that actions taken in accordance with the management regime for the </w:t>
            </w:r>
            <w:r w:rsidRPr="00815013">
              <w:rPr>
                <w:rFonts w:cs="Arial"/>
              </w:rPr>
              <w:t>CCAMLR exploratory fisher</w:t>
            </w:r>
            <w:r w:rsidR="004B734E">
              <w:rPr>
                <w:rFonts w:cs="Arial"/>
              </w:rPr>
              <w:t>ies</w:t>
            </w:r>
            <w:r w:rsidRPr="00815013">
              <w:rPr>
                <w:rFonts w:cs="Arial"/>
              </w:rPr>
              <w:t xml:space="preserve"> </w:t>
            </w:r>
            <w:r w:rsidR="004B734E" w:rsidRPr="00815013">
              <w:rPr>
                <w:rFonts w:cs="Arial"/>
                <w:lang w:eastAsia="en-AU"/>
              </w:rPr>
              <w:t>w</w:t>
            </w:r>
            <w:r w:rsidR="004B734E">
              <w:rPr>
                <w:rFonts w:cs="Arial"/>
                <w:lang w:eastAsia="en-AU"/>
              </w:rPr>
              <w:t>ill</w:t>
            </w:r>
            <w:r w:rsidR="004B734E" w:rsidRPr="00815013">
              <w:rPr>
                <w:rFonts w:cs="Arial"/>
                <w:lang w:eastAsia="en-AU"/>
              </w:rPr>
              <w:t xml:space="preserve"> </w:t>
            </w:r>
            <w:r w:rsidRPr="00815013">
              <w:rPr>
                <w:rFonts w:cs="Arial"/>
                <w:lang w:eastAsia="en-AU"/>
              </w:rPr>
              <w:t>not have a significant impact on these areas.</w:t>
            </w:r>
          </w:p>
        </w:tc>
      </w:tr>
    </w:tbl>
    <w:p w:rsidR="00B6012C" w:rsidRPr="00815013" w:rsidRDefault="00B6012C" w:rsidP="001955CD">
      <w:pPr>
        <w:tabs>
          <w:tab w:val="left" w:pos="360"/>
        </w:tabs>
        <w:rPr>
          <w:rFonts w:cs="Arial"/>
        </w:rPr>
      </w:pPr>
    </w:p>
    <w:p w:rsidR="00B6012C" w:rsidRPr="00815013" w:rsidRDefault="00B6012C" w:rsidP="001955CD">
      <w:pPr>
        <w:rPr>
          <w:rFonts w:cs="Arial"/>
          <w:b/>
        </w:rPr>
        <w:sectPr w:rsidR="00B6012C" w:rsidRPr="00815013" w:rsidSect="001955CD">
          <w:footerReference w:type="default" r:id="rId60"/>
          <w:footerReference w:type="first" r:id="rId61"/>
          <w:pgSz w:w="11906" w:h="16838" w:code="9"/>
          <w:pgMar w:top="1134" w:right="1418" w:bottom="1134" w:left="1418" w:header="709" w:footer="709" w:gutter="0"/>
          <w:pgNumType w:start="1"/>
          <w:cols w:space="708"/>
          <w:docGrid w:linePitch="360"/>
        </w:sectPr>
      </w:pPr>
    </w:p>
    <w:p w:rsidR="00FF1DDA" w:rsidRDefault="005A2736" w:rsidP="00FF1DDA">
      <w:pPr>
        <w:pStyle w:val="Heading1"/>
      </w:pPr>
      <w:bookmarkStart w:id="6" w:name="_Toc438626354"/>
      <w:r w:rsidRPr="00D22439">
        <w:t>Table 2: Assessment of Australian Fishing in Exploratory Fisheries in the Convention for the Conservation of Antarctic Marine Living Resources (CCAMLR) Divisions 58.4.1 and 58.4.2 (CCAMLR Exploratory Fisheries) against the Guidelines for the Ecologically Sust</w:t>
      </w:r>
      <w:r w:rsidR="005E750F">
        <w:t>ainable Management of Fisheries</w:t>
      </w:r>
      <w:r w:rsidRPr="00D22439">
        <w:t xml:space="preserve"> (2nd edition)</w:t>
      </w:r>
      <w:bookmarkEnd w:id="6"/>
      <w:r w:rsidRPr="00D22439">
        <w:t xml:space="preserve"> </w:t>
      </w:r>
    </w:p>
    <w:p w:rsidR="005A2736" w:rsidRDefault="005A2736" w:rsidP="005A2736">
      <w:pPr>
        <w:spacing w:after="0" w:line="240" w:lineRule="auto"/>
        <w:rPr>
          <w:rFonts w:cs="Arial"/>
          <w:b/>
        </w:rPr>
      </w:pPr>
    </w:p>
    <w:p w:rsidR="005A2736" w:rsidRPr="00703A5D" w:rsidRDefault="005A2736" w:rsidP="005A2736">
      <w:pPr>
        <w:spacing w:after="0" w:line="240" w:lineRule="auto"/>
        <w:rPr>
          <w:rStyle w:val="Emphasis"/>
          <w:rFonts w:cs="Arial"/>
          <w:b/>
          <w:iCs w:val="0"/>
          <w:sz w:val="24"/>
          <w:szCs w:val="24"/>
        </w:rPr>
      </w:pPr>
      <w:r w:rsidRPr="00703A5D">
        <w:rPr>
          <w:rStyle w:val="Emphasis"/>
          <w:rFonts w:cs="Arial"/>
          <w:b/>
          <w:iCs w:val="0"/>
          <w:sz w:val="24"/>
          <w:szCs w:val="24"/>
        </w:rPr>
        <w:t xml:space="preserve">Summary </w:t>
      </w:r>
    </w:p>
    <w:p w:rsidR="005A2736" w:rsidRPr="00810CFF" w:rsidRDefault="005A2736" w:rsidP="005A2736">
      <w:pPr>
        <w:spacing w:after="0" w:line="240" w:lineRule="auto"/>
        <w:rPr>
          <w:rStyle w:val="Emphasis"/>
          <w:rFonts w:cs="Arial"/>
          <w:b/>
          <w:i w:val="0"/>
          <w:iCs w:val="0"/>
          <w:sz w:val="24"/>
          <w:szCs w:val="24"/>
        </w:rPr>
      </w:pPr>
    </w:p>
    <w:tbl>
      <w:tblPr>
        <w:tblStyle w:val="TableGrid"/>
        <w:tblW w:w="0" w:type="auto"/>
        <w:tblLook w:val="04A0"/>
      </w:tblPr>
      <w:tblGrid>
        <w:gridCol w:w="3369"/>
        <w:gridCol w:w="1559"/>
        <w:gridCol w:w="1843"/>
        <w:gridCol w:w="1842"/>
        <w:gridCol w:w="5670"/>
      </w:tblGrid>
      <w:tr w:rsidR="00791D18" w:rsidRPr="008522A3" w:rsidTr="00BD1D43">
        <w:trPr>
          <w:cnfStyle w:val="100000000000"/>
          <w:cantSplit/>
        </w:trPr>
        <w:tc>
          <w:tcPr>
            <w:tcW w:w="3369" w:type="dxa"/>
            <w:vAlign w:val="center"/>
          </w:tcPr>
          <w:p w:rsidR="00791D18" w:rsidRPr="008522A3" w:rsidRDefault="00791D18" w:rsidP="005362FD">
            <w:pPr>
              <w:spacing w:after="0" w:line="240" w:lineRule="auto"/>
              <w:ind w:left="426" w:hanging="426"/>
              <w:rPr>
                <w:rFonts w:cs="Arial"/>
                <w:b/>
              </w:rPr>
            </w:pPr>
          </w:p>
        </w:tc>
        <w:tc>
          <w:tcPr>
            <w:tcW w:w="1559" w:type="dxa"/>
            <w:shd w:val="clear" w:color="auto" w:fill="92D050"/>
            <w:vAlign w:val="center"/>
          </w:tcPr>
          <w:p w:rsidR="00791D18" w:rsidRPr="008522A3" w:rsidRDefault="00791D18" w:rsidP="005362FD">
            <w:pPr>
              <w:spacing w:after="0" w:line="240" w:lineRule="auto"/>
              <w:rPr>
                <w:rFonts w:cs="Arial"/>
                <w:b/>
              </w:rPr>
            </w:pPr>
            <w:r w:rsidRPr="008522A3">
              <w:rPr>
                <w:rFonts w:cs="Arial"/>
                <w:b/>
              </w:rPr>
              <w:t>Meets</w:t>
            </w:r>
          </w:p>
        </w:tc>
        <w:tc>
          <w:tcPr>
            <w:tcW w:w="1843" w:type="dxa"/>
            <w:shd w:val="clear" w:color="auto" w:fill="FFC000"/>
            <w:vAlign w:val="center"/>
          </w:tcPr>
          <w:p w:rsidR="00791D18" w:rsidRPr="008522A3" w:rsidRDefault="00791D18" w:rsidP="005362FD">
            <w:pPr>
              <w:spacing w:after="0" w:line="240" w:lineRule="auto"/>
              <w:rPr>
                <w:rFonts w:cs="Arial"/>
                <w:b/>
              </w:rPr>
            </w:pPr>
            <w:r w:rsidRPr="008522A3">
              <w:rPr>
                <w:rFonts w:cs="Arial"/>
                <w:b/>
              </w:rPr>
              <w:t>Partially meets</w:t>
            </w:r>
          </w:p>
        </w:tc>
        <w:tc>
          <w:tcPr>
            <w:tcW w:w="1842" w:type="dxa"/>
            <w:shd w:val="clear" w:color="auto" w:fill="FF0000"/>
            <w:vAlign w:val="center"/>
          </w:tcPr>
          <w:p w:rsidR="00791D18" w:rsidRPr="008522A3" w:rsidRDefault="00791D18" w:rsidP="005362FD">
            <w:pPr>
              <w:spacing w:after="0" w:line="240" w:lineRule="auto"/>
              <w:rPr>
                <w:rFonts w:cs="Arial"/>
                <w:b/>
              </w:rPr>
            </w:pPr>
            <w:r w:rsidRPr="008522A3">
              <w:rPr>
                <w:rFonts w:cs="Arial"/>
                <w:b/>
              </w:rPr>
              <w:t>Does not meet</w:t>
            </w:r>
          </w:p>
        </w:tc>
        <w:tc>
          <w:tcPr>
            <w:tcW w:w="5670" w:type="dxa"/>
            <w:vAlign w:val="center"/>
          </w:tcPr>
          <w:p w:rsidR="00791D18" w:rsidRPr="008522A3" w:rsidRDefault="00791D18" w:rsidP="005362FD">
            <w:pPr>
              <w:spacing w:after="0" w:line="240" w:lineRule="auto"/>
              <w:rPr>
                <w:rFonts w:cs="Arial"/>
                <w:b/>
              </w:rPr>
            </w:pPr>
            <w:r w:rsidRPr="008522A3">
              <w:rPr>
                <w:rFonts w:cs="Arial"/>
                <w:b/>
              </w:rPr>
              <w:t>Summary</w:t>
            </w:r>
          </w:p>
        </w:tc>
      </w:tr>
      <w:tr w:rsidR="00791D18" w:rsidRPr="008522A3" w:rsidTr="005A27E5">
        <w:trPr>
          <w:cnfStyle w:val="000000100000"/>
          <w:cantSplit/>
        </w:trPr>
        <w:tc>
          <w:tcPr>
            <w:tcW w:w="3369" w:type="dxa"/>
            <w:vAlign w:val="center"/>
          </w:tcPr>
          <w:p w:rsidR="00791D18" w:rsidRPr="008522A3" w:rsidRDefault="00791D18" w:rsidP="00BD1D43">
            <w:pPr>
              <w:spacing w:before="60" w:after="60" w:line="240" w:lineRule="auto"/>
              <w:ind w:left="426" w:hanging="426"/>
              <w:rPr>
                <w:rFonts w:cs="Arial"/>
              </w:rPr>
            </w:pPr>
            <w:r w:rsidRPr="008522A3">
              <w:rPr>
                <w:rFonts w:cs="Arial"/>
              </w:rPr>
              <w:t>Management regime</w:t>
            </w:r>
          </w:p>
        </w:tc>
        <w:tc>
          <w:tcPr>
            <w:tcW w:w="1559" w:type="dxa"/>
            <w:shd w:val="clear" w:color="auto" w:fill="92D050"/>
          </w:tcPr>
          <w:p w:rsidR="00791D18" w:rsidRPr="008522A3" w:rsidRDefault="00791D18" w:rsidP="00BD1D43">
            <w:pPr>
              <w:spacing w:before="60" w:after="60" w:line="240" w:lineRule="auto"/>
              <w:rPr>
                <w:rFonts w:cs="Arial"/>
              </w:rPr>
            </w:pPr>
            <w:r w:rsidRPr="008522A3">
              <w:rPr>
                <w:rFonts w:cs="Arial"/>
              </w:rPr>
              <w:t>8</w:t>
            </w:r>
          </w:p>
        </w:tc>
        <w:tc>
          <w:tcPr>
            <w:tcW w:w="1843" w:type="dxa"/>
            <w:shd w:val="clear" w:color="auto" w:fill="auto"/>
          </w:tcPr>
          <w:p w:rsidR="00791D18" w:rsidRPr="008522A3" w:rsidRDefault="00791D18" w:rsidP="00BD1D43">
            <w:pPr>
              <w:spacing w:before="60" w:after="60" w:line="240" w:lineRule="auto"/>
              <w:rPr>
                <w:rFonts w:cs="Arial"/>
              </w:rPr>
            </w:pPr>
            <w:r w:rsidRPr="008522A3">
              <w:rPr>
                <w:rFonts w:cs="Arial"/>
              </w:rPr>
              <w:t>1</w:t>
            </w:r>
          </w:p>
        </w:tc>
        <w:tc>
          <w:tcPr>
            <w:tcW w:w="1842" w:type="dxa"/>
            <w:shd w:val="clear" w:color="auto" w:fill="auto"/>
          </w:tcPr>
          <w:p w:rsidR="00791D18" w:rsidRPr="008522A3" w:rsidRDefault="00791D18" w:rsidP="00BD1D43">
            <w:pPr>
              <w:spacing w:before="60" w:after="60" w:line="240" w:lineRule="auto"/>
              <w:rPr>
                <w:rFonts w:cs="Arial"/>
              </w:rPr>
            </w:pPr>
            <w:r w:rsidRPr="008522A3">
              <w:rPr>
                <w:rFonts w:cs="Arial"/>
              </w:rPr>
              <w:t>0</w:t>
            </w:r>
          </w:p>
        </w:tc>
        <w:tc>
          <w:tcPr>
            <w:tcW w:w="5670" w:type="dxa"/>
          </w:tcPr>
          <w:p w:rsidR="007A6DC2" w:rsidRPr="005362FD" w:rsidRDefault="00791D18" w:rsidP="00BD1D43">
            <w:pPr>
              <w:spacing w:before="60" w:after="60" w:line="240" w:lineRule="auto"/>
              <w:rPr>
                <w:rFonts w:cs="Arial"/>
                <w:b/>
              </w:rPr>
            </w:pPr>
            <w:r w:rsidRPr="005362FD">
              <w:rPr>
                <w:rFonts w:cs="Arial"/>
                <w:b/>
              </w:rPr>
              <w:t xml:space="preserve">The management regime </w:t>
            </w:r>
            <w:r w:rsidR="007A6DC2" w:rsidRPr="005362FD">
              <w:rPr>
                <w:rFonts w:cs="Arial"/>
                <w:b/>
              </w:rPr>
              <w:t>meets requirements.</w:t>
            </w:r>
          </w:p>
          <w:p w:rsidR="00791D18" w:rsidRPr="008522A3" w:rsidRDefault="007A6DC2" w:rsidP="005A27E5">
            <w:pPr>
              <w:spacing w:before="60" w:after="60" w:line="240" w:lineRule="auto"/>
              <w:rPr>
                <w:rFonts w:cs="Arial"/>
              </w:rPr>
            </w:pPr>
            <w:r>
              <w:rPr>
                <w:rFonts w:cs="Arial"/>
              </w:rPr>
              <w:t xml:space="preserve">Arrangements are </w:t>
            </w:r>
            <w:r w:rsidR="00791D18" w:rsidRPr="008522A3">
              <w:rPr>
                <w:rFonts w:cs="Arial"/>
              </w:rPr>
              <w:t xml:space="preserve">precautionary and </w:t>
            </w:r>
            <w:r w:rsidR="005362FD">
              <w:rPr>
                <w:rFonts w:cs="Arial"/>
              </w:rPr>
              <w:t xml:space="preserve">are </w:t>
            </w:r>
            <w:r w:rsidR="00791D18" w:rsidRPr="008522A3">
              <w:rPr>
                <w:rFonts w:cs="Arial"/>
              </w:rPr>
              <w:t>closely monitored and regulated by CCAMLR and</w:t>
            </w:r>
            <w:r w:rsidR="00062316">
              <w:rPr>
                <w:rFonts w:cs="Arial"/>
              </w:rPr>
              <w:t xml:space="preserve"> the Australian Fisheries Management Authority</w:t>
            </w:r>
            <w:r w:rsidR="00791D18" w:rsidRPr="008522A3">
              <w:rPr>
                <w:rFonts w:cs="Arial"/>
              </w:rPr>
              <w:t xml:space="preserve"> </w:t>
            </w:r>
            <w:r w:rsidR="00062316">
              <w:rPr>
                <w:rFonts w:cs="Arial"/>
              </w:rPr>
              <w:t>(</w:t>
            </w:r>
            <w:r w:rsidR="00A10BD2" w:rsidRPr="008522A3">
              <w:rPr>
                <w:rFonts w:cs="Arial"/>
              </w:rPr>
              <w:t>AFMA</w:t>
            </w:r>
            <w:r w:rsidR="00062316">
              <w:rPr>
                <w:rFonts w:cs="Arial"/>
              </w:rPr>
              <w:t>)</w:t>
            </w:r>
            <w:r w:rsidR="00791D18" w:rsidRPr="008522A3">
              <w:rPr>
                <w:rFonts w:cs="Arial"/>
              </w:rPr>
              <w:t>. Management is transparent and information is most</w:t>
            </w:r>
            <w:r w:rsidR="005A27E5">
              <w:rPr>
                <w:rFonts w:cs="Arial"/>
              </w:rPr>
              <w:t>ly</w:t>
            </w:r>
            <w:r w:rsidR="00791D18" w:rsidRPr="008522A3">
              <w:rPr>
                <w:rFonts w:cs="Arial"/>
              </w:rPr>
              <w:t xml:space="preserve"> publically accessible</w:t>
            </w:r>
            <w:r w:rsidR="00942B52">
              <w:rPr>
                <w:rFonts w:cs="Arial"/>
              </w:rPr>
              <w:t>, although the</w:t>
            </w:r>
            <w:r w:rsidR="00791D18" w:rsidRPr="008522A3">
              <w:rPr>
                <w:rFonts w:cs="Arial"/>
              </w:rPr>
              <w:t xml:space="preserve"> general public is not involved in consultation processes.</w:t>
            </w:r>
          </w:p>
        </w:tc>
      </w:tr>
      <w:tr w:rsidR="00791D18" w:rsidRPr="008522A3" w:rsidTr="005A27E5">
        <w:trPr>
          <w:cnfStyle w:val="000000010000"/>
          <w:cantSplit/>
        </w:trPr>
        <w:tc>
          <w:tcPr>
            <w:tcW w:w="3369" w:type="dxa"/>
            <w:vAlign w:val="center"/>
          </w:tcPr>
          <w:p w:rsidR="00791D18" w:rsidRPr="008522A3" w:rsidRDefault="00791D18" w:rsidP="00BD1D43">
            <w:pPr>
              <w:spacing w:before="60" w:after="60" w:line="240" w:lineRule="auto"/>
              <w:ind w:left="426" w:hanging="426"/>
              <w:rPr>
                <w:rFonts w:cs="Arial"/>
              </w:rPr>
            </w:pPr>
            <w:r w:rsidRPr="008522A3">
              <w:rPr>
                <w:rFonts w:cs="Arial"/>
              </w:rPr>
              <w:t>Principle 1 (target stocks)</w:t>
            </w:r>
          </w:p>
        </w:tc>
        <w:tc>
          <w:tcPr>
            <w:tcW w:w="1559" w:type="dxa"/>
            <w:shd w:val="clear" w:color="auto" w:fill="92D050"/>
          </w:tcPr>
          <w:p w:rsidR="00791D18" w:rsidRPr="008522A3" w:rsidRDefault="00580184" w:rsidP="00BD1D43">
            <w:pPr>
              <w:spacing w:before="60" w:after="60" w:line="240" w:lineRule="auto"/>
              <w:rPr>
                <w:rFonts w:cs="Arial"/>
              </w:rPr>
            </w:pPr>
            <w:r>
              <w:rPr>
                <w:rFonts w:cs="Arial"/>
              </w:rPr>
              <w:t>6</w:t>
            </w:r>
          </w:p>
        </w:tc>
        <w:tc>
          <w:tcPr>
            <w:tcW w:w="1843" w:type="dxa"/>
            <w:shd w:val="clear" w:color="auto" w:fill="auto"/>
          </w:tcPr>
          <w:p w:rsidR="00791D18" w:rsidRPr="008522A3" w:rsidRDefault="00580184" w:rsidP="00BD1D43">
            <w:pPr>
              <w:spacing w:before="60" w:after="60" w:line="240" w:lineRule="auto"/>
              <w:rPr>
                <w:rFonts w:cs="Arial"/>
              </w:rPr>
            </w:pPr>
            <w:r>
              <w:rPr>
                <w:rFonts w:cs="Arial"/>
              </w:rPr>
              <w:t>5</w:t>
            </w:r>
          </w:p>
        </w:tc>
        <w:tc>
          <w:tcPr>
            <w:tcW w:w="1842" w:type="dxa"/>
            <w:shd w:val="clear" w:color="auto" w:fill="auto"/>
          </w:tcPr>
          <w:p w:rsidR="00791D18" w:rsidRPr="008522A3" w:rsidRDefault="00791D18" w:rsidP="00BD1D43">
            <w:pPr>
              <w:spacing w:before="60" w:after="60" w:line="240" w:lineRule="auto"/>
              <w:rPr>
                <w:rFonts w:cs="Arial"/>
              </w:rPr>
            </w:pPr>
            <w:r w:rsidRPr="008522A3">
              <w:rPr>
                <w:rFonts w:cs="Arial"/>
              </w:rPr>
              <w:t>0</w:t>
            </w:r>
          </w:p>
        </w:tc>
        <w:tc>
          <w:tcPr>
            <w:tcW w:w="5670" w:type="dxa"/>
          </w:tcPr>
          <w:p w:rsidR="007A6DC2" w:rsidRPr="005362FD" w:rsidRDefault="007A6DC2" w:rsidP="00BD1D43">
            <w:pPr>
              <w:spacing w:before="60" w:after="60" w:line="240" w:lineRule="auto"/>
              <w:rPr>
                <w:rFonts w:cs="Arial"/>
                <w:b/>
              </w:rPr>
            </w:pPr>
            <w:r w:rsidRPr="005362FD">
              <w:rPr>
                <w:rFonts w:cs="Arial"/>
                <w:b/>
              </w:rPr>
              <w:t xml:space="preserve">Target stocks are well managed </w:t>
            </w:r>
            <w:r w:rsidR="005A27E5">
              <w:rPr>
                <w:rFonts w:cs="Arial"/>
                <w:b/>
              </w:rPr>
              <w:t>although</w:t>
            </w:r>
            <w:r w:rsidRPr="005362FD">
              <w:rPr>
                <w:rFonts w:cs="Arial"/>
                <w:b/>
              </w:rPr>
              <w:t xml:space="preserve"> do not meet all the requirements under the Guidelines.</w:t>
            </w:r>
          </w:p>
          <w:p w:rsidR="00791D18" w:rsidRPr="008522A3" w:rsidRDefault="00791D18" w:rsidP="00BD1D43">
            <w:pPr>
              <w:spacing w:before="60" w:after="60" w:line="240" w:lineRule="auto"/>
              <w:rPr>
                <w:rFonts w:cs="Arial"/>
              </w:rPr>
            </w:pPr>
            <w:r w:rsidRPr="008522A3">
              <w:rPr>
                <w:rFonts w:cs="Arial"/>
              </w:rPr>
              <w:t>Robust stock assessment and catch limits according to CCAMLR decision rules are yet to be determined. However, stock considerations and catch limits are precautionary, and considerably more robust than is typical of other new and exploratory fisheries.</w:t>
            </w:r>
            <w:r w:rsidR="00F727E1" w:rsidRPr="008522A3">
              <w:rPr>
                <w:rFonts w:cs="Arial"/>
              </w:rPr>
              <w:t xml:space="preserve"> </w:t>
            </w:r>
            <w:r w:rsidRPr="008522A3">
              <w:rPr>
                <w:rFonts w:cs="Arial"/>
              </w:rPr>
              <w:t>They are also consistent with Australian Government policy, and are reviewed annually to account for new information.</w:t>
            </w:r>
          </w:p>
          <w:p w:rsidR="00791D18" w:rsidRPr="008522A3" w:rsidRDefault="00791D18" w:rsidP="00BD1D43">
            <w:pPr>
              <w:spacing w:before="60" w:after="60" w:line="240" w:lineRule="auto"/>
              <w:rPr>
                <w:rFonts w:cs="Arial"/>
              </w:rPr>
            </w:pPr>
            <w:r w:rsidRPr="008522A3">
              <w:rPr>
                <w:rFonts w:cs="Arial"/>
              </w:rPr>
              <w:t xml:space="preserve">A research plan has been developed to improve future stock assessments and inform the necessary considerations of spatial structure, biomass and connectivity of </w:t>
            </w:r>
            <w:proofErr w:type="spellStart"/>
            <w:r w:rsidRPr="008522A3">
              <w:rPr>
                <w:rFonts w:cs="Arial"/>
              </w:rPr>
              <w:t>toothfish</w:t>
            </w:r>
            <w:proofErr w:type="spellEnd"/>
            <w:r w:rsidRPr="008522A3">
              <w:rPr>
                <w:rFonts w:cs="Arial"/>
              </w:rPr>
              <w:t xml:space="preserve"> populations. Environmental data will also be collected and contribute to models of </w:t>
            </w:r>
            <w:proofErr w:type="spellStart"/>
            <w:r w:rsidRPr="008522A3">
              <w:rPr>
                <w:rFonts w:cs="Arial"/>
              </w:rPr>
              <w:t>toothfish</w:t>
            </w:r>
            <w:proofErr w:type="spellEnd"/>
            <w:r w:rsidRPr="008522A3">
              <w:rPr>
                <w:rFonts w:cs="Arial"/>
              </w:rPr>
              <w:t xml:space="preserve"> habitat use, which inform spatial management approaches for </w:t>
            </w:r>
            <w:proofErr w:type="spellStart"/>
            <w:r w:rsidRPr="008522A3">
              <w:rPr>
                <w:rFonts w:cs="Arial"/>
              </w:rPr>
              <w:t>toothfish</w:t>
            </w:r>
            <w:proofErr w:type="spellEnd"/>
            <w:r w:rsidRPr="008522A3">
              <w:rPr>
                <w:rFonts w:cs="Arial"/>
              </w:rPr>
              <w:t>, and the conservation of representative areas of benthic biodiversity. This will also help map the bathymetry of fishable areas, and improve understanding of the distribution, relative abundance, and life histories of bycatch species. CCAMLR expects to achieve these outcomes over the next five years.</w:t>
            </w:r>
          </w:p>
        </w:tc>
      </w:tr>
      <w:tr w:rsidR="00791D18" w:rsidRPr="008522A3" w:rsidTr="00BD1D43">
        <w:trPr>
          <w:cnfStyle w:val="000000100000"/>
          <w:cantSplit/>
        </w:trPr>
        <w:tc>
          <w:tcPr>
            <w:tcW w:w="3369" w:type="dxa"/>
            <w:vAlign w:val="center"/>
          </w:tcPr>
          <w:p w:rsidR="00791D18" w:rsidRPr="008522A3" w:rsidRDefault="00791D18" w:rsidP="00BD1D43">
            <w:pPr>
              <w:spacing w:before="60" w:after="60" w:line="240" w:lineRule="auto"/>
              <w:ind w:left="426" w:hanging="426"/>
              <w:rPr>
                <w:rFonts w:cs="Arial"/>
              </w:rPr>
            </w:pPr>
            <w:r w:rsidRPr="008522A3">
              <w:rPr>
                <w:rFonts w:cs="Arial"/>
              </w:rPr>
              <w:t>Principle 2 (bycatch and TEPS)</w:t>
            </w:r>
          </w:p>
        </w:tc>
        <w:tc>
          <w:tcPr>
            <w:tcW w:w="1559" w:type="dxa"/>
            <w:shd w:val="clear" w:color="auto" w:fill="92D050"/>
          </w:tcPr>
          <w:p w:rsidR="00791D18" w:rsidRPr="008522A3" w:rsidRDefault="005A27E5" w:rsidP="00BD1D43">
            <w:pPr>
              <w:spacing w:before="60" w:after="60" w:line="240" w:lineRule="auto"/>
              <w:rPr>
                <w:rFonts w:cs="Arial"/>
              </w:rPr>
            </w:pPr>
            <w:r>
              <w:rPr>
                <w:rFonts w:cs="Arial"/>
              </w:rPr>
              <w:t>6</w:t>
            </w:r>
          </w:p>
        </w:tc>
        <w:tc>
          <w:tcPr>
            <w:tcW w:w="1843" w:type="dxa"/>
            <w:shd w:val="clear" w:color="auto" w:fill="auto"/>
          </w:tcPr>
          <w:p w:rsidR="00791D18" w:rsidRPr="008522A3" w:rsidRDefault="00CB3E34" w:rsidP="00BD1D43">
            <w:pPr>
              <w:spacing w:before="60" w:after="60" w:line="240" w:lineRule="auto"/>
              <w:rPr>
                <w:rFonts w:cs="Arial"/>
              </w:rPr>
            </w:pPr>
            <w:r>
              <w:rPr>
                <w:rFonts w:cs="Arial"/>
              </w:rPr>
              <w:t>0</w:t>
            </w:r>
          </w:p>
        </w:tc>
        <w:tc>
          <w:tcPr>
            <w:tcW w:w="1842" w:type="dxa"/>
            <w:shd w:val="clear" w:color="auto" w:fill="auto"/>
          </w:tcPr>
          <w:p w:rsidR="00791D18" w:rsidRPr="008522A3" w:rsidRDefault="00F538DC" w:rsidP="00BD1D43">
            <w:pPr>
              <w:spacing w:before="60" w:after="60" w:line="240" w:lineRule="auto"/>
              <w:rPr>
                <w:rFonts w:cs="Arial"/>
              </w:rPr>
            </w:pPr>
            <w:r w:rsidRPr="008522A3">
              <w:rPr>
                <w:rFonts w:cs="Arial"/>
              </w:rPr>
              <w:t>0</w:t>
            </w:r>
          </w:p>
        </w:tc>
        <w:tc>
          <w:tcPr>
            <w:tcW w:w="5670" w:type="dxa"/>
          </w:tcPr>
          <w:p w:rsidR="007A6DC2" w:rsidRPr="005362FD" w:rsidRDefault="007A6DC2" w:rsidP="00BD1D43">
            <w:pPr>
              <w:spacing w:before="60" w:after="60" w:line="240" w:lineRule="auto"/>
              <w:rPr>
                <w:rFonts w:cs="Arial"/>
                <w:b/>
              </w:rPr>
            </w:pPr>
            <w:r w:rsidRPr="005362FD">
              <w:rPr>
                <w:rFonts w:cs="Arial"/>
                <w:b/>
              </w:rPr>
              <w:t>Risks to bycatch and protected species are well managed and meet requirements.</w:t>
            </w:r>
          </w:p>
          <w:p w:rsidR="00791D18" w:rsidRPr="008522A3" w:rsidRDefault="00791D18" w:rsidP="00BD1D43">
            <w:pPr>
              <w:spacing w:before="60" w:after="60" w:line="240" w:lineRule="auto"/>
              <w:rPr>
                <w:rFonts w:cs="Arial"/>
              </w:rPr>
            </w:pPr>
            <w:r w:rsidRPr="008522A3">
              <w:rPr>
                <w:rFonts w:cs="Arial"/>
              </w:rPr>
              <w:t>CCAMLR includes an assessment of potential risk to bycatch and protected species and broader ecosystem impacts in developing its management arrangements</w:t>
            </w:r>
            <w:r w:rsidR="00942B52">
              <w:rPr>
                <w:rFonts w:cs="Arial"/>
              </w:rPr>
              <w:t>.</w:t>
            </w:r>
            <w:r w:rsidRPr="008522A3">
              <w:rPr>
                <w:rFonts w:cs="Arial"/>
              </w:rPr>
              <w:t xml:space="preserve"> </w:t>
            </w:r>
            <w:r w:rsidR="00942B52">
              <w:rPr>
                <w:rFonts w:cs="Arial"/>
              </w:rPr>
              <w:t>However, there</w:t>
            </w:r>
            <w:r w:rsidR="00942B52" w:rsidRPr="008522A3">
              <w:rPr>
                <w:rFonts w:cs="Arial"/>
              </w:rPr>
              <w:t xml:space="preserve"> </w:t>
            </w:r>
            <w:r w:rsidRPr="008522A3">
              <w:rPr>
                <w:rFonts w:cs="Arial"/>
              </w:rPr>
              <w:t>has not yet been a formal ecological risk assessment undertaken for Australian activities in Divisions 58.4.1 and 58.4.2.</w:t>
            </w:r>
          </w:p>
          <w:p w:rsidR="00791D18" w:rsidRPr="008522A3" w:rsidRDefault="00791D18" w:rsidP="00BD1D43">
            <w:pPr>
              <w:spacing w:before="60" w:after="60" w:line="240" w:lineRule="auto"/>
              <w:rPr>
                <w:rFonts w:cs="Arial"/>
              </w:rPr>
            </w:pPr>
            <w:r w:rsidRPr="008522A3">
              <w:rPr>
                <w:rFonts w:cs="Arial"/>
              </w:rPr>
              <w:t>Fishing in these zones is new and exploratory and management is therefore precautionary. Risk assessments performed for similar, nearby fisheries have not identified any species at high risk and risk mitigation measures recommended in these assessments are reflected in CCAMLR and Australia’s management of Divisions 58.4.1 and 58.4.2.</w:t>
            </w:r>
          </w:p>
        </w:tc>
      </w:tr>
      <w:tr w:rsidR="00791D18" w:rsidRPr="008522A3" w:rsidTr="00BD1D43">
        <w:trPr>
          <w:cnfStyle w:val="000000010000"/>
          <w:cantSplit/>
        </w:trPr>
        <w:tc>
          <w:tcPr>
            <w:tcW w:w="3369" w:type="dxa"/>
            <w:vAlign w:val="center"/>
          </w:tcPr>
          <w:p w:rsidR="00791D18" w:rsidRPr="008522A3" w:rsidRDefault="00791D18" w:rsidP="00BD1D43">
            <w:pPr>
              <w:spacing w:before="60" w:after="60" w:line="240" w:lineRule="auto"/>
              <w:ind w:left="426" w:hanging="426"/>
              <w:rPr>
                <w:rFonts w:cs="Arial"/>
              </w:rPr>
            </w:pPr>
            <w:r w:rsidRPr="008522A3">
              <w:rPr>
                <w:rFonts w:cs="Arial"/>
              </w:rPr>
              <w:t>Principle 2 (ecosystem impacts)</w:t>
            </w:r>
          </w:p>
        </w:tc>
        <w:tc>
          <w:tcPr>
            <w:tcW w:w="1559" w:type="dxa"/>
            <w:shd w:val="clear" w:color="auto" w:fill="92D050"/>
          </w:tcPr>
          <w:p w:rsidR="00791D18" w:rsidRPr="008522A3" w:rsidRDefault="005A27E5" w:rsidP="00BD1D43">
            <w:pPr>
              <w:spacing w:before="60" w:after="60" w:line="240" w:lineRule="auto"/>
              <w:rPr>
                <w:rFonts w:cs="Arial"/>
              </w:rPr>
            </w:pPr>
            <w:r>
              <w:rPr>
                <w:rFonts w:cs="Arial"/>
              </w:rPr>
              <w:t>7</w:t>
            </w:r>
          </w:p>
        </w:tc>
        <w:tc>
          <w:tcPr>
            <w:tcW w:w="1843" w:type="dxa"/>
            <w:shd w:val="clear" w:color="auto" w:fill="auto"/>
          </w:tcPr>
          <w:p w:rsidR="00791D18" w:rsidRPr="008522A3" w:rsidRDefault="00E12CAB" w:rsidP="00BD1D43">
            <w:pPr>
              <w:spacing w:before="60" w:after="60" w:line="240" w:lineRule="auto"/>
              <w:rPr>
                <w:rFonts w:cs="Arial"/>
              </w:rPr>
            </w:pPr>
            <w:r>
              <w:rPr>
                <w:rFonts w:cs="Arial"/>
              </w:rPr>
              <w:t>3</w:t>
            </w:r>
          </w:p>
        </w:tc>
        <w:tc>
          <w:tcPr>
            <w:tcW w:w="1842" w:type="dxa"/>
            <w:shd w:val="clear" w:color="auto" w:fill="auto"/>
          </w:tcPr>
          <w:p w:rsidR="00791D18" w:rsidRPr="008522A3" w:rsidRDefault="003103A0" w:rsidP="00BD1D43">
            <w:pPr>
              <w:spacing w:before="60" w:after="60" w:line="240" w:lineRule="auto"/>
              <w:rPr>
                <w:rFonts w:cs="Arial"/>
              </w:rPr>
            </w:pPr>
            <w:r>
              <w:rPr>
                <w:rFonts w:cs="Arial"/>
              </w:rPr>
              <w:t>0</w:t>
            </w:r>
          </w:p>
        </w:tc>
        <w:tc>
          <w:tcPr>
            <w:tcW w:w="5670" w:type="dxa"/>
            <w:vAlign w:val="center"/>
          </w:tcPr>
          <w:p w:rsidR="005362FD" w:rsidRPr="005362FD" w:rsidRDefault="005362FD" w:rsidP="00BD1D43">
            <w:pPr>
              <w:spacing w:before="60" w:after="60" w:line="240" w:lineRule="auto"/>
              <w:rPr>
                <w:rFonts w:cs="Arial"/>
                <w:b/>
              </w:rPr>
            </w:pPr>
            <w:r w:rsidRPr="005362FD">
              <w:rPr>
                <w:rFonts w:cs="Arial"/>
                <w:b/>
              </w:rPr>
              <w:t xml:space="preserve">Ecological risk is well </w:t>
            </w:r>
            <w:r w:rsidR="00BD1D43">
              <w:rPr>
                <w:rFonts w:cs="Arial"/>
                <w:b/>
              </w:rPr>
              <w:t>managed and meets requirements.</w:t>
            </w:r>
          </w:p>
          <w:p w:rsidR="00791D18" w:rsidRPr="008522A3" w:rsidRDefault="00791D18" w:rsidP="00BD1D43">
            <w:pPr>
              <w:spacing w:before="60" w:after="60" w:line="240" w:lineRule="auto"/>
              <w:rPr>
                <w:rFonts w:cs="Arial"/>
              </w:rPr>
            </w:pPr>
            <w:r w:rsidRPr="008522A3">
              <w:rPr>
                <w:rFonts w:cs="Arial"/>
              </w:rPr>
              <w:t>As per Principle 2 (bycatch and TEPS) above.</w:t>
            </w:r>
          </w:p>
        </w:tc>
      </w:tr>
    </w:tbl>
    <w:p w:rsidR="005362FD" w:rsidRDefault="005362FD">
      <w:pPr>
        <w:spacing w:after="0" w:line="240" w:lineRule="auto"/>
        <w:rPr>
          <w:rFonts w:cs="Arial"/>
          <w:b/>
        </w:rPr>
      </w:pPr>
      <w:r>
        <w:rPr>
          <w:rFonts w:cs="Arial"/>
          <w:b/>
        </w:rPr>
        <w:br w:type="page"/>
      </w:r>
    </w:p>
    <w:p w:rsidR="002857B8" w:rsidRDefault="00791D18" w:rsidP="00457932">
      <w:pPr>
        <w:rPr>
          <w:rFonts w:cs="Arial"/>
          <w:b/>
        </w:rPr>
      </w:pPr>
      <w:r w:rsidRPr="00815013">
        <w:rPr>
          <w:rFonts w:cs="Arial"/>
          <w:b/>
        </w:rPr>
        <w:t>Detailed analysis</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19"/>
        <w:gridCol w:w="1559"/>
        <w:gridCol w:w="1560"/>
        <w:gridCol w:w="1559"/>
        <w:gridCol w:w="5386"/>
      </w:tblGrid>
      <w:tr w:rsidR="00791D18" w:rsidRPr="007F1C9E" w:rsidTr="00A960FD">
        <w:trPr>
          <w:cantSplit/>
        </w:trPr>
        <w:tc>
          <w:tcPr>
            <w:tcW w:w="4219" w:type="dxa"/>
            <w:shd w:val="clear" w:color="auto" w:fill="auto"/>
          </w:tcPr>
          <w:p w:rsidR="00791D18" w:rsidRPr="007F1C9E" w:rsidRDefault="00791D18" w:rsidP="007F1C9E">
            <w:pPr>
              <w:spacing w:after="120" w:line="240" w:lineRule="auto"/>
              <w:rPr>
                <w:rFonts w:cs="Arial"/>
                <w:sz w:val="20"/>
                <w:szCs w:val="20"/>
              </w:rPr>
            </w:pPr>
            <w:r w:rsidRPr="007F1C9E">
              <w:rPr>
                <w:rFonts w:cs="Arial"/>
                <w:b/>
                <w:sz w:val="20"/>
                <w:szCs w:val="20"/>
              </w:rPr>
              <w:t>Guidelines for the Ecologically Sustainable Management of Fisheries  (2nd edition)</w:t>
            </w:r>
            <w:r w:rsidRPr="007F1C9E">
              <w:rPr>
                <w:rStyle w:val="FootnoteReference"/>
                <w:rFonts w:cs="Arial"/>
                <w:sz w:val="20"/>
                <w:szCs w:val="20"/>
              </w:rPr>
              <w:t xml:space="preserve"> </w:t>
            </w:r>
            <w:r w:rsidRPr="007F1C9E">
              <w:rPr>
                <w:rStyle w:val="FootnoteReference"/>
                <w:rFonts w:cs="Arial"/>
                <w:sz w:val="20"/>
                <w:szCs w:val="20"/>
              </w:rPr>
              <w:footnoteReference w:id="3"/>
            </w:r>
          </w:p>
        </w:tc>
        <w:tc>
          <w:tcPr>
            <w:tcW w:w="1559" w:type="dxa"/>
            <w:shd w:val="clear" w:color="auto" w:fill="92D050"/>
          </w:tcPr>
          <w:p w:rsidR="00791D18" w:rsidRPr="007F1C9E" w:rsidRDefault="00791D18" w:rsidP="007F1C9E">
            <w:pPr>
              <w:spacing w:after="120" w:line="240" w:lineRule="auto"/>
              <w:rPr>
                <w:rFonts w:cs="Arial"/>
                <w:b/>
                <w:sz w:val="20"/>
                <w:szCs w:val="20"/>
              </w:rPr>
            </w:pPr>
            <w:r w:rsidRPr="007F1C9E">
              <w:rPr>
                <w:rFonts w:cs="Arial"/>
                <w:b/>
                <w:sz w:val="20"/>
                <w:szCs w:val="20"/>
              </w:rPr>
              <w:t>Meets</w:t>
            </w:r>
            <w:r w:rsidRPr="007F1C9E">
              <w:rPr>
                <w:rStyle w:val="FootnoteReference"/>
                <w:rFonts w:cs="Arial"/>
                <w:b/>
                <w:sz w:val="20"/>
                <w:szCs w:val="20"/>
              </w:rPr>
              <w:footnoteReference w:id="4"/>
            </w:r>
          </w:p>
        </w:tc>
        <w:tc>
          <w:tcPr>
            <w:tcW w:w="1560" w:type="dxa"/>
            <w:shd w:val="clear" w:color="auto" w:fill="FFC000"/>
          </w:tcPr>
          <w:p w:rsidR="00791D18" w:rsidRPr="007F1C9E" w:rsidRDefault="00791D18" w:rsidP="007F1C9E">
            <w:pPr>
              <w:spacing w:after="120" w:line="240" w:lineRule="auto"/>
              <w:rPr>
                <w:rFonts w:cs="Arial"/>
                <w:b/>
                <w:sz w:val="20"/>
                <w:szCs w:val="20"/>
              </w:rPr>
            </w:pPr>
            <w:r w:rsidRPr="007F1C9E">
              <w:rPr>
                <w:rFonts w:cs="Arial"/>
                <w:b/>
                <w:sz w:val="20"/>
                <w:szCs w:val="20"/>
              </w:rPr>
              <w:t>Partially meets</w:t>
            </w:r>
          </w:p>
        </w:tc>
        <w:tc>
          <w:tcPr>
            <w:tcW w:w="1559" w:type="dxa"/>
            <w:shd w:val="clear" w:color="auto" w:fill="FF0000"/>
          </w:tcPr>
          <w:p w:rsidR="00791D18" w:rsidRPr="007F1C9E" w:rsidRDefault="00791D18" w:rsidP="007F1C9E">
            <w:pPr>
              <w:spacing w:after="120" w:line="240" w:lineRule="auto"/>
              <w:rPr>
                <w:rFonts w:cs="Arial"/>
                <w:b/>
                <w:sz w:val="20"/>
                <w:szCs w:val="20"/>
              </w:rPr>
            </w:pPr>
            <w:r w:rsidRPr="007F1C9E">
              <w:rPr>
                <w:rFonts w:cs="Arial"/>
                <w:b/>
                <w:sz w:val="20"/>
                <w:szCs w:val="20"/>
              </w:rPr>
              <w:t>Does not meet</w:t>
            </w:r>
          </w:p>
        </w:tc>
        <w:tc>
          <w:tcPr>
            <w:tcW w:w="5386" w:type="dxa"/>
            <w:shd w:val="clear" w:color="auto" w:fill="FFFFFF"/>
          </w:tcPr>
          <w:p w:rsidR="00791D18" w:rsidRPr="007F1C9E" w:rsidRDefault="00791D18" w:rsidP="007F1C9E">
            <w:pPr>
              <w:spacing w:after="120" w:line="240" w:lineRule="auto"/>
              <w:rPr>
                <w:rFonts w:cs="Arial"/>
                <w:b/>
                <w:sz w:val="20"/>
                <w:szCs w:val="20"/>
              </w:rPr>
            </w:pPr>
            <w:r w:rsidRPr="007F1C9E">
              <w:rPr>
                <w:rFonts w:cs="Arial"/>
                <w:b/>
                <w:sz w:val="20"/>
                <w:szCs w:val="20"/>
              </w:rPr>
              <w:t>Comment</w:t>
            </w:r>
            <w:r w:rsidRPr="007F1C9E">
              <w:rPr>
                <w:rStyle w:val="FootnoteReference"/>
                <w:rFonts w:cs="Arial"/>
                <w:b/>
                <w:sz w:val="20"/>
                <w:szCs w:val="20"/>
              </w:rPr>
              <w:footnoteReference w:id="5"/>
            </w:r>
          </w:p>
        </w:tc>
      </w:tr>
      <w:tr w:rsidR="00791D18" w:rsidRPr="007F1C9E" w:rsidTr="00A960FD">
        <w:trPr>
          <w:cantSplit/>
        </w:trPr>
        <w:tc>
          <w:tcPr>
            <w:tcW w:w="14283" w:type="dxa"/>
            <w:gridSpan w:val="5"/>
            <w:shd w:val="clear" w:color="auto" w:fill="FFFF66"/>
          </w:tcPr>
          <w:p w:rsidR="00791D18" w:rsidRPr="007F1C9E" w:rsidRDefault="00791D18" w:rsidP="007F1C9E">
            <w:pPr>
              <w:spacing w:after="120" w:line="240" w:lineRule="auto"/>
              <w:rPr>
                <w:rFonts w:cs="Arial"/>
                <w:b/>
                <w:sz w:val="20"/>
                <w:szCs w:val="20"/>
              </w:rPr>
            </w:pPr>
            <w:r w:rsidRPr="007F1C9E">
              <w:rPr>
                <w:rFonts w:cs="Arial"/>
                <w:b/>
                <w:sz w:val="20"/>
                <w:szCs w:val="20"/>
              </w:rPr>
              <w:t>THE MANAGEMENT REGIME</w:t>
            </w:r>
          </w:p>
        </w:tc>
      </w:tr>
      <w:tr w:rsidR="00791D18" w:rsidRPr="007F1C9E" w:rsidTr="00A960FD">
        <w:trPr>
          <w:cantSplit/>
        </w:trPr>
        <w:tc>
          <w:tcPr>
            <w:tcW w:w="14283" w:type="dxa"/>
            <w:gridSpan w:val="5"/>
            <w:shd w:val="clear" w:color="auto" w:fill="FFFF99"/>
          </w:tcPr>
          <w:p w:rsidR="00791D18" w:rsidRPr="007F1C9E" w:rsidRDefault="00791D18" w:rsidP="007F1C9E">
            <w:pPr>
              <w:spacing w:after="120" w:line="240" w:lineRule="auto"/>
              <w:rPr>
                <w:rFonts w:cs="Arial"/>
                <w:b/>
                <w:sz w:val="20"/>
                <w:szCs w:val="20"/>
              </w:rPr>
            </w:pPr>
            <w:r w:rsidRPr="007F1C9E">
              <w:rPr>
                <w:rFonts w:cs="Arial"/>
                <w:sz w:val="20"/>
                <w:szCs w:val="20"/>
              </w:rPr>
              <w:t>The management regime does not have to be a formal statutory fishery management plan as such, and may include non-statutory management arrangements or management policies and programs. The regime should:</w:t>
            </w:r>
          </w:p>
        </w:tc>
      </w:tr>
      <w:tr w:rsidR="00791D18" w:rsidRPr="00FB524C" w:rsidTr="00A960FD">
        <w:trPr>
          <w:cantSplit/>
        </w:trPr>
        <w:tc>
          <w:tcPr>
            <w:tcW w:w="4219" w:type="dxa"/>
            <w:shd w:val="clear" w:color="auto" w:fill="auto"/>
          </w:tcPr>
          <w:p w:rsidR="00791D18" w:rsidRPr="00FB524C" w:rsidRDefault="00791D18" w:rsidP="007F1C9E">
            <w:pPr>
              <w:spacing w:after="120" w:line="240" w:lineRule="auto"/>
              <w:rPr>
                <w:rFonts w:cs="Arial"/>
              </w:rPr>
            </w:pPr>
            <w:r w:rsidRPr="00FB524C">
              <w:rPr>
                <w:rFonts w:cs="Arial"/>
              </w:rPr>
              <w:t>Be documented, publicly available and transparent</w:t>
            </w:r>
          </w:p>
        </w:tc>
        <w:tc>
          <w:tcPr>
            <w:tcW w:w="1559" w:type="dxa"/>
            <w:shd w:val="clear" w:color="auto" w:fill="92D050"/>
          </w:tcPr>
          <w:p w:rsidR="00791D18" w:rsidRPr="00FB524C" w:rsidRDefault="00791D18" w:rsidP="007F1C9E">
            <w:pPr>
              <w:spacing w:after="120" w:line="240" w:lineRule="auto"/>
              <w:rPr>
                <w:rFonts w:cs="Arial"/>
              </w:rPr>
            </w:pPr>
            <w:r w:rsidRPr="00FB524C">
              <w:rPr>
                <w:rFonts w:cs="Arial"/>
              </w:rPr>
              <w:t>Yes, yes and yes</w:t>
            </w:r>
          </w:p>
        </w:tc>
        <w:tc>
          <w:tcPr>
            <w:tcW w:w="1560" w:type="dxa"/>
            <w:shd w:val="clear" w:color="auto" w:fill="auto"/>
          </w:tcPr>
          <w:p w:rsidR="00791D18" w:rsidRPr="00FB524C" w:rsidRDefault="00791D18" w:rsidP="007F1C9E">
            <w:pPr>
              <w:spacing w:after="120" w:line="240" w:lineRule="auto"/>
              <w:rPr>
                <w:rFonts w:cs="Arial"/>
              </w:rPr>
            </w:pPr>
            <w:r w:rsidRPr="00FB524C">
              <w:rPr>
                <w:rFonts w:cs="Arial"/>
              </w:rPr>
              <w:t>Documented but not publicly available</w:t>
            </w:r>
          </w:p>
        </w:tc>
        <w:tc>
          <w:tcPr>
            <w:tcW w:w="1559" w:type="dxa"/>
            <w:shd w:val="clear" w:color="auto" w:fill="auto"/>
          </w:tcPr>
          <w:p w:rsidR="00791D18" w:rsidRPr="00FB524C" w:rsidRDefault="00791D18" w:rsidP="007F1C9E">
            <w:pPr>
              <w:spacing w:after="120" w:line="240" w:lineRule="auto"/>
              <w:rPr>
                <w:rFonts w:cs="Arial"/>
              </w:rPr>
            </w:pPr>
            <w:r w:rsidRPr="00FB524C">
              <w:rPr>
                <w:rFonts w:cs="Arial"/>
              </w:rPr>
              <w:t>No, no and no</w:t>
            </w:r>
          </w:p>
        </w:tc>
        <w:tc>
          <w:tcPr>
            <w:tcW w:w="5386" w:type="dxa"/>
            <w:shd w:val="clear" w:color="auto" w:fill="FFFFFF"/>
          </w:tcPr>
          <w:p w:rsidR="00791D18" w:rsidRPr="00FB524C" w:rsidRDefault="00791D18" w:rsidP="007F1C9E">
            <w:pPr>
              <w:spacing w:after="120" w:line="240" w:lineRule="auto"/>
              <w:rPr>
                <w:rFonts w:cs="Arial"/>
                <w:b/>
              </w:rPr>
            </w:pPr>
            <w:r w:rsidRPr="00FB524C">
              <w:rPr>
                <w:rFonts w:cs="Arial"/>
                <w:b/>
              </w:rPr>
              <w:t>The management regime is clearly defined</w:t>
            </w:r>
            <w:r w:rsidR="00381936" w:rsidRPr="00FB524C">
              <w:rPr>
                <w:rFonts w:cs="Arial"/>
                <w:b/>
              </w:rPr>
              <w:t>, transparent</w:t>
            </w:r>
            <w:r w:rsidRPr="00FB524C">
              <w:rPr>
                <w:rFonts w:cs="Arial"/>
                <w:b/>
              </w:rPr>
              <w:t xml:space="preserve"> and publically available on the </w:t>
            </w:r>
            <w:hyperlink r:id="rId62" w:history="1">
              <w:r w:rsidR="00447C82" w:rsidRPr="00FB524C">
                <w:rPr>
                  <w:rStyle w:val="Hyperlink"/>
                  <w:rFonts w:cs="Arial"/>
                  <w:b/>
                </w:rPr>
                <w:t>CCAMLR</w:t>
              </w:r>
              <w:r w:rsidRPr="00FB524C">
                <w:rPr>
                  <w:rStyle w:val="Hyperlink"/>
                  <w:rFonts w:cs="Arial"/>
                  <w:b/>
                </w:rPr>
                <w:t xml:space="preserve"> website</w:t>
              </w:r>
            </w:hyperlink>
            <w:r w:rsidRPr="00FB524C">
              <w:rPr>
                <w:rFonts w:cs="Arial"/>
                <w:b/>
              </w:rPr>
              <w:t>.</w:t>
            </w:r>
          </w:p>
          <w:p w:rsidR="00791D18" w:rsidRPr="00FB524C" w:rsidRDefault="00791D18" w:rsidP="007F1C9E">
            <w:pPr>
              <w:spacing w:after="120" w:line="240" w:lineRule="auto"/>
              <w:rPr>
                <w:rFonts w:cs="Arial"/>
              </w:rPr>
            </w:pPr>
            <w:r w:rsidRPr="00FB524C">
              <w:rPr>
                <w:rFonts w:cs="Arial"/>
              </w:rPr>
              <w:t xml:space="preserve">Information on fishery performance, including catch of target and bycatch species, and compliance with CCAMLR </w:t>
            </w:r>
            <w:r w:rsidR="00456967" w:rsidRPr="00FB524C">
              <w:rPr>
                <w:rFonts w:cs="Arial"/>
              </w:rPr>
              <w:t>conservation measure</w:t>
            </w:r>
            <w:r w:rsidRPr="00FB524C">
              <w:rPr>
                <w:rFonts w:cs="Arial"/>
              </w:rPr>
              <w:t xml:space="preserve">s are also published on the CCAMLR website. </w:t>
            </w:r>
          </w:p>
          <w:p w:rsidR="00791D18" w:rsidRPr="00FB524C" w:rsidRDefault="00791D18" w:rsidP="007F1C9E">
            <w:pPr>
              <w:spacing w:after="120" w:line="240" w:lineRule="auto"/>
              <w:rPr>
                <w:rFonts w:cs="Arial"/>
              </w:rPr>
            </w:pPr>
            <w:r w:rsidRPr="00FB524C">
              <w:rPr>
                <w:rFonts w:cs="Arial"/>
              </w:rPr>
              <w:t xml:space="preserve">Meetings where management arrangements are developed are well documented on CCAMLR and </w:t>
            </w:r>
            <w:r w:rsidR="00A10BD2" w:rsidRPr="00FB524C">
              <w:rPr>
                <w:rFonts w:cs="Arial"/>
              </w:rPr>
              <w:t>AFMA</w:t>
            </w:r>
            <w:r w:rsidRPr="00FB524C">
              <w:rPr>
                <w:rFonts w:cs="Arial"/>
              </w:rPr>
              <w:t xml:space="preserve"> websites.</w:t>
            </w:r>
          </w:p>
          <w:p w:rsidR="00791D18" w:rsidRPr="00FB524C" w:rsidRDefault="00791D18" w:rsidP="007F1C9E">
            <w:pPr>
              <w:spacing w:after="120" w:line="240" w:lineRule="auto"/>
              <w:rPr>
                <w:rFonts w:cs="Arial"/>
              </w:rPr>
            </w:pPr>
            <w:r w:rsidRPr="00FB524C">
              <w:rPr>
                <w:rFonts w:cs="Arial"/>
              </w:rPr>
              <w:t xml:space="preserve">Australia’s management arrangements are broadly defined in the </w:t>
            </w:r>
            <w:r w:rsidR="00062316" w:rsidRPr="00FB524C">
              <w:rPr>
                <w:rFonts w:cs="Arial"/>
                <w:i/>
              </w:rPr>
              <w:t>Fisheries Management Act 1991</w:t>
            </w:r>
            <w:r w:rsidR="00062316" w:rsidRPr="00FB524C">
              <w:rPr>
                <w:rFonts w:cs="Arial"/>
              </w:rPr>
              <w:t xml:space="preserve"> (</w:t>
            </w:r>
            <w:r w:rsidR="00FF1C90" w:rsidRPr="00FB524C">
              <w:rPr>
                <w:rFonts w:cs="Arial"/>
              </w:rPr>
              <w:t>FM Act</w:t>
            </w:r>
            <w:r w:rsidR="00062316" w:rsidRPr="00FB524C">
              <w:rPr>
                <w:rFonts w:cs="Arial"/>
              </w:rPr>
              <w:t>)</w:t>
            </w:r>
            <w:r w:rsidR="00FF1C90" w:rsidRPr="00FB524C">
              <w:rPr>
                <w:rFonts w:cs="Arial"/>
                <w:i/>
              </w:rPr>
              <w:t xml:space="preserve"> </w:t>
            </w:r>
            <w:r w:rsidRPr="00FB524C">
              <w:rPr>
                <w:rFonts w:cs="Arial"/>
              </w:rPr>
              <w:t xml:space="preserve">and </w:t>
            </w:r>
            <w:r w:rsidR="00062316" w:rsidRPr="00FB524C">
              <w:rPr>
                <w:rFonts w:cs="Arial"/>
              </w:rPr>
              <w:t>the Fisheries Management Regulations 1992 (</w:t>
            </w:r>
            <w:r w:rsidR="00FF1C90" w:rsidRPr="00FB524C">
              <w:rPr>
                <w:rFonts w:cs="Arial"/>
              </w:rPr>
              <w:t xml:space="preserve">FM </w:t>
            </w:r>
            <w:r w:rsidRPr="00FB524C">
              <w:rPr>
                <w:rFonts w:cs="Arial"/>
              </w:rPr>
              <w:t>Regulations</w:t>
            </w:r>
            <w:r w:rsidR="00062316" w:rsidRPr="00FB524C">
              <w:rPr>
                <w:rFonts w:cs="Arial"/>
              </w:rPr>
              <w:t>)</w:t>
            </w:r>
            <w:r w:rsidRPr="00FB524C">
              <w:rPr>
                <w:rFonts w:cs="Arial"/>
              </w:rPr>
              <w:t xml:space="preserve">. </w:t>
            </w:r>
          </w:p>
          <w:p w:rsidR="00791D18" w:rsidRPr="00FB524C" w:rsidRDefault="00791D18" w:rsidP="007F1C9E">
            <w:pPr>
              <w:spacing w:after="120" w:line="240" w:lineRule="auto"/>
              <w:rPr>
                <w:rFonts w:cs="Arial"/>
              </w:rPr>
            </w:pPr>
            <w:r w:rsidRPr="00FB524C">
              <w:rPr>
                <w:rFonts w:cs="Arial"/>
              </w:rPr>
              <w:t xml:space="preserve">AFMA and </w:t>
            </w:r>
            <w:r w:rsidR="00062316" w:rsidRPr="00FB524C">
              <w:rPr>
                <w:rFonts w:cs="Arial"/>
              </w:rPr>
              <w:t>the Australian Antarctic Division (</w:t>
            </w:r>
            <w:r w:rsidR="00EE06D6" w:rsidRPr="00FB524C">
              <w:rPr>
                <w:rFonts w:cs="Arial"/>
              </w:rPr>
              <w:t>AAD</w:t>
            </w:r>
            <w:r w:rsidR="00062316" w:rsidRPr="00FB524C">
              <w:rPr>
                <w:rFonts w:cs="Arial"/>
              </w:rPr>
              <w:t>)</w:t>
            </w:r>
            <w:r w:rsidRPr="00FB524C">
              <w:rPr>
                <w:rFonts w:cs="Arial"/>
              </w:rPr>
              <w:t xml:space="preserve"> also publish a </w:t>
            </w:r>
            <w:hyperlink r:id="rId63" w:history="1">
              <w:r w:rsidRPr="00FB524C">
                <w:rPr>
                  <w:rStyle w:val="Hyperlink"/>
                  <w:rFonts w:cs="Arial"/>
                  <w:i/>
                </w:rPr>
                <w:t>Guide to CCAMLR New and Exploratory Fisheries</w:t>
              </w:r>
            </w:hyperlink>
            <w:r w:rsidRPr="00FB524C">
              <w:rPr>
                <w:rFonts w:cs="Arial"/>
              </w:rPr>
              <w:t xml:space="preserve"> which outlines the process for Australian companies or persons to apply for a permit to fish in CCAMLR New and Exploratory Fisheries.</w:t>
            </w:r>
            <w:r w:rsidRPr="00FB524C" w:rsidDel="00EF1E58">
              <w:rPr>
                <w:rFonts w:cs="Arial"/>
              </w:rPr>
              <w:t xml:space="preserve"> </w:t>
            </w:r>
          </w:p>
        </w:tc>
      </w:tr>
      <w:tr w:rsidR="00791D18" w:rsidRPr="00FB524C" w:rsidTr="00A960FD">
        <w:trPr>
          <w:cantSplit/>
        </w:trPr>
        <w:tc>
          <w:tcPr>
            <w:tcW w:w="4219" w:type="dxa"/>
            <w:shd w:val="clear" w:color="auto" w:fill="auto"/>
          </w:tcPr>
          <w:p w:rsidR="00FF1DDA" w:rsidRDefault="00791D18" w:rsidP="00FF1DDA">
            <w:pPr>
              <w:spacing w:after="120" w:line="240" w:lineRule="auto"/>
              <w:rPr>
                <w:rFonts w:cs="Arial"/>
              </w:rPr>
            </w:pPr>
            <w:r w:rsidRPr="00FB524C">
              <w:rPr>
                <w:rFonts w:cs="Arial"/>
              </w:rPr>
              <w:t>Be developed through a consultative process providing opportunity to all interested and affected parties, including the general public</w:t>
            </w:r>
          </w:p>
        </w:tc>
        <w:tc>
          <w:tcPr>
            <w:tcW w:w="1559" w:type="dxa"/>
            <w:shd w:val="clear" w:color="auto" w:fill="auto"/>
          </w:tcPr>
          <w:p w:rsidR="00FF1DDA" w:rsidRDefault="00791D18" w:rsidP="00FF1DDA">
            <w:pPr>
              <w:spacing w:after="120" w:line="240" w:lineRule="auto"/>
              <w:rPr>
                <w:rFonts w:cs="Arial"/>
              </w:rPr>
            </w:pPr>
            <w:r w:rsidRPr="00FB524C">
              <w:rPr>
                <w:rFonts w:cs="Arial"/>
              </w:rPr>
              <w:t>Fully open and transparent public process</w:t>
            </w:r>
          </w:p>
        </w:tc>
        <w:tc>
          <w:tcPr>
            <w:tcW w:w="1560" w:type="dxa"/>
            <w:shd w:val="clear" w:color="auto" w:fill="FFC000"/>
          </w:tcPr>
          <w:p w:rsidR="00FF1DDA" w:rsidRDefault="00791D18" w:rsidP="00FF1DDA">
            <w:pPr>
              <w:spacing w:after="120" w:line="240" w:lineRule="auto"/>
              <w:rPr>
                <w:rFonts w:cs="Arial"/>
              </w:rPr>
            </w:pPr>
            <w:r w:rsidRPr="00FB524C">
              <w:rPr>
                <w:rFonts w:cs="Arial"/>
              </w:rPr>
              <w:t>Consultative but not open to general public</w:t>
            </w:r>
          </w:p>
        </w:tc>
        <w:tc>
          <w:tcPr>
            <w:tcW w:w="1559" w:type="dxa"/>
            <w:shd w:val="clear" w:color="auto" w:fill="auto"/>
          </w:tcPr>
          <w:p w:rsidR="00FF1DDA" w:rsidRDefault="00791D18" w:rsidP="00FF1DDA">
            <w:pPr>
              <w:spacing w:after="120" w:line="240" w:lineRule="auto"/>
              <w:rPr>
                <w:rFonts w:cs="Arial"/>
              </w:rPr>
            </w:pPr>
            <w:r w:rsidRPr="00FB524C">
              <w:rPr>
                <w:rFonts w:cs="Arial"/>
              </w:rPr>
              <w:t>Developed with no consultation</w:t>
            </w:r>
          </w:p>
        </w:tc>
        <w:tc>
          <w:tcPr>
            <w:tcW w:w="5386" w:type="dxa"/>
            <w:shd w:val="clear" w:color="auto" w:fill="FFFFFF"/>
          </w:tcPr>
          <w:p w:rsidR="00FF1DDA" w:rsidRDefault="00381936" w:rsidP="00FF1DDA">
            <w:pPr>
              <w:spacing w:after="120" w:line="240" w:lineRule="auto"/>
              <w:rPr>
                <w:rFonts w:cs="Arial"/>
                <w:b/>
              </w:rPr>
            </w:pPr>
            <w:r w:rsidRPr="00FB524C">
              <w:rPr>
                <w:rFonts w:cs="Arial"/>
                <w:b/>
              </w:rPr>
              <w:t>Management is consultative and transparent, but not open to the general public.</w:t>
            </w:r>
          </w:p>
          <w:p w:rsidR="00FF1DDA" w:rsidRDefault="00791D18" w:rsidP="00FF1DDA">
            <w:pPr>
              <w:spacing w:after="120" w:line="240" w:lineRule="auto"/>
              <w:rPr>
                <w:rFonts w:cs="Arial"/>
              </w:rPr>
            </w:pPr>
            <w:r w:rsidRPr="00FB524C">
              <w:rPr>
                <w:rFonts w:cs="Arial"/>
              </w:rPr>
              <w:t xml:space="preserve">CCAMLR meetings, where management arrangements for the fisheries are defined, are restricted to delegates from member countries and approved observers. Australia’s delegation includes </w:t>
            </w:r>
            <w:r w:rsidR="00062316" w:rsidRPr="00FB524C">
              <w:rPr>
                <w:rFonts w:cs="Arial"/>
              </w:rPr>
              <w:t>Commonwealth</w:t>
            </w:r>
            <w:r w:rsidRPr="00FB524C">
              <w:rPr>
                <w:rFonts w:cs="Arial"/>
              </w:rPr>
              <w:t>, State</w:t>
            </w:r>
            <w:r w:rsidR="00062316" w:rsidRPr="00FB524C">
              <w:rPr>
                <w:rFonts w:cs="Arial"/>
              </w:rPr>
              <w:t xml:space="preserve"> and </w:t>
            </w:r>
            <w:r w:rsidRPr="00FB524C">
              <w:rPr>
                <w:rFonts w:cs="Arial"/>
              </w:rPr>
              <w:t>Territory government</w:t>
            </w:r>
            <w:r w:rsidR="00062316" w:rsidRPr="00FB524C">
              <w:rPr>
                <w:rFonts w:cs="Arial"/>
              </w:rPr>
              <w:t xml:space="preserve"> representative</w:t>
            </w:r>
            <w:r w:rsidRPr="00FB524C">
              <w:rPr>
                <w:rFonts w:cs="Arial"/>
              </w:rPr>
              <w:t>s, fishing industry and conservation interests.</w:t>
            </w:r>
          </w:p>
          <w:p w:rsidR="00FF1DDA" w:rsidRDefault="00791D18" w:rsidP="00FF1DDA">
            <w:pPr>
              <w:spacing w:after="120" w:line="240" w:lineRule="auto"/>
              <w:rPr>
                <w:rFonts w:cs="Arial"/>
              </w:rPr>
            </w:pPr>
            <w:r w:rsidRPr="00FB524C">
              <w:rPr>
                <w:rFonts w:cs="Arial"/>
              </w:rPr>
              <w:t>Within Australia, consultation is similarly broad, but not open to all interested and affected parties. This includes meetings of the CCAMLR Consultative Forum, as well as meetings of AFMA’</w:t>
            </w:r>
            <w:r w:rsidR="0090302A">
              <w:rPr>
                <w:rFonts w:cs="Arial"/>
              </w:rPr>
              <w:t>s Management Advisory Committee</w:t>
            </w:r>
            <w:r w:rsidRPr="00FB524C">
              <w:rPr>
                <w:rFonts w:cs="Arial"/>
              </w:rPr>
              <w:t xml:space="preserve"> and Resource Assessment Groups.</w:t>
            </w:r>
          </w:p>
        </w:tc>
      </w:tr>
      <w:tr w:rsidR="00791D18" w:rsidRPr="00FB524C" w:rsidTr="00A960FD">
        <w:trPr>
          <w:cantSplit/>
        </w:trPr>
        <w:tc>
          <w:tcPr>
            <w:tcW w:w="4219" w:type="dxa"/>
            <w:shd w:val="clear" w:color="auto" w:fill="auto"/>
          </w:tcPr>
          <w:p w:rsidR="00FF1DDA" w:rsidRDefault="00791D18" w:rsidP="00FF1DDA">
            <w:pPr>
              <w:spacing w:after="120" w:line="240" w:lineRule="auto"/>
              <w:rPr>
                <w:rFonts w:cs="Arial"/>
              </w:rPr>
            </w:pPr>
            <w:r w:rsidRPr="00FB524C">
              <w:rPr>
                <w:rFonts w:cs="Arial"/>
              </w:rPr>
              <w:t>Ensure that a range of expertise and community interests are involved in individual fishery management committees and during the stock assessment process</w:t>
            </w:r>
          </w:p>
        </w:tc>
        <w:tc>
          <w:tcPr>
            <w:tcW w:w="1559" w:type="dxa"/>
            <w:shd w:val="clear" w:color="auto" w:fill="92D050"/>
          </w:tcPr>
          <w:p w:rsidR="00FF1DDA" w:rsidRDefault="00791D18" w:rsidP="00FF1DDA">
            <w:pPr>
              <w:spacing w:after="120" w:line="240" w:lineRule="auto"/>
              <w:rPr>
                <w:rFonts w:cs="Arial"/>
              </w:rPr>
            </w:pPr>
            <w:r w:rsidRPr="00FB524C">
              <w:rPr>
                <w:rFonts w:cs="Arial"/>
              </w:rPr>
              <w:t>Range of expertise and public interests involved</w:t>
            </w:r>
          </w:p>
        </w:tc>
        <w:tc>
          <w:tcPr>
            <w:tcW w:w="1560" w:type="dxa"/>
            <w:shd w:val="clear" w:color="auto" w:fill="auto"/>
          </w:tcPr>
          <w:p w:rsidR="00FF1DDA" w:rsidRDefault="00791D18" w:rsidP="00FF1DDA">
            <w:pPr>
              <w:spacing w:after="120" w:line="240" w:lineRule="auto"/>
              <w:rPr>
                <w:rFonts w:cs="Arial"/>
              </w:rPr>
            </w:pPr>
            <w:r w:rsidRPr="00FB524C">
              <w:rPr>
                <w:rFonts w:cs="Arial"/>
              </w:rPr>
              <w:t>Limited expertise and public interest involved</w:t>
            </w:r>
          </w:p>
        </w:tc>
        <w:tc>
          <w:tcPr>
            <w:tcW w:w="1559" w:type="dxa"/>
            <w:shd w:val="clear" w:color="auto" w:fill="auto"/>
          </w:tcPr>
          <w:p w:rsidR="00FF1DDA" w:rsidRDefault="00791D18" w:rsidP="00FF1DDA">
            <w:pPr>
              <w:spacing w:after="120" w:line="240" w:lineRule="auto"/>
              <w:rPr>
                <w:rFonts w:cs="Arial"/>
              </w:rPr>
            </w:pPr>
            <w:r w:rsidRPr="00FB524C">
              <w:rPr>
                <w:rFonts w:cs="Arial"/>
              </w:rPr>
              <w:t>No external input</w:t>
            </w:r>
          </w:p>
        </w:tc>
        <w:tc>
          <w:tcPr>
            <w:tcW w:w="5386" w:type="dxa"/>
            <w:shd w:val="clear" w:color="auto" w:fill="FFFFFF"/>
          </w:tcPr>
          <w:p w:rsidR="00FF1DDA" w:rsidRDefault="00381936" w:rsidP="00FF1DDA">
            <w:pPr>
              <w:spacing w:after="120" w:line="240" w:lineRule="auto"/>
              <w:rPr>
                <w:rFonts w:cs="Arial"/>
              </w:rPr>
            </w:pPr>
            <w:r w:rsidRPr="00FB524C">
              <w:rPr>
                <w:rFonts w:cs="Arial"/>
                <w:b/>
              </w:rPr>
              <w:t>Management</w:t>
            </w:r>
            <w:r w:rsidRPr="00FB524C">
              <w:rPr>
                <w:rFonts w:cs="Arial"/>
              </w:rPr>
              <w:t xml:space="preserve"> </w:t>
            </w:r>
            <w:r w:rsidRPr="00FB524C">
              <w:rPr>
                <w:rFonts w:cs="Arial"/>
                <w:b/>
              </w:rPr>
              <w:t>draws on a wide range of expertise and interests.</w:t>
            </w:r>
          </w:p>
          <w:p w:rsidR="00FF1DDA" w:rsidRDefault="00791D18" w:rsidP="00FF1DDA">
            <w:pPr>
              <w:spacing w:after="120" w:line="240" w:lineRule="auto"/>
              <w:rPr>
                <w:rFonts w:cs="Arial"/>
              </w:rPr>
            </w:pPr>
            <w:r w:rsidRPr="00FB524C">
              <w:rPr>
                <w:rFonts w:cs="Arial"/>
              </w:rPr>
              <w:t xml:space="preserve">CCAMLR draws on a wide range of scientific, fisheries management and other expertise in developing its management arrangements. Australia’s delegation to CCAMLR includes </w:t>
            </w:r>
            <w:r w:rsidR="00FE0BB9" w:rsidRPr="00FB524C">
              <w:rPr>
                <w:rFonts w:cs="Arial"/>
              </w:rPr>
              <w:t>Commonwealth, State and Territory government representatives</w:t>
            </w:r>
            <w:r w:rsidRPr="00FB524C">
              <w:rPr>
                <w:rFonts w:cs="Arial"/>
              </w:rPr>
              <w:t>, fishing industry and conservation interests.</w:t>
            </w:r>
          </w:p>
          <w:p w:rsidR="00FF1DDA" w:rsidRDefault="00791D18" w:rsidP="00FF1DDA">
            <w:pPr>
              <w:spacing w:after="120" w:line="240" w:lineRule="auto"/>
              <w:rPr>
                <w:rFonts w:cs="Arial"/>
              </w:rPr>
            </w:pPr>
            <w:r w:rsidRPr="00FB524C">
              <w:rPr>
                <w:rFonts w:cs="Arial"/>
              </w:rPr>
              <w:t xml:space="preserve">Stock assessment processes undertaken by CCAMLR appear to be more limited in their representation, but within Australia, the </w:t>
            </w:r>
            <w:r w:rsidR="002C3284" w:rsidRPr="00FB524C">
              <w:rPr>
                <w:rFonts w:cs="Arial"/>
              </w:rPr>
              <w:t>CCAMLR Consultative Forum,</w:t>
            </w:r>
            <w:r w:rsidR="0090302A">
              <w:rPr>
                <w:rFonts w:cs="Arial"/>
              </w:rPr>
              <w:t xml:space="preserve"> </w:t>
            </w:r>
            <w:r w:rsidRPr="00FB524C">
              <w:rPr>
                <w:rFonts w:cs="Arial"/>
              </w:rPr>
              <w:t>Sub-Antarctic Resource Assessment Group and Sub-Antarctic Fisheries Management Advisory Committee include representatives from research, government, and non-government sectors, including the fishing industry and conservation interests.</w:t>
            </w:r>
          </w:p>
        </w:tc>
      </w:tr>
      <w:tr w:rsidR="00791D18" w:rsidRPr="00FB524C" w:rsidTr="00A960FD">
        <w:trPr>
          <w:cantSplit/>
        </w:trPr>
        <w:tc>
          <w:tcPr>
            <w:tcW w:w="4219" w:type="dxa"/>
            <w:shd w:val="clear" w:color="auto" w:fill="auto"/>
          </w:tcPr>
          <w:p w:rsidR="00FF1DDA" w:rsidRDefault="00791D18" w:rsidP="00FF1DDA">
            <w:pPr>
              <w:spacing w:after="120" w:line="240" w:lineRule="auto"/>
              <w:rPr>
                <w:rFonts w:cs="Arial"/>
              </w:rPr>
            </w:pPr>
            <w:r w:rsidRPr="00FB524C">
              <w:rPr>
                <w:rFonts w:cs="Arial"/>
              </w:rPr>
              <w:t>Be strategic, containing objectives and performance criteria by which the effectiveness of the management arrangements are measured</w:t>
            </w:r>
          </w:p>
        </w:tc>
        <w:tc>
          <w:tcPr>
            <w:tcW w:w="1559" w:type="dxa"/>
            <w:shd w:val="clear" w:color="auto" w:fill="92D050"/>
          </w:tcPr>
          <w:p w:rsidR="00FF1DDA" w:rsidRDefault="00791D18" w:rsidP="00FF1DDA">
            <w:pPr>
              <w:spacing w:after="120" w:line="240" w:lineRule="auto"/>
              <w:rPr>
                <w:rFonts w:cs="Arial"/>
              </w:rPr>
            </w:pPr>
            <w:r w:rsidRPr="00FB524C">
              <w:rPr>
                <w:rFonts w:cs="Arial"/>
              </w:rPr>
              <w:t>Has strategic objectives and performance measures to measure effectiveness</w:t>
            </w:r>
          </w:p>
        </w:tc>
        <w:tc>
          <w:tcPr>
            <w:tcW w:w="1560" w:type="dxa"/>
            <w:shd w:val="clear" w:color="auto" w:fill="auto"/>
          </w:tcPr>
          <w:p w:rsidR="00FF1DDA" w:rsidRDefault="00791D18" w:rsidP="00FF1DDA">
            <w:pPr>
              <w:spacing w:after="120" w:line="240" w:lineRule="auto"/>
              <w:rPr>
                <w:rFonts w:cs="Arial"/>
              </w:rPr>
            </w:pPr>
            <w:r w:rsidRPr="00FB524C">
              <w:rPr>
                <w:rFonts w:cs="Arial"/>
              </w:rPr>
              <w:t>Has general objectives and performance criteria, not regularly used to assess effectiveness</w:t>
            </w:r>
          </w:p>
        </w:tc>
        <w:tc>
          <w:tcPr>
            <w:tcW w:w="1559" w:type="dxa"/>
            <w:shd w:val="clear" w:color="auto" w:fill="auto"/>
          </w:tcPr>
          <w:p w:rsidR="00FF1DDA" w:rsidRDefault="00791D18" w:rsidP="00FF1DDA">
            <w:pPr>
              <w:spacing w:after="120" w:line="240" w:lineRule="auto"/>
              <w:rPr>
                <w:rFonts w:cs="Arial"/>
              </w:rPr>
            </w:pPr>
            <w:r w:rsidRPr="00FB524C">
              <w:rPr>
                <w:rFonts w:cs="Arial"/>
              </w:rPr>
              <w:t>Inadequate or non-existent objectives and performance criteria</w:t>
            </w:r>
          </w:p>
          <w:p w:rsidR="00FF1DDA" w:rsidRDefault="00791D18" w:rsidP="00FF1DDA">
            <w:pPr>
              <w:spacing w:after="120" w:line="240" w:lineRule="auto"/>
              <w:rPr>
                <w:rFonts w:cs="Arial"/>
              </w:rPr>
            </w:pPr>
            <w:r w:rsidRPr="00FB524C">
              <w:rPr>
                <w:rFonts w:cs="Arial"/>
              </w:rPr>
              <w:t>Management effectiveness not measured</w:t>
            </w:r>
          </w:p>
        </w:tc>
        <w:tc>
          <w:tcPr>
            <w:tcW w:w="5386" w:type="dxa"/>
            <w:shd w:val="clear" w:color="auto" w:fill="FFFFFF"/>
          </w:tcPr>
          <w:p w:rsidR="00FF1DDA" w:rsidRDefault="00381936" w:rsidP="00FF1DDA">
            <w:pPr>
              <w:spacing w:after="120" w:line="240" w:lineRule="auto"/>
              <w:rPr>
                <w:rFonts w:cs="Arial"/>
                <w:b/>
              </w:rPr>
            </w:pPr>
            <w:r w:rsidRPr="00FB524C">
              <w:rPr>
                <w:rFonts w:cs="Arial"/>
                <w:b/>
              </w:rPr>
              <w:t>Management is strategic, with clear objectives and performance management processes.</w:t>
            </w:r>
          </w:p>
          <w:p w:rsidR="00FF1DDA" w:rsidRDefault="00791D18" w:rsidP="00FF1DDA">
            <w:pPr>
              <w:spacing w:after="120" w:line="240" w:lineRule="auto"/>
              <w:rPr>
                <w:rFonts w:cs="Arial"/>
              </w:rPr>
            </w:pPr>
            <w:r w:rsidRPr="00FB524C">
              <w:rPr>
                <w:rFonts w:cs="Arial"/>
              </w:rPr>
              <w:t>Conservative catch limits and triggers are set, based on available information and the information required to better understand the fisher</w:t>
            </w:r>
            <w:r w:rsidR="004B734E" w:rsidRPr="00FB524C">
              <w:rPr>
                <w:rFonts w:cs="Arial"/>
              </w:rPr>
              <w:t>ie</w:t>
            </w:r>
            <w:r w:rsidRPr="00FB524C">
              <w:rPr>
                <w:rFonts w:cs="Arial"/>
              </w:rPr>
              <w:t>s</w:t>
            </w:r>
            <w:r w:rsidR="004B734E" w:rsidRPr="00FB524C">
              <w:rPr>
                <w:rFonts w:cs="Arial"/>
              </w:rPr>
              <w:t>’</w:t>
            </w:r>
            <w:r w:rsidRPr="00FB524C">
              <w:rPr>
                <w:rFonts w:cs="Arial"/>
              </w:rPr>
              <w:t xml:space="preserve"> potential. These requirements are regularly reviewed and defined in CCAMLR research and data collection plans.</w:t>
            </w:r>
          </w:p>
          <w:p w:rsidR="00FF1DDA" w:rsidRDefault="00791D18" w:rsidP="00FF1DDA">
            <w:pPr>
              <w:spacing w:after="120" w:line="240" w:lineRule="auto"/>
              <w:rPr>
                <w:rFonts w:cs="Arial"/>
              </w:rPr>
            </w:pPr>
            <w:r w:rsidRPr="00FB524C">
              <w:rPr>
                <w:rFonts w:cs="Arial"/>
              </w:rPr>
              <w:t xml:space="preserve">Compliance with management arrangements is actively monitored by AFMA and reported to CCAMLR by all CCAMLR members. The performance of fisheries against CCAMLR’s objectives is also monitored and reported by CCAMLR. </w:t>
            </w:r>
          </w:p>
        </w:tc>
      </w:tr>
      <w:tr w:rsidR="00791D18" w:rsidRPr="00FB524C" w:rsidTr="00A960FD">
        <w:trPr>
          <w:cantSplit/>
        </w:trPr>
        <w:tc>
          <w:tcPr>
            <w:tcW w:w="4219" w:type="dxa"/>
            <w:shd w:val="clear" w:color="auto" w:fill="auto"/>
          </w:tcPr>
          <w:p w:rsidR="00791D18" w:rsidRPr="00FB524C" w:rsidRDefault="00791D18" w:rsidP="007F1C9E">
            <w:pPr>
              <w:spacing w:after="120" w:line="240" w:lineRule="auto"/>
              <w:rPr>
                <w:rFonts w:cs="Arial"/>
              </w:rPr>
            </w:pPr>
            <w:r w:rsidRPr="00FB524C">
              <w:rPr>
                <w:rFonts w:cs="Arial"/>
              </w:rPr>
              <w:t>Be capable of controlling the level of harvest in the fishery using input and/or output controls</w:t>
            </w:r>
          </w:p>
        </w:tc>
        <w:tc>
          <w:tcPr>
            <w:tcW w:w="1559" w:type="dxa"/>
            <w:shd w:val="clear" w:color="auto" w:fill="92D050"/>
          </w:tcPr>
          <w:p w:rsidR="00791D18" w:rsidRPr="00FB524C" w:rsidRDefault="00791D18" w:rsidP="007F1C9E">
            <w:pPr>
              <w:spacing w:after="120" w:line="240" w:lineRule="auto"/>
              <w:rPr>
                <w:rFonts w:cs="Arial"/>
              </w:rPr>
            </w:pPr>
            <w:r w:rsidRPr="00FB524C">
              <w:rPr>
                <w:rFonts w:cs="Arial"/>
              </w:rPr>
              <w:t>Effective controls in place</w:t>
            </w:r>
          </w:p>
        </w:tc>
        <w:tc>
          <w:tcPr>
            <w:tcW w:w="1560" w:type="dxa"/>
            <w:shd w:val="clear" w:color="auto" w:fill="auto"/>
          </w:tcPr>
          <w:p w:rsidR="00791D18" w:rsidRPr="00FB524C" w:rsidRDefault="00791D18" w:rsidP="007F1C9E">
            <w:pPr>
              <w:spacing w:after="120" w:line="240" w:lineRule="auto"/>
              <w:rPr>
                <w:rFonts w:cs="Arial"/>
              </w:rPr>
            </w:pPr>
            <w:r w:rsidRPr="00FB524C">
              <w:rPr>
                <w:rFonts w:cs="Arial"/>
              </w:rPr>
              <w:t>Controls have some capacity to limit harvest</w:t>
            </w:r>
          </w:p>
        </w:tc>
        <w:tc>
          <w:tcPr>
            <w:tcW w:w="1559" w:type="dxa"/>
            <w:shd w:val="clear" w:color="auto" w:fill="auto"/>
          </w:tcPr>
          <w:p w:rsidR="00791D18" w:rsidRPr="00FB524C" w:rsidRDefault="00791D18" w:rsidP="007F1C9E">
            <w:pPr>
              <w:spacing w:after="120" w:line="240" w:lineRule="auto"/>
              <w:rPr>
                <w:rFonts w:cs="Arial"/>
              </w:rPr>
            </w:pPr>
            <w:r w:rsidRPr="00FB524C">
              <w:rPr>
                <w:rFonts w:cs="Arial"/>
              </w:rPr>
              <w:t>Controls do not have capacity to limit harvest</w:t>
            </w:r>
          </w:p>
        </w:tc>
        <w:tc>
          <w:tcPr>
            <w:tcW w:w="5386" w:type="dxa"/>
            <w:shd w:val="clear" w:color="auto" w:fill="FFFFFF"/>
          </w:tcPr>
          <w:p w:rsidR="00381936" w:rsidRPr="00FB524C" w:rsidRDefault="00381936" w:rsidP="007F1C9E">
            <w:pPr>
              <w:spacing w:after="120" w:line="240" w:lineRule="auto"/>
              <w:rPr>
                <w:rFonts w:cs="Arial"/>
                <w:b/>
              </w:rPr>
            </w:pPr>
            <w:r w:rsidRPr="00FB524C">
              <w:rPr>
                <w:rFonts w:cs="Arial"/>
                <w:b/>
              </w:rPr>
              <w:t>Effective harvest controls are in place.</w:t>
            </w:r>
          </w:p>
          <w:p w:rsidR="00791D18" w:rsidRPr="00FB524C" w:rsidRDefault="00791D18" w:rsidP="007F1C9E">
            <w:pPr>
              <w:spacing w:after="120" w:line="240" w:lineRule="auto"/>
              <w:rPr>
                <w:rFonts w:cs="Arial"/>
              </w:rPr>
            </w:pPr>
            <w:r w:rsidRPr="00FB524C">
              <w:rPr>
                <w:rFonts w:cs="Arial"/>
              </w:rPr>
              <w:t xml:space="preserve">CCAMLR has a well developed suite of input and output controls defined in its </w:t>
            </w:r>
            <w:r w:rsidR="00456967" w:rsidRPr="00FB524C">
              <w:rPr>
                <w:rFonts w:cs="Arial"/>
              </w:rPr>
              <w:t>conservation measure</w:t>
            </w:r>
            <w:r w:rsidR="00C329D3" w:rsidRPr="00FB524C">
              <w:rPr>
                <w:rFonts w:cs="Arial"/>
              </w:rPr>
              <w:t>s. These have been dem</w:t>
            </w:r>
            <w:r w:rsidRPr="00FB524C">
              <w:rPr>
                <w:rFonts w:cs="Arial"/>
              </w:rPr>
              <w:t>onstrated to be effective for managing harvest in the fisher</w:t>
            </w:r>
            <w:r w:rsidR="004B734E" w:rsidRPr="00FB524C">
              <w:rPr>
                <w:rFonts w:cs="Arial"/>
              </w:rPr>
              <w:t>ies</w:t>
            </w:r>
            <w:r w:rsidRPr="00FB524C">
              <w:rPr>
                <w:rFonts w:cs="Arial"/>
              </w:rPr>
              <w:t xml:space="preserve"> by authorised </w:t>
            </w:r>
            <w:r w:rsidR="0096492B" w:rsidRPr="00FB524C">
              <w:rPr>
                <w:rFonts w:cs="Arial"/>
              </w:rPr>
              <w:t>vessel</w:t>
            </w:r>
            <w:r w:rsidRPr="00FB524C">
              <w:rPr>
                <w:rFonts w:cs="Arial"/>
              </w:rPr>
              <w:t>s. For Australian operations these arrangements are reflected in conditions on permits issued by AFMA.</w:t>
            </w:r>
          </w:p>
          <w:p w:rsidR="00791D18" w:rsidRPr="00FB524C" w:rsidRDefault="00791D18" w:rsidP="007F1C9E">
            <w:pPr>
              <w:spacing w:after="120" w:line="240" w:lineRule="auto"/>
              <w:rPr>
                <w:rFonts w:cs="Arial"/>
              </w:rPr>
            </w:pPr>
            <w:r w:rsidRPr="00FB524C">
              <w:rPr>
                <w:rFonts w:cs="Arial"/>
              </w:rPr>
              <w:t>Catches from licensed operators are rigorously monitored and reported against, and since 2012 (at least), have been well below the limits set by CCAMLR.</w:t>
            </w:r>
          </w:p>
          <w:p w:rsidR="00791D18" w:rsidRPr="00FB524C" w:rsidRDefault="00B50404" w:rsidP="007F1C9E">
            <w:pPr>
              <w:spacing w:after="120" w:line="240" w:lineRule="auto"/>
              <w:rPr>
                <w:rFonts w:cs="Arial"/>
              </w:rPr>
            </w:pPr>
            <w:r w:rsidRPr="00FB524C">
              <w:rPr>
                <w:rFonts w:cs="Arial"/>
              </w:rPr>
              <w:t>IUU</w:t>
            </w:r>
            <w:r w:rsidR="00791D18" w:rsidRPr="00FB524C">
              <w:rPr>
                <w:rFonts w:cs="Arial"/>
              </w:rPr>
              <w:t xml:space="preserve"> fishing continues to pose a significant challenge for CCAMLR. Although IUU catches have not been estimated in recent years due to methodological difficulties, they have been well in excess of the legal catch limits and potentially on the increase. Australia continues to play a key role in surveillance and enforcement activities within the region and is having a positive effect.</w:t>
            </w:r>
          </w:p>
        </w:tc>
      </w:tr>
    </w:tbl>
    <w:p w:rsidR="00A960FD" w:rsidRDefault="00A960FD">
      <w:r>
        <w:br w:type="page"/>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19"/>
        <w:gridCol w:w="1559"/>
        <w:gridCol w:w="1560"/>
        <w:gridCol w:w="1559"/>
        <w:gridCol w:w="5386"/>
      </w:tblGrid>
      <w:tr w:rsidR="00791D18" w:rsidRPr="00FB524C" w:rsidTr="00A960FD">
        <w:tc>
          <w:tcPr>
            <w:tcW w:w="4219" w:type="dxa"/>
            <w:shd w:val="clear" w:color="auto" w:fill="auto"/>
          </w:tcPr>
          <w:p w:rsidR="00FF1DDA" w:rsidRDefault="00791D18" w:rsidP="00FF1DDA">
            <w:pPr>
              <w:spacing w:after="120" w:line="240" w:lineRule="auto"/>
              <w:rPr>
                <w:rFonts w:cs="Arial"/>
              </w:rPr>
            </w:pPr>
            <w:r w:rsidRPr="00FB524C">
              <w:rPr>
                <w:rFonts w:cs="Arial"/>
              </w:rPr>
              <w:t>Contain the means of enforcing critical aspects of the management arrangements</w:t>
            </w:r>
          </w:p>
        </w:tc>
        <w:tc>
          <w:tcPr>
            <w:tcW w:w="1559" w:type="dxa"/>
            <w:shd w:val="clear" w:color="auto" w:fill="92D050"/>
          </w:tcPr>
          <w:p w:rsidR="00FF1DDA" w:rsidRDefault="00791D18" w:rsidP="00FF1DDA">
            <w:pPr>
              <w:spacing w:after="120" w:line="240" w:lineRule="auto"/>
              <w:rPr>
                <w:rFonts w:cs="Arial"/>
              </w:rPr>
            </w:pPr>
            <w:r w:rsidRPr="00FB524C">
              <w:rPr>
                <w:rFonts w:cs="Arial"/>
              </w:rPr>
              <w:t>Effective enforcement capability</w:t>
            </w:r>
          </w:p>
        </w:tc>
        <w:tc>
          <w:tcPr>
            <w:tcW w:w="1560" w:type="dxa"/>
            <w:shd w:val="clear" w:color="auto" w:fill="auto"/>
          </w:tcPr>
          <w:p w:rsidR="00FF1DDA" w:rsidRDefault="00791D18" w:rsidP="00FF1DDA">
            <w:pPr>
              <w:spacing w:after="120" w:line="240" w:lineRule="auto"/>
              <w:rPr>
                <w:rFonts w:cs="Arial"/>
              </w:rPr>
            </w:pPr>
            <w:r w:rsidRPr="00FB524C">
              <w:rPr>
                <w:rFonts w:cs="Arial"/>
              </w:rPr>
              <w:t>Limited enforcement capability</w:t>
            </w:r>
          </w:p>
        </w:tc>
        <w:tc>
          <w:tcPr>
            <w:tcW w:w="1559" w:type="dxa"/>
            <w:shd w:val="clear" w:color="auto" w:fill="auto"/>
          </w:tcPr>
          <w:p w:rsidR="00FF1DDA" w:rsidRDefault="00791D18" w:rsidP="00FF1DDA">
            <w:pPr>
              <w:spacing w:after="120" w:line="240" w:lineRule="auto"/>
              <w:rPr>
                <w:rFonts w:cs="Arial"/>
              </w:rPr>
            </w:pPr>
            <w:r w:rsidRPr="00FB524C">
              <w:rPr>
                <w:rFonts w:cs="Arial"/>
              </w:rPr>
              <w:t>No enforcement capability</w:t>
            </w:r>
          </w:p>
        </w:tc>
        <w:tc>
          <w:tcPr>
            <w:tcW w:w="5386" w:type="dxa"/>
            <w:shd w:val="clear" w:color="auto" w:fill="FFFFFF"/>
          </w:tcPr>
          <w:p w:rsidR="00FF1DDA" w:rsidRDefault="00381936" w:rsidP="00FF1DDA">
            <w:pPr>
              <w:spacing w:after="120" w:line="240" w:lineRule="auto"/>
              <w:rPr>
                <w:rFonts w:cs="Arial"/>
                <w:b/>
              </w:rPr>
            </w:pPr>
            <w:r w:rsidRPr="00FB524C">
              <w:rPr>
                <w:rFonts w:cs="Arial"/>
                <w:b/>
              </w:rPr>
              <w:t xml:space="preserve">Effective enforcement capability </w:t>
            </w:r>
            <w:r w:rsidR="00FE0BB9" w:rsidRPr="00FB524C">
              <w:rPr>
                <w:rFonts w:cs="Arial"/>
                <w:b/>
              </w:rPr>
              <w:t xml:space="preserve">for legal fishing </w:t>
            </w:r>
            <w:r w:rsidRPr="00FB524C">
              <w:rPr>
                <w:rFonts w:cs="Arial"/>
                <w:b/>
              </w:rPr>
              <w:t>is in place.</w:t>
            </w:r>
          </w:p>
          <w:p w:rsidR="00FF1DDA" w:rsidRDefault="00791D18" w:rsidP="00FF1DDA">
            <w:pPr>
              <w:spacing w:after="120" w:line="240" w:lineRule="auto"/>
              <w:rPr>
                <w:rFonts w:cs="Arial"/>
              </w:rPr>
            </w:pPr>
            <w:r w:rsidRPr="00FB524C">
              <w:rPr>
                <w:rFonts w:cs="Arial"/>
              </w:rPr>
              <w:t>CCAMLR prescribes binding arr</w:t>
            </w:r>
            <w:r w:rsidR="00FF1C90" w:rsidRPr="00FB524C">
              <w:rPr>
                <w:rFonts w:cs="Arial"/>
              </w:rPr>
              <w:t>an</w:t>
            </w:r>
            <w:r w:rsidRPr="00FB524C">
              <w:rPr>
                <w:rFonts w:cs="Arial"/>
              </w:rPr>
              <w:t>g</w:t>
            </w:r>
            <w:r w:rsidR="00FF1C90" w:rsidRPr="00FB524C">
              <w:rPr>
                <w:rFonts w:cs="Arial"/>
              </w:rPr>
              <w:t>e</w:t>
            </w:r>
            <w:r w:rsidRPr="00FB524C">
              <w:rPr>
                <w:rFonts w:cs="Arial"/>
              </w:rPr>
              <w:t>ments for management of fisheries in the region</w:t>
            </w:r>
            <w:r w:rsidR="00B50404" w:rsidRPr="00FB524C">
              <w:rPr>
                <w:rFonts w:cs="Arial"/>
              </w:rPr>
              <w:t xml:space="preserve">. </w:t>
            </w:r>
            <w:r w:rsidR="00564C8D" w:rsidRPr="00FB524C">
              <w:rPr>
                <w:rFonts w:cs="Arial"/>
              </w:rPr>
              <w:t xml:space="preserve">CCAMLR </w:t>
            </w:r>
            <w:r w:rsidR="00B50404" w:rsidRPr="00FB524C">
              <w:rPr>
                <w:rFonts w:cs="Arial"/>
              </w:rPr>
              <w:t>M</w:t>
            </w:r>
            <w:r w:rsidR="00564C8D" w:rsidRPr="00FB524C">
              <w:rPr>
                <w:rFonts w:cs="Arial"/>
              </w:rPr>
              <w:t>embers</w:t>
            </w:r>
            <w:r w:rsidR="00B50404" w:rsidRPr="00FB524C">
              <w:rPr>
                <w:rFonts w:cs="Arial"/>
              </w:rPr>
              <w:t xml:space="preserve"> are then</w:t>
            </w:r>
            <w:r w:rsidR="00564C8D" w:rsidRPr="00FB524C">
              <w:rPr>
                <w:rFonts w:cs="Arial"/>
              </w:rPr>
              <w:t xml:space="preserve"> responsible for regulating the operations of their vessels in CCAMLR fisheries. </w:t>
            </w:r>
            <w:r w:rsidRPr="00FB524C">
              <w:rPr>
                <w:rFonts w:cs="Arial"/>
              </w:rPr>
              <w:t xml:space="preserve">Australia gives effect to the arrangements through conditions on permits issued </w:t>
            </w:r>
            <w:r w:rsidR="00B50404" w:rsidRPr="00FB524C">
              <w:rPr>
                <w:rFonts w:cs="Arial"/>
              </w:rPr>
              <w:t xml:space="preserve">by AFMA </w:t>
            </w:r>
            <w:r w:rsidRPr="00FB524C">
              <w:rPr>
                <w:rFonts w:cs="Arial"/>
              </w:rPr>
              <w:t xml:space="preserve">under section 33 of the </w:t>
            </w:r>
            <w:r w:rsidR="00FF1C90" w:rsidRPr="00FB524C">
              <w:rPr>
                <w:rFonts w:cs="Arial"/>
              </w:rPr>
              <w:t>FM Act</w:t>
            </w:r>
            <w:r w:rsidRPr="00FB524C">
              <w:rPr>
                <w:rFonts w:cs="Arial"/>
              </w:rPr>
              <w:t xml:space="preserve">. Australia and other CCAMLR </w:t>
            </w:r>
            <w:r w:rsidR="00B50404" w:rsidRPr="00FB524C">
              <w:rPr>
                <w:rFonts w:cs="Arial"/>
              </w:rPr>
              <w:t>M</w:t>
            </w:r>
            <w:r w:rsidRPr="00FB524C">
              <w:rPr>
                <w:rFonts w:cs="Arial"/>
              </w:rPr>
              <w:t xml:space="preserve">embers also </w:t>
            </w:r>
            <w:r w:rsidR="00B50404" w:rsidRPr="00FB524C">
              <w:rPr>
                <w:rFonts w:cs="Arial"/>
              </w:rPr>
              <w:t xml:space="preserve">play an important </w:t>
            </w:r>
            <w:r w:rsidRPr="00FB524C">
              <w:rPr>
                <w:rFonts w:cs="Arial"/>
              </w:rPr>
              <w:t>role in managing IUU fishing</w:t>
            </w:r>
            <w:r w:rsidR="00564C8D" w:rsidRPr="00FB524C">
              <w:rPr>
                <w:rFonts w:cs="Arial"/>
              </w:rPr>
              <w:t xml:space="preserve"> in the region</w:t>
            </w:r>
            <w:r w:rsidRPr="00FB524C">
              <w:rPr>
                <w:rFonts w:cs="Arial"/>
              </w:rPr>
              <w:t>.</w:t>
            </w:r>
          </w:p>
          <w:p w:rsidR="00FF1DDA" w:rsidRDefault="00791D18" w:rsidP="00FF1DDA">
            <w:pPr>
              <w:spacing w:after="120" w:line="240" w:lineRule="auto"/>
              <w:rPr>
                <w:rFonts w:cs="Arial"/>
              </w:rPr>
            </w:pPr>
            <w:r w:rsidRPr="00FB524C">
              <w:rPr>
                <w:rFonts w:cs="Arial"/>
              </w:rPr>
              <w:t xml:space="preserve">AFMA’s powers are conferred through Part 6 of the </w:t>
            </w:r>
            <w:r w:rsidR="00FF1C90" w:rsidRPr="00FB524C">
              <w:rPr>
                <w:rFonts w:cs="Arial"/>
              </w:rPr>
              <w:t>FM Act</w:t>
            </w:r>
            <w:r w:rsidRPr="00FB524C">
              <w:rPr>
                <w:rFonts w:cs="Arial"/>
              </w:rPr>
              <w:t>.</w:t>
            </w:r>
          </w:p>
          <w:p w:rsidR="00FF1DDA" w:rsidRDefault="00791D18" w:rsidP="00FF1DDA">
            <w:pPr>
              <w:spacing w:after="120" w:line="240" w:lineRule="auto"/>
              <w:rPr>
                <w:rFonts w:cs="Arial"/>
              </w:rPr>
            </w:pPr>
            <w:r w:rsidRPr="00FB524C">
              <w:rPr>
                <w:rFonts w:cs="Arial"/>
              </w:rPr>
              <w:t>Although the area of the fisher</w:t>
            </w:r>
            <w:r w:rsidR="004B734E" w:rsidRPr="00FB524C">
              <w:rPr>
                <w:rFonts w:cs="Arial"/>
              </w:rPr>
              <w:t>ies</w:t>
            </w:r>
            <w:r w:rsidRPr="00FB524C">
              <w:rPr>
                <w:rFonts w:cs="Arial"/>
              </w:rPr>
              <w:t xml:space="preserve"> is not part of the </w:t>
            </w:r>
            <w:r w:rsidR="00190822" w:rsidRPr="00FB524C">
              <w:rPr>
                <w:rFonts w:cs="Arial"/>
              </w:rPr>
              <w:t>AFZ</w:t>
            </w:r>
            <w:r w:rsidRPr="00FB524C">
              <w:rPr>
                <w:rFonts w:cs="Arial"/>
              </w:rPr>
              <w:t xml:space="preserve"> for the purposes of the </w:t>
            </w:r>
            <w:r w:rsidR="00FF1C90" w:rsidRPr="00FB524C">
              <w:rPr>
                <w:rFonts w:cs="Arial"/>
              </w:rPr>
              <w:t xml:space="preserve">FM </w:t>
            </w:r>
            <w:r w:rsidRPr="00FB524C">
              <w:rPr>
                <w:rFonts w:cs="Arial"/>
              </w:rPr>
              <w:t>Act</w:t>
            </w:r>
            <w:r w:rsidRPr="00FB524C">
              <w:rPr>
                <w:rFonts w:cs="Arial"/>
                <w:i/>
              </w:rPr>
              <w:t xml:space="preserve">, </w:t>
            </w:r>
            <w:r w:rsidRPr="00FB524C">
              <w:rPr>
                <w:rFonts w:cs="Arial"/>
              </w:rPr>
              <w:t xml:space="preserve">the </w:t>
            </w:r>
            <w:r w:rsidR="00FF1C90" w:rsidRPr="00FB524C">
              <w:rPr>
                <w:rFonts w:cs="Arial"/>
              </w:rPr>
              <w:t>FM Regulations</w:t>
            </w:r>
            <w:r w:rsidRPr="00FB524C">
              <w:rPr>
                <w:rFonts w:cs="Arial"/>
              </w:rPr>
              <w:t xml:space="preserve"> extend the Act to Australian citizens and </w:t>
            </w:r>
            <w:proofErr w:type="gramStart"/>
            <w:r w:rsidRPr="00FB524C">
              <w:rPr>
                <w:rFonts w:cs="Arial"/>
              </w:rPr>
              <w:t>bodies</w:t>
            </w:r>
            <w:proofErr w:type="gramEnd"/>
            <w:r w:rsidRPr="00FB524C">
              <w:rPr>
                <w:rFonts w:cs="Arial"/>
              </w:rPr>
              <w:t xml:space="preserve"> corporate, Australian vessels and all persons on any Australian vessel in this area</w:t>
            </w:r>
            <w:r w:rsidR="00487A80">
              <w:rPr>
                <w:rFonts w:cs="Arial"/>
              </w:rPr>
              <w:t xml:space="preserve"> </w:t>
            </w:r>
            <w:r w:rsidRPr="00FB524C">
              <w:rPr>
                <w:rFonts w:cs="Arial"/>
              </w:rPr>
              <w:t>(</w:t>
            </w:r>
            <w:hyperlink r:id="rId64" w:history="1">
              <w:r w:rsidR="00B50404" w:rsidRPr="00FB524C">
                <w:rPr>
                  <w:rStyle w:val="Hyperlink"/>
                  <w:rFonts w:cs="Arial"/>
                </w:rPr>
                <w:t xml:space="preserve">Patterson and </w:t>
              </w:r>
              <w:proofErr w:type="spellStart"/>
              <w:r w:rsidR="00B50404" w:rsidRPr="00FB524C">
                <w:rPr>
                  <w:rStyle w:val="Hyperlink"/>
                  <w:rFonts w:cs="Arial"/>
                </w:rPr>
                <w:t>Skirtun</w:t>
              </w:r>
              <w:proofErr w:type="spellEnd"/>
              <w:r w:rsidR="00B50404" w:rsidRPr="00FB524C">
                <w:rPr>
                  <w:rStyle w:val="Hyperlink"/>
                  <w:rFonts w:cs="Arial"/>
                </w:rPr>
                <w:t>, 2012</w:t>
              </w:r>
            </w:hyperlink>
            <w:r w:rsidRPr="00FB524C">
              <w:rPr>
                <w:rFonts w:cs="Arial"/>
              </w:rPr>
              <w:t>).</w:t>
            </w:r>
          </w:p>
          <w:p w:rsidR="00FF1DDA" w:rsidRDefault="00ED2C6E" w:rsidP="00FF1DDA">
            <w:pPr>
              <w:spacing w:after="120" w:line="240" w:lineRule="auto"/>
              <w:rPr>
                <w:rFonts w:cs="Arial"/>
              </w:rPr>
            </w:pPr>
            <w:r w:rsidRPr="00FB524C">
              <w:rPr>
                <w:rFonts w:cs="Arial"/>
              </w:rPr>
              <w:t>AFMA monitor</w:t>
            </w:r>
            <w:r w:rsidR="008A4A38" w:rsidRPr="00FB524C">
              <w:rPr>
                <w:rFonts w:cs="Arial"/>
              </w:rPr>
              <w:t>s</w:t>
            </w:r>
            <w:r w:rsidRPr="00FB524C">
              <w:rPr>
                <w:rFonts w:cs="Arial"/>
              </w:rPr>
              <w:t xml:space="preserve"> compliance </w:t>
            </w:r>
            <w:r w:rsidR="008A4A38" w:rsidRPr="00FB524C">
              <w:rPr>
                <w:rFonts w:cs="Arial"/>
              </w:rPr>
              <w:t>by requiring</w:t>
            </w:r>
            <w:r w:rsidRPr="00FB524C">
              <w:rPr>
                <w:rFonts w:cs="Arial"/>
              </w:rPr>
              <w:t>:</w:t>
            </w:r>
          </w:p>
          <w:p w:rsidR="00FF1DDA" w:rsidRDefault="00ED2C6E" w:rsidP="00FF1DDA">
            <w:pPr>
              <w:pStyle w:val="ListBullet"/>
              <w:spacing w:after="120" w:line="240" w:lineRule="auto"/>
              <w:rPr>
                <w:rFonts w:cs="Arial"/>
              </w:rPr>
            </w:pPr>
            <w:r w:rsidRPr="00FB524C">
              <w:rPr>
                <w:rFonts w:cs="Arial"/>
              </w:rPr>
              <w:t xml:space="preserve">prior notification when </w:t>
            </w:r>
            <w:r w:rsidR="008A4A38" w:rsidRPr="00FB524C">
              <w:rPr>
                <w:rFonts w:cs="Arial"/>
              </w:rPr>
              <w:t>fishing vessels enter and exit</w:t>
            </w:r>
            <w:r w:rsidRPr="00FB524C">
              <w:rPr>
                <w:rFonts w:cs="Arial"/>
              </w:rPr>
              <w:t xml:space="preserve"> the fisher</w:t>
            </w:r>
            <w:r w:rsidR="004B734E" w:rsidRPr="00FB524C">
              <w:rPr>
                <w:rFonts w:cs="Arial"/>
              </w:rPr>
              <w:t>ies</w:t>
            </w:r>
          </w:p>
          <w:p w:rsidR="00FF1DDA" w:rsidRDefault="008A4A38" w:rsidP="00FF1DDA">
            <w:pPr>
              <w:pStyle w:val="ListBullet"/>
              <w:spacing w:after="120" w:line="240" w:lineRule="auto"/>
              <w:rPr>
                <w:rFonts w:cs="Arial"/>
              </w:rPr>
            </w:pPr>
            <w:r w:rsidRPr="00FB524C">
              <w:rPr>
                <w:rFonts w:cs="Arial"/>
              </w:rPr>
              <w:t xml:space="preserve">any </w:t>
            </w:r>
            <w:r w:rsidR="00ED2C6E" w:rsidRPr="00FB524C">
              <w:rPr>
                <w:rFonts w:cs="Arial"/>
              </w:rPr>
              <w:t>tranship</w:t>
            </w:r>
            <w:r w:rsidRPr="00FB524C">
              <w:rPr>
                <w:rFonts w:cs="Arial"/>
              </w:rPr>
              <w:t>ment of</w:t>
            </w:r>
            <w:r w:rsidR="00ED2C6E" w:rsidRPr="00FB524C">
              <w:rPr>
                <w:rFonts w:cs="Arial"/>
              </w:rPr>
              <w:t xml:space="preserve"> fish</w:t>
            </w:r>
            <w:r w:rsidRPr="00FB524C">
              <w:rPr>
                <w:rFonts w:cs="Arial"/>
              </w:rPr>
              <w:t xml:space="preserve">, </w:t>
            </w:r>
            <w:r w:rsidR="00ED2C6E" w:rsidRPr="00FB524C">
              <w:rPr>
                <w:rFonts w:cs="Arial"/>
              </w:rPr>
              <w:t xml:space="preserve">goods or persons between vessels </w:t>
            </w:r>
            <w:r w:rsidRPr="00FB524C">
              <w:rPr>
                <w:rFonts w:cs="Arial"/>
              </w:rPr>
              <w:t xml:space="preserve">to be approved, </w:t>
            </w:r>
            <w:r w:rsidR="00ED2C6E" w:rsidRPr="00FB524C">
              <w:rPr>
                <w:rFonts w:cs="Arial"/>
              </w:rPr>
              <w:t xml:space="preserve">observed and verified by an </w:t>
            </w:r>
            <w:r w:rsidRPr="00FB524C">
              <w:rPr>
                <w:rFonts w:cs="Arial"/>
              </w:rPr>
              <w:t xml:space="preserve">independent </w:t>
            </w:r>
            <w:r w:rsidR="00ED2C6E" w:rsidRPr="00FB524C">
              <w:rPr>
                <w:rFonts w:cs="Arial"/>
              </w:rPr>
              <w:t>observer</w:t>
            </w:r>
          </w:p>
          <w:p w:rsidR="00FF1DDA" w:rsidRDefault="008A4A38" w:rsidP="00FF1DDA">
            <w:pPr>
              <w:pStyle w:val="ListBullet"/>
              <w:spacing w:after="120" w:line="240" w:lineRule="auto"/>
              <w:rPr>
                <w:rFonts w:cs="Arial"/>
              </w:rPr>
            </w:pPr>
            <w:r w:rsidRPr="00FB524C">
              <w:rPr>
                <w:rFonts w:cs="Arial"/>
              </w:rPr>
              <w:t>operation of</w:t>
            </w:r>
            <w:r w:rsidR="00ED2C6E" w:rsidRPr="00FB524C">
              <w:rPr>
                <w:rFonts w:cs="Arial"/>
              </w:rPr>
              <w:t xml:space="preserve"> VMS to monitor </w:t>
            </w:r>
            <w:r w:rsidR="00E65CAE" w:rsidRPr="00FB524C">
              <w:rPr>
                <w:rFonts w:cs="Arial"/>
              </w:rPr>
              <w:t>vessel activities</w:t>
            </w:r>
          </w:p>
          <w:p w:rsidR="00FF1DDA" w:rsidRDefault="00564C8D" w:rsidP="00FF1DDA">
            <w:pPr>
              <w:pStyle w:val="ListBullet"/>
              <w:spacing w:after="120" w:line="240" w:lineRule="auto"/>
              <w:rPr>
                <w:rFonts w:cs="Arial"/>
              </w:rPr>
            </w:pPr>
            <w:proofErr w:type="gramStart"/>
            <w:r w:rsidRPr="00FB524C">
              <w:rPr>
                <w:rFonts w:cs="Arial"/>
              </w:rPr>
              <w:t>carriage</w:t>
            </w:r>
            <w:proofErr w:type="gramEnd"/>
            <w:r w:rsidRPr="00FB524C">
              <w:rPr>
                <w:rFonts w:cs="Arial"/>
              </w:rPr>
              <w:t xml:space="preserve"> of </w:t>
            </w:r>
            <w:r w:rsidR="00ED2C6E" w:rsidRPr="00FB524C">
              <w:rPr>
                <w:rFonts w:cs="Arial"/>
              </w:rPr>
              <w:t xml:space="preserve">two </w:t>
            </w:r>
            <w:r w:rsidRPr="00FB524C">
              <w:rPr>
                <w:rFonts w:cs="Arial"/>
              </w:rPr>
              <w:t xml:space="preserve">independent scientific </w:t>
            </w:r>
            <w:r w:rsidR="00ED2C6E" w:rsidRPr="00FB524C">
              <w:rPr>
                <w:rFonts w:cs="Arial"/>
              </w:rPr>
              <w:t>observers on all voyages</w:t>
            </w:r>
            <w:r w:rsidRPr="00FB524C">
              <w:rPr>
                <w:rFonts w:cs="Arial"/>
              </w:rPr>
              <w:t xml:space="preserve"> to monitor and record</w:t>
            </w:r>
            <w:r w:rsidR="00ED2C6E" w:rsidRPr="00FB524C">
              <w:rPr>
                <w:rFonts w:cs="Arial"/>
              </w:rPr>
              <w:t xml:space="preserve"> </w:t>
            </w:r>
            <w:r w:rsidR="008A4A38" w:rsidRPr="00FB524C">
              <w:rPr>
                <w:rFonts w:cs="Arial"/>
              </w:rPr>
              <w:t xml:space="preserve">data and fisher’s </w:t>
            </w:r>
            <w:r w:rsidR="00ED2C6E" w:rsidRPr="00FB524C">
              <w:rPr>
                <w:rFonts w:cs="Arial"/>
              </w:rPr>
              <w:t>compliance with management arrangements</w:t>
            </w:r>
            <w:r w:rsidRPr="00FB524C">
              <w:rPr>
                <w:rFonts w:cs="Arial"/>
              </w:rPr>
              <w:t xml:space="preserve">. </w:t>
            </w:r>
            <w:r w:rsidR="00ED2C6E" w:rsidRPr="00FB524C">
              <w:rPr>
                <w:rFonts w:cs="Arial"/>
              </w:rPr>
              <w:t xml:space="preserve">A formal process </w:t>
            </w:r>
            <w:r w:rsidR="00E65CAE" w:rsidRPr="00FB524C">
              <w:rPr>
                <w:rFonts w:cs="Arial"/>
              </w:rPr>
              <w:t xml:space="preserve">also allows </w:t>
            </w:r>
            <w:r w:rsidR="00ED2C6E" w:rsidRPr="00FB524C">
              <w:rPr>
                <w:rFonts w:cs="Arial"/>
              </w:rPr>
              <w:t xml:space="preserve">observers </w:t>
            </w:r>
            <w:r w:rsidR="00E65CAE" w:rsidRPr="00FB524C">
              <w:rPr>
                <w:rFonts w:cs="Arial"/>
              </w:rPr>
              <w:t xml:space="preserve">to </w:t>
            </w:r>
            <w:r w:rsidR="00ED2C6E" w:rsidRPr="00FB524C">
              <w:rPr>
                <w:rFonts w:cs="Arial"/>
              </w:rPr>
              <w:t xml:space="preserve">raise any compliance issues with the </w:t>
            </w:r>
            <w:r w:rsidR="00E65CAE" w:rsidRPr="00FB524C">
              <w:rPr>
                <w:rFonts w:cs="Arial"/>
              </w:rPr>
              <w:t xml:space="preserve">Vessel </w:t>
            </w:r>
            <w:r w:rsidR="00ED2C6E" w:rsidRPr="00FB524C">
              <w:rPr>
                <w:rFonts w:cs="Arial"/>
              </w:rPr>
              <w:t>Master</w:t>
            </w:r>
          </w:p>
          <w:p w:rsidR="00FF1DDA" w:rsidRDefault="00190822" w:rsidP="00FF1DDA">
            <w:pPr>
              <w:pStyle w:val="ListBullet"/>
              <w:spacing w:after="120" w:line="240" w:lineRule="auto"/>
              <w:rPr>
                <w:rFonts w:cs="Arial"/>
              </w:rPr>
            </w:pPr>
            <w:r w:rsidRPr="00FB524C">
              <w:rPr>
                <w:rFonts w:cs="Arial"/>
              </w:rPr>
              <w:t xml:space="preserve">compliance with </w:t>
            </w:r>
            <w:r w:rsidR="00ED2C6E" w:rsidRPr="00FB524C">
              <w:rPr>
                <w:rFonts w:cs="Arial"/>
              </w:rPr>
              <w:t>the CCAMLR Catch Documentation Scheme</w:t>
            </w:r>
            <w:r w:rsidRPr="00FB524C">
              <w:rPr>
                <w:rFonts w:cs="Arial"/>
              </w:rPr>
              <w:t>,</w:t>
            </w:r>
            <w:r w:rsidR="00E65CAE" w:rsidRPr="00FB524C">
              <w:rPr>
                <w:rFonts w:cs="Arial"/>
              </w:rPr>
              <w:t xml:space="preserve"> to verify and track catch throughout the supply chain</w:t>
            </w:r>
          </w:p>
          <w:p w:rsidR="00FF1DDA" w:rsidRDefault="00190822" w:rsidP="00FF1DDA">
            <w:pPr>
              <w:pStyle w:val="ListBullet"/>
              <w:spacing w:after="120" w:line="240" w:lineRule="auto"/>
              <w:rPr>
                <w:rFonts w:cs="Arial"/>
              </w:rPr>
            </w:pPr>
            <w:r w:rsidRPr="00FB524C">
              <w:rPr>
                <w:rFonts w:cs="Arial"/>
              </w:rPr>
              <w:t xml:space="preserve">daily </w:t>
            </w:r>
            <w:r w:rsidR="00E65CAE" w:rsidRPr="00FB524C">
              <w:rPr>
                <w:rFonts w:cs="Arial"/>
              </w:rPr>
              <w:t xml:space="preserve">reporting through fishing </w:t>
            </w:r>
            <w:r w:rsidR="00ED2C6E" w:rsidRPr="00FB524C">
              <w:rPr>
                <w:rFonts w:cs="Arial"/>
              </w:rPr>
              <w:t xml:space="preserve">logbooks </w:t>
            </w:r>
            <w:r w:rsidRPr="00FB524C">
              <w:rPr>
                <w:rFonts w:cs="Arial"/>
              </w:rPr>
              <w:t>and wildlife interaction reports completed by the Vessel Master</w:t>
            </w:r>
          </w:p>
        </w:tc>
      </w:tr>
      <w:tr w:rsidR="00791D18" w:rsidRPr="00FB524C" w:rsidTr="00A960FD">
        <w:trPr>
          <w:cantSplit/>
        </w:trPr>
        <w:tc>
          <w:tcPr>
            <w:tcW w:w="4219" w:type="dxa"/>
            <w:shd w:val="clear" w:color="auto" w:fill="auto"/>
          </w:tcPr>
          <w:p w:rsidR="00791D18" w:rsidRPr="00FB524C" w:rsidRDefault="00791D18" w:rsidP="007F1C9E">
            <w:pPr>
              <w:spacing w:after="120" w:line="240" w:lineRule="auto"/>
              <w:rPr>
                <w:rFonts w:cs="Arial"/>
              </w:rPr>
            </w:pPr>
            <w:r w:rsidRPr="00FB524C">
              <w:rPr>
                <w:rFonts w:cs="Arial"/>
              </w:rPr>
              <w:t>Provide for the periodic review of the performance of the fishery management arrangements and the management strategies, objectives and criteria</w:t>
            </w:r>
          </w:p>
        </w:tc>
        <w:tc>
          <w:tcPr>
            <w:tcW w:w="1559" w:type="dxa"/>
            <w:shd w:val="clear" w:color="auto" w:fill="92D050"/>
          </w:tcPr>
          <w:p w:rsidR="00791D18" w:rsidRPr="00FB524C" w:rsidRDefault="00791D18" w:rsidP="007F1C9E">
            <w:pPr>
              <w:spacing w:after="120" w:line="240" w:lineRule="auto"/>
              <w:rPr>
                <w:rFonts w:cs="Arial"/>
              </w:rPr>
            </w:pPr>
            <w:r w:rsidRPr="00FB524C">
              <w:rPr>
                <w:rFonts w:cs="Arial"/>
              </w:rPr>
              <w:t>Regular performance reviews built into management</w:t>
            </w:r>
          </w:p>
        </w:tc>
        <w:tc>
          <w:tcPr>
            <w:tcW w:w="1560" w:type="dxa"/>
            <w:shd w:val="clear" w:color="auto" w:fill="auto"/>
          </w:tcPr>
          <w:p w:rsidR="00791D18" w:rsidRPr="00FB524C" w:rsidRDefault="00791D18" w:rsidP="007F1C9E">
            <w:pPr>
              <w:spacing w:after="120" w:line="240" w:lineRule="auto"/>
              <w:rPr>
                <w:rFonts w:cs="Arial"/>
              </w:rPr>
            </w:pPr>
            <w:r w:rsidRPr="00FB524C">
              <w:rPr>
                <w:rFonts w:cs="Arial"/>
              </w:rPr>
              <w:t>Performance reviews provided for, but not on regular timeframe</w:t>
            </w:r>
          </w:p>
        </w:tc>
        <w:tc>
          <w:tcPr>
            <w:tcW w:w="1559" w:type="dxa"/>
            <w:shd w:val="clear" w:color="auto" w:fill="auto"/>
          </w:tcPr>
          <w:p w:rsidR="00791D18" w:rsidRPr="00FB524C" w:rsidRDefault="00791D18" w:rsidP="007F1C9E">
            <w:pPr>
              <w:spacing w:after="120" w:line="240" w:lineRule="auto"/>
              <w:rPr>
                <w:rFonts w:cs="Arial"/>
              </w:rPr>
            </w:pPr>
            <w:r w:rsidRPr="00FB524C">
              <w:rPr>
                <w:rFonts w:cs="Arial"/>
              </w:rPr>
              <w:t>Performance reviews not required</w:t>
            </w:r>
          </w:p>
        </w:tc>
        <w:tc>
          <w:tcPr>
            <w:tcW w:w="5386" w:type="dxa"/>
            <w:shd w:val="clear" w:color="auto" w:fill="FFFFFF"/>
          </w:tcPr>
          <w:p w:rsidR="00381936" w:rsidRPr="00FB524C" w:rsidRDefault="00381936" w:rsidP="007F1C9E">
            <w:pPr>
              <w:spacing w:after="120" w:line="240" w:lineRule="auto"/>
              <w:rPr>
                <w:rFonts w:cs="Arial"/>
                <w:b/>
              </w:rPr>
            </w:pPr>
            <w:r w:rsidRPr="00FB524C">
              <w:rPr>
                <w:rFonts w:cs="Arial"/>
                <w:b/>
              </w:rPr>
              <w:t>Management includes a robust, regular and transparent performance management regime.</w:t>
            </w:r>
          </w:p>
          <w:p w:rsidR="00791D18" w:rsidRPr="00FB524C" w:rsidRDefault="00791D18" w:rsidP="007F1C9E">
            <w:pPr>
              <w:spacing w:after="120" w:line="240" w:lineRule="auto"/>
              <w:rPr>
                <w:rFonts w:cs="Arial"/>
              </w:rPr>
            </w:pPr>
            <w:r w:rsidRPr="00FB524C">
              <w:rPr>
                <w:rFonts w:cs="Arial"/>
              </w:rPr>
              <w:t>The CCAMLR Commission receives advice from its Scientific Committee which is itself informed by various working groups focussed on ecosystem monitoring and management, statistics, assessments and modelling, and fish stock assessments.</w:t>
            </w:r>
          </w:p>
          <w:p w:rsidR="00791D18" w:rsidRPr="00FB524C" w:rsidRDefault="00791D18" w:rsidP="007F1C9E">
            <w:pPr>
              <w:spacing w:after="120" w:line="240" w:lineRule="auto"/>
              <w:rPr>
                <w:rFonts w:cs="Arial"/>
              </w:rPr>
            </w:pPr>
            <w:r w:rsidRPr="00FB524C">
              <w:rPr>
                <w:rFonts w:cs="Arial"/>
              </w:rPr>
              <w:t xml:space="preserve">This advice, in addition to the advice from the Standing Committee on Implementation and Compliance is considered by the Commission at its annual meetings, and used to review and further develop the </w:t>
            </w:r>
            <w:r w:rsidR="00456967" w:rsidRPr="00FB524C">
              <w:rPr>
                <w:rFonts w:cs="Arial"/>
              </w:rPr>
              <w:t>conservation measure</w:t>
            </w:r>
            <w:r w:rsidRPr="00FB524C">
              <w:rPr>
                <w:rFonts w:cs="Arial"/>
              </w:rPr>
              <w:t>s.</w:t>
            </w:r>
          </w:p>
          <w:p w:rsidR="00791D18" w:rsidRPr="00FB524C" w:rsidRDefault="00A10BD2" w:rsidP="007F1C9E">
            <w:pPr>
              <w:spacing w:after="120" w:line="240" w:lineRule="auto"/>
              <w:rPr>
                <w:rFonts w:cs="Arial"/>
              </w:rPr>
            </w:pPr>
            <w:r w:rsidRPr="00FB524C">
              <w:rPr>
                <w:rFonts w:cs="Arial"/>
              </w:rPr>
              <w:t>AFMA</w:t>
            </w:r>
            <w:r w:rsidR="00791D18" w:rsidRPr="00FB524C">
              <w:rPr>
                <w:rFonts w:cs="Arial"/>
              </w:rPr>
              <w:t xml:space="preserve"> also monitors fishery performance and respond</w:t>
            </w:r>
            <w:r w:rsidR="004B734E" w:rsidRPr="00FB524C">
              <w:rPr>
                <w:rFonts w:cs="Arial"/>
              </w:rPr>
              <w:t>s</w:t>
            </w:r>
            <w:r w:rsidR="00791D18" w:rsidRPr="00FB524C">
              <w:rPr>
                <w:rFonts w:cs="Arial"/>
              </w:rPr>
              <w:t xml:space="preserve"> to any issues to ensure compliance with the </w:t>
            </w:r>
            <w:r w:rsidR="00456967" w:rsidRPr="00FB524C">
              <w:rPr>
                <w:rFonts w:cs="Arial"/>
              </w:rPr>
              <w:t>conservation measure</w:t>
            </w:r>
            <w:r w:rsidR="00791D18" w:rsidRPr="00FB524C">
              <w:rPr>
                <w:rFonts w:cs="Arial"/>
              </w:rPr>
              <w:t xml:space="preserve">s. </w:t>
            </w:r>
          </w:p>
          <w:p w:rsidR="00791D18" w:rsidRPr="00FB524C" w:rsidRDefault="00791D18" w:rsidP="007F1C9E">
            <w:pPr>
              <w:spacing w:after="120" w:line="240" w:lineRule="auto"/>
              <w:rPr>
                <w:rFonts w:cs="Arial"/>
              </w:rPr>
            </w:pPr>
            <w:r w:rsidRPr="00FB524C">
              <w:rPr>
                <w:rFonts w:cs="Arial"/>
              </w:rPr>
              <w:t>Where appropriate Australia’s delegation raise</w:t>
            </w:r>
            <w:r w:rsidR="0090302A">
              <w:rPr>
                <w:rFonts w:cs="Arial"/>
              </w:rPr>
              <w:t>s</w:t>
            </w:r>
            <w:r w:rsidRPr="00FB524C">
              <w:rPr>
                <w:rFonts w:cs="Arial"/>
              </w:rPr>
              <w:t xml:space="preserve"> issues for consideration by CCAMLR at their annual meetings.</w:t>
            </w:r>
          </w:p>
        </w:tc>
      </w:tr>
      <w:tr w:rsidR="00791D18" w:rsidRPr="00FB524C" w:rsidTr="00A960FD">
        <w:trPr>
          <w:cantSplit/>
        </w:trPr>
        <w:tc>
          <w:tcPr>
            <w:tcW w:w="4219" w:type="dxa"/>
            <w:shd w:val="clear" w:color="auto" w:fill="auto"/>
          </w:tcPr>
          <w:p w:rsidR="00791D18" w:rsidRPr="00FB524C" w:rsidRDefault="00791D18" w:rsidP="007F1C9E">
            <w:pPr>
              <w:spacing w:after="120" w:line="240" w:lineRule="auto"/>
              <w:rPr>
                <w:rFonts w:cs="Arial"/>
              </w:rPr>
            </w:pPr>
            <w:r w:rsidRPr="00FB524C">
              <w:rPr>
                <w:rFonts w:cs="Arial"/>
              </w:rPr>
              <w:t>Be capable of assessing, monitoring and avoiding, remedying or mitigating any adverse impacts on the wider marine ecosystem in which the target species lives and the fishery operates</w:t>
            </w:r>
          </w:p>
        </w:tc>
        <w:tc>
          <w:tcPr>
            <w:tcW w:w="1559" w:type="dxa"/>
            <w:shd w:val="clear" w:color="auto" w:fill="92D050"/>
          </w:tcPr>
          <w:p w:rsidR="00791D18" w:rsidRPr="00FB524C" w:rsidRDefault="00791D18" w:rsidP="007F1C9E">
            <w:pPr>
              <w:spacing w:after="120" w:line="240" w:lineRule="auto"/>
              <w:rPr>
                <w:rFonts w:cs="Arial"/>
              </w:rPr>
            </w:pPr>
            <w:r w:rsidRPr="00FB524C">
              <w:rPr>
                <w:rFonts w:cs="Arial"/>
              </w:rPr>
              <w:t>Capable of effective management of impacts on wider marine ecosystem</w:t>
            </w:r>
          </w:p>
        </w:tc>
        <w:tc>
          <w:tcPr>
            <w:tcW w:w="1560" w:type="dxa"/>
            <w:shd w:val="clear" w:color="auto" w:fill="auto"/>
          </w:tcPr>
          <w:p w:rsidR="00791D18" w:rsidRPr="00FB524C" w:rsidRDefault="00791D18" w:rsidP="007F1C9E">
            <w:pPr>
              <w:spacing w:after="120" w:line="240" w:lineRule="auto"/>
              <w:rPr>
                <w:rFonts w:cs="Arial"/>
              </w:rPr>
            </w:pPr>
            <w:r w:rsidRPr="00FB524C">
              <w:rPr>
                <w:rFonts w:cs="Arial"/>
              </w:rPr>
              <w:t>Limited capability to manage impacts on wider marine ecosystem</w:t>
            </w:r>
          </w:p>
        </w:tc>
        <w:tc>
          <w:tcPr>
            <w:tcW w:w="1559" w:type="dxa"/>
            <w:shd w:val="clear" w:color="auto" w:fill="auto"/>
          </w:tcPr>
          <w:p w:rsidR="00791D18" w:rsidRPr="00FB524C" w:rsidRDefault="006C7CD9" w:rsidP="007F1C9E">
            <w:pPr>
              <w:spacing w:after="120" w:line="240" w:lineRule="auto"/>
              <w:rPr>
                <w:rFonts w:cs="Arial"/>
              </w:rPr>
            </w:pPr>
            <w:r w:rsidRPr="00FB524C">
              <w:rPr>
                <w:rFonts w:cs="Arial"/>
              </w:rPr>
              <w:t xml:space="preserve">No capacity to </w:t>
            </w:r>
            <w:r w:rsidR="00791D18" w:rsidRPr="00FB524C">
              <w:rPr>
                <w:rFonts w:cs="Arial"/>
              </w:rPr>
              <w:t>manage impacts on wider marine ecosystem</w:t>
            </w:r>
          </w:p>
        </w:tc>
        <w:tc>
          <w:tcPr>
            <w:tcW w:w="5386" w:type="dxa"/>
            <w:shd w:val="clear" w:color="auto" w:fill="FFFFFF"/>
          </w:tcPr>
          <w:p w:rsidR="006C7CD9" w:rsidRPr="00FB524C" w:rsidRDefault="006C7CD9" w:rsidP="007F1C9E">
            <w:pPr>
              <w:spacing w:after="120" w:line="240" w:lineRule="auto"/>
              <w:rPr>
                <w:rFonts w:cs="Arial"/>
                <w:b/>
              </w:rPr>
            </w:pPr>
            <w:r w:rsidRPr="00FB524C">
              <w:rPr>
                <w:rFonts w:cs="Arial"/>
                <w:b/>
              </w:rPr>
              <w:t>Management includes acceptable mitigation of ecological risk.</w:t>
            </w:r>
          </w:p>
          <w:p w:rsidR="00791D18" w:rsidRPr="00FB524C" w:rsidRDefault="00F53DA7" w:rsidP="007F1C9E">
            <w:pPr>
              <w:spacing w:after="120" w:line="240" w:lineRule="auto"/>
              <w:rPr>
                <w:rFonts w:cs="Arial"/>
              </w:rPr>
            </w:pPr>
            <w:r w:rsidRPr="00FB524C">
              <w:rPr>
                <w:rFonts w:cs="Arial"/>
              </w:rPr>
              <w:t xml:space="preserve">There </w:t>
            </w:r>
            <w:proofErr w:type="gramStart"/>
            <w:r w:rsidRPr="00FB524C">
              <w:rPr>
                <w:rFonts w:cs="Arial"/>
              </w:rPr>
              <w:t>are</w:t>
            </w:r>
            <w:proofErr w:type="gramEnd"/>
            <w:r w:rsidRPr="00FB524C">
              <w:rPr>
                <w:rFonts w:cs="Arial"/>
              </w:rPr>
              <w:t xml:space="preserve"> strict monitoring and data collection requirements for participants in CCAMLR managed fisheries.</w:t>
            </w:r>
          </w:p>
          <w:p w:rsidR="00791D18" w:rsidRPr="00FB524C" w:rsidRDefault="00791D18" w:rsidP="007F1C9E">
            <w:pPr>
              <w:spacing w:after="120" w:line="240" w:lineRule="auto"/>
              <w:rPr>
                <w:rFonts w:cs="Arial"/>
              </w:rPr>
            </w:pPr>
            <w:r w:rsidRPr="00FB524C">
              <w:rPr>
                <w:rFonts w:cs="Arial"/>
              </w:rPr>
              <w:t>Formal mechanisms allow independent scientific observers to raise issues with the Vessel Master, ensuring operators are aware of, and comply with management measures, and Vessel Masters are required to immediately define and implement strategies in response to any interactions with protected species.</w:t>
            </w:r>
          </w:p>
          <w:p w:rsidR="00791D18" w:rsidRPr="00FB524C" w:rsidRDefault="00791D18" w:rsidP="007F1C9E">
            <w:pPr>
              <w:spacing w:after="120" w:line="240" w:lineRule="auto"/>
              <w:rPr>
                <w:rFonts w:cs="Arial"/>
              </w:rPr>
            </w:pPr>
            <w:r w:rsidRPr="00FB524C">
              <w:rPr>
                <w:rFonts w:cs="Arial"/>
              </w:rPr>
              <w:t>Limits and triggers are set for vulnerable marine environments and where</w:t>
            </w:r>
            <w:r w:rsidR="0015074F" w:rsidRPr="00FB524C">
              <w:rPr>
                <w:rFonts w:cs="Arial"/>
              </w:rPr>
              <w:t xml:space="preserve"> these are</w:t>
            </w:r>
            <w:r w:rsidRPr="00FB524C">
              <w:rPr>
                <w:rFonts w:cs="Arial"/>
              </w:rPr>
              <w:t xml:space="preserve"> identified</w:t>
            </w:r>
            <w:r w:rsidR="0015074F" w:rsidRPr="00FB524C">
              <w:rPr>
                <w:rFonts w:cs="Arial"/>
              </w:rPr>
              <w:t>, relevant areas</w:t>
            </w:r>
            <w:r w:rsidRPr="00FB524C">
              <w:rPr>
                <w:rFonts w:cs="Arial"/>
              </w:rPr>
              <w:t xml:space="preserve"> are closed to fishing. </w:t>
            </w:r>
          </w:p>
          <w:p w:rsidR="00791D18" w:rsidRPr="00FB524C" w:rsidRDefault="00791D18" w:rsidP="007F1C9E">
            <w:pPr>
              <w:spacing w:after="120" w:line="240" w:lineRule="auto"/>
              <w:rPr>
                <w:rFonts w:cs="Arial"/>
              </w:rPr>
            </w:pPr>
            <w:r w:rsidRPr="00FB524C">
              <w:rPr>
                <w:rFonts w:cs="Arial"/>
              </w:rPr>
              <w:t xml:space="preserve">CCAMLR </w:t>
            </w:r>
            <w:r w:rsidR="00456967" w:rsidRPr="00FB524C">
              <w:rPr>
                <w:rFonts w:cs="Arial"/>
              </w:rPr>
              <w:t>conservation measure</w:t>
            </w:r>
            <w:r w:rsidRPr="00FB524C">
              <w:rPr>
                <w:rFonts w:cs="Arial"/>
              </w:rPr>
              <w:t>s include a range of protections for vulnerable marine ecosystems, non-target species including bycatch and protected species. These include area closures</w:t>
            </w:r>
            <w:r w:rsidR="0015074F" w:rsidRPr="00FB524C">
              <w:rPr>
                <w:rFonts w:cs="Arial"/>
              </w:rPr>
              <w:t xml:space="preserve"> and</w:t>
            </w:r>
            <w:r w:rsidRPr="00FB524C">
              <w:rPr>
                <w:rFonts w:cs="Arial"/>
              </w:rPr>
              <w:t xml:space="preserve"> gear restrictions</w:t>
            </w:r>
            <w:r w:rsidR="0015074F" w:rsidRPr="00FB524C">
              <w:rPr>
                <w:rFonts w:cs="Arial"/>
              </w:rPr>
              <w:t xml:space="preserve">. </w:t>
            </w:r>
            <w:r w:rsidRPr="00FB524C">
              <w:rPr>
                <w:rFonts w:cs="Arial"/>
              </w:rPr>
              <w:t xml:space="preserve">These </w:t>
            </w:r>
            <w:r w:rsidR="0015074F" w:rsidRPr="00FB524C">
              <w:rPr>
                <w:rFonts w:cs="Arial"/>
              </w:rPr>
              <w:t xml:space="preserve">measures are </w:t>
            </w:r>
            <w:r w:rsidRPr="00FB524C">
              <w:rPr>
                <w:rFonts w:cs="Arial"/>
              </w:rPr>
              <w:t>implemented and furthered by the management arrangements administered by AFMA.</w:t>
            </w:r>
          </w:p>
        </w:tc>
      </w:tr>
      <w:tr w:rsidR="00791D18" w:rsidRPr="00FB524C" w:rsidTr="00A960FD">
        <w:trPr>
          <w:cantSplit/>
        </w:trPr>
        <w:tc>
          <w:tcPr>
            <w:tcW w:w="4219" w:type="dxa"/>
            <w:shd w:val="clear" w:color="auto" w:fill="auto"/>
          </w:tcPr>
          <w:p w:rsidR="00791D18" w:rsidRPr="00FB524C" w:rsidRDefault="00791D18" w:rsidP="007F1C9E">
            <w:pPr>
              <w:spacing w:after="120" w:line="240" w:lineRule="auto"/>
              <w:rPr>
                <w:rFonts w:cs="Arial"/>
              </w:rPr>
            </w:pPr>
            <w:r w:rsidRPr="00FB524C">
              <w:rPr>
                <w:rFonts w:cs="Arial"/>
              </w:rPr>
              <w:t>Requires compliance with relevant threat abatement plans, recovery plans, the National Policy on Fisheries Bycatch, and bycatch action strategies developed under the policy</w:t>
            </w:r>
          </w:p>
        </w:tc>
        <w:tc>
          <w:tcPr>
            <w:tcW w:w="1559" w:type="dxa"/>
            <w:shd w:val="clear" w:color="auto" w:fill="92D050"/>
          </w:tcPr>
          <w:p w:rsidR="00791D18" w:rsidRPr="00FB524C" w:rsidRDefault="00791D18" w:rsidP="007F1C9E">
            <w:pPr>
              <w:spacing w:after="120" w:line="240" w:lineRule="auto"/>
              <w:rPr>
                <w:rFonts w:cs="Arial"/>
              </w:rPr>
            </w:pPr>
            <w:r w:rsidRPr="00FB524C">
              <w:rPr>
                <w:rFonts w:cs="Arial"/>
              </w:rPr>
              <w:t>Compliant with all relevant plans</w:t>
            </w:r>
          </w:p>
        </w:tc>
        <w:tc>
          <w:tcPr>
            <w:tcW w:w="1560" w:type="dxa"/>
            <w:shd w:val="clear" w:color="auto" w:fill="auto"/>
          </w:tcPr>
          <w:p w:rsidR="00791D18" w:rsidRPr="00FB524C" w:rsidRDefault="00791D18" w:rsidP="007F1C9E">
            <w:pPr>
              <w:spacing w:after="120" w:line="240" w:lineRule="auto"/>
              <w:rPr>
                <w:rFonts w:cs="Arial"/>
              </w:rPr>
            </w:pPr>
            <w:r w:rsidRPr="00FB524C">
              <w:rPr>
                <w:rFonts w:cs="Arial"/>
              </w:rPr>
              <w:t>Partially compliant with relevant plans</w:t>
            </w:r>
          </w:p>
        </w:tc>
        <w:tc>
          <w:tcPr>
            <w:tcW w:w="1559" w:type="dxa"/>
            <w:shd w:val="clear" w:color="auto" w:fill="auto"/>
          </w:tcPr>
          <w:p w:rsidR="00791D18" w:rsidRPr="00FB524C" w:rsidRDefault="00791D18" w:rsidP="007F1C9E">
            <w:pPr>
              <w:spacing w:after="120" w:line="240" w:lineRule="auto"/>
              <w:rPr>
                <w:rFonts w:cs="Arial"/>
              </w:rPr>
            </w:pPr>
            <w:r w:rsidRPr="00FB524C">
              <w:rPr>
                <w:rFonts w:cs="Arial"/>
              </w:rPr>
              <w:t>Not compliant with relevant plans</w:t>
            </w:r>
          </w:p>
        </w:tc>
        <w:tc>
          <w:tcPr>
            <w:tcW w:w="5386" w:type="dxa"/>
            <w:shd w:val="clear" w:color="auto" w:fill="FFFFFF"/>
          </w:tcPr>
          <w:p w:rsidR="006C7CD9" w:rsidRPr="00FB524C" w:rsidRDefault="006C7CD9" w:rsidP="007F1C9E">
            <w:pPr>
              <w:spacing w:after="120" w:line="240" w:lineRule="auto"/>
              <w:rPr>
                <w:rFonts w:cs="Arial"/>
                <w:b/>
              </w:rPr>
            </w:pPr>
            <w:r w:rsidRPr="00FB524C">
              <w:rPr>
                <w:rFonts w:cs="Arial"/>
                <w:b/>
              </w:rPr>
              <w:t>Management is compliant with all relevant threat abatement, recovery and bycatch mitigation strategies.</w:t>
            </w:r>
          </w:p>
          <w:p w:rsidR="00791D18" w:rsidRPr="00FB524C" w:rsidRDefault="00791D18" w:rsidP="007F1C9E">
            <w:pPr>
              <w:spacing w:after="120" w:line="240" w:lineRule="auto"/>
              <w:rPr>
                <w:rFonts w:cs="Arial"/>
              </w:rPr>
            </w:pPr>
            <w:r w:rsidRPr="00FB524C">
              <w:rPr>
                <w:rFonts w:cs="Arial"/>
              </w:rPr>
              <w:t>Ecological risk assessments for Australian operations in the new and exploratory fisher</w:t>
            </w:r>
            <w:r w:rsidR="004B734E" w:rsidRPr="00FB524C">
              <w:rPr>
                <w:rFonts w:cs="Arial"/>
              </w:rPr>
              <w:t>ies</w:t>
            </w:r>
            <w:r w:rsidRPr="00FB524C">
              <w:rPr>
                <w:rFonts w:cs="Arial"/>
              </w:rPr>
              <w:t xml:space="preserve"> have not yet been undertaken. AFMA’s </w:t>
            </w:r>
            <w:hyperlink r:id="rId65" w:history="1">
              <w:hyperlink r:id="rId66" w:history="1">
                <w:r w:rsidR="00477513" w:rsidRPr="00FB524C">
                  <w:rPr>
                    <w:rStyle w:val="Hyperlink"/>
                    <w:rFonts w:cs="Arial"/>
                    <w:i/>
                  </w:rPr>
                  <w:t>Antarctic Fisheries Bycatch Action Plan 2003</w:t>
                </w:r>
              </w:hyperlink>
            </w:hyperlink>
            <w:r w:rsidRPr="00FB524C">
              <w:rPr>
                <w:rFonts w:cs="Arial"/>
              </w:rPr>
              <w:t>, and more recent</w:t>
            </w:r>
            <w:r w:rsidR="0015074F" w:rsidRPr="00FB524C">
              <w:rPr>
                <w:rFonts w:cs="Arial"/>
              </w:rPr>
              <w:t>ly</w:t>
            </w:r>
            <w:r w:rsidRPr="00FB524C">
              <w:rPr>
                <w:rFonts w:cs="Arial"/>
              </w:rPr>
              <w:t xml:space="preserve">, </w:t>
            </w:r>
            <w:hyperlink r:id="rId67" w:history="1">
              <w:r w:rsidRPr="00FB524C">
                <w:rPr>
                  <w:rStyle w:val="Hyperlink"/>
                  <w:rFonts w:cs="Arial"/>
                  <w:i/>
                </w:rPr>
                <w:t xml:space="preserve">Australian sub-Antarctic fisheries </w:t>
              </w:r>
              <w:proofErr w:type="spellStart"/>
              <w:r w:rsidRPr="00FB524C">
                <w:rPr>
                  <w:rStyle w:val="Hyperlink"/>
                  <w:rFonts w:cs="Arial"/>
                  <w:i/>
                </w:rPr>
                <w:t>bycatch</w:t>
              </w:r>
              <w:proofErr w:type="spellEnd"/>
              <w:r w:rsidRPr="00FB524C">
                <w:rPr>
                  <w:rStyle w:val="Hyperlink"/>
                  <w:rFonts w:cs="Arial"/>
                  <w:i/>
                </w:rPr>
                <w:t xml:space="preserve"> and discard </w:t>
              </w:r>
              <w:proofErr w:type="spellStart"/>
              <w:r w:rsidRPr="00FB524C">
                <w:rPr>
                  <w:rStyle w:val="Hyperlink"/>
                  <w:rFonts w:cs="Arial"/>
                  <w:i/>
                </w:rPr>
                <w:t>workplan</w:t>
              </w:r>
              <w:proofErr w:type="spellEnd"/>
              <w:r w:rsidRPr="00FB524C">
                <w:rPr>
                  <w:rStyle w:val="Hyperlink"/>
                  <w:rFonts w:cs="Arial"/>
                  <w:i/>
                </w:rPr>
                <w:t xml:space="preserve"> 2013</w:t>
              </w:r>
            </w:hyperlink>
            <w:r w:rsidRPr="00FB524C">
              <w:rPr>
                <w:rFonts w:cs="Arial"/>
              </w:rPr>
              <w:t xml:space="preserve"> are consistent with Australian Government Policy, but </w:t>
            </w:r>
            <w:r w:rsidR="0015074F" w:rsidRPr="00FB524C">
              <w:rPr>
                <w:rFonts w:cs="Arial"/>
              </w:rPr>
              <w:t xml:space="preserve">do </w:t>
            </w:r>
            <w:r w:rsidRPr="00FB524C">
              <w:rPr>
                <w:rFonts w:cs="Arial"/>
              </w:rPr>
              <w:t xml:space="preserve">not </w:t>
            </w:r>
            <w:r w:rsidR="0015074F" w:rsidRPr="00FB524C">
              <w:rPr>
                <w:rFonts w:cs="Arial"/>
              </w:rPr>
              <w:t xml:space="preserve">explicitly </w:t>
            </w:r>
            <w:r w:rsidRPr="00FB524C">
              <w:rPr>
                <w:rFonts w:cs="Arial"/>
              </w:rPr>
              <w:t>focus on the new and exploratory fisher</w:t>
            </w:r>
            <w:r w:rsidR="0015074F" w:rsidRPr="00FB524C">
              <w:rPr>
                <w:rFonts w:cs="Arial"/>
              </w:rPr>
              <w:t>ies</w:t>
            </w:r>
            <w:r w:rsidRPr="00FB524C">
              <w:rPr>
                <w:rFonts w:cs="Arial"/>
              </w:rPr>
              <w:t xml:space="preserve"> in Divisions 58.4.1 and 58.4.2. Notwithstanding, these documents may still provide a useful guide to management in these Divisions.</w:t>
            </w:r>
          </w:p>
          <w:p w:rsidR="002857B8" w:rsidRPr="00FB524C" w:rsidRDefault="00791D18" w:rsidP="007F1C9E">
            <w:pPr>
              <w:spacing w:after="120" w:line="240" w:lineRule="auto"/>
              <w:rPr>
                <w:rFonts w:cs="Arial"/>
              </w:rPr>
            </w:pPr>
            <w:r w:rsidRPr="00FB524C">
              <w:rPr>
                <w:rFonts w:cs="Arial"/>
              </w:rPr>
              <w:t xml:space="preserve">Australian </w:t>
            </w:r>
            <w:r w:rsidR="0096492B" w:rsidRPr="00FB524C">
              <w:rPr>
                <w:rFonts w:cs="Arial"/>
              </w:rPr>
              <w:t>vessel</w:t>
            </w:r>
            <w:r w:rsidRPr="00FB524C">
              <w:rPr>
                <w:rFonts w:cs="Arial"/>
              </w:rPr>
              <w:t>s are required to comply with the following measures, and the Australian applicant has a demonstrated history of compl</w:t>
            </w:r>
            <w:r w:rsidR="006C7CD9" w:rsidRPr="00FB524C">
              <w:rPr>
                <w:rFonts w:cs="Arial"/>
              </w:rPr>
              <w:t>iance in other CCAMLR Divisions:</w:t>
            </w:r>
          </w:p>
          <w:p w:rsidR="002857B8" w:rsidRPr="00FB524C" w:rsidRDefault="00D440B7" w:rsidP="007F1C9E">
            <w:pPr>
              <w:pStyle w:val="ListBullet"/>
              <w:spacing w:after="120" w:line="240" w:lineRule="auto"/>
              <w:rPr>
                <w:rFonts w:cs="Arial"/>
                <w:snapToGrid w:val="0"/>
              </w:rPr>
            </w:pPr>
            <w:hyperlink r:id="rId68" w:history="1">
              <w:r w:rsidR="007235D0" w:rsidRPr="00FB524C">
                <w:rPr>
                  <w:rStyle w:val="Hyperlink"/>
                  <w:rFonts w:cs="Arial"/>
                  <w:snapToGrid w:val="0"/>
                </w:rPr>
                <w:t xml:space="preserve">CCAMLR </w:t>
              </w:r>
              <w:r w:rsidR="00456967" w:rsidRPr="00FB524C">
                <w:rPr>
                  <w:rStyle w:val="Hyperlink"/>
                  <w:rFonts w:cs="Arial"/>
                  <w:snapToGrid w:val="0"/>
                </w:rPr>
                <w:t>conservation measure</w:t>
              </w:r>
              <w:r w:rsidR="007235D0" w:rsidRPr="00FB524C">
                <w:rPr>
                  <w:rStyle w:val="Hyperlink"/>
                  <w:rFonts w:cs="Arial"/>
                  <w:snapToGrid w:val="0"/>
                </w:rPr>
                <w:t>s</w:t>
              </w:r>
            </w:hyperlink>
          </w:p>
          <w:p w:rsidR="002857B8" w:rsidRPr="00FB524C" w:rsidRDefault="00D440B7" w:rsidP="007F1C9E">
            <w:pPr>
              <w:pStyle w:val="ListBullet"/>
              <w:spacing w:after="120" w:line="240" w:lineRule="auto"/>
              <w:rPr>
                <w:rFonts w:cs="Arial"/>
                <w:snapToGrid w:val="0"/>
              </w:rPr>
            </w:pPr>
            <w:hyperlink r:id="rId69" w:history="1">
              <w:r w:rsidR="007235D0" w:rsidRPr="00FB524C">
                <w:rPr>
                  <w:rStyle w:val="Hyperlink"/>
                  <w:rFonts w:cs="Arial"/>
                  <w:snapToGrid w:val="0"/>
                </w:rPr>
                <w:t>National recovery plan for threatened albatrosses and giant petrels 2011–2016</w:t>
              </w:r>
            </w:hyperlink>
          </w:p>
          <w:p w:rsidR="002857B8" w:rsidRPr="00FB524C" w:rsidRDefault="00D440B7" w:rsidP="007F1C9E">
            <w:pPr>
              <w:pStyle w:val="ListBullet"/>
              <w:spacing w:after="120" w:line="240" w:lineRule="auto"/>
              <w:rPr>
                <w:rFonts w:cs="Arial"/>
                <w:snapToGrid w:val="0"/>
              </w:rPr>
            </w:pPr>
            <w:hyperlink r:id="rId70" w:history="1">
              <w:r w:rsidR="007235D0" w:rsidRPr="00FB524C">
                <w:rPr>
                  <w:rStyle w:val="Hyperlink"/>
                  <w:rFonts w:cs="Arial"/>
                  <w:snapToGrid w:val="0"/>
                </w:rPr>
                <w:t xml:space="preserve">Threat Abatement Plan 2014 for the incidental catch (or bycatch) of seabirds during oceanic </w:t>
              </w:r>
              <w:proofErr w:type="spellStart"/>
              <w:r w:rsidR="007235D0" w:rsidRPr="00FB524C">
                <w:rPr>
                  <w:rStyle w:val="Hyperlink"/>
                  <w:rFonts w:cs="Arial"/>
                  <w:snapToGrid w:val="0"/>
                </w:rPr>
                <w:t>longline</w:t>
              </w:r>
              <w:proofErr w:type="spellEnd"/>
              <w:r w:rsidR="007235D0" w:rsidRPr="00FB524C">
                <w:rPr>
                  <w:rStyle w:val="Hyperlink"/>
                  <w:rFonts w:cs="Arial"/>
                  <w:snapToGrid w:val="0"/>
                </w:rPr>
                <w:t xml:space="preserve"> fishing operations</w:t>
              </w:r>
            </w:hyperlink>
            <w:r w:rsidR="007235D0" w:rsidRPr="00FB524C">
              <w:rPr>
                <w:rFonts w:cs="Arial"/>
                <w:snapToGrid w:val="0"/>
              </w:rPr>
              <w:t>, and</w:t>
            </w:r>
          </w:p>
          <w:p w:rsidR="00791D18" w:rsidRPr="00FB524C" w:rsidRDefault="00D440B7" w:rsidP="007F1C9E">
            <w:pPr>
              <w:pStyle w:val="ListBullet"/>
              <w:spacing w:after="120" w:line="240" w:lineRule="auto"/>
              <w:rPr>
                <w:rFonts w:cs="Arial"/>
              </w:rPr>
            </w:pPr>
            <w:hyperlink r:id="rId71" w:history="1">
              <w:r w:rsidR="007235D0" w:rsidRPr="00FB524C">
                <w:rPr>
                  <w:rStyle w:val="Hyperlink"/>
                  <w:rFonts w:cs="Arial"/>
                  <w:snapToGrid w:val="0"/>
                </w:rPr>
                <w:t>Agreement on the Conservation of Albatrosses and Petrels</w:t>
              </w:r>
            </w:hyperlink>
            <w:r w:rsidR="007235D0" w:rsidRPr="00FB524C">
              <w:rPr>
                <w:rFonts w:cs="Arial"/>
                <w:snapToGrid w:val="0"/>
              </w:rPr>
              <w:t>.</w:t>
            </w:r>
          </w:p>
        </w:tc>
      </w:tr>
    </w:tbl>
    <w:p w:rsidR="00E12CAB" w:rsidRDefault="00E12CAB">
      <w:r>
        <w:br w:type="page"/>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19"/>
        <w:gridCol w:w="1559"/>
        <w:gridCol w:w="1560"/>
        <w:gridCol w:w="1559"/>
        <w:gridCol w:w="5386"/>
      </w:tblGrid>
      <w:tr w:rsidR="00791D18" w:rsidRPr="007F1C9E" w:rsidTr="00381936">
        <w:tc>
          <w:tcPr>
            <w:tcW w:w="14283" w:type="dxa"/>
            <w:gridSpan w:val="5"/>
            <w:shd w:val="clear" w:color="auto" w:fill="92CDDC"/>
          </w:tcPr>
          <w:p w:rsidR="00791D18" w:rsidRPr="007F1C9E" w:rsidRDefault="00791D18" w:rsidP="007F1C9E">
            <w:pPr>
              <w:autoSpaceDE w:val="0"/>
              <w:autoSpaceDN w:val="0"/>
              <w:adjustRightInd w:val="0"/>
              <w:spacing w:after="120" w:line="240" w:lineRule="auto"/>
              <w:rPr>
                <w:rFonts w:cs="Arial"/>
                <w:b/>
                <w:bCs/>
                <w:sz w:val="20"/>
                <w:szCs w:val="20"/>
              </w:rPr>
            </w:pPr>
            <w:r w:rsidRPr="007F1C9E">
              <w:rPr>
                <w:rFonts w:cs="Arial"/>
                <w:b/>
                <w:bCs/>
                <w:sz w:val="20"/>
                <w:szCs w:val="20"/>
              </w:rPr>
              <w:t xml:space="preserve">PRINCIPLE 1 - </w:t>
            </w:r>
            <w:r w:rsidRPr="007F1C9E">
              <w:rPr>
                <w:rFonts w:cs="Arial"/>
                <w:sz w:val="20"/>
                <w:szCs w:val="20"/>
              </w:rPr>
              <w:t>A fishery must be conducted in a manner that does not lead to over-fishing, or for those stocks that are over-fished, the fishery must be conducted such that there is a high degree of probability the stock(s) will recover</w:t>
            </w:r>
            <w:r w:rsidRPr="007F1C9E">
              <w:rPr>
                <w:rFonts w:cs="Arial"/>
                <w:b/>
                <w:bCs/>
                <w:sz w:val="20"/>
                <w:szCs w:val="20"/>
              </w:rPr>
              <w:t xml:space="preserve">. </w:t>
            </w:r>
          </w:p>
        </w:tc>
      </w:tr>
      <w:tr w:rsidR="00791D18" w:rsidRPr="007F1C9E" w:rsidTr="00381936">
        <w:tc>
          <w:tcPr>
            <w:tcW w:w="14283" w:type="dxa"/>
            <w:gridSpan w:val="5"/>
            <w:shd w:val="clear" w:color="auto" w:fill="B6DDE8"/>
          </w:tcPr>
          <w:p w:rsidR="00791D18" w:rsidRPr="007F1C9E" w:rsidRDefault="00791D18" w:rsidP="007F1C9E">
            <w:pPr>
              <w:spacing w:after="120" w:line="240" w:lineRule="auto"/>
              <w:rPr>
                <w:rFonts w:cs="Arial"/>
                <w:b/>
                <w:bCs/>
                <w:sz w:val="20"/>
                <w:szCs w:val="20"/>
              </w:rPr>
            </w:pPr>
            <w:r w:rsidRPr="007F1C9E">
              <w:rPr>
                <w:rFonts w:cs="Arial"/>
                <w:b/>
                <w:bCs/>
                <w:sz w:val="20"/>
                <w:szCs w:val="20"/>
              </w:rPr>
              <w:t xml:space="preserve">Objective 1 - </w:t>
            </w:r>
            <w:r w:rsidRPr="007F1C9E">
              <w:rPr>
                <w:rFonts w:cs="Arial"/>
                <w:sz w:val="20"/>
                <w:szCs w:val="20"/>
              </w:rPr>
              <w:t xml:space="preserve">The fishery shall be conducted at catch levels that maintain ecologically viable stock levels at an agreed point or range, with acceptable levels of probability. </w:t>
            </w:r>
          </w:p>
        </w:tc>
      </w:tr>
      <w:tr w:rsidR="00791D18" w:rsidRPr="007F1C9E" w:rsidTr="00381936">
        <w:tc>
          <w:tcPr>
            <w:tcW w:w="14283" w:type="dxa"/>
            <w:gridSpan w:val="5"/>
            <w:shd w:val="clear" w:color="auto" w:fill="DAEEF3"/>
          </w:tcPr>
          <w:p w:rsidR="00791D18" w:rsidRPr="007F1C9E" w:rsidRDefault="00791D18" w:rsidP="007F1C9E">
            <w:pPr>
              <w:spacing w:after="120" w:line="240" w:lineRule="auto"/>
              <w:rPr>
                <w:rFonts w:cs="Arial"/>
                <w:b/>
                <w:bCs/>
                <w:i/>
                <w:iCs/>
                <w:sz w:val="20"/>
                <w:szCs w:val="20"/>
              </w:rPr>
            </w:pPr>
            <w:r w:rsidRPr="007F1C9E">
              <w:rPr>
                <w:rFonts w:cs="Arial"/>
                <w:b/>
                <w:bCs/>
                <w:i/>
                <w:iCs/>
                <w:sz w:val="20"/>
                <w:szCs w:val="20"/>
              </w:rPr>
              <w:t xml:space="preserve">Information requirements </w:t>
            </w:r>
          </w:p>
        </w:tc>
      </w:tr>
      <w:tr w:rsidR="00791D18" w:rsidRPr="00FB524C" w:rsidTr="009B619F">
        <w:tc>
          <w:tcPr>
            <w:tcW w:w="4219" w:type="dxa"/>
          </w:tcPr>
          <w:p w:rsidR="00791D18" w:rsidRPr="00FB524C" w:rsidRDefault="00791D18" w:rsidP="007F1C9E">
            <w:pPr>
              <w:spacing w:after="120" w:line="240" w:lineRule="auto"/>
              <w:rPr>
                <w:rFonts w:cs="Arial"/>
              </w:rPr>
            </w:pPr>
            <w:r w:rsidRPr="00FB524C">
              <w:rPr>
                <w:rFonts w:cs="Arial"/>
                <w:b/>
                <w:bCs/>
                <w:i/>
                <w:iCs/>
              </w:rPr>
              <w:t xml:space="preserve">1.1.1 </w:t>
            </w:r>
            <w:r w:rsidRPr="00FB524C">
              <w:rPr>
                <w:rFonts w:cs="Arial"/>
              </w:rPr>
              <w:t xml:space="preserve">There is a reliable information collection system in place appropriate to the scale of the fishery. The level of data collection should be based upon an appropriate mix of fishery independent and dependent research and monitoring. </w:t>
            </w:r>
          </w:p>
        </w:tc>
        <w:tc>
          <w:tcPr>
            <w:tcW w:w="1559" w:type="dxa"/>
            <w:shd w:val="clear" w:color="auto" w:fill="92D050"/>
          </w:tcPr>
          <w:p w:rsidR="00791D18" w:rsidRPr="00FB524C" w:rsidRDefault="00791D18" w:rsidP="007F1C9E">
            <w:pPr>
              <w:spacing w:after="120" w:line="240" w:lineRule="auto"/>
              <w:rPr>
                <w:rFonts w:cs="Arial"/>
              </w:rPr>
            </w:pPr>
            <w:r w:rsidRPr="00FB524C">
              <w:rPr>
                <w:rFonts w:cs="Arial"/>
              </w:rPr>
              <w:t>Up-to-date log books and adequate observer coverage.</w:t>
            </w:r>
          </w:p>
        </w:tc>
        <w:tc>
          <w:tcPr>
            <w:tcW w:w="1560" w:type="dxa"/>
            <w:shd w:val="clear" w:color="auto" w:fill="auto"/>
          </w:tcPr>
          <w:p w:rsidR="00791D18" w:rsidRPr="00FB524C" w:rsidRDefault="00791D18" w:rsidP="007F1C9E">
            <w:pPr>
              <w:spacing w:after="120" w:line="240" w:lineRule="auto"/>
              <w:rPr>
                <w:rFonts w:cs="Arial"/>
              </w:rPr>
            </w:pPr>
            <w:r w:rsidRPr="00FB524C">
              <w:rPr>
                <w:rFonts w:cs="Arial"/>
              </w:rPr>
              <w:t>Logs present however, data is not adequate or incomplete.</w:t>
            </w:r>
          </w:p>
        </w:tc>
        <w:tc>
          <w:tcPr>
            <w:tcW w:w="1559" w:type="dxa"/>
            <w:shd w:val="clear" w:color="auto" w:fill="auto"/>
          </w:tcPr>
          <w:p w:rsidR="00791D18" w:rsidRPr="00FB524C" w:rsidRDefault="00791D18" w:rsidP="007F1C9E">
            <w:pPr>
              <w:spacing w:after="120" w:line="240" w:lineRule="auto"/>
              <w:rPr>
                <w:rFonts w:cs="Arial"/>
              </w:rPr>
            </w:pPr>
            <w:r w:rsidRPr="00FB524C">
              <w:rPr>
                <w:rFonts w:cs="Arial"/>
              </w:rPr>
              <w:t xml:space="preserve">No log books or no observer coverage. </w:t>
            </w:r>
          </w:p>
        </w:tc>
        <w:tc>
          <w:tcPr>
            <w:tcW w:w="5386" w:type="dxa"/>
            <w:shd w:val="clear" w:color="auto" w:fill="auto"/>
          </w:tcPr>
          <w:p w:rsidR="006C7CD9" w:rsidRPr="00FB524C" w:rsidRDefault="006C7CD9" w:rsidP="007F1C9E">
            <w:pPr>
              <w:spacing w:after="120" w:line="240" w:lineRule="auto"/>
              <w:rPr>
                <w:rFonts w:cs="Arial"/>
                <w:b/>
              </w:rPr>
            </w:pPr>
            <w:r w:rsidRPr="00FB524C">
              <w:rPr>
                <w:rFonts w:cs="Arial"/>
                <w:b/>
              </w:rPr>
              <w:t>There is a robust research and monitoring system that includes both fishery-dependent and independent data collection.</w:t>
            </w:r>
          </w:p>
          <w:p w:rsidR="00791D18" w:rsidRPr="00FB524C" w:rsidRDefault="00791D18" w:rsidP="007F1C9E">
            <w:pPr>
              <w:spacing w:after="120" w:line="240" w:lineRule="auto"/>
              <w:rPr>
                <w:rFonts w:cs="Arial"/>
              </w:rPr>
            </w:pPr>
            <w:r w:rsidRPr="00FB524C">
              <w:rPr>
                <w:rFonts w:cs="Arial"/>
              </w:rPr>
              <w:t xml:space="preserve">The information needs for new and exploratory fisheries are considered by specialist working groups and the CCAMLR Scientific Committee. They are then prescribed in CCAMLR </w:t>
            </w:r>
            <w:r w:rsidR="00456967" w:rsidRPr="00FB524C">
              <w:rPr>
                <w:rFonts w:cs="Arial"/>
              </w:rPr>
              <w:t>conservation measure</w:t>
            </w:r>
            <w:r w:rsidRPr="00FB524C">
              <w:rPr>
                <w:rFonts w:cs="Arial"/>
              </w:rPr>
              <w:t xml:space="preserve">s each year. Current measures include both </w:t>
            </w:r>
            <w:r w:rsidR="004B734E" w:rsidRPr="00FB524C">
              <w:rPr>
                <w:rFonts w:cs="Arial"/>
              </w:rPr>
              <w:t>fishery-</w:t>
            </w:r>
            <w:r w:rsidRPr="00FB524C">
              <w:rPr>
                <w:rFonts w:cs="Arial"/>
              </w:rPr>
              <w:t>dependent and independent monitoring and data collection.</w:t>
            </w:r>
          </w:p>
          <w:p w:rsidR="00791D18" w:rsidRPr="00FB524C" w:rsidRDefault="00791D18" w:rsidP="007F1C9E">
            <w:pPr>
              <w:spacing w:after="120" w:line="240" w:lineRule="auto"/>
              <w:rPr>
                <w:rFonts w:cs="Arial"/>
              </w:rPr>
            </w:pPr>
            <w:r w:rsidRPr="00FB524C">
              <w:rPr>
                <w:rFonts w:cs="Arial"/>
              </w:rPr>
              <w:t>This regime balances the need for precautionary management, with the need to quickly reduce uncertainty for future development. The current plans are expected to deliver more robust assessments within 3-5 years.</w:t>
            </w:r>
          </w:p>
          <w:p w:rsidR="00791D18" w:rsidRPr="00FB524C" w:rsidRDefault="00791D18" w:rsidP="007F1C9E">
            <w:pPr>
              <w:spacing w:after="120" w:line="240" w:lineRule="auto"/>
              <w:rPr>
                <w:rFonts w:cs="Arial"/>
              </w:rPr>
            </w:pPr>
            <w:r w:rsidRPr="00FB524C">
              <w:rPr>
                <w:rFonts w:cs="Arial"/>
              </w:rPr>
              <w:t xml:space="preserve">CCAMLR Fishery Reports for Divisions </w:t>
            </w:r>
            <w:hyperlink r:id="rId72" w:history="1">
              <w:r w:rsidRPr="00FB524C">
                <w:rPr>
                  <w:rStyle w:val="Hyperlink"/>
                  <w:rFonts w:cs="Arial"/>
                </w:rPr>
                <w:t>58.4.1</w:t>
              </w:r>
            </w:hyperlink>
            <w:r w:rsidRPr="00FB524C">
              <w:rPr>
                <w:rFonts w:cs="Arial"/>
              </w:rPr>
              <w:t xml:space="preserve"> and </w:t>
            </w:r>
            <w:hyperlink r:id="rId73" w:history="1">
              <w:r w:rsidRPr="00FB524C">
                <w:rPr>
                  <w:rStyle w:val="Hyperlink"/>
                  <w:rFonts w:cs="Arial"/>
                </w:rPr>
                <w:t>58.4.2</w:t>
              </w:r>
            </w:hyperlink>
            <w:r w:rsidRPr="00FB524C">
              <w:rPr>
                <w:rFonts w:cs="Arial"/>
              </w:rPr>
              <w:t xml:space="preserve"> have identified problems with reporting from some particular </w:t>
            </w:r>
            <w:r w:rsidR="0096492B" w:rsidRPr="00FB524C">
              <w:rPr>
                <w:rFonts w:cs="Arial"/>
              </w:rPr>
              <w:t>vessel</w:t>
            </w:r>
            <w:r w:rsidRPr="00FB524C">
              <w:rPr>
                <w:rFonts w:cs="Arial"/>
              </w:rPr>
              <w:t xml:space="preserve">s (not Australian) in the past, but these issues appear to have been addressed and do not affect data from 2012 onwards. </w:t>
            </w:r>
          </w:p>
        </w:tc>
      </w:tr>
      <w:tr w:rsidR="00791D18" w:rsidRPr="007F1C9E" w:rsidTr="00381936">
        <w:tc>
          <w:tcPr>
            <w:tcW w:w="14283" w:type="dxa"/>
            <w:gridSpan w:val="5"/>
            <w:shd w:val="clear" w:color="auto" w:fill="DAEEF3"/>
          </w:tcPr>
          <w:p w:rsidR="00791D18" w:rsidRPr="007F1C9E" w:rsidRDefault="00791D18" w:rsidP="007F1C9E">
            <w:pPr>
              <w:spacing w:after="120" w:line="240" w:lineRule="auto"/>
              <w:rPr>
                <w:rFonts w:cs="Arial"/>
                <w:b/>
                <w:bCs/>
                <w:i/>
                <w:iCs/>
                <w:sz w:val="20"/>
                <w:szCs w:val="20"/>
              </w:rPr>
            </w:pPr>
            <w:r w:rsidRPr="007F1C9E">
              <w:rPr>
                <w:rFonts w:cs="Arial"/>
                <w:b/>
                <w:bCs/>
                <w:i/>
                <w:iCs/>
                <w:sz w:val="20"/>
                <w:szCs w:val="20"/>
              </w:rPr>
              <w:t xml:space="preserve">Assessment </w:t>
            </w:r>
          </w:p>
        </w:tc>
      </w:tr>
      <w:tr w:rsidR="00791D18" w:rsidRPr="00FB524C" w:rsidTr="00D941CD">
        <w:tc>
          <w:tcPr>
            <w:tcW w:w="4219" w:type="dxa"/>
          </w:tcPr>
          <w:p w:rsidR="00791D18" w:rsidRPr="00FB524C" w:rsidRDefault="00791D18" w:rsidP="007F1C9E">
            <w:pPr>
              <w:spacing w:after="120" w:line="240" w:lineRule="auto"/>
              <w:rPr>
                <w:rFonts w:cs="Arial"/>
              </w:rPr>
            </w:pPr>
            <w:r w:rsidRPr="00FB524C">
              <w:rPr>
                <w:rFonts w:cs="Arial"/>
                <w:b/>
                <w:bCs/>
                <w:i/>
                <w:iCs/>
              </w:rPr>
              <w:t xml:space="preserve">1.1.2 </w:t>
            </w:r>
            <w:r w:rsidRPr="00FB524C">
              <w:rPr>
                <w:rFonts w:cs="Arial"/>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p>
        </w:tc>
        <w:tc>
          <w:tcPr>
            <w:tcW w:w="1559" w:type="dxa"/>
            <w:shd w:val="clear" w:color="auto" w:fill="auto"/>
          </w:tcPr>
          <w:p w:rsidR="00791D18" w:rsidRPr="00FB524C" w:rsidRDefault="00791D18" w:rsidP="007F1C9E">
            <w:pPr>
              <w:spacing w:after="120" w:line="240" w:lineRule="auto"/>
              <w:rPr>
                <w:rFonts w:cs="Arial"/>
              </w:rPr>
            </w:pPr>
            <w:r w:rsidRPr="00FB524C">
              <w:rPr>
                <w:rFonts w:cs="Arial"/>
              </w:rPr>
              <w:t>Annual stock assessment or annual surveys.</w:t>
            </w:r>
          </w:p>
        </w:tc>
        <w:tc>
          <w:tcPr>
            <w:tcW w:w="1560" w:type="dxa"/>
            <w:shd w:val="clear" w:color="auto" w:fill="FFC000"/>
          </w:tcPr>
          <w:p w:rsidR="00791D18" w:rsidRPr="00FB524C" w:rsidRDefault="00791D18" w:rsidP="007F1C9E">
            <w:pPr>
              <w:spacing w:after="120" w:line="240" w:lineRule="auto"/>
              <w:rPr>
                <w:rFonts w:cs="Arial"/>
              </w:rPr>
            </w:pPr>
            <w:r w:rsidRPr="00FB524C">
              <w:rPr>
                <w:rFonts w:cs="Arial"/>
              </w:rPr>
              <w:t>Stock assessments irregular, or pending, precautionary management.</w:t>
            </w:r>
          </w:p>
        </w:tc>
        <w:tc>
          <w:tcPr>
            <w:tcW w:w="1559" w:type="dxa"/>
            <w:shd w:val="clear" w:color="auto" w:fill="auto"/>
          </w:tcPr>
          <w:p w:rsidR="00791D18" w:rsidRPr="00FB524C" w:rsidRDefault="00791D18" w:rsidP="007F1C9E">
            <w:pPr>
              <w:spacing w:after="120" w:line="240" w:lineRule="auto"/>
              <w:rPr>
                <w:rFonts w:cs="Arial"/>
              </w:rPr>
            </w:pPr>
            <w:r w:rsidRPr="00FB524C">
              <w:rPr>
                <w:rFonts w:cs="Arial"/>
              </w:rPr>
              <w:t>No planned regular stock assessments or surveys.</w:t>
            </w:r>
          </w:p>
        </w:tc>
        <w:tc>
          <w:tcPr>
            <w:tcW w:w="5386" w:type="dxa"/>
            <w:shd w:val="clear" w:color="auto" w:fill="auto"/>
          </w:tcPr>
          <w:p w:rsidR="006C7CD9" w:rsidRPr="00FB524C" w:rsidRDefault="006C7CD9" w:rsidP="007F1C9E">
            <w:pPr>
              <w:spacing w:after="120" w:line="240" w:lineRule="auto"/>
              <w:rPr>
                <w:rFonts w:cs="Arial"/>
                <w:b/>
              </w:rPr>
            </w:pPr>
            <w:r w:rsidRPr="00FB524C">
              <w:rPr>
                <w:rFonts w:cs="Arial"/>
                <w:b/>
              </w:rPr>
              <w:t>Annual s</w:t>
            </w:r>
            <w:r w:rsidR="00D21C36" w:rsidRPr="00FB524C">
              <w:rPr>
                <w:rFonts w:cs="Arial"/>
                <w:b/>
              </w:rPr>
              <w:t>tock</w:t>
            </w:r>
            <w:r w:rsidRPr="00FB524C">
              <w:rPr>
                <w:rFonts w:cs="Arial"/>
                <w:b/>
              </w:rPr>
              <w:t xml:space="preserve"> assessments are robust but data is limited</w:t>
            </w:r>
            <w:r w:rsidR="00D21C36" w:rsidRPr="00FB524C">
              <w:rPr>
                <w:rFonts w:cs="Arial"/>
                <w:b/>
              </w:rPr>
              <w:t xml:space="preserve">; </w:t>
            </w:r>
            <w:r w:rsidRPr="00FB524C">
              <w:rPr>
                <w:rFonts w:cs="Arial"/>
                <w:b/>
              </w:rPr>
              <w:t xml:space="preserve">management </w:t>
            </w:r>
            <w:r w:rsidR="00D21C36" w:rsidRPr="00FB524C">
              <w:rPr>
                <w:rFonts w:cs="Arial"/>
                <w:b/>
              </w:rPr>
              <w:t>is therefore precautionary by necessity.</w:t>
            </w:r>
          </w:p>
          <w:p w:rsidR="00791D18" w:rsidRPr="00FB524C" w:rsidRDefault="00791D18" w:rsidP="007F1C9E">
            <w:pPr>
              <w:spacing w:after="120" w:line="240" w:lineRule="auto"/>
              <w:rPr>
                <w:rFonts w:cs="Arial"/>
              </w:rPr>
            </w:pPr>
            <w:r w:rsidRPr="00FB524C">
              <w:rPr>
                <w:rFonts w:cs="Arial"/>
              </w:rPr>
              <w:t>Information and understanding of the new and exploratory fisher</w:t>
            </w:r>
            <w:r w:rsidR="004B734E" w:rsidRPr="00FB524C">
              <w:rPr>
                <w:rFonts w:cs="Arial"/>
              </w:rPr>
              <w:t>ies</w:t>
            </w:r>
            <w:r w:rsidRPr="00FB524C">
              <w:rPr>
                <w:rFonts w:cs="Arial"/>
              </w:rPr>
              <w:t xml:space="preserve"> remains limited.</w:t>
            </w:r>
            <w:r w:rsidR="006C7CD9" w:rsidRPr="00FB524C">
              <w:rPr>
                <w:rFonts w:cs="Arial"/>
              </w:rPr>
              <w:t xml:space="preserve"> However, t</w:t>
            </w:r>
            <w:r w:rsidRPr="00FB524C">
              <w:rPr>
                <w:rFonts w:cs="Arial"/>
              </w:rPr>
              <w:t>he CCAMLR Working Group on Fish Stock Assessment considers available data and research when providing advice on catch limits to the CCAMLR Scientific Committee (</w:t>
            </w:r>
            <w:hyperlink r:id="rId74" w:history="1">
              <w:r w:rsidRPr="00FB524C">
                <w:rPr>
                  <w:rStyle w:val="Hyperlink"/>
                  <w:rFonts w:cs="Arial"/>
                </w:rPr>
                <w:t>WG-FSA-15</w:t>
              </w:r>
            </w:hyperlink>
            <w:r w:rsidRPr="00FB524C">
              <w:rPr>
                <w:rFonts w:cs="Arial"/>
              </w:rPr>
              <w:t>). In th</w:t>
            </w:r>
            <w:r w:rsidR="004B734E" w:rsidRPr="00FB524C">
              <w:rPr>
                <w:rFonts w:cs="Arial"/>
              </w:rPr>
              <w:t>ese</w:t>
            </w:r>
            <w:r w:rsidRPr="00FB524C">
              <w:rPr>
                <w:rFonts w:cs="Arial"/>
              </w:rPr>
              <w:t xml:space="preserve"> data poor fisher</w:t>
            </w:r>
            <w:r w:rsidR="004B734E" w:rsidRPr="00FB524C">
              <w:rPr>
                <w:rFonts w:cs="Arial"/>
              </w:rPr>
              <w:t>ies</w:t>
            </w:r>
            <w:r w:rsidRPr="00FB524C">
              <w:rPr>
                <w:rFonts w:cs="Arial"/>
              </w:rPr>
              <w:t xml:space="preserve">, this involves developing biomass density estimates based on available catch data and information from similar fisheries which have had more robust assessments undertaken. These estimates are then scaled to the relevant sea bed area. Where tag-recapture data is available this is also used to inform the assessment. </w:t>
            </w:r>
          </w:p>
          <w:p w:rsidR="00791D18" w:rsidRPr="00FB524C" w:rsidRDefault="00791D18" w:rsidP="007F1C9E">
            <w:pPr>
              <w:spacing w:after="120" w:line="240" w:lineRule="auto"/>
              <w:rPr>
                <w:rFonts w:cs="Arial"/>
              </w:rPr>
            </w:pPr>
            <w:r w:rsidRPr="00FB524C">
              <w:rPr>
                <w:rFonts w:cs="Arial"/>
              </w:rPr>
              <w:t>Given the limited data available and the potential need for stock recovery in some areas, catch limits are set conservatively at levels of 3-4% of the estimated current unfished biomass (item 5.29</w:t>
            </w:r>
            <w:r w:rsidR="00801DFA" w:rsidRPr="00FB524C">
              <w:rPr>
                <w:rFonts w:cs="Arial"/>
              </w:rPr>
              <w:t xml:space="preserve"> </w:t>
            </w:r>
            <w:hyperlink r:id="rId75" w:history="1">
              <w:r w:rsidR="00801DFA" w:rsidRPr="00FB524C">
                <w:rPr>
                  <w:rStyle w:val="Hyperlink"/>
                  <w:rFonts w:cs="Arial"/>
                </w:rPr>
                <w:t>WG-FSA-15</w:t>
              </w:r>
            </w:hyperlink>
            <w:r w:rsidRPr="00FB524C">
              <w:rPr>
                <w:rFonts w:cs="Arial"/>
              </w:rPr>
              <w:t xml:space="preserve">) and are designed to not be substantially higher than the level required to evaluate the fisheries. </w:t>
            </w:r>
          </w:p>
        </w:tc>
      </w:tr>
      <w:tr w:rsidR="00791D18" w:rsidRPr="00FB524C" w:rsidTr="00D941CD">
        <w:tc>
          <w:tcPr>
            <w:tcW w:w="4219" w:type="dxa"/>
          </w:tcPr>
          <w:p w:rsidR="00791D18" w:rsidRPr="00FB524C" w:rsidRDefault="00791D18" w:rsidP="007F1C9E">
            <w:pPr>
              <w:spacing w:after="120" w:line="240" w:lineRule="auto"/>
              <w:rPr>
                <w:rFonts w:cs="Arial"/>
                <w:i/>
                <w:iCs/>
              </w:rPr>
            </w:pPr>
            <w:r w:rsidRPr="00FB524C">
              <w:rPr>
                <w:rFonts w:cs="Arial"/>
                <w:b/>
                <w:bCs/>
                <w:i/>
                <w:iCs/>
              </w:rPr>
              <w:t xml:space="preserve">1.1.3 </w:t>
            </w:r>
            <w:r w:rsidRPr="00FB524C">
              <w:rPr>
                <w:rFonts w:cs="Arial"/>
              </w:rPr>
              <w:t>The distribution and spatial structure of the stock(s) has been established and factored into management responses</w:t>
            </w:r>
            <w:r w:rsidRPr="00FB524C">
              <w:rPr>
                <w:rFonts w:cs="Arial"/>
                <w:i/>
                <w:iCs/>
              </w:rPr>
              <w:t xml:space="preserve">. </w:t>
            </w:r>
          </w:p>
        </w:tc>
        <w:tc>
          <w:tcPr>
            <w:tcW w:w="1559" w:type="dxa"/>
            <w:shd w:val="clear" w:color="auto" w:fill="auto"/>
          </w:tcPr>
          <w:p w:rsidR="00791D18" w:rsidRPr="00FB524C" w:rsidRDefault="00791D18" w:rsidP="007F1C9E">
            <w:pPr>
              <w:spacing w:after="120" w:line="240" w:lineRule="auto"/>
              <w:rPr>
                <w:rFonts w:cs="Arial"/>
              </w:rPr>
            </w:pPr>
            <w:r w:rsidRPr="00FB524C">
              <w:rPr>
                <w:rFonts w:cs="Arial"/>
              </w:rPr>
              <w:t>Robust surveys or equivalent research finalised.</w:t>
            </w:r>
          </w:p>
        </w:tc>
        <w:tc>
          <w:tcPr>
            <w:tcW w:w="1560" w:type="dxa"/>
            <w:shd w:val="clear" w:color="auto" w:fill="FFC000"/>
          </w:tcPr>
          <w:p w:rsidR="00791D18" w:rsidRPr="00FB524C" w:rsidRDefault="00791D18" w:rsidP="007F1C9E">
            <w:pPr>
              <w:spacing w:after="120" w:line="240" w:lineRule="auto"/>
              <w:rPr>
                <w:rFonts w:cs="Arial"/>
              </w:rPr>
            </w:pPr>
            <w:r w:rsidRPr="00FB524C">
              <w:rPr>
                <w:rFonts w:cs="Arial"/>
              </w:rPr>
              <w:t>Spatial information is collected but yet to be used.</w:t>
            </w:r>
          </w:p>
        </w:tc>
        <w:tc>
          <w:tcPr>
            <w:tcW w:w="1559" w:type="dxa"/>
            <w:shd w:val="clear" w:color="auto" w:fill="auto"/>
          </w:tcPr>
          <w:p w:rsidR="00791D18" w:rsidRPr="00FB524C" w:rsidRDefault="00791D18" w:rsidP="007F1C9E">
            <w:pPr>
              <w:spacing w:after="120" w:line="240" w:lineRule="auto"/>
              <w:rPr>
                <w:rFonts w:cs="Arial"/>
              </w:rPr>
            </w:pPr>
            <w:r w:rsidRPr="00FB524C">
              <w:rPr>
                <w:rFonts w:cs="Arial"/>
              </w:rPr>
              <w:t>Spatial information unclear.</w:t>
            </w:r>
          </w:p>
        </w:tc>
        <w:tc>
          <w:tcPr>
            <w:tcW w:w="5386" w:type="dxa"/>
            <w:shd w:val="clear" w:color="auto" w:fill="auto"/>
          </w:tcPr>
          <w:p w:rsidR="00FC0839" w:rsidRPr="00FB524C" w:rsidRDefault="00FC0839" w:rsidP="007F1C9E">
            <w:pPr>
              <w:spacing w:after="120" w:line="240" w:lineRule="auto"/>
              <w:rPr>
                <w:rFonts w:cs="Arial"/>
                <w:b/>
              </w:rPr>
            </w:pPr>
            <w:r w:rsidRPr="00FB524C">
              <w:rPr>
                <w:rFonts w:cs="Arial"/>
                <w:b/>
              </w:rPr>
              <w:t>Stock assessments consider all available information on distribution and spatial structures. Information is limited however.</w:t>
            </w:r>
          </w:p>
          <w:p w:rsidR="00791D18" w:rsidRPr="00FB524C" w:rsidRDefault="00791D18" w:rsidP="007F1C9E">
            <w:pPr>
              <w:spacing w:after="120" w:line="240" w:lineRule="auto"/>
              <w:rPr>
                <w:rFonts w:cs="Arial"/>
              </w:rPr>
            </w:pPr>
            <w:r w:rsidRPr="00FB524C">
              <w:rPr>
                <w:rFonts w:cs="Arial"/>
              </w:rPr>
              <w:t>The fisher</w:t>
            </w:r>
            <w:r w:rsidR="004B734E" w:rsidRPr="00FB524C">
              <w:rPr>
                <w:rFonts w:cs="Arial"/>
              </w:rPr>
              <w:t>ies</w:t>
            </w:r>
            <w:r w:rsidRPr="00FB524C">
              <w:rPr>
                <w:rFonts w:cs="Arial"/>
              </w:rPr>
              <w:t xml:space="preserve"> </w:t>
            </w:r>
            <w:r w:rsidR="004B734E" w:rsidRPr="00FB524C">
              <w:rPr>
                <w:rFonts w:cs="Arial"/>
              </w:rPr>
              <w:t xml:space="preserve">are </w:t>
            </w:r>
            <w:r w:rsidRPr="00FB524C">
              <w:rPr>
                <w:rFonts w:cs="Arial"/>
              </w:rPr>
              <w:t xml:space="preserve">new and </w:t>
            </w:r>
            <w:r w:rsidR="00CC0529" w:rsidRPr="00FB524C">
              <w:rPr>
                <w:rFonts w:cs="Arial"/>
              </w:rPr>
              <w:t>exploratory;</w:t>
            </w:r>
            <w:r w:rsidRPr="00FB524C">
              <w:rPr>
                <w:rFonts w:cs="Arial"/>
              </w:rPr>
              <w:t xml:space="preserve"> meaning information on stock distribution and spatial structure is limited and not well understood.</w:t>
            </w:r>
          </w:p>
          <w:p w:rsidR="00791D18" w:rsidRPr="00FB524C" w:rsidRDefault="00791D18" w:rsidP="007F1C9E">
            <w:pPr>
              <w:spacing w:after="120" w:line="240" w:lineRule="auto"/>
              <w:rPr>
                <w:rFonts w:cs="Arial"/>
              </w:rPr>
            </w:pPr>
            <w:r w:rsidRPr="00FB524C">
              <w:rPr>
                <w:rFonts w:cs="Arial"/>
              </w:rPr>
              <w:t xml:space="preserve">A research plan has been developed to improve future stock assessments for the Divisions and to inform considerations of spatial structure, biomass and connectivity of </w:t>
            </w:r>
            <w:proofErr w:type="spellStart"/>
            <w:r w:rsidRPr="00FB524C">
              <w:rPr>
                <w:rFonts w:cs="Arial"/>
              </w:rPr>
              <w:t>toothfish</w:t>
            </w:r>
            <w:proofErr w:type="spellEnd"/>
            <w:r w:rsidRPr="00FB524C">
              <w:rPr>
                <w:rFonts w:cs="Arial"/>
              </w:rPr>
              <w:t xml:space="preserve"> populations. This is expected to deliver outcomes within 3-5 years (</w:t>
            </w:r>
            <w:hyperlink r:id="rId76" w:history="1">
              <w:r w:rsidR="00D21C36" w:rsidRPr="00FB524C">
                <w:rPr>
                  <w:rStyle w:val="Hyperlink"/>
                  <w:rFonts w:cs="Arial"/>
                </w:rPr>
                <w:t>CCAMLR Fishery Reports 2014</w:t>
              </w:r>
            </w:hyperlink>
            <w:r w:rsidRPr="00FB524C">
              <w:rPr>
                <w:rFonts w:cs="Arial"/>
              </w:rPr>
              <w:t>)</w:t>
            </w:r>
            <w:r w:rsidR="00D941CD" w:rsidRPr="00FB524C">
              <w:rPr>
                <w:rFonts w:cs="Arial"/>
              </w:rPr>
              <w:t>.</w:t>
            </w:r>
          </w:p>
          <w:p w:rsidR="00791D18" w:rsidRPr="00FB524C" w:rsidRDefault="00791D18" w:rsidP="007F1C9E">
            <w:pPr>
              <w:spacing w:after="120" w:line="240" w:lineRule="auto"/>
              <w:rPr>
                <w:rFonts w:cs="Arial"/>
              </w:rPr>
            </w:pPr>
            <w:r w:rsidRPr="00FB524C">
              <w:rPr>
                <w:rFonts w:cs="Arial"/>
              </w:rPr>
              <w:t>The plans set requirements for catch, effort and related biological, ecological and environmental data collection, and also direct fishing effort. This seeks to maximise the value of the data collected during exploratory fishing and minimises the likelihood of any adverse impacts.</w:t>
            </w:r>
          </w:p>
          <w:p w:rsidR="00791D18" w:rsidRPr="00FB524C" w:rsidRDefault="00791D18" w:rsidP="007F1C9E">
            <w:pPr>
              <w:spacing w:after="120" w:line="240" w:lineRule="auto"/>
              <w:rPr>
                <w:rFonts w:cs="Arial"/>
              </w:rPr>
            </w:pPr>
            <w:r w:rsidRPr="00FB524C">
              <w:rPr>
                <w:rFonts w:cs="Arial"/>
              </w:rPr>
              <w:t xml:space="preserve">Environmental data will also be collected to inform models of </w:t>
            </w:r>
            <w:proofErr w:type="spellStart"/>
            <w:r w:rsidRPr="00FB524C">
              <w:rPr>
                <w:rFonts w:cs="Arial"/>
              </w:rPr>
              <w:t>toothfish</w:t>
            </w:r>
            <w:proofErr w:type="spellEnd"/>
            <w:r w:rsidRPr="00FB524C">
              <w:rPr>
                <w:rFonts w:cs="Arial"/>
              </w:rPr>
              <w:t xml:space="preserve"> habitat use, spatial management approaches for </w:t>
            </w:r>
            <w:proofErr w:type="spellStart"/>
            <w:r w:rsidRPr="00FB524C">
              <w:rPr>
                <w:rFonts w:cs="Arial"/>
              </w:rPr>
              <w:t>toothfish</w:t>
            </w:r>
            <w:proofErr w:type="spellEnd"/>
            <w:r w:rsidRPr="00FB524C">
              <w:rPr>
                <w:rFonts w:cs="Arial"/>
              </w:rPr>
              <w:t>, and the conservation of representative areas of benthic biodiversity. This will also help map the bathymetry of fishable areas, and improve understanding of the distribution, relative abundance, and life histories of bycatch species.</w:t>
            </w:r>
          </w:p>
          <w:p w:rsidR="00791D18" w:rsidRPr="00FB524C" w:rsidRDefault="00791D18" w:rsidP="007F1C9E">
            <w:pPr>
              <w:spacing w:after="120" w:line="240" w:lineRule="auto"/>
              <w:rPr>
                <w:rFonts w:cs="Arial"/>
              </w:rPr>
            </w:pPr>
            <w:r w:rsidRPr="00FB524C">
              <w:rPr>
                <w:rFonts w:cs="Arial"/>
              </w:rPr>
              <w:t xml:space="preserve">A tag-recapture program is also in force across all </w:t>
            </w:r>
            <w:r w:rsidR="004B734E" w:rsidRPr="00FB524C">
              <w:rPr>
                <w:rFonts w:cs="Arial"/>
              </w:rPr>
              <w:t xml:space="preserve">areas </w:t>
            </w:r>
            <w:r w:rsidRPr="00FB524C">
              <w:rPr>
                <w:rFonts w:cs="Arial"/>
              </w:rPr>
              <w:t xml:space="preserve">of the </w:t>
            </w:r>
            <w:r w:rsidR="004B734E" w:rsidRPr="00FB524C">
              <w:rPr>
                <w:rFonts w:cs="Arial"/>
              </w:rPr>
              <w:t>fisheries</w:t>
            </w:r>
            <w:r w:rsidRPr="00FB524C">
              <w:rPr>
                <w:rFonts w:cs="Arial"/>
              </w:rPr>
              <w:t>.</w:t>
            </w:r>
          </w:p>
          <w:p w:rsidR="00791D18" w:rsidRPr="00FB524C" w:rsidRDefault="00791D18" w:rsidP="007F1C9E">
            <w:pPr>
              <w:spacing w:after="120" w:line="240" w:lineRule="auto"/>
              <w:rPr>
                <w:rFonts w:cs="Arial"/>
              </w:rPr>
            </w:pPr>
            <w:r w:rsidRPr="00FB524C">
              <w:rPr>
                <w:rFonts w:cs="Arial"/>
              </w:rPr>
              <w:t>Research results are used in CCAMLR’s annual stock considerations and are peer reviewed by the CCAMLR Working Group on Fish Stock Assessment and CCAMLR Scientific Committee when assessing New and Exploratory fisheries.</w:t>
            </w:r>
          </w:p>
        </w:tc>
      </w:tr>
      <w:tr w:rsidR="00791D18" w:rsidRPr="00FB524C" w:rsidTr="00D941CD">
        <w:tc>
          <w:tcPr>
            <w:tcW w:w="4219" w:type="dxa"/>
          </w:tcPr>
          <w:p w:rsidR="00791D18" w:rsidRPr="00FB524C" w:rsidRDefault="00791D18" w:rsidP="007F1C9E">
            <w:pPr>
              <w:spacing w:after="120" w:line="240" w:lineRule="auto"/>
              <w:rPr>
                <w:rFonts w:cs="Arial"/>
              </w:rPr>
            </w:pPr>
            <w:r w:rsidRPr="00FB524C">
              <w:rPr>
                <w:rFonts w:cs="Arial"/>
                <w:b/>
                <w:bCs/>
                <w:i/>
                <w:iCs/>
              </w:rPr>
              <w:t xml:space="preserve">1.1.4 </w:t>
            </w:r>
            <w:r w:rsidRPr="00FB524C">
              <w:rPr>
                <w:rFonts w:cs="Arial"/>
              </w:rPr>
              <w:t xml:space="preserve">There are reliable estimates of all removals, including commercial (landings and discards), recreational and indigenous, from the fished stock. These estimates have been factored into stock assessments and target species catch levels. </w:t>
            </w:r>
          </w:p>
        </w:tc>
        <w:tc>
          <w:tcPr>
            <w:tcW w:w="1559" w:type="dxa"/>
            <w:shd w:val="clear" w:color="auto" w:fill="auto"/>
          </w:tcPr>
          <w:p w:rsidR="00791D18" w:rsidRPr="00FB524C" w:rsidRDefault="00791D18" w:rsidP="007F1C9E">
            <w:pPr>
              <w:spacing w:after="120" w:line="240" w:lineRule="auto"/>
              <w:rPr>
                <w:rFonts w:cs="Arial"/>
              </w:rPr>
            </w:pPr>
            <w:r w:rsidRPr="00FB524C">
              <w:rPr>
                <w:rFonts w:cs="Arial"/>
              </w:rPr>
              <w:t>Robust surveys/ research undertaken, with appropriate management response.</w:t>
            </w:r>
          </w:p>
        </w:tc>
        <w:tc>
          <w:tcPr>
            <w:tcW w:w="1560" w:type="dxa"/>
            <w:shd w:val="clear" w:color="auto" w:fill="FFC000"/>
          </w:tcPr>
          <w:p w:rsidR="00791D18" w:rsidRPr="00FB524C" w:rsidRDefault="00791D18" w:rsidP="007F1C9E">
            <w:pPr>
              <w:spacing w:after="120" w:line="240" w:lineRule="auto"/>
              <w:rPr>
                <w:rFonts w:cs="Arial"/>
              </w:rPr>
            </w:pPr>
          </w:p>
        </w:tc>
        <w:tc>
          <w:tcPr>
            <w:tcW w:w="1559" w:type="dxa"/>
            <w:shd w:val="clear" w:color="auto" w:fill="auto"/>
          </w:tcPr>
          <w:p w:rsidR="00791D18" w:rsidRPr="00FB524C" w:rsidRDefault="00791D18" w:rsidP="007F1C9E">
            <w:pPr>
              <w:spacing w:after="120" w:line="240" w:lineRule="auto"/>
              <w:rPr>
                <w:rFonts w:cs="Arial"/>
              </w:rPr>
            </w:pPr>
          </w:p>
        </w:tc>
        <w:tc>
          <w:tcPr>
            <w:tcW w:w="5386" w:type="dxa"/>
            <w:shd w:val="clear" w:color="auto" w:fill="auto"/>
          </w:tcPr>
          <w:p w:rsidR="00FC0839" w:rsidRPr="00FB524C" w:rsidRDefault="00FC0839" w:rsidP="007F1C9E">
            <w:pPr>
              <w:spacing w:after="120" w:line="240" w:lineRule="auto"/>
              <w:rPr>
                <w:rFonts w:cs="Arial"/>
                <w:b/>
              </w:rPr>
            </w:pPr>
            <w:r w:rsidRPr="00FB524C">
              <w:rPr>
                <w:rFonts w:cs="Arial"/>
                <w:b/>
              </w:rPr>
              <w:t xml:space="preserve">Stock assessments consider all removals from the </w:t>
            </w:r>
            <w:proofErr w:type="gramStart"/>
            <w:r w:rsidRPr="00FB524C">
              <w:rPr>
                <w:rFonts w:cs="Arial"/>
                <w:b/>
              </w:rPr>
              <w:t>fisher</w:t>
            </w:r>
            <w:r w:rsidR="00DD5851" w:rsidRPr="00FB524C">
              <w:rPr>
                <w:rFonts w:cs="Arial"/>
                <w:b/>
              </w:rPr>
              <w:t>ies</w:t>
            </w:r>
            <w:r w:rsidRPr="00FB524C">
              <w:rPr>
                <w:rFonts w:cs="Arial"/>
                <w:b/>
              </w:rPr>
              <w:t>,</w:t>
            </w:r>
            <w:proofErr w:type="gramEnd"/>
            <w:r w:rsidRPr="00FB524C">
              <w:rPr>
                <w:rFonts w:cs="Arial"/>
                <w:b/>
              </w:rPr>
              <w:t xml:space="preserve"> however </w:t>
            </w:r>
            <w:r w:rsidR="00F50372" w:rsidRPr="00FB524C">
              <w:rPr>
                <w:rFonts w:cs="Arial"/>
                <w:b/>
              </w:rPr>
              <w:t xml:space="preserve">reliable </w:t>
            </w:r>
            <w:r w:rsidRPr="00FB524C">
              <w:rPr>
                <w:rFonts w:cs="Arial"/>
                <w:b/>
              </w:rPr>
              <w:t>estimates of IUU removals have not been available since 2012.</w:t>
            </w:r>
          </w:p>
          <w:p w:rsidR="00791D18" w:rsidRPr="00FB524C" w:rsidRDefault="00791D18" w:rsidP="007F1C9E">
            <w:pPr>
              <w:spacing w:after="120" w:line="240" w:lineRule="auto"/>
              <w:rPr>
                <w:rFonts w:cs="Arial"/>
              </w:rPr>
            </w:pPr>
            <w:r w:rsidRPr="00FB524C">
              <w:rPr>
                <w:rFonts w:cs="Arial"/>
              </w:rPr>
              <w:t>Removals from the fisher</w:t>
            </w:r>
            <w:r w:rsidR="004B734E" w:rsidRPr="00FB524C">
              <w:rPr>
                <w:rFonts w:cs="Arial"/>
              </w:rPr>
              <w:t>ies</w:t>
            </w:r>
            <w:r w:rsidRPr="00FB524C">
              <w:rPr>
                <w:rFonts w:cs="Arial"/>
              </w:rPr>
              <w:t xml:space="preserve"> are closely monitored and highly regulated.</w:t>
            </w:r>
          </w:p>
          <w:p w:rsidR="00791D18" w:rsidRPr="00FB524C" w:rsidRDefault="00791D18" w:rsidP="007F1C9E">
            <w:pPr>
              <w:spacing w:after="120" w:line="240" w:lineRule="auto"/>
              <w:rPr>
                <w:rFonts w:cs="Arial"/>
              </w:rPr>
            </w:pPr>
            <w:r w:rsidRPr="00FB524C">
              <w:rPr>
                <w:rFonts w:cs="Arial"/>
              </w:rPr>
              <w:t xml:space="preserve">CCAMLR also includes estimates of IUU fishing when setting </w:t>
            </w:r>
            <w:r w:rsidR="00456967" w:rsidRPr="00FB524C">
              <w:rPr>
                <w:rFonts w:cs="Arial"/>
              </w:rPr>
              <w:t>conservation measure</w:t>
            </w:r>
            <w:r w:rsidRPr="00FB524C">
              <w:rPr>
                <w:rFonts w:cs="Arial"/>
              </w:rPr>
              <w:t>s, including catch limits, each year.</w:t>
            </w:r>
          </w:p>
          <w:p w:rsidR="00791D18" w:rsidRPr="00FB524C" w:rsidRDefault="00791D18" w:rsidP="007F1C9E">
            <w:pPr>
              <w:spacing w:after="120" w:line="240" w:lineRule="auto"/>
              <w:rPr>
                <w:rFonts w:cs="Arial"/>
              </w:rPr>
            </w:pPr>
            <w:r w:rsidRPr="00FB524C">
              <w:rPr>
                <w:rFonts w:cs="Arial"/>
              </w:rPr>
              <w:t>CCAMLR’s preliminary Report of the Working Group on Fish Stock Assessment (</w:t>
            </w:r>
            <w:hyperlink r:id="rId77" w:history="1">
              <w:r w:rsidRPr="00FB524C">
                <w:rPr>
                  <w:rStyle w:val="Hyperlink"/>
                  <w:rFonts w:cs="Arial"/>
                </w:rPr>
                <w:t>WG-FSA-15</w:t>
              </w:r>
            </w:hyperlink>
            <w:r w:rsidRPr="00FB524C">
              <w:rPr>
                <w:rFonts w:cs="Arial"/>
              </w:rPr>
              <w:t xml:space="preserve">, item 3.44) noted that estimates of IUU catch in 2015 for the whole of the Convention area, were between 1264 and 1500 tonnes, and were likely to be an underestimate because they were based on the three vessels actually detected, and did not include mortality associated with lost IUU gillnets (ghost fishing). </w:t>
            </w:r>
          </w:p>
          <w:p w:rsidR="00791D18" w:rsidRPr="00FB524C" w:rsidRDefault="00791D18" w:rsidP="007F1C9E">
            <w:pPr>
              <w:spacing w:after="120" w:line="240" w:lineRule="auto"/>
              <w:rPr>
                <w:rFonts w:cs="Arial"/>
              </w:rPr>
            </w:pPr>
            <w:r w:rsidRPr="00FB524C">
              <w:rPr>
                <w:rFonts w:cs="Arial"/>
              </w:rPr>
              <w:t xml:space="preserve">The Working Group also noted that recent moves in IUU fishing to gillnets and uncertainties in estimating IUU catches mean that </w:t>
            </w:r>
            <w:proofErr w:type="spellStart"/>
            <w:r w:rsidRPr="00FB524C">
              <w:rPr>
                <w:rFonts w:cs="Arial"/>
              </w:rPr>
              <w:t>toothfish</w:t>
            </w:r>
            <w:proofErr w:type="spellEnd"/>
            <w:r w:rsidRPr="00FB524C">
              <w:rPr>
                <w:rFonts w:cs="Arial"/>
              </w:rPr>
              <w:t xml:space="preserve"> catches have not been estimated over the past five years, since 2011 (</w:t>
            </w:r>
            <w:hyperlink r:id="rId78" w:history="1">
              <w:r w:rsidRPr="00FB524C">
                <w:rPr>
                  <w:rStyle w:val="Hyperlink"/>
                  <w:rFonts w:cs="Arial"/>
                </w:rPr>
                <w:t>WG-FSA-15</w:t>
              </w:r>
            </w:hyperlink>
            <w:r w:rsidRPr="00FB524C">
              <w:rPr>
                <w:rFonts w:cs="Arial"/>
              </w:rPr>
              <w:t>, item 5.25).</w:t>
            </w:r>
          </w:p>
          <w:p w:rsidR="00791D18" w:rsidRPr="00FB524C" w:rsidRDefault="00791D18" w:rsidP="007F1C9E">
            <w:pPr>
              <w:spacing w:after="120" w:line="240" w:lineRule="auto"/>
              <w:rPr>
                <w:rFonts w:cs="Arial"/>
              </w:rPr>
            </w:pPr>
            <w:r w:rsidRPr="00FB524C">
              <w:rPr>
                <w:rFonts w:cs="Arial"/>
              </w:rPr>
              <w:t>IUU catch has historically been far in excess of the catch limits set by CCAMLR however (</w:t>
            </w:r>
            <w:hyperlink r:id="rId79" w:history="1">
              <w:r w:rsidR="00B460D2" w:rsidRPr="00FB524C">
                <w:t xml:space="preserve">Fishery Reports 2014 for Divisions </w:t>
              </w:r>
              <w:r w:rsidRPr="00FB524C">
                <w:rPr>
                  <w:rStyle w:val="Hyperlink"/>
                  <w:rFonts w:cs="Arial"/>
                </w:rPr>
                <w:t>58.4.1</w:t>
              </w:r>
            </w:hyperlink>
            <w:r w:rsidRPr="00FB524C">
              <w:rPr>
                <w:rFonts w:cs="Arial"/>
              </w:rPr>
              <w:t xml:space="preserve"> and </w:t>
            </w:r>
            <w:hyperlink r:id="rId80" w:history="1">
              <w:r w:rsidRPr="00FB524C">
                <w:rPr>
                  <w:rStyle w:val="Hyperlink"/>
                  <w:rFonts w:cs="Arial"/>
                </w:rPr>
                <w:t>58.4.2</w:t>
              </w:r>
            </w:hyperlink>
            <w:r w:rsidRPr="00FB524C">
              <w:rPr>
                <w:rFonts w:cs="Arial"/>
              </w:rPr>
              <w:t>).</w:t>
            </w:r>
          </w:p>
          <w:p w:rsidR="00791D18" w:rsidRPr="00FB524C" w:rsidRDefault="00791D18" w:rsidP="007F1C9E">
            <w:pPr>
              <w:spacing w:after="120" w:line="240" w:lineRule="auto"/>
              <w:rPr>
                <w:rFonts w:cs="Arial"/>
              </w:rPr>
            </w:pPr>
            <w:r w:rsidRPr="00FB524C">
              <w:rPr>
                <w:rFonts w:cs="Arial"/>
              </w:rPr>
              <w:t xml:space="preserve">All catch from CCAMLR fisheries is recorded and reported by the Vessel Master on a shot by shot basis, as well as by two independent scientific observers who are present on all voyages. The Vessel Master must also notify AFMA prior to entering and exiting the </w:t>
            </w:r>
            <w:r w:rsidR="004B734E" w:rsidRPr="00FB524C">
              <w:rPr>
                <w:rFonts w:cs="Arial"/>
              </w:rPr>
              <w:t>fisheries</w:t>
            </w:r>
            <w:r w:rsidRPr="00FB524C">
              <w:rPr>
                <w:rFonts w:cs="Arial"/>
              </w:rPr>
              <w:t>, transhipping fish, persons or any other goods to limit the opportunity for IUU catch.</w:t>
            </w:r>
          </w:p>
          <w:p w:rsidR="00791D18" w:rsidRPr="00FB524C" w:rsidRDefault="00791D18" w:rsidP="007F1C9E">
            <w:pPr>
              <w:spacing w:after="120" w:line="240" w:lineRule="auto"/>
              <w:rPr>
                <w:rFonts w:cs="Arial"/>
              </w:rPr>
            </w:pPr>
            <w:r w:rsidRPr="00FB524C">
              <w:rPr>
                <w:rFonts w:cs="Arial"/>
              </w:rPr>
              <w:t xml:space="preserve">Concession holders must fulfil the obligations of </w:t>
            </w:r>
            <w:hyperlink r:id="rId81" w:history="1">
              <w:r w:rsidRPr="00FB524C">
                <w:rPr>
                  <w:rStyle w:val="Hyperlink"/>
                  <w:rFonts w:cs="Arial"/>
                </w:rPr>
                <w:t>CCAMLR’s Catch Documentation Scheme</w:t>
              </w:r>
            </w:hyperlink>
            <w:r w:rsidRPr="00FB524C">
              <w:rPr>
                <w:rFonts w:cs="Arial"/>
              </w:rPr>
              <w:t xml:space="preserve"> for the unloading of </w:t>
            </w:r>
            <w:proofErr w:type="spellStart"/>
            <w:r w:rsidRPr="00FB524C">
              <w:rPr>
                <w:rFonts w:cs="Arial"/>
              </w:rPr>
              <w:t>toothfish</w:t>
            </w:r>
            <w:proofErr w:type="spellEnd"/>
            <w:r w:rsidRPr="00FB524C">
              <w:rPr>
                <w:rFonts w:cs="Arial"/>
              </w:rPr>
              <w:t xml:space="preserve"> product, and facilitate in-port monitoring of all catch unloads, by an authority of the Port State. This allows CCAMLR to verify the data reported by the observers and the Vessel Master.</w:t>
            </w:r>
          </w:p>
        </w:tc>
      </w:tr>
      <w:tr w:rsidR="00791D18" w:rsidRPr="00FB524C" w:rsidTr="00D941CD">
        <w:tc>
          <w:tcPr>
            <w:tcW w:w="4219" w:type="dxa"/>
          </w:tcPr>
          <w:p w:rsidR="00791D18" w:rsidRPr="00FB524C" w:rsidRDefault="00791D18" w:rsidP="007F1C9E">
            <w:pPr>
              <w:spacing w:after="120" w:line="240" w:lineRule="auto"/>
              <w:rPr>
                <w:rFonts w:cs="Arial"/>
              </w:rPr>
            </w:pPr>
            <w:r w:rsidRPr="00FB524C">
              <w:rPr>
                <w:rFonts w:cs="Arial"/>
                <w:b/>
                <w:bCs/>
                <w:i/>
                <w:iCs/>
              </w:rPr>
              <w:t xml:space="preserve">1.1.5 </w:t>
            </w:r>
            <w:r w:rsidRPr="00FB524C">
              <w:rPr>
                <w:rFonts w:cs="Arial"/>
              </w:rPr>
              <w:t xml:space="preserve">There is a sound estimate of the potential productivity of the fished stock/s and the proportion that could be harvested. </w:t>
            </w:r>
          </w:p>
        </w:tc>
        <w:tc>
          <w:tcPr>
            <w:tcW w:w="1559" w:type="dxa"/>
            <w:shd w:val="clear" w:color="auto" w:fill="auto"/>
          </w:tcPr>
          <w:p w:rsidR="00791D18" w:rsidRPr="00FB524C" w:rsidRDefault="00791D18" w:rsidP="007F1C9E">
            <w:pPr>
              <w:spacing w:after="120" w:line="240" w:lineRule="auto"/>
              <w:rPr>
                <w:rFonts w:cs="Arial"/>
              </w:rPr>
            </w:pPr>
            <w:r w:rsidRPr="00FB524C">
              <w:rPr>
                <w:rFonts w:cs="Arial"/>
              </w:rPr>
              <w:t>Sound estimate of productivity is available.</w:t>
            </w:r>
          </w:p>
        </w:tc>
        <w:tc>
          <w:tcPr>
            <w:tcW w:w="1560" w:type="dxa"/>
            <w:shd w:val="clear" w:color="auto" w:fill="FFC000"/>
          </w:tcPr>
          <w:p w:rsidR="00791D18" w:rsidRPr="00FB524C" w:rsidRDefault="00791D18" w:rsidP="007F1C9E">
            <w:pPr>
              <w:spacing w:after="120" w:line="240" w:lineRule="auto"/>
              <w:rPr>
                <w:rFonts w:cs="Arial"/>
              </w:rPr>
            </w:pPr>
            <w:r w:rsidRPr="00FB524C">
              <w:rPr>
                <w:rFonts w:cs="Arial"/>
              </w:rPr>
              <w:t xml:space="preserve">Productivity is currently being estimated. </w:t>
            </w:r>
          </w:p>
        </w:tc>
        <w:tc>
          <w:tcPr>
            <w:tcW w:w="1559" w:type="dxa"/>
            <w:shd w:val="clear" w:color="auto" w:fill="auto"/>
          </w:tcPr>
          <w:p w:rsidR="00791D18" w:rsidRPr="00FB524C" w:rsidRDefault="00791D18" w:rsidP="007F1C9E">
            <w:pPr>
              <w:spacing w:after="120" w:line="240" w:lineRule="auto"/>
              <w:rPr>
                <w:rFonts w:cs="Arial"/>
              </w:rPr>
            </w:pPr>
            <w:r w:rsidRPr="00FB524C">
              <w:rPr>
                <w:rFonts w:cs="Arial"/>
              </w:rPr>
              <w:t>No estimate of productivity available.</w:t>
            </w:r>
          </w:p>
        </w:tc>
        <w:tc>
          <w:tcPr>
            <w:tcW w:w="5386" w:type="dxa"/>
            <w:shd w:val="clear" w:color="auto" w:fill="auto"/>
          </w:tcPr>
          <w:p w:rsidR="00FC0839" w:rsidRPr="00FB524C" w:rsidRDefault="00FC0839" w:rsidP="007F1C9E">
            <w:pPr>
              <w:spacing w:after="120" w:line="240" w:lineRule="auto"/>
              <w:rPr>
                <w:rFonts w:cs="Arial"/>
                <w:b/>
              </w:rPr>
            </w:pPr>
            <w:r w:rsidRPr="00FB524C">
              <w:rPr>
                <w:rFonts w:cs="Arial"/>
                <w:b/>
              </w:rPr>
              <w:t>Productivity is not well understood, however plans are in place to reduce uncertainty and improve stock assessments.</w:t>
            </w:r>
          </w:p>
          <w:p w:rsidR="00791D18" w:rsidRPr="00FB524C" w:rsidRDefault="00791D18" w:rsidP="007F1C9E">
            <w:pPr>
              <w:spacing w:after="120" w:line="240" w:lineRule="auto"/>
              <w:rPr>
                <w:rFonts w:cs="Arial"/>
              </w:rPr>
            </w:pPr>
            <w:r w:rsidRPr="00FB524C">
              <w:rPr>
                <w:rFonts w:cs="Arial"/>
              </w:rPr>
              <w:t xml:space="preserve">Conservative catch limits are set annually by CCAMLR and take into account advice from the CCAMLR Working Group on Fish Stock Assessment, and the CCAMLR Scientific Committee. </w:t>
            </w:r>
          </w:p>
          <w:p w:rsidR="00791D18" w:rsidRPr="00FB524C" w:rsidRDefault="00791D18" w:rsidP="007F1C9E">
            <w:pPr>
              <w:spacing w:after="120" w:line="240" w:lineRule="auto"/>
              <w:rPr>
                <w:rFonts w:cs="Arial"/>
              </w:rPr>
            </w:pPr>
            <w:r w:rsidRPr="00FB524C">
              <w:rPr>
                <w:rFonts w:cs="Arial"/>
              </w:rPr>
              <w:t>Information from previous fishing in these areas, as well as other CCAMLR areas informs CCAMLR’s decisions, and catch limits are set at levels not substantially above that required to evaluate the distribution, abundance and demography of the target species, estimate the fisher</w:t>
            </w:r>
            <w:r w:rsidR="004B734E" w:rsidRPr="00FB524C">
              <w:rPr>
                <w:rFonts w:cs="Arial"/>
              </w:rPr>
              <w:t>ie</w:t>
            </w:r>
            <w:r w:rsidRPr="00FB524C">
              <w:rPr>
                <w:rFonts w:cs="Arial"/>
              </w:rPr>
              <w:t>s</w:t>
            </w:r>
            <w:r w:rsidR="004B734E" w:rsidRPr="00FB524C">
              <w:rPr>
                <w:rFonts w:cs="Arial"/>
              </w:rPr>
              <w:t>’</w:t>
            </w:r>
            <w:r w:rsidRPr="00FB524C">
              <w:rPr>
                <w:rFonts w:cs="Arial"/>
              </w:rPr>
              <w:t xml:space="preserve"> potential yield, review the fisher</w:t>
            </w:r>
            <w:r w:rsidR="004B734E" w:rsidRPr="00FB524C">
              <w:rPr>
                <w:rFonts w:cs="Arial"/>
              </w:rPr>
              <w:t>ie</w:t>
            </w:r>
            <w:r w:rsidRPr="00FB524C">
              <w:rPr>
                <w:rFonts w:cs="Arial"/>
              </w:rPr>
              <w:t>s</w:t>
            </w:r>
            <w:r w:rsidR="004B734E" w:rsidRPr="00FB524C">
              <w:rPr>
                <w:rFonts w:cs="Arial"/>
              </w:rPr>
              <w:t>’</w:t>
            </w:r>
            <w:r w:rsidRPr="00FB524C">
              <w:rPr>
                <w:rFonts w:cs="Arial"/>
              </w:rPr>
              <w:t xml:space="preserve"> potential impacts on dependent and related species, and allow the Scientific Committee to advise on catch and effort levels, and fishing gear.</w:t>
            </w:r>
          </w:p>
        </w:tc>
      </w:tr>
    </w:tbl>
    <w:p w:rsidR="00EE3DFC" w:rsidRDefault="00EE3DFC" w:rsidP="00FC0839">
      <w:pPr>
        <w:spacing w:after="0" w:line="240" w:lineRule="auto"/>
        <w:rPr>
          <w:rFonts w:cs="Arial"/>
          <w:b/>
          <w:bCs/>
          <w:i/>
          <w:iCs/>
        </w:rPr>
        <w:sectPr w:rsidR="00EE3DFC">
          <w:pgSz w:w="16838" w:h="11906" w:orient="landscape"/>
          <w:pgMar w:top="899" w:right="1361" w:bottom="899" w:left="1361" w:header="709" w:footer="528" w:gutter="0"/>
          <w:cols w:space="708"/>
          <w:docGrid w:linePitch="360"/>
        </w:sect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19"/>
        <w:gridCol w:w="1559"/>
        <w:gridCol w:w="1560"/>
        <w:gridCol w:w="1559"/>
        <w:gridCol w:w="5386"/>
      </w:tblGrid>
      <w:tr w:rsidR="00791D18" w:rsidRPr="007F1C9E" w:rsidTr="00EE3DFC">
        <w:trPr>
          <w:cantSplit/>
        </w:trPr>
        <w:tc>
          <w:tcPr>
            <w:tcW w:w="14283" w:type="dxa"/>
            <w:gridSpan w:val="5"/>
            <w:shd w:val="clear" w:color="auto" w:fill="DAEEF3"/>
          </w:tcPr>
          <w:p w:rsidR="00791D18" w:rsidRPr="007F1C9E" w:rsidRDefault="00791D18" w:rsidP="007F1C9E">
            <w:pPr>
              <w:spacing w:after="120" w:line="240" w:lineRule="auto"/>
              <w:rPr>
                <w:rFonts w:cs="Arial"/>
                <w:b/>
                <w:bCs/>
                <w:i/>
                <w:iCs/>
                <w:sz w:val="20"/>
                <w:szCs w:val="20"/>
              </w:rPr>
            </w:pPr>
            <w:r w:rsidRPr="007F1C9E">
              <w:rPr>
                <w:rFonts w:cs="Arial"/>
                <w:b/>
                <w:bCs/>
                <w:i/>
                <w:iCs/>
                <w:sz w:val="20"/>
                <w:szCs w:val="20"/>
              </w:rPr>
              <w:t xml:space="preserve">Management responses </w:t>
            </w:r>
          </w:p>
        </w:tc>
      </w:tr>
      <w:tr w:rsidR="00791D18" w:rsidRPr="00FB524C" w:rsidTr="00C64FE1">
        <w:trPr>
          <w:cantSplit/>
        </w:trPr>
        <w:tc>
          <w:tcPr>
            <w:tcW w:w="4219" w:type="dxa"/>
          </w:tcPr>
          <w:p w:rsidR="00791D18" w:rsidRPr="00FB524C" w:rsidRDefault="00791D18" w:rsidP="007F1C9E">
            <w:pPr>
              <w:autoSpaceDE w:val="0"/>
              <w:autoSpaceDN w:val="0"/>
              <w:adjustRightInd w:val="0"/>
              <w:spacing w:after="120" w:line="240" w:lineRule="auto"/>
              <w:rPr>
                <w:rFonts w:cs="Arial"/>
              </w:rPr>
            </w:pPr>
            <w:r w:rsidRPr="00FB524C">
              <w:rPr>
                <w:rFonts w:cs="Arial"/>
                <w:b/>
                <w:bCs/>
                <w:i/>
                <w:iCs/>
              </w:rPr>
              <w:t xml:space="preserve">1.1.6 </w:t>
            </w:r>
            <w:r w:rsidRPr="00FB524C">
              <w:rPr>
                <w:rFonts w:cs="Arial"/>
              </w:rPr>
              <w:t>There are reference points (target and/or limit), that trigger management actions including a biological bottom line and/or a catch or effort upper limit beyond which the stock should not be taken.</w:t>
            </w:r>
          </w:p>
        </w:tc>
        <w:tc>
          <w:tcPr>
            <w:tcW w:w="1559" w:type="dxa"/>
            <w:shd w:val="clear" w:color="auto" w:fill="92D050"/>
          </w:tcPr>
          <w:p w:rsidR="00791D18" w:rsidRPr="00FB524C" w:rsidRDefault="00791D18" w:rsidP="007F1C9E">
            <w:pPr>
              <w:spacing w:after="120" w:line="240" w:lineRule="auto"/>
              <w:rPr>
                <w:rFonts w:cs="Arial"/>
              </w:rPr>
            </w:pPr>
            <w:r w:rsidRPr="00FB524C">
              <w:rPr>
                <w:rFonts w:cs="Arial"/>
              </w:rPr>
              <w:t>Robust reference points are in place.</w:t>
            </w:r>
          </w:p>
        </w:tc>
        <w:tc>
          <w:tcPr>
            <w:tcW w:w="1560" w:type="dxa"/>
            <w:shd w:val="clear" w:color="auto" w:fill="auto"/>
          </w:tcPr>
          <w:p w:rsidR="00791D18" w:rsidRPr="00FB524C" w:rsidRDefault="00791D18" w:rsidP="007F1C9E">
            <w:pPr>
              <w:spacing w:after="120" w:line="240" w:lineRule="auto"/>
              <w:rPr>
                <w:rFonts w:cs="Arial"/>
              </w:rPr>
            </w:pPr>
            <w:r w:rsidRPr="00FB524C">
              <w:rPr>
                <w:rFonts w:cs="Arial"/>
              </w:rPr>
              <w:t>Reference points under development, or developed but trigger response is not prescribed.</w:t>
            </w:r>
          </w:p>
        </w:tc>
        <w:tc>
          <w:tcPr>
            <w:tcW w:w="1559" w:type="dxa"/>
            <w:shd w:val="clear" w:color="auto" w:fill="auto"/>
          </w:tcPr>
          <w:p w:rsidR="00791D18" w:rsidRPr="00FB524C" w:rsidRDefault="00791D18" w:rsidP="007F1C9E">
            <w:pPr>
              <w:spacing w:after="120" w:line="240" w:lineRule="auto"/>
              <w:rPr>
                <w:rFonts w:cs="Arial"/>
              </w:rPr>
            </w:pPr>
            <w:r w:rsidRPr="00FB524C">
              <w:rPr>
                <w:rFonts w:cs="Arial"/>
              </w:rPr>
              <w:t>No reference points under development or planned.</w:t>
            </w:r>
          </w:p>
        </w:tc>
        <w:tc>
          <w:tcPr>
            <w:tcW w:w="5386" w:type="dxa"/>
            <w:shd w:val="clear" w:color="auto" w:fill="auto"/>
          </w:tcPr>
          <w:p w:rsidR="00FC0839" w:rsidRPr="00FB524C" w:rsidRDefault="00FC0839" w:rsidP="007F1C9E">
            <w:pPr>
              <w:spacing w:after="120" w:line="240" w:lineRule="auto"/>
              <w:rPr>
                <w:rFonts w:cs="Arial"/>
                <w:b/>
              </w:rPr>
            </w:pPr>
            <w:r w:rsidRPr="00FB524C">
              <w:rPr>
                <w:rFonts w:cs="Arial"/>
                <w:b/>
              </w:rPr>
              <w:t>Precautionary reference points are in place</w:t>
            </w:r>
            <w:r w:rsidR="004821B5" w:rsidRPr="00FB524C">
              <w:rPr>
                <w:rFonts w:cs="Arial"/>
                <w:b/>
              </w:rPr>
              <w:t>, reflecting</w:t>
            </w:r>
            <w:r w:rsidRPr="00FB524C">
              <w:rPr>
                <w:rFonts w:cs="Arial"/>
                <w:b/>
              </w:rPr>
              <w:t xml:space="preserve"> </w:t>
            </w:r>
            <w:r w:rsidR="004821B5" w:rsidRPr="00FB524C">
              <w:rPr>
                <w:rFonts w:cs="Arial"/>
                <w:b/>
              </w:rPr>
              <w:t>limited</w:t>
            </w:r>
            <w:r w:rsidR="004821B5" w:rsidRPr="00FB524C" w:rsidDel="004821B5">
              <w:rPr>
                <w:rFonts w:cs="Arial"/>
                <w:b/>
              </w:rPr>
              <w:t xml:space="preserve"> </w:t>
            </w:r>
            <w:r w:rsidRPr="00FB524C">
              <w:rPr>
                <w:rFonts w:cs="Arial"/>
                <w:b/>
              </w:rPr>
              <w:t>information on stock</w:t>
            </w:r>
            <w:r w:rsidR="004821B5" w:rsidRPr="00FB524C">
              <w:rPr>
                <w:rFonts w:cs="Arial"/>
                <w:b/>
              </w:rPr>
              <w:t xml:space="preserve"> </w:t>
            </w:r>
            <w:r w:rsidRPr="00FB524C">
              <w:rPr>
                <w:rFonts w:cs="Arial"/>
                <w:b/>
              </w:rPr>
              <w:t>s</w:t>
            </w:r>
            <w:r w:rsidR="004821B5" w:rsidRPr="00FB524C">
              <w:rPr>
                <w:rFonts w:cs="Arial"/>
                <w:b/>
              </w:rPr>
              <w:t>tatus</w:t>
            </w:r>
            <w:r w:rsidRPr="00FB524C">
              <w:rPr>
                <w:rFonts w:cs="Arial"/>
                <w:b/>
              </w:rPr>
              <w:t>.</w:t>
            </w:r>
          </w:p>
          <w:p w:rsidR="00791D18" w:rsidRPr="00FB524C" w:rsidRDefault="00791D18" w:rsidP="007F1C9E">
            <w:pPr>
              <w:spacing w:after="120" w:line="240" w:lineRule="auto"/>
              <w:rPr>
                <w:rFonts w:cs="Arial"/>
              </w:rPr>
            </w:pPr>
            <w:r w:rsidRPr="00FB524C">
              <w:rPr>
                <w:rFonts w:cs="Arial"/>
              </w:rPr>
              <w:t>Given the limited data available for new and exploratory fisheries, and the potential need for stock recovery in some areas, catch limits are set conservatively at levels of 3-4% of the estimated current unfished biomass (</w:t>
            </w:r>
            <w:hyperlink r:id="rId82" w:history="1">
              <w:r w:rsidR="00801DFA" w:rsidRPr="00FB524C">
                <w:rPr>
                  <w:rStyle w:val="Hyperlink"/>
                  <w:rFonts w:cs="Arial"/>
                </w:rPr>
                <w:t>WG-FSA-15</w:t>
              </w:r>
            </w:hyperlink>
            <w:r w:rsidR="00801DFA" w:rsidRPr="00FB524C">
              <w:rPr>
                <w:rFonts w:cs="Arial"/>
              </w:rPr>
              <w:t xml:space="preserve"> </w:t>
            </w:r>
            <w:r w:rsidRPr="00FB524C">
              <w:rPr>
                <w:rFonts w:cs="Arial"/>
              </w:rPr>
              <w:t>item 5.29).</w:t>
            </w:r>
          </w:p>
          <w:p w:rsidR="004821B5" w:rsidRPr="00FB524C" w:rsidRDefault="004821B5" w:rsidP="007F1C9E">
            <w:pPr>
              <w:spacing w:after="120" w:line="240" w:lineRule="auto"/>
              <w:rPr>
                <w:rFonts w:cs="Arial"/>
              </w:rPr>
            </w:pPr>
            <w:r w:rsidRPr="00FB524C">
              <w:rPr>
                <w:rFonts w:cs="Arial"/>
              </w:rPr>
              <w:t>Catch limits are revised annually by CCAMLR at levels not substantially above that required to evaluate the distribution, abundance and demography of the target species, estimate the fisher</w:t>
            </w:r>
            <w:r w:rsidR="004B734E" w:rsidRPr="00FB524C">
              <w:rPr>
                <w:rFonts w:cs="Arial"/>
              </w:rPr>
              <w:t>ie</w:t>
            </w:r>
            <w:r w:rsidRPr="00FB524C">
              <w:rPr>
                <w:rFonts w:cs="Arial"/>
              </w:rPr>
              <w:t>s</w:t>
            </w:r>
            <w:r w:rsidR="004B734E" w:rsidRPr="00FB524C">
              <w:rPr>
                <w:rFonts w:cs="Arial"/>
              </w:rPr>
              <w:t>’</w:t>
            </w:r>
            <w:r w:rsidRPr="00FB524C">
              <w:rPr>
                <w:rFonts w:cs="Arial"/>
              </w:rPr>
              <w:t xml:space="preserve"> potential yield, review the fisher</w:t>
            </w:r>
            <w:r w:rsidR="004B734E" w:rsidRPr="00FB524C">
              <w:rPr>
                <w:rFonts w:cs="Arial"/>
              </w:rPr>
              <w:t>ie</w:t>
            </w:r>
            <w:r w:rsidRPr="00FB524C">
              <w:rPr>
                <w:rFonts w:cs="Arial"/>
              </w:rPr>
              <w:t>s</w:t>
            </w:r>
            <w:r w:rsidR="004B734E" w:rsidRPr="00FB524C">
              <w:rPr>
                <w:rFonts w:cs="Arial"/>
              </w:rPr>
              <w:t>’</w:t>
            </w:r>
            <w:r w:rsidRPr="00FB524C">
              <w:rPr>
                <w:rFonts w:cs="Arial"/>
              </w:rPr>
              <w:t xml:space="preserve"> potential impacts on dependent and related species, and to allow the Scientific Committee to advise the Commission on catch and effort levels as well as fishing gear.</w:t>
            </w:r>
          </w:p>
          <w:p w:rsidR="004821B5" w:rsidRPr="00FB524C" w:rsidRDefault="004821B5" w:rsidP="007F1C9E">
            <w:pPr>
              <w:spacing w:after="120" w:line="240" w:lineRule="auto"/>
              <w:rPr>
                <w:rFonts w:cs="Arial"/>
              </w:rPr>
            </w:pPr>
            <w:r w:rsidRPr="00FB524C">
              <w:rPr>
                <w:rFonts w:cs="Arial"/>
              </w:rPr>
              <w:t>Catch limits ensure the median estimated spawning stock biomass (not total biomass) is greater than or equal to 50% of the average pre-exploitation spawning biomass after a further 35 years of fishing, with the additional condition that there is less than a 10% probability that the spawning biomass will decline below 20% of the pre-exploitation level at any time during this period.</w:t>
            </w:r>
          </w:p>
          <w:p w:rsidR="004821B5" w:rsidRPr="00FB524C" w:rsidRDefault="004821B5" w:rsidP="007F1C9E">
            <w:pPr>
              <w:spacing w:after="120" w:line="240" w:lineRule="auto"/>
              <w:rPr>
                <w:rFonts w:cs="Arial"/>
              </w:rPr>
            </w:pPr>
            <w:r w:rsidRPr="00FB524C">
              <w:rPr>
                <w:rFonts w:cs="Arial"/>
              </w:rPr>
              <w:t>These reference points are more precautionary than prescribed in Australia’s Commonwealth Fisheries Harvest Strategy Policy and Guidelines (2007).</w:t>
            </w:r>
          </w:p>
        </w:tc>
      </w:tr>
      <w:tr w:rsidR="00791D18" w:rsidRPr="00FB524C" w:rsidTr="00EE3DFC">
        <w:trPr>
          <w:cantSplit/>
        </w:trPr>
        <w:tc>
          <w:tcPr>
            <w:tcW w:w="4219" w:type="dxa"/>
          </w:tcPr>
          <w:p w:rsidR="00791D18" w:rsidRPr="00FB524C" w:rsidRDefault="00791D18" w:rsidP="007F1C9E">
            <w:pPr>
              <w:spacing w:after="120" w:line="240" w:lineRule="auto"/>
              <w:rPr>
                <w:rFonts w:cs="Arial"/>
              </w:rPr>
            </w:pPr>
            <w:r w:rsidRPr="00FB524C">
              <w:rPr>
                <w:rFonts w:cs="Arial"/>
                <w:b/>
                <w:bCs/>
                <w:i/>
                <w:iCs/>
              </w:rPr>
              <w:t xml:space="preserve">1.1.7 </w:t>
            </w:r>
            <w:r w:rsidRPr="00FB524C">
              <w:rPr>
                <w:rFonts w:cs="Arial"/>
              </w:rPr>
              <w:t xml:space="preserve">There are management strategies in place capable of controlling the level of take. </w:t>
            </w:r>
          </w:p>
        </w:tc>
        <w:tc>
          <w:tcPr>
            <w:tcW w:w="1559" w:type="dxa"/>
            <w:shd w:val="clear" w:color="auto" w:fill="92D050"/>
          </w:tcPr>
          <w:p w:rsidR="00791D18" w:rsidRPr="00FB524C" w:rsidRDefault="00791D18" w:rsidP="007F1C9E">
            <w:pPr>
              <w:spacing w:after="120" w:line="240" w:lineRule="auto"/>
              <w:rPr>
                <w:rFonts w:cs="Arial"/>
              </w:rPr>
            </w:pPr>
            <w:r w:rsidRPr="00FB524C">
              <w:rPr>
                <w:rFonts w:cs="Arial"/>
              </w:rPr>
              <w:t>TAC, limited entry.</w:t>
            </w:r>
          </w:p>
        </w:tc>
        <w:tc>
          <w:tcPr>
            <w:tcW w:w="1560" w:type="dxa"/>
            <w:shd w:val="clear" w:color="auto" w:fill="auto"/>
          </w:tcPr>
          <w:p w:rsidR="00791D18" w:rsidRPr="00FB524C" w:rsidRDefault="00791D18" w:rsidP="007F1C9E">
            <w:pPr>
              <w:spacing w:after="120" w:line="240" w:lineRule="auto"/>
              <w:rPr>
                <w:rFonts w:cs="Arial"/>
              </w:rPr>
            </w:pPr>
            <w:r w:rsidRPr="00FB524C">
              <w:rPr>
                <w:rFonts w:cs="Arial"/>
              </w:rPr>
              <w:t>Limited entry, but strategies could be stronger.</w:t>
            </w:r>
          </w:p>
        </w:tc>
        <w:tc>
          <w:tcPr>
            <w:tcW w:w="1559" w:type="dxa"/>
            <w:shd w:val="clear" w:color="auto" w:fill="auto"/>
          </w:tcPr>
          <w:p w:rsidR="00791D18" w:rsidRPr="00FB524C" w:rsidRDefault="00791D18" w:rsidP="007F1C9E">
            <w:pPr>
              <w:spacing w:after="120" w:line="240" w:lineRule="auto"/>
              <w:rPr>
                <w:rFonts w:cs="Arial"/>
              </w:rPr>
            </w:pPr>
            <w:r w:rsidRPr="00FB524C">
              <w:rPr>
                <w:rFonts w:cs="Arial"/>
              </w:rPr>
              <w:t>Level of take not adequately controlled.</w:t>
            </w:r>
          </w:p>
        </w:tc>
        <w:tc>
          <w:tcPr>
            <w:tcW w:w="5386" w:type="dxa"/>
            <w:shd w:val="clear" w:color="auto" w:fill="auto"/>
          </w:tcPr>
          <w:p w:rsidR="00FC0839" w:rsidRPr="00FB524C" w:rsidRDefault="00FC0839" w:rsidP="007F1C9E">
            <w:pPr>
              <w:spacing w:after="120" w:line="240" w:lineRule="auto"/>
              <w:rPr>
                <w:rFonts w:cs="Arial"/>
                <w:b/>
              </w:rPr>
            </w:pPr>
            <w:r w:rsidRPr="00FB524C">
              <w:rPr>
                <w:rFonts w:cs="Arial"/>
                <w:b/>
              </w:rPr>
              <w:t>Effective harvest controls are in place.</w:t>
            </w:r>
          </w:p>
          <w:p w:rsidR="00791D18" w:rsidRPr="00FB524C" w:rsidRDefault="00791D18" w:rsidP="007F1C9E">
            <w:pPr>
              <w:spacing w:after="120" w:line="240" w:lineRule="auto"/>
              <w:rPr>
                <w:rFonts w:cs="Arial"/>
              </w:rPr>
            </w:pPr>
            <w:r w:rsidRPr="00FB524C">
              <w:rPr>
                <w:rFonts w:cs="Arial"/>
              </w:rPr>
              <w:t>Total allowable catch limits and limited numbers of licenses control the level of take in the fisheries.</w:t>
            </w:r>
          </w:p>
          <w:p w:rsidR="00791D18" w:rsidRPr="00FB524C" w:rsidRDefault="00791D18" w:rsidP="007F1C9E">
            <w:pPr>
              <w:spacing w:after="120" w:line="240" w:lineRule="auto"/>
              <w:rPr>
                <w:rFonts w:cs="Arial"/>
              </w:rPr>
            </w:pPr>
            <w:r w:rsidRPr="00FB524C">
              <w:rPr>
                <w:rFonts w:cs="Arial"/>
              </w:rPr>
              <w:t xml:space="preserve">Fishing activity, including catches is closely monitored by CCAMLR and its members, including Australia. </w:t>
            </w:r>
          </w:p>
          <w:p w:rsidR="00791D18" w:rsidRPr="00FB524C" w:rsidRDefault="00791D18" w:rsidP="007F1C9E">
            <w:pPr>
              <w:spacing w:after="120" w:line="240" w:lineRule="auto"/>
              <w:rPr>
                <w:rFonts w:cs="Arial"/>
              </w:rPr>
            </w:pPr>
            <w:r w:rsidRPr="00FB524C">
              <w:rPr>
                <w:rFonts w:cs="Arial"/>
              </w:rPr>
              <w:t xml:space="preserve">Although CCAMLR noted there was potential for large overruns in catches </w:t>
            </w:r>
            <w:r w:rsidR="00DD5851" w:rsidRPr="00FB524C">
              <w:rPr>
                <w:rFonts w:cs="Arial"/>
              </w:rPr>
              <w:t>in some discrete areas</w:t>
            </w:r>
            <w:r w:rsidRPr="00FB524C">
              <w:rPr>
                <w:rFonts w:cs="Arial"/>
              </w:rPr>
              <w:t>, it agreed with its Scientific Committee that there was no evidence to suggest this was a threat to its conservation objectives (</w:t>
            </w:r>
            <w:hyperlink r:id="rId83" w:history="1">
              <w:r w:rsidRPr="00FB524C">
                <w:rPr>
                  <w:rStyle w:val="Hyperlink"/>
                  <w:rFonts w:cs="Arial"/>
                </w:rPr>
                <w:t>items 5.30 and 5.31 CCAMLR meeting XXXIV</w:t>
              </w:r>
            </w:hyperlink>
            <w:r w:rsidRPr="00FB524C">
              <w:rPr>
                <w:rFonts w:cs="Arial"/>
              </w:rPr>
              <w:t>).</w:t>
            </w:r>
          </w:p>
          <w:p w:rsidR="00791D18" w:rsidRPr="00FB524C" w:rsidRDefault="00791D18" w:rsidP="007F1C9E">
            <w:pPr>
              <w:spacing w:after="120" w:line="240" w:lineRule="auto"/>
              <w:rPr>
                <w:rFonts w:cs="Arial"/>
              </w:rPr>
            </w:pPr>
            <w:r w:rsidRPr="00FB524C">
              <w:rPr>
                <w:rFonts w:cs="Arial"/>
              </w:rPr>
              <w:t>The Commission has requested an assessment of capacity metrics and advice on how such metrics could be developed to reduce the likelihood of overruns in the future.</w:t>
            </w:r>
          </w:p>
        </w:tc>
      </w:tr>
      <w:tr w:rsidR="00791D18" w:rsidRPr="00FB524C" w:rsidTr="00D941CD">
        <w:tc>
          <w:tcPr>
            <w:tcW w:w="4219" w:type="dxa"/>
          </w:tcPr>
          <w:p w:rsidR="00791D18" w:rsidRPr="00FB524C" w:rsidRDefault="00791D18" w:rsidP="009A7F91">
            <w:pPr>
              <w:autoSpaceDE w:val="0"/>
              <w:autoSpaceDN w:val="0"/>
              <w:adjustRightInd w:val="0"/>
              <w:spacing w:after="120" w:line="240" w:lineRule="auto"/>
              <w:rPr>
                <w:rFonts w:cs="Arial"/>
              </w:rPr>
            </w:pPr>
            <w:r w:rsidRPr="00FB524C">
              <w:rPr>
                <w:rFonts w:cs="Arial"/>
                <w:b/>
                <w:bCs/>
                <w:i/>
                <w:iCs/>
              </w:rPr>
              <w:t xml:space="preserve">1.1.8 </w:t>
            </w:r>
            <w:r w:rsidRPr="00FB524C">
              <w:rPr>
                <w:rFonts w:cs="Arial"/>
              </w:rPr>
              <w:t>Fishing is conducted in a manner that does not threaten stocks of by-product species.</w:t>
            </w:r>
          </w:p>
        </w:tc>
        <w:tc>
          <w:tcPr>
            <w:tcW w:w="1559" w:type="dxa"/>
            <w:shd w:val="clear" w:color="auto" w:fill="92D050"/>
          </w:tcPr>
          <w:p w:rsidR="00791D18" w:rsidRPr="00FB524C" w:rsidRDefault="00791D18" w:rsidP="009A7F91">
            <w:pPr>
              <w:spacing w:after="120" w:line="240" w:lineRule="auto"/>
              <w:rPr>
                <w:rFonts w:cs="Arial"/>
              </w:rPr>
            </w:pPr>
            <w:r w:rsidRPr="00FB524C">
              <w:rPr>
                <w:rFonts w:cs="Arial"/>
              </w:rPr>
              <w:t>Effort is relatively low, take of by-product species is low, or impacts on by-product whole stock have been demonstrated to be low.</w:t>
            </w:r>
          </w:p>
        </w:tc>
        <w:tc>
          <w:tcPr>
            <w:tcW w:w="1560" w:type="dxa"/>
            <w:shd w:val="clear" w:color="auto" w:fill="auto"/>
          </w:tcPr>
          <w:p w:rsidR="00791D18" w:rsidRPr="00FB524C" w:rsidRDefault="00791D18" w:rsidP="009A7F91">
            <w:pPr>
              <w:spacing w:after="120" w:line="240" w:lineRule="auto"/>
              <w:rPr>
                <w:rFonts w:cs="Arial"/>
              </w:rPr>
            </w:pPr>
            <w:r w:rsidRPr="00FB524C">
              <w:rPr>
                <w:rFonts w:cs="Arial"/>
              </w:rPr>
              <w:t xml:space="preserve">Effort is </w:t>
            </w:r>
            <w:proofErr w:type="gramStart"/>
            <w:r w:rsidRPr="00FB524C">
              <w:rPr>
                <w:rFonts w:cs="Arial"/>
              </w:rPr>
              <w:t>moderate,</w:t>
            </w:r>
            <w:proofErr w:type="gramEnd"/>
            <w:r w:rsidRPr="00FB524C">
              <w:rPr>
                <w:rFonts w:cs="Arial"/>
              </w:rPr>
              <w:t xml:space="preserve"> impact on stock of by-product species is moderate or unclear.  </w:t>
            </w:r>
          </w:p>
        </w:tc>
        <w:tc>
          <w:tcPr>
            <w:tcW w:w="1559" w:type="dxa"/>
            <w:shd w:val="clear" w:color="auto" w:fill="auto"/>
          </w:tcPr>
          <w:p w:rsidR="00791D18" w:rsidRPr="00FB524C" w:rsidRDefault="00791D18" w:rsidP="009A7F91">
            <w:pPr>
              <w:spacing w:after="120" w:line="240" w:lineRule="auto"/>
              <w:rPr>
                <w:rFonts w:cs="Arial"/>
              </w:rPr>
            </w:pPr>
            <w:r w:rsidRPr="00FB524C">
              <w:rPr>
                <w:rFonts w:cs="Arial"/>
              </w:rPr>
              <w:t xml:space="preserve">Effort is high, take of by-product is also high and likely to impact whole stock, </w:t>
            </w:r>
            <w:proofErr w:type="gramStart"/>
            <w:r w:rsidRPr="00FB524C">
              <w:rPr>
                <w:rFonts w:cs="Arial"/>
              </w:rPr>
              <w:t>method</w:t>
            </w:r>
            <w:proofErr w:type="gramEnd"/>
            <w:r w:rsidRPr="00FB524C">
              <w:rPr>
                <w:rFonts w:cs="Arial"/>
              </w:rPr>
              <w:t xml:space="preserve"> does not allow effective selection of target </w:t>
            </w:r>
            <w:proofErr w:type="spellStart"/>
            <w:r w:rsidRPr="00FB524C">
              <w:rPr>
                <w:rFonts w:cs="Arial"/>
              </w:rPr>
              <w:t>vs</w:t>
            </w:r>
            <w:proofErr w:type="spellEnd"/>
            <w:r w:rsidRPr="00FB524C">
              <w:rPr>
                <w:rFonts w:cs="Arial"/>
              </w:rPr>
              <w:t xml:space="preserve"> by-product species.</w:t>
            </w:r>
          </w:p>
        </w:tc>
        <w:tc>
          <w:tcPr>
            <w:tcW w:w="5386" w:type="dxa"/>
            <w:shd w:val="clear" w:color="auto" w:fill="auto"/>
          </w:tcPr>
          <w:p w:rsidR="00FC0839" w:rsidRPr="00FB524C" w:rsidRDefault="00FC0839" w:rsidP="009A7F91">
            <w:pPr>
              <w:spacing w:after="120" w:line="240" w:lineRule="auto"/>
              <w:rPr>
                <w:rFonts w:cs="Arial"/>
                <w:b/>
              </w:rPr>
            </w:pPr>
            <w:r w:rsidRPr="00FB524C">
              <w:rPr>
                <w:rFonts w:cs="Arial"/>
                <w:b/>
              </w:rPr>
              <w:t>Effective controls are in place to manage risks to all species, including by-product species.</w:t>
            </w:r>
          </w:p>
          <w:p w:rsidR="00791D18" w:rsidRPr="00FB524C" w:rsidRDefault="00791D18" w:rsidP="009A7F91">
            <w:pPr>
              <w:spacing w:after="120" w:line="240" w:lineRule="auto"/>
              <w:rPr>
                <w:rFonts w:cs="Arial"/>
              </w:rPr>
            </w:pPr>
            <w:r w:rsidRPr="00FB524C">
              <w:rPr>
                <w:rFonts w:cs="Arial"/>
              </w:rPr>
              <w:t xml:space="preserve">The CCAMLR </w:t>
            </w:r>
            <w:r w:rsidR="00456967" w:rsidRPr="00FB524C">
              <w:rPr>
                <w:rFonts w:cs="Arial"/>
              </w:rPr>
              <w:t>conservation measure</w:t>
            </w:r>
            <w:r w:rsidRPr="00FB524C">
              <w:rPr>
                <w:rFonts w:cs="Arial"/>
              </w:rPr>
              <w:t>s prescribe cat</w:t>
            </w:r>
            <w:r w:rsidR="00BD1D43">
              <w:rPr>
                <w:rFonts w:cs="Arial"/>
              </w:rPr>
              <w:t>ch limits for skates and rays (</w:t>
            </w:r>
            <w:proofErr w:type="spellStart"/>
            <w:r w:rsidR="00BD1D43">
              <w:rPr>
                <w:rFonts w:cs="Arial"/>
              </w:rPr>
              <w:t>R</w:t>
            </w:r>
            <w:r w:rsidRPr="00FB524C">
              <w:rPr>
                <w:rFonts w:cs="Arial"/>
              </w:rPr>
              <w:t>ajids</w:t>
            </w:r>
            <w:proofErr w:type="spellEnd"/>
            <w:r w:rsidRPr="00FB524C">
              <w:rPr>
                <w:rFonts w:cs="Arial"/>
              </w:rPr>
              <w:t>), grenadiers (</w:t>
            </w:r>
            <w:proofErr w:type="spellStart"/>
            <w:r w:rsidR="00BD1D43">
              <w:rPr>
                <w:rFonts w:cs="Arial"/>
              </w:rPr>
              <w:t>M</w:t>
            </w:r>
            <w:r w:rsidRPr="00FB524C">
              <w:rPr>
                <w:rFonts w:cs="Arial"/>
              </w:rPr>
              <w:t>acrourids</w:t>
            </w:r>
            <w:proofErr w:type="spellEnd"/>
            <w:r w:rsidRPr="00FB524C">
              <w:rPr>
                <w:rFonts w:cs="Arial"/>
              </w:rPr>
              <w:t>) as well as all other species encountered as bycatch.</w:t>
            </w:r>
          </w:p>
          <w:p w:rsidR="00791D18" w:rsidRPr="00FB524C" w:rsidRDefault="00791D18" w:rsidP="009A7F91">
            <w:pPr>
              <w:spacing w:after="120" w:line="240" w:lineRule="auto"/>
              <w:rPr>
                <w:rFonts w:cs="Arial"/>
              </w:rPr>
            </w:pPr>
            <w:r w:rsidRPr="00FB524C">
              <w:rPr>
                <w:rFonts w:cs="Arial"/>
              </w:rPr>
              <w:t xml:space="preserve">Fishing in Divisions 58.4.1 and 58.4.2 is also restricted to </w:t>
            </w:r>
            <w:proofErr w:type="spellStart"/>
            <w:r w:rsidRPr="00FB524C">
              <w:rPr>
                <w:rFonts w:cs="Arial"/>
              </w:rPr>
              <w:t>demersal</w:t>
            </w:r>
            <w:proofErr w:type="spellEnd"/>
            <w:r w:rsidRPr="00FB524C">
              <w:rPr>
                <w:rFonts w:cs="Arial"/>
              </w:rPr>
              <w:t xml:space="preserve"> </w:t>
            </w:r>
            <w:proofErr w:type="spellStart"/>
            <w:r w:rsidRPr="00FB524C">
              <w:rPr>
                <w:rFonts w:cs="Arial"/>
              </w:rPr>
              <w:t>longline</w:t>
            </w:r>
            <w:proofErr w:type="spellEnd"/>
            <w:r w:rsidRPr="00FB524C">
              <w:rPr>
                <w:rFonts w:cs="Arial"/>
              </w:rPr>
              <w:t xml:space="preserve"> methods in waters deeper than 550 m (</w:t>
            </w:r>
            <w:hyperlink r:id="rId84" w:history="1">
              <w:r w:rsidR="007235D0" w:rsidRPr="00FB524C">
                <w:rPr>
                  <w:rStyle w:val="Hyperlink"/>
                  <w:rFonts w:cs="Arial"/>
                </w:rPr>
                <w:t xml:space="preserve">CM </w:t>
              </w:r>
              <w:r w:rsidRPr="00FB524C">
                <w:rPr>
                  <w:rStyle w:val="Hyperlink"/>
                  <w:rFonts w:cs="Arial"/>
                </w:rPr>
                <w:t>22-08</w:t>
              </w:r>
            </w:hyperlink>
            <w:r w:rsidRPr="00FB524C">
              <w:rPr>
                <w:rFonts w:cs="Arial"/>
              </w:rPr>
              <w:t xml:space="preserve">) to minimise the potential impacts on juvenile </w:t>
            </w:r>
            <w:proofErr w:type="spellStart"/>
            <w:r w:rsidRPr="00FB524C">
              <w:rPr>
                <w:rFonts w:cs="Arial"/>
              </w:rPr>
              <w:t>toothfish</w:t>
            </w:r>
            <w:proofErr w:type="spellEnd"/>
            <w:r w:rsidRPr="00FB524C">
              <w:rPr>
                <w:rFonts w:cs="Arial"/>
              </w:rPr>
              <w:t xml:space="preserve"> and vulnerable marine ecosystems.</w:t>
            </w:r>
          </w:p>
          <w:p w:rsidR="00791D18" w:rsidRPr="00FB524C" w:rsidRDefault="00791D18" w:rsidP="009A7F91">
            <w:pPr>
              <w:spacing w:after="120" w:line="240" w:lineRule="auto"/>
              <w:rPr>
                <w:rFonts w:cs="Arial"/>
              </w:rPr>
            </w:pPr>
            <w:r w:rsidRPr="00FB524C">
              <w:rPr>
                <w:rFonts w:cs="Arial"/>
              </w:rPr>
              <w:t xml:space="preserve">Within each Division, catch limits are further subdivided </w:t>
            </w:r>
            <w:r w:rsidR="00DD5851" w:rsidRPr="00FB524C">
              <w:rPr>
                <w:rFonts w:cs="Arial"/>
              </w:rPr>
              <w:t>smaller areas</w:t>
            </w:r>
            <w:r w:rsidRPr="00FB524C">
              <w:rPr>
                <w:rFonts w:cs="Arial"/>
              </w:rPr>
              <w:t xml:space="preserve"> based on a proportion of the target species catch limit, or a defined amount (whichever is greater). These limits are prescribed in </w:t>
            </w:r>
            <w:hyperlink r:id="rId85" w:history="1">
              <w:r w:rsidR="007235D0" w:rsidRPr="00FB524C">
                <w:rPr>
                  <w:rStyle w:val="Hyperlink"/>
                  <w:rFonts w:cs="Arial"/>
                </w:rPr>
                <w:t>CM 3</w:t>
              </w:r>
              <w:r w:rsidRPr="00FB524C">
                <w:rPr>
                  <w:rStyle w:val="Hyperlink"/>
                  <w:rFonts w:cs="Arial"/>
                </w:rPr>
                <w:t>3-03</w:t>
              </w:r>
            </w:hyperlink>
            <w:r w:rsidRPr="00FB524C">
              <w:rPr>
                <w:rFonts w:cs="Arial"/>
              </w:rPr>
              <w:t>. Triggers exist to minimise interaction rates (e.g. move-on provisions if catches of any one species reach one tonne in a single haul, and closures where catches reach defined levels).</w:t>
            </w:r>
          </w:p>
        </w:tc>
      </w:tr>
      <w:tr w:rsidR="00791D18" w:rsidRPr="007F1C9E" w:rsidTr="00EE3DFC">
        <w:trPr>
          <w:cantSplit/>
        </w:trPr>
        <w:tc>
          <w:tcPr>
            <w:tcW w:w="14283" w:type="dxa"/>
            <w:gridSpan w:val="5"/>
            <w:shd w:val="clear" w:color="auto" w:fill="DAEEF3"/>
            <w:vAlign w:val="center"/>
          </w:tcPr>
          <w:p w:rsidR="00791D18" w:rsidRPr="007F1C9E" w:rsidRDefault="00791D18" w:rsidP="007F1C9E">
            <w:pPr>
              <w:spacing w:after="120" w:line="240" w:lineRule="auto"/>
              <w:rPr>
                <w:rFonts w:cs="Arial"/>
                <w:sz w:val="20"/>
                <w:szCs w:val="20"/>
              </w:rPr>
            </w:pPr>
            <w:r w:rsidRPr="007F1C9E">
              <w:rPr>
                <w:rFonts w:cs="Arial"/>
                <w:sz w:val="20"/>
                <w:szCs w:val="20"/>
              </w:rPr>
              <w:t xml:space="preserve">(Guidelines 1.1.1 to 1.1.7 should be applied to by-product species to an appropriate level) </w:t>
            </w:r>
          </w:p>
        </w:tc>
      </w:tr>
      <w:tr w:rsidR="00791D18" w:rsidRPr="00FB524C" w:rsidTr="00EE3DFC">
        <w:trPr>
          <w:cantSplit/>
        </w:trPr>
        <w:tc>
          <w:tcPr>
            <w:tcW w:w="4219" w:type="dxa"/>
          </w:tcPr>
          <w:p w:rsidR="00791D18" w:rsidRPr="00FB524C" w:rsidRDefault="00791D18" w:rsidP="009A7F91">
            <w:pPr>
              <w:autoSpaceDE w:val="0"/>
              <w:autoSpaceDN w:val="0"/>
              <w:adjustRightInd w:val="0"/>
              <w:spacing w:after="120" w:line="240" w:lineRule="auto"/>
              <w:rPr>
                <w:rFonts w:cs="Arial"/>
              </w:rPr>
            </w:pPr>
            <w:r w:rsidRPr="00FB524C">
              <w:rPr>
                <w:rFonts w:cs="Arial"/>
                <w:b/>
                <w:bCs/>
                <w:i/>
                <w:iCs/>
              </w:rPr>
              <w:t xml:space="preserve">1.1.9 </w:t>
            </w:r>
            <w:r w:rsidRPr="00FB524C">
              <w:rPr>
                <w:rFonts w:cs="Arial"/>
              </w:rPr>
              <w:t>The management response, considering uncertainties in the assessment and precautionary management actions, has a high chance of achieving the objective.</w:t>
            </w:r>
          </w:p>
        </w:tc>
        <w:tc>
          <w:tcPr>
            <w:tcW w:w="1559" w:type="dxa"/>
            <w:shd w:val="clear" w:color="auto" w:fill="92D050"/>
          </w:tcPr>
          <w:p w:rsidR="00791D18" w:rsidRPr="00FB524C" w:rsidRDefault="00791D18" w:rsidP="009A7F91">
            <w:pPr>
              <w:spacing w:after="120" w:line="240" w:lineRule="auto"/>
              <w:rPr>
                <w:rFonts w:cs="Arial"/>
              </w:rPr>
            </w:pPr>
            <w:r w:rsidRPr="00FB524C">
              <w:rPr>
                <w:rFonts w:cs="Arial"/>
              </w:rPr>
              <w:t>No outcome required.</w:t>
            </w:r>
          </w:p>
        </w:tc>
        <w:tc>
          <w:tcPr>
            <w:tcW w:w="1560" w:type="dxa"/>
            <w:shd w:val="clear" w:color="auto" w:fill="auto"/>
          </w:tcPr>
          <w:p w:rsidR="00791D18" w:rsidRPr="00FB524C" w:rsidRDefault="00791D18" w:rsidP="009A7F91">
            <w:pPr>
              <w:spacing w:after="120" w:line="240" w:lineRule="auto"/>
              <w:rPr>
                <w:rFonts w:cs="Arial"/>
              </w:rPr>
            </w:pPr>
            <w:r w:rsidRPr="00FB524C">
              <w:rPr>
                <w:rFonts w:cs="Arial"/>
              </w:rPr>
              <w:t>No outcome required.</w:t>
            </w:r>
          </w:p>
        </w:tc>
        <w:tc>
          <w:tcPr>
            <w:tcW w:w="1559" w:type="dxa"/>
            <w:shd w:val="clear" w:color="auto" w:fill="auto"/>
          </w:tcPr>
          <w:p w:rsidR="00791D18" w:rsidRPr="00FB524C" w:rsidRDefault="00791D18" w:rsidP="009A7F91">
            <w:pPr>
              <w:spacing w:after="120" w:line="240" w:lineRule="auto"/>
              <w:rPr>
                <w:rFonts w:cs="Arial"/>
              </w:rPr>
            </w:pPr>
            <w:r w:rsidRPr="00FB524C">
              <w:rPr>
                <w:rFonts w:cs="Arial"/>
              </w:rPr>
              <w:t>No outcome required.</w:t>
            </w:r>
          </w:p>
        </w:tc>
        <w:tc>
          <w:tcPr>
            <w:tcW w:w="5386" w:type="dxa"/>
            <w:shd w:val="clear" w:color="auto" w:fill="auto"/>
          </w:tcPr>
          <w:p w:rsidR="00FC0839" w:rsidRPr="00FB524C" w:rsidRDefault="00FC0839" w:rsidP="009A7F91">
            <w:pPr>
              <w:spacing w:after="120" w:line="240" w:lineRule="auto"/>
              <w:rPr>
                <w:rFonts w:cs="Arial"/>
                <w:b/>
              </w:rPr>
            </w:pPr>
            <w:r w:rsidRPr="00FB524C">
              <w:rPr>
                <w:rFonts w:cs="Arial"/>
                <w:b/>
              </w:rPr>
              <w:t>Effective controls are in place to manage risks to all species, including by-product species.</w:t>
            </w:r>
          </w:p>
          <w:p w:rsidR="00791D18" w:rsidRPr="00FB524C" w:rsidRDefault="00791D18" w:rsidP="009A7F91">
            <w:pPr>
              <w:spacing w:after="120" w:line="240" w:lineRule="auto"/>
              <w:rPr>
                <w:rFonts w:cs="Arial"/>
              </w:rPr>
            </w:pPr>
            <w:r w:rsidRPr="00FB524C">
              <w:rPr>
                <w:rFonts w:cs="Arial"/>
              </w:rPr>
              <w:t>Management arrangements are precautionary and designed to improve understanding of the fisher</w:t>
            </w:r>
            <w:r w:rsidR="004B734E" w:rsidRPr="00FB524C">
              <w:rPr>
                <w:rFonts w:cs="Arial"/>
              </w:rPr>
              <w:t>ies</w:t>
            </w:r>
            <w:r w:rsidRPr="00FB524C">
              <w:rPr>
                <w:rFonts w:cs="Arial"/>
              </w:rPr>
              <w:t>. There is regular monitoring and assessment of management performance as well as opportunity for revision where necessary. No further requirements have been identified at this time.</w:t>
            </w:r>
          </w:p>
        </w:tc>
      </w:tr>
      <w:tr w:rsidR="00791D18" w:rsidRPr="007F1C9E" w:rsidTr="00EE3DFC">
        <w:trPr>
          <w:cantSplit/>
        </w:trPr>
        <w:tc>
          <w:tcPr>
            <w:tcW w:w="14283" w:type="dxa"/>
            <w:gridSpan w:val="5"/>
            <w:shd w:val="clear" w:color="auto" w:fill="DAEEF3"/>
          </w:tcPr>
          <w:p w:rsidR="00791D18" w:rsidRPr="007F1C9E" w:rsidRDefault="00791D18" w:rsidP="00FC0839">
            <w:pPr>
              <w:spacing w:after="0" w:line="240" w:lineRule="auto"/>
              <w:rPr>
                <w:rFonts w:cs="Arial"/>
                <w:b/>
                <w:bCs/>
                <w:sz w:val="20"/>
                <w:szCs w:val="20"/>
              </w:rPr>
            </w:pPr>
            <w:r w:rsidRPr="007F1C9E">
              <w:rPr>
                <w:rFonts w:cs="Arial"/>
                <w:b/>
                <w:bCs/>
                <w:sz w:val="20"/>
                <w:szCs w:val="20"/>
              </w:rPr>
              <w:t>If overfished, go to Objective 2:</w:t>
            </w:r>
          </w:p>
          <w:p w:rsidR="00791D18" w:rsidRPr="007F1C9E" w:rsidRDefault="00791D18" w:rsidP="00FC0839">
            <w:pPr>
              <w:spacing w:after="0" w:line="240" w:lineRule="auto"/>
              <w:rPr>
                <w:rFonts w:cs="Arial"/>
                <w:b/>
                <w:bCs/>
                <w:sz w:val="20"/>
                <w:szCs w:val="20"/>
              </w:rPr>
            </w:pPr>
            <w:r w:rsidRPr="007F1C9E">
              <w:rPr>
                <w:rFonts w:cs="Arial"/>
                <w:b/>
                <w:bCs/>
                <w:sz w:val="20"/>
                <w:szCs w:val="20"/>
              </w:rPr>
              <w:t>If not overfished, go to PRINCIPLE 2:</w:t>
            </w:r>
          </w:p>
        </w:tc>
      </w:tr>
      <w:tr w:rsidR="00791D18" w:rsidRPr="007F1C9E" w:rsidTr="00EE3DFC">
        <w:trPr>
          <w:cantSplit/>
        </w:trPr>
        <w:tc>
          <w:tcPr>
            <w:tcW w:w="14283" w:type="dxa"/>
            <w:gridSpan w:val="5"/>
            <w:shd w:val="clear" w:color="auto" w:fill="B6DDE8"/>
          </w:tcPr>
          <w:p w:rsidR="00791D18" w:rsidRPr="007F1C9E" w:rsidRDefault="00791D18" w:rsidP="00FC0839">
            <w:pPr>
              <w:spacing w:after="0" w:line="240" w:lineRule="auto"/>
              <w:rPr>
                <w:rFonts w:cs="Arial"/>
                <w:b/>
                <w:bCs/>
                <w:sz w:val="20"/>
                <w:szCs w:val="20"/>
              </w:rPr>
            </w:pPr>
            <w:r w:rsidRPr="007F1C9E">
              <w:rPr>
                <w:rFonts w:cs="Arial"/>
                <w:b/>
                <w:bCs/>
                <w:sz w:val="20"/>
                <w:szCs w:val="20"/>
              </w:rPr>
              <w:t xml:space="preserve">Objective 2 - </w:t>
            </w:r>
            <w:r w:rsidRPr="007F1C9E">
              <w:rPr>
                <w:rFonts w:cs="Arial"/>
                <w:sz w:val="20"/>
                <w:szCs w:val="20"/>
              </w:rPr>
              <w:t xml:space="preserve">Where the fished stock(s) are below a defined reference point, the fishery will be managed to promote recovery to ecologically viable stock levels within nominated timeframes. </w:t>
            </w:r>
          </w:p>
        </w:tc>
      </w:tr>
      <w:tr w:rsidR="00791D18" w:rsidRPr="007F1C9E" w:rsidTr="00EE3DFC">
        <w:trPr>
          <w:cantSplit/>
        </w:trPr>
        <w:tc>
          <w:tcPr>
            <w:tcW w:w="14283" w:type="dxa"/>
            <w:gridSpan w:val="5"/>
            <w:shd w:val="clear" w:color="auto" w:fill="DAEEF3"/>
          </w:tcPr>
          <w:p w:rsidR="00791D18" w:rsidRPr="007F1C9E" w:rsidRDefault="00791D18" w:rsidP="00FC0839">
            <w:pPr>
              <w:spacing w:after="0" w:line="240" w:lineRule="auto"/>
              <w:rPr>
                <w:rFonts w:cs="Arial"/>
                <w:b/>
                <w:bCs/>
                <w:i/>
                <w:iCs/>
                <w:sz w:val="20"/>
                <w:szCs w:val="20"/>
              </w:rPr>
            </w:pPr>
            <w:r w:rsidRPr="007F1C9E">
              <w:rPr>
                <w:rFonts w:cs="Arial"/>
                <w:b/>
                <w:bCs/>
                <w:i/>
                <w:iCs/>
                <w:sz w:val="20"/>
                <w:szCs w:val="20"/>
              </w:rPr>
              <w:t xml:space="preserve">Management responses </w:t>
            </w:r>
          </w:p>
        </w:tc>
      </w:tr>
      <w:tr w:rsidR="00791D18" w:rsidRPr="00FB524C" w:rsidTr="00EE3DFC">
        <w:trPr>
          <w:cantSplit/>
        </w:trPr>
        <w:tc>
          <w:tcPr>
            <w:tcW w:w="4219" w:type="dxa"/>
            <w:tcBorders>
              <w:bottom w:val="single" w:sz="4" w:space="0" w:color="auto"/>
            </w:tcBorders>
          </w:tcPr>
          <w:p w:rsidR="00791D18" w:rsidRPr="00FB524C" w:rsidRDefault="00791D18" w:rsidP="009A7F91">
            <w:pPr>
              <w:spacing w:after="120" w:line="240" w:lineRule="auto"/>
              <w:rPr>
                <w:rFonts w:cs="Arial"/>
              </w:rPr>
            </w:pPr>
            <w:r w:rsidRPr="00FB524C">
              <w:rPr>
                <w:rFonts w:cs="Arial"/>
                <w:b/>
                <w:bCs/>
                <w:i/>
                <w:iCs/>
              </w:rPr>
              <w:t xml:space="preserve">1.2.1 </w:t>
            </w:r>
            <w:r w:rsidRPr="00FB524C">
              <w:rPr>
                <w:rFonts w:cs="Arial"/>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tc>
        <w:tc>
          <w:tcPr>
            <w:tcW w:w="1559" w:type="dxa"/>
            <w:tcBorders>
              <w:bottom w:val="single" w:sz="4" w:space="0" w:color="auto"/>
            </w:tcBorders>
            <w:shd w:val="clear" w:color="auto" w:fill="auto"/>
          </w:tcPr>
          <w:p w:rsidR="00791D18" w:rsidRPr="00FB524C" w:rsidRDefault="00791D18" w:rsidP="009A7F91">
            <w:pPr>
              <w:spacing w:after="120" w:line="240" w:lineRule="auto"/>
              <w:rPr>
                <w:rFonts w:cs="Arial"/>
              </w:rPr>
            </w:pPr>
            <w:r w:rsidRPr="00FB524C">
              <w:rPr>
                <w:rFonts w:cs="Arial"/>
              </w:rPr>
              <w:t>Precautionary recovery strategy in place.</w:t>
            </w:r>
          </w:p>
        </w:tc>
        <w:tc>
          <w:tcPr>
            <w:tcW w:w="1560" w:type="dxa"/>
            <w:tcBorders>
              <w:bottom w:val="single" w:sz="4" w:space="0" w:color="auto"/>
            </w:tcBorders>
            <w:shd w:val="clear" w:color="auto" w:fill="FFC000"/>
          </w:tcPr>
          <w:p w:rsidR="00791D18" w:rsidRPr="00FB524C" w:rsidRDefault="00791D18" w:rsidP="009A7F91">
            <w:pPr>
              <w:spacing w:after="120" w:line="240" w:lineRule="auto"/>
              <w:rPr>
                <w:rFonts w:cs="Arial"/>
              </w:rPr>
            </w:pPr>
            <w:r w:rsidRPr="00FB524C">
              <w:rPr>
                <w:rFonts w:cs="Arial"/>
              </w:rPr>
              <w:t xml:space="preserve">Recovery strategy being developed, but not yet in place.  </w:t>
            </w:r>
          </w:p>
        </w:tc>
        <w:tc>
          <w:tcPr>
            <w:tcW w:w="1559" w:type="dxa"/>
            <w:tcBorders>
              <w:bottom w:val="single" w:sz="4" w:space="0" w:color="auto"/>
            </w:tcBorders>
            <w:shd w:val="clear" w:color="auto" w:fill="auto"/>
          </w:tcPr>
          <w:p w:rsidR="00791D18" w:rsidRPr="00FB524C" w:rsidRDefault="00791D18" w:rsidP="009A7F91">
            <w:pPr>
              <w:spacing w:after="120" w:line="240" w:lineRule="auto"/>
              <w:rPr>
                <w:rFonts w:cs="Arial"/>
              </w:rPr>
            </w:pPr>
            <w:r w:rsidRPr="00FB524C">
              <w:rPr>
                <w:rFonts w:cs="Arial"/>
              </w:rPr>
              <w:t xml:space="preserve">No recovery strategy under development or in place. </w:t>
            </w:r>
          </w:p>
        </w:tc>
        <w:tc>
          <w:tcPr>
            <w:tcW w:w="5386" w:type="dxa"/>
            <w:tcBorders>
              <w:bottom w:val="single" w:sz="4" w:space="0" w:color="auto"/>
            </w:tcBorders>
            <w:shd w:val="clear" w:color="auto" w:fill="auto"/>
          </w:tcPr>
          <w:p w:rsidR="00FC0839" w:rsidRPr="00FB524C" w:rsidRDefault="00D21C36" w:rsidP="009A7F91">
            <w:pPr>
              <w:spacing w:after="120" w:line="240" w:lineRule="auto"/>
              <w:rPr>
                <w:rFonts w:cs="Arial"/>
                <w:b/>
              </w:rPr>
            </w:pPr>
            <w:r w:rsidRPr="00FB524C">
              <w:rPr>
                <w:rFonts w:cs="Arial"/>
                <w:b/>
              </w:rPr>
              <w:t>Stock status is unclear but management is precautionary and designed to reduce this uncertainty.</w:t>
            </w:r>
          </w:p>
          <w:p w:rsidR="00791D18" w:rsidRPr="00FB524C" w:rsidRDefault="00791D18" w:rsidP="009A7F91">
            <w:pPr>
              <w:spacing w:after="120" w:line="240" w:lineRule="auto"/>
              <w:rPr>
                <w:rFonts w:cs="Arial"/>
              </w:rPr>
            </w:pPr>
            <w:r w:rsidRPr="00FB524C">
              <w:rPr>
                <w:rFonts w:cs="Arial"/>
              </w:rPr>
              <w:t xml:space="preserve">Stocks in Divisions 58.4.1 and 58.4.2 were classified as overfished and subject to overfishing from 2009 until they were removed from annual Australian Government </w:t>
            </w:r>
            <w:hyperlink r:id="rId86" w:history="1">
              <w:r w:rsidRPr="00FB524C">
                <w:rPr>
                  <w:rStyle w:val="Hyperlink"/>
                  <w:rFonts w:cs="Arial"/>
                </w:rPr>
                <w:t>Fishery Status Reports in 2012</w:t>
              </w:r>
            </w:hyperlink>
            <w:r w:rsidRPr="00FB524C">
              <w:rPr>
                <w:rFonts w:cs="Arial"/>
              </w:rPr>
              <w:t xml:space="preserve">. This was because Australia had not commercially fished these divisions since 2005, had no future intention to do so at that time, and because the total Australian catch (including research catch) since 1990 had been comparatively small (149 t). </w:t>
            </w:r>
          </w:p>
          <w:p w:rsidR="00791D18" w:rsidRPr="00FB524C" w:rsidRDefault="00B50404" w:rsidP="009A7F91">
            <w:pPr>
              <w:spacing w:after="120" w:line="240" w:lineRule="auto"/>
              <w:rPr>
                <w:rFonts w:cs="Arial"/>
              </w:rPr>
            </w:pPr>
            <w:r w:rsidRPr="00FB524C">
              <w:rPr>
                <w:rFonts w:cs="Arial"/>
              </w:rPr>
              <w:t>IUU</w:t>
            </w:r>
            <w:r w:rsidR="00791D18" w:rsidRPr="00FB524C">
              <w:rPr>
                <w:rFonts w:cs="Arial"/>
              </w:rPr>
              <w:t xml:space="preserve"> fishing was the likely cause of the initial depletion, and in 2012, these catches were expected to continue to exceed the CCAMLR catch limits.</w:t>
            </w:r>
          </w:p>
          <w:p w:rsidR="00791D18" w:rsidRPr="00FB524C" w:rsidRDefault="00791D18" w:rsidP="009A7F91">
            <w:pPr>
              <w:spacing w:after="120" w:line="240" w:lineRule="auto"/>
              <w:rPr>
                <w:rFonts w:cs="Arial"/>
              </w:rPr>
            </w:pPr>
            <w:r w:rsidRPr="00FB524C">
              <w:rPr>
                <w:rFonts w:cs="Arial"/>
              </w:rPr>
              <w:t>Information on stocks remains limited and management arrangements are considered to be precautionary and are designed to improve understanding of the fisher</w:t>
            </w:r>
            <w:r w:rsidR="004B734E" w:rsidRPr="00FB524C">
              <w:rPr>
                <w:rFonts w:cs="Arial"/>
              </w:rPr>
              <w:t>ies</w:t>
            </w:r>
            <w:r w:rsidRPr="00FB524C">
              <w:rPr>
                <w:rFonts w:cs="Arial"/>
              </w:rPr>
              <w:t>.</w:t>
            </w:r>
          </w:p>
        </w:tc>
      </w:tr>
      <w:tr w:rsidR="00791D18" w:rsidRPr="00FB524C" w:rsidTr="00C64FE1">
        <w:trPr>
          <w:cantSplit/>
        </w:trPr>
        <w:tc>
          <w:tcPr>
            <w:tcW w:w="4219" w:type="dxa"/>
            <w:tcBorders>
              <w:bottom w:val="single" w:sz="4" w:space="0" w:color="auto"/>
            </w:tcBorders>
          </w:tcPr>
          <w:p w:rsidR="00791D18" w:rsidRPr="00FB524C" w:rsidRDefault="00791D18" w:rsidP="009A7F91">
            <w:pPr>
              <w:spacing w:after="120" w:line="240" w:lineRule="auto"/>
              <w:rPr>
                <w:rFonts w:cs="Arial"/>
              </w:rPr>
            </w:pPr>
            <w:r w:rsidRPr="00FB524C">
              <w:rPr>
                <w:rFonts w:cs="Arial"/>
                <w:b/>
                <w:bCs/>
                <w:i/>
                <w:iCs/>
              </w:rPr>
              <w:t xml:space="preserve">1.2.2 </w:t>
            </w:r>
            <w:r w:rsidRPr="00FB524C">
              <w:rPr>
                <w:rFonts w:cs="Arial"/>
              </w:rPr>
              <w:t>If the stock is estimated as being at or below the biological and / or effort bottom line, management responses such as a zero targeted catch, temporary fishery closure or a ‘whole of fishery’ effort or quota reduction are implemented.</w:t>
            </w:r>
          </w:p>
        </w:tc>
        <w:tc>
          <w:tcPr>
            <w:tcW w:w="1559" w:type="dxa"/>
            <w:tcBorders>
              <w:bottom w:val="single" w:sz="4" w:space="0" w:color="auto"/>
            </w:tcBorders>
            <w:shd w:val="clear" w:color="auto" w:fill="92D050"/>
          </w:tcPr>
          <w:p w:rsidR="00791D18" w:rsidRPr="00FB524C" w:rsidRDefault="00791D18" w:rsidP="009A7F91">
            <w:pPr>
              <w:spacing w:after="120" w:line="240" w:lineRule="auto"/>
              <w:rPr>
                <w:rFonts w:cs="Arial"/>
              </w:rPr>
            </w:pPr>
            <w:r w:rsidRPr="00FB524C">
              <w:rPr>
                <w:rFonts w:cs="Arial"/>
              </w:rPr>
              <w:t>Adequate management responses have been implemented.</w:t>
            </w:r>
          </w:p>
        </w:tc>
        <w:tc>
          <w:tcPr>
            <w:tcW w:w="1560" w:type="dxa"/>
            <w:tcBorders>
              <w:bottom w:val="single" w:sz="4" w:space="0" w:color="auto"/>
            </w:tcBorders>
            <w:shd w:val="clear" w:color="auto" w:fill="auto"/>
          </w:tcPr>
          <w:p w:rsidR="00791D18" w:rsidRPr="00FB524C" w:rsidRDefault="00791D18" w:rsidP="009A7F91">
            <w:pPr>
              <w:spacing w:after="120" w:line="240" w:lineRule="auto"/>
              <w:rPr>
                <w:rFonts w:cs="Arial"/>
              </w:rPr>
            </w:pPr>
            <w:r w:rsidRPr="00FB524C">
              <w:rPr>
                <w:rFonts w:cs="Arial"/>
              </w:rPr>
              <w:t>Management responses have been implemented but are incomplete or in adequate.</w:t>
            </w:r>
          </w:p>
        </w:tc>
        <w:tc>
          <w:tcPr>
            <w:tcW w:w="1559" w:type="dxa"/>
            <w:tcBorders>
              <w:bottom w:val="single" w:sz="4" w:space="0" w:color="auto"/>
            </w:tcBorders>
            <w:shd w:val="clear" w:color="auto" w:fill="auto"/>
          </w:tcPr>
          <w:p w:rsidR="00791D18" w:rsidRPr="00FB524C" w:rsidRDefault="00791D18" w:rsidP="009A7F91">
            <w:pPr>
              <w:spacing w:after="120" w:line="240" w:lineRule="auto"/>
              <w:rPr>
                <w:rFonts w:cs="Arial"/>
              </w:rPr>
            </w:pPr>
            <w:r w:rsidRPr="00FB524C">
              <w:rPr>
                <w:rFonts w:cs="Arial"/>
              </w:rPr>
              <w:t>No management responses in place.</w:t>
            </w:r>
          </w:p>
        </w:tc>
        <w:tc>
          <w:tcPr>
            <w:tcW w:w="5386" w:type="dxa"/>
            <w:tcBorders>
              <w:bottom w:val="single" w:sz="4" w:space="0" w:color="auto"/>
            </w:tcBorders>
            <w:shd w:val="clear" w:color="auto" w:fill="auto"/>
          </w:tcPr>
          <w:p w:rsidR="00D21C36" w:rsidRPr="00FB524C" w:rsidRDefault="00D21C36" w:rsidP="009A7F91">
            <w:pPr>
              <w:spacing w:after="120" w:line="240" w:lineRule="auto"/>
              <w:rPr>
                <w:rFonts w:cs="Arial"/>
                <w:b/>
              </w:rPr>
            </w:pPr>
            <w:r w:rsidRPr="00FB524C">
              <w:rPr>
                <w:rFonts w:cs="Arial"/>
                <w:b/>
              </w:rPr>
              <w:t>Stock status is unclear but management is precautionary and designed to reduce this uncertainty.</w:t>
            </w:r>
          </w:p>
          <w:p w:rsidR="00791D18" w:rsidRPr="00FB524C" w:rsidRDefault="00791D18" w:rsidP="009A7F91">
            <w:pPr>
              <w:spacing w:after="120" w:line="240" w:lineRule="auto"/>
              <w:rPr>
                <w:rFonts w:cs="Arial"/>
              </w:rPr>
            </w:pPr>
            <w:r w:rsidRPr="00FB524C">
              <w:rPr>
                <w:rFonts w:cs="Arial"/>
              </w:rPr>
              <w:t>Although information on stocks is limited CCAMLR does not consider them to be below the limit reference point. Management arrangements are precautionary and designed to improve understanding of the fisher</w:t>
            </w:r>
            <w:r w:rsidR="004B734E" w:rsidRPr="00FB524C">
              <w:rPr>
                <w:rFonts w:cs="Arial"/>
              </w:rPr>
              <w:t>ies</w:t>
            </w:r>
            <w:r w:rsidRPr="00FB524C">
              <w:rPr>
                <w:rFonts w:cs="Arial"/>
              </w:rPr>
              <w:t>.</w:t>
            </w:r>
          </w:p>
        </w:tc>
      </w:tr>
    </w:tbl>
    <w:p w:rsidR="002857B8" w:rsidRDefault="002857B8">
      <w:pPr>
        <w:spacing w:after="60" w:line="240" w:lineRule="auto"/>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19"/>
        <w:gridCol w:w="1559"/>
        <w:gridCol w:w="1560"/>
        <w:gridCol w:w="1559"/>
        <w:gridCol w:w="5386"/>
      </w:tblGrid>
      <w:tr w:rsidR="00791D18" w:rsidRPr="008522A3" w:rsidTr="00381936">
        <w:tc>
          <w:tcPr>
            <w:tcW w:w="14283" w:type="dxa"/>
            <w:gridSpan w:val="5"/>
            <w:tcBorders>
              <w:top w:val="single" w:sz="4" w:space="0" w:color="auto"/>
            </w:tcBorders>
            <w:shd w:val="clear" w:color="auto" w:fill="B2A1C7"/>
          </w:tcPr>
          <w:p w:rsidR="00791D18" w:rsidRPr="008522A3" w:rsidRDefault="00791D18" w:rsidP="00D21C36">
            <w:pPr>
              <w:autoSpaceDE w:val="0"/>
              <w:autoSpaceDN w:val="0"/>
              <w:adjustRightInd w:val="0"/>
              <w:spacing w:after="0" w:line="240" w:lineRule="auto"/>
              <w:rPr>
                <w:rFonts w:cs="Arial"/>
              </w:rPr>
            </w:pPr>
            <w:r w:rsidRPr="008522A3">
              <w:rPr>
                <w:rFonts w:cs="Arial"/>
                <w:b/>
                <w:bCs/>
              </w:rPr>
              <w:t xml:space="preserve">PRINCIPLE 2 - </w:t>
            </w:r>
            <w:r w:rsidRPr="008522A3">
              <w:rPr>
                <w:rFonts w:cs="Arial"/>
              </w:rPr>
              <w:t>Fishing operations should be managed to minimise their impact on the structure, productivity, function and biological diversity of the ecosystem.</w:t>
            </w:r>
          </w:p>
        </w:tc>
      </w:tr>
      <w:tr w:rsidR="00791D18" w:rsidRPr="008522A3" w:rsidTr="00381936">
        <w:tc>
          <w:tcPr>
            <w:tcW w:w="14283" w:type="dxa"/>
            <w:gridSpan w:val="5"/>
            <w:shd w:val="clear" w:color="auto" w:fill="CCC0D9"/>
          </w:tcPr>
          <w:p w:rsidR="00791D18" w:rsidRPr="008522A3" w:rsidRDefault="00791D18" w:rsidP="00D21C36">
            <w:pPr>
              <w:autoSpaceDE w:val="0"/>
              <w:autoSpaceDN w:val="0"/>
              <w:adjustRightInd w:val="0"/>
              <w:spacing w:after="0" w:line="240" w:lineRule="auto"/>
              <w:rPr>
                <w:rFonts w:cs="Arial"/>
              </w:rPr>
            </w:pPr>
            <w:r w:rsidRPr="008522A3">
              <w:rPr>
                <w:rFonts w:cs="Arial"/>
                <w:b/>
                <w:bCs/>
              </w:rPr>
              <w:t xml:space="preserve">Objective 1 - </w:t>
            </w:r>
            <w:r w:rsidRPr="008522A3">
              <w:rPr>
                <w:rFonts w:cs="Arial"/>
              </w:rPr>
              <w:t>The fishery is conducted in a manner that does not threaten bycatch species.</w:t>
            </w:r>
          </w:p>
        </w:tc>
      </w:tr>
      <w:tr w:rsidR="00791D18" w:rsidRPr="008522A3" w:rsidTr="00381936">
        <w:tc>
          <w:tcPr>
            <w:tcW w:w="14283" w:type="dxa"/>
            <w:gridSpan w:val="5"/>
            <w:shd w:val="clear" w:color="auto" w:fill="E5DFEC"/>
          </w:tcPr>
          <w:p w:rsidR="00791D18" w:rsidRPr="008522A3" w:rsidRDefault="00791D18" w:rsidP="00D21C36">
            <w:pPr>
              <w:spacing w:after="0" w:line="240" w:lineRule="auto"/>
              <w:rPr>
                <w:rFonts w:cs="Arial"/>
                <w:b/>
                <w:bCs/>
                <w:i/>
                <w:iCs/>
              </w:rPr>
            </w:pPr>
            <w:r w:rsidRPr="008522A3">
              <w:rPr>
                <w:rFonts w:cs="Arial"/>
                <w:b/>
                <w:bCs/>
                <w:i/>
                <w:iCs/>
              </w:rPr>
              <w:t>Information requirements</w:t>
            </w:r>
          </w:p>
        </w:tc>
      </w:tr>
      <w:tr w:rsidR="00791D18" w:rsidRPr="00FB524C" w:rsidTr="00EA7243">
        <w:tc>
          <w:tcPr>
            <w:tcW w:w="4219" w:type="dxa"/>
          </w:tcPr>
          <w:p w:rsidR="00791D18" w:rsidRPr="00FB524C" w:rsidRDefault="00791D18" w:rsidP="009A7F91">
            <w:pPr>
              <w:autoSpaceDE w:val="0"/>
              <w:autoSpaceDN w:val="0"/>
              <w:adjustRightInd w:val="0"/>
              <w:spacing w:after="120" w:line="240" w:lineRule="auto"/>
              <w:rPr>
                <w:rFonts w:cs="Arial"/>
              </w:rPr>
            </w:pPr>
            <w:r w:rsidRPr="00FB524C">
              <w:rPr>
                <w:rFonts w:cs="Arial"/>
                <w:b/>
                <w:bCs/>
                <w:i/>
                <w:iCs/>
              </w:rPr>
              <w:t xml:space="preserve">2.1.1 </w:t>
            </w:r>
            <w:r w:rsidRPr="00FB524C">
              <w:rPr>
                <w:rFonts w:cs="Arial"/>
              </w:rPr>
              <w:t>Reliable information, appropriate to the scale of the fishery, is collected on the composition and abundance of bycatch.</w:t>
            </w:r>
          </w:p>
        </w:tc>
        <w:tc>
          <w:tcPr>
            <w:tcW w:w="1559" w:type="dxa"/>
            <w:shd w:val="clear" w:color="auto" w:fill="92D050"/>
          </w:tcPr>
          <w:p w:rsidR="00791D18" w:rsidRPr="00FB524C" w:rsidRDefault="00791D18" w:rsidP="009A7F91">
            <w:pPr>
              <w:spacing w:after="120" w:line="240" w:lineRule="auto"/>
              <w:rPr>
                <w:rFonts w:cs="Arial"/>
              </w:rPr>
            </w:pPr>
            <w:r w:rsidRPr="00FB524C">
              <w:rPr>
                <w:rFonts w:cs="Arial"/>
              </w:rPr>
              <w:t>Up-to-date logbooks and reliable records of bycatch capture.</w:t>
            </w:r>
          </w:p>
        </w:tc>
        <w:tc>
          <w:tcPr>
            <w:tcW w:w="1560" w:type="dxa"/>
            <w:shd w:val="clear" w:color="auto" w:fill="auto"/>
          </w:tcPr>
          <w:p w:rsidR="00791D18" w:rsidRPr="00FB524C" w:rsidRDefault="00791D18" w:rsidP="009A7F91">
            <w:pPr>
              <w:spacing w:after="120" w:line="240" w:lineRule="auto"/>
              <w:rPr>
                <w:rFonts w:cs="Arial"/>
              </w:rPr>
            </w:pPr>
            <w:r w:rsidRPr="00FB524C">
              <w:rPr>
                <w:rFonts w:cs="Arial"/>
              </w:rPr>
              <w:t>Log books available but data is incomplete or inadequate.</w:t>
            </w:r>
          </w:p>
        </w:tc>
        <w:tc>
          <w:tcPr>
            <w:tcW w:w="1559" w:type="dxa"/>
            <w:shd w:val="clear" w:color="auto" w:fill="auto"/>
          </w:tcPr>
          <w:p w:rsidR="00791D18" w:rsidRPr="00FB524C" w:rsidRDefault="00791D18" w:rsidP="009A7F91">
            <w:pPr>
              <w:spacing w:after="120" w:line="240" w:lineRule="auto"/>
              <w:rPr>
                <w:rFonts w:cs="Arial"/>
              </w:rPr>
            </w:pPr>
            <w:r w:rsidRPr="00FB524C">
              <w:rPr>
                <w:rFonts w:cs="Arial"/>
              </w:rPr>
              <w:t>No log books or log books not up-to-date.</w:t>
            </w:r>
          </w:p>
        </w:tc>
        <w:tc>
          <w:tcPr>
            <w:tcW w:w="5386" w:type="dxa"/>
            <w:shd w:val="clear" w:color="auto" w:fill="auto"/>
          </w:tcPr>
          <w:p w:rsidR="00D21C36" w:rsidRPr="00FB524C" w:rsidRDefault="00D21C36" w:rsidP="009A7F91">
            <w:pPr>
              <w:spacing w:after="120" w:line="240" w:lineRule="auto"/>
              <w:rPr>
                <w:rFonts w:cs="Arial"/>
                <w:b/>
              </w:rPr>
            </w:pPr>
            <w:r w:rsidRPr="00FB524C">
              <w:rPr>
                <w:rFonts w:cs="Arial"/>
                <w:b/>
              </w:rPr>
              <w:t>There is a robust research and monitoring system that includes both fishery-dependent and independent data collection.</w:t>
            </w:r>
          </w:p>
          <w:p w:rsidR="00791D18" w:rsidRPr="00FB524C" w:rsidRDefault="00791D18" w:rsidP="009A7F91">
            <w:pPr>
              <w:spacing w:after="120" w:line="240" w:lineRule="auto"/>
              <w:rPr>
                <w:rFonts w:cs="Arial"/>
              </w:rPr>
            </w:pPr>
            <w:r w:rsidRPr="00FB524C">
              <w:rPr>
                <w:rFonts w:cs="Arial"/>
              </w:rPr>
              <w:t xml:space="preserve">The CCAMLR </w:t>
            </w:r>
            <w:r w:rsidR="00456967" w:rsidRPr="00FB524C">
              <w:rPr>
                <w:rFonts w:cs="Arial"/>
              </w:rPr>
              <w:t>conservation measure</w:t>
            </w:r>
            <w:r w:rsidRPr="00FB524C">
              <w:rPr>
                <w:rFonts w:cs="Arial"/>
              </w:rPr>
              <w:t xml:space="preserve">s prescribe catch limits for </w:t>
            </w:r>
            <w:r w:rsidR="00D21C36" w:rsidRPr="00FB524C">
              <w:rPr>
                <w:rFonts w:cs="Arial"/>
              </w:rPr>
              <w:t>skates and rays (</w:t>
            </w:r>
            <w:proofErr w:type="spellStart"/>
            <w:r w:rsidRPr="00FB524C">
              <w:rPr>
                <w:rFonts w:cs="Arial"/>
              </w:rPr>
              <w:t>Rajids</w:t>
            </w:r>
            <w:proofErr w:type="spellEnd"/>
            <w:r w:rsidRPr="00FB524C">
              <w:rPr>
                <w:rFonts w:cs="Arial"/>
              </w:rPr>
              <w:t xml:space="preserve">), </w:t>
            </w:r>
            <w:r w:rsidR="00D21C36" w:rsidRPr="00FB524C">
              <w:rPr>
                <w:rFonts w:cs="Arial"/>
              </w:rPr>
              <w:t>and grenadiers (</w:t>
            </w:r>
            <w:proofErr w:type="spellStart"/>
            <w:r w:rsidR="00D21C36" w:rsidRPr="00FB524C">
              <w:rPr>
                <w:rFonts w:cs="Arial"/>
              </w:rPr>
              <w:t>Macrourids</w:t>
            </w:r>
            <w:proofErr w:type="spellEnd"/>
            <w:r w:rsidRPr="00FB524C">
              <w:rPr>
                <w:rFonts w:cs="Arial"/>
              </w:rPr>
              <w:t xml:space="preserve">) as well as all other species encountered as bycatch. Where possible these are reported at a species level. </w:t>
            </w:r>
            <w:proofErr w:type="gramStart"/>
            <w:r w:rsidRPr="00FB524C">
              <w:rPr>
                <w:rFonts w:cs="Arial"/>
              </w:rPr>
              <w:t xml:space="preserve">Examples of reporting by Australian </w:t>
            </w:r>
            <w:r w:rsidR="0096492B" w:rsidRPr="00FB524C">
              <w:rPr>
                <w:rFonts w:cs="Arial"/>
              </w:rPr>
              <w:t>vessel</w:t>
            </w:r>
            <w:r w:rsidRPr="00FB524C">
              <w:rPr>
                <w:rFonts w:cs="Arial"/>
              </w:rPr>
              <w:t>s in other Divisions shows reporting is</w:t>
            </w:r>
            <w:proofErr w:type="gramEnd"/>
            <w:r w:rsidRPr="00FB524C">
              <w:rPr>
                <w:rFonts w:cs="Arial"/>
              </w:rPr>
              <w:t xml:space="preserve"> generally at a species level.</w:t>
            </w:r>
          </w:p>
          <w:p w:rsidR="00791D18" w:rsidRPr="00FB524C" w:rsidRDefault="00791D18" w:rsidP="009A7F91">
            <w:pPr>
              <w:spacing w:after="120" w:line="240" w:lineRule="auto"/>
              <w:rPr>
                <w:rFonts w:cs="Arial"/>
              </w:rPr>
            </w:pPr>
            <w:r w:rsidRPr="00FB524C">
              <w:rPr>
                <w:rFonts w:cs="Arial"/>
              </w:rPr>
              <w:t xml:space="preserve">Within each Division, these limits are further divided across </w:t>
            </w:r>
            <w:r w:rsidR="00260AFA" w:rsidRPr="00FB524C">
              <w:rPr>
                <w:rFonts w:cs="Arial"/>
              </w:rPr>
              <w:t xml:space="preserve">smaller areas </w:t>
            </w:r>
            <w:r w:rsidRPr="00FB524C">
              <w:rPr>
                <w:rFonts w:cs="Arial"/>
              </w:rPr>
              <w:t xml:space="preserve">based on a proportion of the target species catch limit, or a defined amount (whichever is greater). These limits are prescribed in </w:t>
            </w:r>
            <w:hyperlink r:id="rId87" w:history="1">
              <w:r w:rsidR="007235D0" w:rsidRPr="00FB524C">
                <w:rPr>
                  <w:rStyle w:val="Hyperlink"/>
                  <w:rFonts w:cs="Arial"/>
                </w:rPr>
                <w:t xml:space="preserve">CM </w:t>
              </w:r>
              <w:r w:rsidRPr="00FB524C">
                <w:rPr>
                  <w:rStyle w:val="Hyperlink"/>
                  <w:rFonts w:cs="Arial"/>
                </w:rPr>
                <w:t>33-03</w:t>
              </w:r>
            </w:hyperlink>
            <w:r w:rsidRPr="00FB524C">
              <w:rPr>
                <w:rFonts w:cs="Arial"/>
              </w:rPr>
              <w:t xml:space="preserve">. </w:t>
            </w:r>
          </w:p>
          <w:p w:rsidR="00791D18" w:rsidRPr="00FB524C" w:rsidRDefault="00791D18" w:rsidP="009A7F91">
            <w:pPr>
              <w:spacing w:after="120" w:line="240" w:lineRule="auto"/>
              <w:rPr>
                <w:rFonts w:cs="Arial"/>
              </w:rPr>
            </w:pPr>
            <w:r w:rsidRPr="00FB524C">
              <w:rPr>
                <w:rFonts w:cs="Arial"/>
              </w:rPr>
              <w:t>Triggers exist to minimise interaction rates (e.g. move-on provisions if catches of any one species reach one tonne in a single haul, and closures where catches reach defined levels).</w:t>
            </w:r>
          </w:p>
          <w:p w:rsidR="00791D18" w:rsidRPr="00FB524C" w:rsidRDefault="00791D18" w:rsidP="009A7F91">
            <w:pPr>
              <w:spacing w:after="120" w:line="240" w:lineRule="auto"/>
              <w:rPr>
                <w:rFonts w:cs="Arial"/>
              </w:rPr>
            </w:pPr>
            <w:r w:rsidRPr="00FB524C">
              <w:rPr>
                <w:rFonts w:cs="Arial"/>
              </w:rPr>
              <w:t xml:space="preserve">CCAMLR Fishery Reports for </w:t>
            </w:r>
            <w:r w:rsidR="00116186" w:rsidRPr="00FB524C">
              <w:rPr>
                <w:rFonts w:cs="Arial"/>
              </w:rPr>
              <w:t>Divisions</w:t>
            </w:r>
            <w:r w:rsidRPr="00FB524C">
              <w:rPr>
                <w:rFonts w:cs="Arial"/>
              </w:rPr>
              <w:t xml:space="preserve"> </w:t>
            </w:r>
            <w:hyperlink r:id="rId88" w:history="1">
              <w:r w:rsidRPr="00FB524C">
                <w:rPr>
                  <w:rStyle w:val="Hyperlink"/>
                  <w:rFonts w:cs="Arial"/>
                </w:rPr>
                <w:t>58.4.1</w:t>
              </w:r>
            </w:hyperlink>
            <w:r w:rsidRPr="00FB524C">
              <w:rPr>
                <w:rFonts w:cs="Arial"/>
              </w:rPr>
              <w:t xml:space="preserve"> and </w:t>
            </w:r>
            <w:hyperlink r:id="rId89" w:history="1">
              <w:r w:rsidRPr="00FB524C">
                <w:rPr>
                  <w:rStyle w:val="Hyperlink"/>
                  <w:rFonts w:cs="Arial"/>
                </w:rPr>
                <w:t>58.4.2</w:t>
              </w:r>
            </w:hyperlink>
            <w:r w:rsidRPr="00FB524C">
              <w:rPr>
                <w:rFonts w:cs="Arial"/>
              </w:rPr>
              <w:t xml:space="preserve"> acknowledge there have been problems with reporting from some </w:t>
            </w:r>
            <w:r w:rsidR="0096492B" w:rsidRPr="00FB524C">
              <w:rPr>
                <w:rFonts w:cs="Arial"/>
              </w:rPr>
              <w:t>vessel</w:t>
            </w:r>
            <w:r w:rsidRPr="00FB524C">
              <w:rPr>
                <w:rFonts w:cs="Arial"/>
              </w:rPr>
              <w:t xml:space="preserve">s in the past, but these issues do not appear to affect </w:t>
            </w:r>
            <w:r w:rsidR="00EA7243" w:rsidRPr="00FB524C">
              <w:rPr>
                <w:rFonts w:cs="Arial"/>
              </w:rPr>
              <w:t xml:space="preserve">the </w:t>
            </w:r>
            <w:r w:rsidRPr="00FB524C">
              <w:rPr>
                <w:rFonts w:cs="Arial"/>
              </w:rPr>
              <w:t xml:space="preserve">data </w:t>
            </w:r>
            <w:r w:rsidR="00EA7243" w:rsidRPr="00FB524C">
              <w:rPr>
                <w:rFonts w:cs="Arial"/>
              </w:rPr>
              <w:t xml:space="preserve">since </w:t>
            </w:r>
            <w:r w:rsidRPr="00FB524C">
              <w:rPr>
                <w:rFonts w:cs="Arial"/>
              </w:rPr>
              <w:t>2012.</w:t>
            </w:r>
          </w:p>
        </w:tc>
      </w:tr>
      <w:tr w:rsidR="00791D18" w:rsidRPr="008522A3" w:rsidTr="00381936">
        <w:tc>
          <w:tcPr>
            <w:tcW w:w="14283" w:type="dxa"/>
            <w:gridSpan w:val="5"/>
            <w:shd w:val="clear" w:color="auto" w:fill="E5DFEC"/>
          </w:tcPr>
          <w:p w:rsidR="00791D18" w:rsidRPr="008522A3" w:rsidRDefault="00791D18" w:rsidP="00CD35D2">
            <w:pPr>
              <w:spacing w:after="0" w:line="240" w:lineRule="auto"/>
              <w:rPr>
                <w:rFonts w:cs="Arial"/>
                <w:b/>
                <w:bCs/>
                <w:i/>
                <w:iCs/>
              </w:rPr>
            </w:pPr>
            <w:r w:rsidRPr="008522A3">
              <w:rPr>
                <w:rFonts w:cs="Arial"/>
                <w:b/>
                <w:bCs/>
                <w:i/>
                <w:iCs/>
              </w:rPr>
              <w:t>Assessments</w:t>
            </w:r>
          </w:p>
        </w:tc>
      </w:tr>
      <w:tr w:rsidR="00791D18" w:rsidRPr="00FB524C" w:rsidTr="00EA7243">
        <w:tc>
          <w:tcPr>
            <w:tcW w:w="4219" w:type="dxa"/>
          </w:tcPr>
          <w:p w:rsidR="00791D18" w:rsidRPr="00FB524C" w:rsidRDefault="00791D18" w:rsidP="005362FD">
            <w:pPr>
              <w:autoSpaceDE w:val="0"/>
              <w:autoSpaceDN w:val="0"/>
              <w:adjustRightInd w:val="0"/>
              <w:spacing w:after="120" w:line="240" w:lineRule="auto"/>
              <w:rPr>
                <w:rFonts w:cs="Arial"/>
              </w:rPr>
            </w:pPr>
            <w:r w:rsidRPr="00FB524C">
              <w:rPr>
                <w:rFonts w:cs="Arial"/>
                <w:b/>
                <w:bCs/>
                <w:i/>
                <w:iCs/>
              </w:rPr>
              <w:t xml:space="preserve">2.1.2 </w:t>
            </w:r>
            <w:r w:rsidRPr="00FB524C">
              <w:rPr>
                <w:rFonts w:cs="Arial"/>
              </w:rPr>
              <w:t>There is a risk analysis of the bycatch with respect to its vulnerability to fishing.</w:t>
            </w:r>
          </w:p>
        </w:tc>
        <w:tc>
          <w:tcPr>
            <w:tcW w:w="1559" w:type="dxa"/>
            <w:shd w:val="clear" w:color="auto" w:fill="92D050"/>
          </w:tcPr>
          <w:p w:rsidR="00791D18" w:rsidRPr="00FB524C" w:rsidRDefault="00791D18" w:rsidP="005362FD">
            <w:pPr>
              <w:spacing w:after="120" w:line="240" w:lineRule="auto"/>
              <w:rPr>
                <w:rFonts w:cs="Arial"/>
              </w:rPr>
            </w:pPr>
            <w:r w:rsidRPr="00FB524C">
              <w:rPr>
                <w:rFonts w:cs="Arial"/>
              </w:rPr>
              <w:t>Risk analysis of bycatch vulnerability has been conducted.</w:t>
            </w:r>
          </w:p>
        </w:tc>
        <w:tc>
          <w:tcPr>
            <w:tcW w:w="1560" w:type="dxa"/>
            <w:shd w:val="clear" w:color="auto" w:fill="auto"/>
          </w:tcPr>
          <w:p w:rsidR="00791D18" w:rsidRPr="00FB524C" w:rsidRDefault="00791D18" w:rsidP="005362FD">
            <w:pPr>
              <w:spacing w:after="120" w:line="240" w:lineRule="auto"/>
              <w:rPr>
                <w:rFonts w:cs="Arial"/>
              </w:rPr>
            </w:pPr>
            <w:r w:rsidRPr="00FB524C">
              <w:rPr>
                <w:rFonts w:cs="Arial"/>
              </w:rPr>
              <w:t>Risk analysis is under development.</w:t>
            </w:r>
          </w:p>
        </w:tc>
        <w:tc>
          <w:tcPr>
            <w:tcW w:w="1559" w:type="dxa"/>
            <w:shd w:val="clear" w:color="auto" w:fill="auto"/>
          </w:tcPr>
          <w:p w:rsidR="00791D18" w:rsidRPr="00FB524C" w:rsidRDefault="00791D18" w:rsidP="005362FD">
            <w:pPr>
              <w:spacing w:after="120" w:line="240" w:lineRule="auto"/>
              <w:rPr>
                <w:rFonts w:cs="Arial"/>
              </w:rPr>
            </w:pPr>
            <w:r w:rsidRPr="00FB524C">
              <w:rPr>
                <w:rFonts w:cs="Arial"/>
              </w:rPr>
              <w:t xml:space="preserve">No risk analysis of bycatch vulnerability has been conducted. </w:t>
            </w:r>
          </w:p>
        </w:tc>
        <w:tc>
          <w:tcPr>
            <w:tcW w:w="5386" w:type="dxa"/>
            <w:shd w:val="clear" w:color="auto" w:fill="auto"/>
          </w:tcPr>
          <w:p w:rsidR="00D21C36" w:rsidRPr="00FB524C" w:rsidRDefault="004E5F64" w:rsidP="005362FD">
            <w:pPr>
              <w:spacing w:after="120" w:line="240" w:lineRule="auto"/>
              <w:rPr>
                <w:rFonts w:cs="Arial"/>
                <w:b/>
              </w:rPr>
            </w:pPr>
            <w:r w:rsidRPr="00FB524C">
              <w:rPr>
                <w:rFonts w:cs="Arial"/>
                <w:b/>
              </w:rPr>
              <w:t xml:space="preserve">Bycatch is considered as part of annual </w:t>
            </w:r>
            <w:r w:rsidR="00D21C36" w:rsidRPr="00FB524C">
              <w:rPr>
                <w:rFonts w:cs="Arial"/>
                <w:b/>
              </w:rPr>
              <w:t xml:space="preserve">stock </w:t>
            </w:r>
            <w:r w:rsidRPr="00FB524C">
              <w:rPr>
                <w:rFonts w:cs="Arial"/>
                <w:b/>
              </w:rPr>
              <w:t>and management considerations</w:t>
            </w:r>
            <w:r w:rsidRPr="00FB524C">
              <w:rPr>
                <w:rStyle w:val="CommentReference"/>
                <w:rFonts w:eastAsia="Times New Roman" w:cs="Arial"/>
                <w:sz w:val="22"/>
                <w:szCs w:val="22"/>
                <w:lang w:eastAsia="en-AU"/>
              </w:rPr>
              <w:t>,</w:t>
            </w:r>
            <w:r w:rsidR="00D21C36" w:rsidRPr="00FB524C">
              <w:rPr>
                <w:rFonts w:cs="Arial"/>
                <w:b/>
              </w:rPr>
              <w:t xml:space="preserve"> but data is limited</w:t>
            </w:r>
            <w:r w:rsidR="00A51B06">
              <w:rPr>
                <w:rFonts w:cs="Arial"/>
                <w:b/>
              </w:rPr>
              <w:t>, m</w:t>
            </w:r>
            <w:r w:rsidRPr="00FB524C">
              <w:rPr>
                <w:rFonts w:cs="Arial"/>
                <w:b/>
              </w:rPr>
              <w:t xml:space="preserve">anagement </w:t>
            </w:r>
            <w:r w:rsidR="00D21C36" w:rsidRPr="00FB524C">
              <w:rPr>
                <w:rFonts w:cs="Arial"/>
                <w:b/>
              </w:rPr>
              <w:t xml:space="preserve">is therefore precautionary. </w:t>
            </w:r>
          </w:p>
          <w:p w:rsidR="00791D18" w:rsidRPr="00FB524C" w:rsidRDefault="00791D18" w:rsidP="005362FD">
            <w:pPr>
              <w:spacing w:after="120" w:line="240" w:lineRule="auto"/>
              <w:rPr>
                <w:rFonts w:cs="Arial"/>
              </w:rPr>
            </w:pPr>
            <w:r w:rsidRPr="00FB524C">
              <w:rPr>
                <w:rFonts w:cs="Arial"/>
              </w:rPr>
              <w:t>CCAMLR has developed risk frameworks for vulnerable marine ecosystems, seabirds and marine mammals. The CCAMLR Working Group on Incidental Mortality Associated with Fishing also undertake</w:t>
            </w:r>
            <w:r w:rsidR="00260AFA" w:rsidRPr="00FB524C">
              <w:rPr>
                <w:rFonts w:cs="Arial"/>
              </w:rPr>
              <w:t>s</w:t>
            </w:r>
            <w:r w:rsidRPr="00FB524C">
              <w:rPr>
                <w:rFonts w:cs="Arial"/>
              </w:rPr>
              <w:t xml:space="preserve"> regular risk assessments of CCAMLR fisheries by Division including new and exploratory fisheries. These assessments were not available for consideration in this </w:t>
            </w:r>
            <w:proofErr w:type="gramStart"/>
            <w:r w:rsidRPr="00FB524C">
              <w:rPr>
                <w:rFonts w:cs="Arial"/>
              </w:rPr>
              <w:t>assessment,</w:t>
            </w:r>
            <w:proofErr w:type="gramEnd"/>
            <w:r w:rsidRPr="00FB524C">
              <w:rPr>
                <w:rFonts w:cs="Arial"/>
              </w:rPr>
              <w:t xml:space="preserve"> however bycatch levels in both Divisions have been significantly lower than the prescribed catch limits for all years since their commencement (</w:t>
            </w:r>
            <w:hyperlink r:id="rId90" w:history="1">
              <w:r w:rsidR="00D21C36" w:rsidRPr="00FB524C">
                <w:rPr>
                  <w:rStyle w:val="Hyperlink"/>
                  <w:rFonts w:cs="Arial"/>
                </w:rPr>
                <w:t>CCAMLR Fishery Reports 2014</w:t>
              </w:r>
            </w:hyperlink>
            <w:r w:rsidRPr="00FB524C">
              <w:rPr>
                <w:rFonts w:cs="Arial"/>
              </w:rPr>
              <w:t>).</w:t>
            </w:r>
          </w:p>
          <w:p w:rsidR="00791D18" w:rsidRPr="00FB524C" w:rsidRDefault="00791D18" w:rsidP="005362FD">
            <w:pPr>
              <w:spacing w:after="120" w:line="240" w:lineRule="auto"/>
              <w:rPr>
                <w:rFonts w:cs="Arial"/>
              </w:rPr>
            </w:pPr>
            <w:r w:rsidRPr="00FB524C">
              <w:rPr>
                <w:rFonts w:cs="Arial"/>
              </w:rPr>
              <w:t>Research results, including data collected through exploratory fishing are used in CCAMLR’s annual stock considerations, and are peer reviewed by the CCAMLR Working Group on Fish Stock Assessment and CCAMLR Scientific Committee when assessing New and Exploratory fisheries.</w:t>
            </w:r>
          </w:p>
          <w:p w:rsidR="00791D18" w:rsidRPr="00FB524C" w:rsidRDefault="00791D18" w:rsidP="005362FD">
            <w:pPr>
              <w:spacing w:after="120" w:line="240" w:lineRule="auto"/>
              <w:rPr>
                <w:rFonts w:cs="Arial"/>
              </w:rPr>
            </w:pPr>
            <w:r w:rsidRPr="00FB524C">
              <w:rPr>
                <w:rFonts w:cs="Arial"/>
              </w:rPr>
              <w:t xml:space="preserve">AFMA’s </w:t>
            </w:r>
            <w:hyperlink r:id="rId91" w:history="1">
              <w:hyperlink r:id="rId92" w:history="1">
                <w:r w:rsidR="00477513" w:rsidRPr="00FB524C">
                  <w:rPr>
                    <w:rStyle w:val="Hyperlink"/>
                    <w:rFonts w:cs="Arial"/>
                    <w:i/>
                  </w:rPr>
                  <w:t>Antarctic Fisheries Bycatch Action Plan 2003</w:t>
                </w:r>
              </w:hyperlink>
            </w:hyperlink>
            <w:r w:rsidRPr="00FB524C">
              <w:rPr>
                <w:rFonts w:cs="Arial"/>
              </w:rPr>
              <w:t xml:space="preserve"> considered available fishing data for the areas and concluded there were no species at high risk based on management arrangements at the time. These arrangements have been maintained and updated in CCAMLR </w:t>
            </w:r>
            <w:r w:rsidR="00456967" w:rsidRPr="00FB524C">
              <w:rPr>
                <w:rFonts w:cs="Arial"/>
              </w:rPr>
              <w:t>conservation measure</w:t>
            </w:r>
            <w:r w:rsidRPr="00FB524C">
              <w:rPr>
                <w:rFonts w:cs="Arial"/>
              </w:rPr>
              <w:t>s for the Divisions.</w:t>
            </w:r>
          </w:p>
          <w:p w:rsidR="00791D18" w:rsidRPr="00FB524C" w:rsidRDefault="00791D18" w:rsidP="005362FD">
            <w:pPr>
              <w:spacing w:after="120" w:line="240" w:lineRule="auto"/>
              <w:rPr>
                <w:rFonts w:cs="Arial"/>
              </w:rPr>
            </w:pPr>
            <w:r w:rsidRPr="00FB524C">
              <w:rPr>
                <w:rFonts w:cs="Arial"/>
              </w:rPr>
              <w:t>Qualitative risk assessments undertaken on similar, nearby fisheries (</w:t>
            </w:r>
            <w:hyperlink r:id="rId93" w:history="1">
              <w:r w:rsidRPr="00FB524C">
                <w:rPr>
                  <w:rStyle w:val="Hyperlink"/>
                  <w:rFonts w:cs="Arial"/>
                </w:rPr>
                <w:t>Heard Island and Macquarie Island Fisheries, 2009</w:t>
              </w:r>
            </w:hyperlink>
            <w:r w:rsidRPr="00FB524C">
              <w:rPr>
                <w:rFonts w:cs="Arial"/>
              </w:rPr>
              <w:t xml:space="preserve"> and an ERA undertaken for </w:t>
            </w:r>
            <w:hyperlink r:id="rId94" w:history="1">
              <w:r w:rsidRPr="00FB524C">
                <w:rPr>
                  <w:rStyle w:val="Hyperlink"/>
                  <w:rFonts w:cs="Arial"/>
                </w:rPr>
                <w:t>New Zealand operations in Divisions 54.8.1 and 58.4.2</w:t>
              </w:r>
            </w:hyperlink>
            <w:r w:rsidRPr="00FB524C">
              <w:rPr>
                <w:rFonts w:cs="Arial"/>
              </w:rPr>
              <w:t xml:space="preserve"> ) found no species at risk of overfishing based on the management arrangements in place at the time. These management arrangements are consistent with those in force for the new and exploratory fisheries in Divisions 58.4.1 and 58.4.2.</w:t>
            </w:r>
          </w:p>
        </w:tc>
      </w:tr>
      <w:tr w:rsidR="00791D18" w:rsidRPr="008522A3" w:rsidTr="00381936">
        <w:tc>
          <w:tcPr>
            <w:tcW w:w="14283" w:type="dxa"/>
            <w:gridSpan w:val="5"/>
            <w:shd w:val="clear" w:color="auto" w:fill="E5DFEC"/>
          </w:tcPr>
          <w:p w:rsidR="00791D18" w:rsidRPr="008522A3" w:rsidRDefault="00791D18" w:rsidP="00D21C36">
            <w:pPr>
              <w:spacing w:after="0" w:line="240" w:lineRule="auto"/>
              <w:rPr>
                <w:rFonts w:cs="Arial"/>
                <w:b/>
                <w:bCs/>
                <w:i/>
                <w:iCs/>
              </w:rPr>
            </w:pPr>
            <w:r w:rsidRPr="008522A3">
              <w:rPr>
                <w:rFonts w:cs="Arial"/>
                <w:b/>
                <w:bCs/>
                <w:i/>
                <w:iCs/>
              </w:rPr>
              <w:t>Management responses</w:t>
            </w:r>
          </w:p>
        </w:tc>
      </w:tr>
      <w:tr w:rsidR="00791D18" w:rsidRPr="00FB524C" w:rsidTr="0093425F">
        <w:tc>
          <w:tcPr>
            <w:tcW w:w="4219" w:type="dxa"/>
          </w:tcPr>
          <w:p w:rsidR="00791D18" w:rsidRPr="00FB524C" w:rsidRDefault="00791D18" w:rsidP="009A7F91">
            <w:pPr>
              <w:autoSpaceDE w:val="0"/>
              <w:autoSpaceDN w:val="0"/>
              <w:adjustRightInd w:val="0"/>
              <w:spacing w:after="120" w:line="240" w:lineRule="auto"/>
              <w:rPr>
                <w:rFonts w:cs="Arial"/>
              </w:rPr>
            </w:pPr>
            <w:r w:rsidRPr="00FB524C">
              <w:rPr>
                <w:rFonts w:cs="Arial"/>
                <w:b/>
                <w:bCs/>
                <w:i/>
                <w:iCs/>
              </w:rPr>
              <w:t xml:space="preserve">2.1.3 </w:t>
            </w:r>
            <w:r w:rsidRPr="00FB524C">
              <w:rPr>
                <w:rFonts w:cs="Arial"/>
              </w:rPr>
              <w:t xml:space="preserve">Measures are in place to avoid capture and mortality of bycatch species unless it is determined that the level of catch is sustainable (except in relation to endangered, threatened or protected species). Steps must be taken to develop suitable technology if none is available. </w:t>
            </w:r>
          </w:p>
        </w:tc>
        <w:tc>
          <w:tcPr>
            <w:tcW w:w="1559" w:type="dxa"/>
            <w:shd w:val="clear" w:color="auto" w:fill="92D050"/>
          </w:tcPr>
          <w:p w:rsidR="00791D18" w:rsidRPr="00FB524C" w:rsidRDefault="00791D18" w:rsidP="009A7F91">
            <w:pPr>
              <w:spacing w:after="120" w:line="240" w:lineRule="auto"/>
              <w:rPr>
                <w:rFonts w:cs="Arial"/>
              </w:rPr>
            </w:pPr>
            <w:r w:rsidRPr="00FB524C">
              <w:rPr>
                <w:rFonts w:cs="Arial"/>
              </w:rPr>
              <w:t xml:space="preserve">Management responses are in place. </w:t>
            </w:r>
          </w:p>
        </w:tc>
        <w:tc>
          <w:tcPr>
            <w:tcW w:w="1560" w:type="dxa"/>
            <w:shd w:val="clear" w:color="auto" w:fill="auto"/>
          </w:tcPr>
          <w:p w:rsidR="00791D18" w:rsidRPr="00FB524C" w:rsidRDefault="00791D18" w:rsidP="009A7F91">
            <w:pPr>
              <w:spacing w:after="120" w:line="240" w:lineRule="auto"/>
              <w:rPr>
                <w:rFonts w:cs="Arial"/>
              </w:rPr>
            </w:pPr>
            <w:r w:rsidRPr="00FB524C">
              <w:rPr>
                <w:rFonts w:cs="Arial"/>
              </w:rPr>
              <w:t xml:space="preserve">Management responses are under development. </w:t>
            </w:r>
          </w:p>
        </w:tc>
        <w:tc>
          <w:tcPr>
            <w:tcW w:w="1559" w:type="dxa"/>
            <w:shd w:val="clear" w:color="auto" w:fill="auto"/>
          </w:tcPr>
          <w:p w:rsidR="00791D18" w:rsidRPr="00FB524C" w:rsidRDefault="00791D18" w:rsidP="009A7F91">
            <w:pPr>
              <w:spacing w:after="120" w:line="240" w:lineRule="auto"/>
              <w:rPr>
                <w:rFonts w:cs="Arial"/>
              </w:rPr>
            </w:pPr>
            <w:r w:rsidRPr="00FB524C">
              <w:rPr>
                <w:rFonts w:cs="Arial"/>
              </w:rPr>
              <w:t xml:space="preserve">No management responses in place. </w:t>
            </w:r>
          </w:p>
        </w:tc>
        <w:tc>
          <w:tcPr>
            <w:tcW w:w="5386" w:type="dxa"/>
            <w:shd w:val="clear" w:color="auto" w:fill="auto"/>
          </w:tcPr>
          <w:p w:rsidR="00D21C36" w:rsidRPr="00FB524C" w:rsidRDefault="00D21C36" w:rsidP="009A7F91">
            <w:pPr>
              <w:spacing w:after="120" w:line="240" w:lineRule="auto"/>
              <w:rPr>
                <w:rFonts w:cs="Arial"/>
                <w:b/>
              </w:rPr>
            </w:pPr>
            <w:r w:rsidRPr="00FB524C">
              <w:rPr>
                <w:rFonts w:cs="Arial"/>
                <w:b/>
              </w:rPr>
              <w:t>Effective controls are in place to manage risk to all non-target species.</w:t>
            </w:r>
          </w:p>
          <w:p w:rsidR="00791D18" w:rsidRPr="00FB524C" w:rsidRDefault="00791D18" w:rsidP="009A7F91">
            <w:pPr>
              <w:spacing w:after="120" w:line="240" w:lineRule="auto"/>
              <w:rPr>
                <w:rFonts w:cs="Arial"/>
              </w:rPr>
            </w:pPr>
            <w:r w:rsidRPr="00FB524C">
              <w:rPr>
                <w:rFonts w:cs="Arial"/>
              </w:rPr>
              <w:t>Bycatch and protected species interactions are monitored and managed by CCAMLR and AFMA. Monitoring is achieved through daily shot by shot catch reports, VMS, and information from two independent onboard scientific observers. Formal mechanisms allow independent scientific observers to raise issues with the Vessel Master, ensuring operators are aware of, and comply with management measures, and Vessel Masters are required to immediately define and implement strategies in response to any interactions with protected species.</w:t>
            </w:r>
          </w:p>
          <w:p w:rsidR="00791D18" w:rsidRPr="00FB524C" w:rsidRDefault="00791D18" w:rsidP="009A7F91">
            <w:pPr>
              <w:spacing w:after="120" w:line="240" w:lineRule="auto"/>
              <w:rPr>
                <w:rFonts w:cs="Arial"/>
              </w:rPr>
            </w:pPr>
            <w:r w:rsidRPr="00FB524C">
              <w:rPr>
                <w:rFonts w:cs="Arial"/>
              </w:rPr>
              <w:t>Bycatch levels in both Divisions have been significantly lower than the prescribed catch limits for all years since their commencement.</w:t>
            </w:r>
          </w:p>
          <w:p w:rsidR="00791D18" w:rsidRPr="00FB524C" w:rsidRDefault="00791D18" w:rsidP="009A7F91">
            <w:pPr>
              <w:spacing w:after="120" w:line="240" w:lineRule="auto"/>
              <w:rPr>
                <w:rFonts w:cs="Arial"/>
              </w:rPr>
            </w:pPr>
            <w:r w:rsidRPr="00FB524C">
              <w:rPr>
                <w:rFonts w:cs="Arial"/>
              </w:rPr>
              <w:t>Since the inception of Division 58.4.1 in 2005, when two southern giant petrels (</w:t>
            </w:r>
            <w:proofErr w:type="spellStart"/>
            <w:r w:rsidRPr="00FB524C">
              <w:rPr>
                <w:rFonts w:cs="Arial"/>
                <w:i/>
              </w:rPr>
              <w:t>Macronectes</w:t>
            </w:r>
            <w:proofErr w:type="spellEnd"/>
            <w:r w:rsidRPr="00FB524C">
              <w:rPr>
                <w:rFonts w:cs="Arial"/>
                <w:i/>
              </w:rPr>
              <w:t xml:space="preserve"> </w:t>
            </w:r>
            <w:proofErr w:type="spellStart"/>
            <w:r w:rsidRPr="00FB524C">
              <w:rPr>
                <w:rFonts w:cs="Arial"/>
                <w:i/>
              </w:rPr>
              <w:t>giganticus</w:t>
            </w:r>
            <w:proofErr w:type="spellEnd"/>
            <w:r w:rsidRPr="00FB524C">
              <w:rPr>
                <w:rFonts w:cs="Arial"/>
              </w:rPr>
              <w:t>) and three sooty shearwaters (</w:t>
            </w:r>
            <w:proofErr w:type="spellStart"/>
            <w:r w:rsidRPr="00FB524C">
              <w:rPr>
                <w:rFonts w:cs="Arial"/>
                <w:i/>
              </w:rPr>
              <w:t>Puffinus</w:t>
            </w:r>
            <w:proofErr w:type="spellEnd"/>
            <w:r w:rsidRPr="00FB524C">
              <w:rPr>
                <w:rFonts w:cs="Arial"/>
                <w:i/>
              </w:rPr>
              <w:t xml:space="preserve"> </w:t>
            </w:r>
            <w:proofErr w:type="spellStart"/>
            <w:r w:rsidRPr="00FB524C">
              <w:rPr>
                <w:rFonts w:cs="Arial"/>
                <w:i/>
              </w:rPr>
              <w:t>griseus</w:t>
            </w:r>
            <w:proofErr w:type="spellEnd"/>
            <w:r w:rsidRPr="00FB524C">
              <w:rPr>
                <w:rFonts w:cs="Arial"/>
              </w:rPr>
              <w:t>) were reported injured or killed, there have been no incidental mortalities of seabirds or marine mammals. Since the inception of Division 58.4.2 in 2003, there have been no observed incidental mortalities of seabirds, and only one reported mortality of a leopard seal (</w:t>
            </w:r>
            <w:proofErr w:type="spellStart"/>
            <w:r w:rsidRPr="00FB524C">
              <w:rPr>
                <w:rFonts w:cs="Arial"/>
                <w:i/>
              </w:rPr>
              <w:t>Hydrurga</w:t>
            </w:r>
            <w:proofErr w:type="spellEnd"/>
            <w:r w:rsidRPr="00FB524C">
              <w:rPr>
                <w:rFonts w:cs="Arial"/>
                <w:i/>
              </w:rPr>
              <w:t xml:space="preserve"> </w:t>
            </w:r>
            <w:proofErr w:type="spellStart"/>
            <w:r w:rsidRPr="00FB524C">
              <w:rPr>
                <w:rFonts w:cs="Arial"/>
                <w:i/>
              </w:rPr>
              <w:t>leptonyx</w:t>
            </w:r>
            <w:proofErr w:type="spellEnd"/>
            <w:r w:rsidRPr="00FB524C">
              <w:rPr>
                <w:rFonts w:cs="Arial"/>
              </w:rPr>
              <w:t>). This occurred in 2005 (</w:t>
            </w:r>
            <w:hyperlink r:id="rId95" w:history="1">
              <w:r w:rsidR="00D21C36" w:rsidRPr="00FB524C">
                <w:rPr>
                  <w:rStyle w:val="Hyperlink"/>
                  <w:rFonts w:cs="Arial"/>
                </w:rPr>
                <w:t>CCAMLR Fishery Reports 2014</w:t>
              </w:r>
            </w:hyperlink>
            <w:r w:rsidRPr="00FB524C">
              <w:rPr>
                <w:rFonts w:cs="Arial"/>
              </w:rPr>
              <w:t>).</w:t>
            </w:r>
          </w:p>
          <w:p w:rsidR="00BD1D43" w:rsidRDefault="00791D18" w:rsidP="009A7F91">
            <w:pPr>
              <w:spacing w:after="120" w:line="240" w:lineRule="auto"/>
              <w:rPr>
                <w:rFonts w:cs="Arial"/>
              </w:rPr>
            </w:pPr>
            <w:r w:rsidRPr="00FB524C">
              <w:rPr>
                <w:rFonts w:cs="Arial"/>
              </w:rPr>
              <w:t>Incidence and response reports are als</w:t>
            </w:r>
            <w:r w:rsidR="00C055D9" w:rsidRPr="00FB524C">
              <w:rPr>
                <w:rFonts w:cs="Arial"/>
              </w:rPr>
              <w:t>o reviewed regularly at Sub-Ant</w:t>
            </w:r>
            <w:r w:rsidRPr="00FB524C">
              <w:rPr>
                <w:rFonts w:cs="Arial"/>
              </w:rPr>
              <w:t>arctic Resource Assessment Group meetings and advice is then used by AFMA to further refine management arrangements.</w:t>
            </w:r>
          </w:p>
          <w:p w:rsidR="002857B8" w:rsidRPr="00FB524C" w:rsidRDefault="00791D18" w:rsidP="009A7F91">
            <w:pPr>
              <w:spacing w:after="120" w:line="240" w:lineRule="auto"/>
              <w:rPr>
                <w:rFonts w:cs="Arial"/>
              </w:rPr>
            </w:pPr>
            <w:r w:rsidRPr="00FB524C">
              <w:rPr>
                <w:rFonts w:cs="Arial"/>
              </w:rPr>
              <w:t>Current measures in place to minimise risk to protected species include:</w:t>
            </w:r>
          </w:p>
          <w:p w:rsidR="002857B8" w:rsidRPr="00FB524C" w:rsidRDefault="00791D18" w:rsidP="009A7F91">
            <w:pPr>
              <w:pStyle w:val="ListBullet"/>
              <w:spacing w:after="120" w:line="240" w:lineRule="auto"/>
              <w:rPr>
                <w:rFonts w:cs="Arial"/>
              </w:rPr>
            </w:pPr>
            <w:r w:rsidRPr="00FB524C">
              <w:rPr>
                <w:rFonts w:cs="Arial"/>
              </w:rPr>
              <w:t xml:space="preserve">Prohibition on offal discharge </w:t>
            </w:r>
            <w:r w:rsidR="007235D0" w:rsidRPr="00FB524C">
              <w:rPr>
                <w:rFonts w:cs="Arial"/>
              </w:rPr>
              <w:t>to avoid attracting and provisioning wildlife</w:t>
            </w:r>
          </w:p>
          <w:p w:rsidR="002857B8" w:rsidRPr="00FB524C" w:rsidRDefault="00791D18" w:rsidP="009A7F91">
            <w:pPr>
              <w:pStyle w:val="ListBullet"/>
              <w:spacing w:after="120" w:line="240" w:lineRule="auto"/>
              <w:rPr>
                <w:rFonts w:cs="Arial"/>
              </w:rPr>
            </w:pPr>
            <w:r w:rsidRPr="00FB524C">
              <w:rPr>
                <w:rFonts w:cs="Arial"/>
              </w:rPr>
              <w:t xml:space="preserve">Using integrated weight line, paired streamer lines, </w:t>
            </w:r>
            <w:proofErr w:type="spellStart"/>
            <w:r w:rsidRPr="00FB524C">
              <w:rPr>
                <w:rFonts w:cs="Arial"/>
              </w:rPr>
              <w:t>brickle</w:t>
            </w:r>
            <w:proofErr w:type="spellEnd"/>
            <w:r w:rsidRPr="00FB524C">
              <w:rPr>
                <w:rFonts w:cs="Arial"/>
              </w:rPr>
              <w:t xml:space="preserve"> curtains and seasonal closures to</w:t>
            </w:r>
            <w:r w:rsidR="007235D0" w:rsidRPr="00FB524C">
              <w:rPr>
                <w:rFonts w:cs="Arial"/>
              </w:rPr>
              <w:t xml:space="preserve"> avoid seabirds attending baits</w:t>
            </w:r>
          </w:p>
          <w:p w:rsidR="002857B8" w:rsidRPr="00FB524C" w:rsidRDefault="00791D18" w:rsidP="009A7F91">
            <w:pPr>
              <w:pStyle w:val="ListBullet"/>
              <w:spacing w:after="120" w:line="240" w:lineRule="auto"/>
              <w:rPr>
                <w:rFonts w:cs="Arial"/>
              </w:rPr>
            </w:pPr>
            <w:r w:rsidRPr="00FB524C">
              <w:rPr>
                <w:rFonts w:cs="Arial"/>
              </w:rPr>
              <w:t xml:space="preserve">Minimising lighting on fishing </w:t>
            </w:r>
            <w:r w:rsidR="0096492B" w:rsidRPr="00FB524C">
              <w:rPr>
                <w:rFonts w:cs="Arial"/>
              </w:rPr>
              <w:t>vessel</w:t>
            </w:r>
            <w:r w:rsidRPr="00FB524C">
              <w:rPr>
                <w:rFonts w:cs="Arial"/>
              </w:rPr>
              <w:t xml:space="preserve">s to reduce the risk of seabirds colliding with </w:t>
            </w:r>
            <w:r w:rsidR="0096492B" w:rsidRPr="00FB524C">
              <w:rPr>
                <w:rFonts w:cs="Arial"/>
              </w:rPr>
              <w:t>vessel</w:t>
            </w:r>
            <w:r w:rsidRPr="00FB524C">
              <w:rPr>
                <w:rFonts w:cs="Arial"/>
              </w:rPr>
              <w:t>s</w:t>
            </w:r>
            <w:r w:rsidR="007235D0" w:rsidRPr="00FB524C">
              <w:rPr>
                <w:rFonts w:cs="Arial"/>
              </w:rPr>
              <w:t>,</w:t>
            </w:r>
            <w:r w:rsidRPr="00FB524C">
              <w:rPr>
                <w:rFonts w:cs="Arial"/>
              </w:rPr>
              <w:t xml:space="preserve"> and</w:t>
            </w:r>
          </w:p>
          <w:p w:rsidR="002857B8" w:rsidRPr="00FB524C" w:rsidRDefault="00791D18" w:rsidP="009A7F91">
            <w:pPr>
              <w:pStyle w:val="ListBullet"/>
              <w:spacing w:after="120" w:line="240" w:lineRule="auto"/>
              <w:rPr>
                <w:rFonts w:cs="Arial"/>
              </w:rPr>
            </w:pPr>
            <w:r w:rsidRPr="00FB524C">
              <w:rPr>
                <w:rFonts w:cs="Arial"/>
              </w:rPr>
              <w:t>Prohibition on use of plastic packaging bands to secure bait boxes.</w:t>
            </w:r>
          </w:p>
          <w:p w:rsidR="002857B8" w:rsidRPr="00FB524C" w:rsidRDefault="00791D18" w:rsidP="009A7F91">
            <w:pPr>
              <w:spacing w:after="120" w:line="240" w:lineRule="auto"/>
              <w:rPr>
                <w:rFonts w:cs="Arial"/>
              </w:rPr>
            </w:pPr>
            <w:r w:rsidRPr="00FB524C">
              <w:rPr>
                <w:rFonts w:cs="Arial"/>
              </w:rPr>
              <w:t>Bycatch is controlled using catch limits, fishing depth restrictions, area closures and move-on provisions.</w:t>
            </w:r>
            <w:r w:rsidR="00477513" w:rsidRPr="00FB524C">
              <w:rPr>
                <w:rFonts w:cs="Arial"/>
              </w:rPr>
              <w:t xml:space="preserve"> </w:t>
            </w:r>
            <w:r w:rsidRPr="00FB524C">
              <w:rPr>
                <w:rFonts w:cs="Arial"/>
              </w:rPr>
              <w:t>AFMA’s management arrangements are also consistent with the following measures:</w:t>
            </w:r>
          </w:p>
          <w:p w:rsidR="002857B8" w:rsidRPr="00FB524C" w:rsidRDefault="00D440B7" w:rsidP="009A7F91">
            <w:pPr>
              <w:pStyle w:val="ListBullet"/>
              <w:spacing w:after="120" w:line="240" w:lineRule="auto"/>
              <w:rPr>
                <w:rFonts w:cs="Arial"/>
                <w:snapToGrid w:val="0"/>
              </w:rPr>
            </w:pPr>
            <w:hyperlink r:id="rId96" w:history="1">
              <w:r w:rsidR="007235D0" w:rsidRPr="00FB524C">
                <w:rPr>
                  <w:rStyle w:val="Hyperlink"/>
                  <w:rFonts w:cs="Arial"/>
                  <w:snapToGrid w:val="0"/>
                </w:rPr>
                <w:t xml:space="preserve">CCAMLR </w:t>
              </w:r>
              <w:r w:rsidR="00456967" w:rsidRPr="00FB524C">
                <w:rPr>
                  <w:rStyle w:val="Hyperlink"/>
                  <w:rFonts w:cs="Arial"/>
                  <w:snapToGrid w:val="0"/>
                </w:rPr>
                <w:t>conservation measure</w:t>
              </w:r>
              <w:r w:rsidR="007235D0" w:rsidRPr="00FB524C">
                <w:rPr>
                  <w:rStyle w:val="Hyperlink"/>
                  <w:rFonts w:cs="Arial"/>
                  <w:snapToGrid w:val="0"/>
                </w:rPr>
                <w:t>s</w:t>
              </w:r>
            </w:hyperlink>
          </w:p>
          <w:p w:rsidR="002857B8" w:rsidRPr="00FB524C" w:rsidRDefault="00D440B7" w:rsidP="009A7F91">
            <w:pPr>
              <w:pStyle w:val="ListBullet"/>
              <w:spacing w:after="120" w:line="240" w:lineRule="auto"/>
              <w:rPr>
                <w:rFonts w:cs="Arial"/>
                <w:snapToGrid w:val="0"/>
              </w:rPr>
            </w:pPr>
            <w:hyperlink r:id="rId97" w:history="1">
              <w:r w:rsidR="007235D0" w:rsidRPr="00FB524C">
                <w:rPr>
                  <w:rStyle w:val="Hyperlink"/>
                  <w:rFonts w:cs="Arial"/>
                  <w:snapToGrid w:val="0"/>
                </w:rPr>
                <w:t>National recovery plan for threatened albatrosses and giant petrels 2011–2016</w:t>
              </w:r>
            </w:hyperlink>
          </w:p>
          <w:p w:rsidR="002857B8" w:rsidRPr="00FB524C" w:rsidRDefault="00D440B7" w:rsidP="009A7F91">
            <w:pPr>
              <w:pStyle w:val="ListBullet"/>
              <w:spacing w:after="120" w:line="240" w:lineRule="auto"/>
              <w:rPr>
                <w:rFonts w:cs="Arial"/>
                <w:snapToGrid w:val="0"/>
              </w:rPr>
            </w:pPr>
            <w:hyperlink r:id="rId98" w:history="1">
              <w:r w:rsidR="007235D0" w:rsidRPr="00FB524C">
                <w:rPr>
                  <w:rStyle w:val="Hyperlink"/>
                  <w:rFonts w:cs="Arial"/>
                  <w:snapToGrid w:val="0"/>
                </w:rPr>
                <w:t xml:space="preserve">Threat Abatement Plan 2014 for the incidental catch (or bycatch) of seabirds during oceanic </w:t>
              </w:r>
              <w:proofErr w:type="spellStart"/>
              <w:r w:rsidR="007235D0" w:rsidRPr="00FB524C">
                <w:rPr>
                  <w:rStyle w:val="Hyperlink"/>
                  <w:rFonts w:cs="Arial"/>
                  <w:snapToGrid w:val="0"/>
                </w:rPr>
                <w:t>longline</w:t>
              </w:r>
              <w:proofErr w:type="spellEnd"/>
              <w:r w:rsidR="007235D0" w:rsidRPr="00FB524C">
                <w:rPr>
                  <w:rStyle w:val="Hyperlink"/>
                  <w:rFonts w:cs="Arial"/>
                  <w:snapToGrid w:val="0"/>
                </w:rPr>
                <w:t xml:space="preserve"> fishing operations</w:t>
              </w:r>
            </w:hyperlink>
            <w:r w:rsidR="007235D0" w:rsidRPr="00FB524C">
              <w:rPr>
                <w:rFonts w:cs="Arial"/>
                <w:snapToGrid w:val="0"/>
              </w:rPr>
              <w:t>, and</w:t>
            </w:r>
          </w:p>
          <w:p w:rsidR="00791D18" w:rsidRPr="00FB524C" w:rsidRDefault="00D440B7" w:rsidP="009A7F91">
            <w:pPr>
              <w:pStyle w:val="ListBullet"/>
              <w:spacing w:after="120" w:line="240" w:lineRule="auto"/>
              <w:rPr>
                <w:rFonts w:cs="Arial"/>
              </w:rPr>
            </w:pPr>
            <w:hyperlink r:id="rId99" w:history="1">
              <w:r w:rsidR="007235D0" w:rsidRPr="00FB524C">
                <w:rPr>
                  <w:rStyle w:val="Hyperlink"/>
                  <w:rFonts w:cs="Arial"/>
                  <w:snapToGrid w:val="0"/>
                </w:rPr>
                <w:t>Agreement on the Conservation of Albatrosses and Petrels</w:t>
              </w:r>
            </w:hyperlink>
            <w:r w:rsidR="007235D0" w:rsidRPr="00FB524C">
              <w:rPr>
                <w:rFonts w:cs="Arial"/>
                <w:snapToGrid w:val="0"/>
              </w:rPr>
              <w:t>.</w:t>
            </w:r>
          </w:p>
        </w:tc>
      </w:tr>
      <w:tr w:rsidR="00791D18" w:rsidRPr="00FB524C" w:rsidTr="0093425F">
        <w:tc>
          <w:tcPr>
            <w:tcW w:w="4219" w:type="dxa"/>
          </w:tcPr>
          <w:p w:rsidR="00791D18" w:rsidRPr="00FB524C" w:rsidRDefault="00791D18" w:rsidP="009A7F91">
            <w:pPr>
              <w:autoSpaceDE w:val="0"/>
              <w:autoSpaceDN w:val="0"/>
              <w:adjustRightInd w:val="0"/>
              <w:spacing w:after="120" w:line="240" w:lineRule="auto"/>
              <w:rPr>
                <w:rFonts w:cs="Arial"/>
              </w:rPr>
            </w:pPr>
            <w:r w:rsidRPr="00FB524C">
              <w:rPr>
                <w:rFonts w:cs="Arial"/>
                <w:b/>
                <w:bCs/>
                <w:i/>
                <w:iCs/>
              </w:rPr>
              <w:t xml:space="preserve">2.1.4 </w:t>
            </w:r>
            <w:r w:rsidRPr="00FB524C">
              <w:rPr>
                <w:rFonts w:cs="Arial"/>
              </w:rPr>
              <w:t xml:space="preserve">An indicator group of bycatch species is monitored. </w:t>
            </w:r>
          </w:p>
        </w:tc>
        <w:tc>
          <w:tcPr>
            <w:tcW w:w="1559" w:type="dxa"/>
            <w:shd w:val="clear" w:color="auto" w:fill="92D050"/>
          </w:tcPr>
          <w:p w:rsidR="00791D18" w:rsidRPr="00FB524C" w:rsidRDefault="00791D18" w:rsidP="009A7F91">
            <w:pPr>
              <w:spacing w:after="120" w:line="240" w:lineRule="auto"/>
              <w:rPr>
                <w:rFonts w:cs="Arial"/>
              </w:rPr>
            </w:pPr>
            <w:r w:rsidRPr="00FB524C">
              <w:rPr>
                <w:rFonts w:cs="Arial"/>
              </w:rPr>
              <w:t>Monitoring of indicator group of bycatch species in place.</w:t>
            </w:r>
          </w:p>
        </w:tc>
        <w:tc>
          <w:tcPr>
            <w:tcW w:w="1560" w:type="dxa"/>
            <w:shd w:val="clear" w:color="auto" w:fill="auto"/>
          </w:tcPr>
          <w:p w:rsidR="00791D18" w:rsidRPr="00FB524C" w:rsidRDefault="00791D18" w:rsidP="009A7F91">
            <w:pPr>
              <w:spacing w:after="120" w:line="240" w:lineRule="auto"/>
              <w:rPr>
                <w:rFonts w:cs="Arial"/>
              </w:rPr>
            </w:pPr>
            <w:r w:rsidRPr="00FB524C">
              <w:rPr>
                <w:rFonts w:cs="Arial"/>
              </w:rPr>
              <w:t xml:space="preserve">Monitoring of indicator group of bycatch species in place, but incomplete or inadequate. </w:t>
            </w:r>
          </w:p>
        </w:tc>
        <w:tc>
          <w:tcPr>
            <w:tcW w:w="1559" w:type="dxa"/>
            <w:shd w:val="clear" w:color="auto" w:fill="auto"/>
          </w:tcPr>
          <w:p w:rsidR="00791D18" w:rsidRPr="00FB524C" w:rsidRDefault="00791D18" w:rsidP="009A7F91">
            <w:pPr>
              <w:spacing w:after="120" w:line="240" w:lineRule="auto"/>
              <w:rPr>
                <w:rFonts w:cs="Arial"/>
              </w:rPr>
            </w:pPr>
            <w:r w:rsidRPr="00FB524C">
              <w:rPr>
                <w:rFonts w:cs="Arial"/>
              </w:rPr>
              <w:t xml:space="preserve">No monitoring of indicator group of bycatch species in place. </w:t>
            </w:r>
          </w:p>
        </w:tc>
        <w:tc>
          <w:tcPr>
            <w:tcW w:w="5386" w:type="dxa"/>
            <w:shd w:val="clear" w:color="auto" w:fill="auto"/>
          </w:tcPr>
          <w:p w:rsidR="00D21C36" w:rsidRPr="00FB524C" w:rsidRDefault="00D21C36" w:rsidP="009A7F91">
            <w:pPr>
              <w:spacing w:after="120" w:line="240" w:lineRule="auto"/>
              <w:rPr>
                <w:rFonts w:cs="Arial"/>
                <w:b/>
              </w:rPr>
            </w:pPr>
            <w:r w:rsidRPr="00FB524C">
              <w:rPr>
                <w:rFonts w:cs="Arial"/>
                <w:b/>
              </w:rPr>
              <w:t>Bycatch is comprehensively monitored but indicator species have not been identified.</w:t>
            </w:r>
          </w:p>
          <w:p w:rsidR="00791D18" w:rsidRPr="00FB524C" w:rsidRDefault="00791D18" w:rsidP="009A7F91">
            <w:pPr>
              <w:spacing w:after="120" w:line="240" w:lineRule="auto"/>
              <w:rPr>
                <w:rFonts w:cs="Arial"/>
              </w:rPr>
            </w:pPr>
            <w:r w:rsidRPr="00FB524C">
              <w:rPr>
                <w:rFonts w:cs="Arial"/>
              </w:rPr>
              <w:t>Bycatch limits are in place for skates and rays (</w:t>
            </w:r>
            <w:proofErr w:type="spellStart"/>
            <w:r w:rsidRPr="00FB524C">
              <w:rPr>
                <w:rFonts w:cs="Arial"/>
              </w:rPr>
              <w:t>Rajids</w:t>
            </w:r>
            <w:proofErr w:type="spellEnd"/>
            <w:r w:rsidRPr="00FB524C">
              <w:rPr>
                <w:rFonts w:cs="Arial"/>
              </w:rPr>
              <w:t>), grenadiers (</w:t>
            </w:r>
            <w:proofErr w:type="spellStart"/>
            <w:r w:rsidRPr="00FB524C">
              <w:rPr>
                <w:rFonts w:cs="Arial"/>
              </w:rPr>
              <w:t>Macrourids</w:t>
            </w:r>
            <w:proofErr w:type="spellEnd"/>
            <w:r w:rsidRPr="00FB524C">
              <w:rPr>
                <w:rFonts w:cs="Arial"/>
              </w:rPr>
              <w:t>) as well as all other species (as a group); catch reporting within these groups is typically at a species level.</w:t>
            </w:r>
          </w:p>
          <w:p w:rsidR="00791D18" w:rsidRPr="00FB524C" w:rsidRDefault="00791D18" w:rsidP="009A7F91">
            <w:pPr>
              <w:spacing w:after="120" w:line="240" w:lineRule="auto"/>
              <w:rPr>
                <w:rFonts w:cs="Arial"/>
              </w:rPr>
            </w:pPr>
            <w:r w:rsidRPr="00FB524C">
              <w:rPr>
                <w:rFonts w:cs="Arial"/>
              </w:rPr>
              <w:t>Limits are also in place for vulnerable marine ecosystems and seabirds. Catches are closely monitored and managed by CCAMLR and AFMA through a combination of daily shot-by-shot catch reports, active vessel satellite monitoring systems and information from the two independent onboard scientific observers.</w:t>
            </w:r>
          </w:p>
          <w:p w:rsidR="00791D18" w:rsidRPr="00FB524C" w:rsidRDefault="00791D18" w:rsidP="009A7F91">
            <w:pPr>
              <w:spacing w:after="120" w:line="240" w:lineRule="auto"/>
              <w:rPr>
                <w:rFonts w:cs="Arial"/>
              </w:rPr>
            </w:pPr>
            <w:r w:rsidRPr="00FB524C">
              <w:rPr>
                <w:rFonts w:cs="Arial"/>
              </w:rPr>
              <w:t xml:space="preserve">Current bycatch categories are based on catch composition rather than any consideration of value as an indicator of ecological impact. However, a recent study in Divisions 58.4.1 and 58.4.2 found grenadiers were the main prey item for </w:t>
            </w:r>
            <w:proofErr w:type="spellStart"/>
            <w:r w:rsidRPr="00FB524C">
              <w:rPr>
                <w:rFonts w:cs="Arial"/>
              </w:rPr>
              <w:t>toothfish</w:t>
            </w:r>
            <w:proofErr w:type="spellEnd"/>
            <w:r w:rsidRPr="00FB524C">
              <w:rPr>
                <w:rFonts w:cs="Arial"/>
              </w:rPr>
              <w:t xml:space="preserve"> (47.6% by weight stomach contents), and were also the primary bycatch species in these waters.</w:t>
            </w:r>
          </w:p>
        </w:tc>
      </w:tr>
      <w:tr w:rsidR="00791D18" w:rsidRPr="00FB524C" w:rsidTr="0093425F">
        <w:tc>
          <w:tcPr>
            <w:tcW w:w="4219" w:type="dxa"/>
          </w:tcPr>
          <w:p w:rsidR="00791D18" w:rsidRPr="00FB524C" w:rsidRDefault="00791D18" w:rsidP="009A7F91">
            <w:pPr>
              <w:autoSpaceDE w:val="0"/>
              <w:autoSpaceDN w:val="0"/>
              <w:adjustRightInd w:val="0"/>
              <w:spacing w:after="120" w:line="240" w:lineRule="auto"/>
              <w:rPr>
                <w:rFonts w:cs="Arial"/>
                <w:i/>
                <w:iCs/>
              </w:rPr>
            </w:pPr>
            <w:r w:rsidRPr="00FB524C">
              <w:rPr>
                <w:rFonts w:cs="Arial"/>
                <w:b/>
                <w:bCs/>
                <w:i/>
                <w:iCs/>
              </w:rPr>
              <w:t xml:space="preserve">2.1.5 </w:t>
            </w:r>
            <w:r w:rsidRPr="00FB524C">
              <w:rPr>
                <w:rFonts w:cs="Arial"/>
              </w:rPr>
              <w:t>There are decision rules that trigger additional management measures when there are significant perturbations in the indicator species numbers</w:t>
            </w:r>
            <w:r w:rsidRPr="00FB524C">
              <w:rPr>
                <w:rFonts w:cs="Arial"/>
                <w:i/>
                <w:iCs/>
              </w:rPr>
              <w:t xml:space="preserve">. </w:t>
            </w:r>
          </w:p>
        </w:tc>
        <w:tc>
          <w:tcPr>
            <w:tcW w:w="1559" w:type="dxa"/>
            <w:shd w:val="clear" w:color="auto" w:fill="92D050"/>
          </w:tcPr>
          <w:p w:rsidR="00791D18" w:rsidRPr="00FB524C" w:rsidRDefault="00791D18" w:rsidP="009A7F91">
            <w:pPr>
              <w:spacing w:after="120" w:line="240" w:lineRule="auto"/>
              <w:rPr>
                <w:rFonts w:cs="Arial"/>
              </w:rPr>
            </w:pPr>
            <w:r w:rsidRPr="00FB524C">
              <w:rPr>
                <w:rFonts w:cs="Arial"/>
              </w:rPr>
              <w:t xml:space="preserve">Performance measures have been implemented. </w:t>
            </w:r>
          </w:p>
        </w:tc>
        <w:tc>
          <w:tcPr>
            <w:tcW w:w="1560" w:type="dxa"/>
            <w:shd w:val="clear" w:color="auto" w:fill="auto"/>
          </w:tcPr>
          <w:p w:rsidR="00791D18" w:rsidRPr="00FB524C" w:rsidRDefault="00791D18" w:rsidP="009A7F91">
            <w:pPr>
              <w:spacing w:after="120" w:line="240" w:lineRule="auto"/>
              <w:rPr>
                <w:rFonts w:cs="Arial"/>
              </w:rPr>
            </w:pPr>
            <w:r w:rsidRPr="00FB524C">
              <w:rPr>
                <w:rFonts w:cs="Arial"/>
              </w:rPr>
              <w:t xml:space="preserve">Performance measures implemented but inadequate. </w:t>
            </w:r>
          </w:p>
        </w:tc>
        <w:tc>
          <w:tcPr>
            <w:tcW w:w="1559" w:type="dxa"/>
            <w:shd w:val="clear" w:color="auto" w:fill="auto"/>
          </w:tcPr>
          <w:p w:rsidR="00791D18" w:rsidRPr="00FB524C" w:rsidRDefault="00791D18" w:rsidP="009A7F91">
            <w:pPr>
              <w:spacing w:after="120" w:line="240" w:lineRule="auto"/>
              <w:rPr>
                <w:rFonts w:cs="Arial"/>
              </w:rPr>
            </w:pPr>
            <w:r w:rsidRPr="00FB524C">
              <w:rPr>
                <w:rFonts w:cs="Arial"/>
              </w:rPr>
              <w:t>No performance measures implemented.</w:t>
            </w:r>
          </w:p>
        </w:tc>
        <w:tc>
          <w:tcPr>
            <w:tcW w:w="5386" w:type="dxa"/>
            <w:shd w:val="clear" w:color="auto" w:fill="auto"/>
          </w:tcPr>
          <w:p w:rsidR="00477513" w:rsidRPr="00FB524C" w:rsidRDefault="00477513" w:rsidP="009A7F91">
            <w:pPr>
              <w:spacing w:after="120" w:line="240" w:lineRule="auto"/>
              <w:rPr>
                <w:rFonts w:cs="Arial"/>
                <w:b/>
              </w:rPr>
            </w:pPr>
            <w:r w:rsidRPr="00FB524C">
              <w:rPr>
                <w:rFonts w:cs="Arial"/>
                <w:b/>
              </w:rPr>
              <w:t>Precautionary decision rules, including triggers are in place and their performance is regularly assessed.</w:t>
            </w:r>
          </w:p>
          <w:p w:rsidR="00791D18" w:rsidRPr="00FB524C" w:rsidRDefault="00791D18" w:rsidP="009A7F91">
            <w:pPr>
              <w:spacing w:after="120" w:line="240" w:lineRule="auto"/>
              <w:rPr>
                <w:rFonts w:cs="Arial"/>
              </w:rPr>
            </w:pPr>
            <w:r w:rsidRPr="00FB524C">
              <w:rPr>
                <w:rFonts w:cs="Arial"/>
              </w:rPr>
              <w:t xml:space="preserve">Spatial closures and move-on provisions apply when catches of target and bycatch species, or interactions with vulnerable marine ecosystems reach defined limits. These limits are further divided over </w:t>
            </w:r>
            <w:r w:rsidR="00142E1F" w:rsidRPr="00FB524C">
              <w:rPr>
                <w:rFonts w:cs="Arial"/>
              </w:rPr>
              <w:t>SSRU</w:t>
            </w:r>
            <w:r w:rsidRPr="00FB524C">
              <w:rPr>
                <w:rFonts w:cs="Arial"/>
              </w:rPr>
              <w:t>s to maximise the value of the fishery data being collected and minimise any risk of localised impact. Where interactions with protected species occur, the concession holder is also required to immediately implement measures outlined in their wildlife interaction reports to minimise the likelihood of similar interactions with protected species.</w:t>
            </w:r>
          </w:p>
        </w:tc>
      </w:tr>
      <w:tr w:rsidR="00791D18" w:rsidRPr="00FB524C" w:rsidTr="0093425F">
        <w:tc>
          <w:tcPr>
            <w:tcW w:w="4219" w:type="dxa"/>
          </w:tcPr>
          <w:p w:rsidR="00791D18" w:rsidRPr="00FB524C" w:rsidRDefault="00791D18" w:rsidP="009A7F91">
            <w:pPr>
              <w:autoSpaceDE w:val="0"/>
              <w:autoSpaceDN w:val="0"/>
              <w:adjustRightInd w:val="0"/>
              <w:spacing w:after="120" w:line="240" w:lineRule="auto"/>
              <w:rPr>
                <w:rFonts w:cs="Arial"/>
              </w:rPr>
            </w:pPr>
            <w:r w:rsidRPr="00FB524C">
              <w:rPr>
                <w:rFonts w:cs="Arial"/>
                <w:b/>
                <w:bCs/>
                <w:i/>
                <w:iCs/>
              </w:rPr>
              <w:t xml:space="preserve">2.1.6 </w:t>
            </w:r>
            <w:r w:rsidRPr="00FB524C">
              <w:rPr>
                <w:rFonts w:cs="Arial"/>
              </w:rPr>
              <w:t>The management response, considering uncertainties in the assessment and precautionary management actions, has a high chance of achieving the objective.</w:t>
            </w:r>
          </w:p>
        </w:tc>
        <w:tc>
          <w:tcPr>
            <w:tcW w:w="1559" w:type="dxa"/>
            <w:shd w:val="clear" w:color="auto" w:fill="92D050"/>
          </w:tcPr>
          <w:p w:rsidR="00791D18" w:rsidRPr="00FB524C" w:rsidRDefault="00791D18" w:rsidP="009A7F91">
            <w:pPr>
              <w:spacing w:after="120" w:line="240" w:lineRule="auto"/>
              <w:rPr>
                <w:rFonts w:cs="Arial"/>
              </w:rPr>
            </w:pPr>
            <w:r w:rsidRPr="00FB524C">
              <w:rPr>
                <w:rFonts w:cs="Arial"/>
              </w:rPr>
              <w:t>No outcome required.</w:t>
            </w:r>
          </w:p>
        </w:tc>
        <w:tc>
          <w:tcPr>
            <w:tcW w:w="1560" w:type="dxa"/>
            <w:shd w:val="clear" w:color="auto" w:fill="auto"/>
          </w:tcPr>
          <w:p w:rsidR="00791D18" w:rsidRPr="00FB524C" w:rsidRDefault="00791D18" w:rsidP="009A7F91">
            <w:pPr>
              <w:spacing w:after="120" w:line="240" w:lineRule="auto"/>
              <w:rPr>
                <w:rFonts w:cs="Arial"/>
              </w:rPr>
            </w:pPr>
            <w:r w:rsidRPr="00FB524C">
              <w:rPr>
                <w:rFonts w:cs="Arial"/>
              </w:rPr>
              <w:t>No outcome required.</w:t>
            </w:r>
          </w:p>
        </w:tc>
        <w:tc>
          <w:tcPr>
            <w:tcW w:w="1559" w:type="dxa"/>
            <w:shd w:val="clear" w:color="auto" w:fill="auto"/>
          </w:tcPr>
          <w:p w:rsidR="00791D18" w:rsidRPr="00FB524C" w:rsidRDefault="00791D18" w:rsidP="009A7F91">
            <w:pPr>
              <w:spacing w:after="120" w:line="240" w:lineRule="auto"/>
              <w:rPr>
                <w:rFonts w:cs="Arial"/>
              </w:rPr>
            </w:pPr>
            <w:r w:rsidRPr="00FB524C">
              <w:rPr>
                <w:rFonts w:cs="Arial"/>
              </w:rPr>
              <w:t>No outcome required.</w:t>
            </w:r>
          </w:p>
        </w:tc>
        <w:tc>
          <w:tcPr>
            <w:tcW w:w="5386" w:type="dxa"/>
            <w:shd w:val="clear" w:color="auto" w:fill="auto"/>
          </w:tcPr>
          <w:p w:rsidR="00791D18" w:rsidRPr="00FB524C" w:rsidRDefault="00791D18" w:rsidP="009A7F91">
            <w:pPr>
              <w:spacing w:after="120" w:line="240" w:lineRule="auto"/>
              <w:rPr>
                <w:rFonts w:cs="Arial"/>
                <w:b/>
              </w:rPr>
            </w:pPr>
            <w:r w:rsidRPr="00FB524C">
              <w:rPr>
                <w:rFonts w:cs="Arial"/>
                <w:b/>
              </w:rPr>
              <w:t>The close monitoring and management of the precautionary measures, and the scientific and other expertise involved in these processes provide confidence in the management actions.</w:t>
            </w:r>
          </w:p>
        </w:tc>
      </w:tr>
    </w:tbl>
    <w:p w:rsidR="00BD1D43" w:rsidRDefault="00BD1D43">
      <w:r>
        <w:br w:type="page"/>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19"/>
        <w:gridCol w:w="1559"/>
        <w:gridCol w:w="1560"/>
        <w:gridCol w:w="1559"/>
        <w:gridCol w:w="5386"/>
      </w:tblGrid>
      <w:tr w:rsidR="00791D18" w:rsidRPr="008522A3" w:rsidTr="00381936">
        <w:tc>
          <w:tcPr>
            <w:tcW w:w="14283" w:type="dxa"/>
            <w:gridSpan w:val="5"/>
            <w:shd w:val="clear" w:color="auto" w:fill="CCC0D9"/>
          </w:tcPr>
          <w:p w:rsidR="00791D18" w:rsidRPr="008522A3" w:rsidRDefault="00791D18" w:rsidP="00477513">
            <w:pPr>
              <w:spacing w:after="0" w:line="240" w:lineRule="auto"/>
              <w:rPr>
                <w:rFonts w:cs="Arial"/>
                <w:b/>
                <w:bCs/>
              </w:rPr>
            </w:pPr>
            <w:r w:rsidRPr="008522A3">
              <w:rPr>
                <w:rFonts w:cs="Arial"/>
                <w:b/>
                <w:bCs/>
              </w:rPr>
              <w:t xml:space="preserve">Objective 2 - </w:t>
            </w:r>
            <w:r w:rsidRPr="008522A3">
              <w:rPr>
                <w:rFonts w:cs="Arial"/>
              </w:rPr>
              <w:t xml:space="preserve">The fishery is conducted in a manner that avoids mortality </w:t>
            </w:r>
            <w:proofErr w:type="gramStart"/>
            <w:r w:rsidRPr="008522A3">
              <w:rPr>
                <w:rFonts w:cs="Arial"/>
              </w:rPr>
              <w:t>of,</w:t>
            </w:r>
            <w:proofErr w:type="gramEnd"/>
            <w:r w:rsidRPr="008522A3">
              <w:rPr>
                <w:rFonts w:cs="Arial"/>
              </w:rPr>
              <w:t xml:space="preserve"> or injuries to, endangered, threatened or protected species and avoids or minimises impacts on threatened ecological communities.</w:t>
            </w:r>
          </w:p>
        </w:tc>
      </w:tr>
      <w:tr w:rsidR="00791D18" w:rsidRPr="008522A3" w:rsidTr="00381936">
        <w:tc>
          <w:tcPr>
            <w:tcW w:w="14283" w:type="dxa"/>
            <w:gridSpan w:val="5"/>
            <w:shd w:val="clear" w:color="auto" w:fill="E5DFEC"/>
          </w:tcPr>
          <w:p w:rsidR="00791D18" w:rsidRPr="008522A3" w:rsidRDefault="00791D18" w:rsidP="00477513">
            <w:pPr>
              <w:spacing w:after="0" w:line="240" w:lineRule="auto"/>
              <w:rPr>
                <w:rFonts w:cs="Arial"/>
              </w:rPr>
            </w:pPr>
            <w:r w:rsidRPr="008522A3">
              <w:rPr>
                <w:rFonts w:cs="Arial"/>
                <w:b/>
                <w:bCs/>
                <w:i/>
                <w:iCs/>
              </w:rPr>
              <w:t xml:space="preserve">Information requirements </w:t>
            </w:r>
          </w:p>
        </w:tc>
      </w:tr>
      <w:tr w:rsidR="00791D18" w:rsidRPr="00FB524C" w:rsidTr="0093425F">
        <w:tc>
          <w:tcPr>
            <w:tcW w:w="4219" w:type="dxa"/>
          </w:tcPr>
          <w:p w:rsidR="00791D18" w:rsidRPr="00FB524C" w:rsidRDefault="00791D18" w:rsidP="005362FD">
            <w:pPr>
              <w:autoSpaceDE w:val="0"/>
              <w:autoSpaceDN w:val="0"/>
              <w:adjustRightInd w:val="0"/>
              <w:spacing w:after="120" w:line="240" w:lineRule="auto"/>
              <w:rPr>
                <w:rFonts w:cs="Arial"/>
              </w:rPr>
            </w:pPr>
            <w:r w:rsidRPr="00FB524C">
              <w:rPr>
                <w:rFonts w:cs="Arial"/>
                <w:b/>
                <w:bCs/>
                <w:i/>
                <w:iCs/>
              </w:rPr>
              <w:t xml:space="preserve">2.2.1 </w:t>
            </w:r>
            <w:r w:rsidRPr="00FB524C">
              <w:rPr>
                <w:rFonts w:cs="Arial"/>
              </w:rPr>
              <w:t xml:space="preserve">Reliable information is collected on the interaction with endangered, threatened or protected species and threatened ecological communities. </w:t>
            </w:r>
          </w:p>
        </w:tc>
        <w:tc>
          <w:tcPr>
            <w:tcW w:w="1559" w:type="dxa"/>
            <w:shd w:val="clear" w:color="auto" w:fill="92D050"/>
          </w:tcPr>
          <w:p w:rsidR="00791D18" w:rsidRPr="00FB524C" w:rsidRDefault="00791D18" w:rsidP="005362FD">
            <w:pPr>
              <w:spacing w:after="120" w:line="240" w:lineRule="auto"/>
              <w:rPr>
                <w:rFonts w:cs="Arial"/>
              </w:rPr>
            </w:pPr>
            <w:r w:rsidRPr="00FB524C">
              <w:rPr>
                <w:rFonts w:cs="Arial"/>
              </w:rPr>
              <w:t xml:space="preserve">Up-to-date logbooks and reliable records of interactions with endangered, threatened or protected species and threatened ecological communities. </w:t>
            </w:r>
          </w:p>
        </w:tc>
        <w:tc>
          <w:tcPr>
            <w:tcW w:w="1560" w:type="dxa"/>
            <w:shd w:val="clear" w:color="auto" w:fill="auto"/>
          </w:tcPr>
          <w:p w:rsidR="00791D18" w:rsidRPr="00FB524C" w:rsidRDefault="00791D18" w:rsidP="005362FD">
            <w:pPr>
              <w:spacing w:after="120" w:line="240" w:lineRule="auto"/>
              <w:rPr>
                <w:rFonts w:cs="Arial"/>
              </w:rPr>
            </w:pPr>
            <w:r w:rsidRPr="00FB524C">
              <w:rPr>
                <w:rFonts w:cs="Arial"/>
              </w:rPr>
              <w:t>Log books available, but lacking important or adequate data on interactions with endangered, threatened or protected species and threatened ecological communities</w:t>
            </w:r>
            <w:r w:rsidR="00477513" w:rsidRPr="00FB524C">
              <w:rPr>
                <w:rFonts w:cs="Arial"/>
              </w:rPr>
              <w:t>.</w:t>
            </w:r>
          </w:p>
        </w:tc>
        <w:tc>
          <w:tcPr>
            <w:tcW w:w="1559" w:type="dxa"/>
            <w:shd w:val="clear" w:color="auto" w:fill="auto"/>
          </w:tcPr>
          <w:p w:rsidR="00791D18" w:rsidRPr="00FB524C" w:rsidRDefault="00791D18" w:rsidP="005362FD">
            <w:pPr>
              <w:spacing w:after="120" w:line="240" w:lineRule="auto"/>
              <w:rPr>
                <w:rFonts w:cs="Arial"/>
              </w:rPr>
            </w:pPr>
            <w:r w:rsidRPr="00FB524C">
              <w:rPr>
                <w:rFonts w:cs="Arial"/>
              </w:rPr>
              <w:t>No records of interactions with endanger</w:t>
            </w:r>
            <w:r w:rsidR="00477513" w:rsidRPr="00FB524C">
              <w:rPr>
                <w:rFonts w:cs="Arial"/>
              </w:rPr>
              <w:t>ed, threatened or protected spe</w:t>
            </w:r>
            <w:r w:rsidRPr="00FB524C">
              <w:rPr>
                <w:rFonts w:cs="Arial"/>
              </w:rPr>
              <w:t>c</w:t>
            </w:r>
            <w:r w:rsidR="00477513" w:rsidRPr="00FB524C">
              <w:rPr>
                <w:rFonts w:cs="Arial"/>
              </w:rPr>
              <w:t>i</w:t>
            </w:r>
            <w:r w:rsidRPr="00FB524C">
              <w:rPr>
                <w:rFonts w:cs="Arial"/>
              </w:rPr>
              <w:t>es and threatened ecological communities.</w:t>
            </w:r>
          </w:p>
        </w:tc>
        <w:tc>
          <w:tcPr>
            <w:tcW w:w="5386" w:type="dxa"/>
            <w:shd w:val="clear" w:color="auto" w:fill="auto"/>
          </w:tcPr>
          <w:p w:rsidR="00477513" w:rsidRPr="00FB524C" w:rsidRDefault="00477513" w:rsidP="005362FD">
            <w:pPr>
              <w:spacing w:after="120" w:line="240" w:lineRule="auto"/>
              <w:rPr>
                <w:rFonts w:cs="Arial"/>
                <w:b/>
              </w:rPr>
            </w:pPr>
            <w:r w:rsidRPr="00FB524C">
              <w:rPr>
                <w:rFonts w:cs="Arial"/>
                <w:b/>
              </w:rPr>
              <w:t>There is a robust research and monitoring system that includes both fishery-dependent and independent data collection.</w:t>
            </w:r>
          </w:p>
          <w:p w:rsidR="00791D18" w:rsidRPr="00FB524C" w:rsidRDefault="00791D18" w:rsidP="005362FD">
            <w:pPr>
              <w:spacing w:after="120" w:line="240" w:lineRule="auto"/>
              <w:rPr>
                <w:rFonts w:cs="Arial"/>
              </w:rPr>
            </w:pPr>
            <w:r w:rsidRPr="00FB524C">
              <w:rPr>
                <w:rFonts w:cs="Arial"/>
              </w:rPr>
              <w:t>CCAMLR requires all participants in CCAMLR fisheries to complete and submit detailed daily fishing reports to monitor the catch of target, bycatch and protected species. These reports are typically at a species level.</w:t>
            </w:r>
          </w:p>
          <w:p w:rsidR="00791D18" w:rsidRPr="00FB524C" w:rsidRDefault="00791D18" w:rsidP="005362FD">
            <w:pPr>
              <w:spacing w:after="120" w:line="240" w:lineRule="auto"/>
              <w:rPr>
                <w:rFonts w:cs="Arial"/>
              </w:rPr>
            </w:pPr>
            <w:r w:rsidRPr="00FB524C">
              <w:rPr>
                <w:rFonts w:cs="Arial"/>
              </w:rPr>
              <w:t>For protected species, the concession holder must also detail and immediately implement measures to minimise the likelihood of subsequent similar interactions.</w:t>
            </w:r>
          </w:p>
          <w:p w:rsidR="00791D18" w:rsidRPr="00FB524C" w:rsidRDefault="00791D18" w:rsidP="005362FD">
            <w:pPr>
              <w:spacing w:after="120" w:line="240" w:lineRule="auto"/>
              <w:rPr>
                <w:rFonts w:cs="Arial"/>
              </w:rPr>
            </w:pPr>
            <w:r w:rsidRPr="00FB524C">
              <w:rPr>
                <w:rFonts w:cs="Arial"/>
              </w:rPr>
              <w:t>Australia has a strong record of compliance with these requirements, which are reviewed and reported on annually by CCAMLR.</w:t>
            </w:r>
          </w:p>
        </w:tc>
      </w:tr>
      <w:tr w:rsidR="00791D18" w:rsidRPr="008522A3" w:rsidTr="00381936">
        <w:tc>
          <w:tcPr>
            <w:tcW w:w="14283" w:type="dxa"/>
            <w:gridSpan w:val="5"/>
            <w:shd w:val="clear" w:color="auto" w:fill="E5DFEC"/>
          </w:tcPr>
          <w:p w:rsidR="00791D18" w:rsidRPr="008522A3" w:rsidRDefault="00791D18" w:rsidP="00CD35D2">
            <w:pPr>
              <w:spacing w:after="0" w:line="240" w:lineRule="auto"/>
              <w:rPr>
                <w:rFonts w:cs="Arial"/>
                <w:b/>
                <w:bCs/>
                <w:i/>
                <w:iCs/>
              </w:rPr>
            </w:pPr>
            <w:r w:rsidRPr="008522A3">
              <w:rPr>
                <w:rFonts w:cs="Arial"/>
                <w:b/>
                <w:bCs/>
                <w:i/>
                <w:iCs/>
              </w:rPr>
              <w:t xml:space="preserve">Assessments </w:t>
            </w:r>
          </w:p>
        </w:tc>
      </w:tr>
      <w:tr w:rsidR="00791D18" w:rsidRPr="00FB524C" w:rsidTr="00FC6D9C">
        <w:tc>
          <w:tcPr>
            <w:tcW w:w="4219" w:type="dxa"/>
          </w:tcPr>
          <w:p w:rsidR="00791D18" w:rsidRPr="00FB524C" w:rsidRDefault="00791D18" w:rsidP="009A7F91">
            <w:pPr>
              <w:autoSpaceDE w:val="0"/>
              <w:autoSpaceDN w:val="0"/>
              <w:adjustRightInd w:val="0"/>
              <w:spacing w:after="120" w:line="240" w:lineRule="auto"/>
              <w:rPr>
                <w:rFonts w:cs="Arial"/>
              </w:rPr>
            </w:pPr>
            <w:r w:rsidRPr="00FB524C">
              <w:rPr>
                <w:rFonts w:cs="Arial"/>
                <w:b/>
                <w:bCs/>
                <w:i/>
                <w:iCs/>
              </w:rPr>
              <w:t xml:space="preserve">2.2.2 </w:t>
            </w:r>
            <w:r w:rsidRPr="00FB524C">
              <w:rPr>
                <w:rFonts w:cs="Arial"/>
              </w:rPr>
              <w:t xml:space="preserve">There is an assessment of the impact of the fishery on endangered, threatened or protected species. </w:t>
            </w:r>
          </w:p>
        </w:tc>
        <w:tc>
          <w:tcPr>
            <w:tcW w:w="1559" w:type="dxa"/>
            <w:shd w:val="clear" w:color="auto" w:fill="auto"/>
          </w:tcPr>
          <w:p w:rsidR="00791D18" w:rsidRPr="00FB524C" w:rsidRDefault="00791D18" w:rsidP="009A7F91">
            <w:pPr>
              <w:spacing w:after="120" w:line="240" w:lineRule="auto"/>
              <w:rPr>
                <w:rFonts w:cs="Arial"/>
              </w:rPr>
            </w:pPr>
            <w:r w:rsidRPr="00FB524C">
              <w:rPr>
                <w:rFonts w:cs="Arial"/>
              </w:rPr>
              <w:t xml:space="preserve">Robust ERA conducted and risks identified as </w:t>
            </w:r>
            <w:r w:rsidR="009A7F91" w:rsidRPr="00FB524C">
              <w:rPr>
                <w:rFonts w:cs="Arial"/>
              </w:rPr>
              <w:t>low</w:t>
            </w:r>
            <w:r w:rsidRPr="00FB524C">
              <w:rPr>
                <w:rFonts w:cs="Arial"/>
              </w:rPr>
              <w:t xml:space="preserve"> or suitable management practices in place. </w:t>
            </w:r>
          </w:p>
        </w:tc>
        <w:tc>
          <w:tcPr>
            <w:tcW w:w="1560" w:type="dxa"/>
            <w:shd w:val="clear" w:color="auto" w:fill="FFC000"/>
          </w:tcPr>
          <w:p w:rsidR="00791D18" w:rsidRPr="00FB524C" w:rsidRDefault="00791D18" w:rsidP="009A7F91">
            <w:pPr>
              <w:spacing w:after="120" w:line="240" w:lineRule="auto"/>
              <w:rPr>
                <w:rFonts w:cs="Arial"/>
              </w:rPr>
            </w:pPr>
            <w:r w:rsidRPr="00FB524C">
              <w:rPr>
                <w:rFonts w:cs="Arial"/>
              </w:rPr>
              <w:t>An ERA is currently being developed.</w:t>
            </w:r>
          </w:p>
        </w:tc>
        <w:tc>
          <w:tcPr>
            <w:tcW w:w="1559" w:type="dxa"/>
            <w:shd w:val="clear" w:color="auto" w:fill="auto"/>
          </w:tcPr>
          <w:p w:rsidR="00791D18" w:rsidRPr="00FB524C" w:rsidRDefault="00791D18" w:rsidP="009A7F91">
            <w:pPr>
              <w:spacing w:after="120" w:line="240" w:lineRule="auto"/>
              <w:rPr>
                <w:rFonts w:cs="Arial"/>
              </w:rPr>
            </w:pPr>
            <w:r w:rsidRPr="00FB524C">
              <w:rPr>
                <w:rFonts w:cs="Arial"/>
              </w:rPr>
              <w:t xml:space="preserve">No ERA has been conducted. </w:t>
            </w:r>
          </w:p>
        </w:tc>
        <w:tc>
          <w:tcPr>
            <w:tcW w:w="5386" w:type="dxa"/>
            <w:shd w:val="clear" w:color="auto" w:fill="auto"/>
          </w:tcPr>
          <w:p w:rsidR="00477513" w:rsidRPr="00FB524C" w:rsidRDefault="00CD35D2" w:rsidP="009A7F91">
            <w:pPr>
              <w:spacing w:after="120" w:line="240" w:lineRule="auto"/>
              <w:rPr>
                <w:rFonts w:cs="Arial"/>
                <w:b/>
              </w:rPr>
            </w:pPr>
            <w:r w:rsidRPr="00FB524C">
              <w:rPr>
                <w:rFonts w:cs="Arial"/>
                <w:b/>
              </w:rPr>
              <w:t>An ecological risk assessment, according to Australian and New Zealand standards, is yet to be undertaken. However relevant information is available and management is precautionary.</w:t>
            </w:r>
          </w:p>
          <w:p w:rsidR="003103A0" w:rsidRPr="00FB524C" w:rsidRDefault="003103A0" w:rsidP="009A7F91">
            <w:pPr>
              <w:spacing w:after="120" w:line="240" w:lineRule="auto"/>
              <w:rPr>
                <w:rFonts w:cs="Arial"/>
                <w:b/>
              </w:rPr>
            </w:pPr>
            <w:r w:rsidRPr="00FB524C">
              <w:rPr>
                <w:rFonts w:cs="Arial"/>
                <w:b/>
              </w:rPr>
              <w:t>This is considered appropriate for the scale of the fisher</w:t>
            </w:r>
            <w:r w:rsidR="004B734E" w:rsidRPr="00FB524C">
              <w:rPr>
                <w:rFonts w:cs="Arial"/>
                <w:b/>
              </w:rPr>
              <w:t>ies</w:t>
            </w:r>
            <w:r w:rsidRPr="00FB524C">
              <w:rPr>
                <w:rFonts w:cs="Arial"/>
                <w:b/>
              </w:rPr>
              <w:t xml:space="preserve"> at this time.</w:t>
            </w:r>
          </w:p>
          <w:p w:rsidR="00791D18" w:rsidRPr="00FB524C" w:rsidRDefault="00791D18" w:rsidP="009A7F91">
            <w:pPr>
              <w:spacing w:after="120" w:line="240" w:lineRule="auto"/>
              <w:rPr>
                <w:rFonts w:cs="Arial"/>
              </w:rPr>
            </w:pPr>
            <w:r w:rsidRPr="00FB524C">
              <w:rPr>
                <w:rFonts w:cs="Arial"/>
              </w:rPr>
              <w:t xml:space="preserve">CCAMLR has developed risk frameworks for vulnerable marine ecosystems, seabirds and marine mammals. The CCAMLR Working Group on Incidental Mortality Associated with Fishing also undertake regular risk assessments of CCAMLR fisheries by Division including for new and exploratory fisheries. </w:t>
            </w:r>
          </w:p>
          <w:p w:rsidR="00791D18" w:rsidRPr="00FB524C" w:rsidRDefault="00791D18" w:rsidP="009A7F91">
            <w:pPr>
              <w:spacing w:after="120" w:line="240" w:lineRule="auto"/>
              <w:rPr>
                <w:rFonts w:cs="Arial"/>
              </w:rPr>
            </w:pPr>
            <w:r w:rsidRPr="00FB524C">
              <w:rPr>
                <w:rFonts w:cs="Arial"/>
              </w:rPr>
              <w:t xml:space="preserve">While there is no formal evaluation of the ecosystem implications of fishing for either Area performed by CCAMLR, the risk level for seabirds in both Divisions, based on current </w:t>
            </w:r>
            <w:r w:rsidR="00456967" w:rsidRPr="00FB524C">
              <w:rPr>
                <w:rFonts w:cs="Arial"/>
              </w:rPr>
              <w:t>conservation measure</w:t>
            </w:r>
            <w:r w:rsidRPr="00FB524C">
              <w:rPr>
                <w:rFonts w:cs="Arial"/>
              </w:rPr>
              <w:t xml:space="preserve">s, is ranked ‘category 2’ - average to low (CCAMLR Fishery Reports </w:t>
            </w:r>
            <w:hyperlink r:id="rId100" w:history="1">
              <w:r w:rsidRPr="00FB524C">
                <w:rPr>
                  <w:rStyle w:val="Hyperlink"/>
                  <w:rFonts w:cs="Arial"/>
                </w:rPr>
                <w:t>58.4.1</w:t>
              </w:r>
            </w:hyperlink>
            <w:r w:rsidRPr="00FB524C">
              <w:rPr>
                <w:rFonts w:cs="Arial"/>
              </w:rPr>
              <w:t xml:space="preserve"> and </w:t>
            </w:r>
            <w:hyperlink r:id="rId101" w:history="1">
              <w:r w:rsidRPr="00FB524C">
                <w:rPr>
                  <w:rStyle w:val="Hyperlink"/>
                  <w:rFonts w:cs="Arial"/>
                </w:rPr>
                <w:t>58.4.2</w:t>
              </w:r>
            </w:hyperlink>
            <w:r w:rsidR="00477513" w:rsidRPr="00FB524C">
              <w:t xml:space="preserve">, </w:t>
            </w:r>
            <w:r w:rsidR="00477513" w:rsidRPr="00FB524C">
              <w:rPr>
                <w:rFonts w:cs="Arial"/>
              </w:rPr>
              <w:t>SC-CAMLR-XXX, Annex 8, paragraph 8.1</w:t>
            </w:r>
            <w:r w:rsidRPr="00FB524C">
              <w:rPr>
                <w:rFonts w:cs="Arial"/>
              </w:rPr>
              <w:t>).</w:t>
            </w:r>
          </w:p>
          <w:p w:rsidR="00791D18" w:rsidRPr="00FB524C" w:rsidRDefault="00791D18" w:rsidP="009A7F91">
            <w:pPr>
              <w:spacing w:after="120" w:line="240" w:lineRule="auto"/>
              <w:rPr>
                <w:rFonts w:cs="Arial"/>
              </w:rPr>
            </w:pPr>
            <w:r w:rsidRPr="00FB524C">
              <w:rPr>
                <w:rFonts w:cs="Arial"/>
              </w:rPr>
              <w:t xml:space="preserve">AFMA has also not yet undertaken a formal ecological risk assessment for CCAMLR Divisions 58.4.1 and 58.4.2. </w:t>
            </w:r>
          </w:p>
          <w:p w:rsidR="00791D18" w:rsidRPr="00FB524C" w:rsidRDefault="00791D18" w:rsidP="009A7F91">
            <w:pPr>
              <w:spacing w:after="120" w:line="240" w:lineRule="auto"/>
              <w:rPr>
                <w:rFonts w:cs="Arial"/>
              </w:rPr>
            </w:pPr>
            <w:r w:rsidRPr="00FB524C">
              <w:rPr>
                <w:rFonts w:cs="Arial"/>
              </w:rPr>
              <w:t xml:space="preserve">AFMA’s </w:t>
            </w:r>
            <w:hyperlink r:id="rId102" w:history="1">
              <w:r w:rsidR="00477513" w:rsidRPr="00FB524C">
                <w:rPr>
                  <w:rStyle w:val="Hyperlink"/>
                  <w:rFonts w:cs="Arial"/>
                  <w:i/>
                </w:rPr>
                <w:t>Antarctic Fisheries Bycatch Action Plan 2003</w:t>
              </w:r>
            </w:hyperlink>
            <w:r w:rsidRPr="00FB524C">
              <w:rPr>
                <w:rFonts w:cs="Arial"/>
              </w:rPr>
              <w:t xml:space="preserve"> was drafted prior to the introduction of Ecological Risk Assessment processes for Commonwealth managed fisheries, and considered available fishing data for the areas. The Action Plan concluded there were no species at high risk based on management arrangements at the time. These arrangements have been maintained and updated in CCAMLR </w:t>
            </w:r>
            <w:r w:rsidR="00456967" w:rsidRPr="00FB524C">
              <w:rPr>
                <w:rFonts w:cs="Arial"/>
              </w:rPr>
              <w:t>conservation measure</w:t>
            </w:r>
            <w:r w:rsidRPr="00FB524C">
              <w:rPr>
                <w:rFonts w:cs="Arial"/>
              </w:rPr>
              <w:t>s for the Divisions.</w:t>
            </w:r>
          </w:p>
          <w:p w:rsidR="00791D18" w:rsidRPr="00FB524C" w:rsidRDefault="00791D18" w:rsidP="009A7F91">
            <w:pPr>
              <w:spacing w:after="120" w:line="240" w:lineRule="auto"/>
              <w:rPr>
                <w:rFonts w:cs="Arial"/>
              </w:rPr>
            </w:pPr>
            <w:r w:rsidRPr="00FB524C">
              <w:rPr>
                <w:rFonts w:cs="Arial"/>
              </w:rPr>
              <w:t>Qualitative risk assessments undertaken on similar, nearby fisheries (Heard Island and Macquarie Island Fisheries, 2009 and for New Zealand operations in Divisions 58.4.1 and 58.4.2) found no species at risk of overfishing based on the management arrangements in place. These management arrangements are consistent with those in force for the new and exploratory fisheries in Divisions 58.4.1 and 58.4.2.</w:t>
            </w:r>
          </w:p>
          <w:p w:rsidR="00791D18" w:rsidRPr="00FB524C" w:rsidRDefault="00791D18" w:rsidP="009A7F91">
            <w:pPr>
              <w:spacing w:after="120" w:line="240" w:lineRule="auto"/>
              <w:rPr>
                <w:rFonts w:cs="Arial"/>
              </w:rPr>
            </w:pPr>
            <w:r w:rsidRPr="00FB524C">
              <w:rPr>
                <w:rFonts w:cs="Arial"/>
              </w:rPr>
              <w:t>Interactions with protected species have been very low (six interac</w:t>
            </w:r>
            <w:r w:rsidR="00CD35D2" w:rsidRPr="00FB524C">
              <w:rPr>
                <w:rFonts w:cs="Arial"/>
              </w:rPr>
              <w:t>tions) since 2003; all occurred</w:t>
            </w:r>
            <w:r w:rsidRPr="00FB524C">
              <w:rPr>
                <w:rFonts w:cs="Arial"/>
              </w:rPr>
              <w:t xml:space="preserve"> in 2005.</w:t>
            </w:r>
          </w:p>
        </w:tc>
      </w:tr>
      <w:tr w:rsidR="00791D18" w:rsidRPr="00FB524C" w:rsidTr="00FC6D9C">
        <w:tc>
          <w:tcPr>
            <w:tcW w:w="4219" w:type="dxa"/>
          </w:tcPr>
          <w:p w:rsidR="00791D18" w:rsidRPr="00FB524C" w:rsidRDefault="00791D18" w:rsidP="009A7F91">
            <w:pPr>
              <w:autoSpaceDE w:val="0"/>
              <w:autoSpaceDN w:val="0"/>
              <w:adjustRightInd w:val="0"/>
              <w:spacing w:after="120" w:line="240" w:lineRule="auto"/>
              <w:rPr>
                <w:rFonts w:cs="Arial"/>
              </w:rPr>
            </w:pPr>
            <w:r w:rsidRPr="00FB524C">
              <w:rPr>
                <w:rFonts w:cs="Arial"/>
                <w:b/>
                <w:bCs/>
                <w:i/>
                <w:iCs/>
              </w:rPr>
              <w:t xml:space="preserve">2.2.3 </w:t>
            </w:r>
            <w:r w:rsidRPr="00FB524C">
              <w:rPr>
                <w:rFonts w:cs="Arial"/>
              </w:rPr>
              <w:t xml:space="preserve">There is an assessment of the impact of the fishery on threatened ecological communities. </w:t>
            </w:r>
          </w:p>
        </w:tc>
        <w:tc>
          <w:tcPr>
            <w:tcW w:w="1559" w:type="dxa"/>
            <w:shd w:val="clear" w:color="auto" w:fill="auto"/>
          </w:tcPr>
          <w:p w:rsidR="00791D18" w:rsidRPr="00FB524C" w:rsidRDefault="00791D18" w:rsidP="009A7F91">
            <w:pPr>
              <w:spacing w:after="120" w:line="240" w:lineRule="auto"/>
              <w:rPr>
                <w:rFonts w:cs="Arial"/>
              </w:rPr>
            </w:pPr>
            <w:r w:rsidRPr="00FB524C">
              <w:rPr>
                <w:rFonts w:cs="Arial"/>
              </w:rPr>
              <w:t xml:space="preserve">Robust ERA conducted and risks identified as </w:t>
            </w:r>
            <w:proofErr w:type="gramStart"/>
            <w:r w:rsidRPr="00FB524C">
              <w:rPr>
                <w:rFonts w:cs="Arial"/>
              </w:rPr>
              <w:t>low,</w:t>
            </w:r>
            <w:proofErr w:type="gramEnd"/>
            <w:r w:rsidRPr="00FB524C">
              <w:rPr>
                <w:rFonts w:cs="Arial"/>
              </w:rPr>
              <w:t xml:space="preserve"> or suitable management practices in place.</w:t>
            </w:r>
          </w:p>
        </w:tc>
        <w:tc>
          <w:tcPr>
            <w:tcW w:w="1560" w:type="dxa"/>
            <w:shd w:val="clear" w:color="auto" w:fill="FFC000"/>
          </w:tcPr>
          <w:p w:rsidR="00791D18" w:rsidRPr="00FB524C" w:rsidRDefault="00791D18" w:rsidP="009A7F91">
            <w:pPr>
              <w:spacing w:after="120" w:line="240" w:lineRule="auto"/>
              <w:rPr>
                <w:rFonts w:cs="Arial"/>
              </w:rPr>
            </w:pPr>
            <w:r w:rsidRPr="00FB524C">
              <w:rPr>
                <w:rFonts w:cs="Arial"/>
              </w:rPr>
              <w:t>An ERA is currently being developed.</w:t>
            </w:r>
          </w:p>
        </w:tc>
        <w:tc>
          <w:tcPr>
            <w:tcW w:w="1559" w:type="dxa"/>
            <w:shd w:val="clear" w:color="auto" w:fill="auto"/>
          </w:tcPr>
          <w:p w:rsidR="00791D18" w:rsidRPr="00FB524C" w:rsidRDefault="00791D18" w:rsidP="009A7F91">
            <w:pPr>
              <w:spacing w:after="120" w:line="240" w:lineRule="auto"/>
              <w:rPr>
                <w:rFonts w:cs="Arial"/>
              </w:rPr>
            </w:pPr>
            <w:r w:rsidRPr="00FB524C">
              <w:rPr>
                <w:rFonts w:cs="Arial"/>
              </w:rPr>
              <w:t>No ERA has been conducted.</w:t>
            </w:r>
          </w:p>
        </w:tc>
        <w:tc>
          <w:tcPr>
            <w:tcW w:w="5386" w:type="dxa"/>
            <w:shd w:val="clear" w:color="auto" w:fill="auto"/>
          </w:tcPr>
          <w:p w:rsidR="00CD35D2" w:rsidRPr="00FB524C" w:rsidRDefault="00CD35D2" w:rsidP="009A7F91">
            <w:pPr>
              <w:spacing w:after="120" w:line="240" w:lineRule="auto"/>
              <w:rPr>
                <w:rFonts w:cs="Arial"/>
                <w:b/>
              </w:rPr>
            </w:pPr>
            <w:r w:rsidRPr="00FB524C">
              <w:rPr>
                <w:rFonts w:cs="Arial"/>
                <w:b/>
              </w:rPr>
              <w:t>An ecological risk assessment, according to Australian and New Zealand standards, is yet to be undertaken. However relevant information is available and management is precautionary.</w:t>
            </w:r>
          </w:p>
          <w:p w:rsidR="003103A0" w:rsidRPr="00FB524C" w:rsidRDefault="003103A0" w:rsidP="009A7F91">
            <w:pPr>
              <w:spacing w:after="120" w:line="240" w:lineRule="auto"/>
              <w:rPr>
                <w:rFonts w:cs="Arial"/>
                <w:b/>
              </w:rPr>
            </w:pPr>
            <w:r w:rsidRPr="00FB524C">
              <w:rPr>
                <w:rFonts w:cs="Arial"/>
                <w:b/>
              </w:rPr>
              <w:t>This is considered appropriate for the scale of the fisher</w:t>
            </w:r>
            <w:r w:rsidR="004B734E" w:rsidRPr="00FB524C">
              <w:rPr>
                <w:rFonts w:cs="Arial"/>
                <w:b/>
              </w:rPr>
              <w:t>ies</w:t>
            </w:r>
            <w:r w:rsidRPr="00FB524C">
              <w:rPr>
                <w:rFonts w:cs="Arial"/>
                <w:b/>
              </w:rPr>
              <w:t xml:space="preserve"> at this time.</w:t>
            </w:r>
          </w:p>
          <w:p w:rsidR="00791D18" w:rsidRPr="00FB524C" w:rsidRDefault="00791D18" w:rsidP="009A7F91">
            <w:pPr>
              <w:spacing w:after="120" w:line="240" w:lineRule="auto"/>
              <w:rPr>
                <w:rFonts w:cs="Arial"/>
              </w:rPr>
            </w:pPr>
            <w:r w:rsidRPr="00FB524C">
              <w:rPr>
                <w:rFonts w:cs="Arial"/>
              </w:rPr>
              <w:t xml:space="preserve">The fisheries are new and exploratory and as yet have not had a formal ecological risk assessment according to the Australian (and New Zealand) standards. </w:t>
            </w:r>
          </w:p>
          <w:p w:rsidR="00791D18" w:rsidRPr="00FB524C" w:rsidRDefault="00791D18" w:rsidP="009A7F91">
            <w:pPr>
              <w:spacing w:after="120" w:line="240" w:lineRule="auto"/>
              <w:rPr>
                <w:rFonts w:cs="Arial"/>
              </w:rPr>
            </w:pPr>
            <w:r w:rsidRPr="00FB524C">
              <w:rPr>
                <w:rFonts w:cs="Arial"/>
              </w:rPr>
              <w:t>Management arrangements are precautionary and designed to deliver information on the fisher</w:t>
            </w:r>
            <w:r w:rsidR="004B734E" w:rsidRPr="00FB524C">
              <w:rPr>
                <w:rFonts w:cs="Arial"/>
              </w:rPr>
              <w:t>ies</w:t>
            </w:r>
            <w:r w:rsidRPr="00FB524C">
              <w:rPr>
                <w:rFonts w:cs="Arial"/>
              </w:rPr>
              <w:t xml:space="preserve"> before any further development and longer-term investment occurs.</w:t>
            </w:r>
          </w:p>
          <w:p w:rsidR="00791D18" w:rsidRPr="00FB524C" w:rsidRDefault="00791D18" w:rsidP="009A7F91">
            <w:pPr>
              <w:spacing w:after="120" w:line="240" w:lineRule="auto"/>
              <w:rPr>
                <w:rFonts w:cs="Arial"/>
              </w:rPr>
            </w:pPr>
            <w:r w:rsidRPr="00FB524C">
              <w:rPr>
                <w:rFonts w:cs="Arial"/>
              </w:rPr>
              <w:t>Vuln</w:t>
            </w:r>
            <w:r w:rsidR="00CD35D2" w:rsidRPr="00FB524C">
              <w:rPr>
                <w:rFonts w:cs="Arial"/>
              </w:rPr>
              <w:t>erable marine ecosystems</w:t>
            </w:r>
            <w:r w:rsidRPr="00FB524C">
              <w:rPr>
                <w:rFonts w:cs="Arial"/>
              </w:rPr>
              <w:t xml:space="preserve"> and impacts on the environment are considered in managing CCAMLR fisheries.</w:t>
            </w:r>
          </w:p>
        </w:tc>
      </w:tr>
      <w:tr w:rsidR="00791D18" w:rsidRPr="008522A3" w:rsidTr="00381936">
        <w:tc>
          <w:tcPr>
            <w:tcW w:w="14283" w:type="dxa"/>
            <w:gridSpan w:val="5"/>
            <w:shd w:val="clear" w:color="auto" w:fill="E5DFEC"/>
          </w:tcPr>
          <w:p w:rsidR="00791D18" w:rsidRPr="008522A3" w:rsidRDefault="00791D18" w:rsidP="00CD35D2">
            <w:pPr>
              <w:spacing w:after="0" w:line="240" w:lineRule="auto"/>
              <w:rPr>
                <w:rFonts w:cs="Arial"/>
                <w:b/>
                <w:bCs/>
                <w:i/>
                <w:iCs/>
              </w:rPr>
            </w:pPr>
            <w:r w:rsidRPr="008522A3">
              <w:rPr>
                <w:rFonts w:cs="Arial"/>
                <w:b/>
                <w:bCs/>
                <w:i/>
                <w:iCs/>
              </w:rPr>
              <w:t xml:space="preserve">Management responses </w:t>
            </w:r>
          </w:p>
        </w:tc>
      </w:tr>
      <w:tr w:rsidR="00791D18" w:rsidRPr="00FB524C" w:rsidTr="00FC6D9C">
        <w:tc>
          <w:tcPr>
            <w:tcW w:w="4219" w:type="dxa"/>
          </w:tcPr>
          <w:p w:rsidR="00791D18" w:rsidRPr="00FB524C" w:rsidRDefault="00791D18" w:rsidP="005362FD">
            <w:pPr>
              <w:autoSpaceDE w:val="0"/>
              <w:autoSpaceDN w:val="0"/>
              <w:adjustRightInd w:val="0"/>
              <w:spacing w:after="120" w:line="240" w:lineRule="auto"/>
              <w:rPr>
                <w:rFonts w:cs="Arial"/>
              </w:rPr>
            </w:pPr>
            <w:r w:rsidRPr="00FB524C">
              <w:rPr>
                <w:rFonts w:cs="Arial"/>
                <w:b/>
                <w:bCs/>
                <w:i/>
                <w:iCs/>
              </w:rPr>
              <w:t xml:space="preserve">2.2.4 </w:t>
            </w:r>
            <w:r w:rsidRPr="00FB524C">
              <w:rPr>
                <w:rFonts w:cs="Arial"/>
              </w:rPr>
              <w:t xml:space="preserve">There are measures in place to avoid capture and/or mortality of endangered, threatened or protected species. </w:t>
            </w:r>
          </w:p>
        </w:tc>
        <w:tc>
          <w:tcPr>
            <w:tcW w:w="1559" w:type="dxa"/>
            <w:shd w:val="clear" w:color="auto" w:fill="92D050"/>
          </w:tcPr>
          <w:p w:rsidR="00791D18" w:rsidRPr="00FB524C" w:rsidRDefault="00791D18" w:rsidP="005362FD">
            <w:pPr>
              <w:spacing w:after="120" w:line="240" w:lineRule="auto"/>
              <w:rPr>
                <w:rFonts w:cs="Arial"/>
              </w:rPr>
            </w:pPr>
            <w:r w:rsidRPr="00FB524C">
              <w:rPr>
                <w:rFonts w:cs="Arial"/>
              </w:rPr>
              <w:t xml:space="preserve">Mitigation strategy in place to avoid interactions with protected species. </w:t>
            </w:r>
          </w:p>
        </w:tc>
        <w:tc>
          <w:tcPr>
            <w:tcW w:w="1560" w:type="dxa"/>
            <w:shd w:val="clear" w:color="auto" w:fill="auto"/>
          </w:tcPr>
          <w:p w:rsidR="00791D18" w:rsidRPr="00FB524C" w:rsidRDefault="00791D18" w:rsidP="005362FD">
            <w:pPr>
              <w:spacing w:after="120" w:line="240" w:lineRule="auto"/>
              <w:rPr>
                <w:rFonts w:cs="Arial"/>
              </w:rPr>
            </w:pPr>
            <w:r w:rsidRPr="00FB524C">
              <w:rPr>
                <w:rFonts w:cs="Arial"/>
              </w:rPr>
              <w:t xml:space="preserve">Mitigation strategy for the avoidance of interactions with protected species is under development. </w:t>
            </w:r>
          </w:p>
        </w:tc>
        <w:tc>
          <w:tcPr>
            <w:tcW w:w="1559" w:type="dxa"/>
            <w:shd w:val="clear" w:color="auto" w:fill="auto"/>
          </w:tcPr>
          <w:p w:rsidR="00791D18" w:rsidRPr="00FB524C" w:rsidRDefault="00791D18" w:rsidP="005362FD">
            <w:pPr>
              <w:spacing w:after="120" w:line="240" w:lineRule="auto"/>
              <w:rPr>
                <w:rFonts w:cs="Arial"/>
              </w:rPr>
            </w:pPr>
            <w:r w:rsidRPr="00FB524C">
              <w:rPr>
                <w:rFonts w:cs="Arial"/>
              </w:rPr>
              <w:t xml:space="preserve">No mitigation strategy in place. </w:t>
            </w:r>
          </w:p>
        </w:tc>
        <w:tc>
          <w:tcPr>
            <w:tcW w:w="5386" w:type="dxa"/>
            <w:shd w:val="clear" w:color="auto" w:fill="auto"/>
          </w:tcPr>
          <w:p w:rsidR="00CD35D2" w:rsidRPr="00FB524C" w:rsidRDefault="005A12FD" w:rsidP="005362FD">
            <w:pPr>
              <w:spacing w:after="120" w:line="240" w:lineRule="auto"/>
              <w:rPr>
                <w:rFonts w:cs="Arial"/>
                <w:b/>
              </w:rPr>
            </w:pPr>
            <w:r w:rsidRPr="00FB524C">
              <w:rPr>
                <w:rFonts w:cs="Arial"/>
                <w:b/>
              </w:rPr>
              <w:t>Effective strategies are in place to mitigate risks to protected species.</w:t>
            </w:r>
          </w:p>
          <w:p w:rsidR="00791D18" w:rsidRPr="00FB524C" w:rsidRDefault="00791D18" w:rsidP="005362FD">
            <w:pPr>
              <w:spacing w:after="120" w:line="240" w:lineRule="auto"/>
              <w:rPr>
                <w:rFonts w:cs="Arial"/>
              </w:rPr>
            </w:pPr>
            <w:r w:rsidRPr="00FB524C">
              <w:rPr>
                <w:rFonts w:cs="Arial"/>
              </w:rPr>
              <w:t>Current measures include:</w:t>
            </w:r>
          </w:p>
          <w:p w:rsidR="00791D18" w:rsidRPr="00FB524C" w:rsidRDefault="00791D18" w:rsidP="005362FD">
            <w:pPr>
              <w:pStyle w:val="ListBullet"/>
              <w:spacing w:after="120" w:line="240" w:lineRule="auto"/>
              <w:rPr>
                <w:rFonts w:cs="Arial"/>
              </w:rPr>
            </w:pPr>
            <w:r w:rsidRPr="00FB524C">
              <w:rPr>
                <w:rFonts w:cs="Arial"/>
              </w:rPr>
              <w:t>Prohibition on offal discharge to avoid provisioning wildlife;</w:t>
            </w:r>
          </w:p>
          <w:p w:rsidR="00791D18" w:rsidRPr="00FB524C" w:rsidRDefault="00791D18" w:rsidP="005362FD">
            <w:pPr>
              <w:pStyle w:val="ListBullet"/>
              <w:spacing w:after="120" w:line="240" w:lineRule="auto"/>
              <w:rPr>
                <w:rFonts w:cs="Arial"/>
              </w:rPr>
            </w:pPr>
            <w:r w:rsidRPr="00FB524C">
              <w:rPr>
                <w:rFonts w:cs="Arial"/>
              </w:rPr>
              <w:t xml:space="preserve">Using integrated weight line, paired streamer lines, </w:t>
            </w:r>
            <w:proofErr w:type="spellStart"/>
            <w:r w:rsidRPr="00FB524C">
              <w:rPr>
                <w:rFonts w:cs="Arial"/>
              </w:rPr>
              <w:t>brickle</w:t>
            </w:r>
            <w:proofErr w:type="spellEnd"/>
            <w:r w:rsidRPr="00FB524C">
              <w:rPr>
                <w:rFonts w:cs="Arial"/>
              </w:rPr>
              <w:t xml:space="preserve"> curtains and seasonal closures to avoid seabirds attending baits;</w:t>
            </w:r>
          </w:p>
          <w:p w:rsidR="00791D18" w:rsidRPr="00FB524C" w:rsidRDefault="00791D18" w:rsidP="005362FD">
            <w:pPr>
              <w:pStyle w:val="ListBullet"/>
              <w:spacing w:after="120" w:line="240" w:lineRule="auto"/>
              <w:rPr>
                <w:rFonts w:cs="Arial"/>
              </w:rPr>
            </w:pPr>
            <w:r w:rsidRPr="00FB524C">
              <w:rPr>
                <w:rFonts w:cs="Arial"/>
              </w:rPr>
              <w:t xml:space="preserve">Minimising lighting on fishing </w:t>
            </w:r>
            <w:r w:rsidR="0096492B" w:rsidRPr="00FB524C">
              <w:rPr>
                <w:rFonts w:cs="Arial"/>
              </w:rPr>
              <w:t>vessel</w:t>
            </w:r>
            <w:r w:rsidRPr="00FB524C">
              <w:rPr>
                <w:rFonts w:cs="Arial"/>
              </w:rPr>
              <w:t xml:space="preserve">s to reduce the risk of seabirds colliding with </w:t>
            </w:r>
            <w:r w:rsidR="0096492B" w:rsidRPr="00FB524C">
              <w:rPr>
                <w:rFonts w:cs="Arial"/>
              </w:rPr>
              <w:t>vessel</w:t>
            </w:r>
            <w:r w:rsidRPr="00FB524C">
              <w:rPr>
                <w:rFonts w:cs="Arial"/>
              </w:rPr>
              <w:t>s; and</w:t>
            </w:r>
          </w:p>
          <w:p w:rsidR="00791D18" w:rsidRPr="00FB524C" w:rsidRDefault="00791D18" w:rsidP="005362FD">
            <w:pPr>
              <w:pStyle w:val="ListBullet"/>
              <w:spacing w:after="120" w:line="240" w:lineRule="auto"/>
              <w:rPr>
                <w:rFonts w:cs="Arial"/>
              </w:rPr>
            </w:pPr>
            <w:r w:rsidRPr="00FB524C">
              <w:rPr>
                <w:rFonts w:cs="Arial"/>
              </w:rPr>
              <w:t>Prohibition on use of plastic packaging bands to secure bait boxes.</w:t>
            </w:r>
          </w:p>
          <w:p w:rsidR="00791D18" w:rsidRPr="00FB524C" w:rsidRDefault="00791D18" w:rsidP="005362FD">
            <w:pPr>
              <w:spacing w:after="120" w:line="240" w:lineRule="auto"/>
              <w:rPr>
                <w:rFonts w:cs="Arial"/>
              </w:rPr>
            </w:pPr>
            <w:r w:rsidRPr="00FB524C">
              <w:rPr>
                <w:rFonts w:cs="Arial"/>
              </w:rPr>
              <w:t>Fishing depth restrictions, area closures and move-on provisions provide additional protection.</w:t>
            </w:r>
          </w:p>
          <w:p w:rsidR="002857B8" w:rsidRPr="00FB524C" w:rsidRDefault="00791D18">
            <w:pPr>
              <w:spacing w:after="60" w:line="240" w:lineRule="auto"/>
              <w:rPr>
                <w:rFonts w:cs="Arial"/>
              </w:rPr>
            </w:pPr>
            <w:r w:rsidRPr="00FB524C">
              <w:rPr>
                <w:rFonts w:cs="Arial"/>
              </w:rPr>
              <w:t>AFMA’s management arrangements are also consistent with the following measures:</w:t>
            </w:r>
          </w:p>
          <w:p w:rsidR="002857B8" w:rsidRPr="00FB524C" w:rsidRDefault="00D440B7">
            <w:pPr>
              <w:pStyle w:val="ListBullet"/>
              <w:spacing w:after="60" w:line="240" w:lineRule="auto"/>
              <w:rPr>
                <w:rFonts w:cs="Arial"/>
                <w:snapToGrid w:val="0"/>
              </w:rPr>
            </w:pPr>
            <w:hyperlink r:id="rId103" w:history="1">
              <w:r w:rsidR="007235D0" w:rsidRPr="00FB524C">
                <w:rPr>
                  <w:rStyle w:val="Hyperlink"/>
                  <w:rFonts w:cs="Arial"/>
                  <w:snapToGrid w:val="0"/>
                </w:rPr>
                <w:t xml:space="preserve">CCAMLR </w:t>
              </w:r>
              <w:r w:rsidR="00456967" w:rsidRPr="00FB524C">
                <w:rPr>
                  <w:rStyle w:val="Hyperlink"/>
                  <w:rFonts w:cs="Arial"/>
                  <w:snapToGrid w:val="0"/>
                </w:rPr>
                <w:t>conservation measure</w:t>
              </w:r>
              <w:r w:rsidR="007235D0" w:rsidRPr="00FB524C">
                <w:rPr>
                  <w:rStyle w:val="Hyperlink"/>
                  <w:rFonts w:cs="Arial"/>
                  <w:snapToGrid w:val="0"/>
                </w:rPr>
                <w:t>s</w:t>
              </w:r>
            </w:hyperlink>
          </w:p>
          <w:p w:rsidR="002857B8" w:rsidRPr="00FB524C" w:rsidRDefault="00D440B7">
            <w:pPr>
              <w:pStyle w:val="ListBullet"/>
              <w:spacing w:after="60" w:line="240" w:lineRule="auto"/>
              <w:rPr>
                <w:rFonts w:cs="Arial"/>
                <w:snapToGrid w:val="0"/>
              </w:rPr>
            </w:pPr>
            <w:hyperlink r:id="rId104" w:history="1">
              <w:r w:rsidR="007235D0" w:rsidRPr="00FB524C">
                <w:rPr>
                  <w:rStyle w:val="Hyperlink"/>
                  <w:rFonts w:cs="Arial"/>
                  <w:snapToGrid w:val="0"/>
                </w:rPr>
                <w:t>National recovery plan for threatened albatrosses and giant petrels 2011–2016</w:t>
              </w:r>
            </w:hyperlink>
          </w:p>
          <w:p w:rsidR="002857B8" w:rsidRPr="00FB524C" w:rsidRDefault="00D440B7">
            <w:pPr>
              <w:pStyle w:val="ListBullet"/>
              <w:spacing w:after="60" w:line="240" w:lineRule="auto"/>
              <w:rPr>
                <w:rFonts w:cs="Arial"/>
                <w:snapToGrid w:val="0"/>
              </w:rPr>
            </w:pPr>
            <w:hyperlink r:id="rId105" w:history="1">
              <w:r w:rsidR="007235D0" w:rsidRPr="00FB524C">
                <w:rPr>
                  <w:rStyle w:val="Hyperlink"/>
                  <w:rFonts w:cs="Arial"/>
                  <w:snapToGrid w:val="0"/>
                </w:rPr>
                <w:t xml:space="preserve">Threat Abatement Plan 2014 for the incidental catch (or bycatch) of seabirds during oceanic </w:t>
              </w:r>
              <w:proofErr w:type="spellStart"/>
              <w:r w:rsidR="007235D0" w:rsidRPr="00FB524C">
                <w:rPr>
                  <w:rStyle w:val="Hyperlink"/>
                  <w:rFonts w:cs="Arial"/>
                  <w:snapToGrid w:val="0"/>
                </w:rPr>
                <w:t>longline</w:t>
              </w:r>
              <w:proofErr w:type="spellEnd"/>
              <w:r w:rsidR="007235D0" w:rsidRPr="00FB524C">
                <w:rPr>
                  <w:rStyle w:val="Hyperlink"/>
                  <w:rFonts w:cs="Arial"/>
                  <w:snapToGrid w:val="0"/>
                </w:rPr>
                <w:t xml:space="preserve"> fishing operations</w:t>
              </w:r>
            </w:hyperlink>
            <w:r w:rsidR="007235D0" w:rsidRPr="00FB524C">
              <w:rPr>
                <w:rFonts w:cs="Arial"/>
                <w:snapToGrid w:val="0"/>
              </w:rPr>
              <w:t>, and</w:t>
            </w:r>
          </w:p>
          <w:p w:rsidR="00791D18" w:rsidRPr="00FB524C" w:rsidRDefault="00D440B7" w:rsidP="005362FD">
            <w:pPr>
              <w:pStyle w:val="ListBullet"/>
              <w:spacing w:after="120" w:line="240" w:lineRule="auto"/>
              <w:rPr>
                <w:rFonts w:cs="Arial"/>
              </w:rPr>
            </w:pPr>
            <w:hyperlink r:id="rId106" w:history="1">
              <w:r w:rsidR="007235D0" w:rsidRPr="00FB524C">
                <w:rPr>
                  <w:rStyle w:val="Hyperlink"/>
                  <w:rFonts w:cs="Arial"/>
                  <w:snapToGrid w:val="0"/>
                </w:rPr>
                <w:t>Agreement on the Conservation of Albatrosses and Petrels</w:t>
              </w:r>
            </w:hyperlink>
            <w:r w:rsidR="007235D0" w:rsidRPr="00FB524C">
              <w:rPr>
                <w:rFonts w:cs="Arial"/>
                <w:snapToGrid w:val="0"/>
              </w:rPr>
              <w:t>.</w:t>
            </w:r>
          </w:p>
        </w:tc>
      </w:tr>
      <w:tr w:rsidR="00791D18" w:rsidRPr="00FB524C" w:rsidTr="00FC6D9C">
        <w:tc>
          <w:tcPr>
            <w:tcW w:w="4219" w:type="dxa"/>
          </w:tcPr>
          <w:p w:rsidR="00791D18" w:rsidRPr="00FB524C" w:rsidRDefault="00791D18" w:rsidP="009A7F91">
            <w:pPr>
              <w:autoSpaceDE w:val="0"/>
              <w:autoSpaceDN w:val="0"/>
              <w:adjustRightInd w:val="0"/>
              <w:spacing w:after="120" w:line="240" w:lineRule="auto"/>
              <w:rPr>
                <w:rFonts w:cs="Arial"/>
              </w:rPr>
            </w:pPr>
            <w:r w:rsidRPr="00FB524C">
              <w:rPr>
                <w:rFonts w:cs="Arial"/>
                <w:b/>
                <w:bCs/>
                <w:i/>
                <w:iCs/>
              </w:rPr>
              <w:t xml:space="preserve">2.2.5 </w:t>
            </w:r>
            <w:r w:rsidRPr="00FB524C">
              <w:rPr>
                <w:rFonts w:cs="Arial"/>
              </w:rPr>
              <w:t>There are measures in place to avoid impact on threatened ecological communities.</w:t>
            </w:r>
          </w:p>
        </w:tc>
        <w:tc>
          <w:tcPr>
            <w:tcW w:w="1559" w:type="dxa"/>
            <w:shd w:val="clear" w:color="auto" w:fill="auto"/>
          </w:tcPr>
          <w:p w:rsidR="00791D18" w:rsidRPr="00FB524C" w:rsidRDefault="00791D18" w:rsidP="009A7F91">
            <w:pPr>
              <w:spacing w:after="120" w:line="240" w:lineRule="auto"/>
              <w:rPr>
                <w:rFonts w:cs="Arial"/>
              </w:rPr>
            </w:pPr>
            <w:r w:rsidRPr="00FB524C">
              <w:rPr>
                <w:rFonts w:cs="Arial"/>
              </w:rPr>
              <w:t xml:space="preserve">Mitigation strategy in place to avoid impact on threatened ecological communities. </w:t>
            </w:r>
          </w:p>
        </w:tc>
        <w:tc>
          <w:tcPr>
            <w:tcW w:w="1560" w:type="dxa"/>
            <w:shd w:val="clear" w:color="auto" w:fill="auto"/>
          </w:tcPr>
          <w:p w:rsidR="00791D18" w:rsidRPr="00FB524C" w:rsidRDefault="00791D18" w:rsidP="009A7F91">
            <w:pPr>
              <w:spacing w:after="120" w:line="240" w:lineRule="auto"/>
              <w:rPr>
                <w:rFonts w:cs="Arial"/>
              </w:rPr>
            </w:pPr>
            <w:r w:rsidRPr="00FB524C">
              <w:rPr>
                <w:rFonts w:cs="Arial"/>
              </w:rPr>
              <w:t xml:space="preserve">Mitigation strategy for the avoidance of impact on threatened ecological communities under development. </w:t>
            </w:r>
          </w:p>
        </w:tc>
        <w:tc>
          <w:tcPr>
            <w:tcW w:w="1559" w:type="dxa"/>
            <w:shd w:val="clear" w:color="auto" w:fill="auto"/>
          </w:tcPr>
          <w:p w:rsidR="00791D18" w:rsidRPr="00FB524C" w:rsidRDefault="00791D18" w:rsidP="009A7F91">
            <w:pPr>
              <w:spacing w:after="120" w:line="240" w:lineRule="auto"/>
              <w:rPr>
                <w:rFonts w:cs="Arial"/>
              </w:rPr>
            </w:pPr>
            <w:r w:rsidRPr="00FB524C">
              <w:rPr>
                <w:rFonts w:cs="Arial"/>
              </w:rPr>
              <w:t xml:space="preserve">No mitigation strategy in place. </w:t>
            </w:r>
          </w:p>
        </w:tc>
        <w:tc>
          <w:tcPr>
            <w:tcW w:w="5386" w:type="dxa"/>
            <w:shd w:val="clear" w:color="auto" w:fill="auto"/>
          </w:tcPr>
          <w:p w:rsidR="005A12FD" w:rsidRPr="00FB524C" w:rsidRDefault="005A12FD" w:rsidP="009A7F91">
            <w:pPr>
              <w:spacing w:after="120" w:line="240" w:lineRule="auto"/>
              <w:rPr>
                <w:rFonts w:cs="Arial"/>
                <w:b/>
              </w:rPr>
            </w:pPr>
            <w:r w:rsidRPr="00FB524C">
              <w:rPr>
                <w:rFonts w:cs="Arial"/>
                <w:b/>
              </w:rPr>
              <w:t>Not applicable.</w:t>
            </w:r>
          </w:p>
          <w:p w:rsidR="00791D18" w:rsidRPr="00FB524C" w:rsidRDefault="005A12FD" w:rsidP="009A7F91">
            <w:pPr>
              <w:spacing w:after="120" w:line="240" w:lineRule="auto"/>
              <w:rPr>
                <w:rFonts w:cs="Arial"/>
                <w:b/>
              </w:rPr>
            </w:pPr>
            <w:r w:rsidRPr="00FB524C">
              <w:rPr>
                <w:rFonts w:cs="Arial"/>
                <w:b/>
              </w:rPr>
              <w:t>No t</w:t>
            </w:r>
            <w:r w:rsidR="00791D18" w:rsidRPr="00FB524C">
              <w:rPr>
                <w:rFonts w:cs="Arial"/>
                <w:b/>
              </w:rPr>
              <w:t>hreatened ecological communities have been identified</w:t>
            </w:r>
            <w:r w:rsidRPr="00FB524C">
              <w:rPr>
                <w:rFonts w:cs="Arial"/>
                <w:b/>
              </w:rPr>
              <w:t xml:space="preserve"> in the area.</w:t>
            </w:r>
          </w:p>
        </w:tc>
      </w:tr>
      <w:tr w:rsidR="00791D18" w:rsidRPr="00FB524C" w:rsidTr="00FC6D9C">
        <w:tc>
          <w:tcPr>
            <w:tcW w:w="4219" w:type="dxa"/>
          </w:tcPr>
          <w:p w:rsidR="00791D18" w:rsidRPr="00FB524C" w:rsidRDefault="00791D18" w:rsidP="009A7F91">
            <w:pPr>
              <w:autoSpaceDE w:val="0"/>
              <w:autoSpaceDN w:val="0"/>
              <w:adjustRightInd w:val="0"/>
              <w:spacing w:after="120" w:line="240" w:lineRule="auto"/>
              <w:rPr>
                <w:rFonts w:cs="Arial"/>
              </w:rPr>
            </w:pPr>
            <w:r w:rsidRPr="00FB524C">
              <w:rPr>
                <w:rFonts w:cs="Arial"/>
                <w:b/>
                <w:bCs/>
                <w:i/>
                <w:iCs/>
              </w:rPr>
              <w:t xml:space="preserve">2.2.6 </w:t>
            </w:r>
            <w:r w:rsidRPr="00FB524C">
              <w:rPr>
                <w:rFonts w:cs="Arial"/>
              </w:rPr>
              <w:t xml:space="preserve">The management response, considering uncertainties in the assessment and precautionary management actions, has a high chance of achieving the objective. </w:t>
            </w:r>
          </w:p>
        </w:tc>
        <w:tc>
          <w:tcPr>
            <w:tcW w:w="1559" w:type="dxa"/>
            <w:shd w:val="clear" w:color="auto" w:fill="92D050"/>
          </w:tcPr>
          <w:p w:rsidR="00791D18" w:rsidRPr="00FB524C" w:rsidRDefault="00791D18" w:rsidP="009A7F91">
            <w:pPr>
              <w:spacing w:after="120" w:line="240" w:lineRule="auto"/>
              <w:rPr>
                <w:rFonts w:cs="Arial"/>
              </w:rPr>
            </w:pPr>
          </w:p>
        </w:tc>
        <w:tc>
          <w:tcPr>
            <w:tcW w:w="1560" w:type="dxa"/>
            <w:shd w:val="clear" w:color="auto" w:fill="auto"/>
          </w:tcPr>
          <w:p w:rsidR="00791D18" w:rsidRPr="00FB524C" w:rsidRDefault="00791D18" w:rsidP="009A7F91">
            <w:pPr>
              <w:spacing w:after="120" w:line="240" w:lineRule="auto"/>
              <w:rPr>
                <w:rFonts w:cs="Arial"/>
              </w:rPr>
            </w:pPr>
          </w:p>
        </w:tc>
        <w:tc>
          <w:tcPr>
            <w:tcW w:w="1559" w:type="dxa"/>
            <w:shd w:val="clear" w:color="auto" w:fill="auto"/>
          </w:tcPr>
          <w:p w:rsidR="00791D18" w:rsidRPr="00FB524C" w:rsidRDefault="00791D18" w:rsidP="009A7F91">
            <w:pPr>
              <w:spacing w:after="120" w:line="240" w:lineRule="auto"/>
              <w:rPr>
                <w:rFonts w:cs="Arial"/>
              </w:rPr>
            </w:pPr>
          </w:p>
        </w:tc>
        <w:tc>
          <w:tcPr>
            <w:tcW w:w="5386" w:type="dxa"/>
            <w:shd w:val="clear" w:color="auto" w:fill="auto"/>
          </w:tcPr>
          <w:p w:rsidR="005A12FD" w:rsidRPr="00FB524C" w:rsidRDefault="005A12FD" w:rsidP="009A7F91">
            <w:pPr>
              <w:spacing w:after="120" w:line="240" w:lineRule="auto"/>
              <w:rPr>
                <w:rFonts w:cs="Arial"/>
                <w:b/>
              </w:rPr>
            </w:pPr>
            <w:r w:rsidRPr="00FB524C">
              <w:rPr>
                <w:rFonts w:cs="Arial"/>
                <w:b/>
              </w:rPr>
              <w:t>An ecological risk assessment, according to Australian and New Zealand standards, is yet to be undertaken. However relevant information is available and management is precautionary.</w:t>
            </w:r>
          </w:p>
          <w:p w:rsidR="003103A0" w:rsidRPr="00FB524C" w:rsidRDefault="003103A0" w:rsidP="009A7F91">
            <w:pPr>
              <w:spacing w:after="120" w:line="240" w:lineRule="auto"/>
              <w:rPr>
                <w:rFonts w:cs="Arial"/>
                <w:b/>
              </w:rPr>
            </w:pPr>
            <w:r w:rsidRPr="00FB524C">
              <w:rPr>
                <w:rFonts w:cs="Arial"/>
                <w:b/>
              </w:rPr>
              <w:t>This is considered appropriate for the scale of the fisher</w:t>
            </w:r>
            <w:r w:rsidR="004B734E" w:rsidRPr="00FB524C">
              <w:rPr>
                <w:rFonts w:cs="Arial"/>
                <w:b/>
              </w:rPr>
              <w:t>ies</w:t>
            </w:r>
            <w:r w:rsidRPr="00FB524C">
              <w:rPr>
                <w:rFonts w:cs="Arial"/>
                <w:b/>
              </w:rPr>
              <w:t xml:space="preserve"> at this time.</w:t>
            </w:r>
          </w:p>
          <w:p w:rsidR="00791D18" w:rsidRPr="00FB524C" w:rsidRDefault="00791D18" w:rsidP="009A7F91">
            <w:pPr>
              <w:spacing w:after="120" w:line="240" w:lineRule="auto"/>
              <w:rPr>
                <w:rFonts w:cs="Arial"/>
              </w:rPr>
            </w:pPr>
            <w:r w:rsidRPr="00FB524C">
              <w:rPr>
                <w:rFonts w:cs="Arial"/>
              </w:rPr>
              <w:t xml:space="preserve">The fisheries are new and exploratory and as yet have not had a formal ecological risk assessment. </w:t>
            </w:r>
          </w:p>
          <w:p w:rsidR="00791D18" w:rsidRPr="00FB524C" w:rsidRDefault="00791D18" w:rsidP="009A7F91">
            <w:pPr>
              <w:spacing w:after="120" w:line="240" w:lineRule="auto"/>
              <w:rPr>
                <w:rFonts w:cs="Arial"/>
              </w:rPr>
            </w:pPr>
            <w:r w:rsidRPr="00FB524C">
              <w:rPr>
                <w:rFonts w:cs="Arial"/>
              </w:rPr>
              <w:t>Management arrangements are precautionary and designed to deliver information on the fisher</w:t>
            </w:r>
            <w:r w:rsidR="004B734E" w:rsidRPr="00FB524C">
              <w:rPr>
                <w:rFonts w:cs="Arial"/>
              </w:rPr>
              <w:t>ies</w:t>
            </w:r>
            <w:r w:rsidRPr="00FB524C">
              <w:rPr>
                <w:rFonts w:cs="Arial"/>
              </w:rPr>
              <w:t xml:space="preserve"> before further development and longer-term investment occurs.</w:t>
            </w:r>
          </w:p>
          <w:p w:rsidR="00791D18" w:rsidRPr="00FB524C" w:rsidRDefault="00791D18" w:rsidP="009A7F91">
            <w:pPr>
              <w:spacing w:after="120" w:line="240" w:lineRule="auto"/>
              <w:rPr>
                <w:rFonts w:cs="Arial"/>
              </w:rPr>
            </w:pPr>
            <w:r w:rsidRPr="00FB524C">
              <w:rPr>
                <w:rFonts w:cs="Arial"/>
              </w:rPr>
              <w:t xml:space="preserve">Vulnerable marine </w:t>
            </w:r>
            <w:r w:rsidR="009A7F91" w:rsidRPr="00FB524C">
              <w:rPr>
                <w:rFonts w:cs="Arial"/>
              </w:rPr>
              <w:t>ecosystems</w:t>
            </w:r>
            <w:r w:rsidRPr="00FB524C">
              <w:rPr>
                <w:rFonts w:cs="Arial"/>
              </w:rPr>
              <w:t xml:space="preserve"> and impacts on the environment are considered in managing CCAMLR fisheries.</w:t>
            </w:r>
          </w:p>
        </w:tc>
      </w:tr>
      <w:tr w:rsidR="00791D18" w:rsidRPr="008522A3" w:rsidTr="00381936">
        <w:tc>
          <w:tcPr>
            <w:tcW w:w="14283" w:type="dxa"/>
            <w:gridSpan w:val="5"/>
            <w:shd w:val="clear" w:color="auto" w:fill="CCC0D9"/>
          </w:tcPr>
          <w:p w:rsidR="00791D18" w:rsidRPr="008522A3" w:rsidRDefault="00791D18" w:rsidP="005A12FD">
            <w:pPr>
              <w:spacing w:after="0" w:line="240" w:lineRule="auto"/>
              <w:rPr>
                <w:rFonts w:cs="Arial"/>
                <w:b/>
                <w:bCs/>
              </w:rPr>
            </w:pPr>
            <w:r w:rsidRPr="008522A3">
              <w:rPr>
                <w:rFonts w:cs="Arial"/>
                <w:b/>
                <w:bCs/>
              </w:rPr>
              <w:t xml:space="preserve">Objective 3 </w:t>
            </w:r>
            <w:r w:rsidR="009A7F91" w:rsidRPr="008522A3">
              <w:rPr>
                <w:rFonts w:cs="Arial"/>
                <w:b/>
                <w:bCs/>
              </w:rPr>
              <w:t>- The</w:t>
            </w:r>
            <w:r w:rsidRPr="008522A3">
              <w:rPr>
                <w:rFonts w:cs="Arial"/>
              </w:rPr>
              <w:t xml:space="preserve"> fishery is conducted, in a manner that minimises the impact of fishing operations on the ecosystem generally.</w:t>
            </w:r>
          </w:p>
        </w:tc>
      </w:tr>
      <w:tr w:rsidR="00791D18" w:rsidRPr="008522A3" w:rsidTr="00381936">
        <w:tc>
          <w:tcPr>
            <w:tcW w:w="14283" w:type="dxa"/>
            <w:gridSpan w:val="5"/>
            <w:shd w:val="clear" w:color="auto" w:fill="E5DFEC"/>
          </w:tcPr>
          <w:p w:rsidR="00791D18" w:rsidRPr="008522A3" w:rsidRDefault="00791D18" w:rsidP="005A12FD">
            <w:pPr>
              <w:spacing w:after="0" w:line="240" w:lineRule="auto"/>
              <w:rPr>
                <w:rFonts w:cs="Arial"/>
                <w:b/>
                <w:bCs/>
                <w:i/>
                <w:iCs/>
              </w:rPr>
            </w:pPr>
            <w:r w:rsidRPr="008522A3">
              <w:rPr>
                <w:rFonts w:cs="Arial"/>
                <w:b/>
                <w:bCs/>
                <w:i/>
                <w:iCs/>
              </w:rPr>
              <w:t xml:space="preserve">Information requirements </w:t>
            </w:r>
          </w:p>
        </w:tc>
      </w:tr>
      <w:tr w:rsidR="00791D18" w:rsidRPr="00FB524C" w:rsidTr="00FC6D9C">
        <w:tc>
          <w:tcPr>
            <w:tcW w:w="4219" w:type="dxa"/>
          </w:tcPr>
          <w:p w:rsidR="00791D18" w:rsidRPr="00FB524C" w:rsidRDefault="00791D18" w:rsidP="005362FD">
            <w:pPr>
              <w:autoSpaceDE w:val="0"/>
              <w:autoSpaceDN w:val="0"/>
              <w:adjustRightInd w:val="0"/>
              <w:spacing w:after="120" w:line="240" w:lineRule="auto"/>
              <w:rPr>
                <w:rFonts w:cs="Arial"/>
              </w:rPr>
            </w:pPr>
            <w:r w:rsidRPr="00FB524C">
              <w:rPr>
                <w:rFonts w:cs="Arial"/>
                <w:b/>
                <w:bCs/>
                <w:iCs/>
              </w:rPr>
              <w:t xml:space="preserve">2.3.1 </w:t>
            </w:r>
            <w:r w:rsidRPr="00FB524C">
              <w:rPr>
                <w:rFonts w:cs="Arial"/>
              </w:rPr>
              <w:t>Information appropriate for the analysis in 2.3.2 is collated and/or collected covering the fisheries impact on the ecosystem and environment generally.</w:t>
            </w:r>
          </w:p>
        </w:tc>
        <w:tc>
          <w:tcPr>
            <w:tcW w:w="1559" w:type="dxa"/>
            <w:shd w:val="clear" w:color="auto" w:fill="92D050"/>
          </w:tcPr>
          <w:p w:rsidR="00791D18" w:rsidRPr="00FB524C" w:rsidRDefault="00791D18" w:rsidP="005362FD">
            <w:pPr>
              <w:spacing w:after="120" w:line="240" w:lineRule="auto"/>
              <w:rPr>
                <w:rFonts w:cs="Arial"/>
              </w:rPr>
            </w:pPr>
            <w:r w:rsidRPr="00FB524C">
              <w:rPr>
                <w:rFonts w:cs="Arial"/>
              </w:rPr>
              <w:t xml:space="preserve">Robust methods of data collection in place. </w:t>
            </w:r>
          </w:p>
        </w:tc>
        <w:tc>
          <w:tcPr>
            <w:tcW w:w="1560" w:type="dxa"/>
            <w:shd w:val="clear" w:color="auto" w:fill="auto"/>
          </w:tcPr>
          <w:p w:rsidR="00791D18" w:rsidRPr="00FB524C" w:rsidRDefault="00791D18" w:rsidP="005362FD">
            <w:pPr>
              <w:spacing w:after="120" w:line="240" w:lineRule="auto"/>
              <w:rPr>
                <w:rFonts w:cs="Arial"/>
              </w:rPr>
            </w:pPr>
            <w:r w:rsidRPr="00FB524C">
              <w:rPr>
                <w:rFonts w:cs="Arial"/>
              </w:rPr>
              <w:t xml:space="preserve">Methods of data collection in place, but not resulting in the adequate collection of data. </w:t>
            </w:r>
          </w:p>
        </w:tc>
        <w:tc>
          <w:tcPr>
            <w:tcW w:w="1559" w:type="dxa"/>
            <w:shd w:val="clear" w:color="auto" w:fill="auto"/>
          </w:tcPr>
          <w:p w:rsidR="00791D18" w:rsidRPr="00FB524C" w:rsidRDefault="00791D18" w:rsidP="005362FD">
            <w:pPr>
              <w:spacing w:after="120" w:line="240" w:lineRule="auto"/>
              <w:rPr>
                <w:rFonts w:cs="Arial"/>
              </w:rPr>
            </w:pPr>
            <w:r w:rsidRPr="00FB524C">
              <w:rPr>
                <w:rFonts w:cs="Arial"/>
              </w:rPr>
              <w:t xml:space="preserve">No data collection methods in place. </w:t>
            </w:r>
          </w:p>
        </w:tc>
        <w:tc>
          <w:tcPr>
            <w:tcW w:w="5386" w:type="dxa"/>
            <w:shd w:val="clear" w:color="auto" w:fill="auto"/>
          </w:tcPr>
          <w:p w:rsidR="00791D18" w:rsidRPr="00FB524C" w:rsidRDefault="00791D18" w:rsidP="005A12FD">
            <w:pPr>
              <w:spacing w:after="120" w:line="240" w:lineRule="auto"/>
              <w:rPr>
                <w:rFonts w:cs="Arial"/>
                <w:b/>
              </w:rPr>
            </w:pPr>
            <w:r w:rsidRPr="00FB524C">
              <w:rPr>
                <w:rFonts w:cs="Arial"/>
                <w:b/>
              </w:rPr>
              <w:t xml:space="preserve">Robust data collection methods </w:t>
            </w:r>
            <w:r w:rsidR="005A12FD" w:rsidRPr="00FB524C">
              <w:rPr>
                <w:rFonts w:cs="Arial"/>
                <w:b/>
              </w:rPr>
              <w:t xml:space="preserve">have been </w:t>
            </w:r>
            <w:r w:rsidRPr="00FB524C">
              <w:rPr>
                <w:rFonts w:cs="Arial"/>
                <w:b/>
              </w:rPr>
              <w:t xml:space="preserve">established by CCAMLR and </w:t>
            </w:r>
            <w:r w:rsidR="005A12FD" w:rsidRPr="00FB524C">
              <w:rPr>
                <w:rFonts w:cs="Arial"/>
                <w:b/>
              </w:rPr>
              <w:t xml:space="preserve">are </w:t>
            </w:r>
            <w:r w:rsidRPr="00FB524C">
              <w:rPr>
                <w:rFonts w:cs="Arial"/>
                <w:b/>
              </w:rPr>
              <w:t xml:space="preserve">administered by </w:t>
            </w:r>
            <w:r w:rsidR="005A12FD" w:rsidRPr="00FB524C">
              <w:rPr>
                <w:rFonts w:cs="Arial"/>
                <w:b/>
              </w:rPr>
              <w:t>AFMA</w:t>
            </w:r>
            <w:r w:rsidR="00437340" w:rsidRPr="00FB524C">
              <w:rPr>
                <w:rFonts w:cs="Arial"/>
                <w:b/>
              </w:rPr>
              <w:t>, as described above at 2.1.1 and 2.2.1</w:t>
            </w:r>
            <w:r w:rsidRPr="00FB524C">
              <w:rPr>
                <w:rFonts w:cs="Arial"/>
                <w:b/>
              </w:rPr>
              <w:t>.</w:t>
            </w:r>
          </w:p>
        </w:tc>
      </w:tr>
    </w:tbl>
    <w:p w:rsidR="00EE3DFC" w:rsidRDefault="00EE3DFC" w:rsidP="003103A0">
      <w:pPr>
        <w:spacing w:after="0" w:line="240" w:lineRule="auto"/>
        <w:rPr>
          <w:rFonts w:cs="Arial"/>
          <w:b/>
          <w:bCs/>
          <w:i/>
          <w:iCs/>
        </w:rPr>
        <w:sectPr w:rsidR="00EE3DFC">
          <w:pgSz w:w="16838" w:h="11906" w:orient="landscape"/>
          <w:pgMar w:top="899" w:right="1361" w:bottom="899" w:left="1361" w:header="709" w:footer="528" w:gutter="0"/>
          <w:cols w:space="708"/>
          <w:docGrid w:linePitch="360"/>
        </w:sect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19"/>
        <w:gridCol w:w="1559"/>
        <w:gridCol w:w="1560"/>
        <w:gridCol w:w="1559"/>
        <w:gridCol w:w="5386"/>
      </w:tblGrid>
      <w:tr w:rsidR="00791D18" w:rsidRPr="008522A3" w:rsidTr="00EE3DFC">
        <w:trPr>
          <w:cantSplit/>
        </w:trPr>
        <w:tc>
          <w:tcPr>
            <w:tcW w:w="14283" w:type="dxa"/>
            <w:gridSpan w:val="5"/>
            <w:shd w:val="clear" w:color="auto" w:fill="E5DFEC"/>
          </w:tcPr>
          <w:p w:rsidR="00791D18" w:rsidRPr="008522A3" w:rsidRDefault="00791D18" w:rsidP="003103A0">
            <w:pPr>
              <w:spacing w:after="0" w:line="240" w:lineRule="auto"/>
              <w:rPr>
                <w:rFonts w:cs="Arial"/>
              </w:rPr>
            </w:pPr>
            <w:r w:rsidRPr="008522A3">
              <w:rPr>
                <w:rFonts w:cs="Arial"/>
                <w:b/>
                <w:bCs/>
                <w:i/>
                <w:iCs/>
              </w:rPr>
              <w:t>Assessment</w:t>
            </w:r>
          </w:p>
        </w:tc>
      </w:tr>
      <w:tr w:rsidR="00791D18" w:rsidRPr="00FB524C" w:rsidTr="00EE3DFC">
        <w:trPr>
          <w:cantSplit/>
        </w:trPr>
        <w:tc>
          <w:tcPr>
            <w:tcW w:w="4219" w:type="dxa"/>
          </w:tcPr>
          <w:p w:rsidR="002857B8" w:rsidRPr="00FB524C" w:rsidRDefault="00791D18" w:rsidP="009A7F91">
            <w:pPr>
              <w:autoSpaceDE w:val="0"/>
              <w:autoSpaceDN w:val="0"/>
              <w:adjustRightInd w:val="0"/>
              <w:spacing w:after="120" w:line="240" w:lineRule="auto"/>
              <w:rPr>
                <w:rFonts w:cs="Arial"/>
              </w:rPr>
            </w:pPr>
            <w:r w:rsidRPr="00FB524C">
              <w:rPr>
                <w:rFonts w:cs="Arial"/>
                <w:b/>
                <w:bCs/>
              </w:rPr>
              <w:t xml:space="preserve">2.3.2 </w:t>
            </w:r>
            <w:r w:rsidRPr="00FB524C">
              <w:rPr>
                <w:rFonts w:cs="Arial"/>
              </w:rPr>
              <w:t>Information is collected and a risk analysis, appropriate to the scale of the fishery and its potential impacts, is conducted into the susceptibility of each of the following ecosystem components to the fishery.</w:t>
            </w:r>
          </w:p>
          <w:p w:rsidR="002857B8" w:rsidRPr="00FB524C" w:rsidRDefault="00791D18" w:rsidP="009A7F91">
            <w:pPr>
              <w:autoSpaceDE w:val="0"/>
              <w:autoSpaceDN w:val="0"/>
              <w:adjustRightInd w:val="0"/>
              <w:spacing w:after="120" w:line="240" w:lineRule="auto"/>
              <w:rPr>
                <w:rFonts w:cs="Arial"/>
              </w:rPr>
            </w:pPr>
            <w:r w:rsidRPr="00FB524C">
              <w:rPr>
                <w:rFonts w:cs="Arial"/>
              </w:rPr>
              <w:t>1. Impacts on ecological communities</w:t>
            </w:r>
          </w:p>
          <w:p w:rsidR="002857B8" w:rsidRPr="00FB524C" w:rsidRDefault="00791D18" w:rsidP="009A7F91">
            <w:pPr>
              <w:autoSpaceDE w:val="0"/>
              <w:autoSpaceDN w:val="0"/>
              <w:adjustRightInd w:val="0"/>
              <w:spacing w:after="120" w:line="240" w:lineRule="auto"/>
              <w:ind w:left="360"/>
              <w:rPr>
                <w:rFonts w:cs="Arial"/>
              </w:rPr>
            </w:pPr>
            <w:r w:rsidRPr="00FB524C">
              <w:rPr>
                <w:rFonts w:cs="Arial"/>
              </w:rPr>
              <w:t>• Benthic communities</w:t>
            </w:r>
          </w:p>
          <w:p w:rsidR="002857B8" w:rsidRPr="00FB524C" w:rsidRDefault="00791D18" w:rsidP="009A7F91">
            <w:pPr>
              <w:autoSpaceDE w:val="0"/>
              <w:autoSpaceDN w:val="0"/>
              <w:adjustRightInd w:val="0"/>
              <w:spacing w:after="120" w:line="240" w:lineRule="auto"/>
              <w:ind w:left="360"/>
              <w:rPr>
                <w:rFonts w:cs="Arial"/>
              </w:rPr>
            </w:pPr>
            <w:r w:rsidRPr="00FB524C">
              <w:rPr>
                <w:rFonts w:cs="Arial"/>
              </w:rPr>
              <w:t>• Ecologically related, associated or dependent species</w:t>
            </w:r>
          </w:p>
          <w:p w:rsidR="002857B8" w:rsidRPr="00FB524C" w:rsidRDefault="00791D18" w:rsidP="009A7F91">
            <w:pPr>
              <w:autoSpaceDE w:val="0"/>
              <w:autoSpaceDN w:val="0"/>
              <w:adjustRightInd w:val="0"/>
              <w:spacing w:after="120" w:line="240" w:lineRule="auto"/>
              <w:ind w:left="360"/>
              <w:rPr>
                <w:rFonts w:cs="Arial"/>
              </w:rPr>
            </w:pPr>
            <w:r w:rsidRPr="00FB524C">
              <w:rPr>
                <w:rFonts w:cs="Arial"/>
              </w:rPr>
              <w:t>• Water column communities</w:t>
            </w:r>
          </w:p>
          <w:p w:rsidR="002857B8" w:rsidRPr="00FB524C" w:rsidRDefault="00791D18" w:rsidP="009A7F91">
            <w:pPr>
              <w:autoSpaceDE w:val="0"/>
              <w:autoSpaceDN w:val="0"/>
              <w:adjustRightInd w:val="0"/>
              <w:spacing w:after="120" w:line="240" w:lineRule="auto"/>
              <w:rPr>
                <w:rFonts w:cs="Arial"/>
              </w:rPr>
            </w:pPr>
            <w:r w:rsidRPr="00FB524C">
              <w:rPr>
                <w:rFonts w:cs="Arial"/>
              </w:rPr>
              <w:t>2. Impacts on food chains</w:t>
            </w:r>
          </w:p>
          <w:p w:rsidR="002857B8" w:rsidRPr="00FB524C" w:rsidRDefault="00791D18" w:rsidP="009A7F91">
            <w:pPr>
              <w:autoSpaceDE w:val="0"/>
              <w:autoSpaceDN w:val="0"/>
              <w:adjustRightInd w:val="0"/>
              <w:spacing w:after="120" w:line="240" w:lineRule="auto"/>
              <w:ind w:left="360"/>
              <w:rPr>
                <w:rFonts w:cs="Arial"/>
              </w:rPr>
            </w:pPr>
            <w:r w:rsidRPr="00FB524C">
              <w:rPr>
                <w:rFonts w:cs="Arial"/>
              </w:rPr>
              <w:t>• Structure</w:t>
            </w:r>
          </w:p>
          <w:p w:rsidR="002857B8" w:rsidRPr="00FB524C" w:rsidRDefault="00791D18" w:rsidP="009A7F91">
            <w:pPr>
              <w:autoSpaceDE w:val="0"/>
              <w:autoSpaceDN w:val="0"/>
              <w:adjustRightInd w:val="0"/>
              <w:spacing w:after="120" w:line="240" w:lineRule="auto"/>
              <w:ind w:left="360"/>
              <w:rPr>
                <w:rFonts w:cs="Arial"/>
              </w:rPr>
            </w:pPr>
            <w:r w:rsidRPr="00FB524C">
              <w:rPr>
                <w:rFonts w:cs="Arial"/>
              </w:rPr>
              <w:t>• Productivity/flows</w:t>
            </w:r>
          </w:p>
          <w:p w:rsidR="002857B8" w:rsidRPr="00FB524C" w:rsidRDefault="00791D18" w:rsidP="009A7F91">
            <w:pPr>
              <w:autoSpaceDE w:val="0"/>
              <w:autoSpaceDN w:val="0"/>
              <w:adjustRightInd w:val="0"/>
              <w:spacing w:after="120" w:line="240" w:lineRule="auto"/>
              <w:rPr>
                <w:rFonts w:cs="Arial"/>
              </w:rPr>
            </w:pPr>
            <w:r w:rsidRPr="00FB524C">
              <w:rPr>
                <w:rFonts w:cs="Arial"/>
              </w:rPr>
              <w:t>3. Impacts on the physical environment</w:t>
            </w:r>
          </w:p>
          <w:p w:rsidR="002857B8" w:rsidRPr="00FB524C" w:rsidRDefault="00791D18" w:rsidP="009A7F91">
            <w:pPr>
              <w:autoSpaceDE w:val="0"/>
              <w:autoSpaceDN w:val="0"/>
              <w:adjustRightInd w:val="0"/>
              <w:spacing w:after="120" w:line="240" w:lineRule="auto"/>
              <w:ind w:left="360"/>
              <w:rPr>
                <w:rFonts w:cs="Arial"/>
              </w:rPr>
            </w:pPr>
            <w:r w:rsidRPr="00FB524C">
              <w:rPr>
                <w:rFonts w:cs="Arial"/>
              </w:rPr>
              <w:t>• Physical habitat</w:t>
            </w:r>
          </w:p>
          <w:p w:rsidR="00791D18" w:rsidRPr="00FB524C" w:rsidRDefault="00791D18" w:rsidP="009A7F91">
            <w:pPr>
              <w:autoSpaceDE w:val="0"/>
              <w:autoSpaceDN w:val="0"/>
              <w:adjustRightInd w:val="0"/>
              <w:spacing w:after="120" w:line="240" w:lineRule="auto"/>
              <w:ind w:left="360"/>
              <w:rPr>
                <w:rFonts w:cs="Arial"/>
              </w:rPr>
            </w:pPr>
            <w:r w:rsidRPr="00FB524C">
              <w:rPr>
                <w:rFonts w:cs="Arial"/>
              </w:rPr>
              <w:t>• Water quality</w:t>
            </w:r>
          </w:p>
        </w:tc>
        <w:tc>
          <w:tcPr>
            <w:tcW w:w="1559" w:type="dxa"/>
            <w:shd w:val="clear" w:color="auto" w:fill="auto"/>
          </w:tcPr>
          <w:p w:rsidR="00791D18" w:rsidRPr="00FB524C" w:rsidRDefault="00791D18" w:rsidP="009A7F91">
            <w:pPr>
              <w:spacing w:after="120" w:line="240" w:lineRule="auto"/>
              <w:rPr>
                <w:rFonts w:cs="Arial"/>
              </w:rPr>
            </w:pPr>
            <w:r w:rsidRPr="00FB524C">
              <w:rPr>
                <w:rFonts w:cs="Arial"/>
              </w:rPr>
              <w:t>Robust ERA has been conducted.</w:t>
            </w:r>
          </w:p>
        </w:tc>
        <w:tc>
          <w:tcPr>
            <w:tcW w:w="1560" w:type="dxa"/>
            <w:shd w:val="clear" w:color="auto" w:fill="FFC000"/>
          </w:tcPr>
          <w:p w:rsidR="00791D18" w:rsidRPr="00FB524C" w:rsidRDefault="00791D18" w:rsidP="009A7F91">
            <w:pPr>
              <w:spacing w:after="120" w:line="240" w:lineRule="auto"/>
              <w:rPr>
                <w:rFonts w:cs="Arial"/>
              </w:rPr>
            </w:pPr>
            <w:r w:rsidRPr="00FB524C">
              <w:rPr>
                <w:rFonts w:cs="Arial"/>
              </w:rPr>
              <w:t>ERA not considered necessary for the scale of the fishery.</w:t>
            </w:r>
          </w:p>
        </w:tc>
        <w:tc>
          <w:tcPr>
            <w:tcW w:w="1559" w:type="dxa"/>
            <w:shd w:val="clear" w:color="auto" w:fill="auto"/>
          </w:tcPr>
          <w:p w:rsidR="00791D18" w:rsidRPr="00FB524C" w:rsidRDefault="00791D18" w:rsidP="009A7F91">
            <w:pPr>
              <w:spacing w:after="120" w:line="240" w:lineRule="auto"/>
              <w:rPr>
                <w:rFonts w:cs="Arial"/>
              </w:rPr>
            </w:pPr>
            <w:r w:rsidRPr="00FB524C">
              <w:rPr>
                <w:rFonts w:cs="Arial"/>
              </w:rPr>
              <w:t>No risk analysis has been considered or conducted.</w:t>
            </w:r>
          </w:p>
        </w:tc>
        <w:tc>
          <w:tcPr>
            <w:tcW w:w="5386" w:type="dxa"/>
            <w:shd w:val="clear" w:color="auto" w:fill="auto"/>
          </w:tcPr>
          <w:p w:rsidR="003103A0" w:rsidRPr="00FB524C" w:rsidRDefault="003103A0" w:rsidP="009A7F91">
            <w:pPr>
              <w:spacing w:after="120" w:line="240" w:lineRule="auto"/>
              <w:rPr>
                <w:rFonts w:cs="Arial"/>
                <w:b/>
              </w:rPr>
            </w:pPr>
            <w:r w:rsidRPr="00FB524C">
              <w:rPr>
                <w:rFonts w:cs="Arial"/>
                <w:b/>
              </w:rPr>
              <w:t>An ecological risk assessment, according to Australian and New Zealand standards, is yet to be undertaken. However relevant information is available and management is precautionary.</w:t>
            </w:r>
          </w:p>
          <w:p w:rsidR="003103A0" w:rsidRPr="00FB524C" w:rsidRDefault="003103A0" w:rsidP="009A7F91">
            <w:pPr>
              <w:spacing w:after="120" w:line="240" w:lineRule="auto"/>
              <w:rPr>
                <w:rFonts w:cs="Arial"/>
                <w:b/>
              </w:rPr>
            </w:pPr>
            <w:r w:rsidRPr="00FB524C">
              <w:rPr>
                <w:rFonts w:cs="Arial"/>
                <w:b/>
              </w:rPr>
              <w:t>This is considered appropriate for the scale of the fisher</w:t>
            </w:r>
            <w:r w:rsidR="004B734E" w:rsidRPr="00FB524C">
              <w:rPr>
                <w:rFonts w:cs="Arial"/>
                <w:b/>
              </w:rPr>
              <w:t>ies at this time</w:t>
            </w:r>
            <w:r w:rsidRPr="00FB524C">
              <w:rPr>
                <w:rFonts w:cs="Arial"/>
                <w:b/>
              </w:rPr>
              <w:t>.</w:t>
            </w:r>
          </w:p>
          <w:p w:rsidR="00791D18" w:rsidRPr="00FB524C" w:rsidRDefault="00791D18" w:rsidP="009A7F91">
            <w:pPr>
              <w:spacing w:after="120" w:line="240" w:lineRule="auto"/>
              <w:rPr>
                <w:rFonts w:cs="Arial"/>
              </w:rPr>
            </w:pPr>
            <w:r w:rsidRPr="00FB524C">
              <w:rPr>
                <w:rFonts w:cs="Arial"/>
              </w:rPr>
              <w:t xml:space="preserve">The fisheries are new and exploratory and as yet have not had a formal ecological risk assessment. </w:t>
            </w:r>
          </w:p>
          <w:p w:rsidR="00791D18" w:rsidRPr="00FB524C" w:rsidRDefault="00791D18" w:rsidP="009A7F91">
            <w:pPr>
              <w:spacing w:after="120" w:line="240" w:lineRule="auto"/>
              <w:rPr>
                <w:rFonts w:cs="Arial"/>
              </w:rPr>
            </w:pPr>
            <w:r w:rsidRPr="00FB524C">
              <w:rPr>
                <w:rFonts w:cs="Arial"/>
              </w:rPr>
              <w:t>Management arrangements are precautionary and designed to deliver information on the fisher</w:t>
            </w:r>
            <w:r w:rsidR="004B734E" w:rsidRPr="00FB524C">
              <w:rPr>
                <w:rFonts w:cs="Arial"/>
              </w:rPr>
              <w:t>ies</w:t>
            </w:r>
            <w:r w:rsidRPr="00FB524C">
              <w:rPr>
                <w:rFonts w:cs="Arial"/>
              </w:rPr>
              <w:t xml:space="preserve"> before any further development and longer-term investment occurs.</w:t>
            </w:r>
          </w:p>
          <w:p w:rsidR="00791D18" w:rsidRPr="00FB524C" w:rsidRDefault="00791D18" w:rsidP="009A7F91">
            <w:pPr>
              <w:spacing w:after="120" w:line="240" w:lineRule="auto"/>
              <w:rPr>
                <w:rFonts w:cs="Arial"/>
              </w:rPr>
            </w:pPr>
            <w:r w:rsidRPr="00FB524C">
              <w:rPr>
                <w:rFonts w:cs="Arial"/>
              </w:rPr>
              <w:t xml:space="preserve">Vulnerable marine </w:t>
            </w:r>
            <w:proofErr w:type="gramStart"/>
            <w:r w:rsidRPr="00FB524C">
              <w:rPr>
                <w:rFonts w:cs="Arial"/>
              </w:rPr>
              <w:t>ecosystems,</w:t>
            </w:r>
            <w:proofErr w:type="gramEnd"/>
            <w:r w:rsidRPr="00FB524C">
              <w:rPr>
                <w:rFonts w:cs="Arial"/>
              </w:rPr>
              <w:t xml:space="preserve"> and impacts on the environment are considered in managing CCAMLR fisheries.</w:t>
            </w:r>
          </w:p>
          <w:p w:rsidR="00791D18" w:rsidRPr="00FB524C" w:rsidRDefault="00791D18" w:rsidP="009A7F91">
            <w:pPr>
              <w:spacing w:after="120" w:line="240" w:lineRule="auto"/>
              <w:rPr>
                <w:rFonts w:cs="Arial"/>
              </w:rPr>
            </w:pPr>
            <w:r w:rsidRPr="00FB524C">
              <w:rPr>
                <w:rFonts w:cs="Arial"/>
              </w:rPr>
              <w:t>These arrangements are considered appropriate to the scale of the fisher</w:t>
            </w:r>
            <w:r w:rsidR="004B734E" w:rsidRPr="00FB524C">
              <w:rPr>
                <w:rFonts w:cs="Arial"/>
              </w:rPr>
              <w:t>ies</w:t>
            </w:r>
            <w:r w:rsidRPr="00FB524C">
              <w:rPr>
                <w:rFonts w:cs="Arial"/>
              </w:rPr>
              <w:t xml:space="preserve"> at this time.</w:t>
            </w:r>
          </w:p>
        </w:tc>
      </w:tr>
      <w:tr w:rsidR="00791D18" w:rsidRPr="008522A3" w:rsidTr="00381936">
        <w:trPr>
          <w:trHeight w:val="77"/>
        </w:trPr>
        <w:tc>
          <w:tcPr>
            <w:tcW w:w="14283" w:type="dxa"/>
            <w:gridSpan w:val="5"/>
            <w:shd w:val="clear" w:color="auto" w:fill="E5DFEC"/>
          </w:tcPr>
          <w:p w:rsidR="00791D18" w:rsidRPr="008522A3" w:rsidRDefault="00791D18" w:rsidP="003103A0">
            <w:pPr>
              <w:spacing w:after="0" w:line="240" w:lineRule="auto"/>
              <w:rPr>
                <w:rFonts w:cs="Arial"/>
                <w:b/>
                <w:bCs/>
                <w:i/>
                <w:iCs/>
              </w:rPr>
            </w:pPr>
            <w:r w:rsidRPr="008522A3">
              <w:rPr>
                <w:rFonts w:cs="Arial"/>
                <w:b/>
                <w:bCs/>
                <w:i/>
                <w:iCs/>
              </w:rPr>
              <w:t>Management responses</w:t>
            </w:r>
          </w:p>
        </w:tc>
      </w:tr>
      <w:tr w:rsidR="00791D18" w:rsidRPr="00FB524C" w:rsidTr="008B0F81">
        <w:trPr>
          <w:trHeight w:val="77"/>
        </w:trPr>
        <w:tc>
          <w:tcPr>
            <w:tcW w:w="4219" w:type="dxa"/>
          </w:tcPr>
          <w:p w:rsidR="00791D18" w:rsidRPr="00FB524C" w:rsidRDefault="00791D18" w:rsidP="009A7F91">
            <w:pPr>
              <w:autoSpaceDE w:val="0"/>
              <w:autoSpaceDN w:val="0"/>
              <w:adjustRightInd w:val="0"/>
              <w:spacing w:after="120" w:line="240" w:lineRule="auto"/>
              <w:rPr>
                <w:rFonts w:cs="Arial"/>
              </w:rPr>
            </w:pPr>
            <w:r w:rsidRPr="00FB524C">
              <w:rPr>
                <w:rFonts w:cs="Arial"/>
                <w:b/>
                <w:bCs/>
                <w:i/>
                <w:iCs/>
              </w:rPr>
              <w:t xml:space="preserve">2.3.3 </w:t>
            </w:r>
            <w:r w:rsidRPr="00FB524C">
              <w:rPr>
                <w:rFonts w:cs="Arial"/>
              </w:rPr>
              <w:t>Management actions are in place to ensure significant damage to ecosystems does not arise from the impacts described in 2.3.1.</w:t>
            </w:r>
          </w:p>
        </w:tc>
        <w:tc>
          <w:tcPr>
            <w:tcW w:w="1559" w:type="dxa"/>
            <w:shd w:val="clear" w:color="auto" w:fill="92D050"/>
          </w:tcPr>
          <w:p w:rsidR="00791D18" w:rsidRPr="00FB524C" w:rsidRDefault="00791D18" w:rsidP="009A7F91">
            <w:pPr>
              <w:spacing w:after="120" w:line="240" w:lineRule="auto"/>
              <w:rPr>
                <w:rFonts w:cs="Arial"/>
              </w:rPr>
            </w:pPr>
            <w:r w:rsidRPr="00FB524C">
              <w:rPr>
                <w:rFonts w:cs="Arial"/>
              </w:rPr>
              <w:t xml:space="preserve">Management actions in place. </w:t>
            </w:r>
          </w:p>
        </w:tc>
        <w:tc>
          <w:tcPr>
            <w:tcW w:w="1560" w:type="dxa"/>
            <w:shd w:val="clear" w:color="auto" w:fill="auto"/>
          </w:tcPr>
          <w:p w:rsidR="00791D18" w:rsidRPr="00FB524C" w:rsidRDefault="00791D18" w:rsidP="009A7F91">
            <w:pPr>
              <w:spacing w:after="120" w:line="240" w:lineRule="auto"/>
              <w:rPr>
                <w:rFonts w:cs="Arial"/>
              </w:rPr>
            </w:pPr>
            <w:r w:rsidRPr="00FB524C">
              <w:rPr>
                <w:rFonts w:cs="Arial"/>
              </w:rPr>
              <w:t xml:space="preserve">Management actions being developed. </w:t>
            </w:r>
          </w:p>
        </w:tc>
        <w:tc>
          <w:tcPr>
            <w:tcW w:w="1559" w:type="dxa"/>
            <w:shd w:val="clear" w:color="auto" w:fill="auto"/>
          </w:tcPr>
          <w:p w:rsidR="00791D18" w:rsidRPr="00FB524C" w:rsidRDefault="00791D18" w:rsidP="009A7F91">
            <w:pPr>
              <w:spacing w:after="120" w:line="240" w:lineRule="auto"/>
              <w:rPr>
                <w:rFonts w:cs="Arial"/>
              </w:rPr>
            </w:pPr>
            <w:r w:rsidRPr="00FB524C">
              <w:rPr>
                <w:rFonts w:cs="Arial"/>
              </w:rPr>
              <w:t xml:space="preserve">No management actions in place. </w:t>
            </w:r>
          </w:p>
        </w:tc>
        <w:tc>
          <w:tcPr>
            <w:tcW w:w="5386" w:type="dxa"/>
            <w:shd w:val="clear" w:color="auto" w:fill="auto"/>
          </w:tcPr>
          <w:p w:rsidR="003103A0" w:rsidRPr="00FB524C" w:rsidRDefault="003103A0" w:rsidP="009A7F91">
            <w:pPr>
              <w:spacing w:after="120" w:line="240" w:lineRule="auto"/>
              <w:rPr>
                <w:rFonts w:cs="Arial"/>
                <w:b/>
              </w:rPr>
            </w:pPr>
            <w:r w:rsidRPr="00FB524C">
              <w:rPr>
                <w:rFonts w:cs="Arial"/>
                <w:b/>
              </w:rPr>
              <w:t>Management is precautionary and includes appropriate ecosystem protections.</w:t>
            </w:r>
          </w:p>
          <w:p w:rsidR="00791D18" w:rsidRPr="00FB524C" w:rsidRDefault="00791D18" w:rsidP="009A7F91">
            <w:pPr>
              <w:spacing w:after="120" w:line="240" w:lineRule="auto"/>
              <w:rPr>
                <w:rFonts w:cs="Arial"/>
              </w:rPr>
            </w:pPr>
            <w:r w:rsidRPr="00FB524C">
              <w:rPr>
                <w:rFonts w:cs="Arial"/>
              </w:rPr>
              <w:t xml:space="preserve">The fisheries are new and exploratory and as yet have not had a formal ecological risk assessment. </w:t>
            </w:r>
          </w:p>
          <w:p w:rsidR="00791D18" w:rsidRPr="00FB524C" w:rsidRDefault="00791D18" w:rsidP="009A7F91">
            <w:pPr>
              <w:spacing w:after="120" w:line="240" w:lineRule="auto"/>
              <w:rPr>
                <w:rFonts w:cs="Arial"/>
              </w:rPr>
            </w:pPr>
            <w:r w:rsidRPr="00FB524C">
              <w:rPr>
                <w:rFonts w:cs="Arial"/>
              </w:rPr>
              <w:t>Management arrangements are precautionary and designed to deliver information on the fisher</w:t>
            </w:r>
            <w:r w:rsidR="004B734E" w:rsidRPr="00FB524C">
              <w:rPr>
                <w:rFonts w:cs="Arial"/>
              </w:rPr>
              <w:t>ies</w:t>
            </w:r>
            <w:r w:rsidRPr="00FB524C">
              <w:rPr>
                <w:rFonts w:cs="Arial"/>
              </w:rPr>
              <w:t xml:space="preserve"> before any further development and longer-term investment occurs.</w:t>
            </w:r>
          </w:p>
          <w:p w:rsidR="00791D18" w:rsidRPr="00FB524C" w:rsidRDefault="00791D18" w:rsidP="009A7F91">
            <w:pPr>
              <w:spacing w:after="120" w:line="240" w:lineRule="auto"/>
              <w:rPr>
                <w:rFonts w:cs="Arial"/>
              </w:rPr>
            </w:pPr>
            <w:r w:rsidRPr="00FB524C">
              <w:rPr>
                <w:rFonts w:cs="Arial"/>
              </w:rPr>
              <w:t xml:space="preserve">Vulnerable marine </w:t>
            </w:r>
            <w:r w:rsidR="009A7F91" w:rsidRPr="00FB524C">
              <w:rPr>
                <w:rFonts w:cs="Arial"/>
              </w:rPr>
              <w:t>ecosystems</w:t>
            </w:r>
            <w:r w:rsidRPr="00FB524C">
              <w:rPr>
                <w:rFonts w:cs="Arial"/>
              </w:rPr>
              <w:t xml:space="preserve"> and impacts on the environment are considered in managing CCAMLR fisheries.</w:t>
            </w:r>
          </w:p>
          <w:p w:rsidR="00791D18" w:rsidRPr="00FB524C" w:rsidRDefault="00791D18" w:rsidP="009A7F91">
            <w:pPr>
              <w:spacing w:after="120" w:line="240" w:lineRule="auto"/>
              <w:rPr>
                <w:rFonts w:cs="Arial"/>
              </w:rPr>
            </w:pPr>
            <w:r w:rsidRPr="00FB524C">
              <w:rPr>
                <w:rFonts w:cs="Arial"/>
              </w:rPr>
              <w:t>These arrangements are considered appropriate to the scale of the fisher</w:t>
            </w:r>
            <w:r w:rsidR="004B734E" w:rsidRPr="00FB524C">
              <w:rPr>
                <w:rFonts w:cs="Arial"/>
              </w:rPr>
              <w:t>ies</w:t>
            </w:r>
            <w:r w:rsidRPr="00FB524C">
              <w:rPr>
                <w:rFonts w:cs="Arial"/>
              </w:rPr>
              <w:t xml:space="preserve"> at this time.</w:t>
            </w:r>
          </w:p>
        </w:tc>
      </w:tr>
    </w:tbl>
    <w:p w:rsidR="00EE3DFC" w:rsidRPr="009A7F91" w:rsidRDefault="00EE3DFC" w:rsidP="009A7F91">
      <w:pPr>
        <w:autoSpaceDE w:val="0"/>
        <w:autoSpaceDN w:val="0"/>
        <w:adjustRightInd w:val="0"/>
        <w:spacing w:after="120" w:line="240" w:lineRule="auto"/>
        <w:rPr>
          <w:rFonts w:cs="Arial"/>
          <w:b/>
          <w:bCs/>
          <w:i/>
          <w:iCs/>
          <w:sz w:val="20"/>
          <w:szCs w:val="20"/>
        </w:rPr>
        <w:sectPr w:rsidR="00EE3DFC" w:rsidRPr="009A7F91">
          <w:pgSz w:w="16838" w:h="11906" w:orient="landscape"/>
          <w:pgMar w:top="899" w:right="1361" w:bottom="899" w:left="1361" w:header="709" w:footer="528" w:gutter="0"/>
          <w:cols w:space="708"/>
          <w:docGrid w:linePitch="360"/>
        </w:sect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19"/>
        <w:gridCol w:w="1559"/>
        <w:gridCol w:w="1560"/>
        <w:gridCol w:w="1559"/>
        <w:gridCol w:w="5386"/>
      </w:tblGrid>
      <w:tr w:rsidR="00791D18" w:rsidRPr="00FB524C" w:rsidTr="008B0F81">
        <w:tc>
          <w:tcPr>
            <w:tcW w:w="4219" w:type="dxa"/>
          </w:tcPr>
          <w:p w:rsidR="00791D18" w:rsidRPr="00FB524C" w:rsidRDefault="00791D18" w:rsidP="009A7F91">
            <w:pPr>
              <w:autoSpaceDE w:val="0"/>
              <w:autoSpaceDN w:val="0"/>
              <w:adjustRightInd w:val="0"/>
              <w:spacing w:after="120" w:line="240" w:lineRule="auto"/>
              <w:rPr>
                <w:rFonts w:cs="Arial"/>
                <w:b/>
                <w:bCs/>
                <w:i/>
                <w:iCs/>
              </w:rPr>
            </w:pPr>
            <w:r w:rsidRPr="00FB524C">
              <w:rPr>
                <w:rFonts w:cs="Arial"/>
                <w:b/>
                <w:bCs/>
                <w:i/>
                <w:iCs/>
              </w:rPr>
              <w:t xml:space="preserve">2.3.4 </w:t>
            </w:r>
            <w:r w:rsidRPr="00FB524C">
              <w:rPr>
                <w:rFonts w:cs="Arial"/>
              </w:rPr>
              <w:t xml:space="preserve">There are decision rules that trigger further management responses when monitoring detects impacts on selected ecosystem indicators beyond a predetermined level, or where action is indicated by application of the precautionary approach. </w:t>
            </w:r>
          </w:p>
        </w:tc>
        <w:tc>
          <w:tcPr>
            <w:tcW w:w="1559" w:type="dxa"/>
            <w:shd w:val="clear" w:color="auto" w:fill="92D050"/>
          </w:tcPr>
          <w:p w:rsidR="00791D18" w:rsidRPr="00FB524C" w:rsidRDefault="00791D18" w:rsidP="009A7F91">
            <w:pPr>
              <w:spacing w:after="120" w:line="240" w:lineRule="auto"/>
              <w:rPr>
                <w:rFonts w:cs="Arial"/>
              </w:rPr>
            </w:pPr>
            <w:r w:rsidRPr="00FB524C">
              <w:rPr>
                <w:rFonts w:cs="Arial"/>
              </w:rPr>
              <w:t>Performance measures in place.</w:t>
            </w:r>
          </w:p>
        </w:tc>
        <w:tc>
          <w:tcPr>
            <w:tcW w:w="1560" w:type="dxa"/>
            <w:shd w:val="clear" w:color="auto" w:fill="auto"/>
          </w:tcPr>
          <w:p w:rsidR="00791D18" w:rsidRPr="00FB524C" w:rsidRDefault="00791D18" w:rsidP="009A7F91">
            <w:pPr>
              <w:spacing w:after="120" w:line="240" w:lineRule="auto"/>
              <w:rPr>
                <w:rFonts w:cs="Arial"/>
              </w:rPr>
            </w:pPr>
            <w:r w:rsidRPr="00FB524C">
              <w:rPr>
                <w:rFonts w:cs="Arial"/>
              </w:rPr>
              <w:t xml:space="preserve">Performance measures implemented but inadequate. </w:t>
            </w:r>
          </w:p>
        </w:tc>
        <w:tc>
          <w:tcPr>
            <w:tcW w:w="1559" w:type="dxa"/>
            <w:shd w:val="clear" w:color="auto" w:fill="auto"/>
          </w:tcPr>
          <w:p w:rsidR="00791D18" w:rsidRPr="00FB524C" w:rsidRDefault="00791D18" w:rsidP="009A7F91">
            <w:pPr>
              <w:spacing w:after="120" w:line="240" w:lineRule="auto"/>
              <w:rPr>
                <w:rFonts w:cs="Arial"/>
              </w:rPr>
            </w:pPr>
            <w:r w:rsidRPr="00FB524C">
              <w:rPr>
                <w:rFonts w:cs="Arial"/>
              </w:rPr>
              <w:t>No performance measures implemented.</w:t>
            </w:r>
          </w:p>
        </w:tc>
        <w:tc>
          <w:tcPr>
            <w:tcW w:w="5386" w:type="dxa"/>
            <w:shd w:val="clear" w:color="auto" w:fill="auto"/>
          </w:tcPr>
          <w:p w:rsidR="003103A0" w:rsidRPr="00FB524C" w:rsidRDefault="003103A0" w:rsidP="009A7F91">
            <w:pPr>
              <w:spacing w:after="120" w:line="240" w:lineRule="auto"/>
              <w:rPr>
                <w:rFonts w:cs="Arial"/>
                <w:b/>
              </w:rPr>
            </w:pPr>
            <w:r w:rsidRPr="00FB524C">
              <w:rPr>
                <w:rFonts w:cs="Arial"/>
                <w:b/>
              </w:rPr>
              <w:t>Precautionary decision rules, including triggers are in place and their performance is regularly assessed.</w:t>
            </w:r>
          </w:p>
          <w:p w:rsidR="00791D18" w:rsidRPr="00FB524C" w:rsidRDefault="00791D18" w:rsidP="009A7F91">
            <w:pPr>
              <w:spacing w:after="120" w:line="240" w:lineRule="auto"/>
              <w:rPr>
                <w:rFonts w:cs="Arial"/>
              </w:rPr>
            </w:pPr>
            <w:r w:rsidRPr="00FB524C">
              <w:rPr>
                <w:rFonts w:cs="Arial"/>
              </w:rPr>
              <w:t xml:space="preserve">Fishing activity is closely monitored by CCAMLR and AFMA and spatial closures and move-on provisions apply when catches of bycatch species and interactions with vulnerable marine ecosystems reach defined limits. These limits divided across </w:t>
            </w:r>
            <w:r w:rsidR="00437340" w:rsidRPr="00FB524C">
              <w:rPr>
                <w:rFonts w:cs="Arial"/>
              </w:rPr>
              <w:t xml:space="preserve">smaller areas </w:t>
            </w:r>
            <w:r w:rsidRPr="00FB524C">
              <w:rPr>
                <w:rFonts w:cs="Arial"/>
              </w:rPr>
              <w:t>within each Division to maximise the value of fishery data being collected and minimise any risk of localised impact. The concession holder is also required to immediately implement measures outlined in their wildlife interaction reports to minimise the likelihood of subsequent similar interactions with protected species.</w:t>
            </w:r>
          </w:p>
        </w:tc>
      </w:tr>
      <w:tr w:rsidR="00791D18" w:rsidRPr="00FB524C" w:rsidTr="008B0F81">
        <w:tc>
          <w:tcPr>
            <w:tcW w:w="4219" w:type="dxa"/>
          </w:tcPr>
          <w:p w:rsidR="00791D18" w:rsidRPr="00FB524C" w:rsidRDefault="00791D18" w:rsidP="009A7F91">
            <w:pPr>
              <w:autoSpaceDE w:val="0"/>
              <w:autoSpaceDN w:val="0"/>
              <w:adjustRightInd w:val="0"/>
              <w:spacing w:after="120" w:line="240" w:lineRule="auto"/>
              <w:rPr>
                <w:rFonts w:cs="Arial"/>
              </w:rPr>
            </w:pPr>
            <w:r w:rsidRPr="00FB524C">
              <w:rPr>
                <w:rFonts w:cs="Arial"/>
                <w:b/>
                <w:bCs/>
                <w:i/>
                <w:iCs/>
              </w:rPr>
              <w:t>2.3.5</w:t>
            </w:r>
            <w:r w:rsidRPr="00FB524C">
              <w:rPr>
                <w:rFonts w:cs="Arial"/>
              </w:rPr>
              <w:t xml:space="preserve"> The management response, considering uncertainties in the assessment and precautionary management actions, has a high chance of achieving the objective.</w:t>
            </w:r>
          </w:p>
        </w:tc>
        <w:tc>
          <w:tcPr>
            <w:tcW w:w="1559" w:type="dxa"/>
            <w:shd w:val="clear" w:color="auto" w:fill="92D050"/>
          </w:tcPr>
          <w:p w:rsidR="00791D18" w:rsidRPr="00FB524C" w:rsidRDefault="00791D18" w:rsidP="009A7F91">
            <w:pPr>
              <w:spacing w:after="120" w:line="240" w:lineRule="auto"/>
              <w:rPr>
                <w:rFonts w:cs="Arial"/>
              </w:rPr>
            </w:pPr>
            <w:r w:rsidRPr="00FB524C">
              <w:rPr>
                <w:rFonts w:cs="Arial"/>
              </w:rPr>
              <w:t>No outcome required.</w:t>
            </w:r>
          </w:p>
        </w:tc>
        <w:tc>
          <w:tcPr>
            <w:tcW w:w="1560" w:type="dxa"/>
            <w:shd w:val="clear" w:color="auto" w:fill="auto"/>
          </w:tcPr>
          <w:p w:rsidR="00791D18" w:rsidRPr="00FB524C" w:rsidRDefault="00791D18" w:rsidP="009A7F91">
            <w:pPr>
              <w:spacing w:after="120" w:line="240" w:lineRule="auto"/>
              <w:rPr>
                <w:rFonts w:cs="Arial"/>
              </w:rPr>
            </w:pPr>
            <w:r w:rsidRPr="00FB524C">
              <w:rPr>
                <w:rFonts w:cs="Arial"/>
              </w:rPr>
              <w:t>No outcome required.</w:t>
            </w:r>
          </w:p>
        </w:tc>
        <w:tc>
          <w:tcPr>
            <w:tcW w:w="1559" w:type="dxa"/>
            <w:shd w:val="clear" w:color="auto" w:fill="auto"/>
          </w:tcPr>
          <w:p w:rsidR="00791D18" w:rsidRPr="00FB524C" w:rsidRDefault="00791D18" w:rsidP="009A7F91">
            <w:pPr>
              <w:spacing w:after="120" w:line="240" w:lineRule="auto"/>
              <w:rPr>
                <w:rFonts w:cs="Arial"/>
              </w:rPr>
            </w:pPr>
            <w:r w:rsidRPr="00FB524C">
              <w:rPr>
                <w:rFonts w:cs="Arial"/>
              </w:rPr>
              <w:t xml:space="preserve">No outcome required. </w:t>
            </w:r>
          </w:p>
        </w:tc>
        <w:tc>
          <w:tcPr>
            <w:tcW w:w="5386" w:type="dxa"/>
            <w:shd w:val="clear" w:color="auto" w:fill="auto"/>
          </w:tcPr>
          <w:p w:rsidR="003103A0" w:rsidRPr="00FB524C" w:rsidRDefault="003103A0" w:rsidP="009A7F91">
            <w:pPr>
              <w:spacing w:after="120" w:line="240" w:lineRule="auto"/>
              <w:rPr>
                <w:rFonts w:cs="Arial"/>
                <w:b/>
              </w:rPr>
            </w:pPr>
            <w:r w:rsidRPr="00FB524C">
              <w:rPr>
                <w:rFonts w:cs="Arial"/>
                <w:b/>
              </w:rPr>
              <w:t>Management arrangements are precautionary and considered appropriate to the scale of the fisher</w:t>
            </w:r>
            <w:r w:rsidR="004B734E" w:rsidRPr="00FB524C">
              <w:rPr>
                <w:rFonts w:cs="Arial"/>
                <w:b/>
              </w:rPr>
              <w:t>ies</w:t>
            </w:r>
            <w:r w:rsidRPr="00FB524C">
              <w:rPr>
                <w:rFonts w:cs="Arial"/>
                <w:b/>
              </w:rPr>
              <w:t xml:space="preserve"> at this time.</w:t>
            </w:r>
          </w:p>
          <w:p w:rsidR="00791D18" w:rsidRPr="00FB524C" w:rsidRDefault="00791D18" w:rsidP="009A7F91">
            <w:pPr>
              <w:spacing w:after="120" w:line="240" w:lineRule="auto"/>
              <w:rPr>
                <w:rFonts w:cs="Arial"/>
              </w:rPr>
            </w:pPr>
            <w:r w:rsidRPr="00FB524C">
              <w:rPr>
                <w:rFonts w:cs="Arial"/>
              </w:rPr>
              <w:t>Management arrangements are precautionary and designed to deliver information on the fisher</w:t>
            </w:r>
            <w:r w:rsidR="004B734E" w:rsidRPr="00FB524C">
              <w:rPr>
                <w:rFonts w:cs="Arial"/>
              </w:rPr>
              <w:t>ies</w:t>
            </w:r>
            <w:r w:rsidRPr="00FB524C">
              <w:rPr>
                <w:rFonts w:cs="Arial"/>
              </w:rPr>
              <w:t xml:space="preserve"> before any further development and longer-term investment occurs.</w:t>
            </w:r>
          </w:p>
          <w:p w:rsidR="00791D18" w:rsidRPr="00FB524C" w:rsidRDefault="00791D18" w:rsidP="009A7F91">
            <w:pPr>
              <w:spacing w:after="120" w:line="240" w:lineRule="auto"/>
              <w:rPr>
                <w:rFonts w:cs="Arial"/>
              </w:rPr>
            </w:pPr>
            <w:r w:rsidRPr="00FB524C">
              <w:rPr>
                <w:rFonts w:cs="Arial"/>
              </w:rPr>
              <w:t xml:space="preserve">Vulnerable marine </w:t>
            </w:r>
            <w:r w:rsidR="009A7F91" w:rsidRPr="00FB524C">
              <w:rPr>
                <w:rFonts w:cs="Arial"/>
              </w:rPr>
              <w:t>ecosystems</w:t>
            </w:r>
            <w:r w:rsidRPr="00FB524C">
              <w:rPr>
                <w:rFonts w:cs="Arial"/>
              </w:rPr>
              <w:t xml:space="preserve"> and impacts on the environment are considered in managing CCAMLR fisheries.</w:t>
            </w:r>
          </w:p>
        </w:tc>
      </w:tr>
    </w:tbl>
    <w:p w:rsidR="00791D18" w:rsidRPr="00815013" w:rsidRDefault="00791D18" w:rsidP="00791D18">
      <w:pPr>
        <w:spacing w:after="0" w:line="240" w:lineRule="auto"/>
        <w:rPr>
          <w:rFonts w:cs="Arial"/>
          <w:sz w:val="18"/>
          <w:szCs w:val="18"/>
        </w:rPr>
      </w:pPr>
    </w:p>
    <w:p w:rsidR="00B6012C" w:rsidRPr="00815013" w:rsidRDefault="00B6012C" w:rsidP="001955CD">
      <w:pPr>
        <w:rPr>
          <w:rFonts w:cs="Arial"/>
        </w:rPr>
        <w:sectPr w:rsidR="00B6012C" w:rsidRPr="00815013">
          <w:pgSz w:w="16838" w:h="11906" w:orient="landscape"/>
          <w:pgMar w:top="899" w:right="1361" w:bottom="899" w:left="1361" w:header="709" w:footer="528" w:gutter="0"/>
          <w:cols w:space="708"/>
          <w:docGrid w:linePitch="360"/>
        </w:sectPr>
      </w:pPr>
    </w:p>
    <w:p w:rsidR="00FF1DDA" w:rsidRDefault="00B6012C" w:rsidP="00FF1DDA">
      <w:pPr>
        <w:pStyle w:val="Heading1"/>
        <w:rPr>
          <w:rStyle w:val="Emphasis"/>
          <w:b w:val="0"/>
          <w:i w:val="0"/>
          <w:iCs w:val="0"/>
        </w:rPr>
      </w:pPr>
      <w:bookmarkStart w:id="7" w:name="_Toc438626355"/>
      <w:r w:rsidRPr="00815013">
        <w:rPr>
          <w:rStyle w:val="Emphasis"/>
          <w:i w:val="0"/>
          <w:iCs w:val="0"/>
        </w:rPr>
        <w:t xml:space="preserve">Table 3: The Department of the Environment’s assessment of the </w:t>
      </w:r>
      <w:r w:rsidR="00BA7A91" w:rsidRPr="00815013">
        <w:rPr>
          <w:noProof/>
        </w:rPr>
        <w:t>CCAMLR Exploratory Fisher</w:t>
      </w:r>
      <w:r w:rsidR="004B734E">
        <w:rPr>
          <w:noProof/>
        </w:rPr>
        <w:t>ies</w:t>
      </w:r>
      <w:r w:rsidRPr="00815013">
        <w:rPr>
          <w:rStyle w:val="Emphasis"/>
          <w:i w:val="0"/>
          <w:iCs w:val="0"/>
        </w:rPr>
        <w:t xml:space="preserve"> against the requirements of the EPBC Act r</w:t>
      </w:r>
      <w:r w:rsidR="00C90728" w:rsidRPr="00815013">
        <w:rPr>
          <w:rStyle w:val="Emphasis"/>
          <w:i w:val="0"/>
          <w:iCs w:val="0"/>
        </w:rPr>
        <w:t xml:space="preserve">elated to decisions made under </w:t>
      </w:r>
      <w:r w:rsidRPr="00815013">
        <w:rPr>
          <w:rStyle w:val="Emphasis"/>
          <w:i w:val="0"/>
          <w:iCs w:val="0"/>
        </w:rPr>
        <w:t>Part 13A.</w:t>
      </w:r>
      <w:bookmarkEnd w:id="7"/>
    </w:p>
    <w:p w:rsidR="007430E0" w:rsidRPr="00815013" w:rsidRDefault="007430E0" w:rsidP="001955CD">
      <w:pPr>
        <w:rPr>
          <w:rFonts w:cs="Arial"/>
          <w:b/>
        </w:rPr>
      </w:pPr>
    </w:p>
    <w:p w:rsidR="00B6012C" w:rsidRPr="00815013" w:rsidRDefault="00B6012C" w:rsidP="003F00DA">
      <w:pPr>
        <w:rPr>
          <w:rFonts w:cs="Arial"/>
        </w:rPr>
      </w:pPr>
      <w:r w:rsidRPr="00815013">
        <w:rPr>
          <w:rFonts w:cs="Arial"/>
          <w:b/>
        </w:rPr>
        <w:t xml:space="preserve">Please Note </w:t>
      </w:r>
      <w:r w:rsidRPr="00815013">
        <w:rPr>
          <w:rFonts w:cs="Arial"/>
        </w:rPr>
        <w:t>– the table below is not a complete or exact representation of the EPBC Act. It is intended as a summary of relevant sections and components of the EPBC Act to provide advice on the fisher</w:t>
      </w:r>
      <w:r w:rsidR="004B734E">
        <w:rPr>
          <w:rFonts w:cs="Arial"/>
        </w:rPr>
        <w:t>ies</w:t>
      </w:r>
      <w:r w:rsidRPr="00815013">
        <w:rPr>
          <w:rFonts w:cs="Arial"/>
        </w:rPr>
        <w:t xml:space="preserve"> in relation to decisions under Part 13A. A complete version of the EPBC Act can be found at </w:t>
      </w:r>
      <w:hyperlink r:id="rId107" w:history="1">
        <w:r w:rsidR="00BA7A91" w:rsidRPr="00815013">
          <w:rPr>
            <w:rStyle w:val="Hyperlink"/>
            <w:rFonts w:cs="Arial"/>
          </w:rPr>
          <w:t>http://www.comlaw.gov.au/</w:t>
        </w:r>
      </w:hyperlink>
      <w:r w:rsidRPr="00815013">
        <w:rPr>
          <w:rFonts w:cs="Arial"/>
        </w:rPr>
        <w:t>.</w:t>
      </w:r>
      <w:r w:rsidR="00BA7A91" w:rsidRPr="00815013">
        <w:rPr>
          <w:rFonts w:cs="Arial"/>
        </w:rPr>
        <w:t xml:space="preserve"> </w:t>
      </w:r>
    </w:p>
    <w:p w:rsidR="00BC1963" w:rsidRPr="00815013" w:rsidRDefault="00BC1963" w:rsidP="001955CD">
      <w:pPr>
        <w:rPr>
          <w:rFonts w:cs="Arial"/>
          <w:b/>
        </w:rPr>
      </w:pPr>
    </w:p>
    <w:p w:rsidR="00B6012C" w:rsidRPr="00815013" w:rsidRDefault="00B6012C" w:rsidP="001955CD">
      <w:pPr>
        <w:rPr>
          <w:rFonts w:cs="Arial"/>
          <w:b/>
        </w:rPr>
      </w:pPr>
      <w:r w:rsidRPr="00815013">
        <w:rPr>
          <w:rFonts w:cs="Arial"/>
          <w:b/>
        </w:rPr>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332"/>
      </w:tblGrid>
      <w:tr w:rsidR="00B6012C" w:rsidRPr="00815013" w:rsidTr="001955CD">
        <w:tc>
          <w:tcPr>
            <w:tcW w:w="14332" w:type="dxa"/>
          </w:tcPr>
          <w:p w:rsidR="00B6012C" w:rsidRPr="00815013" w:rsidRDefault="00B6012C" w:rsidP="001955CD">
            <w:pPr>
              <w:spacing w:before="60" w:after="60"/>
              <w:rPr>
                <w:rFonts w:cs="Arial"/>
                <w:noProof/>
              </w:rPr>
            </w:pPr>
            <w:r w:rsidRPr="00815013">
              <w:rPr>
                <w:rFonts w:cs="Arial"/>
                <w:b/>
                <w:bCs/>
                <w:noProof/>
              </w:rPr>
              <w:t>Section 303BA Objects of Part 13A</w:t>
            </w:r>
          </w:p>
        </w:tc>
      </w:tr>
      <w:tr w:rsidR="00B6012C" w:rsidRPr="00815013" w:rsidTr="001955CD">
        <w:tc>
          <w:tcPr>
            <w:tcW w:w="14332" w:type="dxa"/>
          </w:tcPr>
          <w:p w:rsidR="00B6012C" w:rsidRPr="00815013" w:rsidRDefault="00B6012C" w:rsidP="00B6012C">
            <w:pPr>
              <w:numPr>
                <w:ilvl w:val="0"/>
                <w:numId w:val="29"/>
              </w:numPr>
              <w:tabs>
                <w:tab w:val="clear" w:pos="720"/>
                <w:tab w:val="num" w:pos="360"/>
              </w:tabs>
              <w:spacing w:before="200" w:line="240" w:lineRule="auto"/>
              <w:ind w:hanging="720"/>
              <w:rPr>
                <w:rFonts w:cs="Arial"/>
                <w:noProof/>
              </w:rPr>
            </w:pPr>
            <w:r w:rsidRPr="00815013">
              <w:rPr>
                <w:rFonts w:cs="Arial"/>
                <w:noProof/>
              </w:rPr>
              <w:t>The objects of this Part are as follows:</w:t>
            </w:r>
          </w:p>
          <w:p w:rsidR="00B6012C" w:rsidRPr="00815013" w:rsidRDefault="00B6012C" w:rsidP="00B6012C">
            <w:pPr>
              <w:numPr>
                <w:ilvl w:val="0"/>
                <w:numId w:val="30"/>
              </w:numPr>
              <w:tabs>
                <w:tab w:val="left" w:pos="360"/>
              </w:tabs>
              <w:spacing w:line="240" w:lineRule="auto"/>
              <w:ind w:left="1077"/>
              <w:rPr>
                <w:rFonts w:cs="Arial"/>
                <w:noProof/>
              </w:rPr>
            </w:pPr>
            <w:r w:rsidRPr="00815013">
              <w:rPr>
                <w:rFonts w:cs="Arial"/>
                <w:noProof/>
              </w:rPr>
              <w:t>to ensure that Australia complies with its obligations under CITES</w:t>
            </w:r>
            <w:r w:rsidRPr="00815013">
              <w:rPr>
                <w:rStyle w:val="FootnoteReference"/>
                <w:rFonts w:cs="Arial"/>
                <w:noProof/>
              </w:rPr>
              <w:footnoteReference w:id="6"/>
            </w:r>
            <w:r w:rsidRPr="00815013">
              <w:rPr>
                <w:rFonts w:cs="Arial"/>
                <w:noProof/>
              </w:rPr>
              <w:t xml:space="preserve"> and the Biodiversity Convention;</w:t>
            </w:r>
          </w:p>
          <w:p w:rsidR="00B6012C" w:rsidRPr="00815013" w:rsidRDefault="00B6012C" w:rsidP="00B6012C">
            <w:pPr>
              <w:numPr>
                <w:ilvl w:val="0"/>
                <w:numId w:val="30"/>
              </w:numPr>
              <w:tabs>
                <w:tab w:val="left" w:pos="360"/>
              </w:tabs>
              <w:spacing w:line="240" w:lineRule="auto"/>
              <w:ind w:left="1077"/>
              <w:rPr>
                <w:rFonts w:cs="Arial"/>
                <w:noProof/>
              </w:rPr>
            </w:pPr>
            <w:r w:rsidRPr="00815013">
              <w:rPr>
                <w:rFonts w:cs="Arial"/>
                <w:noProof/>
              </w:rPr>
              <w:t>to protect wildlife that may be adversely affected by trade;</w:t>
            </w:r>
          </w:p>
          <w:p w:rsidR="00B6012C" w:rsidRPr="00815013" w:rsidRDefault="00B6012C" w:rsidP="00B6012C">
            <w:pPr>
              <w:numPr>
                <w:ilvl w:val="0"/>
                <w:numId w:val="30"/>
              </w:numPr>
              <w:tabs>
                <w:tab w:val="left" w:pos="360"/>
              </w:tabs>
              <w:spacing w:line="240" w:lineRule="auto"/>
              <w:ind w:left="1077"/>
              <w:rPr>
                <w:rFonts w:cs="Arial"/>
                <w:noProof/>
              </w:rPr>
            </w:pPr>
            <w:r w:rsidRPr="00815013">
              <w:rPr>
                <w:rFonts w:cs="Arial"/>
                <w:noProof/>
              </w:rPr>
              <w:t>to promote the conservation of biodiversity in Australia and other countries;</w:t>
            </w:r>
          </w:p>
          <w:p w:rsidR="00B6012C" w:rsidRPr="00815013" w:rsidRDefault="00B6012C" w:rsidP="00B6012C">
            <w:pPr>
              <w:numPr>
                <w:ilvl w:val="0"/>
                <w:numId w:val="30"/>
              </w:numPr>
              <w:tabs>
                <w:tab w:val="left" w:pos="360"/>
              </w:tabs>
              <w:spacing w:line="240" w:lineRule="auto"/>
              <w:ind w:left="1077"/>
              <w:rPr>
                <w:rFonts w:cs="Arial"/>
                <w:noProof/>
              </w:rPr>
            </w:pPr>
            <w:r w:rsidRPr="00815013">
              <w:rPr>
                <w:rFonts w:cs="Arial"/>
                <w:noProof/>
              </w:rPr>
              <w:t>to ensure that any commercial utilisation of Australian native wildlife for the purposes of export is managed in an ecologically sustainable way;</w:t>
            </w:r>
          </w:p>
          <w:p w:rsidR="00B6012C" w:rsidRPr="00815013" w:rsidRDefault="00B6012C" w:rsidP="00B6012C">
            <w:pPr>
              <w:numPr>
                <w:ilvl w:val="0"/>
                <w:numId w:val="30"/>
              </w:numPr>
              <w:tabs>
                <w:tab w:val="left" w:pos="360"/>
              </w:tabs>
              <w:spacing w:line="240" w:lineRule="auto"/>
              <w:ind w:left="1077"/>
              <w:rPr>
                <w:rFonts w:cs="Arial"/>
                <w:noProof/>
              </w:rPr>
            </w:pPr>
            <w:r w:rsidRPr="00815013">
              <w:rPr>
                <w:rFonts w:cs="Arial"/>
                <w:noProof/>
              </w:rPr>
              <w:t>to promote the humane treatment of wildlife;</w:t>
            </w:r>
          </w:p>
          <w:p w:rsidR="00B6012C" w:rsidRPr="00815013" w:rsidRDefault="00B6012C" w:rsidP="00B6012C">
            <w:pPr>
              <w:numPr>
                <w:ilvl w:val="0"/>
                <w:numId w:val="30"/>
              </w:numPr>
              <w:tabs>
                <w:tab w:val="left" w:pos="360"/>
              </w:tabs>
              <w:spacing w:line="240" w:lineRule="auto"/>
              <w:ind w:left="1077"/>
              <w:rPr>
                <w:rFonts w:cs="Arial"/>
                <w:noProof/>
              </w:rPr>
            </w:pPr>
            <w:r w:rsidRPr="00815013">
              <w:rPr>
                <w:rFonts w:cs="Arial"/>
                <w:noProof/>
              </w:rPr>
              <w:t>to ensure ethical conduct during any research associated with the utilisation of wildlife; and</w:t>
            </w:r>
          </w:p>
          <w:p w:rsidR="00B6012C" w:rsidRPr="00815013" w:rsidRDefault="00B6012C" w:rsidP="00B6012C">
            <w:pPr>
              <w:numPr>
                <w:ilvl w:val="0"/>
                <w:numId w:val="31"/>
              </w:numPr>
              <w:tabs>
                <w:tab w:val="left" w:pos="360"/>
              </w:tabs>
              <w:spacing w:line="240" w:lineRule="auto"/>
              <w:ind w:left="1077"/>
              <w:rPr>
                <w:rFonts w:cs="Arial"/>
                <w:noProof/>
              </w:rPr>
            </w:pPr>
            <w:r w:rsidRPr="00815013">
              <w:rPr>
                <w:rFonts w:cs="Arial"/>
                <w:noProof/>
              </w:rPr>
              <w:t>to ensure the precautionary principle is taken into account in making decisions relating to the utilisation of wildlife.</w:t>
            </w:r>
          </w:p>
        </w:tc>
      </w:tr>
    </w:tbl>
    <w:p w:rsidR="00B6012C" w:rsidRPr="00815013" w:rsidRDefault="00B6012C" w:rsidP="001955CD">
      <w:pPr>
        <w:rPr>
          <w:rFonts w:cs="Arial"/>
          <w:b/>
        </w:rPr>
      </w:pPr>
    </w:p>
    <w:p w:rsidR="00B6012C" w:rsidRPr="00815013" w:rsidRDefault="00B6012C" w:rsidP="001955CD">
      <w:pPr>
        <w:rPr>
          <w:rFonts w:cs="Arial"/>
          <w:b/>
        </w:rPr>
        <w:sectPr w:rsidR="00B6012C" w:rsidRPr="00815013">
          <w:pgSz w:w="16838" w:h="11906" w:orient="landscape"/>
          <w:pgMar w:top="899" w:right="1361" w:bottom="899" w:left="1361" w:header="709" w:footer="528" w:gutter="0"/>
          <w:cols w:space="708"/>
          <w:docGrid w:linePitch="360"/>
        </w:sectPr>
      </w:pPr>
    </w:p>
    <w:p w:rsidR="00B6012C" w:rsidRPr="00815013" w:rsidRDefault="00B6012C" w:rsidP="001955CD">
      <w:pPr>
        <w:rPr>
          <w:rFonts w:cs="Arial"/>
          <w:b/>
        </w:rPr>
      </w:pPr>
      <w:r w:rsidRPr="00815013">
        <w:rPr>
          <w:rFonts w:cs="Arial"/>
          <w:b/>
        </w:rPr>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6012C" w:rsidRPr="00815013" w:rsidTr="001955CD">
        <w:tc>
          <w:tcPr>
            <w:tcW w:w="7087" w:type="dxa"/>
          </w:tcPr>
          <w:p w:rsidR="00B6012C" w:rsidRPr="00815013" w:rsidRDefault="00B6012C" w:rsidP="001955CD">
            <w:pPr>
              <w:rPr>
                <w:rFonts w:cs="Arial"/>
                <w:b/>
              </w:rPr>
            </w:pPr>
            <w:r w:rsidRPr="00815013">
              <w:rPr>
                <w:rFonts w:cs="Arial"/>
                <w:b/>
              </w:rPr>
              <w:t>Section 303DC Minister may amend list</w:t>
            </w:r>
          </w:p>
        </w:tc>
        <w:tc>
          <w:tcPr>
            <w:tcW w:w="7087" w:type="dxa"/>
          </w:tcPr>
          <w:p w:rsidR="00B6012C" w:rsidRPr="00815013" w:rsidRDefault="00B6012C" w:rsidP="00BA7A91">
            <w:pPr>
              <w:rPr>
                <w:rFonts w:cs="Arial"/>
                <w:b/>
              </w:rPr>
            </w:pPr>
            <w:r w:rsidRPr="00815013">
              <w:rPr>
                <w:rFonts w:cs="Arial"/>
                <w:b/>
              </w:rPr>
              <w:t xml:space="preserve">The Department’s assessment of the </w:t>
            </w:r>
            <w:r w:rsidR="00BA7A91" w:rsidRPr="00815013">
              <w:rPr>
                <w:rFonts w:cs="Arial"/>
                <w:b/>
                <w:noProof/>
              </w:rPr>
              <w:t>CCAMLR Exploratory Fisher</w:t>
            </w:r>
            <w:r w:rsidR="00437340">
              <w:rPr>
                <w:rFonts w:cs="Arial"/>
                <w:b/>
                <w:noProof/>
              </w:rPr>
              <w:t>ies</w:t>
            </w:r>
          </w:p>
        </w:tc>
      </w:tr>
      <w:tr w:rsidR="00B6012C" w:rsidRPr="00815013" w:rsidTr="001955CD">
        <w:tc>
          <w:tcPr>
            <w:tcW w:w="7087" w:type="dxa"/>
            <w:tcMar>
              <w:top w:w="57" w:type="dxa"/>
              <w:bottom w:w="57" w:type="dxa"/>
            </w:tcMar>
          </w:tcPr>
          <w:p w:rsidR="00B6012C" w:rsidRPr="00815013" w:rsidRDefault="00B6012C" w:rsidP="001955CD">
            <w:pPr>
              <w:ind w:left="360" w:hanging="360"/>
              <w:rPr>
                <w:rFonts w:cs="Arial"/>
              </w:rPr>
            </w:pPr>
            <w:r w:rsidRPr="00815013">
              <w:rPr>
                <w:rFonts w:cs="Arial"/>
              </w:rPr>
              <w:t>(1)</w:t>
            </w:r>
            <w:r w:rsidRPr="00815013">
              <w:rPr>
                <w:rFonts w:cs="Arial"/>
              </w:rPr>
              <w:tab/>
              <w:t>Minister may, by instrument published in the Gazette, amend the list referred to in section 303DB (list of exempt native specimens) by:</w:t>
            </w:r>
          </w:p>
          <w:p w:rsidR="00B6012C" w:rsidRPr="00815013" w:rsidRDefault="00B6012C" w:rsidP="00B6012C">
            <w:pPr>
              <w:numPr>
                <w:ilvl w:val="0"/>
                <w:numId w:val="16"/>
              </w:numPr>
              <w:tabs>
                <w:tab w:val="clear" w:pos="1080"/>
                <w:tab w:val="num" w:pos="900"/>
              </w:tabs>
              <w:spacing w:after="0"/>
              <w:ind w:left="900" w:hanging="540"/>
              <w:rPr>
                <w:rFonts w:cs="Arial"/>
              </w:rPr>
            </w:pPr>
            <w:r w:rsidRPr="00815013">
              <w:rPr>
                <w:rFonts w:cs="Arial"/>
              </w:rPr>
              <w:t xml:space="preserve">including items in the list; </w:t>
            </w:r>
          </w:p>
          <w:p w:rsidR="00B6012C" w:rsidRPr="00815013" w:rsidRDefault="00B6012C" w:rsidP="00B6012C">
            <w:pPr>
              <w:numPr>
                <w:ilvl w:val="0"/>
                <w:numId w:val="16"/>
              </w:numPr>
              <w:tabs>
                <w:tab w:val="clear" w:pos="1080"/>
                <w:tab w:val="num" w:pos="900"/>
              </w:tabs>
              <w:spacing w:after="0"/>
              <w:ind w:left="900" w:hanging="540"/>
              <w:rPr>
                <w:rFonts w:cs="Arial"/>
              </w:rPr>
            </w:pPr>
            <w:r w:rsidRPr="00815013">
              <w:rPr>
                <w:rFonts w:cs="Arial"/>
              </w:rPr>
              <w:t>deleting items from the list; or</w:t>
            </w:r>
          </w:p>
          <w:p w:rsidR="00B6012C" w:rsidRPr="00815013" w:rsidRDefault="00B6012C" w:rsidP="00B6012C">
            <w:pPr>
              <w:numPr>
                <w:ilvl w:val="0"/>
                <w:numId w:val="16"/>
              </w:numPr>
              <w:tabs>
                <w:tab w:val="clear" w:pos="1080"/>
                <w:tab w:val="num" w:pos="900"/>
              </w:tabs>
              <w:spacing w:after="0"/>
              <w:ind w:left="900" w:hanging="540"/>
              <w:rPr>
                <w:rFonts w:cs="Arial"/>
              </w:rPr>
            </w:pPr>
            <w:r w:rsidRPr="00815013">
              <w:rPr>
                <w:rFonts w:cs="Arial"/>
              </w:rPr>
              <w:t>imposing a condition or restriction to which the inclusion of a specimen in the list is subject; or</w:t>
            </w:r>
          </w:p>
          <w:p w:rsidR="00B6012C" w:rsidRPr="00815013" w:rsidRDefault="00B6012C" w:rsidP="00B6012C">
            <w:pPr>
              <w:numPr>
                <w:ilvl w:val="0"/>
                <w:numId w:val="16"/>
              </w:numPr>
              <w:tabs>
                <w:tab w:val="clear" w:pos="1080"/>
                <w:tab w:val="num" w:pos="900"/>
              </w:tabs>
              <w:spacing w:after="0"/>
              <w:ind w:left="900" w:hanging="540"/>
              <w:rPr>
                <w:rFonts w:cs="Arial"/>
              </w:rPr>
            </w:pPr>
            <w:r w:rsidRPr="00815013">
              <w:rPr>
                <w:rFonts w:cs="Arial"/>
              </w:rPr>
              <w:t>varying or revoking a condition or restriction to which the inclusion of a specimen in the list is subject; or</w:t>
            </w:r>
          </w:p>
          <w:p w:rsidR="00B6012C" w:rsidRPr="00815013" w:rsidRDefault="00B6012C" w:rsidP="00B6012C">
            <w:pPr>
              <w:numPr>
                <w:ilvl w:val="0"/>
                <w:numId w:val="16"/>
              </w:numPr>
              <w:tabs>
                <w:tab w:val="clear" w:pos="1080"/>
                <w:tab w:val="num" w:pos="900"/>
              </w:tabs>
              <w:spacing w:after="0"/>
              <w:ind w:left="900" w:hanging="540"/>
              <w:rPr>
                <w:rFonts w:cs="Arial"/>
              </w:rPr>
            </w:pPr>
            <w:proofErr w:type="gramStart"/>
            <w:r w:rsidRPr="00815013">
              <w:rPr>
                <w:rFonts w:cs="Arial"/>
              </w:rPr>
              <w:t>correcting</w:t>
            </w:r>
            <w:proofErr w:type="gramEnd"/>
            <w:r w:rsidRPr="00815013">
              <w:rPr>
                <w:rFonts w:cs="Arial"/>
              </w:rPr>
              <w:t xml:space="preserve"> an inaccuracy or updating the name of a species.</w:t>
            </w:r>
          </w:p>
        </w:tc>
        <w:tc>
          <w:tcPr>
            <w:tcW w:w="7087" w:type="dxa"/>
            <w:tcMar>
              <w:top w:w="57" w:type="dxa"/>
              <w:bottom w:w="57" w:type="dxa"/>
            </w:tcMar>
          </w:tcPr>
          <w:p w:rsidR="00B6012C" w:rsidRPr="00815013" w:rsidRDefault="00B6012C" w:rsidP="001955CD">
            <w:pPr>
              <w:pStyle w:val="NormalWeb"/>
              <w:spacing w:before="0" w:beforeAutospacing="0" w:after="0" w:afterAutospacing="0" w:line="276" w:lineRule="auto"/>
              <w:rPr>
                <w:rFonts w:ascii="Arial" w:eastAsia="Times New Roman" w:hAnsi="Arial" w:cs="Arial"/>
                <w:sz w:val="22"/>
                <w:szCs w:val="22"/>
                <w:lang w:val="en-AU" w:eastAsia="en-AU"/>
              </w:rPr>
            </w:pPr>
          </w:p>
          <w:p w:rsidR="00B6012C" w:rsidRPr="00815013" w:rsidRDefault="00B6012C" w:rsidP="001955CD">
            <w:pPr>
              <w:pStyle w:val="NormalWeb"/>
              <w:spacing w:before="0" w:beforeAutospacing="0" w:after="0" w:afterAutospacing="0" w:line="276" w:lineRule="auto"/>
              <w:rPr>
                <w:rFonts w:ascii="Arial" w:eastAsia="Times New Roman" w:hAnsi="Arial" w:cs="Arial"/>
                <w:sz w:val="22"/>
                <w:szCs w:val="22"/>
                <w:lang w:val="en-AU" w:eastAsia="en-AU"/>
              </w:rPr>
            </w:pPr>
          </w:p>
          <w:p w:rsidR="00B6012C" w:rsidRPr="00815013" w:rsidRDefault="00B6012C" w:rsidP="001955CD">
            <w:pPr>
              <w:pStyle w:val="NormalWeb"/>
              <w:spacing w:before="0" w:beforeAutospacing="0" w:after="0" w:afterAutospacing="0" w:line="276" w:lineRule="auto"/>
              <w:rPr>
                <w:rFonts w:ascii="Arial" w:hAnsi="Arial" w:cs="Arial"/>
                <w:iCs/>
                <w:sz w:val="22"/>
                <w:szCs w:val="22"/>
                <w:highlight w:val="cyan"/>
              </w:rPr>
            </w:pPr>
          </w:p>
          <w:p w:rsidR="00B6012C" w:rsidRPr="00815013" w:rsidRDefault="00B6012C" w:rsidP="001955CD">
            <w:pPr>
              <w:pStyle w:val="NormalWeb"/>
              <w:spacing w:before="0" w:beforeAutospacing="0" w:after="0" w:afterAutospacing="0" w:line="276" w:lineRule="auto"/>
              <w:rPr>
                <w:rFonts w:ascii="Arial" w:hAnsi="Arial" w:cs="Arial"/>
                <w:sz w:val="22"/>
                <w:szCs w:val="22"/>
              </w:rPr>
            </w:pPr>
            <w:r w:rsidRPr="00815013">
              <w:rPr>
                <w:rFonts w:ascii="Arial" w:hAnsi="Arial" w:cs="Arial"/>
                <w:sz w:val="22"/>
                <w:szCs w:val="22"/>
              </w:rPr>
              <w:t xml:space="preserve">The Department recommends that product derived from the </w:t>
            </w:r>
            <w:r w:rsidR="00D41212" w:rsidRPr="00815013">
              <w:rPr>
                <w:rFonts w:ascii="Arial" w:hAnsi="Arial" w:cs="Arial"/>
                <w:noProof/>
                <w:sz w:val="22"/>
                <w:szCs w:val="22"/>
              </w:rPr>
              <w:t>CCAMLR Exploratory Fisher</w:t>
            </w:r>
            <w:r w:rsidR="00437340">
              <w:rPr>
                <w:rFonts w:ascii="Arial" w:hAnsi="Arial" w:cs="Arial"/>
                <w:noProof/>
                <w:sz w:val="22"/>
                <w:szCs w:val="22"/>
              </w:rPr>
              <w:t>ies</w:t>
            </w:r>
            <w:r w:rsidRPr="00815013">
              <w:rPr>
                <w:rFonts w:ascii="Arial" w:hAnsi="Arial" w:cs="Arial"/>
                <w:sz w:val="22"/>
                <w:szCs w:val="22"/>
              </w:rPr>
              <w:t xml:space="preserve"> be included in the list of exempt native specimens until </w:t>
            </w:r>
            <w:r w:rsidR="000A2230" w:rsidRPr="00815013">
              <w:rPr>
                <w:rFonts w:ascii="Arial" w:hAnsi="Arial" w:cs="Arial"/>
                <w:sz w:val="22"/>
                <w:szCs w:val="22"/>
              </w:rPr>
              <w:t>27 November 2020.</w:t>
            </w:r>
          </w:p>
          <w:p w:rsidR="00B6012C" w:rsidRPr="00815013" w:rsidRDefault="00B6012C" w:rsidP="001955CD">
            <w:pPr>
              <w:pStyle w:val="NormalWeb"/>
              <w:spacing w:before="0" w:beforeAutospacing="0" w:after="0" w:afterAutospacing="0" w:line="276" w:lineRule="auto"/>
              <w:rPr>
                <w:rFonts w:ascii="Arial" w:eastAsia="Times New Roman" w:hAnsi="Arial" w:cs="Arial"/>
                <w:sz w:val="22"/>
                <w:szCs w:val="22"/>
                <w:lang w:val="en-AU" w:eastAsia="en-AU"/>
              </w:rPr>
            </w:pPr>
          </w:p>
          <w:p w:rsidR="00B6012C" w:rsidRPr="00815013" w:rsidRDefault="00B6012C" w:rsidP="00D41212">
            <w:pPr>
              <w:pStyle w:val="NormalWeb"/>
              <w:spacing w:before="0" w:beforeAutospacing="0" w:after="120" w:afterAutospacing="0" w:line="276" w:lineRule="auto"/>
              <w:rPr>
                <w:rFonts w:ascii="Arial" w:eastAsia="Times New Roman" w:hAnsi="Arial" w:cs="Arial"/>
                <w:sz w:val="22"/>
                <w:szCs w:val="22"/>
                <w:lang w:val="en-AU" w:eastAsia="en-AU"/>
              </w:rPr>
            </w:pPr>
          </w:p>
        </w:tc>
      </w:tr>
      <w:tr w:rsidR="00B6012C" w:rsidRPr="00815013" w:rsidTr="001955CD">
        <w:tc>
          <w:tcPr>
            <w:tcW w:w="7087" w:type="dxa"/>
          </w:tcPr>
          <w:p w:rsidR="00B6012C" w:rsidRPr="00815013" w:rsidRDefault="00B6012C" w:rsidP="001955CD">
            <w:pPr>
              <w:ind w:left="720" w:hanging="720"/>
              <w:rPr>
                <w:rFonts w:cs="Arial"/>
              </w:rPr>
            </w:pPr>
            <w:r w:rsidRPr="00815013">
              <w:rPr>
                <w:rFonts w:cs="Arial"/>
              </w:rPr>
              <w:t>(1A)</w:t>
            </w:r>
            <w:r w:rsidRPr="00815013">
              <w:rPr>
                <w:rFonts w:cs="Arial"/>
              </w:rPr>
              <w:tab/>
              <w:t>In deciding whether to amend the list referred to in section 303DB (list of exempt native specimens) to include a specimen derived from a commercial fishery, the Minister must rely primarily on the outcomes of any assessment in relation to the fishery carried out for the purposes of Division 1 or 2 of Part 10.</w:t>
            </w:r>
          </w:p>
          <w:p w:rsidR="00B6012C" w:rsidRPr="00815013" w:rsidRDefault="00B6012C" w:rsidP="001955CD">
            <w:pPr>
              <w:pStyle w:val="NormalWeb"/>
              <w:spacing w:before="0" w:beforeAutospacing="0" w:after="0" w:afterAutospacing="0" w:line="276" w:lineRule="auto"/>
              <w:rPr>
                <w:rFonts w:ascii="Arial" w:eastAsia="Times New Roman" w:hAnsi="Arial" w:cs="Arial"/>
                <w:sz w:val="22"/>
                <w:szCs w:val="22"/>
                <w:lang w:val="en-AU" w:eastAsia="en-AU"/>
              </w:rPr>
            </w:pPr>
          </w:p>
        </w:tc>
        <w:tc>
          <w:tcPr>
            <w:tcW w:w="7087" w:type="dxa"/>
          </w:tcPr>
          <w:p w:rsidR="00B6012C" w:rsidRPr="00815013" w:rsidRDefault="00B6012C" w:rsidP="00D41212">
            <w:pPr>
              <w:spacing w:after="120"/>
              <w:rPr>
                <w:rFonts w:cs="Arial"/>
                <w:color w:val="000000"/>
              </w:rPr>
            </w:pPr>
            <w:r w:rsidRPr="00815013">
              <w:rPr>
                <w:rFonts w:cs="Arial"/>
              </w:rPr>
              <w:t xml:space="preserve">No assessment of the </w:t>
            </w:r>
            <w:r w:rsidR="00D41212" w:rsidRPr="00815013">
              <w:rPr>
                <w:rFonts w:cs="Arial"/>
                <w:noProof/>
              </w:rPr>
              <w:t>CCAMLR Exploratory Fisher</w:t>
            </w:r>
            <w:r w:rsidR="00437340">
              <w:rPr>
                <w:rFonts w:cs="Arial"/>
                <w:noProof/>
              </w:rPr>
              <w:t>ies</w:t>
            </w:r>
            <w:r w:rsidRPr="00815013">
              <w:rPr>
                <w:rFonts w:cs="Arial"/>
              </w:rPr>
              <w:t xml:space="preserve"> has been carried out under Part 10 of the EPBC Act.</w:t>
            </w:r>
          </w:p>
        </w:tc>
      </w:tr>
      <w:tr w:rsidR="00B6012C" w:rsidRPr="00815013" w:rsidTr="001955CD">
        <w:tc>
          <w:tcPr>
            <w:tcW w:w="7087" w:type="dxa"/>
          </w:tcPr>
          <w:p w:rsidR="00B6012C" w:rsidRPr="00815013" w:rsidRDefault="00B6012C" w:rsidP="001955CD">
            <w:pPr>
              <w:ind w:left="720" w:hanging="720"/>
              <w:rPr>
                <w:rFonts w:cs="Arial"/>
              </w:rPr>
            </w:pPr>
            <w:r w:rsidRPr="00815013">
              <w:rPr>
                <w:rFonts w:cs="Arial"/>
              </w:rPr>
              <w:t>(1C)</w:t>
            </w:r>
            <w:r w:rsidRPr="00815013">
              <w:rPr>
                <w:rFonts w:cs="Arial"/>
              </w:rPr>
              <w:tab/>
              <w:t>The above does not limit the matters that may be taken into account in deciding whether to amend the list referred to in section 303DB (list of exempt native specimens) to include a specimen derived from a commercial fishery.</w:t>
            </w:r>
          </w:p>
        </w:tc>
        <w:tc>
          <w:tcPr>
            <w:tcW w:w="7087" w:type="dxa"/>
          </w:tcPr>
          <w:p w:rsidR="00B6012C" w:rsidRPr="00815013" w:rsidRDefault="00B6012C" w:rsidP="001955CD">
            <w:pPr>
              <w:rPr>
                <w:rFonts w:cs="Arial"/>
                <w:iCs/>
              </w:rPr>
            </w:pPr>
            <w:r w:rsidRPr="00815013">
              <w:rPr>
                <w:rFonts w:cs="Arial"/>
                <w:iCs/>
              </w:rPr>
              <w:t>It is not possible to list exhaustively the factors that you may take into account in amending the list of exempt native specimens. The objects of Part 13A, which are set out above this table, provide general guidance in determining factors that might be taken into account. A matter that is relevant to determining whether an amendment to the list is consistent with those objects is likely to be a relevant factor.</w:t>
            </w:r>
          </w:p>
          <w:p w:rsidR="00B6012C" w:rsidRPr="00815013" w:rsidRDefault="00B6012C" w:rsidP="001955CD">
            <w:pPr>
              <w:rPr>
                <w:rFonts w:cs="Arial"/>
                <w:iCs/>
              </w:rPr>
            </w:pPr>
            <w:r w:rsidRPr="00815013">
              <w:rPr>
                <w:rFonts w:cs="Arial"/>
                <w:iCs/>
              </w:rPr>
              <w:t xml:space="preserve">The Department considers that the amendment of the list of exempt native specimens to include product taken in the </w:t>
            </w:r>
            <w:r w:rsidR="003F1B83" w:rsidRPr="00815013">
              <w:rPr>
                <w:rFonts w:cs="Arial"/>
                <w:noProof/>
              </w:rPr>
              <w:t>CCAMLR Exploratory Fisher</w:t>
            </w:r>
            <w:r w:rsidR="00437340">
              <w:rPr>
                <w:rFonts w:cs="Arial"/>
                <w:noProof/>
              </w:rPr>
              <w:t>ies</w:t>
            </w:r>
            <w:r w:rsidR="000A2230" w:rsidRPr="00815013">
              <w:rPr>
                <w:rFonts w:cs="Arial"/>
              </w:rPr>
              <w:t xml:space="preserve"> until 27 November 2020 </w:t>
            </w:r>
            <w:r w:rsidRPr="00815013">
              <w:rPr>
                <w:rFonts w:cs="Arial"/>
                <w:iCs/>
              </w:rPr>
              <w:t>would be consistent with the provisions of Part 13A (listed above) as:</w:t>
            </w:r>
          </w:p>
          <w:p w:rsidR="00B6012C" w:rsidRPr="00815013" w:rsidRDefault="00B6012C" w:rsidP="00B6012C">
            <w:pPr>
              <w:numPr>
                <w:ilvl w:val="0"/>
                <w:numId w:val="10"/>
              </w:numPr>
              <w:tabs>
                <w:tab w:val="clear" w:pos="1455"/>
                <w:tab w:val="num" w:pos="293"/>
              </w:tabs>
              <w:spacing w:after="0"/>
              <w:ind w:left="293" w:hanging="293"/>
              <w:rPr>
                <w:rFonts w:cs="Arial"/>
              </w:rPr>
            </w:pPr>
            <w:r w:rsidRPr="00815013">
              <w:rPr>
                <w:rFonts w:cs="Arial"/>
              </w:rPr>
              <w:t>the fisher</w:t>
            </w:r>
            <w:r w:rsidR="00437340">
              <w:rPr>
                <w:rFonts w:cs="Arial"/>
              </w:rPr>
              <w:t>ies</w:t>
            </w:r>
            <w:r w:rsidRPr="00815013">
              <w:rPr>
                <w:rFonts w:cs="Arial"/>
              </w:rPr>
              <w:t xml:space="preserve"> will not harvest any Convention on International Trade in Endangered Species of Wild Fauna and Flora (CITES) listed species</w:t>
            </w:r>
          </w:p>
          <w:p w:rsidR="00B6012C" w:rsidRPr="00815013" w:rsidRDefault="00B6012C" w:rsidP="00B6012C">
            <w:pPr>
              <w:numPr>
                <w:ilvl w:val="0"/>
                <w:numId w:val="10"/>
              </w:numPr>
              <w:tabs>
                <w:tab w:val="clear" w:pos="1455"/>
                <w:tab w:val="num" w:pos="293"/>
              </w:tabs>
              <w:spacing w:after="0"/>
              <w:ind w:left="293" w:hanging="293"/>
              <w:rPr>
                <w:rFonts w:cs="Arial"/>
              </w:rPr>
            </w:pPr>
            <w:r w:rsidRPr="00815013">
              <w:rPr>
                <w:rFonts w:cs="Arial"/>
              </w:rPr>
              <w:t>there are management arrangements in place to ensure that the resource is being managed in an ecologically sustainable way (see Table 1)</w:t>
            </w:r>
          </w:p>
          <w:p w:rsidR="00B6012C" w:rsidRPr="00815013" w:rsidRDefault="00B6012C" w:rsidP="00B6012C">
            <w:pPr>
              <w:numPr>
                <w:ilvl w:val="0"/>
                <w:numId w:val="10"/>
              </w:numPr>
              <w:tabs>
                <w:tab w:val="clear" w:pos="1455"/>
                <w:tab w:val="num" w:pos="293"/>
              </w:tabs>
              <w:spacing w:after="0"/>
              <w:ind w:left="293" w:hanging="293"/>
              <w:rPr>
                <w:rFonts w:cs="Arial"/>
              </w:rPr>
            </w:pPr>
            <w:r w:rsidRPr="00815013">
              <w:rPr>
                <w:rFonts w:cs="Arial"/>
              </w:rPr>
              <w:t xml:space="preserve">the operation of the </w:t>
            </w:r>
            <w:r w:rsidR="003F1B83" w:rsidRPr="00815013">
              <w:rPr>
                <w:rFonts w:cs="Arial"/>
                <w:noProof/>
              </w:rPr>
              <w:t>CCAMLR Exploratory Fisher</w:t>
            </w:r>
            <w:r w:rsidR="00437340">
              <w:rPr>
                <w:rFonts w:cs="Arial"/>
                <w:noProof/>
              </w:rPr>
              <w:t>ies</w:t>
            </w:r>
            <w:r w:rsidRPr="00815013">
              <w:rPr>
                <w:rFonts w:cs="Arial"/>
              </w:rPr>
              <w:t xml:space="preserve"> is unlikely to be unsustainable and threaten biodiversity within the next </w:t>
            </w:r>
            <w:r w:rsidR="00E0046F" w:rsidRPr="00815013">
              <w:rPr>
                <w:rFonts w:cs="Arial"/>
              </w:rPr>
              <w:t>five</w:t>
            </w:r>
            <w:r w:rsidRPr="00815013">
              <w:rPr>
                <w:rFonts w:cs="Arial"/>
              </w:rPr>
              <w:t xml:space="preserve"> years, and</w:t>
            </w:r>
          </w:p>
          <w:p w:rsidR="00B6012C" w:rsidRPr="008E4C59" w:rsidRDefault="00B6012C" w:rsidP="008E4C59">
            <w:pPr>
              <w:numPr>
                <w:ilvl w:val="0"/>
                <w:numId w:val="10"/>
              </w:numPr>
              <w:tabs>
                <w:tab w:val="clear" w:pos="1455"/>
                <w:tab w:val="num" w:pos="293"/>
              </w:tabs>
              <w:spacing w:after="0"/>
              <w:ind w:left="293" w:hanging="293"/>
              <w:rPr>
                <w:rFonts w:cs="Arial"/>
              </w:rPr>
            </w:pPr>
            <w:proofErr w:type="gramStart"/>
            <w:r w:rsidRPr="00815013">
              <w:rPr>
                <w:rFonts w:cs="Arial"/>
              </w:rPr>
              <w:t>the</w:t>
            </w:r>
            <w:proofErr w:type="gramEnd"/>
            <w:r w:rsidRPr="00815013">
              <w:rPr>
                <w:rFonts w:cs="Arial"/>
              </w:rPr>
              <w:t xml:space="preserve"> Environment Protection and Biodiversity Conservation Regulations 2000 do not specify fish as a class of animal in relation to the welfare of live specimens.</w:t>
            </w:r>
          </w:p>
        </w:tc>
      </w:tr>
      <w:tr w:rsidR="00B6012C" w:rsidRPr="00815013" w:rsidTr="001955CD">
        <w:tc>
          <w:tcPr>
            <w:tcW w:w="7087" w:type="dxa"/>
          </w:tcPr>
          <w:p w:rsidR="00B6012C" w:rsidRPr="00815013" w:rsidRDefault="00B6012C" w:rsidP="001955CD">
            <w:pPr>
              <w:ind w:left="360" w:hanging="360"/>
              <w:rPr>
                <w:rFonts w:cs="Arial"/>
              </w:rPr>
            </w:pPr>
            <w:r w:rsidRPr="00815013">
              <w:rPr>
                <w:rFonts w:cs="Arial"/>
              </w:rPr>
              <w:t>(3)</w:t>
            </w:r>
            <w:r w:rsidRPr="00815013">
              <w:rPr>
                <w:rFonts w:cs="Arial"/>
              </w:rPr>
              <w:tab/>
              <w:t>Before amending the list referred to in section 303DB (list of exempt native specimens), the Minister:</w:t>
            </w:r>
          </w:p>
          <w:p w:rsidR="00B6012C" w:rsidRPr="00815013" w:rsidRDefault="00B6012C" w:rsidP="00B6012C">
            <w:pPr>
              <w:numPr>
                <w:ilvl w:val="0"/>
                <w:numId w:val="12"/>
              </w:numPr>
              <w:spacing w:after="0"/>
              <w:rPr>
                <w:rFonts w:cs="Arial"/>
              </w:rPr>
            </w:pPr>
            <w:r w:rsidRPr="00815013">
              <w:rPr>
                <w:rFonts w:cs="Arial"/>
              </w:rPr>
              <w:t>must consult such other Minister or Ministers as the Minister considers appropriate; and</w:t>
            </w:r>
          </w:p>
          <w:p w:rsidR="00B6012C" w:rsidRPr="00815013" w:rsidRDefault="00B6012C" w:rsidP="00B6012C">
            <w:pPr>
              <w:numPr>
                <w:ilvl w:val="0"/>
                <w:numId w:val="12"/>
              </w:numPr>
              <w:spacing w:after="0"/>
              <w:rPr>
                <w:rFonts w:cs="Arial"/>
              </w:rPr>
            </w:pPr>
            <w:r w:rsidRPr="00815013">
              <w:rPr>
                <w:rFonts w:cs="Arial"/>
              </w:rPr>
              <w:t>must consult such other Minister or Ministers of each State and self-governing Territory as the Minster considers appropriate; and</w:t>
            </w:r>
          </w:p>
          <w:p w:rsidR="00B6012C" w:rsidRPr="00815013" w:rsidRDefault="00B6012C" w:rsidP="00B6012C">
            <w:pPr>
              <w:numPr>
                <w:ilvl w:val="0"/>
                <w:numId w:val="12"/>
              </w:numPr>
              <w:spacing w:after="0"/>
              <w:rPr>
                <w:rFonts w:cs="Arial"/>
              </w:rPr>
            </w:pPr>
            <w:proofErr w:type="gramStart"/>
            <w:r w:rsidRPr="00815013">
              <w:rPr>
                <w:rFonts w:cs="Arial"/>
              </w:rPr>
              <w:t>may</w:t>
            </w:r>
            <w:proofErr w:type="gramEnd"/>
            <w:r w:rsidRPr="00815013">
              <w:rPr>
                <w:rFonts w:cs="Arial"/>
              </w:rPr>
              <w:t xml:space="preserve"> consult such other persons and organisations as the Minister considers appropriate. </w:t>
            </w:r>
          </w:p>
        </w:tc>
        <w:tc>
          <w:tcPr>
            <w:tcW w:w="7087" w:type="dxa"/>
          </w:tcPr>
          <w:p w:rsidR="00B6012C" w:rsidRPr="00815013" w:rsidRDefault="00B6012C" w:rsidP="001955CD">
            <w:pPr>
              <w:spacing w:after="120"/>
              <w:rPr>
                <w:rFonts w:cs="Arial"/>
                <w:iCs/>
              </w:rPr>
            </w:pPr>
            <w:r w:rsidRPr="00815013">
              <w:rPr>
                <w:rFonts w:cs="Arial"/>
                <w:iCs/>
              </w:rPr>
              <w:t xml:space="preserve">The Department considers that the consultation requirements have been met. </w:t>
            </w:r>
          </w:p>
          <w:p w:rsidR="00B6012C" w:rsidRPr="00815013" w:rsidRDefault="00B6012C" w:rsidP="001955CD">
            <w:pPr>
              <w:spacing w:after="120"/>
              <w:rPr>
                <w:rFonts w:cs="Arial"/>
                <w:iCs/>
              </w:rPr>
            </w:pPr>
            <w:r w:rsidRPr="00815013">
              <w:rPr>
                <w:rFonts w:cs="Arial"/>
                <w:iCs/>
              </w:rPr>
              <w:t xml:space="preserve">The application from the </w:t>
            </w:r>
            <w:r w:rsidR="00295785" w:rsidRPr="00815013">
              <w:rPr>
                <w:rFonts w:cs="Arial"/>
                <w:iCs/>
              </w:rPr>
              <w:t>AFMA</w:t>
            </w:r>
            <w:r w:rsidRPr="00815013">
              <w:rPr>
                <w:rFonts w:cs="Arial"/>
                <w:iCs/>
              </w:rPr>
              <w:t xml:space="preserve"> was released for public comment from </w:t>
            </w:r>
            <w:r w:rsidR="000A2230" w:rsidRPr="00815013">
              <w:rPr>
                <w:rFonts w:cs="Arial"/>
                <w:iCs/>
                <w:color w:val="000000"/>
              </w:rPr>
              <w:t>31 August to 1 October 2015</w:t>
            </w:r>
            <w:r w:rsidRPr="00815013">
              <w:rPr>
                <w:rFonts w:cs="Arial"/>
                <w:iCs/>
              </w:rPr>
              <w:t>. The public comment period sought comment on:</w:t>
            </w:r>
          </w:p>
          <w:p w:rsidR="00B6012C" w:rsidRPr="00815013" w:rsidRDefault="00B6012C" w:rsidP="00B6012C">
            <w:pPr>
              <w:numPr>
                <w:ilvl w:val="0"/>
                <w:numId w:val="10"/>
              </w:numPr>
              <w:tabs>
                <w:tab w:val="clear" w:pos="1455"/>
                <w:tab w:val="num" w:pos="293"/>
              </w:tabs>
              <w:spacing w:after="120"/>
              <w:ind w:left="293" w:hanging="293"/>
              <w:rPr>
                <w:rFonts w:cs="Arial"/>
              </w:rPr>
            </w:pPr>
            <w:r w:rsidRPr="00815013">
              <w:rPr>
                <w:rFonts w:cs="Arial"/>
              </w:rPr>
              <w:t xml:space="preserve">the proposal to amend the list of exempt native specimens to include product derived from the </w:t>
            </w:r>
            <w:r w:rsidR="003F1B83" w:rsidRPr="00815013">
              <w:rPr>
                <w:rFonts w:cs="Arial"/>
                <w:noProof/>
              </w:rPr>
              <w:t>CCAMLR Exploratory Fisher</w:t>
            </w:r>
            <w:r w:rsidR="00437340">
              <w:rPr>
                <w:rFonts w:cs="Arial"/>
                <w:noProof/>
              </w:rPr>
              <w:t>ies</w:t>
            </w:r>
            <w:r w:rsidRPr="00815013">
              <w:rPr>
                <w:rFonts w:cs="Arial"/>
              </w:rPr>
              <w:t xml:space="preserve">, and </w:t>
            </w:r>
          </w:p>
          <w:p w:rsidR="00B6012C" w:rsidRPr="00815013" w:rsidRDefault="00B6012C" w:rsidP="00B6012C">
            <w:pPr>
              <w:numPr>
                <w:ilvl w:val="0"/>
                <w:numId w:val="10"/>
              </w:numPr>
              <w:tabs>
                <w:tab w:val="clear" w:pos="1455"/>
                <w:tab w:val="num" w:pos="293"/>
              </w:tabs>
              <w:spacing w:after="120"/>
              <w:ind w:left="293" w:hanging="293"/>
              <w:rPr>
                <w:rFonts w:cs="Arial"/>
              </w:rPr>
            </w:pPr>
            <w:proofErr w:type="gramStart"/>
            <w:r w:rsidRPr="00815013">
              <w:rPr>
                <w:rFonts w:cs="Arial"/>
              </w:rPr>
              <w:t>the</w:t>
            </w:r>
            <w:proofErr w:type="gramEnd"/>
            <w:r w:rsidRPr="00815013">
              <w:rPr>
                <w:rFonts w:cs="Arial"/>
              </w:rPr>
              <w:t xml:space="preserve"> </w:t>
            </w:r>
            <w:r w:rsidR="00A10BD2">
              <w:rPr>
                <w:rFonts w:cs="Arial"/>
                <w:iCs/>
              </w:rPr>
              <w:t>AFMA</w:t>
            </w:r>
            <w:r w:rsidR="005E12BF" w:rsidRPr="00815013">
              <w:rPr>
                <w:rFonts w:cs="Arial"/>
                <w:iCs/>
              </w:rPr>
              <w:t xml:space="preserve"> </w:t>
            </w:r>
            <w:r w:rsidRPr="00815013">
              <w:rPr>
                <w:rFonts w:cs="Arial"/>
              </w:rPr>
              <w:t xml:space="preserve">application for the </w:t>
            </w:r>
            <w:r w:rsidR="003F1B83" w:rsidRPr="00815013">
              <w:rPr>
                <w:rFonts w:cs="Arial"/>
                <w:noProof/>
              </w:rPr>
              <w:t>CCAMLR Exploratory Fisher</w:t>
            </w:r>
            <w:r w:rsidR="00437340">
              <w:rPr>
                <w:rFonts w:cs="Arial"/>
                <w:noProof/>
              </w:rPr>
              <w:t>ies</w:t>
            </w:r>
            <w:r w:rsidRPr="00815013">
              <w:rPr>
                <w:rFonts w:cs="Arial"/>
              </w:rPr>
              <w:t>.</w:t>
            </w:r>
          </w:p>
          <w:p w:rsidR="00B6012C" w:rsidRPr="00815013" w:rsidRDefault="00B6012C" w:rsidP="00BC1963">
            <w:pPr>
              <w:spacing w:after="120"/>
              <w:rPr>
                <w:rFonts w:cs="Arial"/>
                <w:iCs/>
              </w:rPr>
            </w:pPr>
            <w:r w:rsidRPr="00815013">
              <w:rPr>
                <w:rFonts w:cs="Arial"/>
                <w:iCs/>
              </w:rPr>
              <w:t>No comments were received</w:t>
            </w:r>
            <w:r w:rsidR="00BC1963" w:rsidRPr="00815013">
              <w:rPr>
                <w:rFonts w:cs="Arial"/>
                <w:iCs/>
              </w:rPr>
              <w:t>.</w:t>
            </w:r>
          </w:p>
        </w:tc>
      </w:tr>
      <w:tr w:rsidR="00B6012C" w:rsidRPr="00815013" w:rsidTr="001955CD">
        <w:tc>
          <w:tcPr>
            <w:tcW w:w="7087" w:type="dxa"/>
          </w:tcPr>
          <w:p w:rsidR="00B6012C" w:rsidRPr="00815013" w:rsidRDefault="00B6012C" w:rsidP="001955CD">
            <w:pPr>
              <w:spacing w:before="120" w:after="120"/>
              <w:ind w:left="360" w:hanging="360"/>
              <w:rPr>
                <w:rFonts w:cs="Arial"/>
              </w:rPr>
            </w:pPr>
            <w:r w:rsidRPr="00815013">
              <w:rPr>
                <w:rFonts w:cs="Arial"/>
              </w:rPr>
              <w:t>(5)</w:t>
            </w:r>
            <w:r w:rsidRPr="00815013">
              <w:rPr>
                <w:rFonts w:cs="Arial"/>
              </w:rPr>
              <w:tab/>
              <w:t>A copy of an instrument made under section 303DC is to be made available for inspection on the Internet.</w:t>
            </w:r>
          </w:p>
        </w:tc>
        <w:tc>
          <w:tcPr>
            <w:tcW w:w="7087" w:type="dxa"/>
          </w:tcPr>
          <w:p w:rsidR="00B6012C" w:rsidRPr="00815013" w:rsidRDefault="00B6012C" w:rsidP="003F1B83">
            <w:pPr>
              <w:spacing w:before="120" w:after="120"/>
              <w:rPr>
                <w:rFonts w:cs="Arial"/>
              </w:rPr>
            </w:pPr>
            <w:r w:rsidRPr="00815013">
              <w:rPr>
                <w:rFonts w:cs="Arial"/>
              </w:rPr>
              <w:t xml:space="preserve">The instrument for the </w:t>
            </w:r>
            <w:r w:rsidR="003F1B83" w:rsidRPr="00815013">
              <w:rPr>
                <w:rFonts w:cs="Arial"/>
                <w:noProof/>
              </w:rPr>
              <w:t>CCAMLR Exploratory Fisher</w:t>
            </w:r>
            <w:r w:rsidR="00437340">
              <w:rPr>
                <w:rFonts w:cs="Arial"/>
                <w:noProof/>
              </w:rPr>
              <w:t>ies</w:t>
            </w:r>
            <w:r w:rsidRPr="00815013">
              <w:rPr>
                <w:rFonts w:cs="Arial"/>
              </w:rPr>
              <w:t xml:space="preserve"> made under section 303DC will be gazetted and made available through the </w:t>
            </w:r>
            <w:r w:rsidRPr="00815013">
              <w:rPr>
                <w:rFonts w:cs="Arial"/>
                <w:iCs/>
              </w:rPr>
              <w:t xml:space="preserve">Department’s </w:t>
            </w:r>
            <w:r w:rsidRPr="00815013">
              <w:rPr>
                <w:rFonts w:cs="Arial"/>
              </w:rPr>
              <w:t>website.</w:t>
            </w:r>
          </w:p>
        </w:tc>
      </w:tr>
    </w:tbl>
    <w:p w:rsidR="00B6012C" w:rsidRPr="00815013" w:rsidRDefault="00B6012C" w:rsidP="001955CD">
      <w:pPr>
        <w:rPr>
          <w:rFonts w:cs="Arial"/>
        </w:rPr>
      </w:pPr>
    </w:p>
    <w:p w:rsidR="00B6012C" w:rsidRPr="00815013" w:rsidRDefault="00B6012C" w:rsidP="001955CD">
      <w:pPr>
        <w:rPr>
          <w:rFonts w:cs="Arial"/>
          <w:highlight w:val="cyan"/>
        </w:rPr>
      </w:pPr>
    </w:p>
    <w:p w:rsidR="00B6012C" w:rsidRPr="00815013" w:rsidRDefault="00B6012C" w:rsidP="001955CD">
      <w:pPr>
        <w:rPr>
          <w:rFonts w:cs="Arial"/>
          <w:highlight w:val="cyan"/>
        </w:rPr>
        <w:sectPr w:rsidR="00B6012C" w:rsidRPr="00815013">
          <w:pgSz w:w="16838" w:h="11906" w:orient="landscape"/>
          <w:pgMar w:top="899" w:right="1361" w:bottom="899" w:left="1361" w:header="709" w:footer="528" w:gutter="0"/>
          <w:cols w:space="708"/>
          <w:docGrid w:linePitch="360"/>
        </w:sectPr>
      </w:pPr>
    </w:p>
    <w:p w:rsidR="00B6012C" w:rsidRPr="00815013" w:rsidRDefault="00B6012C" w:rsidP="007C42D3">
      <w:pPr>
        <w:spacing w:after="120"/>
        <w:rPr>
          <w:rFonts w:cs="Arial"/>
          <w:b/>
        </w:rPr>
      </w:pPr>
      <w:r w:rsidRPr="00815013">
        <w:rPr>
          <w:rFonts w:cs="Arial"/>
          <w:b/>
        </w:rPr>
        <w:t>Part 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6012C" w:rsidRPr="00815013" w:rsidTr="001955CD">
        <w:tc>
          <w:tcPr>
            <w:tcW w:w="7087" w:type="dxa"/>
          </w:tcPr>
          <w:p w:rsidR="00B6012C" w:rsidRPr="00815013" w:rsidRDefault="00B6012C" w:rsidP="001955CD">
            <w:pPr>
              <w:rPr>
                <w:rFonts w:cs="Arial"/>
                <w:b/>
              </w:rPr>
            </w:pPr>
            <w:r w:rsidRPr="00815013">
              <w:rPr>
                <w:rFonts w:cs="Arial"/>
                <w:b/>
              </w:rPr>
              <w:t>Section 391 Minister must consider precautionary principle in making decisions</w:t>
            </w:r>
          </w:p>
        </w:tc>
        <w:tc>
          <w:tcPr>
            <w:tcW w:w="7087" w:type="dxa"/>
          </w:tcPr>
          <w:p w:rsidR="00B6012C" w:rsidRPr="00815013" w:rsidRDefault="00B6012C" w:rsidP="009A0411">
            <w:pPr>
              <w:rPr>
                <w:rFonts w:cs="Arial"/>
                <w:b/>
              </w:rPr>
            </w:pPr>
            <w:r w:rsidRPr="00815013">
              <w:rPr>
                <w:rFonts w:cs="Arial"/>
                <w:b/>
              </w:rPr>
              <w:t xml:space="preserve">The Department’s assessment of the </w:t>
            </w:r>
            <w:r w:rsidR="009A0411" w:rsidRPr="00815013">
              <w:rPr>
                <w:rFonts w:cs="Arial"/>
                <w:b/>
                <w:noProof/>
              </w:rPr>
              <w:t>CCAMLR Exploratory Fisher</w:t>
            </w:r>
            <w:r w:rsidR="00437340">
              <w:rPr>
                <w:rFonts w:cs="Arial"/>
                <w:b/>
                <w:noProof/>
              </w:rPr>
              <w:t>ies</w:t>
            </w:r>
          </w:p>
        </w:tc>
      </w:tr>
      <w:tr w:rsidR="00B6012C" w:rsidRPr="00815013" w:rsidTr="001955CD">
        <w:tc>
          <w:tcPr>
            <w:tcW w:w="7087" w:type="dxa"/>
            <w:tcMar>
              <w:top w:w="57" w:type="dxa"/>
              <w:bottom w:w="57" w:type="dxa"/>
            </w:tcMar>
          </w:tcPr>
          <w:p w:rsidR="00B6012C" w:rsidRPr="00815013" w:rsidRDefault="00B6012C" w:rsidP="001955CD">
            <w:pPr>
              <w:ind w:left="360" w:hanging="360"/>
              <w:rPr>
                <w:rFonts w:cs="Arial"/>
              </w:rPr>
            </w:pPr>
            <w:r w:rsidRPr="00815013">
              <w:rPr>
                <w:rFonts w:cs="Arial"/>
                <w:color w:val="000000"/>
              </w:rPr>
              <w:t>(1) The Minister must take account of the precautionary principle in making a decision under section 303DC and/or section 303FN, to the extent he or she can do so consistently with the other provisions of this Act.</w:t>
            </w:r>
          </w:p>
        </w:tc>
        <w:tc>
          <w:tcPr>
            <w:tcW w:w="7087" w:type="dxa"/>
            <w:tcMar>
              <w:top w:w="57" w:type="dxa"/>
              <w:bottom w:w="57" w:type="dxa"/>
            </w:tcMar>
          </w:tcPr>
          <w:p w:rsidR="00B6012C" w:rsidRPr="00815013" w:rsidRDefault="00B6012C" w:rsidP="001955CD">
            <w:pPr>
              <w:pStyle w:val="BodyText2"/>
              <w:spacing w:after="120" w:line="276" w:lineRule="auto"/>
              <w:rPr>
                <w:rFonts w:ascii="Arial" w:hAnsi="Arial" w:cs="Arial"/>
                <w:iCs/>
                <w:sz w:val="22"/>
                <w:szCs w:val="22"/>
              </w:rPr>
            </w:pPr>
            <w:r w:rsidRPr="00815013">
              <w:rPr>
                <w:rFonts w:ascii="Arial" w:hAnsi="Arial" w:cs="Arial"/>
                <w:i w:val="0"/>
                <w:sz w:val="22"/>
                <w:szCs w:val="22"/>
                <w:lang w:val="en-AU"/>
              </w:rPr>
              <w:t>Having regard to the precautionary manag</w:t>
            </w:r>
            <w:r w:rsidR="00E0046F" w:rsidRPr="00815013">
              <w:rPr>
                <w:rFonts w:ascii="Arial" w:hAnsi="Arial" w:cs="Arial"/>
                <w:i w:val="0"/>
                <w:sz w:val="22"/>
                <w:szCs w:val="22"/>
                <w:lang w:val="en-AU"/>
              </w:rPr>
              <w:t>ement measures in place in the fishery</w:t>
            </w:r>
            <w:r w:rsidRPr="00815013">
              <w:rPr>
                <w:rFonts w:ascii="Arial" w:hAnsi="Arial" w:cs="Arial"/>
                <w:i w:val="0"/>
                <w:sz w:val="22"/>
                <w:szCs w:val="22"/>
                <w:lang w:val="en-AU"/>
              </w:rPr>
              <w:t>, summarised in Table</w:t>
            </w:r>
            <w:r w:rsidR="00437340">
              <w:rPr>
                <w:rFonts w:ascii="Arial" w:hAnsi="Arial" w:cs="Arial"/>
                <w:i w:val="0"/>
                <w:sz w:val="22"/>
                <w:szCs w:val="22"/>
                <w:lang w:val="en-AU"/>
              </w:rPr>
              <w:t>s</w:t>
            </w:r>
            <w:r w:rsidRPr="00815013">
              <w:rPr>
                <w:rFonts w:ascii="Arial" w:hAnsi="Arial" w:cs="Arial"/>
                <w:i w:val="0"/>
                <w:sz w:val="22"/>
                <w:szCs w:val="22"/>
                <w:lang w:val="en-AU"/>
              </w:rPr>
              <w:t xml:space="preserve"> 1</w:t>
            </w:r>
            <w:r w:rsidR="00437340">
              <w:rPr>
                <w:rFonts w:ascii="Arial" w:hAnsi="Arial" w:cs="Arial"/>
                <w:i w:val="0"/>
                <w:sz w:val="22"/>
                <w:szCs w:val="22"/>
                <w:lang w:val="en-AU"/>
              </w:rPr>
              <w:t xml:space="preserve"> and 2</w:t>
            </w:r>
            <w:r w:rsidRPr="00815013">
              <w:rPr>
                <w:rFonts w:ascii="Arial" w:hAnsi="Arial" w:cs="Arial"/>
                <w:i w:val="0"/>
                <w:sz w:val="22"/>
                <w:szCs w:val="22"/>
                <w:lang w:val="en-AU"/>
              </w:rPr>
              <w:t>, the Department considers that the precautionary principle has been accounted for in the preparation of advice in relation to a decision under section 303DC and section 303FN.</w:t>
            </w:r>
          </w:p>
        </w:tc>
      </w:tr>
      <w:tr w:rsidR="00B6012C" w:rsidRPr="00815013" w:rsidTr="001955CD">
        <w:tc>
          <w:tcPr>
            <w:tcW w:w="7087" w:type="dxa"/>
            <w:tcMar>
              <w:top w:w="57" w:type="dxa"/>
              <w:bottom w:w="57" w:type="dxa"/>
            </w:tcMar>
          </w:tcPr>
          <w:p w:rsidR="00B6012C" w:rsidRPr="00815013" w:rsidRDefault="00B6012C" w:rsidP="001955CD">
            <w:pPr>
              <w:spacing w:after="120"/>
              <w:ind w:left="357" w:hanging="357"/>
              <w:rPr>
                <w:rFonts w:cs="Arial"/>
              </w:rPr>
            </w:pPr>
            <w:r w:rsidRPr="00815013">
              <w:rPr>
                <w:rFonts w:cs="Arial"/>
                <w:color w:val="000000"/>
              </w:rPr>
              <w:t>(2) The precautionary principle is that lack of full scientific certainty should not be used as a reason for postponing a measure to prevent degradation of the environment where there are threats of serious or irreversible environmental damage.</w:t>
            </w:r>
          </w:p>
        </w:tc>
        <w:tc>
          <w:tcPr>
            <w:tcW w:w="7087" w:type="dxa"/>
            <w:tcMar>
              <w:top w:w="57" w:type="dxa"/>
              <w:bottom w:w="57" w:type="dxa"/>
            </w:tcMar>
          </w:tcPr>
          <w:p w:rsidR="00B6012C" w:rsidRPr="00815013" w:rsidRDefault="00B6012C" w:rsidP="001955CD">
            <w:pPr>
              <w:rPr>
                <w:rFonts w:cs="Arial"/>
              </w:rPr>
            </w:pPr>
          </w:p>
        </w:tc>
      </w:tr>
    </w:tbl>
    <w:p w:rsidR="00B6012C" w:rsidRPr="00815013" w:rsidRDefault="00B6012C" w:rsidP="001955CD">
      <w:pPr>
        <w:tabs>
          <w:tab w:val="left" w:pos="360"/>
          <w:tab w:val="left" w:pos="1080"/>
        </w:tabs>
        <w:rPr>
          <w:rFonts w:cs="Arial"/>
          <w:b/>
        </w:rPr>
      </w:pPr>
    </w:p>
    <w:p w:rsidR="00B6012C" w:rsidRPr="00815013" w:rsidRDefault="00B6012C" w:rsidP="001955CD">
      <w:pPr>
        <w:tabs>
          <w:tab w:val="left" w:pos="360"/>
          <w:tab w:val="left" w:pos="1080"/>
        </w:tabs>
        <w:rPr>
          <w:rFonts w:cs="Arial"/>
          <w:b/>
        </w:rPr>
      </w:pPr>
    </w:p>
    <w:p w:rsidR="00B6012C" w:rsidRPr="00815013" w:rsidRDefault="00B6012C" w:rsidP="00A40772">
      <w:pPr>
        <w:spacing w:after="120"/>
        <w:rPr>
          <w:rFonts w:cs="Arial"/>
          <w:b/>
        </w:rPr>
      </w:pPr>
      <w:r w:rsidRPr="00815013">
        <w:rPr>
          <w:rFonts w:cs="Arial"/>
          <w:b/>
        </w:rPr>
        <w:t>Part 12</w:t>
      </w:r>
    </w:p>
    <w:tbl>
      <w:tblPr>
        <w:tblW w:w="0" w:type="auto"/>
        <w:jc w:val="center"/>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04"/>
        <w:gridCol w:w="7228"/>
      </w:tblGrid>
      <w:tr w:rsidR="00B6012C" w:rsidRPr="00815013" w:rsidTr="001955CD">
        <w:trPr>
          <w:jc w:val="center"/>
        </w:trPr>
        <w:tc>
          <w:tcPr>
            <w:tcW w:w="7004" w:type="dxa"/>
          </w:tcPr>
          <w:p w:rsidR="00B6012C" w:rsidRPr="00815013" w:rsidRDefault="00B6012C" w:rsidP="001955CD">
            <w:pPr>
              <w:tabs>
                <w:tab w:val="left" w:pos="360"/>
              </w:tabs>
              <w:rPr>
                <w:rFonts w:cs="Arial"/>
              </w:rPr>
            </w:pPr>
            <w:r w:rsidRPr="00815013">
              <w:rPr>
                <w:rFonts w:cs="Arial"/>
                <w:b/>
              </w:rPr>
              <w:t>Section 176 Bioregional Plans</w:t>
            </w:r>
          </w:p>
        </w:tc>
        <w:tc>
          <w:tcPr>
            <w:tcW w:w="7228" w:type="dxa"/>
          </w:tcPr>
          <w:p w:rsidR="00B6012C" w:rsidRPr="00815013" w:rsidRDefault="00B6012C" w:rsidP="00F61040">
            <w:pPr>
              <w:tabs>
                <w:tab w:val="left" w:pos="360"/>
              </w:tabs>
              <w:rPr>
                <w:rFonts w:cs="Arial"/>
              </w:rPr>
            </w:pPr>
            <w:r w:rsidRPr="00815013">
              <w:rPr>
                <w:rFonts w:cs="Arial"/>
                <w:b/>
              </w:rPr>
              <w:t xml:space="preserve">The Department’s assessment of the </w:t>
            </w:r>
            <w:r w:rsidR="00F61040" w:rsidRPr="00815013">
              <w:rPr>
                <w:rFonts w:cs="Arial"/>
                <w:b/>
                <w:noProof/>
              </w:rPr>
              <w:t>CCAMLR Exploratory Fisher</w:t>
            </w:r>
            <w:r w:rsidR="00437340">
              <w:rPr>
                <w:rFonts w:cs="Arial"/>
                <w:b/>
                <w:noProof/>
              </w:rPr>
              <w:t>ies</w:t>
            </w:r>
          </w:p>
        </w:tc>
      </w:tr>
      <w:tr w:rsidR="00B6012C" w:rsidRPr="00815013" w:rsidTr="001955CD">
        <w:trPr>
          <w:jc w:val="center"/>
        </w:trPr>
        <w:tc>
          <w:tcPr>
            <w:tcW w:w="7004" w:type="dxa"/>
          </w:tcPr>
          <w:p w:rsidR="00B6012C" w:rsidRPr="00815013" w:rsidRDefault="00B6012C" w:rsidP="001955CD">
            <w:pPr>
              <w:tabs>
                <w:tab w:val="left" w:pos="517"/>
              </w:tabs>
              <w:spacing w:after="120"/>
              <w:ind w:left="516" w:hanging="516"/>
              <w:rPr>
                <w:rFonts w:cs="Arial"/>
              </w:rPr>
            </w:pPr>
            <w:r w:rsidRPr="00815013">
              <w:rPr>
                <w:rFonts w:cs="Arial"/>
                <w:color w:val="000000"/>
              </w:rPr>
              <w:t>(5)    Subject to this Act, the Minister must have regard to a bioregional plan in making any decision under this Act to which the plan is relevant.</w:t>
            </w:r>
          </w:p>
        </w:tc>
        <w:tc>
          <w:tcPr>
            <w:tcW w:w="7228" w:type="dxa"/>
          </w:tcPr>
          <w:p w:rsidR="00B6012C" w:rsidRPr="00815013" w:rsidRDefault="00A40772" w:rsidP="00A51B06">
            <w:pPr>
              <w:spacing w:after="120"/>
              <w:rPr>
                <w:rFonts w:cs="Arial"/>
                <w:b/>
                <w:bCs/>
              </w:rPr>
            </w:pPr>
            <w:r w:rsidRPr="00815013">
              <w:rPr>
                <w:rFonts w:cs="Arial"/>
              </w:rPr>
              <w:t xml:space="preserve">There </w:t>
            </w:r>
            <w:r w:rsidR="00A51B06">
              <w:rPr>
                <w:rFonts w:cs="Arial"/>
              </w:rPr>
              <w:t>is</w:t>
            </w:r>
            <w:r w:rsidRPr="00815013">
              <w:rPr>
                <w:rFonts w:cs="Arial"/>
              </w:rPr>
              <w:t xml:space="preserve"> no marine bioregional plan relevant to th</w:t>
            </w:r>
            <w:r w:rsidR="004B734E">
              <w:rPr>
                <w:rFonts w:cs="Arial"/>
              </w:rPr>
              <w:t>ese</w:t>
            </w:r>
            <w:r w:rsidRPr="00815013">
              <w:rPr>
                <w:rFonts w:cs="Arial"/>
              </w:rPr>
              <w:t xml:space="preserve"> fisher</w:t>
            </w:r>
            <w:r w:rsidR="004B734E">
              <w:rPr>
                <w:rFonts w:cs="Arial"/>
              </w:rPr>
              <w:t>ies</w:t>
            </w:r>
            <w:r w:rsidRPr="00815013">
              <w:rPr>
                <w:rFonts w:cs="Arial"/>
              </w:rPr>
              <w:t>.</w:t>
            </w:r>
          </w:p>
        </w:tc>
      </w:tr>
    </w:tbl>
    <w:p w:rsidR="00B6012C" w:rsidRPr="00815013" w:rsidRDefault="00B6012C" w:rsidP="00E458B1">
      <w:pPr>
        <w:tabs>
          <w:tab w:val="left" w:pos="360"/>
        </w:tabs>
        <w:rPr>
          <w:rFonts w:cs="Arial"/>
        </w:rPr>
        <w:sectPr w:rsidR="00B6012C" w:rsidRPr="00815013">
          <w:pgSz w:w="16838" w:h="11906" w:orient="landscape"/>
          <w:pgMar w:top="899" w:right="1361" w:bottom="899" w:left="1361" w:header="709" w:footer="528" w:gutter="0"/>
          <w:cols w:space="708"/>
          <w:docGrid w:linePitch="360"/>
        </w:sectPr>
      </w:pPr>
    </w:p>
    <w:p w:rsidR="00FF1DDA" w:rsidRDefault="00B6012C" w:rsidP="00FF1DDA">
      <w:pPr>
        <w:pStyle w:val="Heading1"/>
        <w:rPr>
          <w:noProof/>
        </w:rPr>
      </w:pPr>
      <w:bookmarkStart w:id="8" w:name="_Toc314564329"/>
      <w:bookmarkStart w:id="9" w:name="_Toc438626356"/>
      <w:r w:rsidRPr="00815013">
        <w:t xml:space="preserve">The Department of </w:t>
      </w:r>
      <w:r w:rsidR="007430E0" w:rsidRPr="00815013">
        <w:t>the Environment’s</w:t>
      </w:r>
      <w:r w:rsidRPr="00815013">
        <w:t xml:space="preserve"> final recommendations to the </w:t>
      </w:r>
      <w:r w:rsidR="00BC1963" w:rsidRPr="00815013">
        <w:t xml:space="preserve">Australian Fisheries Management </w:t>
      </w:r>
      <w:r w:rsidR="005E12BF" w:rsidRPr="00815013">
        <w:t xml:space="preserve">Authority </w:t>
      </w:r>
      <w:r w:rsidRPr="00815013">
        <w:t xml:space="preserve">for the </w:t>
      </w:r>
      <w:bookmarkEnd w:id="8"/>
      <w:r w:rsidR="00F61040" w:rsidRPr="00815013">
        <w:rPr>
          <w:noProof/>
        </w:rPr>
        <w:t>CCAMLR Exploratory Fisher</w:t>
      </w:r>
      <w:r w:rsidR="007045DE">
        <w:rPr>
          <w:noProof/>
        </w:rPr>
        <w:t>ies</w:t>
      </w:r>
      <w:bookmarkEnd w:id="9"/>
    </w:p>
    <w:p w:rsidR="00DC1C15" w:rsidRPr="00815013" w:rsidRDefault="00DC1C15" w:rsidP="00DC1C15">
      <w:pPr>
        <w:tabs>
          <w:tab w:val="left" w:pos="360"/>
        </w:tabs>
        <w:rPr>
          <w:rFonts w:cs="Arial"/>
          <w:noProof/>
        </w:rPr>
      </w:pPr>
    </w:p>
    <w:p w:rsidR="00B07B2C" w:rsidRPr="00815013" w:rsidRDefault="00DC1C15" w:rsidP="00B07B2C">
      <w:pPr>
        <w:pStyle w:val="PlainText"/>
        <w:spacing w:after="240"/>
        <w:rPr>
          <w:rFonts w:ascii="Arial" w:hAnsi="Arial" w:cs="Arial"/>
          <w:i/>
          <w:sz w:val="22"/>
          <w:szCs w:val="22"/>
        </w:rPr>
      </w:pPr>
      <w:r w:rsidRPr="00815013">
        <w:rPr>
          <w:rFonts w:ascii="Arial" w:hAnsi="Arial" w:cs="Arial"/>
          <w:sz w:val="22"/>
          <w:szCs w:val="22"/>
        </w:rPr>
        <w:t xml:space="preserve">The material submitted by the Australian Fisheries Management Authority (AFMA) indicates that the permits issued under the </w:t>
      </w:r>
      <w:r w:rsidRPr="00815013">
        <w:rPr>
          <w:rFonts w:ascii="Arial" w:hAnsi="Arial" w:cs="Arial"/>
          <w:i/>
          <w:sz w:val="22"/>
          <w:szCs w:val="22"/>
        </w:rPr>
        <w:t>Fisheries Management Act 1991</w:t>
      </w:r>
      <w:r w:rsidRPr="00815013">
        <w:rPr>
          <w:rFonts w:ascii="Arial" w:hAnsi="Arial" w:cs="Arial"/>
          <w:sz w:val="22"/>
          <w:szCs w:val="22"/>
        </w:rPr>
        <w:t xml:space="preserve"> </w:t>
      </w:r>
      <w:r w:rsidR="00FF1C90">
        <w:rPr>
          <w:rFonts w:ascii="Arial" w:hAnsi="Arial" w:cs="Arial"/>
          <w:sz w:val="22"/>
          <w:szCs w:val="22"/>
        </w:rPr>
        <w:t xml:space="preserve">(FM Act) </w:t>
      </w:r>
      <w:r w:rsidRPr="00815013">
        <w:rPr>
          <w:rFonts w:ascii="Arial" w:hAnsi="Arial" w:cs="Arial"/>
          <w:sz w:val="22"/>
          <w:szCs w:val="22"/>
        </w:rPr>
        <w:t xml:space="preserve">authorising Australian vessels to operate in the Commission for the Conservation of Antarctic Marine Living Resources (CCAMLR) exploratory </w:t>
      </w:r>
      <w:proofErr w:type="spellStart"/>
      <w:r w:rsidRPr="00815013">
        <w:rPr>
          <w:rFonts w:ascii="Arial" w:hAnsi="Arial" w:cs="Arial"/>
          <w:sz w:val="22"/>
          <w:szCs w:val="22"/>
        </w:rPr>
        <w:t>longline</w:t>
      </w:r>
      <w:proofErr w:type="spellEnd"/>
      <w:r w:rsidRPr="00815013">
        <w:rPr>
          <w:rFonts w:ascii="Arial" w:hAnsi="Arial" w:cs="Arial"/>
          <w:sz w:val="22"/>
          <w:szCs w:val="22"/>
        </w:rPr>
        <w:t xml:space="preserve"> fisher</w:t>
      </w:r>
      <w:r w:rsidR="004B734E">
        <w:rPr>
          <w:rFonts w:ascii="Arial" w:hAnsi="Arial" w:cs="Arial"/>
          <w:sz w:val="22"/>
          <w:szCs w:val="22"/>
        </w:rPr>
        <w:t>ies</w:t>
      </w:r>
      <w:r w:rsidRPr="00815013">
        <w:rPr>
          <w:rFonts w:ascii="Arial" w:hAnsi="Arial" w:cs="Arial"/>
          <w:sz w:val="22"/>
          <w:szCs w:val="22"/>
        </w:rPr>
        <w:t xml:space="preserve"> for Antarctic </w:t>
      </w:r>
      <w:proofErr w:type="spellStart"/>
      <w:r w:rsidRPr="00815013">
        <w:rPr>
          <w:rFonts w:ascii="Arial" w:hAnsi="Arial" w:cs="Arial"/>
          <w:sz w:val="22"/>
          <w:szCs w:val="22"/>
        </w:rPr>
        <w:t>toothfish</w:t>
      </w:r>
      <w:proofErr w:type="spellEnd"/>
      <w:r w:rsidRPr="00815013">
        <w:rPr>
          <w:rFonts w:ascii="Arial" w:hAnsi="Arial" w:cs="Arial"/>
          <w:sz w:val="22"/>
          <w:szCs w:val="22"/>
        </w:rPr>
        <w:t xml:space="preserve"> (</w:t>
      </w:r>
      <w:proofErr w:type="spellStart"/>
      <w:r w:rsidRPr="00815013">
        <w:rPr>
          <w:rFonts w:ascii="Arial" w:hAnsi="Arial" w:cs="Arial"/>
          <w:i/>
          <w:sz w:val="22"/>
          <w:szCs w:val="22"/>
        </w:rPr>
        <w:t>Dissostichus</w:t>
      </w:r>
      <w:proofErr w:type="spellEnd"/>
      <w:r w:rsidRPr="00815013">
        <w:rPr>
          <w:rFonts w:ascii="Arial" w:hAnsi="Arial" w:cs="Arial"/>
          <w:i/>
          <w:sz w:val="22"/>
          <w:szCs w:val="22"/>
        </w:rPr>
        <w:t xml:space="preserve"> </w:t>
      </w:r>
      <w:proofErr w:type="spellStart"/>
      <w:r w:rsidRPr="00815013">
        <w:rPr>
          <w:rFonts w:ascii="Arial" w:hAnsi="Arial" w:cs="Arial"/>
          <w:i/>
          <w:sz w:val="22"/>
          <w:szCs w:val="22"/>
        </w:rPr>
        <w:t>mawsoni</w:t>
      </w:r>
      <w:proofErr w:type="spellEnd"/>
      <w:r w:rsidRPr="00815013">
        <w:rPr>
          <w:rFonts w:ascii="Arial" w:hAnsi="Arial" w:cs="Arial"/>
          <w:sz w:val="22"/>
          <w:szCs w:val="22"/>
        </w:rPr>
        <w:t xml:space="preserve">) and Patagonian </w:t>
      </w:r>
      <w:proofErr w:type="spellStart"/>
      <w:r w:rsidRPr="00815013">
        <w:rPr>
          <w:rFonts w:ascii="Arial" w:hAnsi="Arial" w:cs="Arial"/>
          <w:sz w:val="22"/>
          <w:szCs w:val="22"/>
        </w:rPr>
        <w:t>toothfish</w:t>
      </w:r>
      <w:proofErr w:type="spellEnd"/>
      <w:r w:rsidRPr="00815013">
        <w:rPr>
          <w:rFonts w:ascii="Arial" w:hAnsi="Arial" w:cs="Arial"/>
          <w:sz w:val="22"/>
          <w:szCs w:val="22"/>
        </w:rPr>
        <w:t xml:space="preserve"> (</w:t>
      </w:r>
      <w:r w:rsidRPr="00815013">
        <w:rPr>
          <w:rFonts w:ascii="Arial" w:hAnsi="Arial" w:cs="Arial"/>
          <w:i/>
          <w:sz w:val="22"/>
          <w:szCs w:val="22"/>
        </w:rPr>
        <w:t xml:space="preserve">D. </w:t>
      </w:r>
      <w:proofErr w:type="spellStart"/>
      <w:r w:rsidRPr="00815013">
        <w:rPr>
          <w:rFonts w:ascii="Arial" w:hAnsi="Arial" w:cs="Arial"/>
          <w:i/>
          <w:sz w:val="22"/>
          <w:szCs w:val="22"/>
        </w:rPr>
        <w:t>eleginoides</w:t>
      </w:r>
      <w:proofErr w:type="spellEnd"/>
      <w:r w:rsidRPr="00815013">
        <w:rPr>
          <w:rFonts w:ascii="Arial" w:hAnsi="Arial" w:cs="Arial"/>
          <w:sz w:val="22"/>
          <w:szCs w:val="22"/>
        </w:rPr>
        <w:t>) in Divisions 58.4.1 and 58.4.2 (CCAMLR Exploratory Fisher</w:t>
      </w:r>
      <w:r w:rsidR="007045DE">
        <w:rPr>
          <w:rFonts w:ascii="Arial" w:hAnsi="Arial" w:cs="Arial"/>
          <w:sz w:val="22"/>
          <w:szCs w:val="22"/>
        </w:rPr>
        <w:t>ies</w:t>
      </w:r>
      <w:r w:rsidRPr="00815013">
        <w:rPr>
          <w:rFonts w:ascii="Arial" w:hAnsi="Arial" w:cs="Arial"/>
          <w:sz w:val="22"/>
          <w:szCs w:val="22"/>
        </w:rPr>
        <w:t xml:space="preserve">) will meet most of the requirements of the Australian Government </w:t>
      </w:r>
      <w:r w:rsidRPr="00815013">
        <w:rPr>
          <w:rFonts w:ascii="Arial" w:hAnsi="Arial" w:cs="Arial"/>
          <w:i/>
          <w:sz w:val="22"/>
          <w:szCs w:val="22"/>
        </w:rPr>
        <w:t>Guidelines for the Ecologically Sustainable Management of Fisheries - 2nd Edition.</w:t>
      </w:r>
    </w:p>
    <w:p w:rsidR="00DC1C15" w:rsidRDefault="00DC1C15" w:rsidP="00DC1C15">
      <w:pPr>
        <w:pStyle w:val="Footer"/>
        <w:rPr>
          <w:rFonts w:cs="Arial"/>
        </w:rPr>
      </w:pPr>
      <w:r w:rsidRPr="00815013">
        <w:rPr>
          <w:rFonts w:cs="Arial"/>
        </w:rPr>
        <w:t xml:space="preserve">As a member of CCAMLR, Australia is obligated to ensure that Australian vessels implement all relevant CCAMLR </w:t>
      </w:r>
      <w:r w:rsidR="00456967">
        <w:rPr>
          <w:rFonts w:cs="Arial"/>
        </w:rPr>
        <w:t>conservation measure</w:t>
      </w:r>
      <w:r w:rsidRPr="00815013">
        <w:rPr>
          <w:rFonts w:cs="Arial"/>
        </w:rPr>
        <w:t xml:space="preserve">s when operating in CCAMLR fisheries. </w:t>
      </w:r>
      <w:r w:rsidR="00456967">
        <w:rPr>
          <w:rFonts w:cs="Arial"/>
        </w:rPr>
        <w:t>conservation measure</w:t>
      </w:r>
      <w:r w:rsidRPr="00815013">
        <w:rPr>
          <w:rFonts w:cs="Arial"/>
        </w:rPr>
        <w:t>s under CCAMLR protect certain species from fishing, set catch limits, identify fishing regions, regulate when fishing may occur and what fishing methods can be used, and establish fisheries inspection procedures.</w:t>
      </w:r>
    </w:p>
    <w:p w:rsidR="00AB5244" w:rsidRPr="00815013" w:rsidRDefault="00AB5244" w:rsidP="00DC1C15">
      <w:pPr>
        <w:pStyle w:val="Footer"/>
        <w:rPr>
          <w:rFonts w:cs="Arial"/>
        </w:rPr>
      </w:pPr>
    </w:p>
    <w:p w:rsidR="00DC1C15" w:rsidRPr="00815013" w:rsidRDefault="00DC1C15" w:rsidP="00B07B2C">
      <w:pPr>
        <w:pStyle w:val="Footer"/>
        <w:spacing w:after="240"/>
        <w:rPr>
          <w:rFonts w:cs="Arial"/>
        </w:rPr>
      </w:pPr>
      <w:r w:rsidRPr="00815013">
        <w:rPr>
          <w:rFonts w:cs="Arial"/>
        </w:rPr>
        <w:t>Each member country is responsible for regulating their nationals and flagged vessels. Accordingly, AFMA issues scientific permits under section 33 of the</w:t>
      </w:r>
      <w:r w:rsidRPr="00FF1C90">
        <w:rPr>
          <w:rFonts w:cs="Arial"/>
        </w:rPr>
        <w:t xml:space="preserve"> </w:t>
      </w:r>
      <w:r w:rsidR="00FF1C90" w:rsidRPr="00FF1C90">
        <w:rPr>
          <w:rFonts w:cs="Arial"/>
        </w:rPr>
        <w:t xml:space="preserve">FM Act </w:t>
      </w:r>
      <w:r w:rsidRPr="00815013">
        <w:rPr>
          <w:rFonts w:cs="Arial"/>
        </w:rPr>
        <w:t>to operators of Australian vessels which have been granted access to CCAMLR exploratory fisheries through CCAMLR’s annual notification of proposed exploratory fishing process.</w:t>
      </w:r>
    </w:p>
    <w:p w:rsidR="00DC1C15" w:rsidRPr="00815013" w:rsidRDefault="00DC1C15" w:rsidP="00B07B2C">
      <w:pPr>
        <w:pStyle w:val="Footer"/>
        <w:spacing w:after="240"/>
        <w:rPr>
          <w:rFonts w:cs="Arial"/>
        </w:rPr>
      </w:pPr>
      <w:r w:rsidRPr="00815013">
        <w:rPr>
          <w:rFonts w:cs="Arial"/>
        </w:rPr>
        <w:t>CCAMLR exploratory fisheries are managed to ensure they do not expand faster than the acquisition of information necessary for managing the fisher</w:t>
      </w:r>
      <w:r w:rsidR="004B734E">
        <w:rPr>
          <w:rFonts w:cs="Arial"/>
        </w:rPr>
        <w:t>ies</w:t>
      </w:r>
      <w:r w:rsidRPr="00815013">
        <w:rPr>
          <w:rFonts w:cs="Arial"/>
        </w:rPr>
        <w:t>.</w:t>
      </w:r>
    </w:p>
    <w:p w:rsidR="00DC1C15" w:rsidRPr="00815013" w:rsidRDefault="00DC1C15" w:rsidP="00DC1C15">
      <w:pPr>
        <w:rPr>
          <w:rFonts w:cs="Arial"/>
          <w:i/>
          <w:noProof/>
          <w:color w:val="4F81BD"/>
        </w:rPr>
      </w:pPr>
      <w:r w:rsidRPr="00815013">
        <w:rPr>
          <w:rFonts w:cs="Arial"/>
          <w:b/>
        </w:rPr>
        <w:t>Stock Status and Recovery</w:t>
      </w:r>
    </w:p>
    <w:p w:rsidR="00DC1C15" w:rsidRPr="00815013" w:rsidRDefault="00DC1C15" w:rsidP="00DC1C15">
      <w:pPr>
        <w:spacing w:after="120"/>
        <w:rPr>
          <w:rFonts w:cs="Arial"/>
        </w:rPr>
      </w:pPr>
      <w:r w:rsidRPr="00815013">
        <w:rPr>
          <w:rFonts w:cs="Arial"/>
        </w:rPr>
        <w:t xml:space="preserve">The Department considers that the management and </w:t>
      </w:r>
      <w:r w:rsidR="00456967">
        <w:rPr>
          <w:rFonts w:cs="Arial"/>
        </w:rPr>
        <w:t>conservation measure</w:t>
      </w:r>
      <w:r w:rsidRPr="00815013">
        <w:rPr>
          <w:rFonts w:cs="Arial"/>
        </w:rPr>
        <w:t xml:space="preserve">s in place in CCAMLR exploratory fisheries, and implemented for Australian operations by AFMA, are sufficient to ensure that </w:t>
      </w:r>
      <w:r w:rsidR="007045DE">
        <w:rPr>
          <w:rFonts w:cs="Arial"/>
        </w:rPr>
        <w:t xml:space="preserve">fishing activity in </w:t>
      </w:r>
      <w:r w:rsidRPr="00815013">
        <w:rPr>
          <w:rFonts w:cs="Arial"/>
        </w:rPr>
        <w:t>the CCAMLR Exploratory Fisher</w:t>
      </w:r>
      <w:r w:rsidR="007045DE">
        <w:rPr>
          <w:rFonts w:cs="Arial"/>
        </w:rPr>
        <w:t>ies</w:t>
      </w:r>
      <w:r w:rsidRPr="00815013">
        <w:rPr>
          <w:rFonts w:cs="Arial"/>
        </w:rPr>
        <w:t xml:space="preserve"> is conducted in a manner that does not lead to overfishing and that stocks are not currently overfished (see Table 2).</w:t>
      </w:r>
    </w:p>
    <w:p w:rsidR="00DC1C15" w:rsidRPr="00815013" w:rsidRDefault="00DC1C15" w:rsidP="00DC1C15">
      <w:pPr>
        <w:spacing w:after="120"/>
        <w:rPr>
          <w:rFonts w:cs="Arial"/>
        </w:rPr>
      </w:pPr>
      <w:r w:rsidRPr="00815013">
        <w:rPr>
          <w:rFonts w:cs="Arial"/>
        </w:rPr>
        <w:t>Management measures for the CCAMLR Exploratory Fisher</w:t>
      </w:r>
      <w:r w:rsidR="004B734E">
        <w:rPr>
          <w:rFonts w:cs="Arial"/>
        </w:rPr>
        <w:t>ies</w:t>
      </w:r>
      <w:r w:rsidRPr="00815013">
        <w:rPr>
          <w:rFonts w:cs="Arial"/>
        </w:rPr>
        <w:t xml:space="preserve"> include:</w:t>
      </w:r>
    </w:p>
    <w:p w:rsidR="00DC1C15" w:rsidRPr="00815013" w:rsidRDefault="00DC1C15" w:rsidP="00DC1C15">
      <w:pPr>
        <w:numPr>
          <w:ilvl w:val="0"/>
          <w:numId w:val="37"/>
        </w:numPr>
        <w:spacing w:after="120" w:line="240" w:lineRule="auto"/>
        <w:rPr>
          <w:rFonts w:cs="Arial"/>
        </w:rPr>
      </w:pPr>
      <w:r w:rsidRPr="00815013">
        <w:rPr>
          <w:rFonts w:cs="Arial"/>
          <w:noProof/>
        </w:rPr>
        <w:t>limited</w:t>
      </w:r>
      <w:r w:rsidRPr="00815013">
        <w:rPr>
          <w:rFonts w:cs="Arial"/>
        </w:rPr>
        <w:t xml:space="preserve"> entry</w:t>
      </w:r>
    </w:p>
    <w:p w:rsidR="00DC1C15" w:rsidRPr="00815013" w:rsidRDefault="007045DE" w:rsidP="00DC1C15">
      <w:pPr>
        <w:numPr>
          <w:ilvl w:val="0"/>
          <w:numId w:val="37"/>
        </w:numPr>
        <w:spacing w:after="120" w:line="240" w:lineRule="auto"/>
        <w:rPr>
          <w:rFonts w:cs="Arial"/>
          <w:noProof/>
        </w:rPr>
      </w:pPr>
      <w:r>
        <w:rPr>
          <w:rFonts w:cs="Arial"/>
          <w:noProof/>
        </w:rPr>
        <w:t xml:space="preserve">annual </w:t>
      </w:r>
      <w:r w:rsidR="00DC1C15" w:rsidRPr="00815013">
        <w:rPr>
          <w:rFonts w:cs="Arial"/>
          <w:noProof/>
        </w:rPr>
        <w:t xml:space="preserve">catch limits for each Division and for </w:t>
      </w:r>
      <w:r>
        <w:rPr>
          <w:rFonts w:cs="Arial"/>
          <w:noProof/>
        </w:rPr>
        <w:t>smaller areas</w:t>
      </w:r>
      <w:r w:rsidR="00142E1F">
        <w:rPr>
          <w:rFonts w:cs="Arial"/>
          <w:noProof/>
        </w:rPr>
        <w:t xml:space="preserve"> </w:t>
      </w:r>
      <w:r w:rsidR="00DC1C15" w:rsidRPr="00815013">
        <w:rPr>
          <w:rFonts w:cs="Arial"/>
          <w:noProof/>
        </w:rPr>
        <w:t>within Divisions</w:t>
      </w:r>
    </w:p>
    <w:p w:rsidR="00DC1C15" w:rsidRPr="00815013" w:rsidRDefault="00DC1C15" w:rsidP="00DC1C15">
      <w:pPr>
        <w:numPr>
          <w:ilvl w:val="0"/>
          <w:numId w:val="37"/>
        </w:numPr>
        <w:spacing w:after="120" w:line="240" w:lineRule="auto"/>
        <w:rPr>
          <w:rFonts w:cs="Arial"/>
        </w:rPr>
      </w:pPr>
      <w:r w:rsidRPr="00815013">
        <w:rPr>
          <w:rFonts w:cs="Arial"/>
        </w:rPr>
        <w:t>gear restrictions</w:t>
      </w:r>
    </w:p>
    <w:p w:rsidR="00DC1C15" w:rsidRPr="00815013" w:rsidRDefault="00DC1C15" w:rsidP="00DC1C15">
      <w:pPr>
        <w:numPr>
          <w:ilvl w:val="0"/>
          <w:numId w:val="37"/>
        </w:numPr>
        <w:spacing w:after="120" w:line="240" w:lineRule="auto"/>
        <w:rPr>
          <w:rFonts w:cs="Arial"/>
          <w:noProof/>
        </w:rPr>
      </w:pPr>
      <w:r w:rsidRPr="00815013">
        <w:rPr>
          <w:rFonts w:cs="Arial"/>
          <w:noProof/>
        </w:rPr>
        <w:t>a Data Collection Plan designed to provide the information needed to inform stock assessments</w:t>
      </w:r>
    </w:p>
    <w:p w:rsidR="00DC1C15" w:rsidRPr="00815013" w:rsidRDefault="00DC1C15" w:rsidP="00DC1C15">
      <w:pPr>
        <w:numPr>
          <w:ilvl w:val="0"/>
          <w:numId w:val="37"/>
        </w:numPr>
        <w:spacing w:after="120" w:line="240" w:lineRule="auto"/>
        <w:rPr>
          <w:rFonts w:cs="Arial"/>
        </w:rPr>
      </w:pPr>
      <w:r w:rsidRPr="00815013">
        <w:rPr>
          <w:rFonts w:cs="Arial"/>
          <w:noProof/>
        </w:rPr>
        <w:t>a catch documentation scheme that tracks toothfish from the point of landing throughout the trade cycle</w:t>
      </w:r>
    </w:p>
    <w:p w:rsidR="00DC1C15" w:rsidRPr="00815013" w:rsidRDefault="00DC1C15" w:rsidP="00DC1C15">
      <w:pPr>
        <w:numPr>
          <w:ilvl w:val="0"/>
          <w:numId w:val="37"/>
        </w:numPr>
        <w:spacing w:after="120" w:line="240" w:lineRule="auto"/>
        <w:rPr>
          <w:rFonts w:cs="Arial"/>
        </w:rPr>
      </w:pPr>
      <w:r w:rsidRPr="00815013">
        <w:rPr>
          <w:rFonts w:cs="Arial"/>
        </w:rPr>
        <w:t xml:space="preserve">high levels of monitoring and data collection, and </w:t>
      </w:r>
    </w:p>
    <w:p w:rsidR="00DC1C15" w:rsidRPr="00815013" w:rsidRDefault="00DC1C15" w:rsidP="00DC1C15">
      <w:pPr>
        <w:numPr>
          <w:ilvl w:val="0"/>
          <w:numId w:val="37"/>
        </w:numPr>
        <w:spacing w:after="120" w:line="240" w:lineRule="auto"/>
        <w:rPr>
          <w:rFonts w:cs="Arial"/>
        </w:rPr>
      </w:pPr>
      <w:proofErr w:type="gramStart"/>
      <w:r w:rsidRPr="00815013">
        <w:rPr>
          <w:rFonts w:cs="Arial"/>
        </w:rPr>
        <w:t>annual</w:t>
      </w:r>
      <w:proofErr w:type="gramEnd"/>
      <w:r w:rsidRPr="00815013">
        <w:rPr>
          <w:rFonts w:cs="Arial"/>
        </w:rPr>
        <w:t xml:space="preserve"> reviews of management arrangements and the performance of the fisher</w:t>
      </w:r>
      <w:r w:rsidR="004B734E">
        <w:rPr>
          <w:rFonts w:cs="Arial"/>
        </w:rPr>
        <w:t>ies</w:t>
      </w:r>
      <w:r w:rsidRPr="00815013">
        <w:rPr>
          <w:rFonts w:cs="Arial"/>
        </w:rPr>
        <w:t xml:space="preserve"> against indicators and performance measures in the performance measurement system. </w:t>
      </w:r>
    </w:p>
    <w:p w:rsidR="0025198E" w:rsidRPr="00815013" w:rsidRDefault="0025198E" w:rsidP="00DC1C15">
      <w:pPr>
        <w:rPr>
          <w:rFonts w:cs="Arial"/>
        </w:rPr>
      </w:pPr>
    </w:p>
    <w:p w:rsidR="00AB5244" w:rsidRDefault="00AB5244" w:rsidP="00DC1C15">
      <w:pPr>
        <w:rPr>
          <w:rFonts w:cs="Arial"/>
          <w:b/>
          <w:noProof/>
        </w:rPr>
      </w:pPr>
    </w:p>
    <w:p w:rsidR="00AB5244" w:rsidRDefault="00AB5244" w:rsidP="00DC1C15">
      <w:pPr>
        <w:rPr>
          <w:rFonts w:cs="Arial"/>
          <w:b/>
          <w:noProof/>
        </w:rPr>
      </w:pPr>
    </w:p>
    <w:p w:rsidR="00AB5244" w:rsidRDefault="00AB5244" w:rsidP="00DC1C15">
      <w:pPr>
        <w:rPr>
          <w:rFonts w:cs="Arial"/>
          <w:b/>
          <w:noProof/>
        </w:rPr>
      </w:pPr>
    </w:p>
    <w:p w:rsidR="00AB5244" w:rsidRDefault="00AB5244" w:rsidP="00DC1C15">
      <w:pPr>
        <w:rPr>
          <w:rFonts w:cs="Arial"/>
          <w:b/>
          <w:noProof/>
        </w:rPr>
      </w:pPr>
    </w:p>
    <w:p w:rsidR="00DC1C15" w:rsidRPr="00815013" w:rsidRDefault="00DC1C15" w:rsidP="00DC1C15">
      <w:pPr>
        <w:rPr>
          <w:rFonts w:cs="Arial"/>
          <w:i/>
          <w:noProof/>
          <w:color w:val="4F81BD"/>
        </w:rPr>
      </w:pPr>
      <w:r w:rsidRPr="00815013">
        <w:rPr>
          <w:rFonts w:cs="Arial"/>
          <w:b/>
          <w:noProof/>
        </w:rPr>
        <w:t>Ecosystem Impacts</w:t>
      </w:r>
    </w:p>
    <w:p w:rsidR="00DC1C15" w:rsidRPr="00815013" w:rsidRDefault="00DC1C15" w:rsidP="00DC1C15">
      <w:pPr>
        <w:spacing w:after="120"/>
        <w:rPr>
          <w:rFonts w:cs="Arial"/>
          <w:noProof/>
        </w:rPr>
      </w:pPr>
      <w:r w:rsidRPr="00815013">
        <w:rPr>
          <w:rFonts w:cs="Arial"/>
          <w:noProof/>
        </w:rPr>
        <w:t>Taking into account management measures described above and:</w:t>
      </w:r>
    </w:p>
    <w:p w:rsidR="00DC1C15" w:rsidRPr="00815013" w:rsidRDefault="00DC1C15" w:rsidP="00DC1C15">
      <w:pPr>
        <w:numPr>
          <w:ilvl w:val="0"/>
          <w:numId w:val="37"/>
        </w:numPr>
        <w:spacing w:after="120" w:line="240" w:lineRule="auto"/>
        <w:rPr>
          <w:rFonts w:cs="Arial"/>
        </w:rPr>
      </w:pPr>
      <w:r w:rsidRPr="00815013">
        <w:rPr>
          <w:rFonts w:cs="Arial"/>
        </w:rPr>
        <w:t>the incidental catch limits, move-on and stop-fishing provisions for protection of non-target species</w:t>
      </w:r>
    </w:p>
    <w:p w:rsidR="00DC1C15" w:rsidRPr="00815013" w:rsidRDefault="00DC1C15" w:rsidP="00DC1C15">
      <w:pPr>
        <w:numPr>
          <w:ilvl w:val="0"/>
          <w:numId w:val="37"/>
        </w:numPr>
        <w:spacing w:after="120" w:line="240" w:lineRule="auto"/>
        <w:rPr>
          <w:rFonts w:cs="Arial"/>
        </w:rPr>
      </w:pPr>
      <w:r w:rsidRPr="00815013">
        <w:rPr>
          <w:rFonts w:cs="Arial"/>
        </w:rPr>
        <w:t>the avoidance of designated vulnerable marine ecosystems, and the implementation of a data collection system for designated vulnerable marine ecosystems risk areas</w:t>
      </w:r>
      <w:r w:rsidR="00AB5244">
        <w:rPr>
          <w:rFonts w:cs="Arial"/>
        </w:rPr>
        <w:t>, and</w:t>
      </w:r>
    </w:p>
    <w:p w:rsidR="00DC1C15" w:rsidRPr="00815013" w:rsidRDefault="00DC1C15" w:rsidP="00DC1C15">
      <w:pPr>
        <w:numPr>
          <w:ilvl w:val="0"/>
          <w:numId w:val="37"/>
        </w:numPr>
        <w:spacing w:after="120" w:line="240" w:lineRule="auto"/>
        <w:rPr>
          <w:rFonts w:cs="Arial"/>
        </w:rPr>
      </w:pPr>
      <w:r w:rsidRPr="00815013">
        <w:rPr>
          <w:rFonts w:cs="Arial"/>
        </w:rPr>
        <w:t>the requirement to implement mitigation measures for seabird interactions</w:t>
      </w:r>
      <w:r w:rsidR="00AB5244">
        <w:rPr>
          <w:rFonts w:cs="Arial"/>
        </w:rPr>
        <w:t>,</w:t>
      </w:r>
    </w:p>
    <w:p w:rsidR="00DC1C15" w:rsidRPr="00815013" w:rsidRDefault="00DC1C15" w:rsidP="00DC1C15">
      <w:pPr>
        <w:spacing w:after="120"/>
        <w:rPr>
          <w:rFonts w:cs="Arial"/>
          <w:noProof/>
        </w:rPr>
      </w:pPr>
      <w:r w:rsidRPr="00815013">
        <w:rPr>
          <w:rFonts w:cs="Arial"/>
          <w:noProof/>
        </w:rPr>
        <w:t xml:space="preserve">the Department considers that the management and </w:t>
      </w:r>
      <w:r w:rsidR="00456967">
        <w:rPr>
          <w:rFonts w:cs="Arial"/>
          <w:noProof/>
        </w:rPr>
        <w:t>conservation measure</w:t>
      </w:r>
      <w:r w:rsidRPr="00815013">
        <w:rPr>
          <w:rFonts w:cs="Arial"/>
          <w:noProof/>
        </w:rPr>
        <w:t>s in place in the CCAMLR Exploratory Fisher</w:t>
      </w:r>
      <w:r w:rsidR="00AB5244">
        <w:rPr>
          <w:rFonts w:cs="Arial"/>
          <w:noProof/>
        </w:rPr>
        <w:t>ies</w:t>
      </w:r>
      <w:r w:rsidRPr="00815013">
        <w:rPr>
          <w:rFonts w:cs="Arial"/>
          <w:noProof/>
        </w:rPr>
        <w:t>, and implemented for Australian operations by AFMA, are sufficient to ensure that fishing operations are managed to minimise their impact on the structure, productivity, function and biological diversity of the ecosystem.</w:t>
      </w:r>
    </w:p>
    <w:p w:rsidR="00DC1C15" w:rsidRPr="00815013" w:rsidRDefault="00DC1C15" w:rsidP="00DC1C15">
      <w:pPr>
        <w:pStyle w:val="PlainText"/>
        <w:spacing w:after="120"/>
        <w:rPr>
          <w:rFonts w:ascii="Arial" w:hAnsi="Arial" w:cs="Arial"/>
          <w:sz w:val="22"/>
          <w:szCs w:val="22"/>
        </w:rPr>
      </w:pPr>
      <w:r w:rsidRPr="00815013">
        <w:rPr>
          <w:rFonts w:ascii="Arial" w:hAnsi="Arial" w:cs="Arial"/>
          <w:sz w:val="22"/>
          <w:szCs w:val="22"/>
        </w:rPr>
        <w:t>While the fisher</w:t>
      </w:r>
      <w:r w:rsidR="00AB5244">
        <w:rPr>
          <w:rFonts w:ascii="Arial" w:hAnsi="Arial" w:cs="Arial"/>
          <w:sz w:val="22"/>
          <w:szCs w:val="22"/>
        </w:rPr>
        <w:t>ies are</w:t>
      </w:r>
      <w:r w:rsidRPr="00815013">
        <w:rPr>
          <w:rFonts w:ascii="Arial" w:hAnsi="Arial" w:cs="Arial"/>
          <w:sz w:val="22"/>
          <w:szCs w:val="22"/>
        </w:rPr>
        <w:t xml:space="preserve"> relatively well managed, the Department has identified a number of uncertainties that must be managed to ensure that impacts are minimised, including: </w:t>
      </w:r>
    </w:p>
    <w:p w:rsidR="00DC1C15" w:rsidRPr="00815013" w:rsidRDefault="00DC1C15" w:rsidP="00DC1C15">
      <w:pPr>
        <w:numPr>
          <w:ilvl w:val="0"/>
          <w:numId w:val="38"/>
        </w:numPr>
        <w:spacing w:after="120" w:line="240" w:lineRule="auto"/>
        <w:rPr>
          <w:rFonts w:cs="Arial"/>
          <w:bCs/>
          <w:iCs/>
        </w:rPr>
      </w:pPr>
      <w:r w:rsidRPr="00815013">
        <w:rPr>
          <w:rFonts w:cs="Arial"/>
          <w:bCs/>
          <w:iCs/>
        </w:rPr>
        <w:t>the lack of an ecological risk assessment for the fisher</w:t>
      </w:r>
      <w:r w:rsidR="004B734E">
        <w:rPr>
          <w:rFonts w:cs="Arial"/>
          <w:bCs/>
          <w:iCs/>
        </w:rPr>
        <w:t>ies</w:t>
      </w:r>
      <w:r w:rsidR="00AB5244">
        <w:rPr>
          <w:rFonts w:cs="Arial"/>
          <w:bCs/>
          <w:iCs/>
        </w:rPr>
        <w:t>,</w:t>
      </w:r>
      <w:r w:rsidRPr="00815013">
        <w:rPr>
          <w:rFonts w:cs="Arial"/>
          <w:bCs/>
          <w:iCs/>
        </w:rPr>
        <w:t xml:space="preserve"> and</w:t>
      </w:r>
    </w:p>
    <w:p w:rsidR="00DC1C15" w:rsidRPr="00815013" w:rsidRDefault="00DC1C15" w:rsidP="00DC1C15">
      <w:pPr>
        <w:numPr>
          <w:ilvl w:val="0"/>
          <w:numId w:val="38"/>
        </w:numPr>
        <w:spacing w:after="120" w:line="240" w:lineRule="auto"/>
        <w:rPr>
          <w:rFonts w:cs="Arial"/>
          <w:bCs/>
          <w:iCs/>
        </w:rPr>
      </w:pPr>
      <w:proofErr w:type="gramStart"/>
      <w:r w:rsidRPr="00815013">
        <w:rPr>
          <w:rFonts w:cs="Arial"/>
          <w:bCs/>
          <w:iCs/>
        </w:rPr>
        <w:t>the</w:t>
      </w:r>
      <w:proofErr w:type="gramEnd"/>
      <w:r w:rsidRPr="00815013">
        <w:rPr>
          <w:rFonts w:cs="Arial"/>
          <w:bCs/>
          <w:iCs/>
        </w:rPr>
        <w:t xml:space="preserve"> uncertainties around stock productivity and distribution.</w:t>
      </w:r>
    </w:p>
    <w:p w:rsidR="00DC1C15" w:rsidRPr="00815013" w:rsidRDefault="00DC1C15" w:rsidP="00DC1C15">
      <w:pPr>
        <w:spacing w:after="120"/>
        <w:rPr>
          <w:rFonts w:cs="Arial"/>
          <w:bCs/>
          <w:iCs/>
        </w:rPr>
      </w:pPr>
      <w:r w:rsidRPr="00815013">
        <w:rPr>
          <w:rFonts w:cs="Arial"/>
          <w:bCs/>
          <w:iCs/>
        </w:rPr>
        <w:t>The Department considers these uncertainties present a relatively low risk given the current scale of the fisher</w:t>
      </w:r>
      <w:r w:rsidR="00AB5244">
        <w:rPr>
          <w:rFonts w:cs="Arial"/>
          <w:bCs/>
          <w:iCs/>
        </w:rPr>
        <w:t>ies</w:t>
      </w:r>
      <w:r w:rsidR="00F727E1" w:rsidRPr="00815013">
        <w:rPr>
          <w:rFonts w:cs="Arial"/>
          <w:bCs/>
          <w:iCs/>
        </w:rPr>
        <w:t>, and that the management arran</w:t>
      </w:r>
      <w:r w:rsidRPr="00815013">
        <w:rPr>
          <w:rFonts w:cs="Arial"/>
          <w:bCs/>
          <w:iCs/>
        </w:rPr>
        <w:t>g</w:t>
      </w:r>
      <w:r w:rsidR="00F727E1" w:rsidRPr="00815013">
        <w:rPr>
          <w:rFonts w:cs="Arial"/>
          <w:bCs/>
          <w:iCs/>
        </w:rPr>
        <w:t>e</w:t>
      </w:r>
      <w:r w:rsidRPr="00815013">
        <w:rPr>
          <w:rFonts w:cs="Arial"/>
          <w:bCs/>
          <w:iCs/>
        </w:rPr>
        <w:t>ments in place are sufficient to avoid unsustainable impacts to marine ecosystems.</w:t>
      </w:r>
      <w:r w:rsidR="00AB5244">
        <w:rPr>
          <w:rFonts w:cs="Arial"/>
          <w:bCs/>
          <w:iCs/>
        </w:rPr>
        <w:t xml:space="preserve"> </w:t>
      </w:r>
      <w:r w:rsidRPr="00815013">
        <w:rPr>
          <w:rFonts w:cs="Arial"/>
          <w:bCs/>
          <w:iCs/>
        </w:rPr>
        <w:t xml:space="preserve">The Department also recognises the significant efforts being made by CCAMLR and the </w:t>
      </w:r>
      <w:r w:rsidR="00A10BD2">
        <w:rPr>
          <w:rFonts w:cs="Arial"/>
          <w:bCs/>
          <w:iCs/>
        </w:rPr>
        <w:t>AFMA</w:t>
      </w:r>
      <w:r w:rsidRPr="00815013">
        <w:rPr>
          <w:rFonts w:cs="Arial"/>
          <w:bCs/>
          <w:iCs/>
        </w:rPr>
        <w:t xml:space="preserve"> to improve understanding of the fisher</w:t>
      </w:r>
      <w:r w:rsidR="00AB5244">
        <w:rPr>
          <w:rFonts w:cs="Arial"/>
          <w:bCs/>
          <w:iCs/>
        </w:rPr>
        <w:t>ies</w:t>
      </w:r>
      <w:r w:rsidRPr="00815013">
        <w:rPr>
          <w:rFonts w:cs="Arial"/>
          <w:bCs/>
          <w:iCs/>
        </w:rPr>
        <w:t xml:space="preserve"> and continually evolve management arrangements as information becomes available.</w:t>
      </w:r>
    </w:p>
    <w:p w:rsidR="00DC1C15" w:rsidRPr="00815013" w:rsidRDefault="00DC1C15" w:rsidP="00DC1C15">
      <w:pPr>
        <w:spacing w:after="120"/>
        <w:rPr>
          <w:rFonts w:cs="Arial"/>
          <w:noProof/>
          <w:color w:val="4F81BD"/>
          <w:highlight w:val="yellow"/>
        </w:rPr>
      </w:pPr>
      <w:r w:rsidRPr="00815013">
        <w:rPr>
          <w:rFonts w:cs="Arial"/>
        </w:rPr>
        <w:t>The key challenges for th</w:t>
      </w:r>
      <w:r w:rsidR="00AB5244">
        <w:rPr>
          <w:rFonts w:cs="Arial"/>
        </w:rPr>
        <w:t>e</w:t>
      </w:r>
      <w:r w:rsidRPr="00815013">
        <w:rPr>
          <w:rFonts w:cs="Arial"/>
        </w:rPr>
        <w:t>s</w:t>
      </w:r>
      <w:r w:rsidR="00AB5244">
        <w:rPr>
          <w:rFonts w:cs="Arial"/>
        </w:rPr>
        <w:t>e</w:t>
      </w:r>
      <w:r w:rsidRPr="00815013">
        <w:rPr>
          <w:rFonts w:cs="Arial"/>
        </w:rPr>
        <w:t xml:space="preserve"> fisher</w:t>
      </w:r>
      <w:r w:rsidR="00AB5244">
        <w:rPr>
          <w:rFonts w:cs="Arial"/>
        </w:rPr>
        <w:t>ies</w:t>
      </w:r>
      <w:r w:rsidRPr="00815013">
        <w:rPr>
          <w:rFonts w:cs="Arial"/>
        </w:rPr>
        <w:t xml:space="preserve"> will be</w:t>
      </w:r>
      <w:r w:rsidR="00181778">
        <w:rPr>
          <w:rFonts w:cs="Arial"/>
        </w:rPr>
        <w:t xml:space="preserve"> to</w:t>
      </w:r>
      <w:r w:rsidRPr="00815013">
        <w:rPr>
          <w:rFonts w:cs="Arial"/>
        </w:rPr>
        <w:t>:</w:t>
      </w:r>
    </w:p>
    <w:p w:rsidR="00A51B06" w:rsidRPr="00A51B06" w:rsidRDefault="00A51B06" w:rsidP="00A51B06">
      <w:pPr>
        <w:numPr>
          <w:ilvl w:val="1"/>
          <w:numId w:val="46"/>
        </w:numPr>
        <w:spacing w:after="120"/>
        <w:rPr>
          <w:rFonts w:cs="Arial"/>
          <w:bCs/>
          <w:iCs/>
        </w:rPr>
      </w:pPr>
      <w:r w:rsidRPr="00A51B06">
        <w:rPr>
          <w:rFonts w:cs="Arial"/>
          <w:bCs/>
          <w:iCs/>
        </w:rPr>
        <w:t>collect information to improve understanding of the fishery and its potential impacts on the environment</w:t>
      </w:r>
    </w:p>
    <w:p w:rsidR="00A51B06" w:rsidRPr="00A51B06" w:rsidRDefault="00A51B06" w:rsidP="00A51B06">
      <w:pPr>
        <w:numPr>
          <w:ilvl w:val="1"/>
          <w:numId w:val="46"/>
        </w:numPr>
        <w:spacing w:after="120"/>
        <w:rPr>
          <w:rFonts w:cs="Arial"/>
          <w:bCs/>
          <w:iCs/>
        </w:rPr>
      </w:pPr>
      <w:r w:rsidRPr="00A51B06">
        <w:rPr>
          <w:rFonts w:cs="Arial"/>
          <w:bCs/>
          <w:iCs/>
        </w:rPr>
        <w:t>ensure the fishery is managed in a precautionary manner that effectively manages the risks associated with uncertainty</w:t>
      </w:r>
    </w:p>
    <w:p w:rsidR="00A51B06" w:rsidRPr="00A51B06" w:rsidRDefault="00A51B06" w:rsidP="00A51B06">
      <w:pPr>
        <w:numPr>
          <w:ilvl w:val="1"/>
          <w:numId w:val="46"/>
        </w:numPr>
        <w:spacing w:after="120"/>
        <w:rPr>
          <w:rFonts w:cs="Arial"/>
          <w:bCs/>
          <w:iCs/>
        </w:rPr>
      </w:pPr>
      <w:proofErr w:type="gramStart"/>
      <w:r w:rsidRPr="00A51B06">
        <w:rPr>
          <w:rFonts w:cs="Arial"/>
          <w:bCs/>
          <w:iCs/>
        </w:rPr>
        <w:t>support</w:t>
      </w:r>
      <w:proofErr w:type="gramEnd"/>
      <w:r w:rsidRPr="00A51B06">
        <w:rPr>
          <w:rFonts w:cs="Arial"/>
          <w:bCs/>
          <w:iCs/>
        </w:rPr>
        <w:t xml:space="preserve"> efforts to ensure compliance with CCAMLR conservation measures a</w:t>
      </w:r>
      <w:r>
        <w:rPr>
          <w:rFonts w:cs="Arial"/>
          <w:bCs/>
          <w:iCs/>
        </w:rPr>
        <w:t>nd objectives, including combat</w:t>
      </w:r>
      <w:r w:rsidRPr="00A51B06">
        <w:rPr>
          <w:rFonts w:cs="Arial"/>
          <w:bCs/>
          <w:iCs/>
        </w:rPr>
        <w:t>ing illegal, unreported and unregulated (IUU) fishing.</w:t>
      </w:r>
    </w:p>
    <w:p w:rsidR="00DC1C15" w:rsidRPr="00815013" w:rsidRDefault="00DC1C15" w:rsidP="00DC1C15">
      <w:pPr>
        <w:spacing w:after="120"/>
        <w:rPr>
          <w:rFonts w:cs="Arial"/>
        </w:rPr>
      </w:pPr>
      <w:r w:rsidRPr="00815013">
        <w:rPr>
          <w:rFonts w:cs="Arial"/>
        </w:rPr>
        <w:t>The Department considers that product taken in accordance with permits issued under the</w:t>
      </w:r>
      <w:r w:rsidRPr="00FF1C90">
        <w:rPr>
          <w:rFonts w:cs="Arial"/>
        </w:rPr>
        <w:t xml:space="preserve"> </w:t>
      </w:r>
      <w:r w:rsidR="00FF1DDA" w:rsidRPr="00FF1DDA">
        <w:rPr>
          <w:rFonts w:cs="Arial"/>
          <w:i/>
        </w:rPr>
        <w:t>Fisheries Management Act 1991</w:t>
      </w:r>
      <w:r w:rsidRPr="00FF1C90">
        <w:rPr>
          <w:rFonts w:cs="Arial"/>
        </w:rPr>
        <w:t xml:space="preserve"> </w:t>
      </w:r>
      <w:r w:rsidRPr="00815013">
        <w:rPr>
          <w:rFonts w:cs="Arial"/>
        </w:rPr>
        <w:t xml:space="preserve">to operate in the CCAMLR </w:t>
      </w:r>
      <w:r w:rsidR="00AB5244">
        <w:rPr>
          <w:rFonts w:cs="Arial"/>
        </w:rPr>
        <w:t>e</w:t>
      </w:r>
      <w:r w:rsidR="00AB5244" w:rsidRPr="00815013">
        <w:rPr>
          <w:rFonts w:cs="Arial"/>
        </w:rPr>
        <w:t xml:space="preserve">xploratory </w:t>
      </w:r>
      <w:r w:rsidR="00AB5244">
        <w:rPr>
          <w:rFonts w:cs="Arial"/>
        </w:rPr>
        <w:t>f</w:t>
      </w:r>
      <w:r w:rsidRPr="00815013">
        <w:rPr>
          <w:rFonts w:cs="Arial"/>
        </w:rPr>
        <w:t>isher</w:t>
      </w:r>
      <w:r w:rsidR="00AB5244">
        <w:rPr>
          <w:rFonts w:cs="Arial"/>
        </w:rPr>
        <w:t>ies</w:t>
      </w:r>
      <w:r w:rsidRPr="00815013">
        <w:rPr>
          <w:rFonts w:cs="Arial"/>
        </w:rPr>
        <w:t xml:space="preserve"> for </w:t>
      </w:r>
      <w:proofErr w:type="spellStart"/>
      <w:r w:rsidRPr="00815013">
        <w:rPr>
          <w:rFonts w:cs="Arial"/>
          <w:i/>
        </w:rPr>
        <w:t>Dissostichus</w:t>
      </w:r>
      <w:proofErr w:type="spellEnd"/>
      <w:r w:rsidRPr="00815013">
        <w:rPr>
          <w:rFonts w:cs="Arial"/>
          <w:i/>
        </w:rPr>
        <w:t xml:space="preserve"> </w:t>
      </w:r>
      <w:r w:rsidRPr="00815013">
        <w:rPr>
          <w:rFonts w:cs="Arial"/>
        </w:rPr>
        <w:t>spp. in Divisions 58.4.1 and 58.4.2 (the CCAMLR Exploratory Fisher</w:t>
      </w:r>
      <w:r w:rsidR="00AB5244">
        <w:rPr>
          <w:rFonts w:cs="Arial"/>
        </w:rPr>
        <w:t>ies</w:t>
      </w:r>
      <w:r w:rsidRPr="00815013">
        <w:rPr>
          <w:rFonts w:cs="Arial"/>
        </w:rPr>
        <w:t xml:space="preserve">) should be included in the list of exempt native specimens under Part 13A of the </w:t>
      </w:r>
      <w:r w:rsidRPr="00815013">
        <w:rPr>
          <w:rFonts w:cs="Arial"/>
          <w:i/>
        </w:rPr>
        <w:t>Environment Protection and Biodiversity Conservation Act 1999</w:t>
      </w:r>
      <w:r w:rsidRPr="00815013">
        <w:rPr>
          <w:rFonts w:cs="Arial"/>
        </w:rPr>
        <w:t xml:space="preserve"> (EPBC Act) for five years, until </w:t>
      </w:r>
      <w:r w:rsidR="00AB5244">
        <w:rPr>
          <w:rFonts w:cs="Arial"/>
        </w:rPr>
        <w:t>27 November 2020</w:t>
      </w:r>
      <w:r w:rsidRPr="00815013">
        <w:rPr>
          <w:rFonts w:cs="Arial"/>
        </w:rPr>
        <w:t xml:space="preserve">. </w:t>
      </w:r>
    </w:p>
    <w:p w:rsidR="00DC1C15" w:rsidRPr="00815013" w:rsidRDefault="00DC1C15" w:rsidP="00DC1C15">
      <w:pPr>
        <w:spacing w:after="120"/>
        <w:rPr>
          <w:rFonts w:cs="Arial"/>
        </w:rPr>
      </w:pPr>
      <w:r w:rsidRPr="00815013">
        <w:rPr>
          <w:rFonts w:cs="Arial"/>
        </w:rPr>
        <w:t>Export decisions relate to the arrangements in force at the time of the decision. To ensure that the inclusion of product from Australian operations in the CCAMLR Exploratory Fisher</w:t>
      </w:r>
      <w:r w:rsidR="00AB5244">
        <w:rPr>
          <w:rFonts w:cs="Arial"/>
        </w:rPr>
        <w:t>ies</w:t>
      </w:r>
      <w:r w:rsidRPr="00815013">
        <w:rPr>
          <w:rFonts w:cs="Arial"/>
        </w:rPr>
        <w:t xml:space="preserve"> in the list of exempt native specimens remains valid, the recommendations in Table 4 below have been made.</w:t>
      </w:r>
    </w:p>
    <w:p w:rsidR="00052F83" w:rsidRPr="00815013" w:rsidRDefault="00052F83" w:rsidP="001955CD">
      <w:pPr>
        <w:outlineLvl w:val="0"/>
        <w:rPr>
          <w:rFonts w:cs="Arial"/>
        </w:rPr>
      </w:pPr>
    </w:p>
    <w:p w:rsidR="00AB5244" w:rsidRDefault="007430E0" w:rsidP="007430E0">
      <w:pPr>
        <w:pStyle w:val="Heading6"/>
        <w:rPr>
          <w:rFonts w:ascii="Arial" w:hAnsi="Arial" w:cs="Arial"/>
        </w:rPr>
        <w:sectPr w:rsidR="00AB5244" w:rsidSect="007045DE">
          <w:pgSz w:w="11906" w:h="16838"/>
          <w:pgMar w:top="1021" w:right="1021" w:bottom="1021" w:left="1021" w:header="709" w:footer="709" w:gutter="0"/>
          <w:cols w:space="708"/>
          <w:docGrid w:linePitch="360"/>
        </w:sectPr>
      </w:pPr>
      <w:r w:rsidRPr="00815013">
        <w:rPr>
          <w:rFonts w:ascii="Arial" w:hAnsi="Arial" w:cs="Arial"/>
        </w:rPr>
        <w:t xml:space="preserve">      </w:t>
      </w:r>
    </w:p>
    <w:p w:rsidR="00FF1DDA" w:rsidRDefault="00B6012C" w:rsidP="00FF1DDA">
      <w:pPr>
        <w:pStyle w:val="Heading1"/>
      </w:pPr>
      <w:bookmarkStart w:id="10" w:name="_Toc438626357"/>
      <w:r w:rsidRPr="0099692C">
        <w:t xml:space="preserve">Table 4: </w:t>
      </w:r>
      <w:r w:rsidR="00F61040" w:rsidRPr="0099692C">
        <w:rPr>
          <w:noProof/>
        </w:rPr>
        <w:t>CCAMLR Exploratory Fisher</w:t>
      </w:r>
      <w:r w:rsidR="004B734E">
        <w:rPr>
          <w:noProof/>
        </w:rPr>
        <w:t>ies</w:t>
      </w:r>
      <w:r w:rsidR="00AD158A" w:rsidRPr="0099692C">
        <w:t xml:space="preserve"> Assessment – Summary of Issues</w:t>
      </w:r>
      <w:r w:rsidRPr="0099692C">
        <w:t xml:space="preserve"> and Recommendations </w:t>
      </w:r>
      <w:r w:rsidR="00AD158A" w:rsidRPr="0099692C">
        <w:t>December</w:t>
      </w:r>
      <w:r w:rsidRPr="0099692C">
        <w:t xml:space="preserve">, </w:t>
      </w:r>
      <w:r w:rsidR="00AD158A" w:rsidRPr="0099692C">
        <w:t>2015</w:t>
      </w:r>
      <w:bookmarkEnd w:id="10"/>
    </w:p>
    <w:p w:rsidR="00FF1DDA" w:rsidRDefault="00FF1DDA" w:rsidP="00FF1DDA"/>
    <w:tbl>
      <w:tblPr>
        <w:tblW w:w="50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19"/>
        <w:gridCol w:w="4405"/>
        <w:gridCol w:w="3291"/>
      </w:tblGrid>
      <w:tr w:rsidR="00456967" w:rsidRPr="00256C4F" w:rsidTr="00456967">
        <w:trPr>
          <w:trHeight w:val="206"/>
          <w:tblHeader/>
          <w:jc w:val="center"/>
        </w:trPr>
        <w:tc>
          <w:tcPr>
            <w:tcW w:w="2437" w:type="pct"/>
            <w:shd w:val="clear" w:color="auto" w:fill="D9D9D9"/>
            <w:vAlign w:val="center"/>
          </w:tcPr>
          <w:p w:rsidR="00456967" w:rsidRPr="00256C4F" w:rsidRDefault="00456967" w:rsidP="00CA32E0">
            <w:pPr>
              <w:spacing w:before="60" w:after="60"/>
              <w:jc w:val="center"/>
              <w:rPr>
                <w:rFonts w:cs="Arial"/>
                <w:b/>
              </w:rPr>
            </w:pPr>
            <w:r w:rsidRPr="00256C4F">
              <w:rPr>
                <w:rFonts w:cs="Arial"/>
                <w:b/>
              </w:rPr>
              <w:t>ISSUE</w:t>
            </w:r>
          </w:p>
        </w:tc>
        <w:tc>
          <w:tcPr>
            <w:tcW w:w="1467" w:type="pct"/>
            <w:shd w:val="clear" w:color="auto" w:fill="D9D9D9"/>
            <w:vAlign w:val="center"/>
          </w:tcPr>
          <w:p w:rsidR="00456967" w:rsidRPr="00256C4F" w:rsidRDefault="00456967" w:rsidP="00CA32E0">
            <w:pPr>
              <w:spacing w:before="60" w:after="60"/>
              <w:jc w:val="center"/>
              <w:rPr>
                <w:rFonts w:cs="Arial"/>
                <w:b/>
              </w:rPr>
            </w:pPr>
            <w:r w:rsidRPr="00256C4F">
              <w:rPr>
                <w:rFonts w:eastAsia="Arial Unicode MS" w:cs="Arial"/>
                <w:b/>
              </w:rPr>
              <w:t>Department of the Environment</w:t>
            </w:r>
            <w:r w:rsidRPr="00256C4F">
              <w:rPr>
                <w:rFonts w:cs="Arial"/>
                <w:b/>
              </w:rPr>
              <w:t xml:space="preserve"> </w:t>
            </w:r>
          </w:p>
          <w:p w:rsidR="00456967" w:rsidRPr="00256C4F" w:rsidRDefault="00456967" w:rsidP="00CA32E0">
            <w:pPr>
              <w:spacing w:before="60" w:after="60"/>
              <w:jc w:val="center"/>
              <w:rPr>
                <w:rFonts w:cs="Arial"/>
                <w:b/>
              </w:rPr>
            </w:pPr>
            <w:r w:rsidRPr="00256C4F">
              <w:rPr>
                <w:rFonts w:cs="Arial"/>
                <w:b/>
              </w:rPr>
              <w:t>Recommendation</w:t>
            </w:r>
          </w:p>
        </w:tc>
        <w:tc>
          <w:tcPr>
            <w:tcW w:w="1096" w:type="pct"/>
            <w:shd w:val="clear" w:color="auto" w:fill="D9D9D9"/>
            <w:vAlign w:val="center"/>
          </w:tcPr>
          <w:p w:rsidR="00456967" w:rsidRPr="00256C4F" w:rsidRDefault="00456967" w:rsidP="00CA32E0">
            <w:pPr>
              <w:spacing w:before="60" w:after="60"/>
              <w:jc w:val="center"/>
              <w:rPr>
                <w:rFonts w:cs="Arial"/>
                <w:b/>
              </w:rPr>
            </w:pPr>
            <w:r w:rsidRPr="00256C4F">
              <w:rPr>
                <w:rFonts w:cs="Arial"/>
                <w:b/>
              </w:rPr>
              <w:t>Australian Fisheries Management Authority Comments</w:t>
            </w:r>
          </w:p>
        </w:tc>
      </w:tr>
      <w:tr w:rsidR="00456967" w:rsidRPr="00256C4F" w:rsidTr="00456967">
        <w:trPr>
          <w:trHeight w:val="4081"/>
          <w:tblHeader/>
          <w:jc w:val="center"/>
        </w:trPr>
        <w:tc>
          <w:tcPr>
            <w:tcW w:w="2437" w:type="pct"/>
            <w:shd w:val="clear" w:color="auto" w:fill="auto"/>
          </w:tcPr>
          <w:p w:rsidR="00456967" w:rsidRPr="00256C4F" w:rsidRDefault="00456967" w:rsidP="00CA32E0">
            <w:pPr>
              <w:spacing w:before="60" w:after="60"/>
              <w:rPr>
                <w:rFonts w:cs="Arial"/>
                <w:u w:val="single"/>
              </w:rPr>
            </w:pPr>
            <w:r w:rsidRPr="00256C4F">
              <w:rPr>
                <w:rFonts w:cs="Arial"/>
                <w:u w:val="single"/>
              </w:rPr>
              <w:t>General Management</w:t>
            </w:r>
          </w:p>
          <w:p w:rsidR="00456967" w:rsidRPr="00256C4F" w:rsidRDefault="00456967" w:rsidP="00CA32E0">
            <w:pPr>
              <w:tabs>
                <w:tab w:val="left" w:pos="360"/>
              </w:tabs>
              <w:spacing w:after="120"/>
              <w:rPr>
                <w:rFonts w:cs="Arial"/>
              </w:rPr>
            </w:pPr>
            <w:r>
              <w:rPr>
                <w:rFonts w:cs="Arial"/>
              </w:rPr>
              <w:t xml:space="preserve">Export decisions relate to the arrangements in force at the time of the decision. To ensure that these decisions remain valid and export approval continues uninterrupted, the Department of the Environment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w:t>
            </w:r>
            <w:proofErr w:type="spellStart"/>
            <w:r>
              <w:rPr>
                <w:rFonts w:cs="Arial"/>
              </w:rPr>
              <w:t>byproduct</w:t>
            </w:r>
            <w:proofErr w:type="spellEnd"/>
            <w:r>
              <w:rPr>
                <w:rFonts w:cs="Arial"/>
              </w:rPr>
              <w:t xml:space="preserve">, </w:t>
            </w:r>
            <w:proofErr w:type="spellStart"/>
            <w:r>
              <w:rPr>
                <w:rFonts w:cs="Arial"/>
              </w:rPr>
              <w:t>bycatch</w:t>
            </w:r>
            <w:proofErr w:type="spellEnd"/>
            <w:r>
              <w:rPr>
                <w:rFonts w:cs="Arial"/>
              </w:rPr>
              <w:t>, protected species or the ecosystem.</w:t>
            </w:r>
          </w:p>
          <w:p w:rsidR="00456967" w:rsidRPr="00256C4F" w:rsidRDefault="00456967" w:rsidP="00CA32E0">
            <w:pPr>
              <w:tabs>
                <w:tab w:val="left" w:pos="360"/>
              </w:tabs>
              <w:spacing w:after="120"/>
              <w:rPr>
                <w:rFonts w:cs="Arial"/>
              </w:rPr>
            </w:pPr>
            <w:r>
              <w:rPr>
                <w:rFonts w:cs="Arial"/>
              </w:rPr>
              <w:t xml:space="preserve">The Department notes that stocks of </w:t>
            </w:r>
            <w:proofErr w:type="spellStart"/>
            <w:r>
              <w:rPr>
                <w:rFonts w:cs="Arial"/>
              </w:rPr>
              <w:t>toothfish</w:t>
            </w:r>
            <w:proofErr w:type="spellEnd"/>
            <w:r>
              <w:rPr>
                <w:rFonts w:cs="Arial"/>
              </w:rPr>
              <w:t xml:space="preserve"> (</w:t>
            </w:r>
            <w:proofErr w:type="spellStart"/>
            <w:r>
              <w:rPr>
                <w:rFonts w:cs="Arial"/>
                <w:i/>
              </w:rPr>
              <w:t>Dissostichus</w:t>
            </w:r>
            <w:proofErr w:type="spellEnd"/>
            <w:r>
              <w:rPr>
                <w:rFonts w:cs="Arial"/>
                <w:i/>
              </w:rPr>
              <w:t xml:space="preserve"> spp.</w:t>
            </w:r>
            <w:r>
              <w:rPr>
                <w:rFonts w:cs="Arial"/>
              </w:rPr>
              <w:t>) were classified as overfished and subject to overfishing in the area of the CCAMLR Exploratory Fisheries (Statistical Divisions 58.4.1 and 58.4.2) up until 2012 when they were removed from the Australian Government’s annual Fishery Status Reports due to lack of Australian fishing activity. The Department also recognises the ongoing threat presented by illegal, unreported and unregulated fishing, and the challenges presented by the limited data, and uncertainty associated with new and exploratory fisheries. However, the Department considers that the management arrangements, including research and data collection, set by the Commission for the Conservation</w:t>
            </w:r>
            <w:r w:rsidR="008B0F81">
              <w:rPr>
                <w:rFonts w:cs="Arial"/>
              </w:rPr>
              <w:t xml:space="preserve"> of Antarctic Marine Living Res</w:t>
            </w:r>
            <w:r>
              <w:rPr>
                <w:rFonts w:cs="Arial"/>
              </w:rPr>
              <w:t>ources (CCAMLR) and the suite of conservation measures and recommendations that make up the international governance arrangements for CCAMLR fisheries are sufficient to manage these issues.</w:t>
            </w:r>
          </w:p>
        </w:tc>
        <w:tc>
          <w:tcPr>
            <w:tcW w:w="1467" w:type="pct"/>
            <w:shd w:val="clear" w:color="auto" w:fill="auto"/>
          </w:tcPr>
          <w:p w:rsidR="00456967" w:rsidRPr="00256C4F" w:rsidRDefault="00456967" w:rsidP="00CA32E0">
            <w:pPr>
              <w:spacing w:after="120"/>
              <w:rPr>
                <w:rFonts w:cs="Arial"/>
              </w:rPr>
            </w:pPr>
            <w:r>
              <w:rPr>
                <w:rFonts w:cs="Arial"/>
                <w:b/>
              </w:rPr>
              <w:t>Recommendation 1:</w:t>
            </w:r>
            <w:r>
              <w:rPr>
                <w:rFonts w:cs="Arial"/>
              </w:rPr>
              <w:t xml:space="preserve"> The Australian Fisheries Management Authority (AFMA) to ensure that all relevant Commission for the Conservation of Antarctic Marine Living Resources (CCAMLR) conservation measures are implemented for the operation of Australian vessels in the CCAMLR Exploratory Fisheries in Statistical Divisions 58.4.1 and 58.4.2.</w:t>
            </w:r>
          </w:p>
          <w:p w:rsidR="00456967" w:rsidRPr="00256C4F" w:rsidRDefault="00456967" w:rsidP="00CA32E0">
            <w:pPr>
              <w:autoSpaceDE w:val="0"/>
              <w:autoSpaceDN w:val="0"/>
              <w:adjustRightInd w:val="0"/>
              <w:spacing w:after="120"/>
              <w:rPr>
                <w:rFonts w:cs="Arial"/>
              </w:rPr>
            </w:pPr>
            <w:r>
              <w:rPr>
                <w:rFonts w:cs="Arial"/>
                <w:b/>
              </w:rPr>
              <w:t xml:space="preserve">Recommendation 2: </w:t>
            </w:r>
            <w:r>
              <w:rPr>
                <w:rFonts w:cs="Arial"/>
              </w:rPr>
              <w:t xml:space="preserve">AFMA to inform the Department of any intended material changes to the management arrangements for Australian operations in the CCAMLR Exploratory Fisheries that may affect the assessment against which </w:t>
            </w:r>
            <w:r>
              <w:rPr>
                <w:rFonts w:cs="Arial"/>
                <w:i/>
                <w:iCs/>
              </w:rPr>
              <w:t>Environment Protection and Biodiversity Conservation Act 1999</w:t>
            </w:r>
            <w:r>
              <w:rPr>
                <w:rFonts w:cs="Arial"/>
              </w:rPr>
              <w:t xml:space="preserve"> decisions are made.</w:t>
            </w:r>
          </w:p>
        </w:tc>
        <w:tc>
          <w:tcPr>
            <w:tcW w:w="1096" w:type="pct"/>
            <w:shd w:val="clear" w:color="auto" w:fill="auto"/>
          </w:tcPr>
          <w:p w:rsidR="00456967" w:rsidRPr="00256C4F" w:rsidRDefault="00456967" w:rsidP="00CA32E0">
            <w:pPr>
              <w:rPr>
                <w:rFonts w:cs="Arial"/>
              </w:rPr>
            </w:pPr>
          </w:p>
        </w:tc>
      </w:tr>
      <w:tr w:rsidR="00456967" w:rsidRPr="00256C4F" w:rsidTr="00456967">
        <w:trPr>
          <w:trHeight w:val="433"/>
          <w:tblHeader/>
          <w:jc w:val="center"/>
        </w:trPr>
        <w:tc>
          <w:tcPr>
            <w:tcW w:w="2437" w:type="pct"/>
            <w:shd w:val="clear" w:color="auto" w:fill="auto"/>
          </w:tcPr>
          <w:p w:rsidR="00456967" w:rsidRPr="00256C4F" w:rsidRDefault="00456967" w:rsidP="00A51B06">
            <w:pPr>
              <w:spacing w:after="0"/>
              <w:rPr>
                <w:rFonts w:cs="Arial"/>
                <w:u w:val="single"/>
              </w:rPr>
            </w:pPr>
            <w:r w:rsidRPr="00256C4F">
              <w:rPr>
                <w:rFonts w:cs="Arial"/>
                <w:u w:val="single"/>
              </w:rPr>
              <w:t>Annual reporting</w:t>
            </w:r>
          </w:p>
          <w:p w:rsidR="00456967" w:rsidRPr="00256C4F" w:rsidRDefault="00456967" w:rsidP="00CA32E0">
            <w:pPr>
              <w:tabs>
                <w:tab w:val="left" w:pos="360"/>
              </w:tabs>
              <w:spacing w:after="120"/>
              <w:rPr>
                <w:rFonts w:cs="Arial"/>
              </w:rPr>
            </w:pPr>
            <w:r>
              <w:rPr>
                <w:rFonts w:cs="Arial"/>
              </w:rPr>
              <w:t xml:space="preserve">It is important that reports be produced and presented to the Department annually in order for the performance of the fisheries and progress in implementing the recommendations in this report and other managerial commitments to be monitored and assessed throughout the life of the approval. Annual reports should follow Appendix B to the 'Guidelines for the Ecologically Sustainable Management of Fisheries - 2nd Edition' and include a description of the fisheries, management arrangements in place, research and monitoring outcomes, recent catch data for all sectors of the fisheries, status of target stock, interactions with EPBC Act protected species, impacts of the fisheries on the ecosystem in which it operates and progress in implementing the Department’s recommendations. Electronic copies of the guidelines are available from the Department’s website at </w:t>
            </w:r>
            <w:hyperlink r:id="rId108" w:history="1">
              <w:r w:rsidRPr="00256C4F">
                <w:rPr>
                  <w:rStyle w:val="Hyperlink"/>
                  <w:rFonts w:cs="Arial"/>
                </w:rPr>
                <w:t>http://www.environment.gov.au/resource/guidelines-ecologically-sustainable-management-fisheries</w:t>
              </w:r>
            </w:hyperlink>
            <w:r w:rsidRPr="00256C4F">
              <w:rPr>
                <w:rFonts w:cs="Arial"/>
              </w:rPr>
              <w:t>.</w:t>
            </w:r>
          </w:p>
        </w:tc>
        <w:tc>
          <w:tcPr>
            <w:tcW w:w="1467" w:type="pct"/>
            <w:shd w:val="clear" w:color="auto" w:fill="auto"/>
          </w:tcPr>
          <w:p w:rsidR="00456967" w:rsidRPr="00256C4F" w:rsidRDefault="00456967" w:rsidP="00CA32E0">
            <w:pPr>
              <w:pStyle w:val="normal-dot"/>
              <w:tabs>
                <w:tab w:val="clear" w:pos="360"/>
                <w:tab w:val="left" w:pos="1440"/>
              </w:tabs>
              <w:spacing w:before="0" w:after="120"/>
              <w:ind w:left="0" w:right="142" w:firstLine="0"/>
              <w:rPr>
                <w:rFonts w:ascii="Arial" w:hAnsi="Arial" w:cs="Arial"/>
                <w:szCs w:val="22"/>
              </w:rPr>
            </w:pPr>
            <w:r>
              <w:rPr>
                <w:rFonts w:ascii="Arial" w:hAnsi="Arial" w:cs="Arial"/>
                <w:b/>
                <w:szCs w:val="22"/>
              </w:rPr>
              <w:t>Recommendation 3:</w:t>
            </w:r>
            <w:r>
              <w:rPr>
                <w:rFonts w:ascii="Arial" w:hAnsi="Arial" w:cs="Arial"/>
                <w:szCs w:val="22"/>
              </w:rPr>
              <w:t xml:space="preserve"> AFMA to produce and present reports to the Department annually as per Appendix B of the ‘</w:t>
            </w:r>
            <w:r>
              <w:rPr>
                <w:rFonts w:ascii="Arial" w:hAnsi="Arial" w:cs="Arial"/>
                <w:color w:val="000000"/>
                <w:szCs w:val="22"/>
              </w:rPr>
              <w:t xml:space="preserve">Guidelines for the Ecologically Sustainable Management of Fisheries - 2nd Edition’. </w:t>
            </w:r>
          </w:p>
        </w:tc>
        <w:tc>
          <w:tcPr>
            <w:tcW w:w="1096" w:type="pct"/>
            <w:shd w:val="clear" w:color="auto" w:fill="auto"/>
          </w:tcPr>
          <w:p w:rsidR="00456967" w:rsidRPr="00256C4F" w:rsidRDefault="00456967" w:rsidP="00CA32E0">
            <w:pPr>
              <w:rPr>
                <w:rFonts w:cs="Arial"/>
              </w:rPr>
            </w:pPr>
          </w:p>
        </w:tc>
      </w:tr>
      <w:tr w:rsidR="00456967" w:rsidRPr="00256C4F" w:rsidTr="00456967">
        <w:trPr>
          <w:trHeight w:val="433"/>
          <w:tblHeader/>
          <w:jc w:val="center"/>
        </w:trPr>
        <w:tc>
          <w:tcPr>
            <w:tcW w:w="2437" w:type="pct"/>
            <w:shd w:val="clear" w:color="auto" w:fill="auto"/>
          </w:tcPr>
          <w:p w:rsidR="00456967" w:rsidRPr="00256C4F" w:rsidRDefault="00456967" w:rsidP="00CA32E0">
            <w:pPr>
              <w:tabs>
                <w:tab w:val="left" w:pos="360"/>
              </w:tabs>
              <w:spacing w:after="120"/>
              <w:rPr>
                <w:rFonts w:cs="Arial"/>
                <w:u w:val="single"/>
              </w:rPr>
            </w:pPr>
            <w:r w:rsidRPr="00256C4F">
              <w:rPr>
                <w:rFonts w:cs="Arial"/>
                <w:u w:val="single"/>
              </w:rPr>
              <w:t>E</w:t>
            </w:r>
            <w:r>
              <w:rPr>
                <w:rFonts w:cs="Arial"/>
                <w:u w:val="single"/>
              </w:rPr>
              <w:t>cological risks of the effects of fishing</w:t>
            </w:r>
          </w:p>
          <w:p w:rsidR="00456967" w:rsidRPr="00256C4F" w:rsidRDefault="00456967" w:rsidP="00CA32E0">
            <w:pPr>
              <w:tabs>
                <w:tab w:val="left" w:pos="360"/>
              </w:tabs>
              <w:spacing w:after="120"/>
              <w:rPr>
                <w:rFonts w:cs="Arial"/>
              </w:rPr>
            </w:pPr>
            <w:r>
              <w:rPr>
                <w:rFonts w:cs="Arial"/>
              </w:rPr>
              <w:t>The Department recognises that CCAMLR, the Australian Antarctic Division of the Department, and AFMA have a well developed research and data collection program to improve understanding of the stock status and the environmental impact of the fisheries. Over time this program should provide greater certainty in the management of ecological risk.</w:t>
            </w:r>
          </w:p>
          <w:p w:rsidR="00456967" w:rsidRPr="00256C4F" w:rsidRDefault="00456967" w:rsidP="00CA32E0">
            <w:pPr>
              <w:tabs>
                <w:tab w:val="left" w:pos="360"/>
              </w:tabs>
              <w:spacing w:after="120"/>
              <w:rPr>
                <w:rFonts w:cs="Arial"/>
              </w:rPr>
            </w:pPr>
            <w:r>
              <w:rPr>
                <w:rFonts w:cs="Arial"/>
              </w:rPr>
              <w:t xml:space="preserve">The Department also recognises the small scale of the fisheries, and the precautionary management arrangements and scientific rigour that has been adopted by CCAMLR and underpins their management. </w:t>
            </w:r>
          </w:p>
          <w:p w:rsidR="00456967" w:rsidRPr="00256C4F" w:rsidRDefault="00456967" w:rsidP="00CA32E0">
            <w:pPr>
              <w:tabs>
                <w:tab w:val="left" w:pos="360"/>
              </w:tabs>
              <w:spacing w:after="120"/>
              <w:rPr>
                <w:rFonts w:cs="Arial"/>
              </w:rPr>
            </w:pPr>
            <w:r>
              <w:rPr>
                <w:rFonts w:cs="Arial"/>
              </w:rPr>
              <w:t xml:space="preserve">The Department acknowledges the investment required </w:t>
            </w:r>
            <w:proofErr w:type="gramStart"/>
            <w:r>
              <w:rPr>
                <w:rFonts w:cs="Arial"/>
              </w:rPr>
              <w:t>to undertake</w:t>
            </w:r>
            <w:proofErr w:type="gramEnd"/>
            <w:r>
              <w:rPr>
                <w:rFonts w:cs="Arial"/>
              </w:rPr>
              <w:t xml:space="preserve"> a full ecological risk assessment, and notes there can diminished value in pursuing such assessments where information is limited.</w:t>
            </w:r>
          </w:p>
          <w:p w:rsidR="00456967" w:rsidRPr="00256C4F" w:rsidRDefault="00456967" w:rsidP="00CA32E0">
            <w:pPr>
              <w:tabs>
                <w:tab w:val="left" w:pos="360"/>
              </w:tabs>
              <w:spacing w:after="120"/>
              <w:rPr>
                <w:rFonts w:cs="Arial"/>
              </w:rPr>
            </w:pPr>
            <w:r>
              <w:rPr>
                <w:rFonts w:cs="Arial"/>
              </w:rPr>
              <w:t xml:space="preserve">The Department also notes the range of risk mitigation strategies relevant to these fisheries, including the: </w:t>
            </w:r>
          </w:p>
          <w:p w:rsidR="00456967" w:rsidRPr="00256C4F" w:rsidRDefault="00456967" w:rsidP="00CA32E0">
            <w:pPr>
              <w:pStyle w:val="ListBullet"/>
              <w:rPr>
                <w:rFonts w:cs="Arial"/>
              </w:rPr>
            </w:pPr>
            <w:r>
              <w:rPr>
                <w:rFonts w:cs="Arial"/>
              </w:rPr>
              <w:t>CCAMLR conservation measures</w:t>
            </w:r>
          </w:p>
          <w:p w:rsidR="00456967" w:rsidRPr="00256C4F" w:rsidRDefault="00456967" w:rsidP="00CA32E0">
            <w:pPr>
              <w:pStyle w:val="ListBullet"/>
              <w:rPr>
                <w:rFonts w:cs="Arial"/>
              </w:rPr>
            </w:pPr>
            <w:r>
              <w:rPr>
                <w:rFonts w:cs="Arial"/>
              </w:rPr>
              <w:t>National recovery plan for threatened albatrosses and giant petrels 2011–2016</w:t>
            </w:r>
          </w:p>
          <w:p w:rsidR="00456967" w:rsidRPr="00256C4F" w:rsidRDefault="00456967" w:rsidP="00CA32E0">
            <w:pPr>
              <w:pStyle w:val="ListBullet"/>
              <w:rPr>
                <w:rFonts w:cs="Arial"/>
              </w:rPr>
            </w:pPr>
            <w:r>
              <w:rPr>
                <w:rFonts w:cs="Arial"/>
              </w:rPr>
              <w:t xml:space="preserve">Threat Abatement Plan 2014 for the incidental catch (or bycatch) of seabirds during oceanic </w:t>
            </w:r>
            <w:proofErr w:type="spellStart"/>
            <w:r>
              <w:rPr>
                <w:rFonts w:cs="Arial"/>
              </w:rPr>
              <w:t>longline</w:t>
            </w:r>
            <w:proofErr w:type="spellEnd"/>
            <w:r>
              <w:rPr>
                <w:rFonts w:cs="Arial"/>
              </w:rPr>
              <w:t xml:space="preserve"> fishing operations. and</w:t>
            </w:r>
          </w:p>
          <w:p w:rsidR="00456967" w:rsidRPr="00256C4F" w:rsidRDefault="00456967" w:rsidP="00CA32E0">
            <w:pPr>
              <w:pStyle w:val="ListBullet"/>
              <w:rPr>
                <w:rFonts w:cs="Arial"/>
              </w:rPr>
            </w:pPr>
            <w:r>
              <w:rPr>
                <w:rFonts w:cs="Arial"/>
              </w:rPr>
              <w:t xml:space="preserve">Agreement on the Conservation of Albatrosses and Petrels, </w:t>
            </w:r>
          </w:p>
          <w:p w:rsidR="00456967" w:rsidRPr="00256C4F" w:rsidRDefault="00456967" w:rsidP="00CA32E0">
            <w:pPr>
              <w:tabs>
                <w:tab w:val="left" w:pos="360"/>
              </w:tabs>
              <w:spacing w:before="240" w:after="120"/>
              <w:rPr>
                <w:rFonts w:cs="Arial"/>
              </w:rPr>
            </w:pPr>
            <w:r>
              <w:rPr>
                <w:rFonts w:cs="Arial"/>
              </w:rPr>
              <w:t>Notwithstanding, the Department considers monitoring and management of ecological risk to be an important part of sustainable fisheries management, and encourages AFMA, together with the Australian Antarctic Division of the Department to investigate what measures are appropriate for the fisheries at this time and through the course of the approval period as more information becomes available.</w:t>
            </w:r>
          </w:p>
        </w:tc>
        <w:tc>
          <w:tcPr>
            <w:tcW w:w="1467" w:type="pct"/>
            <w:shd w:val="clear" w:color="auto" w:fill="auto"/>
          </w:tcPr>
          <w:p w:rsidR="00456967" w:rsidRPr="00256C4F" w:rsidRDefault="00456967" w:rsidP="00CA32E0">
            <w:pPr>
              <w:autoSpaceDE w:val="0"/>
              <w:autoSpaceDN w:val="0"/>
              <w:adjustRightInd w:val="0"/>
              <w:spacing w:after="120"/>
              <w:rPr>
                <w:rFonts w:cs="Arial"/>
              </w:rPr>
            </w:pPr>
            <w:r>
              <w:rPr>
                <w:rFonts w:cs="Arial"/>
                <w:b/>
              </w:rPr>
              <w:t>Recommendation 4</w:t>
            </w:r>
            <w:r>
              <w:rPr>
                <w:rFonts w:cs="Arial"/>
              </w:rPr>
              <w:t>: AFMA to continue to work collaboratively with relevant expertise, such as the Australian Antarctic Division of the Department, to ensure Australian operations in the CCAMLR Exploratory Fisheries reflect best practice for mitigation of ecological risks.</w:t>
            </w:r>
          </w:p>
        </w:tc>
        <w:tc>
          <w:tcPr>
            <w:tcW w:w="1096" w:type="pct"/>
            <w:shd w:val="clear" w:color="auto" w:fill="auto"/>
          </w:tcPr>
          <w:p w:rsidR="00456967" w:rsidRPr="00256C4F" w:rsidRDefault="00456967" w:rsidP="00CA32E0">
            <w:pPr>
              <w:rPr>
                <w:rFonts w:cs="Arial"/>
              </w:rPr>
            </w:pPr>
          </w:p>
        </w:tc>
      </w:tr>
    </w:tbl>
    <w:p w:rsidR="004C12E4" w:rsidRDefault="004C12E4">
      <w:pPr>
        <w:spacing w:after="0" w:line="240" w:lineRule="auto"/>
        <w:rPr>
          <w:rFonts w:cs="Arial"/>
          <w:highlight w:val="yellow"/>
        </w:rPr>
      </w:pPr>
    </w:p>
    <w:p w:rsidR="004C12E4" w:rsidRDefault="004C12E4">
      <w:pPr>
        <w:spacing w:after="0" w:line="240" w:lineRule="auto"/>
        <w:rPr>
          <w:rFonts w:cs="Arial"/>
          <w:highlight w:val="yellow"/>
        </w:rPr>
      </w:pPr>
    </w:p>
    <w:p w:rsidR="00954B04" w:rsidRDefault="00954B04" w:rsidP="004C12E4">
      <w:pPr>
        <w:pStyle w:val="Heading1"/>
        <w:sectPr w:rsidR="00954B04" w:rsidSect="00954B04">
          <w:headerReference w:type="even" r:id="rId109"/>
          <w:headerReference w:type="default" r:id="rId110"/>
          <w:footerReference w:type="even" r:id="rId111"/>
          <w:footerReference w:type="default" r:id="rId112"/>
          <w:headerReference w:type="first" r:id="rId113"/>
          <w:footerReference w:type="first" r:id="rId114"/>
          <w:pgSz w:w="16838" w:h="11906" w:orient="landscape"/>
          <w:pgMar w:top="1021" w:right="1021" w:bottom="1021" w:left="1021" w:header="709" w:footer="709" w:gutter="0"/>
          <w:cols w:space="708"/>
          <w:docGrid w:linePitch="360"/>
        </w:sectPr>
      </w:pPr>
    </w:p>
    <w:p w:rsidR="004C12E4" w:rsidRPr="00815013" w:rsidRDefault="004C12E4" w:rsidP="004C12E4">
      <w:pPr>
        <w:pStyle w:val="Heading1"/>
      </w:pPr>
      <w:bookmarkStart w:id="11" w:name="_Toc438626358"/>
      <w:r w:rsidRPr="00815013">
        <w:t>References</w:t>
      </w:r>
      <w:bookmarkEnd w:id="11"/>
    </w:p>
    <w:p w:rsidR="004C12E4" w:rsidRDefault="004C12E4" w:rsidP="004C12E4">
      <w:pPr>
        <w:tabs>
          <w:tab w:val="left" w:pos="360"/>
        </w:tabs>
        <w:spacing w:after="120" w:line="240" w:lineRule="auto"/>
        <w:rPr>
          <w:rFonts w:cs="Arial"/>
        </w:rPr>
      </w:pPr>
      <w:proofErr w:type="gramStart"/>
      <w:r>
        <w:t xml:space="preserve">Parker SJ, </w:t>
      </w:r>
      <w:proofErr w:type="spellStart"/>
      <w:r>
        <w:t>Hanchet</w:t>
      </w:r>
      <w:proofErr w:type="spellEnd"/>
      <w:r>
        <w:t xml:space="preserve"> SM and Horn PL (2014) WG-SAM-14/26—Stock structure of Antarctic </w:t>
      </w:r>
      <w:proofErr w:type="spellStart"/>
      <w:r>
        <w:t>toothfish</w:t>
      </w:r>
      <w:proofErr w:type="spellEnd"/>
      <w:r>
        <w:t xml:space="preserve"> in Area 88 and implications for assessment and management.</w:t>
      </w:r>
      <w:proofErr w:type="gramEnd"/>
      <w:r>
        <w:rPr>
          <w:rFonts w:cs="Arial"/>
        </w:rPr>
        <w:t xml:space="preserve"> </w:t>
      </w:r>
      <w:hyperlink r:id="rId115" w:history="1">
        <w:r w:rsidRPr="00D55382">
          <w:rPr>
            <w:rStyle w:val="Hyperlink"/>
            <w:rFonts w:cs="Arial"/>
          </w:rPr>
          <w:t>https://www.ccamlr.org/en/wg-sam-14/26</w:t>
        </w:r>
      </w:hyperlink>
      <w:r>
        <w:rPr>
          <w:rFonts w:cs="Arial"/>
        </w:rPr>
        <w:t xml:space="preserve"> (Abstract only). </w:t>
      </w:r>
      <w:proofErr w:type="gramStart"/>
      <w:r>
        <w:rPr>
          <w:rFonts w:cs="Arial"/>
        </w:rPr>
        <w:t>Accessed 17 December 2015.</w:t>
      </w:r>
      <w:proofErr w:type="gramEnd"/>
    </w:p>
    <w:p w:rsidR="004C12E4" w:rsidRPr="006D23AA" w:rsidRDefault="004C12E4" w:rsidP="004C12E4">
      <w:pPr>
        <w:autoSpaceDE w:val="0"/>
        <w:autoSpaceDN w:val="0"/>
        <w:adjustRightInd w:val="0"/>
        <w:spacing w:after="120" w:line="240" w:lineRule="auto"/>
      </w:pPr>
      <w:r>
        <w:t>Welsford</w:t>
      </w:r>
      <w:r w:rsidRPr="006D23AA">
        <w:t xml:space="preserve"> DC </w:t>
      </w:r>
      <w:r>
        <w:t>(</w:t>
      </w:r>
      <w:r w:rsidRPr="006D23AA">
        <w:t>2011</w:t>
      </w:r>
      <w:r>
        <w:t>)</w:t>
      </w:r>
      <w:r w:rsidRPr="006D23AA">
        <w:t xml:space="preserve"> </w:t>
      </w:r>
      <w:r w:rsidRPr="006D23AA">
        <w:rPr>
          <w:i/>
        </w:rPr>
        <w:t>Estimation of catch rate and mean weight in the exploratory</w:t>
      </w:r>
      <w:r>
        <w:rPr>
          <w:i/>
        </w:rPr>
        <w:t xml:space="preserve"> </w:t>
      </w:r>
      <w:proofErr w:type="spellStart"/>
      <w:r w:rsidRPr="006D23AA">
        <w:rPr>
          <w:i/>
        </w:rPr>
        <w:t>Dissostichus</w:t>
      </w:r>
      <w:proofErr w:type="spellEnd"/>
      <w:r w:rsidRPr="006D23AA">
        <w:rPr>
          <w:i/>
        </w:rPr>
        <w:t xml:space="preserve"> fisheries across Divisions 58.1 and 58.2 using generalised additive</w:t>
      </w:r>
      <w:r>
        <w:rPr>
          <w:i/>
        </w:rPr>
        <w:t xml:space="preserve"> </w:t>
      </w:r>
      <w:r w:rsidRPr="006D23AA">
        <w:rPr>
          <w:i/>
        </w:rPr>
        <w:t>models</w:t>
      </w:r>
      <w:r w:rsidRPr="006D23AA">
        <w:t>, WG-FSA-11/35, report to the CCAMLR Working Group on Fish Stock</w:t>
      </w:r>
      <w:r>
        <w:rPr>
          <w:i/>
        </w:rPr>
        <w:t xml:space="preserve"> </w:t>
      </w:r>
      <w:r w:rsidRPr="006D23AA">
        <w:t>Assessment,</w:t>
      </w:r>
      <w:r>
        <w:t xml:space="preserve"> Hobart. </w:t>
      </w:r>
      <w:hyperlink r:id="rId116" w:history="1">
        <w:r w:rsidRPr="00D55382">
          <w:rPr>
            <w:rStyle w:val="Hyperlink"/>
          </w:rPr>
          <w:t>https://www.ccamlr.org/en/wg-fsa-11/35</w:t>
        </w:r>
      </w:hyperlink>
      <w:r>
        <w:t xml:space="preserve"> (Abstract only). </w:t>
      </w:r>
      <w:proofErr w:type="gramStart"/>
      <w:r>
        <w:t>Accessed 17 December 2015.</w:t>
      </w:r>
      <w:proofErr w:type="gramEnd"/>
    </w:p>
    <w:p w:rsidR="004C12E4" w:rsidRDefault="004C12E4" w:rsidP="004C12E4">
      <w:pPr>
        <w:tabs>
          <w:tab w:val="left" w:pos="360"/>
        </w:tabs>
        <w:spacing w:after="120" w:line="240" w:lineRule="auto"/>
        <w:rPr>
          <w:rFonts w:cs="Arial"/>
        </w:rPr>
      </w:pPr>
      <w:r>
        <w:rPr>
          <w:rFonts w:cs="Arial"/>
        </w:rPr>
        <w:t xml:space="preserve">Patterson H and </w:t>
      </w:r>
      <w:proofErr w:type="spellStart"/>
      <w:r>
        <w:rPr>
          <w:rFonts w:cs="Arial"/>
        </w:rPr>
        <w:t>Skirtun</w:t>
      </w:r>
      <w:proofErr w:type="spellEnd"/>
      <w:r>
        <w:rPr>
          <w:rFonts w:cs="Arial"/>
        </w:rPr>
        <w:t xml:space="preserve"> M, </w:t>
      </w:r>
      <w:r w:rsidRPr="00EC10F3">
        <w:rPr>
          <w:rFonts w:cs="Arial"/>
          <w:color w:val="000000"/>
          <w:lang w:eastAsia="en-AU"/>
        </w:rPr>
        <w:t xml:space="preserve">In </w:t>
      </w:r>
      <w:proofErr w:type="spellStart"/>
      <w:r w:rsidRPr="00EC10F3">
        <w:rPr>
          <w:rFonts w:cs="Arial"/>
          <w:color w:val="000000"/>
          <w:lang w:eastAsia="en-AU"/>
        </w:rPr>
        <w:t>Woodhams</w:t>
      </w:r>
      <w:proofErr w:type="spellEnd"/>
      <w:r w:rsidRPr="00EC10F3">
        <w:rPr>
          <w:rFonts w:cs="Arial"/>
          <w:color w:val="000000"/>
          <w:lang w:eastAsia="en-AU"/>
        </w:rPr>
        <w:t xml:space="preserve"> J, </w:t>
      </w:r>
      <w:proofErr w:type="spellStart"/>
      <w:r w:rsidRPr="00EC10F3">
        <w:rPr>
          <w:rFonts w:cs="Arial"/>
          <w:color w:val="000000"/>
          <w:lang w:eastAsia="en-AU"/>
        </w:rPr>
        <w:t>Stobutzki</w:t>
      </w:r>
      <w:proofErr w:type="spellEnd"/>
      <w:r w:rsidRPr="00EC10F3">
        <w:rPr>
          <w:rFonts w:cs="Arial"/>
          <w:color w:val="000000"/>
          <w:lang w:eastAsia="en-AU"/>
        </w:rPr>
        <w:t xml:space="preserve"> I, Vieira S</w:t>
      </w:r>
      <w:r>
        <w:rPr>
          <w:rFonts w:cs="Arial"/>
          <w:color w:val="000000"/>
          <w:lang w:eastAsia="en-AU"/>
        </w:rPr>
        <w:t xml:space="preserve"> and </w:t>
      </w:r>
      <w:proofErr w:type="spellStart"/>
      <w:r>
        <w:rPr>
          <w:rFonts w:cs="Arial"/>
          <w:color w:val="000000"/>
          <w:lang w:eastAsia="en-AU"/>
        </w:rPr>
        <w:t>Stobutzki</w:t>
      </w:r>
      <w:proofErr w:type="spellEnd"/>
      <w:r>
        <w:rPr>
          <w:rFonts w:cs="Arial"/>
          <w:color w:val="000000"/>
          <w:lang w:eastAsia="en-AU"/>
        </w:rPr>
        <w:t xml:space="preserve"> I (</w:t>
      </w:r>
      <w:proofErr w:type="spellStart"/>
      <w:r>
        <w:rPr>
          <w:rFonts w:cs="Arial"/>
          <w:color w:val="000000"/>
          <w:lang w:eastAsia="en-AU"/>
        </w:rPr>
        <w:t>eds</w:t>
      </w:r>
      <w:proofErr w:type="spellEnd"/>
      <w:r>
        <w:rPr>
          <w:rFonts w:cs="Arial"/>
          <w:color w:val="000000"/>
          <w:lang w:eastAsia="en-AU"/>
        </w:rPr>
        <w:t xml:space="preserve">) </w:t>
      </w:r>
      <w:r w:rsidRPr="00EC10F3">
        <w:rPr>
          <w:rFonts w:cs="Arial"/>
          <w:color w:val="000000"/>
          <w:lang w:eastAsia="en-AU"/>
        </w:rPr>
        <w:t>(201</w:t>
      </w:r>
      <w:r>
        <w:rPr>
          <w:rFonts w:cs="Arial"/>
          <w:color w:val="000000"/>
          <w:lang w:eastAsia="en-AU"/>
        </w:rPr>
        <w:t>2</w:t>
      </w:r>
      <w:r w:rsidRPr="00EC10F3">
        <w:rPr>
          <w:rFonts w:cs="Arial"/>
          <w:color w:val="000000"/>
          <w:lang w:eastAsia="en-AU"/>
        </w:rPr>
        <w:t>)</w:t>
      </w:r>
      <w:r>
        <w:rPr>
          <w:rFonts w:cs="Arial"/>
          <w:color w:val="000000"/>
          <w:lang w:eastAsia="en-AU"/>
        </w:rPr>
        <w:t xml:space="preserve"> </w:t>
      </w:r>
      <w:r w:rsidRPr="00804FA1">
        <w:rPr>
          <w:rFonts w:cs="Arial"/>
          <w:i/>
          <w:color w:val="000000"/>
          <w:lang w:eastAsia="en-AU"/>
        </w:rPr>
        <w:t>Fishery status reports 2011</w:t>
      </w:r>
      <w:r>
        <w:rPr>
          <w:rFonts w:cs="Arial"/>
          <w:color w:val="000000"/>
          <w:lang w:eastAsia="en-AU"/>
        </w:rPr>
        <w:t>.</w:t>
      </w:r>
      <w:r w:rsidRPr="00EC10F3">
        <w:rPr>
          <w:rFonts w:cs="Arial"/>
          <w:color w:val="000000"/>
          <w:lang w:eastAsia="en-AU"/>
        </w:rPr>
        <w:t xml:space="preserve"> </w:t>
      </w:r>
      <w:proofErr w:type="gramStart"/>
      <w:r w:rsidRPr="00EC10F3">
        <w:rPr>
          <w:rFonts w:cs="Arial"/>
          <w:color w:val="000000"/>
          <w:lang w:eastAsia="en-AU"/>
        </w:rPr>
        <w:t>Australian Government, Australian Bureau of Agricultural and Resource Economics and Sciences, Canberra.</w:t>
      </w:r>
      <w:proofErr w:type="gramEnd"/>
      <w:r>
        <w:rPr>
          <w:rFonts w:cs="Arial"/>
        </w:rPr>
        <w:t xml:space="preserve"> </w:t>
      </w:r>
      <w:hyperlink r:id="rId117" w:history="1">
        <w:r w:rsidRPr="00D55382">
          <w:rPr>
            <w:rStyle w:val="Hyperlink"/>
            <w:rFonts w:cs="Arial"/>
          </w:rPr>
          <w:t>http://www.agriculture.gov.au/abares/publications/display?url=http://143.188.17.20/anrdl/DAFFService/display.php?fid=pb_fsr11d9abm_0022011_11a.xml</w:t>
        </w:r>
      </w:hyperlink>
      <w:r>
        <w:rPr>
          <w:rFonts w:cs="Arial"/>
        </w:rPr>
        <w:t xml:space="preserve">. </w:t>
      </w:r>
      <w:proofErr w:type="gramStart"/>
      <w:r>
        <w:rPr>
          <w:rFonts w:cs="Arial"/>
        </w:rPr>
        <w:t>Accessed 17 December 2015.</w:t>
      </w:r>
      <w:proofErr w:type="gramEnd"/>
    </w:p>
    <w:p w:rsidR="004C12E4" w:rsidRPr="00DD2AD8" w:rsidRDefault="004C12E4" w:rsidP="004C12E4">
      <w:pPr>
        <w:autoSpaceDE w:val="0"/>
        <w:autoSpaceDN w:val="0"/>
        <w:adjustRightInd w:val="0"/>
        <w:spacing w:after="120" w:line="240" w:lineRule="auto"/>
        <w:rPr>
          <w:rFonts w:cs="Arial"/>
          <w:color w:val="000000"/>
          <w:lang w:eastAsia="en-AU"/>
        </w:rPr>
      </w:pPr>
      <w:proofErr w:type="gramStart"/>
      <w:r w:rsidRPr="00DD2AD8">
        <w:rPr>
          <w:rFonts w:cs="Arial"/>
          <w:color w:val="000000"/>
          <w:lang w:eastAsia="en-AU"/>
        </w:rPr>
        <w:t>FAO (Food and Agriculture Organisation) (2014a) Deep-sea ecosystems.</w:t>
      </w:r>
      <w:proofErr w:type="gramEnd"/>
      <w:r w:rsidRPr="00DD2AD8">
        <w:rPr>
          <w:rFonts w:cs="Arial"/>
          <w:color w:val="000000"/>
          <w:lang w:eastAsia="en-AU"/>
        </w:rPr>
        <w:t xml:space="preserve"> </w:t>
      </w:r>
      <w:hyperlink r:id="rId118" w:history="1">
        <w:r w:rsidRPr="00DD2AD8">
          <w:rPr>
            <w:rStyle w:val="Hyperlink"/>
            <w:rFonts w:cs="Arial"/>
            <w:lang w:eastAsia="en-AU"/>
          </w:rPr>
          <w:t>http://www.fao.org/fishery/topic/166310/en</w:t>
        </w:r>
      </w:hyperlink>
      <w:r w:rsidRPr="00DD2AD8">
        <w:rPr>
          <w:rFonts w:cs="Arial"/>
          <w:color w:val="000000"/>
          <w:lang w:eastAsia="en-AU"/>
        </w:rPr>
        <w:t xml:space="preserve">. </w:t>
      </w:r>
      <w:proofErr w:type="gramStart"/>
      <w:r w:rsidRPr="00DD2AD8">
        <w:rPr>
          <w:rFonts w:cs="Arial"/>
          <w:color w:val="000000"/>
          <w:lang w:eastAsia="en-AU"/>
        </w:rPr>
        <w:t>Accessed 18 December 2015</w:t>
      </w:r>
      <w:r>
        <w:rPr>
          <w:rFonts w:cs="Arial"/>
          <w:color w:val="000000"/>
          <w:lang w:eastAsia="en-AU"/>
        </w:rPr>
        <w:t>.</w:t>
      </w:r>
      <w:proofErr w:type="gramEnd"/>
    </w:p>
    <w:p w:rsidR="004C12E4" w:rsidRPr="00DD2AD8" w:rsidRDefault="004C12E4" w:rsidP="004C12E4">
      <w:pPr>
        <w:autoSpaceDE w:val="0"/>
        <w:autoSpaceDN w:val="0"/>
        <w:adjustRightInd w:val="0"/>
        <w:spacing w:after="120" w:line="240" w:lineRule="auto"/>
        <w:rPr>
          <w:rFonts w:cs="Arial"/>
          <w:color w:val="000000"/>
          <w:lang w:eastAsia="en-AU"/>
        </w:rPr>
      </w:pPr>
      <w:proofErr w:type="gramStart"/>
      <w:r w:rsidRPr="00DD2AD8">
        <w:rPr>
          <w:rFonts w:cs="Arial"/>
          <w:color w:val="000000"/>
          <w:lang w:eastAsia="en-AU"/>
        </w:rPr>
        <w:t>FAO (Food and Agriculture Organisation) (2014b) International Guidelines for the Management of Deep-sea Fisheries in the High Seas.</w:t>
      </w:r>
      <w:proofErr w:type="gramEnd"/>
      <w:r w:rsidRPr="00DD2AD8">
        <w:rPr>
          <w:rFonts w:cs="Arial"/>
          <w:color w:val="000000"/>
          <w:lang w:eastAsia="en-AU"/>
        </w:rPr>
        <w:t xml:space="preserve"> </w:t>
      </w:r>
      <w:hyperlink r:id="rId119" w:history="1">
        <w:r w:rsidRPr="00DD2AD8">
          <w:rPr>
            <w:rStyle w:val="Hyperlink"/>
            <w:rFonts w:cs="Arial"/>
            <w:lang w:eastAsia="en-AU"/>
          </w:rPr>
          <w:t>http://www.fao.org/docrep/011/i0816t/i0816t00.htm</w:t>
        </w:r>
      </w:hyperlink>
      <w:r w:rsidRPr="00DD2AD8">
        <w:rPr>
          <w:rFonts w:cs="Arial"/>
          <w:color w:val="000000"/>
          <w:lang w:eastAsia="en-AU"/>
        </w:rPr>
        <w:t xml:space="preserve"> Accessed 18 December 2015</w:t>
      </w:r>
      <w:r>
        <w:rPr>
          <w:rFonts w:cs="Arial"/>
          <w:color w:val="000000"/>
          <w:lang w:eastAsia="en-AU"/>
        </w:rPr>
        <w:t>.</w:t>
      </w:r>
    </w:p>
    <w:p w:rsidR="004C12E4" w:rsidRPr="00815013" w:rsidRDefault="004C12E4" w:rsidP="004C12E4">
      <w:pPr>
        <w:pStyle w:val="ListBullet"/>
        <w:numPr>
          <w:ilvl w:val="0"/>
          <w:numId w:val="0"/>
        </w:numPr>
        <w:spacing w:after="120" w:line="240" w:lineRule="auto"/>
        <w:rPr>
          <w:rFonts w:cs="Arial"/>
        </w:rPr>
      </w:pPr>
      <w:r w:rsidRPr="0099692C">
        <w:rPr>
          <w:rFonts w:cs="Arial"/>
          <w:color w:val="000000"/>
          <w:lang w:eastAsia="en-AU"/>
        </w:rPr>
        <w:t>AFMA (Australian Fisheries Management Authority) and AAD (Australian Antarctic Division)</w:t>
      </w:r>
      <w:r>
        <w:rPr>
          <w:rFonts w:cs="Arial"/>
          <w:color w:val="000000"/>
          <w:lang w:eastAsia="en-AU"/>
        </w:rPr>
        <w:t xml:space="preserve"> </w:t>
      </w:r>
      <w:hyperlink r:id="rId120" w:history="1">
        <w:r w:rsidRPr="00A6628D">
          <w:rPr>
            <w:rStyle w:val="Hyperlink"/>
            <w:rFonts w:cs="Arial"/>
          </w:rPr>
          <w:t xml:space="preserve">Guide to CCAMLR </w:t>
        </w:r>
        <w:r>
          <w:rPr>
            <w:rStyle w:val="Hyperlink"/>
            <w:rFonts w:cs="Arial"/>
          </w:rPr>
          <w:t>N</w:t>
        </w:r>
        <w:r w:rsidRPr="00A6628D">
          <w:rPr>
            <w:rStyle w:val="Hyperlink"/>
            <w:rFonts w:cs="Arial"/>
          </w:rPr>
          <w:t xml:space="preserve">ew and </w:t>
        </w:r>
        <w:r>
          <w:rPr>
            <w:rStyle w:val="Hyperlink"/>
            <w:rFonts w:cs="Arial"/>
          </w:rPr>
          <w:t>E</w:t>
        </w:r>
        <w:r w:rsidRPr="00A6628D">
          <w:rPr>
            <w:rStyle w:val="Hyperlink"/>
            <w:rFonts w:cs="Arial"/>
          </w:rPr>
          <w:t>xploratory Fisheries February 2015</w:t>
        </w:r>
      </w:hyperlink>
      <w:r w:rsidRPr="00815013">
        <w:rPr>
          <w:rFonts w:cs="Arial"/>
        </w:rPr>
        <w:t xml:space="preserve"> </w:t>
      </w:r>
    </w:p>
    <w:p w:rsidR="004C12E4" w:rsidRPr="00815013" w:rsidRDefault="004C12E4" w:rsidP="004C12E4">
      <w:pPr>
        <w:pStyle w:val="ListBullet"/>
        <w:numPr>
          <w:ilvl w:val="0"/>
          <w:numId w:val="0"/>
        </w:numPr>
        <w:spacing w:after="120" w:line="240" w:lineRule="auto"/>
        <w:rPr>
          <w:rFonts w:cs="Arial"/>
        </w:rPr>
      </w:pPr>
      <w:r w:rsidRPr="0099692C">
        <w:rPr>
          <w:rFonts w:cs="Arial"/>
          <w:color w:val="000000"/>
          <w:lang w:eastAsia="en-AU"/>
        </w:rPr>
        <w:t xml:space="preserve">CCAMLR (Commission for the Conservation of Antarctic Marine Living Resources) </w:t>
      </w:r>
      <w:hyperlink r:id="rId121" w:history="1">
        <w:r w:rsidRPr="00A6628D">
          <w:rPr>
            <w:rStyle w:val="Hyperlink"/>
            <w:rFonts w:cs="Arial"/>
          </w:rPr>
          <w:t xml:space="preserve">Schedule of Conservation Measures in </w:t>
        </w:r>
        <w:r>
          <w:rPr>
            <w:rStyle w:val="Hyperlink"/>
            <w:rFonts w:cs="Arial"/>
          </w:rPr>
          <w:t>F</w:t>
        </w:r>
        <w:r w:rsidRPr="00A6628D">
          <w:rPr>
            <w:rStyle w:val="Hyperlink"/>
            <w:rFonts w:cs="Arial"/>
          </w:rPr>
          <w:t>orce 2015/16 Season</w:t>
        </w:r>
      </w:hyperlink>
      <w:r>
        <w:t>. Accessed 21 December 2015.</w:t>
      </w:r>
    </w:p>
    <w:p w:rsidR="004C12E4" w:rsidRPr="00815013" w:rsidRDefault="004C12E4" w:rsidP="004C12E4">
      <w:pPr>
        <w:pStyle w:val="ListBullet"/>
        <w:numPr>
          <w:ilvl w:val="0"/>
          <w:numId w:val="0"/>
        </w:numPr>
        <w:spacing w:after="120" w:line="240" w:lineRule="auto"/>
        <w:rPr>
          <w:rFonts w:cs="Arial"/>
        </w:rPr>
      </w:pPr>
      <w:r w:rsidRPr="0099692C">
        <w:rPr>
          <w:rFonts w:cs="Arial"/>
          <w:color w:val="000000"/>
          <w:lang w:eastAsia="en-AU"/>
        </w:rPr>
        <w:t xml:space="preserve">CCAMLR (Commission for the Conservation of Antarctic Marine Living Resources) </w:t>
      </w:r>
      <w:hyperlink r:id="rId122" w:history="1">
        <w:r w:rsidRPr="00A6628D">
          <w:rPr>
            <w:rStyle w:val="Hyperlink"/>
            <w:rFonts w:cs="Arial"/>
          </w:rPr>
          <w:t xml:space="preserve">Fishery Report 2014: Exploratory Fishery for </w:t>
        </w:r>
        <w:proofErr w:type="spellStart"/>
        <w:r w:rsidRPr="00A6628D">
          <w:rPr>
            <w:rStyle w:val="Hyperlink"/>
            <w:rFonts w:cs="Arial"/>
            <w:i/>
          </w:rPr>
          <w:t>Dissostichus</w:t>
        </w:r>
        <w:proofErr w:type="spellEnd"/>
        <w:r w:rsidRPr="00A6628D">
          <w:rPr>
            <w:rStyle w:val="Hyperlink"/>
            <w:rFonts w:cs="Arial"/>
          </w:rPr>
          <w:t xml:space="preserve"> spp. in Division 58.4.1</w:t>
        </w:r>
      </w:hyperlink>
      <w:r>
        <w:t>. Accessed 21 December 2015.</w:t>
      </w:r>
    </w:p>
    <w:p w:rsidR="004C12E4" w:rsidRPr="00815013" w:rsidRDefault="004C12E4" w:rsidP="004C12E4">
      <w:pPr>
        <w:pStyle w:val="ListBullet"/>
        <w:numPr>
          <w:ilvl w:val="0"/>
          <w:numId w:val="0"/>
        </w:numPr>
        <w:spacing w:after="120" w:line="240" w:lineRule="auto"/>
        <w:rPr>
          <w:rFonts w:cs="Arial"/>
        </w:rPr>
      </w:pPr>
      <w:r w:rsidRPr="0099692C">
        <w:rPr>
          <w:rFonts w:cs="Arial"/>
          <w:color w:val="000000"/>
          <w:lang w:eastAsia="en-AU"/>
        </w:rPr>
        <w:t xml:space="preserve">CCAMLR (Commission for the Conservation of Antarctic Marine Living Resources) </w:t>
      </w:r>
      <w:hyperlink r:id="rId123" w:history="1">
        <w:r w:rsidRPr="00A6628D">
          <w:rPr>
            <w:rStyle w:val="Hyperlink"/>
            <w:rFonts w:cs="Arial"/>
          </w:rPr>
          <w:t xml:space="preserve">Fishery Report 2014: Exploratory Fishery for </w:t>
        </w:r>
        <w:proofErr w:type="spellStart"/>
        <w:r w:rsidRPr="00A6628D">
          <w:rPr>
            <w:rStyle w:val="Hyperlink"/>
            <w:rFonts w:cs="Arial"/>
            <w:i/>
          </w:rPr>
          <w:t>Dissostichus</w:t>
        </w:r>
        <w:proofErr w:type="spellEnd"/>
        <w:r w:rsidRPr="00A6628D">
          <w:rPr>
            <w:rStyle w:val="Hyperlink"/>
            <w:rFonts w:cs="Arial"/>
          </w:rPr>
          <w:t xml:space="preserve"> spp. in Division 58.4.2</w:t>
        </w:r>
      </w:hyperlink>
      <w:r>
        <w:t>. Accessed 21 December 2015.</w:t>
      </w:r>
    </w:p>
    <w:p w:rsidR="004C12E4" w:rsidRDefault="004C12E4">
      <w:pPr>
        <w:spacing w:after="0" w:line="240" w:lineRule="auto"/>
        <w:rPr>
          <w:rFonts w:cs="Arial"/>
          <w:highlight w:val="yellow"/>
        </w:rPr>
      </w:pPr>
    </w:p>
    <w:p w:rsidR="004C12E4" w:rsidRDefault="004C12E4">
      <w:pPr>
        <w:spacing w:after="0" w:line="240" w:lineRule="auto"/>
        <w:rPr>
          <w:rFonts w:cs="Arial"/>
          <w:highlight w:val="yellow"/>
        </w:rPr>
      </w:pPr>
    </w:p>
    <w:p w:rsidR="00954B04" w:rsidRDefault="00954B04">
      <w:pPr>
        <w:spacing w:after="0" w:line="240" w:lineRule="auto"/>
        <w:rPr>
          <w:rFonts w:cs="Arial"/>
          <w:b/>
        </w:rPr>
      </w:pPr>
      <w:r>
        <w:br w:type="page"/>
      </w:r>
    </w:p>
    <w:p w:rsidR="004C12E4" w:rsidRPr="004609B1" w:rsidRDefault="004C12E4" w:rsidP="004C12E4">
      <w:pPr>
        <w:pStyle w:val="Heading1"/>
      </w:pPr>
      <w:bookmarkStart w:id="12" w:name="_Toc438626359"/>
      <w:r w:rsidRPr="004609B1">
        <w:t>Acronyms</w:t>
      </w:r>
      <w:bookmarkEnd w:id="1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668"/>
        <w:gridCol w:w="7760"/>
      </w:tblGrid>
      <w:tr w:rsidR="004C12E4" w:rsidRPr="0005354A" w:rsidTr="00954B04">
        <w:trPr>
          <w:cnfStyle w:val="100000000000"/>
        </w:trPr>
        <w:tc>
          <w:tcPr>
            <w:tcW w:w="1668" w:type="dxa"/>
          </w:tcPr>
          <w:p w:rsidR="004C12E4" w:rsidRPr="0005354A" w:rsidRDefault="004C12E4" w:rsidP="00954B04">
            <w:pPr>
              <w:tabs>
                <w:tab w:val="left" w:pos="360"/>
              </w:tabs>
              <w:spacing w:after="120" w:line="240" w:lineRule="auto"/>
              <w:rPr>
                <w:rFonts w:cs="Arial"/>
              </w:rPr>
            </w:pPr>
            <w:r w:rsidRPr="0005354A">
              <w:rPr>
                <w:rFonts w:cs="Arial"/>
              </w:rPr>
              <w:t>AAD</w:t>
            </w:r>
          </w:p>
        </w:tc>
        <w:tc>
          <w:tcPr>
            <w:tcW w:w="7760" w:type="dxa"/>
          </w:tcPr>
          <w:p w:rsidR="004C12E4" w:rsidRPr="0005354A" w:rsidRDefault="004C12E4" w:rsidP="00954B04">
            <w:pPr>
              <w:tabs>
                <w:tab w:val="left" w:pos="360"/>
              </w:tabs>
              <w:spacing w:after="120" w:line="240" w:lineRule="auto"/>
              <w:rPr>
                <w:rFonts w:cs="Arial"/>
                <w:snapToGrid w:val="0"/>
              </w:rPr>
            </w:pPr>
            <w:r w:rsidRPr="0005354A">
              <w:rPr>
                <w:rFonts w:cs="Arial"/>
                <w:snapToGrid w:val="0"/>
              </w:rPr>
              <w:t>Australian Antarctic Division</w:t>
            </w:r>
          </w:p>
        </w:tc>
      </w:tr>
      <w:tr w:rsidR="004C12E4" w:rsidRPr="0005354A" w:rsidTr="00954B04">
        <w:trPr>
          <w:cnfStyle w:val="000000100000"/>
        </w:trPr>
        <w:tc>
          <w:tcPr>
            <w:tcW w:w="1668" w:type="dxa"/>
          </w:tcPr>
          <w:p w:rsidR="004C12E4" w:rsidRPr="0005354A" w:rsidRDefault="004C12E4" w:rsidP="00954B04">
            <w:pPr>
              <w:tabs>
                <w:tab w:val="left" w:pos="360"/>
              </w:tabs>
              <w:spacing w:after="120" w:line="240" w:lineRule="auto"/>
              <w:rPr>
                <w:rFonts w:cs="Arial"/>
              </w:rPr>
            </w:pPr>
            <w:r w:rsidRPr="0005354A">
              <w:rPr>
                <w:rFonts w:cs="Arial"/>
              </w:rPr>
              <w:t>AFMA</w:t>
            </w:r>
          </w:p>
        </w:tc>
        <w:tc>
          <w:tcPr>
            <w:tcW w:w="7760" w:type="dxa"/>
          </w:tcPr>
          <w:p w:rsidR="004C12E4" w:rsidRPr="0005354A" w:rsidRDefault="004C12E4" w:rsidP="00954B04">
            <w:pPr>
              <w:tabs>
                <w:tab w:val="left" w:pos="360"/>
              </w:tabs>
              <w:spacing w:after="120" w:line="240" w:lineRule="auto"/>
              <w:rPr>
                <w:rFonts w:cs="Arial"/>
                <w:snapToGrid w:val="0"/>
              </w:rPr>
            </w:pPr>
            <w:r w:rsidRPr="0005354A">
              <w:rPr>
                <w:rFonts w:cs="Arial"/>
                <w:snapToGrid w:val="0"/>
              </w:rPr>
              <w:t>Australian Fisheries Management Authority</w:t>
            </w:r>
          </w:p>
        </w:tc>
      </w:tr>
      <w:tr w:rsidR="004C12E4" w:rsidRPr="0005354A" w:rsidTr="00954B04">
        <w:trPr>
          <w:cnfStyle w:val="000000010000"/>
        </w:trPr>
        <w:tc>
          <w:tcPr>
            <w:tcW w:w="1668" w:type="dxa"/>
          </w:tcPr>
          <w:p w:rsidR="004C12E4" w:rsidRPr="0005354A" w:rsidRDefault="004C12E4" w:rsidP="00954B04">
            <w:pPr>
              <w:tabs>
                <w:tab w:val="left" w:pos="360"/>
              </w:tabs>
              <w:spacing w:after="120" w:line="240" w:lineRule="auto"/>
              <w:rPr>
                <w:rFonts w:cs="Arial"/>
              </w:rPr>
            </w:pPr>
            <w:r w:rsidRPr="0005354A">
              <w:rPr>
                <w:rFonts w:cs="Arial"/>
              </w:rPr>
              <w:t>AFZ</w:t>
            </w:r>
          </w:p>
        </w:tc>
        <w:tc>
          <w:tcPr>
            <w:tcW w:w="7760" w:type="dxa"/>
          </w:tcPr>
          <w:p w:rsidR="004C12E4" w:rsidRPr="0005354A" w:rsidRDefault="004C12E4" w:rsidP="00954B04">
            <w:pPr>
              <w:tabs>
                <w:tab w:val="left" w:pos="360"/>
              </w:tabs>
              <w:spacing w:after="120" w:line="240" w:lineRule="auto"/>
              <w:rPr>
                <w:rFonts w:cs="Arial"/>
                <w:snapToGrid w:val="0"/>
              </w:rPr>
            </w:pPr>
            <w:r w:rsidRPr="0005354A">
              <w:rPr>
                <w:rFonts w:cs="Arial"/>
                <w:snapToGrid w:val="0"/>
              </w:rPr>
              <w:t>Australian Fishing Zone</w:t>
            </w:r>
          </w:p>
        </w:tc>
      </w:tr>
      <w:tr w:rsidR="004C12E4" w:rsidRPr="0005354A" w:rsidTr="00954B04">
        <w:trPr>
          <w:cnfStyle w:val="000000100000"/>
        </w:trPr>
        <w:tc>
          <w:tcPr>
            <w:tcW w:w="1668" w:type="dxa"/>
          </w:tcPr>
          <w:p w:rsidR="004C12E4" w:rsidRPr="0005354A" w:rsidRDefault="004C12E4" w:rsidP="00954B04">
            <w:pPr>
              <w:tabs>
                <w:tab w:val="left" w:pos="360"/>
              </w:tabs>
              <w:spacing w:after="120" w:line="240" w:lineRule="auto"/>
              <w:rPr>
                <w:rFonts w:cs="Arial"/>
              </w:rPr>
            </w:pPr>
            <w:r w:rsidRPr="0005354A">
              <w:rPr>
                <w:rFonts w:cs="Arial"/>
              </w:rPr>
              <w:t>CCAMLR</w:t>
            </w:r>
          </w:p>
        </w:tc>
        <w:tc>
          <w:tcPr>
            <w:tcW w:w="7760" w:type="dxa"/>
          </w:tcPr>
          <w:p w:rsidR="004C12E4" w:rsidRPr="0005354A" w:rsidRDefault="004C12E4" w:rsidP="00954B04">
            <w:pPr>
              <w:tabs>
                <w:tab w:val="left" w:pos="360"/>
              </w:tabs>
              <w:spacing w:after="120" w:line="240" w:lineRule="auto"/>
              <w:rPr>
                <w:rFonts w:cs="Arial"/>
                <w:snapToGrid w:val="0"/>
              </w:rPr>
            </w:pPr>
            <w:r w:rsidRPr="0005354A">
              <w:t>Commission for the Conservation of Antarctic Marine Living Resources</w:t>
            </w:r>
          </w:p>
        </w:tc>
      </w:tr>
      <w:tr w:rsidR="004C12E4" w:rsidRPr="0005354A" w:rsidTr="00954B04">
        <w:trPr>
          <w:cnfStyle w:val="000000010000"/>
        </w:trPr>
        <w:tc>
          <w:tcPr>
            <w:tcW w:w="1668" w:type="dxa"/>
          </w:tcPr>
          <w:p w:rsidR="004C12E4" w:rsidRPr="0005354A" w:rsidRDefault="004C12E4" w:rsidP="00954B04">
            <w:pPr>
              <w:tabs>
                <w:tab w:val="left" w:pos="360"/>
              </w:tabs>
              <w:spacing w:after="120" w:line="240" w:lineRule="auto"/>
              <w:rPr>
                <w:rFonts w:cs="Arial"/>
              </w:rPr>
            </w:pPr>
            <w:r w:rsidRPr="0005354A">
              <w:rPr>
                <w:rFonts w:cs="Arial"/>
              </w:rPr>
              <w:t>CITES</w:t>
            </w:r>
          </w:p>
        </w:tc>
        <w:tc>
          <w:tcPr>
            <w:tcW w:w="7760" w:type="dxa"/>
          </w:tcPr>
          <w:p w:rsidR="004C12E4" w:rsidRPr="0005354A" w:rsidRDefault="004C12E4" w:rsidP="00954B04">
            <w:pPr>
              <w:tabs>
                <w:tab w:val="left" w:pos="360"/>
              </w:tabs>
              <w:spacing w:after="120" w:line="240" w:lineRule="auto"/>
              <w:rPr>
                <w:rFonts w:cs="Arial"/>
              </w:rPr>
            </w:pPr>
            <w:r w:rsidRPr="0005354A">
              <w:rPr>
                <w:rFonts w:cs="Arial"/>
                <w:snapToGrid w:val="0"/>
              </w:rPr>
              <w:t>Convention on International Trade in Endangered Species of Wild Fauna and Flora</w:t>
            </w:r>
          </w:p>
        </w:tc>
      </w:tr>
      <w:tr w:rsidR="004C12E4" w:rsidRPr="0005354A" w:rsidTr="00954B04">
        <w:trPr>
          <w:cnfStyle w:val="000000100000"/>
        </w:trPr>
        <w:tc>
          <w:tcPr>
            <w:tcW w:w="1668" w:type="dxa"/>
          </w:tcPr>
          <w:p w:rsidR="004C12E4" w:rsidRPr="0005354A" w:rsidRDefault="004C12E4" w:rsidP="00954B04">
            <w:pPr>
              <w:tabs>
                <w:tab w:val="left" w:pos="360"/>
              </w:tabs>
              <w:spacing w:after="120" w:line="240" w:lineRule="auto"/>
              <w:rPr>
                <w:rFonts w:cs="Arial"/>
              </w:rPr>
            </w:pPr>
            <w:r w:rsidRPr="0005354A">
              <w:rPr>
                <w:rFonts w:cs="Arial"/>
              </w:rPr>
              <w:t>CM</w:t>
            </w:r>
          </w:p>
        </w:tc>
        <w:tc>
          <w:tcPr>
            <w:tcW w:w="7760" w:type="dxa"/>
          </w:tcPr>
          <w:p w:rsidR="004C12E4" w:rsidRPr="0005354A" w:rsidRDefault="004C12E4" w:rsidP="00954B04">
            <w:pPr>
              <w:tabs>
                <w:tab w:val="left" w:pos="360"/>
              </w:tabs>
              <w:spacing w:after="120" w:line="240" w:lineRule="auto"/>
              <w:rPr>
                <w:rFonts w:cs="Arial"/>
                <w:iCs/>
              </w:rPr>
            </w:pPr>
            <w:r w:rsidRPr="0005354A">
              <w:rPr>
                <w:rFonts w:cs="Arial"/>
                <w:iCs/>
              </w:rPr>
              <w:t xml:space="preserve">Conservation </w:t>
            </w:r>
            <w:r>
              <w:rPr>
                <w:rFonts w:cs="Arial"/>
                <w:iCs/>
              </w:rPr>
              <w:t>m</w:t>
            </w:r>
            <w:r w:rsidRPr="0005354A">
              <w:rPr>
                <w:rFonts w:cs="Arial"/>
                <w:iCs/>
              </w:rPr>
              <w:t>easure</w:t>
            </w:r>
          </w:p>
        </w:tc>
      </w:tr>
      <w:tr w:rsidR="004C12E4" w:rsidRPr="0005354A" w:rsidTr="00954B04">
        <w:trPr>
          <w:cnfStyle w:val="000000010000"/>
        </w:trPr>
        <w:tc>
          <w:tcPr>
            <w:tcW w:w="1668" w:type="dxa"/>
          </w:tcPr>
          <w:p w:rsidR="004C12E4" w:rsidRPr="0005354A" w:rsidRDefault="004C12E4" w:rsidP="00954B04">
            <w:pPr>
              <w:tabs>
                <w:tab w:val="left" w:pos="360"/>
              </w:tabs>
              <w:spacing w:after="120" w:line="240" w:lineRule="auto"/>
              <w:rPr>
                <w:rFonts w:cs="Arial"/>
              </w:rPr>
            </w:pPr>
            <w:r w:rsidRPr="0005354A">
              <w:rPr>
                <w:rFonts w:cs="Arial"/>
              </w:rPr>
              <w:t>EEZ</w:t>
            </w:r>
          </w:p>
        </w:tc>
        <w:tc>
          <w:tcPr>
            <w:tcW w:w="7760" w:type="dxa"/>
          </w:tcPr>
          <w:p w:rsidR="004C12E4" w:rsidRPr="0005354A" w:rsidRDefault="004C12E4" w:rsidP="00954B04">
            <w:pPr>
              <w:tabs>
                <w:tab w:val="left" w:pos="360"/>
              </w:tabs>
              <w:spacing w:after="120" w:line="240" w:lineRule="auto"/>
              <w:rPr>
                <w:rFonts w:cs="Arial"/>
                <w:iCs/>
              </w:rPr>
            </w:pPr>
            <w:r w:rsidRPr="0005354A">
              <w:rPr>
                <w:rFonts w:cs="Arial"/>
                <w:iCs/>
              </w:rPr>
              <w:t>Exclusive Economic Zone</w:t>
            </w:r>
          </w:p>
        </w:tc>
      </w:tr>
      <w:tr w:rsidR="004C12E4" w:rsidRPr="0005354A" w:rsidTr="00954B04">
        <w:trPr>
          <w:cnfStyle w:val="000000100000"/>
        </w:trPr>
        <w:tc>
          <w:tcPr>
            <w:tcW w:w="1668" w:type="dxa"/>
          </w:tcPr>
          <w:p w:rsidR="004C12E4" w:rsidRPr="0005354A" w:rsidRDefault="004C12E4" w:rsidP="00954B04">
            <w:pPr>
              <w:tabs>
                <w:tab w:val="left" w:pos="360"/>
              </w:tabs>
              <w:spacing w:after="120" w:line="240" w:lineRule="auto"/>
              <w:rPr>
                <w:rFonts w:cs="Arial"/>
              </w:rPr>
            </w:pPr>
            <w:r w:rsidRPr="0005354A">
              <w:rPr>
                <w:rFonts w:cs="Arial"/>
              </w:rPr>
              <w:t>EPBC Act</w:t>
            </w:r>
          </w:p>
        </w:tc>
        <w:tc>
          <w:tcPr>
            <w:tcW w:w="7760" w:type="dxa"/>
          </w:tcPr>
          <w:p w:rsidR="004C12E4" w:rsidRPr="0005354A" w:rsidRDefault="004C12E4" w:rsidP="00954B04">
            <w:pPr>
              <w:tabs>
                <w:tab w:val="left" w:pos="360"/>
              </w:tabs>
              <w:spacing w:after="120" w:line="240" w:lineRule="auto"/>
              <w:rPr>
                <w:rFonts w:cs="Arial"/>
              </w:rPr>
            </w:pPr>
            <w:r w:rsidRPr="0005354A">
              <w:rPr>
                <w:rFonts w:cs="Arial"/>
                <w:i/>
                <w:iCs/>
              </w:rPr>
              <w:t>Environment Protection and Biodiversity Conservation Act 1999 (</w:t>
            </w:r>
            <w:proofErr w:type="spellStart"/>
            <w:r w:rsidRPr="0005354A">
              <w:rPr>
                <w:rFonts w:cs="Arial"/>
                <w:i/>
                <w:iCs/>
              </w:rPr>
              <w:t>Cwlth</w:t>
            </w:r>
            <w:proofErr w:type="spellEnd"/>
            <w:r w:rsidRPr="0005354A">
              <w:rPr>
                <w:rFonts w:cs="Arial"/>
                <w:i/>
                <w:iCs/>
              </w:rPr>
              <w:t>)</w:t>
            </w:r>
          </w:p>
        </w:tc>
      </w:tr>
      <w:tr w:rsidR="004C12E4" w:rsidRPr="0005354A" w:rsidTr="00954B04">
        <w:trPr>
          <w:cnfStyle w:val="000000010000"/>
        </w:trPr>
        <w:tc>
          <w:tcPr>
            <w:tcW w:w="1668" w:type="dxa"/>
          </w:tcPr>
          <w:p w:rsidR="004C12E4" w:rsidRPr="0005354A" w:rsidRDefault="004C12E4" w:rsidP="00954B04">
            <w:pPr>
              <w:tabs>
                <w:tab w:val="left" w:pos="360"/>
              </w:tabs>
              <w:spacing w:after="120" w:line="240" w:lineRule="auto"/>
              <w:rPr>
                <w:rFonts w:cs="Arial"/>
              </w:rPr>
            </w:pPr>
            <w:r w:rsidRPr="0005354A">
              <w:rPr>
                <w:rFonts w:cs="Arial"/>
              </w:rPr>
              <w:t>FAO</w:t>
            </w:r>
          </w:p>
        </w:tc>
        <w:tc>
          <w:tcPr>
            <w:tcW w:w="7760" w:type="dxa"/>
          </w:tcPr>
          <w:p w:rsidR="004C12E4" w:rsidRPr="0005354A" w:rsidRDefault="004C12E4" w:rsidP="00954B04">
            <w:pPr>
              <w:tabs>
                <w:tab w:val="left" w:pos="360"/>
              </w:tabs>
              <w:spacing w:after="120" w:line="240" w:lineRule="auto"/>
              <w:rPr>
                <w:rFonts w:cs="Arial"/>
                <w:i/>
                <w:iCs/>
              </w:rPr>
            </w:pPr>
            <w:r w:rsidRPr="0005354A">
              <w:rPr>
                <w:rFonts w:cs="Arial"/>
                <w:color w:val="000000"/>
                <w:lang w:eastAsia="en-AU"/>
              </w:rPr>
              <w:t>Food and Agriculture Organisation</w:t>
            </w:r>
          </w:p>
        </w:tc>
      </w:tr>
      <w:tr w:rsidR="004C12E4" w:rsidRPr="0005354A" w:rsidTr="00954B04">
        <w:trPr>
          <w:cnfStyle w:val="000000100000"/>
        </w:trPr>
        <w:tc>
          <w:tcPr>
            <w:tcW w:w="1668" w:type="dxa"/>
          </w:tcPr>
          <w:p w:rsidR="004C12E4" w:rsidRPr="0005354A" w:rsidRDefault="004C12E4" w:rsidP="00954B04">
            <w:pPr>
              <w:tabs>
                <w:tab w:val="left" w:pos="360"/>
              </w:tabs>
              <w:spacing w:after="120" w:line="240" w:lineRule="auto"/>
              <w:rPr>
                <w:rFonts w:cs="Arial"/>
              </w:rPr>
            </w:pPr>
            <w:r w:rsidRPr="0005354A">
              <w:rPr>
                <w:rFonts w:cs="Arial"/>
              </w:rPr>
              <w:t>FM Act</w:t>
            </w:r>
          </w:p>
        </w:tc>
        <w:tc>
          <w:tcPr>
            <w:tcW w:w="7760" w:type="dxa"/>
          </w:tcPr>
          <w:p w:rsidR="004C12E4" w:rsidRPr="0005354A" w:rsidRDefault="004C12E4" w:rsidP="00954B04">
            <w:pPr>
              <w:tabs>
                <w:tab w:val="left" w:pos="360"/>
              </w:tabs>
              <w:spacing w:after="120" w:line="240" w:lineRule="auto"/>
              <w:rPr>
                <w:rFonts w:cs="Arial"/>
                <w:i/>
                <w:iCs/>
              </w:rPr>
            </w:pPr>
            <w:r w:rsidRPr="0005354A">
              <w:rPr>
                <w:rFonts w:cs="Arial"/>
                <w:i/>
                <w:iCs/>
              </w:rPr>
              <w:t>Fisheries Management Act 1991 (</w:t>
            </w:r>
            <w:proofErr w:type="spellStart"/>
            <w:r w:rsidRPr="0005354A">
              <w:rPr>
                <w:rFonts w:cs="Arial"/>
                <w:i/>
                <w:iCs/>
              </w:rPr>
              <w:t>Cwlth</w:t>
            </w:r>
            <w:proofErr w:type="spellEnd"/>
            <w:r w:rsidRPr="0005354A">
              <w:rPr>
                <w:rFonts w:cs="Arial"/>
                <w:i/>
                <w:iCs/>
              </w:rPr>
              <w:t>)</w:t>
            </w:r>
          </w:p>
        </w:tc>
      </w:tr>
      <w:tr w:rsidR="004C12E4" w:rsidRPr="0005354A" w:rsidTr="00954B04">
        <w:trPr>
          <w:cnfStyle w:val="000000010000"/>
        </w:trPr>
        <w:tc>
          <w:tcPr>
            <w:tcW w:w="1668" w:type="dxa"/>
          </w:tcPr>
          <w:p w:rsidR="004C12E4" w:rsidRPr="0005354A" w:rsidRDefault="004C12E4" w:rsidP="00954B04">
            <w:pPr>
              <w:tabs>
                <w:tab w:val="left" w:pos="360"/>
              </w:tabs>
              <w:spacing w:after="120" w:line="240" w:lineRule="auto"/>
              <w:rPr>
                <w:rFonts w:cs="Arial"/>
              </w:rPr>
            </w:pPr>
            <w:r w:rsidRPr="0005354A">
              <w:rPr>
                <w:rFonts w:cs="Arial"/>
              </w:rPr>
              <w:t>FM Regulations</w:t>
            </w:r>
          </w:p>
        </w:tc>
        <w:tc>
          <w:tcPr>
            <w:tcW w:w="7760" w:type="dxa"/>
          </w:tcPr>
          <w:p w:rsidR="004C12E4" w:rsidRPr="0005354A" w:rsidRDefault="004C12E4" w:rsidP="00954B04">
            <w:pPr>
              <w:tabs>
                <w:tab w:val="left" w:pos="360"/>
              </w:tabs>
              <w:spacing w:after="120" w:line="240" w:lineRule="auto"/>
              <w:rPr>
                <w:rFonts w:cs="Arial"/>
                <w:i/>
                <w:iCs/>
              </w:rPr>
            </w:pPr>
            <w:r w:rsidRPr="0005354A">
              <w:rPr>
                <w:rFonts w:cs="Arial"/>
                <w:i/>
                <w:iCs/>
              </w:rPr>
              <w:t>Fisheries Management Regulations 1992 (</w:t>
            </w:r>
            <w:proofErr w:type="spellStart"/>
            <w:r w:rsidRPr="0005354A">
              <w:rPr>
                <w:rFonts w:cs="Arial"/>
                <w:i/>
                <w:iCs/>
              </w:rPr>
              <w:t>Cwlth</w:t>
            </w:r>
            <w:proofErr w:type="spellEnd"/>
            <w:r w:rsidRPr="0005354A">
              <w:rPr>
                <w:rFonts w:cs="Arial"/>
                <w:i/>
                <w:iCs/>
              </w:rPr>
              <w:t>)</w:t>
            </w:r>
          </w:p>
        </w:tc>
      </w:tr>
      <w:tr w:rsidR="004C12E4" w:rsidRPr="0005354A" w:rsidTr="00954B04">
        <w:trPr>
          <w:cnfStyle w:val="000000100000"/>
        </w:trPr>
        <w:tc>
          <w:tcPr>
            <w:tcW w:w="1668" w:type="dxa"/>
          </w:tcPr>
          <w:p w:rsidR="004C12E4" w:rsidRPr="0005354A" w:rsidRDefault="004C12E4" w:rsidP="00954B04">
            <w:pPr>
              <w:tabs>
                <w:tab w:val="left" w:pos="360"/>
              </w:tabs>
              <w:spacing w:after="120" w:line="240" w:lineRule="auto"/>
              <w:rPr>
                <w:rFonts w:cs="Arial"/>
              </w:rPr>
            </w:pPr>
            <w:r w:rsidRPr="0005354A">
              <w:rPr>
                <w:rFonts w:cs="Arial"/>
              </w:rPr>
              <w:t>IUU</w:t>
            </w:r>
          </w:p>
        </w:tc>
        <w:tc>
          <w:tcPr>
            <w:tcW w:w="7760" w:type="dxa"/>
          </w:tcPr>
          <w:p w:rsidR="004C12E4" w:rsidRPr="0005354A" w:rsidRDefault="004C12E4" w:rsidP="00954B04">
            <w:pPr>
              <w:tabs>
                <w:tab w:val="left" w:pos="360"/>
              </w:tabs>
              <w:spacing w:after="120" w:line="240" w:lineRule="auto"/>
              <w:rPr>
                <w:rFonts w:cs="Arial"/>
                <w:iCs/>
              </w:rPr>
            </w:pPr>
            <w:r w:rsidRPr="0005354A">
              <w:t>Illegal, unreported and unregulated</w:t>
            </w:r>
          </w:p>
        </w:tc>
      </w:tr>
      <w:tr w:rsidR="004C12E4" w:rsidRPr="0005354A" w:rsidTr="00954B04">
        <w:trPr>
          <w:cnfStyle w:val="000000010000"/>
        </w:trPr>
        <w:tc>
          <w:tcPr>
            <w:tcW w:w="1668" w:type="dxa"/>
          </w:tcPr>
          <w:p w:rsidR="004C12E4" w:rsidRPr="0005354A" w:rsidRDefault="004C12E4" w:rsidP="00954B04">
            <w:pPr>
              <w:tabs>
                <w:tab w:val="left" w:pos="360"/>
              </w:tabs>
              <w:spacing w:after="120" w:line="240" w:lineRule="auto"/>
              <w:rPr>
                <w:rFonts w:cs="Arial"/>
              </w:rPr>
            </w:pPr>
            <w:r w:rsidRPr="0005354A">
              <w:rPr>
                <w:rFonts w:cs="Arial"/>
              </w:rPr>
              <w:t>m</w:t>
            </w:r>
          </w:p>
        </w:tc>
        <w:tc>
          <w:tcPr>
            <w:tcW w:w="7760" w:type="dxa"/>
          </w:tcPr>
          <w:p w:rsidR="004C12E4" w:rsidRPr="0005354A" w:rsidRDefault="004C12E4" w:rsidP="00954B04">
            <w:pPr>
              <w:tabs>
                <w:tab w:val="left" w:pos="360"/>
              </w:tabs>
              <w:spacing w:after="120" w:line="240" w:lineRule="auto"/>
            </w:pPr>
            <w:r w:rsidRPr="0005354A">
              <w:t>Metres</w:t>
            </w:r>
          </w:p>
        </w:tc>
      </w:tr>
      <w:tr w:rsidR="004C12E4" w:rsidRPr="0005354A" w:rsidTr="00954B04">
        <w:trPr>
          <w:cnfStyle w:val="000000100000"/>
        </w:trPr>
        <w:tc>
          <w:tcPr>
            <w:tcW w:w="1668" w:type="dxa"/>
          </w:tcPr>
          <w:p w:rsidR="004C12E4" w:rsidRPr="0005354A" w:rsidRDefault="004C12E4" w:rsidP="00954B04">
            <w:pPr>
              <w:tabs>
                <w:tab w:val="left" w:pos="360"/>
              </w:tabs>
              <w:spacing w:after="120" w:line="240" w:lineRule="auto"/>
              <w:rPr>
                <w:rFonts w:cs="Arial"/>
              </w:rPr>
            </w:pPr>
            <w:r w:rsidRPr="0005354A">
              <w:rPr>
                <w:rFonts w:cs="Arial"/>
              </w:rPr>
              <w:t>SARAG</w:t>
            </w:r>
          </w:p>
        </w:tc>
        <w:tc>
          <w:tcPr>
            <w:tcW w:w="7760" w:type="dxa"/>
          </w:tcPr>
          <w:p w:rsidR="004C12E4" w:rsidRPr="0005354A" w:rsidRDefault="004C12E4" w:rsidP="00954B04">
            <w:pPr>
              <w:tabs>
                <w:tab w:val="left" w:pos="360"/>
              </w:tabs>
              <w:spacing w:after="120" w:line="240" w:lineRule="auto"/>
              <w:rPr>
                <w:rFonts w:cs="Arial"/>
                <w:iCs/>
              </w:rPr>
            </w:pPr>
            <w:r w:rsidRPr="0005354A">
              <w:t>Sub-Antarctic Resource Assessment Group</w:t>
            </w:r>
          </w:p>
        </w:tc>
      </w:tr>
      <w:tr w:rsidR="004C12E4" w:rsidRPr="0005354A" w:rsidTr="00954B04">
        <w:trPr>
          <w:cnfStyle w:val="000000010000"/>
        </w:trPr>
        <w:tc>
          <w:tcPr>
            <w:tcW w:w="1668" w:type="dxa"/>
          </w:tcPr>
          <w:p w:rsidR="004C12E4" w:rsidRPr="0005354A" w:rsidRDefault="004C12E4" w:rsidP="00954B04">
            <w:pPr>
              <w:tabs>
                <w:tab w:val="left" w:pos="360"/>
              </w:tabs>
              <w:spacing w:after="120" w:line="240" w:lineRule="auto"/>
              <w:rPr>
                <w:rFonts w:cs="Arial"/>
              </w:rPr>
            </w:pPr>
            <w:proofErr w:type="spellStart"/>
            <w:r w:rsidRPr="0005354A">
              <w:rPr>
                <w:rFonts w:cs="Arial"/>
              </w:rPr>
              <w:t>SouthMAC</w:t>
            </w:r>
            <w:proofErr w:type="spellEnd"/>
          </w:p>
        </w:tc>
        <w:tc>
          <w:tcPr>
            <w:tcW w:w="7760" w:type="dxa"/>
          </w:tcPr>
          <w:p w:rsidR="004C12E4" w:rsidRPr="0005354A" w:rsidRDefault="004C12E4" w:rsidP="00954B04">
            <w:pPr>
              <w:tabs>
                <w:tab w:val="left" w:pos="360"/>
              </w:tabs>
              <w:spacing w:after="120" w:line="240" w:lineRule="auto"/>
              <w:rPr>
                <w:rFonts w:cs="Arial"/>
                <w:iCs/>
              </w:rPr>
            </w:pPr>
            <w:r w:rsidRPr="0005354A">
              <w:t>Sub-Antarctic Fisheries Management Advisory Committee</w:t>
            </w:r>
          </w:p>
        </w:tc>
      </w:tr>
      <w:tr w:rsidR="004C12E4" w:rsidRPr="0005354A" w:rsidTr="00954B04">
        <w:trPr>
          <w:cnfStyle w:val="000000100000"/>
        </w:trPr>
        <w:tc>
          <w:tcPr>
            <w:tcW w:w="1668" w:type="dxa"/>
          </w:tcPr>
          <w:p w:rsidR="004C12E4" w:rsidRPr="0005354A" w:rsidRDefault="004C12E4" w:rsidP="00954B04">
            <w:pPr>
              <w:tabs>
                <w:tab w:val="left" w:pos="360"/>
              </w:tabs>
              <w:spacing w:after="120" w:line="240" w:lineRule="auto"/>
              <w:rPr>
                <w:rFonts w:cs="Arial"/>
              </w:rPr>
            </w:pPr>
            <w:r w:rsidRPr="0005354A">
              <w:rPr>
                <w:rFonts w:cs="Arial"/>
              </w:rPr>
              <w:t>SSRU</w:t>
            </w:r>
          </w:p>
        </w:tc>
        <w:tc>
          <w:tcPr>
            <w:tcW w:w="7760" w:type="dxa"/>
          </w:tcPr>
          <w:p w:rsidR="004C12E4" w:rsidRPr="0005354A" w:rsidRDefault="004C12E4" w:rsidP="00954B04">
            <w:pPr>
              <w:tabs>
                <w:tab w:val="left" w:pos="360"/>
              </w:tabs>
              <w:spacing w:after="120" w:line="240" w:lineRule="auto"/>
              <w:rPr>
                <w:rFonts w:cs="Arial"/>
                <w:iCs/>
              </w:rPr>
            </w:pPr>
            <w:r w:rsidRPr="0005354A">
              <w:rPr>
                <w:rFonts w:cs="Arial"/>
                <w:iCs/>
              </w:rPr>
              <w:t>Small Scale Research Unit</w:t>
            </w:r>
          </w:p>
        </w:tc>
      </w:tr>
      <w:tr w:rsidR="004C12E4" w:rsidRPr="0005354A" w:rsidTr="00954B04">
        <w:trPr>
          <w:cnfStyle w:val="000000010000"/>
        </w:trPr>
        <w:tc>
          <w:tcPr>
            <w:tcW w:w="1668" w:type="dxa"/>
          </w:tcPr>
          <w:p w:rsidR="004C12E4" w:rsidRPr="0005354A" w:rsidRDefault="004C12E4" w:rsidP="00954B04">
            <w:pPr>
              <w:tabs>
                <w:tab w:val="left" w:pos="360"/>
              </w:tabs>
              <w:spacing w:after="120" w:line="240" w:lineRule="auto"/>
              <w:rPr>
                <w:rFonts w:cs="Arial"/>
              </w:rPr>
            </w:pPr>
            <w:r w:rsidRPr="0005354A">
              <w:rPr>
                <w:rFonts w:cs="Arial"/>
              </w:rPr>
              <w:t>t</w:t>
            </w:r>
          </w:p>
        </w:tc>
        <w:tc>
          <w:tcPr>
            <w:tcW w:w="7760" w:type="dxa"/>
          </w:tcPr>
          <w:p w:rsidR="004C12E4" w:rsidRPr="0005354A" w:rsidRDefault="004C12E4" w:rsidP="00954B04">
            <w:pPr>
              <w:tabs>
                <w:tab w:val="left" w:pos="360"/>
              </w:tabs>
              <w:spacing w:after="120" w:line="240" w:lineRule="auto"/>
              <w:rPr>
                <w:rFonts w:cs="Arial"/>
                <w:iCs/>
              </w:rPr>
            </w:pPr>
            <w:r w:rsidRPr="0005354A">
              <w:rPr>
                <w:rFonts w:cs="Arial"/>
                <w:iCs/>
              </w:rPr>
              <w:t>Tonnes</w:t>
            </w:r>
          </w:p>
        </w:tc>
      </w:tr>
      <w:tr w:rsidR="004C12E4" w:rsidRPr="0005354A" w:rsidTr="00954B04">
        <w:trPr>
          <w:cnfStyle w:val="000000100000"/>
        </w:trPr>
        <w:tc>
          <w:tcPr>
            <w:tcW w:w="1668" w:type="dxa"/>
          </w:tcPr>
          <w:p w:rsidR="004C12E4" w:rsidRPr="0005354A" w:rsidRDefault="004C12E4" w:rsidP="00954B04">
            <w:pPr>
              <w:tabs>
                <w:tab w:val="left" w:pos="360"/>
              </w:tabs>
              <w:spacing w:after="120" w:line="240" w:lineRule="auto"/>
              <w:rPr>
                <w:rFonts w:cs="Arial"/>
              </w:rPr>
            </w:pPr>
            <w:r w:rsidRPr="0005354A">
              <w:rPr>
                <w:rFonts w:cs="Arial"/>
              </w:rPr>
              <w:t>TAC</w:t>
            </w:r>
          </w:p>
        </w:tc>
        <w:tc>
          <w:tcPr>
            <w:tcW w:w="7760" w:type="dxa"/>
          </w:tcPr>
          <w:p w:rsidR="004C12E4" w:rsidRPr="0005354A" w:rsidRDefault="004C12E4" w:rsidP="00954B04">
            <w:pPr>
              <w:tabs>
                <w:tab w:val="left" w:pos="360"/>
              </w:tabs>
              <w:spacing w:after="120" w:line="240" w:lineRule="auto"/>
              <w:rPr>
                <w:rFonts w:cs="Arial"/>
                <w:iCs/>
              </w:rPr>
            </w:pPr>
            <w:r w:rsidRPr="0005354A">
              <w:rPr>
                <w:rFonts w:cs="Arial"/>
                <w:iCs/>
              </w:rPr>
              <w:t>Total Allowable Catch</w:t>
            </w:r>
          </w:p>
        </w:tc>
      </w:tr>
      <w:tr w:rsidR="004C12E4" w:rsidRPr="0005354A" w:rsidTr="00954B04">
        <w:trPr>
          <w:cnfStyle w:val="000000010000"/>
        </w:trPr>
        <w:tc>
          <w:tcPr>
            <w:tcW w:w="1668" w:type="dxa"/>
          </w:tcPr>
          <w:p w:rsidR="004C12E4" w:rsidRPr="0005354A" w:rsidRDefault="004C12E4" w:rsidP="00954B04">
            <w:pPr>
              <w:tabs>
                <w:tab w:val="left" w:pos="360"/>
              </w:tabs>
              <w:spacing w:after="120" w:line="240" w:lineRule="auto"/>
              <w:rPr>
                <w:rFonts w:cs="Arial"/>
              </w:rPr>
            </w:pPr>
            <w:r w:rsidRPr="0005354A">
              <w:rPr>
                <w:rFonts w:cs="Arial"/>
              </w:rPr>
              <w:t>TEP</w:t>
            </w:r>
          </w:p>
        </w:tc>
        <w:tc>
          <w:tcPr>
            <w:tcW w:w="7760" w:type="dxa"/>
          </w:tcPr>
          <w:p w:rsidR="004C12E4" w:rsidRPr="0005354A" w:rsidRDefault="004C12E4" w:rsidP="00954B04">
            <w:pPr>
              <w:tabs>
                <w:tab w:val="left" w:pos="360"/>
              </w:tabs>
              <w:spacing w:after="120" w:line="240" w:lineRule="auto"/>
              <w:rPr>
                <w:rFonts w:cs="Arial"/>
                <w:iCs/>
              </w:rPr>
            </w:pPr>
            <w:r w:rsidRPr="0005354A">
              <w:rPr>
                <w:rFonts w:cs="Arial"/>
                <w:iCs/>
              </w:rPr>
              <w:t xml:space="preserve">Threatened, Endangered and Protected Species, listed under the </w:t>
            </w:r>
            <w:r w:rsidRPr="0005354A">
              <w:rPr>
                <w:rFonts w:cs="Arial"/>
                <w:i/>
                <w:iCs/>
              </w:rPr>
              <w:t>Environment Protection and Biodiversity Conservation Act 1999 (</w:t>
            </w:r>
            <w:proofErr w:type="spellStart"/>
            <w:r w:rsidRPr="0005354A">
              <w:rPr>
                <w:rFonts w:cs="Arial"/>
                <w:i/>
                <w:iCs/>
              </w:rPr>
              <w:t>Cwlth</w:t>
            </w:r>
            <w:proofErr w:type="spellEnd"/>
            <w:r w:rsidRPr="0005354A">
              <w:rPr>
                <w:rFonts w:cs="Arial"/>
                <w:i/>
                <w:iCs/>
              </w:rPr>
              <w:t>)</w:t>
            </w:r>
          </w:p>
        </w:tc>
      </w:tr>
      <w:tr w:rsidR="004C12E4" w:rsidRPr="0005354A" w:rsidTr="00954B04">
        <w:trPr>
          <w:cnfStyle w:val="000000100000"/>
        </w:trPr>
        <w:tc>
          <w:tcPr>
            <w:tcW w:w="1668" w:type="dxa"/>
          </w:tcPr>
          <w:p w:rsidR="004C12E4" w:rsidRPr="0005354A" w:rsidRDefault="004C12E4" w:rsidP="00954B04">
            <w:pPr>
              <w:tabs>
                <w:tab w:val="left" w:pos="360"/>
              </w:tabs>
              <w:spacing w:after="120" w:line="240" w:lineRule="auto"/>
              <w:rPr>
                <w:rFonts w:cs="Arial"/>
              </w:rPr>
            </w:pPr>
            <w:r w:rsidRPr="0005354A">
              <w:rPr>
                <w:rFonts w:cs="Arial"/>
              </w:rPr>
              <w:t>VMS</w:t>
            </w:r>
          </w:p>
        </w:tc>
        <w:tc>
          <w:tcPr>
            <w:tcW w:w="7760" w:type="dxa"/>
          </w:tcPr>
          <w:p w:rsidR="004C12E4" w:rsidRPr="0005354A" w:rsidRDefault="004C12E4" w:rsidP="00954B04">
            <w:pPr>
              <w:tabs>
                <w:tab w:val="left" w:pos="360"/>
              </w:tabs>
              <w:spacing w:after="120" w:line="240" w:lineRule="auto"/>
              <w:rPr>
                <w:rFonts w:cs="Arial"/>
                <w:iCs/>
              </w:rPr>
            </w:pPr>
            <w:r w:rsidRPr="0005354A">
              <w:rPr>
                <w:rFonts w:cs="Arial"/>
              </w:rPr>
              <w:t>Integrated Computerised Vessel Monitoring Systems</w:t>
            </w:r>
          </w:p>
        </w:tc>
      </w:tr>
      <w:tr w:rsidR="004C12E4" w:rsidRPr="001A717C" w:rsidTr="00954B04">
        <w:trPr>
          <w:cnfStyle w:val="000000010000"/>
        </w:trPr>
        <w:tc>
          <w:tcPr>
            <w:tcW w:w="1668" w:type="dxa"/>
          </w:tcPr>
          <w:p w:rsidR="004C12E4" w:rsidRPr="0005354A" w:rsidRDefault="004C12E4" w:rsidP="00954B04">
            <w:pPr>
              <w:tabs>
                <w:tab w:val="left" w:pos="360"/>
              </w:tabs>
              <w:spacing w:after="120" w:line="240" w:lineRule="auto"/>
              <w:rPr>
                <w:rFonts w:cs="Arial"/>
              </w:rPr>
            </w:pPr>
            <w:r w:rsidRPr="0005354A">
              <w:rPr>
                <w:rFonts w:cs="Arial"/>
              </w:rPr>
              <w:t>WG-FSA</w:t>
            </w:r>
          </w:p>
        </w:tc>
        <w:tc>
          <w:tcPr>
            <w:tcW w:w="7760" w:type="dxa"/>
          </w:tcPr>
          <w:p w:rsidR="004C12E4" w:rsidRPr="001A717C" w:rsidRDefault="004C12E4" w:rsidP="00954B04">
            <w:pPr>
              <w:tabs>
                <w:tab w:val="left" w:pos="360"/>
              </w:tabs>
              <w:spacing w:after="120" w:line="240" w:lineRule="auto"/>
              <w:rPr>
                <w:rFonts w:cs="Arial"/>
                <w:iCs/>
              </w:rPr>
            </w:pPr>
            <w:r w:rsidRPr="0005354A">
              <w:rPr>
                <w:rFonts w:cs="Arial"/>
                <w:iCs/>
              </w:rPr>
              <w:t>Working Group on Fish Stock Assessment</w:t>
            </w:r>
          </w:p>
        </w:tc>
      </w:tr>
    </w:tbl>
    <w:p w:rsidR="004C12E4" w:rsidRDefault="004C12E4" w:rsidP="004C12E4">
      <w:pPr>
        <w:spacing w:after="120" w:line="240" w:lineRule="auto"/>
        <w:rPr>
          <w:rFonts w:cs="Arial"/>
        </w:rPr>
      </w:pPr>
    </w:p>
    <w:p w:rsidR="00954B04" w:rsidRDefault="00954B04" w:rsidP="004C12E4">
      <w:pPr>
        <w:spacing w:after="120" w:line="240" w:lineRule="auto"/>
        <w:rPr>
          <w:rFonts w:cs="Arial"/>
        </w:rPr>
      </w:pPr>
    </w:p>
    <w:p w:rsidR="00954B04" w:rsidRDefault="00954B04" w:rsidP="004C12E4">
      <w:pPr>
        <w:spacing w:after="120" w:line="240" w:lineRule="auto"/>
        <w:rPr>
          <w:rFonts w:cs="Arial"/>
        </w:rPr>
      </w:pPr>
    </w:p>
    <w:p w:rsidR="00954B04" w:rsidRDefault="00954B04" w:rsidP="004C12E4">
      <w:pPr>
        <w:spacing w:after="120" w:line="240" w:lineRule="auto"/>
        <w:rPr>
          <w:rFonts w:cs="Arial"/>
        </w:rPr>
      </w:pPr>
    </w:p>
    <w:p w:rsidR="00954B04" w:rsidRDefault="00954B04" w:rsidP="004C12E4">
      <w:pPr>
        <w:spacing w:after="120" w:line="240" w:lineRule="auto"/>
        <w:rPr>
          <w:rFonts w:cs="Arial"/>
        </w:rPr>
      </w:pPr>
    </w:p>
    <w:p w:rsidR="00954B04" w:rsidRDefault="00954B04" w:rsidP="004C12E4">
      <w:pPr>
        <w:spacing w:after="120" w:line="240" w:lineRule="auto"/>
        <w:rPr>
          <w:rFonts w:cs="Arial"/>
        </w:rPr>
      </w:pPr>
    </w:p>
    <w:p w:rsidR="00954B04" w:rsidRDefault="00954B04" w:rsidP="004C12E4">
      <w:pPr>
        <w:spacing w:after="120" w:line="240" w:lineRule="auto"/>
        <w:rPr>
          <w:rFonts w:cs="Arial"/>
        </w:rPr>
      </w:pPr>
    </w:p>
    <w:p w:rsidR="00954B04" w:rsidRDefault="00954B04" w:rsidP="004C12E4">
      <w:pPr>
        <w:spacing w:after="120" w:line="240" w:lineRule="auto"/>
        <w:rPr>
          <w:rFonts w:cs="Arial"/>
        </w:rPr>
      </w:pPr>
    </w:p>
    <w:p w:rsidR="00954B04" w:rsidRDefault="00954B04">
      <w:pPr>
        <w:spacing w:after="0" w:line="240" w:lineRule="auto"/>
        <w:rPr>
          <w:rFonts w:cs="Arial"/>
          <w:highlight w:val="yellow"/>
        </w:rPr>
      </w:pPr>
    </w:p>
    <w:sectPr w:rsidR="00954B04" w:rsidSect="00954B04">
      <w:pgSz w:w="11906" w:h="16838" w:code="9"/>
      <w:pgMar w:top="1021" w:right="1021" w:bottom="1021" w:left="102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4B04" w:rsidRDefault="00954B04" w:rsidP="00A60185">
      <w:pPr>
        <w:spacing w:after="0" w:line="240" w:lineRule="auto"/>
      </w:pPr>
      <w:r>
        <w:separator/>
      </w:r>
    </w:p>
  </w:endnote>
  <w:endnote w:type="continuationSeparator" w:id="0">
    <w:p w:rsidR="00954B04" w:rsidRDefault="00954B04"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altName w:val="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109" w:rsidRDefault="00FE110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B04" w:rsidRDefault="00954B04">
    <w:pPr>
      <w:pStyle w:val="Footer"/>
      <w:jc w:val="right"/>
      <w:rPr>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B04" w:rsidRDefault="00954B04">
    <w:pPr>
      <w:pStyle w:val="Footer"/>
      <w:jc w:val="right"/>
    </w:pPr>
  </w:p>
  <w:p w:rsidR="00954B04" w:rsidRDefault="00954B04">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B04" w:rsidRPr="008676DA" w:rsidRDefault="00D440B7">
    <w:pPr>
      <w:pStyle w:val="Footer"/>
      <w:jc w:val="right"/>
      <w:rPr>
        <w:rFonts w:cs="Arial"/>
      </w:rPr>
    </w:pPr>
    <w:r w:rsidRPr="008676DA">
      <w:rPr>
        <w:rFonts w:cs="Arial"/>
      </w:rPr>
      <w:fldChar w:fldCharType="begin"/>
    </w:r>
    <w:r w:rsidR="00954B04" w:rsidRPr="008676DA">
      <w:rPr>
        <w:rFonts w:cs="Arial"/>
      </w:rPr>
      <w:instrText xml:space="preserve"> PAGE   \* MERGEFORMAT </w:instrText>
    </w:r>
    <w:r w:rsidRPr="008676DA">
      <w:rPr>
        <w:rFonts w:cs="Arial"/>
      </w:rPr>
      <w:fldChar w:fldCharType="separate"/>
    </w:r>
    <w:r w:rsidR="00FE1109">
      <w:rPr>
        <w:rFonts w:cs="Arial"/>
        <w:noProof/>
      </w:rPr>
      <w:t>3</w:t>
    </w:r>
    <w:r w:rsidRPr="008676DA">
      <w:rPr>
        <w:rFonts w:cs="Arial"/>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B04" w:rsidRPr="00E5103E" w:rsidRDefault="00D440B7">
    <w:pPr>
      <w:pStyle w:val="Footer"/>
      <w:jc w:val="right"/>
      <w:rPr>
        <w:rFonts w:cs="Arial"/>
      </w:rPr>
    </w:pPr>
    <w:r w:rsidRPr="00E5103E">
      <w:rPr>
        <w:rFonts w:cs="Arial"/>
      </w:rPr>
      <w:fldChar w:fldCharType="begin"/>
    </w:r>
    <w:r w:rsidR="00954B04" w:rsidRPr="00E5103E">
      <w:rPr>
        <w:rFonts w:cs="Arial"/>
      </w:rPr>
      <w:instrText xml:space="preserve"> PAGE   \* MERGEFORMAT </w:instrText>
    </w:r>
    <w:r w:rsidRPr="00E5103E">
      <w:rPr>
        <w:rFonts w:cs="Arial"/>
      </w:rPr>
      <w:fldChar w:fldCharType="separate"/>
    </w:r>
    <w:r w:rsidR="00954B04">
      <w:rPr>
        <w:rFonts w:cs="Arial"/>
        <w:noProof/>
      </w:rPr>
      <w:t>1</w:t>
    </w:r>
    <w:r w:rsidRPr="00E5103E">
      <w:rPr>
        <w:rFonts w:cs="Arial"/>
      </w:rPr>
      <w:fldChar w:fldCharType="end"/>
    </w:r>
  </w:p>
  <w:p w:rsidR="00954B04" w:rsidRDefault="00954B04">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B04" w:rsidRDefault="00954B04">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954B04" w:rsidRDefault="00D440B7">
        <w:pPr>
          <w:pStyle w:val="Footer"/>
          <w:jc w:val="center"/>
        </w:pPr>
        <w:fldSimple w:instr=" PAGE   \* MERGEFORMAT ">
          <w:r w:rsidR="00FE1109">
            <w:rPr>
              <w:noProof/>
            </w:rPr>
            <w:t>47</w:t>
          </w:r>
        </w:fldSimple>
      </w:p>
    </w:sdtContent>
  </w:sdt>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B04" w:rsidRDefault="00954B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4B04" w:rsidRDefault="00954B04" w:rsidP="00A60185">
      <w:pPr>
        <w:spacing w:after="0" w:line="240" w:lineRule="auto"/>
      </w:pPr>
      <w:r>
        <w:separator/>
      </w:r>
    </w:p>
  </w:footnote>
  <w:footnote w:type="continuationSeparator" w:id="0">
    <w:p w:rsidR="00954B04" w:rsidRDefault="00954B04" w:rsidP="00A60185">
      <w:pPr>
        <w:spacing w:after="0" w:line="240" w:lineRule="auto"/>
      </w:pPr>
      <w:r>
        <w:continuationSeparator/>
      </w:r>
    </w:p>
  </w:footnote>
  <w:footnote w:id="1">
    <w:p w:rsidR="00954B04" w:rsidRPr="00815013" w:rsidRDefault="00954B04" w:rsidP="00295785">
      <w:pPr>
        <w:pStyle w:val="FootnoteText"/>
        <w:spacing w:after="100"/>
        <w:ind w:left="142" w:hanging="142"/>
        <w:rPr>
          <w:rFonts w:ascii="Arial" w:hAnsi="Arial" w:cs="Arial"/>
        </w:rPr>
      </w:pPr>
      <w:r w:rsidRPr="00815013">
        <w:rPr>
          <w:rStyle w:val="FootnoteReference"/>
          <w:rFonts w:ascii="Arial" w:hAnsi="Arial" w:cs="Arial"/>
        </w:rPr>
        <w:footnoteRef/>
      </w:r>
      <w:r w:rsidRPr="00815013">
        <w:rPr>
          <w:rFonts w:ascii="Arial" w:hAnsi="Arial" w:cs="Arial"/>
        </w:rPr>
        <w:tab/>
        <w:t>Antarctic marine living resources means the populations of fin fish, molluscs, crustaceans and all other species of living organisms, including birds, found south of the Antarctic Convergence.</w:t>
      </w:r>
    </w:p>
  </w:footnote>
  <w:footnote w:id="2">
    <w:p w:rsidR="00954B04" w:rsidRPr="008676DA" w:rsidRDefault="00954B04" w:rsidP="001955CD">
      <w:pPr>
        <w:pStyle w:val="FootnoteText"/>
        <w:rPr>
          <w:rFonts w:ascii="Arial" w:hAnsi="Arial" w:cs="Arial"/>
          <w:sz w:val="18"/>
          <w:lang w:val="en-AU"/>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US"/>
        </w:rPr>
        <w:t xml:space="preserve">Protected species’ means all species listed under Part 13 of the EPBC Act, including whales and other cetaceans and </w:t>
      </w:r>
      <w:r>
        <w:rPr>
          <w:rFonts w:ascii="Arial" w:hAnsi="Arial" w:cs="Arial"/>
          <w:sz w:val="18"/>
          <w:lang w:val="en-US"/>
        </w:rPr>
        <w:t xml:space="preserve">listed </w:t>
      </w:r>
      <w:r w:rsidRPr="008676DA">
        <w:rPr>
          <w:rFonts w:ascii="Arial" w:hAnsi="Arial" w:cs="Arial"/>
          <w:sz w:val="18"/>
          <w:lang w:val="en-US"/>
        </w:rPr>
        <w:t xml:space="preserve">threatened, </w:t>
      </w:r>
      <w:r>
        <w:rPr>
          <w:rFonts w:ascii="Arial" w:hAnsi="Arial" w:cs="Arial"/>
          <w:sz w:val="18"/>
          <w:lang w:val="en-US"/>
        </w:rPr>
        <w:t xml:space="preserve">listed </w:t>
      </w:r>
      <w:r w:rsidRPr="008676DA">
        <w:rPr>
          <w:rFonts w:ascii="Arial" w:hAnsi="Arial" w:cs="Arial"/>
          <w:sz w:val="18"/>
          <w:lang w:val="en-US"/>
        </w:rPr>
        <w:t xml:space="preserve">marine and </w:t>
      </w:r>
      <w:r>
        <w:rPr>
          <w:rFonts w:ascii="Arial" w:hAnsi="Arial" w:cs="Arial"/>
          <w:sz w:val="18"/>
          <w:lang w:val="en-US"/>
        </w:rPr>
        <w:t xml:space="preserve">listed </w:t>
      </w:r>
      <w:r w:rsidRPr="008676DA">
        <w:rPr>
          <w:rFonts w:ascii="Arial" w:hAnsi="Arial" w:cs="Arial"/>
          <w:sz w:val="18"/>
          <w:lang w:val="en-US"/>
        </w:rPr>
        <w:t>migratory species.</w:t>
      </w:r>
    </w:p>
  </w:footnote>
  <w:footnote w:id="3">
    <w:p w:rsidR="00954B04" w:rsidRPr="00423F56" w:rsidRDefault="00954B04" w:rsidP="00791D18">
      <w:pPr>
        <w:pStyle w:val="FootnoteText"/>
        <w:rPr>
          <w:lang w:val="en-AU"/>
        </w:rPr>
      </w:pPr>
      <w:r w:rsidRPr="00423F56">
        <w:rPr>
          <w:rStyle w:val="FootnoteReference"/>
        </w:rPr>
        <w:footnoteRef/>
      </w:r>
      <w:r w:rsidRPr="00423F56">
        <w:t xml:space="preserve"> </w:t>
      </w:r>
      <w:r w:rsidRPr="00423F56">
        <w:rPr>
          <w:lang w:val="en-AU"/>
        </w:rPr>
        <w:t xml:space="preserve">This text in this column is from the </w:t>
      </w:r>
      <w:r w:rsidRPr="00423F56">
        <w:rPr>
          <w:i/>
          <w:lang w:val="en-AU"/>
        </w:rPr>
        <w:t>Guidelines for the Ecologically Sustainable Management of Fisheries</w:t>
      </w:r>
      <w:r w:rsidRPr="00423F56">
        <w:rPr>
          <w:lang w:val="en-AU"/>
        </w:rPr>
        <w:t xml:space="preserve"> (2</w:t>
      </w:r>
      <w:r w:rsidRPr="00423F56">
        <w:rPr>
          <w:vertAlign w:val="superscript"/>
          <w:lang w:val="en-AU"/>
        </w:rPr>
        <w:t>nd</w:t>
      </w:r>
      <w:r w:rsidRPr="00423F56">
        <w:rPr>
          <w:lang w:val="en-AU"/>
        </w:rPr>
        <w:t xml:space="preserve"> edition)</w:t>
      </w:r>
    </w:p>
  </w:footnote>
  <w:footnote w:id="4">
    <w:p w:rsidR="00954B04" w:rsidRPr="00423F56" w:rsidRDefault="00954B04" w:rsidP="00791D18">
      <w:pPr>
        <w:pStyle w:val="FootnoteText"/>
        <w:rPr>
          <w:lang w:val="en-AU"/>
        </w:rPr>
      </w:pPr>
      <w:r w:rsidRPr="00423F56">
        <w:rPr>
          <w:rStyle w:val="FootnoteReference"/>
        </w:rPr>
        <w:footnoteRef/>
      </w:r>
      <w:r w:rsidRPr="00423F56">
        <w:t xml:space="preserve"> </w:t>
      </w:r>
      <w:r w:rsidRPr="00423F56">
        <w:rPr>
          <w:lang w:val="en-AU"/>
        </w:rPr>
        <w:t xml:space="preserve">Text in these three columns is indicative only and does not necessarily represent the individual fishery. The colour shown indicates to the extent the management arrangements for the fishery meet the </w:t>
      </w:r>
      <w:r w:rsidRPr="00423F56">
        <w:rPr>
          <w:i/>
          <w:lang w:val="en-AU"/>
        </w:rPr>
        <w:t>Guidelines for the Ecologically Sustainable Management of Fisheries</w:t>
      </w:r>
      <w:r w:rsidRPr="00423F56">
        <w:rPr>
          <w:lang w:val="en-AU"/>
        </w:rPr>
        <w:t xml:space="preserve"> (2</w:t>
      </w:r>
      <w:r w:rsidRPr="00423F56">
        <w:rPr>
          <w:vertAlign w:val="superscript"/>
          <w:lang w:val="en-AU"/>
        </w:rPr>
        <w:t>nd</w:t>
      </w:r>
      <w:r w:rsidRPr="00423F56">
        <w:rPr>
          <w:lang w:val="en-AU"/>
        </w:rPr>
        <w:t xml:space="preserve"> edition)</w:t>
      </w:r>
    </w:p>
  </w:footnote>
  <w:footnote w:id="5">
    <w:p w:rsidR="00954B04" w:rsidRPr="00423F56" w:rsidRDefault="00954B04" w:rsidP="00791D18">
      <w:pPr>
        <w:pStyle w:val="FootnoteText"/>
        <w:rPr>
          <w:lang w:val="en-AU"/>
        </w:rPr>
      </w:pPr>
      <w:r w:rsidRPr="00423F56">
        <w:rPr>
          <w:rStyle w:val="FootnoteReference"/>
        </w:rPr>
        <w:footnoteRef/>
      </w:r>
      <w:r w:rsidRPr="00423F56">
        <w:t xml:space="preserve"> </w:t>
      </w:r>
      <w:r w:rsidRPr="00423F56">
        <w:rPr>
          <w:lang w:val="en-AU"/>
        </w:rPr>
        <w:t>Text in this column explains the situation in the individual fishery.</w:t>
      </w:r>
    </w:p>
  </w:footnote>
  <w:footnote w:id="6">
    <w:p w:rsidR="00954B04" w:rsidRPr="008676DA" w:rsidRDefault="00954B04" w:rsidP="001955CD">
      <w:pPr>
        <w:pStyle w:val="FootnoteText"/>
        <w:rPr>
          <w:rFonts w:ascii="Arial" w:hAnsi="Arial" w:cs="Arial"/>
          <w:sz w:val="18"/>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AU"/>
        </w:rPr>
        <w:t>Convention on International Trade in Endangered Species of Wild Fauna and Flora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109" w:rsidRDefault="00FE110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109" w:rsidRDefault="00FE110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109" w:rsidRDefault="00FE1109">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B04" w:rsidRDefault="00D440B7" w:rsidP="00E45765">
    <w:pPr>
      <w:pStyle w:val="Classification"/>
    </w:pPr>
    <w:r>
      <w:fldChar w:fldCharType="begin"/>
    </w:r>
    <w:r w:rsidR="00954B04">
      <w:instrText xml:space="preserve"> DOCPROPERTY SecurityClassification \* MERGEFORMAT </w:instrText>
    </w:r>
    <w:r>
      <w:fldChar w:fldCharType="separate"/>
    </w:r>
    <w:r w:rsidR="002434DD">
      <w:rPr>
        <w:b/>
        <w:bCs/>
        <w:lang w:val="en-US"/>
      </w:rPr>
      <w:t>Error! Unknown document property name.</w:t>
    </w:r>
    <w: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B04" w:rsidRDefault="00954B04">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B04" w:rsidRDefault="00954B0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63D68994"/>
    <w:lvl w:ilvl="0">
      <w:start w:val="1"/>
      <w:numFmt w:val="decimal"/>
      <w:lvlText w:val="%1."/>
      <w:lvlJc w:val="left"/>
      <w:pPr>
        <w:tabs>
          <w:tab w:val="num" w:pos="360"/>
        </w:tabs>
        <w:ind w:left="360" w:hanging="360"/>
      </w:pPr>
    </w:lvl>
  </w:abstractNum>
  <w:abstractNum w:abstractNumId="1">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CB1332"/>
    <w:multiLevelType w:val="hybridMultilevel"/>
    <w:tmpl w:val="1510566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076C6BAF"/>
    <w:multiLevelType w:val="hybridMultilevel"/>
    <w:tmpl w:val="72AEFCA0"/>
    <w:lvl w:ilvl="0" w:tplc="21F4E6FA">
      <w:start w:val="1"/>
      <w:numFmt w:val="bullet"/>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0A883E2A"/>
    <w:multiLevelType w:val="hybridMultilevel"/>
    <w:tmpl w:val="76D8DBE2"/>
    <w:lvl w:ilvl="0" w:tplc="F88CD08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0A8F4E94"/>
    <w:multiLevelType w:val="hybridMultilevel"/>
    <w:tmpl w:val="B36EF07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11">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1F745BC2"/>
    <w:multiLevelType w:val="multilevel"/>
    <w:tmpl w:val="E5E89F92"/>
    <w:numStyleLink w:val="BulletList"/>
  </w:abstractNum>
  <w:abstractNum w:abstractNumId="14">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22932765"/>
    <w:multiLevelType w:val="hybridMultilevel"/>
    <w:tmpl w:val="2E0618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5">
    <w:nsid w:val="3D273FC2"/>
    <w:multiLevelType w:val="hybridMultilevel"/>
    <w:tmpl w:val="870437AA"/>
    <w:lvl w:ilvl="0" w:tplc="F74820B8">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6">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nsid w:val="42BF507F"/>
    <w:multiLevelType w:val="hybridMultilevel"/>
    <w:tmpl w:val="AD8A21EE"/>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nsid w:val="5F9A4FE0"/>
    <w:multiLevelType w:val="hybridMultilevel"/>
    <w:tmpl w:val="F22A00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nsid w:val="65456429"/>
    <w:multiLevelType w:val="multilevel"/>
    <w:tmpl w:val="E898CC72"/>
    <w:numStyleLink w:val="KeyPoints"/>
  </w:abstractNum>
  <w:abstractNum w:abstractNumId="36">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8">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1">
    <w:nsid w:val="6BB004FE"/>
    <w:multiLevelType w:val="multilevel"/>
    <w:tmpl w:val="6908A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3">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4">
    <w:nsid w:val="7C19139A"/>
    <w:multiLevelType w:val="hybridMultilevel"/>
    <w:tmpl w:val="8334F282"/>
    <w:lvl w:ilvl="0" w:tplc="F2A2BE90">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2"/>
  </w:num>
  <w:num w:numId="2">
    <w:abstractNumId w:val="1"/>
  </w:num>
  <w:num w:numId="3">
    <w:abstractNumId w:val="23"/>
  </w:num>
  <w:num w:numId="4">
    <w:abstractNumId w:val="0"/>
  </w:num>
  <w:num w:numId="5">
    <w:abstractNumId w:val="22"/>
  </w:num>
  <w:num w:numId="6">
    <w:abstractNumId w:val="35"/>
  </w:num>
  <w:num w:numId="7">
    <w:abstractNumId w:val="13"/>
  </w:num>
  <w:num w:numId="8">
    <w:abstractNumId w:val="8"/>
  </w:num>
  <w:num w:numId="9">
    <w:abstractNumId w:val="26"/>
  </w:num>
  <w:num w:numId="10">
    <w:abstractNumId w:val="37"/>
  </w:num>
  <w:num w:numId="11">
    <w:abstractNumId w:val="30"/>
  </w:num>
  <w:num w:numId="12">
    <w:abstractNumId w:val="9"/>
  </w:num>
  <w:num w:numId="13">
    <w:abstractNumId w:val="19"/>
  </w:num>
  <w:num w:numId="14">
    <w:abstractNumId w:val="39"/>
  </w:num>
  <w:num w:numId="15">
    <w:abstractNumId w:val="31"/>
  </w:num>
  <w:num w:numId="16">
    <w:abstractNumId w:val="2"/>
  </w:num>
  <w:num w:numId="17">
    <w:abstractNumId w:val="20"/>
  </w:num>
  <w:num w:numId="18">
    <w:abstractNumId w:val="16"/>
  </w:num>
  <w:num w:numId="19">
    <w:abstractNumId w:val="29"/>
  </w:num>
  <w:num w:numId="20">
    <w:abstractNumId w:val="18"/>
  </w:num>
  <w:num w:numId="21">
    <w:abstractNumId w:val="12"/>
  </w:num>
  <w:num w:numId="22">
    <w:abstractNumId w:val="17"/>
  </w:num>
  <w:num w:numId="23">
    <w:abstractNumId w:val="27"/>
  </w:num>
  <w:num w:numId="24">
    <w:abstractNumId w:val="34"/>
  </w:num>
  <w:num w:numId="25">
    <w:abstractNumId w:val="24"/>
  </w:num>
  <w:num w:numId="26">
    <w:abstractNumId w:val="10"/>
  </w:num>
  <w:num w:numId="27">
    <w:abstractNumId w:val="11"/>
  </w:num>
  <w:num w:numId="28">
    <w:abstractNumId w:val="32"/>
  </w:num>
  <w:num w:numId="29">
    <w:abstractNumId w:val="40"/>
  </w:num>
  <w:num w:numId="30">
    <w:abstractNumId w:val="43"/>
  </w:num>
  <w:num w:numId="31">
    <w:abstractNumId w:val="36"/>
  </w:num>
  <w:num w:numId="32">
    <w:abstractNumId w:val="0"/>
    <w:lvlOverride w:ilvl="0">
      <w:startOverride w:val="1"/>
    </w:lvlOverride>
  </w:num>
  <w:num w:numId="33">
    <w:abstractNumId w:val="3"/>
  </w:num>
  <w:num w:numId="34">
    <w:abstractNumId w:val="25"/>
  </w:num>
  <w:num w:numId="35">
    <w:abstractNumId w:val="15"/>
  </w:num>
  <w:num w:numId="36">
    <w:abstractNumId w:val="33"/>
  </w:num>
  <w:num w:numId="37">
    <w:abstractNumId w:val="5"/>
  </w:num>
  <w:num w:numId="38">
    <w:abstractNumId w:val="14"/>
  </w:num>
  <w:num w:numId="39">
    <w:abstractNumId w:val="44"/>
  </w:num>
  <w:num w:numId="40">
    <w:abstractNumId w:val="38"/>
  </w:num>
  <w:num w:numId="41">
    <w:abstractNumId w:val="21"/>
  </w:num>
  <w:num w:numId="42">
    <w:abstractNumId w:val="41"/>
  </w:num>
  <w:num w:numId="43">
    <w:abstractNumId w:val="6"/>
  </w:num>
  <w:num w:numId="44">
    <w:abstractNumId w:val="7"/>
  </w:num>
  <w:num w:numId="45">
    <w:abstractNumId w:val="4"/>
  </w:num>
  <w:num w:numId="46">
    <w:abstractNumId w:val="28"/>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docVars>
    <w:docVar w:name="SecurityClassificationInHeader" w:val="False"/>
  </w:docVars>
  <w:rsids>
    <w:rsidRoot w:val="007430E0"/>
    <w:rsid w:val="00004AEE"/>
    <w:rsid w:val="00005CAA"/>
    <w:rsid w:val="00010210"/>
    <w:rsid w:val="00010439"/>
    <w:rsid w:val="00012D66"/>
    <w:rsid w:val="00014608"/>
    <w:rsid w:val="00015ADA"/>
    <w:rsid w:val="00020C99"/>
    <w:rsid w:val="00024ADD"/>
    <w:rsid w:val="0002707B"/>
    <w:rsid w:val="00036F0A"/>
    <w:rsid w:val="000430A7"/>
    <w:rsid w:val="00047A18"/>
    <w:rsid w:val="00050A76"/>
    <w:rsid w:val="0005148E"/>
    <w:rsid w:val="00052F83"/>
    <w:rsid w:val="0005354A"/>
    <w:rsid w:val="00054B4D"/>
    <w:rsid w:val="0006148F"/>
    <w:rsid w:val="00062316"/>
    <w:rsid w:val="00070E81"/>
    <w:rsid w:val="00072C5A"/>
    <w:rsid w:val="000759E5"/>
    <w:rsid w:val="00084AC6"/>
    <w:rsid w:val="00091608"/>
    <w:rsid w:val="00092956"/>
    <w:rsid w:val="0009333C"/>
    <w:rsid w:val="0009704F"/>
    <w:rsid w:val="000A0224"/>
    <w:rsid w:val="000A0F11"/>
    <w:rsid w:val="000A10BF"/>
    <w:rsid w:val="000A125A"/>
    <w:rsid w:val="000A2230"/>
    <w:rsid w:val="000A57CD"/>
    <w:rsid w:val="000B2634"/>
    <w:rsid w:val="000B3758"/>
    <w:rsid w:val="000B3BD8"/>
    <w:rsid w:val="000B61D1"/>
    <w:rsid w:val="000B7681"/>
    <w:rsid w:val="000B7B42"/>
    <w:rsid w:val="000C02B7"/>
    <w:rsid w:val="000C5100"/>
    <w:rsid w:val="000C5342"/>
    <w:rsid w:val="000C706A"/>
    <w:rsid w:val="000D2887"/>
    <w:rsid w:val="000D6D63"/>
    <w:rsid w:val="000E0081"/>
    <w:rsid w:val="000E07CF"/>
    <w:rsid w:val="000E31C1"/>
    <w:rsid w:val="000F1ACC"/>
    <w:rsid w:val="000F2CF2"/>
    <w:rsid w:val="000F7A58"/>
    <w:rsid w:val="001002ED"/>
    <w:rsid w:val="00100BEF"/>
    <w:rsid w:val="00105033"/>
    <w:rsid w:val="00111326"/>
    <w:rsid w:val="0011498E"/>
    <w:rsid w:val="00116186"/>
    <w:rsid w:val="00117A45"/>
    <w:rsid w:val="001224AE"/>
    <w:rsid w:val="00127B0A"/>
    <w:rsid w:val="001330FD"/>
    <w:rsid w:val="0013325B"/>
    <w:rsid w:val="001337D4"/>
    <w:rsid w:val="00134C7B"/>
    <w:rsid w:val="00142E1F"/>
    <w:rsid w:val="001432D6"/>
    <w:rsid w:val="00144E02"/>
    <w:rsid w:val="00147C12"/>
    <w:rsid w:val="0015074F"/>
    <w:rsid w:val="001527A1"/>
    <w:rsid w:val="001530DC"/>
    <w:rsid w:val="00154989"/>
    <w:rsid w:val="00155A9F"/>
    <w:rsid w:val="00156306"/>
    <w:rsid w:val="00157A78"/>
    <w:rsid w:val="00160262"/>
    <w:rsid w:val="0016780A"/>
    <w:rsid w:val="001713EC"/>
    <w:rsid w:val="001713FA"/>
    <w:rsid w:val="00173CFF"/>
    <w:rsid w:val="00173EBF"/>
    <w:rsid w:val="00175ED3"/>
    <w:rsid w:val="0018144C"/>
    <w:rsid w:val="00181778"/>
    <w:rsid w:val="001842A2"/>
    <w:rsid w:val="001843CC"/>
    <w:rsid w:val="00184EEA"/>
    <w:rsid w:val="00187FA8"/>
    <w:rsid w:val="00190822"/>
    <w:rsid w:val="001920E2"/>
    <w:rsid w:val="00192F5E"/>
    <w:rsid w:val="00193B83"/>
    <w:rsid w:val="001955CD"/>
    <w:rsid w:val="00197772"/>
    <w:rsid w:val="001A2630"/>
    <w:rsid w:val="001A51C8"/>
    <w:rsid w:val="001A569F"/>
    <w:rsid w:val="001A57B4"/>
    <w:rsid w:val="001B08D4"/>
    <w:rsid w:val="001B1866"/>
    <w:rsid w:val="001B4CA8"/>
    <w:rsid w:val="001B5EA1"/>
    <w:rsid w:val="001B5EDC"/>
    <w:rsid w:val="001B7294"/>
    <w:rsid w:val="001C4F3D"/>
    <w:rsid w:val="001C6AC3"/>
    <w:rsid w:val="001C74D5"/>
    <w:rsid w:val="001D0CDC"/>
    <w:rsid w:val="001D1D82"/>
    <w:rsid w:val="001D1EEF"/>
    <w:rsid w:val="001D48BD"/>
    <w:rsid w:val="001E1182"/>
    <w:rsid w:val="001F1434"/>
    <w:rsid w:val="0020092C"/>
    <w:rsid w:val="0020277F"/>
    <w:rsid w:val="00202C90"/>
    <w:rsid w:val="00204735"/>
    <w:rsid w:val="00204F17"/>
    <w:rsid w:val="00213DE8"/>
    <w:rsid w:val="00215A6F"/>
    <w:rsid w:val="00216118"/>
    <w:rsid w:val="002209AB"/>
    <w:rsid w:val="002251E3"/>
    <w:rsid w:val="00227A95"/>
    <w:rsid w:val="002316BD"/>
    <w:rsid w:val="00232B76"/>
    <w:rsid w:val="00235A26"/>
    <w:rsid w:val="002434DD"/>
    <w:rsid w:val="00246A98"/>
    <w:rsid w:val="002473FC"/>
    <w:rsid w:val="00250AC5"/>
    <w:rsid w:val="0025198E"/>
    <w:rsid w:val="00252E3C"/>
    <w:rsid w:val="00260AFA"/>
    <w:rsid w:val="00262198"/>
    <w:rsid w:val="00265044"/>
    <w:rsid w:val="00277ECC"/>
    <w:rsid w:val="002857AE"/>
    <w:rsid w:val="002857B8"/>
    <w:rsid w:val="00285F1B"/>
    <w:rsid w:val="00292B81"/>
    <w:rsid w:val="00295785"/>
    <w:rsid w:val="00296F65"/>
    <w:rsid w:val="0029751A"/>
    <w:rsid w:val="002B18AE"/>
    <w:rsid w:val="002C1C93"/>
    <w:rsid w:val="002C3284"/>
    <w:rsid w:val="002C3D02"/>
    <w:rsid w:val="002C5066"/>
    <w:rsid w:val="002C5813"/>
    <w:rsid w:val="002C7D54"/>
    <w:rsid w:val="002D4AAC"/>
    <w:rsid w:val="002D558E"/>
    <w:rsid w:val="002D69E8"/>
    <w:rsid w:val="002D6A11"/>
    <w:rsid w:val="002F045A"/>
    <w:rsid w:val="002F0B87"/>
    <w:rsid w:val="002F1EFB"/>
    <w:rsid w:val="002F4687"/>
    <w:rsid w:val="002F4C54"/>
    <w:rsid w:val="0030039D"/>
    <w:rsid w:val="0030326F"/>
    <w:rsid w:val="003103A0"/>
    <w:rsid w:val="00310701"/>
    <w:rsid w:val="003117FF"/>
    <w:rsid w:val="00314C34"/>
    <w:rsid w:val="00315980"/>
    <w:rsid w:val="00316F7F"/>
    <w:rsid w:val="003218E8"/>
    <w:rsid w:val="00325399"/>
    <w:rsid w:val="00325E34"/>
    <w:rsid w:val="00330DCE"/>
    <w:rsid w:val="00331E11"/>
    <w:rsid w:val="00332423"/>
    <w:rsid w:val="00334761"/>
    <w:rsid w:val="00337EBC"/>
    <w:rsid w:val="00341DCD"/>
    <w:rsid w:val="003429EE"/>
    <w:rsid w:val="0034563E"/>
    <w:rsid w:val="00345C16"/>
    <w:rsid w:val="00347813"/>
    <w:rsid w:val="003518D6"/>
    <w:rsid w:val="0035460C"/>
    <w:rsid w:val="00355504"/>
    <w:rsid w:val="003556BD"/>
    <w:rsid w:val="00365147"/>
    <w:rsid w:val="00365F4F"/>
    <w:rsid w:val="00365F93"/>
    <w:rsid w:val="0037016E"/>
    <w:rsid w:val="00372908"/>
    <w:rsid w:val="00380C63"/>
    <w:rsid w:val="00381936"/>
    <w:rsid w:val="00383020"/>
    <w:rsid w:val="00394D7E"/>
    <w:rsid w:val="00395419"/>
    <w:rsid w:val="003975FD"/>
    <w:rsid w:val="003A3BDB"/>
    <w:rsid w:val="003B057D"/>
    <w:rsid w:val="003B4384"/>
    <w:rsid w:val="003B60CC"/>
    <w:rsid w:val="003B654D"/>
    <w:rsid w:val="003C1B25"/>
    <w:rsid w:val="003C2443"/>
    <w:rsid w:val="003C4F4D"/>
    <w:rsid w:val="003C5DA3"/>
    <w:rsid w:val="003D182D"/>
    <w:rsid w:val="003D3487"/>
    <w:rsid w:val="003D37C7"/>
    <w:rsid w:val="003D4BCD"/>
    <w:rsid w:val="003D6C2B"/>
    <w:rsid w:val="003E01D8"/>
    <w:rsid w:val="003E2100"/>
    <w:rsid w:val="003E444E"/>
    <w:rsid w:val="003E4571"/>
    <w:rsid w:val="003E5943"/>
    <w:rsid w:val="003F00DA"/>
    <w:rsid w:val="003F1B83"/>
    <w:rsid w:val="003F1C03"/>
    <w:rsid w:val="003F6F5B"/>
    <w:rsid w:val="0040342D"/>
    <w:rsid w:val="0041192D"/>
    <w:rsid w:val="00413EE1"/>
    <w:rsid w:val="00414091"/>
    <w:rsid w:val="0042128E"/>
    <w:rsid w:val="00422540"/>
    <w:rsid w:val="00423F56"/>
    <w:rsid w:val="0042413B"/>
    <w:rsid w:val="00426368"/>
    <w:rsid w:val="00432B60"/>
    <w:rsid w:val="004360C8"/>
    <w:rsid w:val="00437340"/>
    <w:rsid w:val="00440698"/>
    <w:rsid w:val="00444A2D"/>
    <w:rsid w:val="00446EEE"/>
    <w:rsid w:val="00447794"/>
    <w:rsid w:val="00447C82"/>
    <w:rsid w:val="00452AA9"/>
    <w:rsid w:val="004540E2"/>
    <w:rsid w:val="00454454"/>
    <w:rsid w:val="00455004"/>
    <w:rsid w:val="00456967"/>
    <w:rsid w:val="00457932"/>
    <w:rsid w:val="004609B1"/>
    <w:rsid w:val="00467924"/>
    <w:rsid w:val="004712A5"/>
    <w:rsid w:val="0047266F"/>
    <w:rsid w:val="00476D6B"/>
    <w:rsid w:val="004770D5"/>
    <w:rsid w:val="00477513"/>
    <w:rsid w:val="00481896"/>
    <w:rsid w:val="004821B5"/>
    <w:rsid w:val="00487A80"/>
    <w:rsid w:val="00492C16"/>
    <w:rsid w:val="004A0678"/>
    <w:rsid w:val="004A48A3"/>
    <w:rsid w:val="004B0D92"/>
    <w:rsid w:val="004B0EC0"/>
    <w:rsid w:val="004B66F1"/>
    <w:rsid w:val="004B734E"/>
    <w:rsid w:val="004C12E4"/>
    <w:rsid w:val="004C3EA0"/>
    <w:rsid w:val="004C4525"/>
    <w:rsid w:val="004C6107"/>
    <w:rsid w:val="004D374B"/>
    <w:rsid w:val="004D5DED"/>
    <w:rsid w:val="004D7FBB"/>
    <w:rsid w:val="004E0457"/>
    <w:rsid w:val="004E5F64"/>
    <w:rsid w:val="004E7333"/>
    <w:rsid w:val="004F56A6"/>
    <w:rsid w:val="004F6BA4"/>
    <w:rsid w:val="004F7169"/>
    <w:rsid w:val="00500D66"/>
    <w:rsid w:val="005037E3"/>
    <w:rsid w:val="00514C8E"/>
    <w:rsid w:val="00517968"/>
    <w:rsid w:val="00521535"/>
    <w:rsid w:val="00527A73"/>
    <w:rsid w:val="00531DBF"/>
    <w:rsid w:val="00534AFF"/>
    <w:rsid w:val="005362FD"/>
    <w:rsid w:val="005405AF"/>
    <w:rsid w:val="00545759"/>
    <w:rsid w:val="00545933"/>
    <w:rsid w:val="00545BE0"/>
    <w:rsid w:val="00546930"/>
    <w:rsid w:val="00554C6A"/>
    <w:rsid w:val="005608E5"/>
    <w:rsid w:val="00562E85"/>
    <w:rsid w:val="0056332F"/>
    <w:rsid w:val="00564C8D"/>
    <w:rsid w:val="005719B3"/>
    <w:rsid w:val="0057295E"/>
    <w:rsid w:val="00573941"/>
    <w:rsid w:val="00580184"/>
    <w:rsid w:val="00581C39"/>
    <w:rsid w:val="005852CD"/>
    <w:rsid w:val="005903B6"/>
    <w:rsid w:val="00591361"/>
    <w:rsid w:val="0059416B"/>
    <w:rsid w:val="005957A1"/>
    <w:rsid w:val="005A0247"/>
    <w:rsid w:val="005A126E"/>
    <w:rsid w:val="005A12FD"/>
    <w:rsid w:val="005A1FC1"/>
    <w:rsid w:val="005A2736"/>
    <w:rsid w:val="005A27E5"/>
    <w:rsid w:val="005A452F"/>
    <w:rsid w:val="005A64BA"/>
    <w:rsid w:val="005A680D"/>
    <w:rsid w:val="005A7B02"/>
    <w:rsid w:val="005B140D"/>
    <w:rsid w:val="005B220F"/>
    <w:rsid w:val="005C0908"/>
    <w:rsid w:val="005C1FEA"/>
    <w:rsid w:val="005C3495"/>
    <w:rsid w:val="005C6FE5"/>
    <w:rsid w:val="005D1EC8"/>
    <w:rsid w:val="005D4C5D"/>
    <w:rsid w:val="005D5DA4"/>
    <w:rsid w:val="005E12BF"/>
    <w:rsid w:val="005E2960"/>
    <w:rsid w:val="005E3DFC"/>
    <w:rsid w:val="005E5942"/>
    <w:rsid w:val="005E60AF"/>
    <w:rsid w:val="005E750F"/>
    <w:rsid w:val="005F08AE"/>
    <w:rsid w:val="005F1DEA"/>
    <w:rsid w:val="005F4071"/>
    <w:rsid w:val="00601A1C"/>
    <w:rsid w:val="00607FC9"/>
    <w:rsid w:val="006152EA"/>
    <w:rsid w:val="00622FE1"/>
    <w:rsid w:val="0062399C"/>
    <w:rsid w:val="0062521C"/>
    <w:rsid w:val="006269B9"/>
    <w:rsid w:val="00630A2B"/>
    <w:rsid w:val="00632DC7"/>
    <w:rsid w:val="006357FB"/>
    <w:rsid w:val="006406FC"/>
    <w:rsid w:val="00640E57"/>
    <w:rsid w:val="0064284F"/>
    <w:rsid w:val="00645C89"/>
    <w:rsid w:val="00646122"/>
    <w:rsid w:val="00653E16"/>
    <w:rsid w:val="00657220"/>
    <w:rsid w:val="00657362"/>
    <w:rsid w:val="0066104B"/>
    <w:rsid w:val="006655EE"/>
    <w:rsid w:val="00667C10"/>
    <w:rsid w:val="00667EF4"/>
    <w:rsid w:val="006707B9"/>
    <w:rsid w:val="00675DE5"/>
    <w:rsid w:val="00676FCA"/>
    <w:rsid w:val="00677177"/>
    <w:rsid w:val="0068612E"/>
    <w:rsid w:val="00687C92"/>
    <w:rsid w:val="0069534E"/>
    <w:rsid w:val="0069669C"/>
    <w:rsid w:val="006A1200"/>
    <w:rsid w:val="006A2775"/>
    <w:rsid w:val="006A32D6"/>
    <w:rsid w:val="006A4F4E"/>
    <w:rsid w:val="006A6C23"/>
    <w:rsid w:val="006B14DB"/>
    <w:rsid w:val="006B21C4"/>
    <w:rsid w:val="006B68EC"/>
    <w:rsid w:val="006C341E"/>
    <w:rsid w:val="006C4A1A"/>
    <w:rsid w:val="006C7B2E"/>
    <w:rsid w:val="006C7CD9"/>
    <w:rsid w:val="006D0393"/>
    <w:rsid w:val="006D1A83"/>
    <w:rsid w:val="006D232B"/>
    <w:rsid w:val="006D23AA"/>
    <w:rsid w:val="006E1CFE"/>
    <w:rsid w:val="006E3532"/>
    <w:rsid w:val="006F10C4"/>
    <w:rsid w:val="006F40E9"/>
    <w:rsid w:val="006F4369"/>
    <w:rsid w:val="006F5603"/>
    <w:rsid w:val="006F7B87"/>
    <w:rsid w:val="006F7DF6"/>
    <w:rsid w:val="00701400"/>
    <w:rsid w:val="007037CF"/>
    <w:rsid w:val="007045DE"/>
    <w:rsid w:val="007047D3"/>
    <w:rsid w:val="007167C0"/>
    <w:rsid w:val="00720481"/>
    <w:rsid w:val="007235D0"/>
    <w:rsid w:val="007323EA"/>
    <w:rsid w:val="00733126"/>
    <w:rsid w:val="00733193"/>
    <w:rsid w:val="007369D0"/>
    <w:rsid w:val="00740ACF"/>
    <w:rsid w:val="00742D33"/>
    <w:rsid w:val="007430E0"/>
    <w:rsid w:val="00744DDA"/>
    <w:rsid w:val="00745E03"/>
    <w:rsid w:val="00746298"/>
    <w:rsid w:val="00750479"/>
    <w:rsid w:val="00755D81"/>
    <w:rsid w:val="0075732A"/>
    <w:rsid w:val="007600F8"/>
    <w:rsid w:val="00760262"/>
    <w:rsid w:val="0076310C"/>
    <w:rsid w:val="00766624"/>
    <w:rsid w:val="0076744F"/>
    <w:rsid w:val="00767BCE"/>
    <w:rsid w:val="00767EFC"/>
    <w:rsid w:val="007707DE"/>
    <w:rsid w:val="00770B5D"/>
    <w:rsid w:val="007752F1"/>
    <w:rsid w:val="00776768"/>
    <w:rsid w:val="007777A6"/>
    <w:rsid w:val="0078187A"/>
    <w:rsid w:val="00791D18"/>
    <w:rsid w:val="00794ED8"/>
    <w:rsid w:val="0079782E"/>
    <w:rsid w:val="007A2573"/>
    <w:rsid w:val="007A2FD1"/>
    <w:rsid w:val="007A4A30"/>
    <w:rsid w:val="007A6DC2"/>
    <w:rsid w:val="007B106C"/>
    <w:rsid w:val="007B15B8"/>
    <w:rsid w:val="007B1A4E"/>
    <w:rsid w:val="007B3D05"/>
    <w:rsid w:val="007B5503"/>
    <w:rsid w:val="007C08E5"/>
    <w:rsid w:val="007C179C"/>
    <w:rsid w:val="007C21E3"/>
    <w:rsid w:val="007C42D3"/>
    <w:rsid w:val="007C6BB3"/>
    <w:rsid w:val="007D14B4"/>
    <w:rsid w:val="007D3AD7"/>
    <w:rsid w:val="007E24F6"/>
    <w:rsid w:val="007E3254"/>
    <w:rsid w:val="007E6086"/>
    <w:rsid w:val="007F1C9E"/>
    <w:rsid w:val="007F3E37"/>
    <w:rsid w:val="00800F64"/>
    <w:rsid w:val="00801050"/>
    <w:rsid w:val="00801DFA"/>
    <w:rsid w:val="00802F0B"/>
    <w:rsid w:val="00804FA1"/>
    <w:rsid w:val="00810A67"/>
    <w:rsid w:val="00812EB3"/>
    <w:rsid w:val="00815013"/>
    <w:rsid w:val="00833CF7"/>
    <w:rsid w:val="00834CDE"/>
    <w:rsid w:val="00842464"/>
    <w:rsid w:val="0084431D"/>
    <w:rsid w:val="00845601"/>
    <w:rsid w:val="008522A3"/>
    <w:rsid w:val="00855C5C"/>
    <w:rsid w:val="00863D31"/>
    <w:rsid w:val="008645C5"/>
    <w:rsid w:val="008679B5"/>
    <w:rsid w:val="008710D7"/>
    <w:rsid w:val="00872D86"/>
    <w:rsid w:val="0089711B"/>
    <w:rsid w:val="0089739B"/>
    <w:rsid w:val="008A3C96"/>
    <w:rsid w:val="008A4A38"/>
    <w:rsid w:val="008A4E3D"/>
    <w:rsid w:val="008B056C"/>
    <w:rsid w:val="008B0F81"/>
    <w:rsid w:val="008B4019"/>
    <w:rsid w:val="008B65C9"/>
    <w:rsid w:val="008C2D4A"/>
    <w:rsid w:val="008D3900"/>
    <w:rsid w:val="008D438B"/>
    <w:rsid w:val="008D6E1D"/>
    <w:rsid w:val="008E4070"/>
    <w:rsid w:val="008E4C59"/>
    <w:rsid w:val="008E62B1"/>
    <w:rsid w:val="008E7AE1"/>
    <w:rsid w:val="008E7F0C"/>
    <w:rsid w:val="008F39B4"/>
    <w:rsid w:val="008F3B1C"/>
    <w:rsid w:val="008F4162"/>
    <w:rsid w:val="0090302A"/>
    <w:rsid w:val="00903E02"/>
    <w:rsid w:val="00910D6C"/>
    <w:rsid w:val="00913175"/>
    <w:rsid w:val="00913657"/>
    <w:rsid w:val="00915CF2"/>
    <w:rsid w:val="00916EDB"/>
    <w:rsid w:val="00920861"/>
    <w:rsid w:val="00922B13"/>
    <w:rsid w:val="009242EF"/>
    <w:rsid w:val="00932291"/>
    <w:rsid w:val="00932861"/>
    <w:rsid w:val="00932D9A"/>
    <w:rsid w:val="0093408E"/>
    <w:rsid w:val="0093425F"/>
    <w:rsid w:val="00935D92"/>
    <w:rsid w:val="00942B52"/>
    <w:rsid w:val="00947FD7"/>
    <w:rsid w:val="00952DDF"/>
    <w:rsid w:val="00954B04"/>
    <w:rsid w:val="00955A52"/>
    <w:rsid w:val="009563DA"/>
    <w:rsid w:val="00957615"/>
    <w:rsid w:val="009610A3"/>
    <w:rsid w:val="00963B6A"/>
    <w:rsid w:val="0096492B"/>
    <w:rsid w:val="00970950"/>
    <w:rsid w:val="0097238A"/>
    <w:rsid w:val="00977BF3"/>
    <w:rsid w:val="009812D4"/>
    <w:rsid w:val="009920D8"/>
    <w:rsid w:val="009952F5"/>
    <w:rsid w:val="0099692C"/>
    <w:rsid w:val="009A0411"/>
    <w:rsid w:val="009A3C99"/>
    <w:rsid w:val="009A536B"/>
    <w:rsid w:val="009A7F91"/>
    <w:rsid w:val="009B38BE"/>
    <w:rsid w:val="009B619F"/>
    <w:rsid w:val="009C3D0F"/>
    <w:rsid w:val="009D294C"/>
    <w:rsid w:val="009D389A"/>
    <w:rsid w:val="009E0F68"/>
    <w:rsid w:val="009E1928"/>
    <w:rsid w:val="009E1B19"/>
    <w:rsid w:val="009F35E2"/>
    <w:rsid w:val="009F65F9"/>
    <w:rsid w:val="009F68BA"/>
    <w:rsid w:val="00A01BA7"/>
    <w:rsid w:val="00A0503E"/>
    <w:rsid w:val="00A06277"/>
    <w:rsid w:val="00A0727E"/>
    <w:rsid w:val="00A079DC"/>
    <w:rsid w:val="00A10BD2"/>
    <w:rsid w:val="00A10FE0"/>
    <w:rsid w:val="00A111C2"/>
    <w:rsid w:val="00A17643"/>
    <w:rsid w:val="00A17964"/>
    <w:rsid w:val="00A24A2E"/>
    <w:rsid w:val="00A30DEE"/>
    <w:rsid w:val="00A32C71"/>
    <w:rsid w:val="00A338E7"/>
    <w:rsid w:val="00A357BA"/>
    <w:rsid w:val="00A35CAA"/>
    <w:rsid w:val="00A36E7F"/>
    <w:rsid w:val="00A40772"/>
    <w:rsid w:val="00A41E65"/>
    <w:rsid w:val="00A43E0A"/>
    <w:rsid w:val="00A51B06"/>
    <w:rsid w:val="00A51C00"/>
    <w:rsid w:val="00A523E0"/>
    <w:rsid w:val="00A530C7"/>
    <w:rsid w:val="00A530C8"/>
    <w:rsid w:val="00A534CA"/>
    <w:rsid w:val="00A55F5B"/>
    <w:rsid w:val="00A60185"/>
    <w:rsid w:val="00A661EA"/>
    <w:rsid w:val="00A6628D"/>
    <w:rsid w:val="00A67AB9"/>
    <w:rsid w:val="00A7740B"/>
    <w:rsid w:val="00A8204F"/>
    <w:rsid w:val="00A82106"/>
    <w:rsid w:val="00A82CB7"/>
    <w:rsid w:val="00A830E5"/>
    <w:rsid w:val="00A87135"/>
    <w:rsid w:val="00A93280"/>
    <w:rsid w:val="00A951EA"/>
    <w:rsid w:val="00A960FD"/>
    <w:rsid w:val="00AA2548"/>
    <w:rsid w:val="00AA2E69"/>
    <w:rsid w:val="00AA58C4"/>
    <w:rsid w:val="00AA7003"/>
    <w:rsid w:val="00AB11C8"/>
    <w:rsid w:val="00AB4D25"/>
    <w:rsid w:val="00AB5222"/>
    <w:rsid w:val="00AB5244"/>
    <w:rsid w:val="00AC08A8"/>
    <w:rsid w:val="00AC678D"/>
    <w:rsid w:val="00AD158A"/>
    <w:rsid w:val="00AD56C8"/>
    <w:rsid w:val="00AD58F2"/>
    <w:rsid w:val="00AD59AA"/>
    <w:rsid w:val="00AE48C3"/>
    <w:rsid w:val="00AF4690"/>
    <w:rsid w:val="00B0512A"/>
    <w:rsid w:val="00B0529F"/>
    <w:rsid w:val="00B07B2C"/>
    <w:rsid w:val="00B114BE"/>
    <w:rsid w:val="00B11F29"/>
    <w:rsid w:val="00B12CE9"/>
    <w:rsid w:val="00B1418B"/>
    <w:rsid w:val="00B21195"/>
    <w:rsid w:val="00B244BD"/>
    <w:rsid w:val="00B24B22"/>
    <w:rsid w:val="00B25310"/>
    <w:rsid w:val="00B32F8F"/>
    <w:rsid w:val="00B3492A"/>
    <w:rsid w:val="00B3529E"/>
    <w:rsid w:val="00B460D2"/>
    <w:rsid w:val="00B50404"/>
    <w:rsid w:val="00B51A2B"/>
    <w:rsid w:val="00B54DE9"/>
    <w:rsid w:val="00B553EC"/>
    <w:rsid w:val="00B55B11"/>
    <w:rsid w:val="00B55E3F"/>
    <w:rsid w:val="00B5615D"/>
    <w:rsid w:val="00B6012C"/>
    <w:rsid w:val="00B614C9"/>
    <w:rsid w:val="00B63698"/>
    <w:rsid w:val="00B63C1E"/>
    <w:rsid w:val="00B710A7"/>
    <w:rsid w:val="00B813E4"/>
    <w:rsid w:val="00B93DD0"/>
    <w:rsid w:val="00B94988"/>
    <w:rsid w:val="00B97732"/>
    <w:rsid w:val="00BA65A8"/>
    <w:rsid w:val="00BA6D19"/>
    <w:rsid w:val="00BA7461"/>
    <w:rsid w:val="00BA7A53"/>
    <w:rsid w:val="00BA7A91"/>
    <w:rsid w:val="00BA7DA9"/>
    <w:rsid w:val="00BC1963"/>
    <w:rsid w:val="00BC2DA7"/>
    <w:rsid w:val="00BC3213"/>
    <w:rsid w:val="00BC4215"/>
    <w:rsid w:val="00BD1A6F"/>
    <w:rsid w:val="00BD1D43"/>
    <w:rsid w:val="00BE0F48"/>
    <w:rsid w:val="00BE6D3C"/>
    <w:rsid w:val="00BE7852"/>
    <w:rsid w:val="00BF6578"/>
    <w:rsid w:val="00BF7CEE"/>
    <w:rsid w:val="00C03880"/>
    <w:rsid w:val="00C03C3B"/>
    <w:rsid w:val="00C055D9"/>
    <w:rsid w:val="00C123FE"/>
    <w:rsid w:val="00C135CF"/>
    <w:rsid w:val="00C15209"/>
    <w:rsid w:val="00C21C25"/>
    <w:rsid w:val="00C25E98"/>
    <w:rsid w:val="00C2683F"/>
    <w:rsid w:val="00C3184D"/>
    <w:rsid w:val="00C329D3"/>
    <w:rsid w:val="00C364DD"/>
    <w:rsid w:val="00C40D56"/>
    <w:rsid w:val="00C467D9"/>
    <w:rsid w:val="00C4714E"/>
    <w:rsid w:val="00C51CCA"/>
    <w:rsid w:val="00C5504F"/>
    <w:rsid w:val="00C57586"/>
    <w:rsid w:val="00C57B55"/>
    <w:rsid w:val="00C62E3B"/>
    <w:rsid w:val="00C63376"/>
    <w:rsid w:val="00C64FE1"/>
    <w:rsid w:val="00C656D3"/>
    <w:rsid w:val="00C71970"/>
    <w:rsid w:val="00C72873"/>
    <w:rsid w:val="00C74304"/>
    <w:rsid w:val="00C74F97"/>
    <w:rsid w:val="00C75517"/>
    <w:rsid w:val="00C75D9A"/>
    <w:rsid w:val="00C76F60"/>
    <w:rsid w:val="00C80EF7"/>
    <w:rsid w:val="00C8276E"/>
    <w:rsid w:val="00C82D10"/>
    <w:rsid w:val="00C842AC"/>
    <w:rsid w:val="00C87E3B"/>
    <w:rsid w:val="00C90728"/>
    <w:rsid w:val="00C93064"/>
    <w:rsid w:val="00C96688"/>
    <w:rsid w:val="00CA0723"/>
    <w:rsid w:val="00CA2C6C"/>
    <w:rsid w:val="00CA32E0"/>
    <w:rsid w:val="00CB1690"/>
    <w:rsid w:val="00CB3E34"/>
    <w:rsid w:val="00CC0529"/>
    <w:rsid w:val="00CC4365"/>
    <w:rsid w:val="00CC5D24"/>
    <w:rsid w:val="00CD11B0"/>
    <w:rsid w:val="00CD35D2"/>
    <w:rsid w:val="00CD3FE7"/>
    <w:rsid w:val="00CD56A6"/>
    <w:rsid w:val="00CD73AE"/>
    <w:rsid w:val="00CE2D59"/>
    <w:rsid w:val="00CE5C2A"/>
    <w:rsid w:val="00CE71C2"/>
    <w:rsid w:val="00CF34E9"/>
    <w:rsid w:val="00CF42D5"/>
    <w:rsid w:val="00CF4EDA"/>
    <w:rsid w:val="00D021CB"/>
    <w:rsid w:val="00D10F1A"/>
    <w:rsid w:val="00D116F8"/>
    <w:rsid w:val="00D14282"/>
    <w:rsid w:val="00D156F0"/>
    <w:rsid w:val="00D16C5F"/>
    <w:rsid w:val="00D17596"/>
    <w:rsid w:val="00D21C36"/>
    <w:rsid w:val="00D21D54"/>
    <w:rsid w:val="00D22439"/>
    <w:rsid w:val="00D22640"/>
    <w:rsid w:val="00D2475A"/>
    <w:rsid w:val="00D26D3A"/>
    <w:rsid w:val="00D334DE"/>
    <w:rsid w:val="00D41212"/>
    <w:rsid w:val="00D440B7"/>
    <w:rsid w:val="00D45EE3"/>
    <w:rsid w:val="00D469C5"/>
    <w:rsid w:val="00D503B1"/>
    <w:rsid w:val="00D50618"/>
    <w:rsid w:val="00D509E9"/>
    <w:rsid w:val="00D52EA5"/>
    <w:rsid w:val="00D53B1C"/>
    <w:rsid w:val="00D55CED"/>
    <w:rsid w:val="00D57E81"/>
    <w:rsid w:val="00D83405"/>
    <w:rsid w:val="00D85C12"/>
    <w:rsid w:val="00D941CD"/>
    <w:rsid w:val="00D96665"/>
    <w:rsid w:val="00DA1B12"/>
    <w:rsid w:val="00DA2641"/>
    <w:rsid w:val="00DA54C9"/>
    <w:rsid w:val="00DA6739"/>
    <w:rsid w:val="00DA6CAE"/>
    <w:rsid w:val="00DB1A9E"/>
    <w:rsid w:val="00DB31D6"/>
    <w:rsid w:val="00DB3554"/>
    <w:rsid w:val="00DB4005"/>
    <w:rsid w:val="00DC1C15"/>
    <w:rsid w:val="00DC34EB"/>
    <w:rsid w:val="00DC7E57"/>
    <w:rsid w:val="00DD2AD8"/>
    <w:rsid w:val="00DD5851"/>
    <w:rsid w:val="00DD6E89"/>
    <w:rsid w:val="00DD7A6B"/>
    <w:rsid w:val="00DE3EE6"/>
    <w:rsid w:val="00DE534E"/>
    <w:rsid w:val="00DF1E5B"/>
    <w:rsid w:val="00DF2275"/>
    <w:rsid w:val="00DF2B4E"/>
    <w:rsid w:val="00DF3F5E"/>
    <w:rsid w:val="00DF5653"/>
    <w:rsid w:val="00DF5A48"/>
    <w:rsid w:val="00E0046F"/>
    <w:rsid w:val="00E03D6A"/>
    <w:rsid w:val="00E0596E"/>
    <w:rsid w:val="00E06643"/>
    <w:rsid w:val="00E06F66"/>
    <w:rsid w:val="00E07649"/>
    <w:rsid w:val="00E11617"/>
    <w:rsid w:val="00E12CAB"/>
    <w:rsid w:val="00E30112"/>
    <w:rsid w:val="00E356E5"/>
    <w:rsid w:val="00E36F81"/>
    <w:rsid w:val="00E42E4B"/>
    <w:rsid w:val="00E44237"/>
    <w:rsid w:val="00E44A8A"/>
    <w:rsid w:val="00E45765"/>
    <w:rsid w:val="00E458B1"/>
    <w:rsid w:val="00E5098C"/>
    <w:rsid w:val="00E50E25"/>
    <w:rsid w:val="00E57B03"/>
    <w:rsid w:val="00E57EA7"/>
    <w:rsid w:val="00E60213"/>
    <w:rsid w:val="00E65CAE"/>
    <w:rsid w:val="00E661B2"/>
    <w:rsid w:val="00E74D29"/>
    <w:rsid w:val="00E75D7C"/>
    <w:rsid w:val="00E8220F"/>
    <w:rsid w:val="00E83C74"/>
    <w:rsid w:val="00E83CEE"/>
    <w:rsid w:val="00E84CB5"/>
    <w:rsid w:val="00E86B63"/>
    <w:rsid w:val="00E91F18"/>
    <w:rsid w:val="00E9226D"/>
    <w:rsid w:val="00E9261C"/>
    <w:rsid w:val="00EA416C"/>
    <w:rsid w:val="00EA48C9"/>
    <w:rsid w:val="00EA5941"/>
    <w:rsid w:val="00EA67DF"/>
    <w:rsid w:val="00EA6873"/>
    <w:rsid w:val="00EA7243"/>
    <w:rsid w:val="00EB102B"/>
    <w:rsid w:val="00EB60CE"/>
    <w:rsid w:val="00EB7D53"/>
    <w:rsid w:val="00EC10F3"/>
    <w:rsid w:val="00ED2C6E"/>
    <w:rsid w:val="00EE06D6"/>
    <w:rsid w:val="00EE3146"/>
    <w:rsid w:val="00EE3DFC"/>
    <w:rsid w:val="00EE3E6A"/>
    <w:rsid w:val="00EE64AB"/>
    <w:rsid w:val="00EE7E91"/>
    <w:rsid w:val="00EF430B"/>
    <w:rsid w:val="00EF50BB"/>
    <w:rsid w:val="00EF53FF"/>
    <w:rsid w:val="00EF645B"/>
    <w:rsid w:val="00EF7DB6"/>
    <w:rsid w:val="00F00192"/>
    <w:rsid w:val="00F01DF6"/>
    <w:rsid w:val="00F0340D"/>
    <w:rsid w:val="00F059A6"/>
    <w:rsid w:val="00F15DAF"/>
    <w:rsid w:val="00F23756"/>
    <w:rsid w:val="00F2523A"/>
    <w:rsid w:val="00F25FFA"/>
    <w:rsid w:val="00F310D2"/>
    <w:rsid w:val="00F36F3D"/>
    <w:rsid w:val="00F41F2A"/>
    <w:rsid w:val="00F431DB"/>
    <w:rsid w:val="00F477BD"/>
    <w:rsid w:val="00F477D4"/>
    <w:rsid w:val="00F50372"/>
    <w:rsid w:val="00F503B2"/>
    <w:rsid w:val="00F53491"/>
    <w:rsid w:val="00F538DC"/>
    <w:rsid w:val="00F53DA7"/>
    <w:rsid w:val="00F61040"/>
    <w:rsid w:val="00F659E4"/>
    <w:rsid w:val="00F65A1C"/>
    <w:rsid w:val="00F66F50"/>
    <w:rsid w:val="00F675B3"/>
    <w:rsid w:val="00F727E1"/>
    <w:rsid w:val="00F82FF8"/>
    <w:rsid w:val="00F8330D"/>
    <w:rsid w:val="00F84305"/>
    <w:rsid w:val="00F8485C"/>
    <w:rsid w:val="00F87149"/>
    <w:rsid w:val="00F87FFE"/>
    <w:rsid w:val="00F91718"/>
    <w:rsid w:val="00F954C9"/>
    <w:rsid w:val="00FA4CF0"/>
    <w:rsid w:val="00FA61AA"/>
    <w:rsid w:val="00FA69A4"/>
    <w:rsid w:val="00FB0885"/>
    <w:rsid w:val="00FB1279"/>
    <w:rsid w:val="00FB1495"/>
    <w:rsid w:val="00FB2E9B"/>
    <w:rsid w:val="00FB524C"/>
    <w:rsid w:val="00FB5512"/>
    <w:rsid w:val="00FC0839"/>
    <w:rsid w:val="00FC6D9C"/>
    <w:rsid w:val="00FD0A5B"/>
    <w:rsid w:val="00FD1694"/>
    <w:rsid w:val="00FD6265"/>
    <w:rsid w:val="00FD7636"/>
    <w:rsid w:val="00FE0BB9"/>
    <w:rsid w:val="00FE1109"/>
    <w:rsid w:val="00FE3229"/>
    <w:rsid w:val="00FE74C3"/>
    <w:rsid w:val="00FF1C90"/>
    <w:rsid w:val="00FF1DDA"/>
    <w:rsid w:val="00FF215C"/>
    <w:rsid w:val="00FF49E8"/>
    <w:rsid w:val="00FF560F"/>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Body Text 2" w:uiPriority="0"/>
    <w:lsdException w:name="Body Text Indent 3" w:uiPriority="0"/>
    <w:lsdException w:name="Strong" w:semiHidden="0" w:uiPriority="22" w:unhideWhenUsed="0"/>
    <w:lsdException w:name="Emphasis" w:semiHidden="0" w:uiPriority="0" w:unhideWhenUsed="0" w:qFormat="1"/>
    <w:lsdException w:name="Document Map" w:uiPriority="0"/>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D22439"/>
    <w:pPr>
      <w:spacing w:after="120"/>
      <w:outlineLvl w:val="0"/>
    </w:pPr>
    <w:rPr>
      <w:rFonts w:cs="Arial"/>
      <w:b/>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D22439"/>
    <w:rPr>
      <w:rFonts w:cs="Arial"/>
      <w:b/>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91608"/>
    <w:pPr>
      <w:numPr>
        <w:numId w:val="7"/>
      </w:numPr>
    </w:p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6"/>
      </w:numPr>
    </w:pPr>
  </w:style>
  <w:style w:type="paragraph" w:styleId="ListNumber2">
    <w:name w:val="List Number 2"/>
    <w:basedOn w:val="Normal"/>
    <w:uiPriority w:val="99"/>
    <w:rsid w:val="00005CAA"/>
    <w:pPr>
      <w:numPr>
        <w:ilvl w:val="1"/>
        <w:numId w:val="6"/>
      </w:numPr>
    </w:pPr>
  </w:style>
  <w:style w:type="paragraph" w:styleId="ListNumber3">
    <w:name w:val="List Number 3"/>
    <w:basedOn w:val="Normal"/>
    <w:uiPriority w:val="99"/>
    <w:rsid w:val="00005CAA"/>
    <w:pPr>
      <w:numPr>
        <w:ilvl w:val="2"/>
        <w:numId w:val="6"/>
      </w:numPr>
    </w:p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b/>
      <w:bCs/>
    </w:rPr>
  </w:style>
  <w:style w:type="paragraph" w:customStyle="1" w:styleId="bodytext">
    <w:name w:val="body text"/>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olor w:val="365F91"/>
      <w:sz w:val="28"/>
      <w:szCs w:val="28"/>
      <w:lang w:val="en-US"/>
    </w:rPr>
  </w:style>
  <w:style w:type="paragraph" w:styleId="TOC1">
    <w:name w:val="toc 1"/>
    <w:basedOn w:val="Normal"/>
    <w:next w:val="Normal"/>
    <w:autoRedefine/>
    <w:uiPriority w:val="39"/>
    <w:unhideWhenUsed/>
    <w:rsid w:val="005E12BF"/>
    <w:pPr>
      <w:tabs>
        <w:tab w:val="right" w:leader="dot" w:pos="8364"/>
      </w:tabs>
      <w:spacing w:after="100" w:line="240" w:lineRule="auto"/>
      <w:ind w:left="993" w:right="941" w:hanging="993"/>
    </w:pPr>
    <w:rPr>
      <w:rFonts w:eastAsia="Times New Roman" w:cs="Arial"/>
      <w:b/>
      <w:noProof/>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character" w:styleId="FollowedHyperlink">
    <w:name w:val="FollowedHyperlink"/>
    <w:basedOn w:val="DefaultParagraphFont"/>
    <w:uiPriority w:val="99"/>
    <w:semiHidden/>
    <w:unhideWhenUsed/>
    <w:rsid w:val="00534AFF"/>
    <w:rPr>
      <w:color w:val="800080" w:themeColor="followedHyperlink"/>
      <w:u w:val="single"/>
    </w:rPr>
  </w:style>
  <w:style w:type="paragraph" w:customStyle="1" w:styleId="AFMANormal">
    <w:name w:val="AFMA Normal"/>
    <w:link w:val="AFMANormalChar"/>
    <w:rsid w:val="00CD3FE7"/>
    <w:pPr>
      <w:spacing w:before="240"/>
      <w:jc w:val="both"/>
    </w:pPr>
    <w:rPr>
      <w:rFonts w:ascii="Times New Roman" w:eastAsia="Times New Roman" w:hAnsi="Times New Roman"/>
      <w:kern w:val="20"/>
      <w:sz w:val="24"/>
      <w:lang w:eastAsia="en-US"/>
    </w:rPr>
  </w:style>
  <w:style w:type="character" w:customStyle="1" w:styleId="AFMANormalChar">
    <w:name w:val="AFMA Normal Char"/>
    <w:link w:val="AFMANormal"/>
    <w:rsid w:val="00CD3FE7"/>
    <w:rPr>
      <w:rFonts w:ascii="Times New Roman" w:eastAsia="Times New Roman" w:hAnsi="Times New Roman"/>
      <w:kern w:val="20"/>
      <w:sz w:val="24"/>
      <w:lang w:eastAsia="en-US"/>
    </w:rPr>
  </w:style>
  <w:style w:type="paragraph" w:styleId="TOC3">
    <w:name w:val="toc 3"/>
    <w:basedOn w:val="Normal"/>
    <w:next w:val="Normal"/>
    <w:autoRedefine/>
    <w:uiPriority w:val="39"/>
    <w:unhideWhenUsed/>
    <w:rsid w:val="005E12BF"/>
    <w:pPr>
      <w:spacing w:after="100"/>
      <w:ind w:left="440"/>
    </w:pPr>
  </w:style>
  <w:style w:type="paragraph" w:styleId="Revision">
    <w:name w:val="Revision"/>
    <w:hidden/>
    <w:uiPriority w:val="99"/>
    <w:semiHidden/>
    <w:rsid w:val="00791D18"/>
    <w:rPr>
      <w:sz w:val="22"/>
      <w:szCs w:val="22"/>
      <w:lang w:eastAsia="en-US"/>
    </w:rPr>
  </w:style>
  <w:style w:type="paragraph" w:styleId="EndnoteText">
    <w:name w:val="endnote text"/>
    <w:basedOn w:val="Normal"/>
    <w:link w:val="EndnoteTextChar"/>
    <w:uiPriority w:val="99"/>
    <w:semiHidden/>
    <w:unhideWhenUsed/>
    <w:rsid w:val="00791D1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91D18"/>
    <w:rPr>
      <w:lang w:eastAsia="en-US"/>
    </w:rPr>
  </w:style>
  <w:style w:type="character" w:styleId="EndnoteReference">
    <w:name w:val="endnote reference"/>
    <w:basedOn w:val="DefaultParagraphFont"/>
    <w:uiPriority w:val="99"/>
    <w:semiHidden/>
    <w:unhideWhenUsed/>
    <w:rsid w:val="00791D18"/>
    <w:rPr>
      <w:vertAlign w:val="superscript"/>
    </w:rPr>
  </w:style>
</w:styles>
</file>

<file path=word/webSettings.xml><?xml version="1.0" encoding="utf-8"?>
<w:webSettings xmlns:r="http://schemas.openxmlformats.org/officeDocument/2006/relationships" xmlns:w="http://schemas.openxmlformats.org/wordprocessingml/2006/main">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agriculture.gov.au/abares/publications/display?url=http://143.188.17.20/anrdl/DAFFService/display.php?fid=pb_fsr11d9abm_0022011_11a.xml" TargetMode="External"/><Relationship Id="rId117" Type="http://schemas.openxmlformats.org/officeDocument/2006/relationships/hyperlink" Target="http://www.agriculture.gov.au/abares/publications/display?url=http://143.188.17.20/anrdl/DAFFService/display.php?fid=pb_fsr11d9abm_0022011_11a.xml" TargetMode="External"/><Relationship Id="rId21" Type="http://schemas.openxmlformats.org/officeDocument/2006/relationships/hyperlink" Target="http://www.ccamlr.org/en/system/files/11%20TOT5841%202014.pdf" TargetMode="External"/><Relationship Id="rId42" Type="http://schemas.openxmlformats.org/officeDocument/2006/relationships/hyperlink" Target="https://www.ccamlr.org/en/measure-21-02-2015" TargetMode="External"/><Relationship Id="rId47" Type="http://schemas.openxmlformats.org/officeDocument/2006/relationships/hyperlink" Target="https://www.ccamlr.org/en/measure-33-03-2015" TargetMode="External"/><Relationship Id="rId63" Type="http://schemas.openxmlformats.org/officeDocument/2006/relationships/hyperlink" Target="http://www.afma.gov.au/wp-content/uploads/2015/02/Guide-to-CCAMLR-New-and-Exploratory-Fisheries-FINAL1.docx" TargetMode="External"/><Relationship Id="rId68" Type="http://schemas.openxmlformats.org/officeDocument/2006/relationships/hyperlink" Target="https://www.ccamlr.org/en/conservation-and-management/browse-conservation-measures" TargetMode="External"/><Relationship Id="rId84" Type="http://schemas.openxmlformats.org/officeDocument/2006/relationships/hyperlink" Target="https://www.ccamlr.org/en/measure-22-08-2009" TargetMode="External"/><Relationship Id="rId89" Type="http://schemas.openxmlformats.org/officeDocument/2006/relationships/hyperlink" Target="https://www.ccamlr.org/en/system/files/12%20TOT5842%202014.pdf" TargetMode="External"/><Relationship Id="rId112" Type="http://schemas.openxmlformats.org/officeDocument/2006/relationships/footer" Target="footer7.xml"/><Relationship Id="rId16" Type="http://schemas.openxmlformats.org/officeDocument/2006/relationships/hyperlink" Target="https://www.comlaw.gov.au/Series/C2004A02408" TargetMode="External"/><Relationship Id="rId107" Type="http://schemas.openxmlformats.org/officeDocument/2006/relationships/hyperlink" Target="http://www.comlaw.gov.au/" TargetMode="External"/><Relationship Id="rId11" Type="http://schemas.openxmlformats.org/officeDocument/2006/relationships/header" Target="header2.xml"/><Relationship Id="rId32" Type="http://schemas.openxmlformats.org/officeDocument/2006/relationships/chart" Target="charts/chart1.xml"/><Relationship Id="rId37" Type="http://schemas.openxmlformats.org/officeDocument/2006/relationships/hyperlink" Target="https://www.ccamlr.org/en/measure-41-05-2015" TargetMode="External"/><Relationship Id="rId53" Type="http://schemas.openxmlformats.org/officeDocument/2006/relationships/hyperlink" Target="https://www.comlaw.gov.au/Series/F2014L01196" TargetMode="External"/><Relationship Id="rId58" Type="http://schemas.openxmlformats.org/officeDocument/2006/relationships/hyperlink" Target="https://www.ccamlr.org/en/measure-22-08-2009" TargetMode="External"/><Relationship Id="rId74" Type="http://schemas.openxmlformats.org/officeDocument/2006/relationships/hyperlink" Target="https://www.ccamlr.org/en/system/files/e-fsa-15-v1.pdf" TargetMode="External"/><Relationship Id="rId79" Type="http://schemas.openxmlformats.org/officeDocument/2006/relationships/hyperlink" Target="http://www.ccamlr.org/en/system/files/11%20TOT5841%202014.pdf" TargetMode="External"/><Relationship Id="rId102" Type="http://schemas.openxmlformats.org/officeDocument/2006/relationships/hyperlink" Target="http://www.afma.gov.au/wp-content/uploads/2010/06/antbap03.pdf" TargetMode="External"/><Relationship Id="rId123" Type="http://schemas.openxmlformats.org/officeDocument/2006/relationships/hyperlink" Target="https://www.ccamlr.org/en/system/files/12%20TOT5842%202014.pdf" TargetMode="External"/><Relationship Id="rId5" Type="http://schemas.openxmlformats.org/officeDocument/2006/relationships/webSettings" Target="webSettings.xml"/><Relationship Id="rId61" Type="http://schemas.openxmlformats.org/officeDocument/2006/relationships/footer" Target="footer5.xml"/><Relationship Id="rId82" Type="http://schemas.openxmlformats.org/officeDocument/2006/relationships/hyperlink" Target="https://www.ccamlr.org/en/system/files/e-fsa-15-v1.pdf" TargetMode="External"/><Relationship Id="rId90" Type="http://schemas.openxmlformats.org/officeDocument/2006/relationships/hyperlink" Target="https://www.ccamlr.org/en/publications/fishery-reports-2014" TargetMode="External"/><Relationship Id="rId95" Type="http://schemas.openxmlformats.org/officeDocument/2006/relationships/hyperlink" Target="https://www.ccamlr.org/en/publications/fishery-reports-2014" TargetMode="External"/><Relationship Id="rId19" Type="http://schemas.openxmlformats.org/officeDocument/2006/relationships/hyperlink" Target="http://www.afma.gov.au/wp-content/uploads/2015/02/Guide-to-CCAMLR-New-and-Exploratory-Fisheries-FINAL1.docx" TargetMode="External"/><Relationship Id="rId14" Type="http://schemas.openxmlformats.org/officeDocument/2006/relationships/header" Target="header3.xml"/><Relationship Id="rId22" Type="http://schemas.openxmlformats.org/officeDocument/2006/relationships/hyperlink" Target="https://www.ccamlr.org/en/system/files/12%20TOT5842%202014.pdf" TargetMode="External"/><Relationship Id="rId27" Type="http://schemas.openxmlformats.org/officeDocument/2006/relationships/hyperlink" Target="https://en.wikipedia.org/wiki/Antarctic_Convergence" TargetMode="External"/><Relationship Id="rId30" Type="http://schemas.openxmlformats.org/officeDocument/2006/relationships/hyperlink" Target="https://www.ccamlr.org/en/measure-41-11-2015" TargetMode="External"/><Relationship Id="rId35" Type="http://schemas.openxmlformats.org/officeDocument/2006/relationships/hyperlink" Target="http://www.ccamlr.org/en/system/files/12%20TOT5842%202014.pdf" TargetMode="External"/><Relationship Id="rId43" Type="http://schemas.openxmlformats.org/officeDocument/2006/relationships/hyperlink" Target="https://www.ccamlr.org/en/measure-41-01-2015" TargetMode="External"/><Relationship Id="rId48" Type="http://schemas.openxmlformats.org/officeDocument/2006/relationships/hyperlink" Target="https://www.ccamlr.org/en/measure-22-08-2009" TargetMode="External"/><Relationship Id="rId56" Type="http://schemas.openxmlformats.org/officeDocument/2006/relationships/hyperlink" Target="https://www.ccamlr.org/en/measure-22-06-2015" TargetMode="External"/><Relationship Id="rId64" Type="http://schemas.openxmlformats.org/officeDocument/2006/relationships/hyperlink" Target="http://www.agriculture.gov.au/abares/publications/display?url=http://143.188.17.20/anrdl/DAFFService/display.php?fid=pb_fsr11d9abm_0022011_11a.xml" TargetMode="External"/><Relationship Id="rId69" Type="http://schemas.openxmlformats.org/officeDocument/2006/relationships/hyperlink" Target="http://www.antarctica.gov.au/__data/assets/pdf_file/0018/40635/Recovery-Plan_FINAL.pdf" TargetMode="External"/><Relationship Id="rId77" Type="http://schemas.openxmlformats.org/officeDocument/2006/relationships/hyperlink" Target="https://www.ccamlr.org/en/system/files/e-fsa-15-v1.pdf" TargetMode="External"/><Relationship Id="rId100" Type="http://schemas.openxmlformats.org/officeDocument/2006/relationships/hyperlink" Target="http://www.ccamlr.org/en/system/files/11%20TOT5841%202014.pdf" TargetMode="External"/><Relationship Id="rId105" Type="http://schemas.openxmlformats.org/officeDocument/2006/relationships/hyperlink" Target="https://www.comlaw.gov.au/Series/F2014L01196" TargetMode="External"/><Relationship Id="rId113" Type="http://schemas.openxmlformats.org/officeDocument/2006/relationships/header" Target="header6.xml"/><Relationship Id="rId118" Type="http://schemas.openxmlformats.org/officeDocument/2006/relationships/hyperlink" Target="http://www.fao.org/fishery/topic/166310/en" TargetMode="External"/><Relationship Id="rId8" Type="http://schemas.openxmlformats.org/officeDocument/2006/relationships/image" Target="media/image1.png"/><Relationship Id="rId51" Type="http://schemas.openxmlformats.org/officeDocument/2006/relationships/hyperlink" Target="https://www.ccamlr.org/en/conservation-and-management/browse-conservation-measures" TargetMode="External"/><Relationship Id="rId72" Type="http://schemas.openxmlformats.org/officeDocument/2006/relationships/hyperlink" Target="http://www.ccamlr.org/en/system/files/11%20TOT5841%202014.pdf" TargetMode="External"/><Relationship Id="rId80" Type="http://schemas.openxmlformats.org/officeDocument/2006/relationships/hyperlink" Target="http://www.ccamlr.org/en/system/files/12%20TOT5842%202014.pdf" TargetMode="External"/><Relationship Id="rId85" Type="http://schemas.openxmlformats.org/officeDocument/2006/relationships/hyperlink" Target="https://www.ccamlr.org/en/measure-33-03-2015" TargetMode="External"/><Relationship Id="rId93" Type="http://schemas.openxmlformats.org/officeDocument/2006/relationships/hyperlink" Target="http://www.afma.gov.au/wp-content/uploads/2014/11/Sustainability-Assessment-for-Fishing-Effect-SPF-April-2009.pdf" TargetMode="External"/><Relationship Id="rId98" Type="http://schemas.openxmlformats.org/officeDocument/2006/relationships/hyperlink" Target="https://www.comlaw.gov.au/Series/F2014L01196" TargetMode="External"/><Relationship Id="rId121" Type="http://schemas.openxmlformats.org/officeDocument/2006/relationships/hyperlink" Target="https://www.ccamlr.org/en/system/files/e-schedule2015-16_1.pdf"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www.comlaw.gov.au/Series/C2004A04237" TargetMode="External"/><Relationship Id="rId25" Type="http://schemas.openxmlformats.org/officeDocument/2006/relationships/image" Target="media/image4.emf"/><Relationship Id="rId33" Type="http://schemas.openxmlformats.org/officeDocument/2006/relationships/hyperlink" Target="https://www.ccamlr.org/en/publications/fishery-reports-2014" TargetMode="External"/><Relationship Id="rId38" Type="http://schemas.openxmlformats.org/officeDocument/2006/relationships/hyperlink" Target="https://www.ccamlr.org/en/measure-41-11-2015" TargetMode="External"/><Relationship Id="rId46" Type="http://schemas.openxmlformats.org/officeDocument/2006/relationships/hyperlink" Target="http://data.daff.gov.au/data/warehouse/9aam/fsrXXd9abm_/fsr11d9abm_0022011/28_FishStatus2011AntarcticWaters_1.00.pdf" TargetMode="External"/><Relationship Id="rId59" Type="http://schemas.openxmlformats.org/officeDocument/2006/relationships/hyperlink" Target="https://www.ccamlr.org/en/measure-22-09-2012" TargetMode="External"/><Relationship Id="rId67" Type="http://schemas.openxmlformats.org/officeDocument/2006/relationships/hyperlink" Target="http://www.afma.gov.au/wp-content/uploads/2014/11/Bycatch-and-discard-workplan-2013-2.pdf" TargetMode="External"/><Relationship Id="rId103" Type="http://schemas.openxmlformats.org/officeDocument/2006/relationships/hyperlink" Target="https://www.ccamlr.org/en/conservation-and-management/browse-conservation-measures" TargetMode="External"/><Relationship Id="rId108" Type="http://schemas.openxmlformats.org/officeDocument/2006/relationships/hyperlink" Target="http://www.environment.gov.au/resource/guidelines-ecologically-sustainable-management-fisheries" TargetMode="External"/><Relationship Id="rId116" Type="http://schemas.openxmlformats.org/officeDocument/2006/relationships/hyperlink" Target="https://www.ccamlr.org/en/wg-fsa-11/35" TargetMode="External"/><Relationship Id="rId124" Type="http://schemas.openxmlformats.org/officeDocument/2006/relationships/fontTable" Target="fontTable.xml"/><Relationship Id="rId20" Type="http://schemas.openxmlformats.org/officeDocument/2006/relationships/hyperlink" Target="https://www.ccamlr.org/en/system/files/e-schedule2015-16_1.pdf" TargetMode="External"/><Relationship Id="rId41" Type="http://schemas.openxmlformats.org/officeDocument/2006/relationships/hyperlink" Target="http://www.ccamlr.org/en/conservation-and-management/conservation-measures" TargetMode="External"/><Relationship Id="rId54" Type="http://schemas.openxmlformats.org/officeDocument/2006/relationships/hyperlink" Target="http://acap.aq/en/acap-agreement/206-agreement-on-the-conservation-of-albatrosses-and-petrels/file" TargetMode="External"/><Relationship Id="rId62" Type="http://schemas.openxmlformats.org/officeDocument/2006/relationships/hyperlink" Target="https://www.ccamlr.org/en" TargetMode="External"/><Relationship Id="rId70" Type="http://schemas.openxmlformats.org/officeDocument/2006/relationships/hyperlink" Target="https://www.comlaw.gov.au/Series/F2014L01196" TargetMode="External"/><Relationship Id="rId75" Type="http://schemas.openxmlformats.org/officeDocument/2006/relationships/hyperlink" Target="https://www.ccamlr.org/en/system/files/e-fsa-15-v1.pdf" TargetMode="External"/><Relationship Id="rId83" Type="http://schemas.openxmlformats.org/officeDocument/2006/relationships/hyperlink" Target="https://www.ccamlr.org/en/system/files/e-cc-prelim-v4.pdf" TargetMode="External"/><Relationship Id="rId88" Type="http://schemas.openxmlformats.org/officeDocument/2006/relationships/hyperlink" Target="http://www.ccamlr.org/en/system/files/11%20TOT5841%202014.pdf" TargetMode="External"/><Relationship Id="rId91" Type="http://schemas.openxmlformats.org/officeDocument/2006/relationships/hyperlink" Target="http://www.afma.gov.au/wp-content/uploads/2010/06/antbap03.pdf" TargetMode="External"/><Relationship Id="rId96" Type="http://schemas.openxmlformats.org/officeDocument/2006/relationships/hyperlink" Target="https://www.ccamlr.org/en/conservation-and-management/browse-conservation-measures" TargetMode="External"/><Relationship Id="rId111"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image" Target="media/image3.gif"/><Relationship Id="rId28" Type="http://schemas.openxmlformats.org/officeDocument/2006/relationships/hyperlink" Target="http://www.ccamlr.org/en/publications/fishing-gear-library" TargetMode="External"/><Relationship Id="rId36" Type="http://schemas.openxmlformats.org/officeDocument/2006/relationships/hyperlink" Target="http://www.ccamlr.org/en/conservation-and-management/conservation-measures" TargetMode="External"/><Relationship Id="rId49" Type="http://schemas.openxmlformats.org/officeDocument/2006/relationships/hyperlink" Target="https://www.ccamlr.org/en/publications/fishery-reports-2014" TargetMode="External"/><Relationship Id="rId57" Type="http://schemas.openxmlformats.org/officeDocument/2006/relationships/hyperlink" Target="https://www.ccamlr.org/en/measure-22-07-2013" TargetMode="External"/><Relationship Id="rId106" Type="http://schemas.openxmlformats.org/officeDocument/2006/relationships/hyperlink" Target="http://acap.aq/en/acap-agreement/206-agreement-on-the-conservation-of-albatrosses-and-petrels/file" TargetMode="External"/><Relationship Id="rId114" Type="http://schemas.openxmlformats.org/officeDocument/2006/relationships/footer" Target="footer8.xml"/><Relationship Id="rId119" Type="http://schemas.openxmlformats.org/officeDocument/2006/relationships/hyperlink" Target="http://www.fao.org/docrep/011/i0816t/i0816t00.htm" TargetMode="External"/><Relationship Id="rId10" Type="http://schemas.openxmlformats.org/officeDocument/2006/relationships/header" Target="header1.xml"/><Relationship Id="rId31" Type="http://schemas.openxmlformats.org/officeDocument/2006/relationships/hyperlink" Target="https://www.ccamlr.org/en/measure-41-05-2015" TargetMode="External"/><Relationship Id="rId44" Type="http://schemas.openxmlformats.org/officeDocument/2006/relationships/hyperlink" Target="https://www.ccamlr.org/en/measure-41-11-2015" TargetMode="External"/><Relationship Id="rId52" Type="http://schemas.openxmlformats.org/officeDocument/2006/relationships/hyperlink" Target="http://www.antarctica.gov.au/__data/assets/pdf_file/0018/40635/Recovery-Plan_FINAL.pdf" TargetMode="External"/><Relationship Id="rId60" Type="http://schemas.openxmlformats.org/officeDocument/2006/relationships/footer" Target="footer4.xml"/><Relationship Id="rId65" Type="http://schemas.openxmlformats.org/officeDocument/2006/relationships/hyperlink" Target="http://www.afma.gov.au/wp-content/uploads/2010/06/antbap03.pdf" TargetMode="External"/><Relationship Id="rId73" Type="http://schemas.openxmlformats.org/officeDocument/2006/relationships/hyperlink" Target="https://www.ccamlr.org/en/system/files/12%20TOT5842%202014.pdf" TargetMode="External"/><Relationship Id="rId78" Type="http://schemas.openxmlformats.org/officeDocument/2006/relationships/hyperlink" Target="https://www.ccamlr.org/en/system/files/e-fsa-15-v1.pdf" TargetMode="External"/><Relationship Id="rId81" Type="http://schemas.openxmlformats.org/officeDocument/2006/relationships/hyperlink" Target="http://www.ccamlr.org/en/compliance/catch-documentation-scheme-cds" TargetMode="External"/><Relationship Id="rId86" Type="http://schemas.openxmlformats.org/officeDocument/2006/relationships/hyperlink" Target="http://data.daff.gov.au/data/warehouse/9aam/fsrXXd9abm_/fsr12d9abm_00220131029/01_FishStatus2012Start_1.00.pdf" TargetMode="External"/><Relationship Id="rId94" Type="http://schemas.openxmlformats.org/officeDocument/2006/relationships/hyperlink" Target="http://www.ccamlr.org/en/system/files/cc-xxvii-19-Annex1.pdf" TargetMode="External"/><Relationship Id="rId99" Type="http://schemas.openxmlformats.org/officeDocument/2006/relationships/hyperlink" Target="http://acap.aq/en/acap-agreement/206-agreement-on-the-conservation-of-albatrosses-and-petrels/file" TargetMode="External"/><Relationship Id="rId101" Type="http://schemas.openxmlformats.org/officeDocument/2006/relationships/hyperlink" Target="https://www.ccamlr.org/en/system/files/12%20TOT5842%202014.pdf" TargetMode="External"/><Relationship Id="rId122" Type="http://schemas.openxmlformats.org/officeDocument/2006/relationships/hyperlink" Target="http://www.ccamlr.org/en/system/files/11%20TOT5841%202014.pdf" TargetMode="External"/><Relationship Id="rId4" Type="http://schemas.openxmlformats.org/officeDocument/2006/relationships/settings" Target="settings.xml"/><Relationship Id="rId9" Type="http://schemas.openxmlformats.org/officeDocument/2006/relationships/image" Target="media/image2.jpeg"/><Relationship Id="rId13" Type="http://schemas.openxmlformats.org/officeDocument/2006/relationships/footer" Target="footer2.xml"/><Relationship Id="rId18" Type="http://schemas.openxmlformats.org/officeDocument/2006/relationships/hyperlink" Target="https://www.comlaw.gov.au/Series/F1996B03810" TargetMode="External"/><Relationship Id="rId39" Type="http://schemas.openxmlformats.org/officeDocument/2006/relationships/hyperlink" Target="https://www.ccamlr.org/en/measure-33-03-2015" TargetMode="External"/><Relationship Id="rId109" Type="http://schemas.openxmlformats.org/officeDocument/2006/relationships/header" Target="header4.xml"/><Relationship Id="rId34" Type="http://schemas.openxmlformats.org/officeDocument/2006/relationships/hyperlink" Target="http://www.ccamlr.org/en/system/files/11%20TOT5841%202014.pdf" TargetMode="External"/><Relationship Id="rId50" Type="http://schemas.openxmlformats.org/officeDocument/2006/relationships/hyperlink" Target="https://www.ccamlr.org/en/publications/fishery-reports-2014" TargetMode="External"/><Relationship Id="rId55" Type="http://schemas.openxmlformats.org/officeDocument/2006/relationships/hyperlink" Target="https://www.ccamlr.org/en/measure-22-05-2008" TargetMode="External"/><Relationship Id="rId76" Type="http://schemas.openxmlformats.org/officeDocument/2006/relationships/hyperlink" Target="https://www.ccamlr.org/en/publications/fishery-reports-2014" TargetMode="External"/><Relationship Id="rId97" Type="http://schemas.openxmlformats.org/officeDocument/2006/relationships/hyperlink" Target="http://www.antarctica.gov.au/__data/assets/pdf_file/0018/40635/Recovery-Plan_FINAL.pdf" TargetMode="External"/><Relationship Id="rId104" Type="http://schemas.openxmlformats.org/officeDocument/2006/relationships/hyperlink" Target="http://www.antarctica.gov.au/__data/assets/pdf_file/0018/40635/Recovery-Plan_FINAL.pdf" TargetMode="External"/><Relationship Id="rId120" Type="http://schemas.openxmlformats.org/officeDocument/2006/relationships/hyperlink" Target="http://www.afma.gov.au/wp-content/uploads/2015/02/Guide-to-CCAMLR-New-and-Exploratory-Fisheries-FINAL1.docx" TargetMode="External"/><Relationship Id="rId125"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acap.aq/en/acap-agreement/206-agreement-on-the-conservation-of-albatrosses-and-petrels/file" TargetMode="External"/><Relationship Id="rId92" Type="http://schemas.openxmlformats.org/officeDocument/2006/relationships/hyperlink" Target="http://www.afma.gov.au/wp-content/uploads/2010/06/antbap03.pdf" TargetMode="External"/><Relationship Id="rId2" Type="http://schemas.openxmlformats.org/officeDocument/2006/relationships/numbering" Target="numbering.xml"/><Relationship Id="rId29" Type="http://schemas.openxmlformats.org/officeDocument/2006/relationships/hyperlink" Target="https://www.ccamlr.org/en/measure-32-01-2001" TargetMode="External"/><Relationship Id="rId24" Type="http://schemas.openxmlformats.org/officeDocument/2006/relationships/hyperlink" Target="http://www.ccamlr.org/en/organisation/convention-area" TargetMode="External"/><Relationship Id="rId40" Type="http://schemas.openxmlformats.org/officeDocument/2006/relationships/hyperlink" Target="https://www.ccamlr.org/en/measure-22-07-2013" TargetMode="External"/><Relationship Id="rId45" Type="http://schemas.openxmlformats.org/officeDocument/2006/relationships/hyperlink" Target="https://www.ccamlr.org/en/measure-41-05-2015" TargetMode="External"/><Relationship Id="rId66" Type="http://schemas.openxmlformats.org/officeDocument/2006/relationships/hyperlink" Target="http://www.afma.gov.au/wp-content/uploads/2010/06/antbap03.pdf" TargetMode="External"/><Relationship Id="rId87" Type="http://schemas.openxmlformats.org/officeDocument/2006/relationships/hyperlink" Target="https://www.ccamlr.org/en/measure-33-03-2015" TargetMode="External"/><Relationship Id="rId110" Type="http://schemas.openxmlformats.org/officeDocument/2006/relationships/header" Target="header5.xml"/><Relationship Id="rId115" Type="http://schemas.openxmlformats.org/officeDocument/2006/relationships/hyperlink" Target="https://www.ccamlr.org/en/wg-sam-14/26"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pvac01file02\user2$\A21126\Profile\Desktop\CCAMLR%20New%20and%20Exploratory\CCAMLR%20Table%20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AU"/>
  <c:chart>
    <c:plotArea>
      <c:layout/>
      <c:barChart>
        <c:barDir val="col"/>
        <c:grouping val="clustered"/>
        <c:ser>
          <c:idx val="0"/>
          <c:order val="0"/>
          <c:tx>
            <c:v>Division 58.4.1</c:v>
          </c:tx>
          <c:cat>
            <c:numRef>
              <c:f>Sheet1!$A$37:$A$47</c:f>
              <c:numCache>
                <c:formatCode>General</c:formatCode>
                <c:ptCount val="11"/>
                <c:pt idx="0">
                  <c:v>2004</c:v>
                </c:pt>
                <c:pt idx="1">
                  <c:v>2005</c:v>
                </c:pt>
                <c:pt idx="2">
                  <c:v>2006</c:v>
                </c:pt>
                <c:pt idx="3">
                  <c:v>2007</c:v>
                </c:pt>
                <c:pt idx="4">
                  <c:v>2008</c:v>
                </c:pt>
                <c:pt idx="5">
                  <c:v>2009</c:v>
                </c:pt>
                <c:pt idx="6">
                  <c:v>2010</c:v>
                </c:pt>
                <c:pt idx="7">
                  <c:v>2011</c:v>
                </c:pt>
                <c:pt idx="8">
                  <c:v>2012</c:v>
                </c:pt>
                <c:pt idx="9">
                  <c:v>2013</c:v>
                </c:pt>
                <c:pt idx="10">
                  <c:v>2014</c:v>
                </c:pt>
              </c:numCache>
            </c:numRef>
          </c:cat>
          <c:val>
            <c:numRef>
              <c:f>Sheet1!$B$37:$B$47</c:f>
              <c:numCache>
                <c:formatCode>General</c:formatCode>
                <c:ptCount val="11"/>
                <c:pt idx="0">
                  <c:v>0</c:v>
                </c:pt>
                <c:pt idx="1">
                  <c:v>480</c:v>
                </c:pt>
                <c:pt idx="2">
                  <c:v>421</c:v>
                </c:pt>
                <c:pt idx="3">
                  <c:v>634</c:v>
                </c:pt>
                <c:pt idx="4">
                  <c:v>410</c:v>
                </c:pt>
                <c:pt idx="5">
                  <c:v>162</c:v>
                </c:pt>
                <c:pt idx="6">
                  <c:v>88</c:v>
                </c:pt>
                <c:pt idx="7">
                  <c:v>113</c:v>
                </c:pt>
                <c:pt idx="8">
                  <c:v>157</c:v>
                </c:pt>
                <c:pt idx="9">
                  <c:v>48</c:v>
                </c:pt>
                <c:pt idx="10">
                  <c:v>101</c:v>
                </c:pt>
              </c:numCache>
            </c:numRef>
          </c:val>
        </c:ser>
        <c:ser>
          <c:idx val="1"/>
          <c:order val="1"/>
          <c:tx>
            <c:v>Division 58.4.2</c:v>
          </c:tx>
          <c:cat>
            <c:numRef>
              <c:f>Sheet1!$A$37:$A$47</c:f>
              <c:numCache>
                <c:formatCode>General</c:formatCode>
                <c:ptCount val="11"/>
                <c:pt idx="0">
                  <c:v>2004</c:v>
                </c:pt>
                <c:pt idx="1">
                  <c:v>2005</c:v>
                </c:pt>
                <c:pt idx="2">
                  <c:v>2006</c:v>
                </c:pt>
                <c:pt idx="3">
                  <c:v>2007</c:v>
                </c:pt>
                <c:pt idx="4">
                  <c:v>2008</c:v>
                </c:pt>
                <c:pt idx="5">
                  <c:v>2009</c:v>
                </c:pt>
                <c:pt idx="6">
                  <c:v>2010</c:v>
                </c:pt>
                <c:pt idx="7">
                  <c:v>2011</c:v>
                </c:pt>
                <c:pt idx="8">
                  <c:v>2012</c:v>
                </c:pt>
                <c:pt idx="9">
                  <c:v>2013</c:v>
                </c:pt>
                <c:pt idx="10">
                  <c:v>2014</c:v>
                </c:pt>
              </c:numCache>
            </c:numRef>
          </c:cat>
          <c:val>
            <c:numRef>
              <c:f>Sheet1!$C$37:$C$47</c:f>
              <c:numCache>
                <c:formatCode>General</c:formatCode>
                <c:ptCount val="11"/>
                <c:pt idx="0">
                  <c:v>20</c:v>
                </c:pt>
                <c:pt idx="1">
                  <c:v>126</c:v>
                </c:pt>
                <c:pt idx="2">
                  <c:v>164</c:v>
                </c:pt>
                <c:pt idx="3">
                  <c:v>124</c:v>
                </c:pt>
                <c:pt idx="4">
                  <c:v>217</c:v>
                </c:pt>
                <c:pt idx="5">
                  <c:v>19</c:v>
                </c:pt>
                <c:pt idx="6">
                  <c:v>0</c:v>
                </c:pt>
                <c:pt idx="7">
                  <c:v>0</c:v>
                </c:pt>
                <c:pt idx="8">
                  <c:v>54</c:v>
                </c:pt>
                <c:pt idx="9">
                  <c:v>4</c:v>
                </c:pt>
                <c:pt idx="10">
                  <c:v>0</c:v>
                </c:pt>
              </c:numCache>
            </c:numRef>
          </c:val>
        </c:ser>
        <c:axId val="111298048"/>
        <c:axId val="111299584"/>
      </c:barChart>
      <c:catAx>
        <c:axId val="111298048"/>
        <c:scaling>
          <c:orientation val="minMax"/>
        </c:scaling>
        <c:axPos val="b"/>
        <c:numFmt formatCode="General" sourceLinked="1"/>
        <c:tickLblPos val="nextTo"/>
        <c:txPr>
          <a:bodyPr rot="-5400000" vert="horz"/>
          <a:lstStyle/>
          <a:p>
            <a:pPr>
              <a:defRPr/>
            </a:pPr>
            <a:endParaRPr lang="en-US"/>
          </a:p>
        </c:txPr>
        <c:crossAx val="111299584"/>
        <c:crosses val="autoZero"/>
        <c:auto val="1"/>
        <c:lblAlgn val="ctr"/>
        <c:lblOffset val="100"/>
      </c:catAx>
      <c:valAx>
        <c:axId val="111299584"/>
        <c:scaling>
          <c:orientation val="minMax"/>
        </c:scaling>
        <c:axPos val="l"/>
        <c:majorGridlines/>
        <c:numFmt formatCode="General" sourceLinked="1"/>
        <c:tickLblPos val="nextTo"/>
        <c:crossAx val="111298048"/>
        <c:crosses val="autoZero"/>
        <c:crossBetween val="between"/>
      </c:valAx>
    </c:plotArea>
    <c:legend>
      <c:legendPos val="r"/>
      <c:layout/>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xml version="1.0" encoding="utf-8"?>
<customUI xmlns="http://schemas.microsoft.com/office/2006/01/customui" xmlns:x="mynameSpace">
  <ribbon>
    <tabs>
      <tab idQ="x:templatestab" label="Template options" keytip="Z">
        <group idQ="x:grpOptions" label="Options">
          <button id="btnAddClassification" label="Add Classification" size="large" onAction="InsertClassification" imageMso="FileDocumentEncrypt"/>
          <button id="btnhelp" label="Show Help" size="large" onAction="ShowHelp" imageMso="Help"/>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F1B669-80B5-4B4D-9371-BB6AE779F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14625</Words>
  <Characters>83364</Characters>
  <Application>Microsoft Office Word</Application>
  <DocSecurity>0</DocSecurity>
  <Lines>694</Lines>
  <Paragraphs>195</Paragraphs>
  <ScaleCrop>false</ScaleCrop>
  <Company/>
  <LinksUpToDate>false</LinksUpToDate>
  <CharactersWithSpaces>97794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CCAMLR Exploratory Fisheries Assessment - December 2015 </dc:title>
  <dc:creator/>
  <cp:lastModifiedBy/>
  <cp:revision>1</cp:revision>
  <dcterms:created xsi:type="dcterms:W3CDTF">2016-02-24T03:34:00Z</dcterms:created>
  <dcterms:modified xsi:type="dcterms:W3CDTF">2016-02-24T03:35:00Z</dcterms:modified>
</cp:coreProperties>
</file>