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68" w:rsidRDefault="001D2768">
      <w:pPr>
        <w:widowControl/>
        <w:spacing w:after="240"/>
        <w:jc w:val="center"/>
        <w:rPr>
          <w:b/>
          <w:sz w:val="28"/>
          <w:szCs w:val="28"/>
          <w:lang w:val="en-GB"/>
        </w:rPr>
      </w:pPr>
      <w:r>
        <w:rPr>
          <w:b/>
          <w:sz w:val="28"/>
          <w:szCs w:val="28"/>
          <w:lang w:val="en-GB"/>
        </w:rPr>
        <w:t>Wildlife Trade Operation Application</w:t>
      </w:r>
    </w:p>
    <w:p w:rsidR="001D2768" w:rsidRPr="00B45F1D" w:rsidRDefault="001D2768">
      <w:pPr>
        <w:widowControl/>
        <w:spacing w:after="240"/>
        <w:jc w:val="center"/>
        <w:rPr>
          <w:sz w:val="24"/>
          <w:szCs w:val="24"/>
          <w:lang w:val="en-GB"/>
        </w:rPr>
      </w:pPr>
    </w:p>
    <w:p w:rsidR="001D2768" w:rsidRDefault="001D2768">
      <w:pPr>
        <w:widowControl/>
        <w:spacing w:after="240"/>
        <w:jc w:val="center"/>
        <w:rPr>
          <w:b/>
          <w:sz w:val="32"/>
          <w:szCs w:val="32"/>
          <w:lang w:val="en-GB"/>
        </w:rPr>
      </w:pPr>
      <w:r>
        <w:rPr>
          <w:b/>
          <w:sz w:val="32"/>
          <w:szCs w:val="32"/>
          <w:lang w:val="en-GB"/>
        </w:rPr>
        <w:t>Management Plan for the Commercial Harvest a</w:t>
      </w:r>
      <w:r w:rsidR="005E22D5">
        <w:rPr>
          <w:b/>
          <w:sz w:val="32"/>
          <w:szCs w:val="32"/>
          <w:lang w:val="en-GB"/>
        </w:rPr>
        <w:t xml:space="preserve">nd Export of </w:t>
      </w:r>
      <w:r w:rsidR="009737E0">
        <w:rPr>
          <w:b/>
          <w:sz w:val="32"/>
          <w:szCs w:val="32"/>
          <w:lang w:val="en-GB"/>
        </w:rPr>
        <w:t>Wallaby</w:t>
      </w:r>
      <w:r>
        <w:rPr>
          <w:b/>
          <w:sz w:val="32"/>
          <w:szCs w:val="32"/>
          <w:lang w:val="en-GB"/>
        </w:rPr>
        <w:t xml:space="preserve"> from Tasmania</w:t>
      </w:r>
    </w:p>
    <w:p w:rsidR="001D2768" w:rsidRDefault="001D2768">
      <w:pPr>
        <w:widowControl/>
        <w:spacing w:after="240"/>
        <w:jc w:val="center"/>
        <w:rPr>
          <w:b/>
          <w:sz w:val="24"/>
          <w:szCs w:val="24"/>
          <w:lang w:val="en-GB"/>
        </w:rPr>
      </w:pPr>
    </w:p>
    <w:p w:rsidR="001D2768" w:rsidRDefault="001D2768" w:rsidP="00B9545C">
      <w:pPr>
        <w:widowControl/>
        <w:jc w:val="center"/>
        <w:rPr>
          <w:b/>
          <w:sz w:val="24"/>
          <w:szCs w:val="24"/>
          <w:lang w:val="en-GB"/>
        </w:rPr>
      </w:pPr>
      <w:bookmarkStart w:id="0" w:name="_GoBack"/>
      <w:r>
        <w:rPr>
          <w:b/>
          <w:sz w:val="24"/>
          <w:szCs w:val="24"/>
          <w:lang w:val="en-GB"/>
        </w:rPr>
        <w:t>Lenah Game Meats Pty. Ltd.</w:t>
      </w:r>
    </w:p>
    <w:bookmarkEnd w:id="0"/>
    <w:p w:rsidR="00B9545C" w:rsidRDefault="00B9545C">
      <w:pPr>
        <w:widowControl/>
        <w:spacing w:after="240"/>
        <w:jc w:val="center"/>
        <w:rPr>
          <w:b/>
          <w:sz w:val="24"/>
          <w:szCs w:val="24"/>
          <w:lang w:val="en-GB"/>
        </w:rPr>
      </w:pPr>
      <w:r>
        <w:rPr>
          <w:b/>
          <w:sz w:val="24"/>
          <w:szCs w:val="24"/>
          <w:lang w:val="en-GB"/>
        </w:rPr>
        <w:t>(in consultation with the Department of Primary Industries, Parks, Water and the Environment)</w:t>
      </w:r>
    </w:p>
    <w:p w:rsidR="001D2768" w:rsidRDefault="001D2768">
      <w:pPr>
        <w:widowControl/>
        <w:spacing w:before="240" w:after="240"/>
        <w:rPr>
          <w:b/>
          <w:sz w:val="28"/>
          <w:szCs w:val="28"/>
          <w:lang w:val="en-GB"/>
        </w:rPr>
      </w:pPr>
      <w:r>
        <w:rPr>
          <w:b/>
          <w:sz w:val="28"/>
          <w:szCs w:val="28"/>
          <w:lang w:val="en-GB"/>
        </w:rPr>
        <w:t>1. Introduction</w:t>
      </w:r>
    </w:p>
    <w:p w:rsidR="005E22D5" w:rsidRDefault="001D2768">
      <w:pPr>
        <w:widowControl/>
        <w:spacing w:after="120"/>
        <w:rPr>
          <w:sz w:val="24"/>
          <w:szCs w:val="24"/>
          <w:lang w:val="en-GB"/>
        </w:rPr>
      </w:pPr>
      <w:r>
        <w:rPr>
          <w:sz w:val="24"/>
          <w:szCs w:val="24"/>
          <w:lang w:val="en-GB"/>
        </w:rPr>
        <w:t>This Plan puts forward a mechan</w:t>
      </w:r>
      <w:r w:rsidR="005E22D5">
        <w:rPr>
          <w:sz w:val="24"/>
          <w:szCs w:val="24"/>
          <w:lang w:val="en-GB"/>
        </w:rPr>
        <w:t xml:space="preserve">ism to enable export of </w:t>
      </w:r>
      <w:r>
        <w:rPr>
          <w:sz w:val="24"/>
          <w:szCs w:val="24"/>
          <w:lang w:val="en-GB"/>
        </w:rPr>
        <w:t xml:space="preserve">wallaby </w:t>
      </w:r>
      <w:r w:rsidR="005E22D5">
        <w:rPr>
          <w:sz w:val="24"/>
          <w:szCs w:val="24"/>
          <w:lang w:val="en-GB"/>
        </w:rPr>
        <w:t>products</w:t>
      </w:r>
      <w:r w:rsidR="003131A8">
        <w:rPr>
          <w:sz w:val="24"/>
          <w:szCs w:val="24"/>
          <w:lang w:val="en-GB"/>
        </w:rPr>
        <w:t xml:space="preserve"> </w:t>
      </w:r>
      <w:r w:rsidR="002E758F">
        <w:rPr>
          <w:sz w:val="24"/>
          <w:szCs w:val="24"/>
          <w:lang w:val="en-GB"/>
        </w:rPr>
        <w:t>from</w:t>
      </w:r>
      <w:r>
        <w:rPr>
          <w:sz w:val="24"/>
          <w:szCs w:val="24"/>
          <w:lang w:val="en-GB"/>
        </w:rPr>
        <w:t xml:space="preserve"> Tasmania. It aims to satisfy the requirements for a small-scale, </w:t>
      </w:r>
      <w:r>
        <w:rPr>
          <w:i/>
          <w:sz w:val="24"/>
          <w:szCs w:val="24"/>
          <w:lang w:val="en-GB"/>
        </w:rPr>
        <w:t>Approved Wildlife Trade Operation</w:t>
      </w:r>
      <w:r>
        <w:rPr>
          <w:sz w:val="24"/>
          <w:szCs w:val="24"/>
          <w:lang w:val="en-GB"/>
        </w:rPr>
        <w:t xml:space="preserve"> (WTO) under Section 303FN of the Commonwealth </w:t>
      </w:r>
      <w:r>
        <w:rPr>
          <w:i/>
          <w:sz w:val="24"/>
          <w:szCs w:val="24"/>
          <w:lang w:val="en-GB"/>
        </w:rPr>
        <w:t xml:space="preserve">Environment Protection and Biodiversity Conservation Act 1999 </w:t>
      </w:r>
      <w:r>
        <w:rPr>
          <w:sz w:val="24"/>
          <w:szCs w:val="24"/>
          <w:lang w:val="en-GB"/>
        </w:rPr>
        <w:t>(EPBC Act)</w:t>
      </w:r>
      <w:r w:rsidR="005E22D5">
        <w:rPr>
          <w:sz w:val="24"/>
          <w:szCs w:val="24"/>
          <w:lang w:val="en-GB"/>
        </w:rPr>
        <w:t xml:space="preserve">, thereby allowing </w:t>
      </w:r>
      <w:r w:rsidR="006538B4">
        <w:rPr>
          <w:sz w:val="24"/>
          <w:szCs w:val="24"/>
          <w:lang w:val="en-GB"/>
        </w:rPr>
        <w:t>wallaby product</w:t>
      </w:r>
      <w:r>
        <w:rPr>
          <w:sz w:val="24"/>
          <w:szCs w:val="24"/>
          <w:lang w:val="en-GB"/>
        </w:rPr>
        <w:t xml:space="preserve"> </w:t>
      </w:r>
      <w:r w:rsidR="005E22D5">
        <w:rPr>
          <w:sz w:val="24"/>
          <w:szCs w:val="24"/>
          <w:lang w:val="en-GB"/>
        </w:rPr>
        <w:t xml:space="preserve">taken under this Plan </w:t>
      </w:r>
      <w:r>
        <w:rPr>
          <w:sz w:val="24"/>
          <w:szCs w:val="24"/>
          <w:lang w:val="en-GB"/>
        </w:rPr>
        <w:t>to be exported to overseas markets.</w:t>
      </w:r>
      <w:r w:rsidR="005E22D5">
        <w:rPr>
          <w:sz w:val="24"/>
          <w:szCs w:val="24"/>
          <w:lang w:val="en-GB"/>
        </w:rPr>
        <w:t xml:space="preserve">   For the purpose of this Plan </w:t>
      </w:r>
    </w:p>
    <w:p w:rsidR="001D2768" w:rsidRDefault="005E22D5" w:rsidP="005E22D5">
      <w:pPr>
        <w:widowControl/>
        <w:numPr>
          <w:ilvl w:val="0"/>
          <w:numId w:val="12"/>
        </w:numPr>
        <w:spacing w:after="120"/>
        <w:rPr>
          <w:sz w:val="24"/>
          <w:szCs w:val="24"/>
          <w:lang w:val="en-GB"/>
        </w:rPr>
      </w:pPr>
      <w:r>
        <w:rPr>
          <w:sz w:val="24"/>
          <w:szCs w:val="24"/>
          <w:lang w:val="en-GB"/>
        </w:rPr>
        <w:t xml:space="preserve">‘wallaby’ refers to both </w:t>
      </w:r>
      <w:r w:rsidRPr="005E22D5">
        <w:rPr>
          <w:i/>
          <w:color w:val="222222"/>
          <w:sz w:val="24"/>
          <w:szCs w:val="24"/>
          <w:shd w:val="clear" w:color="auto" w:fill="FFFFFF"/>
        </w:rPr>
        <w:t>Macropus rufogriseus</w:t>
      </w:r>
      <w:r w:rsidR="003D4A6A">
        <w:rPr>
          <w:i/>
          <w:color w:val="222222"/>
          <w:sz w:val="24"/>
          <w:szCs w:val="24"/>
          <w:shd w:val="clear" w:color="auto" w:fill="FFFFFF"/>
        </w:rPr>
        <w:t xml:space="preserve"> </w:t>
      </w:r>
      <w:r w:rsidR="003D4A6A" w:rsidRPr="003D4A6A">
        <w:rPr>
          <w:color w:val="222222"/>
          <w:sz w:val="24"/>
          <w:szCs w:val="24"/>
          <w:shd w:val="clear" w:color="auto" w:fill="FFFFFF"/>
        </w:rPr>
        <w:t>(Bennetts wallaby)</w:t>
      </w:r>
      <w:r>
        <w:rPr>
          <w:sz w:val="24"/>
          <w:szCs w:val="24"/>
          <w:lang w:val="en-GB"/>
        </w:rPr>
        <w:t xml:space="preserve"> and </w:t>
      </w:r>
      <w:r>
        <w:rPr>
          <w:i/>
          <w:sz w:val="24"/>
          <w:szCs w:val="24"/>
          <w:lang w:val="en-GB"/>
        </w:rPr>
        <w:t>Thylogale billardierii</w:t>
      </w:r>
      <w:r w:rsidR="003D4A6A">
        <w:rPr>
          <w:sz w:val="24"/>
          <w:szCs w:val="24"/>
          <w:lang w:val="en-GB"/>
        </w:rPr>
        <w:t xml:space="preserve"> (rufus wallaby).</w:t>
      </w:r>
    </w:p>
    <w:p w:rsidR="005E22D5" w:rsidRDefault="005E22D5" w:rsidP="005E22D5">
      <w:pPr>
        <w:widowControl/>
        <w:numPr>
          <w:ilvl w:val="0"/>
          <w:numId w:val="12"/>
        </w:numPr>
        <w:spacing w:after="120"/>
        <w:rPr>
          <w:sz w:val="24"/>
          <w:szCs w:val="24"/>
          <w:lang w:val="en-GB"/>
        </w:rPr>
      </w:pPr>
      <w:r>
        <w:rPr>
          <w:sz w:val="24"/>
          <w:szCs w:val="24"/>
          <w:lang w:val="en-GB"/>
        </w:rPr>
        <w:t>‘products’ refers to meat, skins and fur (fibre removed from the skin).</w:t>
      </w:r>
    </w:p>
    <w:p w:rsidR="001D2768" w:rsidRDefault="001D2768">
      <w:pPr>
        <w:widowControl/>
        <w:spacing w:after="120"/>
        <w:rPr>
          <w:sz w:val="24"/>
          <w:szCs w:val="24"/>
          <w:lang w:val="en-GB"/>
        </w:rPr>
      </w:pPr>
      <w:r>
        <w:rPr>
          <w:sz w:val="24"/>
          <w:szCs w:val="24"/>
          <w:lang w:val="en-GB"/>
        </w:rPr>
        <w:t xml:space="preserve">Under the EPBC Act and its associated regulations, an operation is a small-scale operation if it has a low impact on the survival or conservation status of the species to which it relates. This operation can be considered small-scale because the number of specimens it allows to be exported represents only a small proportion of what could be considered a maximum sustainable </w:t>
      </w:r>
      <w:r w:rsidR="005E22D5">
        <w:rPr>
          <w:sz w:val="24"/>
          <w:szCs w:val="24"/>
          <w:lang w:val="en-GB"/>
        </w:rPr>
        <w:t xml:space="preserve">yield from the Tasmanian </w:t>
      </w:r>
      <w:r>
        <w:rPr>
          <w:sz w:val="24"/>
          <w:szCs w:val="24"/>
          <w:lang w:val="en-GB"/>
        </w:rPr>
        <w:t>wallaby population.</w:t>
      </w:r>
    </w:p>
    <w:p w:rsidR="001D2768" w:rsidRDefault="001D2768">
      <w:pPr>
        <w:widowControl/>
        <w:spacing w:after="120"/>
        <w:rPr>
          <w:sz w:val="24"/>
          <w:szCs w:val="24"/>
          <w:lang w:val="en-GB"/>
        </w:rPr>
      </w:pPr>
      <w:r>
        <w:rPr>
          <w:sz w:val="24"/>
          <w:szCs w:val="24"/>
          <w:lang w:val="en-GB"/>
        </w:rPr>
        <w:t>Thi</w:t>
      </w:r>
      <w:r w:rsidR="006538B4">
        <w:rPr>
          <w:sz w:val="24"/>
          <w:szCs w:val="24"/>
          <w:lang w:val="en-GB"/>
        </w:rPr>
        <w:t>s</w:t>
      </w:r>
      <w:r w:rsidR="005E22D5">
        <w:rPr>
          <w:sz w:val="24"/>
          <w:szCs w:val="24"/>
          <w:lang w:val="en-GB"/>
        </w:rPr>
        <w:t xml:space="preserve"> WTO allows for the export of product from 200,000 </w:t>
      </w:r>
      <w:r w:rsidR="006538B4">
        <w:rPr>
          <w:sz w:val="24"/>
          <w:szCs w:val="24"/>
          <w:lang w:val="en-GB"/>
        </w:rPr>
        <w:t>wallaby</w:t>
      </w:r>
      <w:r>
        <w:rPr>
          <w:sz w:val="24"/>
          <w:szCs w:val="24"/>
          <w:lang w:val="en-GB"/>
        </w:rPr>
        <w:t xml:space="preserve"> annually. This is </w:t>
      </w:r>
      <w:r w:rsidR="00346470">
        <w:rPr>
          <w:sz w:val="24"/>
          <w:szCs w:val="24"/>
          <w:lang w:val="en-GB"/>
        </w:rPr>
        <w:t>only approx 20</w:t>
      </w:r>
      <w:r w:rsidR="006538B4">
        <w:rPr>
          <w:sz w:val="24"/>
          <w:szCs w:val="24"/>
          <w:lang w:val="en-GB"/>
        </w:rPr>
        <w:t>% of</w:t>
      </w:r>
      <w:r w:rsidR="00346470">
        <w:rPr>
          <w:sz w:val="24"/>
          <w:szCs w:val="24"/>
          <w:lang w:val="en-GB"/>
        </w:rPr>
        <w:t xml:space="preserve"> the long term average</w:t>
      </w:r>
      <w:r>
        <w:rPr>
          <w:sz w:val="24"/>
          <w:szCs w:val="24"/>
          <w:lang w:val="en-GB"/>
        </w:rPr>
        <w:t xml:space="preserve"> </w:t>
      </w:r>
      <w:r w:rsidR="006538B4">
        <w:rPr>
          <w:sz w:val="24"/>
          <w:szCs w:val="24"/>
          <w:lang w:val="en-GB"/>
        </w:rPr>
        <w:t>cull</w:t>
      </w:r>
      <w:r>
        <w:rPr>
          <w:sz w:val="24"/>
          <w:szCs w:val="24"/>
          <w:lang w:val="en-GB"/>
        </w:rPr>
        <w:t xml:space="preserve"> in Tasmania</w:t>
      </w:r>
      <w:r w:rsidR="00346470">
        <w:rPr>
          <w:sz w:val="24"/>
          <w:szCs w:val="24"/>
          <w:lang w:val="en-GB"/>
        </w:rPr>
        <w:t>.  This long term cull</w:t>
      </w:r>
      <w:r>
        <w:rPr>
          <w:sz w:val="24"/>
          <w:szCs w:val="24"/>
          <w:lang w:val="en-GB"/>
        </w:rPr>
        <w:t xml:space="preserve"> appears to have had no impact on the population (see section 4).</w:t>
      </w:r>
      <w:r w:rsidR="005E22D5">
        <w:rPr>
          <w:sz w:val="24"/>
          <w:szCs w:val="24"/>
          <w:lang w:val="en-GB"/>
        </w:rPr>
        <w:t xml:space="preserve">  This WTO will replace that currently in-place </w:t>
      </w:r>
      <w:r w:rsidR="00346470">
        <w:rPr>
          <w:sz w:val="24"/>
          <w:szCs w:val="24"/>
          <w:lang w:val="en-GB"/>
        </w:rPr>
        <w:t xml:space="preserve">and due to soon expire </w:t>
      </w:r>
      <w:r w:rsidR="005E22D5">
        <w:rPr>
          <w:sz w:val="24"/>
          <w:szCs w:val="24"/>
          <w:lang w:val="en-GB"/>
        </w:rPr>
        <w:t xml:space="preserve">of a similar nature submitted by Monks enterprises, which is no longer operating. </w:t>
      </w:r>
      <w:r w:rsidR="00F556AE">
        <w:rPr>
          <w:sz w:val="24"/>
          <w:szCs w:val="24"/>
          <w:lang w:val="en-GB"/>
        </w:rPr>
        <w:t>In addition it will invalidate the existing WTO operated by Lenah Game Meats.</w:t>
      </w:r>
    </w:p>
    <w:p w:rsidR="001D2768" w:rsidRDefault="001D2768">
      <w:pPr>
        <w:widowControl/>
        <w:spacing w:after="120"/>
        <w:rPr>
          <w:sz w:val="24"/>
          <w:szCs w:val="24"/>
          <w:lang w:val="en-GB"/>
        </w:rPr>
      </w:pPr>
      <w:r>
        <w:rPr>
          <w:sz w:val="24"/>
          <w:szCs w:val="24"/>
          <w:lang w:val="en-GB"/>
        </w:rPr>
        <w:t>Since 200</w:t>
      </w:r>
      <w:r w:rsidR="00266B07">
        <w:rPr>
          <w:sz w:val="24"/>
          <w:szCs w:val="24"/>
          <w:lang w:val="en-GB"/>
        </w:rPr>
        <w:t>4</w:t>
      </w:r>
      <w:r>
        <w:rPr>
          <w:sz w:val="24"/>
          <w:szCs w:val="24"/>
          <w:lang w:val="en-GB"/>
        </w:rPr>
        <w:t>, the</w:t>
      </w:r>
      <w:r w:rsidR="00346470">
        <w:rPr>
          <w:sz w:val="24"/>
          <w:szCs w:val="24"/>
          <w:lang w:val="en-GB"/>
        </w:rPr>
        <w:t xml:space="preserve"> </w:t>
      </w:r>
      <w:r w:rsidR="00F556AE">
        <w:rPr>
          <w:sz w:val="24"/>
          <w:szCs w:val="24"/>
          <w:lang w:val="en-GB"/>
        </w:rPr>
        <w:t>take of</w:t>
      </w:r>
      <w:r>
        <w:rPr>
          <w:sz w:val="24"/>
          <w:szCs w:val="24"/>
          <w:lang w:val="en-GB"/>
        </w:rPr>
        <w:t xml:space="preserve"> wallaby </w:t>
      </w:r>
      <w:r w:rsidR="00346470">
        <w:rPr>
          <w:sz w:val="24"/>
          <w:szCs w:val="24"/>
          <w:lang w:val="en-GB"/>
        </w:rPr>
        <w:t xml:space="preserve">in Tasmania </w:t>
      </w:r>
      <w:r>
        <w:rPr>
          <w:sz w:val="24"/>
          <w:szCs w:val="24"/>
          <w:lang w:val="en-GB"/>
        </w:rPr>
        <w:t>has averag</w:t>
      </w:r>
      <w:r w:rsidR="00346470">
        <w:rPr>
          <w:sz w:val="24"/>
          <w:szCs w:val="24"/>
          <w:lang w:val="en-GB"/>
        </w:rPr>
        <w:t>ed approximately 900,000-1,000,000</w:t>
      </w:r>
      <w:r>
        <w:rPr>
          <w:sz w:val="24"/>
          <w:szCs w:val="24"/>
          <w:lang w:val="en-GB"/>
        </w:rPr>
        <w:t xml:space="preserve"> annually (WMB, unpublished data). This level </w:t>
      </w:r>
      <w:r w:rsidR="0035263E">
        <w:rPr>
          <w:sz w:val="24"/>
          <w:szCs w:val="24"/>
          <w:lang w:val="en-GB"/>
        </w:rPr>
        <w:t>of harvest has had no impact on wallaby</w:t>
      </w:r>
      <w:r>
        <w:rPr>
          <w:sz w:val="24"/>
          <w:szCs w:val="24"/>
          <w:lang w:val="en-GB"/>
        </w:rPr>
        <w:t xml:space="preserve"> populations (Figure</w:t>
      </w:r>
      <w:r w:rsidR="00BF73E8">
        <w:rPr>
          <w:sz w:val="24"/>
          <w:szCs w:val="24"/>
          <w:lang w:val="en-GB"/>
        </w:rPr>
        <w:t xml:space="preserve">s </w:t>
      </w:r>
      <w:r>
        <w:rPr>
          <w:sz w:val="24"/>
          <w:szCs w:val="24"/>
          <w:lang w:val="en-GB"/>
        </w:rPr>
        <w:t>1</w:t>
      </w:r>
      <w:r w:rsidR="00BF73E8">
        <w:rPr>
          <w:sz w:val="24"/>
          <w:szCs w:val="24"/>
          <w:lang w:val="en-GB"/>
        </w:rPr>
        <w:t xml:space="preserve"> &amp; 2)</w:t>
      </w:r>
      <w:r>
        <w:rPr>
          <w:sz w:val="24"/>
          <w:szCs w:val="24"/>
          <w:lang w:val="en-GB"/>
        </w:rPr>
        <w:t xml:space="preserve"> and has been shown to be sustainable in all management regions at this level. </w:t>
      </w:r>
      <w:r w:rsidR="00031B34">
        <w:rPr>
          <w:sz w:val="24"/>
          <w:szCs w:val="24"/>
          <w:lang w:val="en-GB"/>
        </w:rPr>
        <w:t>T</w:t>
      </w:r>
      <w:r>
        <w:rPr>
          <w:sz w:val="24"/>
          <w:szCs w:val="24"/>
          <w:lang w:val="en-GB"/>
        </w:rPr>
        <w:t xml:space="preserve">he </w:t>
      </w:r>
      <w:r w:rsidR="006538B4">
        <w:rPr>
          <w:sz w:val="24"/>
          <w:szCs w:val="24"/>
          <w:lang w:val="en-GB"/>
        </w:rPr>
        <w:t>proposed</w:t>
      </w:r>
      <w:r>
        <w:rPr>
          <w:sz w:val="24"/>
          <w:szCs w:val="24"/>
          <w:lang w:val="en-GB"/>
        </w:rPr>
        <w:t xml:space="preserve"> commercial harvest only represent</w:t>
      </w:r>
      <w:r w:rsidR="00346470">
        <w:rPr>
          <w:sz w:val="24"/>
          <w:szCs w:val="24"/>
          <w:lang w:val="en-GB"/>
        </w:rPr>
        <w:t>s approximately 20</w:t>
      </w:r>
      <w:r>
        <w:rPr>
          <w:sz w:val="24"/>
          <w:szCs w:val="24"/>
          <w:lang w:val="en-GB"/>
        </w:rPr>
        <w:t>%</w:t>
      </w:r>
      <w:r w:rsidR="0035263E">
        <w:rPr>
          <w:sz w:val="24"/>
          <w:szCs w:val="24"/>
          <w:lang w:val="en-GB"/>
        </w:rPr>
        <w:t xml:space="preserve"> of the total number of </w:t>
      </w:r>
      <w:r w:rsidR="002E758F">
        <w:rPr>
          <w:sz w:val="24"/>
          <w:szCs w:val="24"/>
          <w:lang w:val="en-GB"/>
        </w:rPr>
        <w:t>wallaby</w:t>
      </w:r>
      <w:r>
        <w:rPr>
          <w:sz w:val="24"/>
          <w:szCs w:val="24"/>
          <w:lang w:val="en-GB"/>
        </w:rPr>
        <w:t xml:space="preserve"> </w:t>
      </w:r>
      <w:r w:rsidR="002541A8">
        <w:rPr>
          <w:sz w:val="24"/>
          <w:szCs w:val="24"/>
          <w:lang w:val="en-GB"/>
        </w:rPr>
        <w:t xml:space="preserve">currently </w:t>
      </w:r>
      <w:r>
        <w:rPr>
          <w:sz w:val="24"/>
          <w:szCs w:val="24"/>
          <w:lang w:val="en-GB"/>
        </w:rPr>
        <w:t xml:space="preserve">taken annually in Tasmania. This WTO simply seeks to </w:t>
      </w:r>
      <w:r w:rsidR="006538B4">
        <w:rPr>
          <w:sz w:val="24"/>
          <w:szCs w:val="24"/>
          <w:lang w:val="en-GB"/>
        </w:rPr>
        <w:t xml:space="preserve">divert this small percentage of the annual cull to a commercial harvest </w:t>
      </w:r>
      <w:r>
        <w:rPr>
          <w:sz w:val="24"/>
          <w:szCs w:val="24"/>
          <w:lang w:val="en-GB"/>
        </w:rPr>
        <w:t>to be exported and thus it can be considered small scale.</w:t>
      </w:r>
      <w:r w:rsidR="00346470">
        <w:rPr>
          <w:sz w:val="24"/>
          <w:szCs w:val="24"/>
          <w:lang w:val="en-GB"/>
        </w:rPr>
        <w:t xml:space="preserve">  It must be noted that the expectation is not that the over-all State kill of wallaby will increase as a result of this WTO.  Rather it is expected take will be diverted from crop protections culls to commercial harvest.</w:t>
      </w:r>
    </w:p>
    <w:p w:rsidR="001D2768" w:rsidRDefault="001D2768">
      <w:pPr>
        <w:widowControl/>
        <w:tabs>
          <w:tab w:val="left" w:pos="1134"/>
        </w:tabs>
        <w:spacing w:after="120"/>
        <w:rPr>
          <w:sz w:val="24"/>
          <w:szCs w:val="24"/>
          <w:lang w:val="en-GB"/>
        </w:rPr>
      </w:pPr>
      <w:r>
        <w:rPr>
          <w:sz w:val="24"/>
          <w:szCs w:val="24"/>
          <w:lang w:val="en-GB"/>
        </w:rPr>
        <w:t xml:space="preserve">The WTO will apply for three years from approval or until approval of a state-wide wallaby management plan, whichever is sooner. Its intent is to facilitate </w:t>
      </w:r>
      <w:r w:rsidR="006538B4">
        <w:rPr>
          <w:sz w:val="24"/>
          <w:szCs w:val="24"/>
          <w:lang w:val="en-GB"/>
        </w:rPr>
        <w:t>a small scale export to trial the market potential and thus better inform the decision making process in establishment of any potential Management Plan.</w:t>
      </w:r>
    </w:p>
    <w:p w:rsidR="001D2768" w:rsidRDefault="001D2768">
      <w:pPr>
        <w:widowControl/>
        <w:spacing w:after="120"/>
        <w:rPr>
          <w:sz w:val="24"/>
          <w:szCs w:val="24"/>
          <w:lang w:val="en-GB"/>
        </w:rPr>
      </w:pPr>
      <w:r>
        <w:rPr>
          <w:sz w:val="24"/>
          <w:szCs w:val="24"/>
          <w:lang w:val="en-GB"/>
        </w:rPr>
        <w:lastRenderedPageBreak/>
        <w:t xml:space="preserve">The WTO’s intent is not to increase the </w:t>
      </w:r>
      <w:r w:rsidR="0035263E">
        <w:rPr>
          <w:sz w:val="24"/>
          <w:szCs w:val="24"/>
          <w:lang w:val="en-GB"/>
        </w:rPr>
        <w:t xml:space="preserve">overall cull of </w:t>
      </w:r>
      <w:r>
        <w:rPr>
          <w:sz w:val="24"/>
          <w:szCs w:val="24"/>
          <w:lang w:val="en-GB"/>
        </w:rPr>
        <w:t xml:space="preserve">wallaby and indeed it has in place mechanisms to prevent this. </w:t>
      </w:r>
      <w:r w:rsidR="0035263E">
        <w:rPr>
          <w:sz w:val="24"/>
          <w:szCs w:val="24"/>
          <w:lang w:val="en-GB"/>
        </w:rPr>
        <w:t>Wallaby are currently culled in very large numbers as agricultural damage mitigation.  This</w:t>
      </w:r>
      <w:r>
        <w:rPr>
          <w:sz w:val="24"/>
          <w:szCs w:val="24"/>
          <w:lang w:val="en-GB"/>
        </w:rPr>
        <w:t xml:space="preserve"> Plan simply seeks to turn a</w:t>
      </w:r>
      <w:r w:rsidR="0035263E">
        <w:rPr>
          <w:sz w:val="24"/>
          <w:szCs w:val="24"/>
          <w:lang w:val="en-GB"/>
        </w:rPr>
        <w:t>n existing</w:t>
      </w:r>
      <w:r>
        <w:rPr>
          <w:sz w:val="24"/>
          <w:szCs w:val="24"/>
          <w:lang w:val="en-GB"/>
        </w:rPr>
        <w:t xml:space="preserve"> waste of a raw material</w:t>
      </w:r>
      <w:r w:rsidR="0035263E">
        <w:rPr>
          <w:sz w:val="24"/>
          <w:szCs w:val="24"/>
          <w:lang w:val="en-GB"/>
        </w:rPr>
        <w:t>,</w:t>
      </w:r>
      <w:r>
        <w:rPr>
          <w:sz w:val="24"/>
          <w:szCs w:val="24"/>
          <w:lang w:val="en-GB"/>
        </w:rPr>
        <w:t xml:space="preserve"> which</w:t>
      </w:r>
      <w:r w:rsidR="00FB00E8">
        <w:rPr>
          <w:sz w:val="24"/>
          <w:szCs w:val="24"/>
          <w:lang w:val="en-GB"/>
        </w:rPr>
        <w:t xml:space="preserve"> are often currently left to rot</w:t>
      </w:r>
      <w:r w:rsidR="0035263E">
        <w:rPr>
          <w:sz w:val="24"/>
          <w:szCs w:val="24"/>
          <w:lang w:val="en-GB"/>
        </w:rPr>
        <w:t>,</w:t>
      </w:r>
      <w:r>
        <w:rPr>
          <w:sz w:val="24"/>
          <w:szCs w:val="24"/>
          <w:lang w:val="en-GB"/>
        </w:rPr>
        <w:t xml:space="preserve"> into a valuable export and sustainable resource.</w:t>
      </w:r>
    </w:p>
    <w:p w:rsidR="001D2768" w:rsidRDefault="0035263E">
      <w:pPr>
        <w:widowControl/>
        <w:spacing w:after="120"/>
        <w:rPr>
          <w:sz w:val="24"/>
          <w:szCs w:val="24"/>
          <w:lang w:val="en-GB"/>
        </w:rPr>
      </w:pPr>
      <w:r>
        <w:rPr>
          <w:sz w:val="24"/>
          <w:szCs w:val="24"/>
          <w:lang w:val="en-GB"/>
        </w:rPr>
        <w:t>W</w:t>
      </w:r>
      <w:r w:rsidR="001D2768">
        <w:rPr>
          <w:sz w:val="24"/>
          <w:szCs w:val="24"/>
          <w:lang w:val="en-GB"/>
        </w:rPr>
        <w:t xml:space="preserve">allaby are harvested and processed in Tasmania for human consumption and pet food under the control of the </w:t>
      </w:r>
      <w:r w:rsidR="001D2768">
        <w:rPr>
          <w:i/>
          <w:sz w:val="24"/>
          <w:szCs w:val="24"/>
          <w:lang w:val="en-GB"/>
        </w:rPr>
        <w:t xml:space="preserve">Meat Hygiene Act 1985 </w:t>
      </w:r>
      <w:r w:rsidR="001D2768">
        <w:rPr>
          <w:sz w:val="24"/>
          <w:szCs w:val="24"/>
          <w:lang w:val="en-GB"/>
        </w:rPr>
        <w:t xml:space="preserve">and the </w:t>
      </w:r>
      <w:r w:rsidR="001D2768">
        <w:rPr>
          <w:i/>
          <w:sz w:val="24"/>
          <w:szCs w:val="24"/>
          <w:lang w:val="en-GB"/>
        </w:rPr>
        <w:t>Nature Conservation Act 2002</w:t>
      </w:r>
      <w:r w:rsidR="001D2768">
        <w:rPr>
          <w:sz w:val="24"/>
          <w:szCs w:val="24"/>
          <w:lang w:val="en-GB"/>
        </w:rPr>
        <w:t xml:space="preserve">. Meat processing premises and harvesters are registered and licensed by the </w:t>
      </w:r>
      <w:r w:rsidR="009F3A40">
        <w:rPr>
          <w:sz w:val="24"/>
          <w:szCs w:val="24"/>
          <w:lang w:val="en-GB"/>
        </w:rPr>
        <w:t>Food Safety</w:t>
      </w:r>
      <w:r w:rsidR="001D2768">
        <w:rPr>
          <w:sz w:val="24"/>
          <w:szCs w:val="24"/>
          <w:lang w:val="en-GB"/>
        </w:rPr>
        <w:t xml:space="preserve"> Branch (</w:t>
      </w:r>
      <w:r w:rsidR="009F3A40">
        <w:rPr>
          <w:sz w:val="24"/>
          <w:szCs w:val="24"/>
          <w:lang w:val="en-GB"/>
        </w:rPr>
        <w:t>FSB</w:t>
      </w:r>
      <w:r w:rsidR="001D2768">
        <w:rPr>
          <w:sz w:val="24"/>
          <w:szCs w:val="24"/>
          <w:lang w:val="en-GB"/>
        </w:rPr>
        <w:t>) and Wildlife Management Branch (WMB) respectively of the Department of Primary Industries, Parks, Water and Environment (DPIPWE).</w:t>
      </w:r>
    </w:p>
    <w:p w:rsidR="001D2768" w:rsidRDefault="0035263E">
      <w:pPr>
        <w:widowControl/>
        <w:spacing w:after="120"/>
        <w:rPr>
          <w:sz w:val="24"/>
          <w:szCs w:val="24"/>
          <w:lang w:val="en-GB"/>
        </w:rPr>
      </w:pPr>
      <w:r>
        <w:rPr>
          <w:sz w:val="24"/>
          <w:szCs w:val="24"/>
          <w:lang w:val="en-GB"/>
        </w:rPr>
        <w:t>W</w:t>
      </w:r>
      <w:r w:rsidR="001D2768">
        <w:rPr>
          <w:sz w:val="24"/>
          <w:szCs w:val="24"/>
          <w:lang w:val="en-GB"/>
        </w:rPr>
        <w:t xml:space="preserve">allaby are listed as partly protected wildlife under Schedule 4 of the </w:t>
      </w:r>
      <w:r w:rsidR="001D2768">
        <w:rPr>
          <w:i/>
          <w:sz w:val="24"/>
          <w:szCs w:val="24"/>
          <w:lang w:val="en-GB"/>
        </w:rPr>
        <w:t>Wildlife Regulations 1999</w:t>
      </w:r>
      <w:r w:rsidR="001D2768">
        <w:rPr>
          <w:sz w:val="24"/>
          <w:szCs w:val="24"/>
          <w:lang w:val="en-GB"/>
        </w:rPr>
        <w:t xml:space="preserve"> of the </w:t>
      </w:r>
      <w:r w:rsidR="001D2768">
        <w:rPr>
          <w:i/>
          <w:sz w:val="24"/>
          <w:szCs w:val="24"/>
          <w:lang w:val="en-GB"/>
        </w:rPr>
        <w:t>Nature Conservation Act 2002</w:t>
      </w:r>
      <w:r w:rsidR="001D2768">
        <w:rPr>
          <w:sz w:val="24"/>
          <w:szCs w:val="24"/>
          <w:lang w:val="en-GB"/>
        </w:rPr>
        <w:t>. As such, they can be taken by licensed hunters during an open season and permits can be issued to allow them to be taken at any time for crop protection, or other approved purposes.</w:t>
      </w:r>
    </w:p>
    <w:p w:rsidR="001D2768" w:rsidRDefault="001D2768">
      <w:pPr>
        <w:widowControl/>
        <w:spacing w:after="120"/>
        <w:rPr>
          <w:sz w:val="24"/>
          <w:szCs w:val="24"/>
          <w:lang w:val="en-GB"/>
        </w:rPr>
      </w:pPr>
      <w:r>
        <w:rPr>
          <w:sz w:val="24"/>
          <w:szCs w:val="24"/>
          <w:lang w:val="en-GB"/>
        </w:rPr>
        <w:t>In assisting to develop this WTO, the DPIPWE acknowledges its responsibility in monitoring Tasmania</w:t>
      </w:r>
      <w:r w:rsidR="0035263E">
        <w:rPr>
          <w:sz w:val="24"/>
          <w:szCs w:val="24"/>
          <w:lang w:val="en-GB"/>
        </w:rPr>
        <w:t>’s</w:t>
      </w:r>
      <w:r>
        <w:rPr>
          <w:sz w:val="24"/>
          <w:szCs w:val="24"/>
          <w:lang w:val="en-GB"/>
        </w:rPr>
        <w:t xml:space="preserve"> wallaby population through the undertaking of annual spotlight surveys (Section 5), and providing the resulting data to LGM for reporting to the Commonwealth as required under Section 10. The DPIPWE also acknowledges its responsibilities for ensuring activities undertaken under this WTO comply with the </w:t>
      </w:r>
      <w:r>
        <w:rPr>
          <w:i/>
          <w:sz w:val="24"/>
          <w:szCs w:val="24"/>
          <w:lang w:val="en-GB"/>
        </w:rPr>
        <w:t xml:space="preserve">Wildlife Regulations 1999 </w:t>
      </w:r>
      <w:r>
        <w:rPr>
          <w:sz w:val="24"/>
          <w:szCs w:val="24"/>
          <w:lang w:val="en-GB"/>
        </w:rPr>
        <w:t xml:space="preserve">of the </w:t>
      </w:r>
      <w:r>
        <w:rPr>
          <w:i/>
          <w:sz w:val="24"/>
          <w:szCs w:val="24"/>
          <w:lang w:val="en-GB"/>
        </w:rPr>
        <w:t>Nature</w:t>
      </w:r>
      <w:r>
        <w:rPr>
          <w:sz w:val="24"/>
          <w:szCs w:val="24"/>
          <w:lang w:val="en-GB"/>
        </w:rPr>
        <w:t xml:space="preserve"> </w:t>
      </w:r>
      <w:r>
        <w:rPr>
          <w:i/>
          <w:sz w:val="24"/>
          <w:szCs w:val="24"/>
          <w:lang w:val="en-GB"/>
        </w:rPr>
        <w:t>Conservation Act 2002</w:t>
      </w:r>
      <w:r>
        <w:rPr>
          <w:sz w:val="24"/>
          <w:szCs w:val="24"/>
          <w:lang w:val="en-GB"/>
        </w:rPr>
        <w:t xml:space="preserve"> (Section 7) and the </w:t>
      </w:r>
      <w:r>
        <w:rPr>
          <w:i/>
          <w:sz w:val="24"/>
          <w:szCs w:val="24"/>
          <w:lang w:val="en-GB"/>
        </w:rPr>
        <w:t>Animal Welfare Act 1993</w:t>
      </w:r>
      <w:r>
        <w:rPr>
          <w:sz w:val="24"/>
          <w:szCs w:val="24"/>
          <w:lang w:val="en-GB"/>
        </w:rPr>
        <w:t xml:space="preserve"> (Section 8). All other requirements outlined under this WTO remain the responsibility of LGM.</w:t>
      </w:r>
    </w:p>
    <w:p w:rsidR="001D2768" w:rsidRDefault="001D2768">
      <w:pPr>
        <w:widowControl/>
        <w:spacing w:before="240" w:after="240"/>
        <w:rPr>
          <w:sz w:val="28"/>
          <w:szCs w:val="28"/>
          <w:lang w:val="en-GB"/>
        </w:rPr>
      </w:pPr>
      <w:r>
        <w:rPr>
          <w:b/>
          <w:sz w:val="28"/>
          <w:szCs w:val="28"/>
          <w:lang w:val="en-GB"/>
        </w:rPr>
        <w:t>2. Aim of management plan</w:t>
      </w:r>
    </w:p>
    <w:p w:rsidR="001D2768" w:rsidRDefault="001D2768">
      <w:pPr>
        <w:widowControl/>
        <w:spacing w:after="120"/>
        <w:rPr>
          <w:sz w:val="24"/>
          <w:szCs w:val="24"/>
          <w:lang w:val="en-GB"/>
        </w:rPr>
      </w:pPr>
      <w:r>
        <w:rPr>
          <w:sz w:val="24"/>
          <w:szCs w:val="24"/>
          <w:lang w:val="en-GB"/>
        </w:rPr>
        <w:t xml:space="preserve">This WTO lays out a mechanism by which an auditable process can ensure that </w:t>
      </w:r>
      <w:r w:rsidR="00B9507C">
        <w:rPr>
          <w:sz w:val="24"/>
          <w:szCs w:val="24"/>
          <w:lang w:val="en-GB"/>
        </w:rPr>
        <w:t>wallaby</w:t>
      </w:r>
      <w:r>
        <w:rPr>
          <w:sz w:val="24"/>
          <w:szCs w:val="24"/>
          <w:lang w:val="en-GB"/>
        </w:rPr>
        <w:t xml:space="preserve"> </w:t>
      </w:r>
      <w:r w:rsidR="00FB00E8">
        <w:rPr>
          <w:sz w:val="24"/>
          <w:szCs w:val="24"/>
          <w:lang w:val="en-GB"/>
        </w:rPr>
        <w:t xml:space="preserve">product from animals processed by LGM </w:t>
      </w:r>
      <w:r>
        <w:rPr>
          <w:sz w:val="24"/>
          <w:szCs w:val="24"/>
          <w:lang w:val="en-GB"/>
        </w:rPr>
        <w:t>can be exported in a manner which satisfies the public and government requirements that they be taken humanely and sustainably.</w:t>
      </w:r>
    </w:p>
    <w:p w:rsidR="001D2768" w:rsidRDefault="001D2768">
      <w:pPr>
        <w:widowControl/>
        <w:numPr>
          <w:ilvl w:val="0"/>
          <w:numId w:val="1"/>
        </w:numPr>
        <w:spacing w:before="240" w:after="240"/>
        <w:ind w:left="0" w:firstLine="0"/>
        <w:rPr>
          <w:sz w:val="28"/>
          <w:szCs w:val="28"/>
          <w:lang w:val="en-GB"/>
        </w:rPr>
      </w:pPr>
      <w:r>
        <w:rPr>
          <w:b/>
          <w:sz w:val="28"/>
          <w:szCs w:val="28"/>
          <w:lang w:val="en-GB"/>
        </w:rPr>
        <w:t xml:space="preserve"> Harvest details</w:t>
      </w:r>
    </w:p>
    <w:p w:rsidR="001D2768" w:rsidRDefault="001D2768">
      <w:pPr>
        <w:widowControl/>
        <w:rPr>
          <w:sz w:val="24"/>
          <w:szCs w:val="24"/>
          <w:lang w:val="en-GB"/>
        </w:rPr>
      </w:pPr>
      <w:r>
        <w:rPr>
          <w:b/>
          <w:sz w:val="24"/>
          <w:szCs w:val="24"/>
          <w:lang w:val="en-GB"/>
        </w:rPr>
        <w:t>3.1 Region of Harvest.</w:t>
      </w:r>
    </w:p>
    <w:p w:rsidR="001D2768" w:rsidRDefault="0035263E">
      <w:pPr>
        <w:pStyle w:val="Text"/>
        <w:widowControl/>
        <w:spacing w:before="0"/>
        <w:rPr>
          <w:rFonts w:ascii="Times New Roman" w:hAnsi="Times New Roman"/>
          <w:szCs w:val="24"/>
          <w:lang w:val="en-GB"/>
        </w:rPr>
      </w:pPr>
      <w:r>
        <w:rPr>
          <w:rFonts w:ascii="Times New Roman" w:hAnsi="Times New Roman"/>
          <w:szCs w:val="24"/>
          <w:lang w:val="en-GB"/>
        </w:rPr>
        <w:t>W</w:t>
      </w:r>
      <w:r w:rsidR="001D2768">
        <w:rPr>
          <w:rFonts w:ascii="Times New Roman" w:hAnsi="Times New Roman"/>
          <w:szCs w:val="24"/>
          <w:lang w:val="en-GB"/>
        </w:rPr>
        <w:t>allaby occur widely</w:t>
      </w:r>
      <w:r w:rsidR="00197ABA">
        <w:rPr>
          <w:rFonts w:ascii="Times New Roman" w:hAnsi="Times New Roman"/>
          <w:szCs w:val="24"/>
          <w:lang w:val="en-GB"/>
        </w:rPr>
        <w:t xml:space="preserve"> </w:t>
      </w:r>
      <w:r w:rsidR="001D2768">
        <w:rPr>
          <w:rFonts w:ascii="Times New Roman" w:hAnsi="Times New Roman"/>
          <w:szCs w:val="24"/>
          <w:lang w:val="en-GB"/>
        </w:rPr>
        <w:t xml:space="preserve">throughout Tasmania and occupy most vegetation types with the exception of extensive areas of cleared land (Rounsevell </w:t>
      </w:r>
      <w:r w:rsidR="001D2768">
        <w:rPr>
          <w:rFonts w:ascii="Times New Roman" w:hAnsi="Times New Roman"/>
          <w:i/>
          <w:szCs w:val="24"/>
          <w:lang w:val="en-GB"/>
        </w:rPr>
        <w:t>et al</w:t>
      </w:r>
      <w:r w:rsidR="001D2768">
        <w:rPr>
          <w:rFonts w:ascii="Times New Roman" w:hAnsi="Times New Roman"/>
          <w:szCs w:val="24"/>
          <w:lang w:val="en-GB"/>
        </w:rPr>
        <w:t xml:space="preserve"> 1991) and can be harvested from any region of mainland Tasmania, however due largely to its isolation and inaccessible terrain no harvest currently occurs in the South West.</w:t>
      </w:r>
    </w:p>
    <w:p w:rsidR="001D2768" w:rsidRDefault="001D2768">
      <w:pPr>
        <w:widowControl/>
        <w:spacing w:after="120"/>
        <w:rPr>
          <w:sz w:val="24"/>
          <w:szCs w:val="24"/>
          <w:lang w:val="en-GB"/>
        </w:rPr>
      </w:pPr>
      <w:r>
        <w:rPr>
          <w:sz w:val="24"/>
          <w:szCs w:val="24"/>
          <w:lang w:val="en-GB"/>
        </w:rPr>
        <w:t>The harvest will take place on private lands. In order for a licensed harvester to take wallaby from private land at night with the aid of a spotlight, the landowner must have a current crop protection permit issued by the DPIPWE. An example is given at Appendix 1.</w:t>
      </w:r>
    </w:p>
    <w:p w:rsidR="001D2768" w:rsidRDefault="00FB00E8">
      <w:pPr>
        <w:widowControl/>
        <w:tabs>
          <w:tab w:val="left" w:pos="709"/>
        </w:tabs>
        <w:rPr>
          <w:b/>
          <w:sz w:val="24"/>
          <w:szCs w:val="24"/>
          <w:lang w:val="en-GB"/>
        </w:rPr>
      </w:pPr>
      <w:r>
        <w:rPr>
          <w:b/>
          <w:sz w:val="24"/>
          <w:szCs w:val="24"/>
          <w:lang w:val="en-GB"/>
        </w:rPr>
        <w:t>3.2</w:t>
      </w:r>
      <w:r>
        <w:rPr>
          <w:b/>
          <w:sz w:val="24"/>
          <w:szCs w:val="24"/>
          <w:lang w:val="en-GB"/>
        </w:rPr>
        <w:tab/>
        <w:t>Source of product</w:t>
      </w:r>
      <w:r w:rsidR="001D2768">
        <w:rPr>
          <w:b/>
          <w:sz w:val="24"/>
          <w:szCs w:val="24"/>
          <w:lang w:val="en-GB"/>
        </w:rPr>
        <w:t>.</w:t>
      </w:r>
    </w:p>
    <w:p w:rsidR="001D2768" w:rsidRDefault="00FB00E8">
      <w:pPr>
        <w:widowControl/>
        <w:spacing w:after="120"/>
        <w:rPr>
          <w:sz w:val="24"/>
          <w:szCs w:val="24"/>
          <w:lang w:val="en-GB"/>
        </w:rPr>
      </w:pPr>
      <w:r>
        <w:rPr>
          <w:sz w:val="24"/>
          <w:szCs w:val="24"/>
          <w:lang w:val="en-GB"/>
        </w:rPr>
        <w:t xml:space="preserve">All </w:t>
      </w:r>
      <w:r w:rsidR="00197ABA">
        <w:rPr>
          <w:sz w:val="24"/>
          <w:szCs w:val="24"/>
          <w:lang w:val="en-GB"/>
        </w:rPr>
        <w:t xml:space="preserve">meat </w:t>
      </w:r>
      <w:r>
        <w:rPr>
          <w:sz w:val="24"/>
          <w:szCs w:val="24"/>
          <w:lang w:val="en-GB"/>
        </w:rPr>
        <w:t>product</w:t>
      </w:r>
      <w:r w:rsidR="001D2768">
        <w:rPr>
          <w:sz w:val="24"/>
          <w:szCs w:val="24"/>
          <w:lang w:val="en-GB"/>
        </w:rPr>
        <w:t xml:space="preserve"> for export will be sourced </w:t>
      </w:r>
      <w:r w:rsidR="001D2768" w:rsidRPr="00617F92">
        <w:rPr>
          <w:sz w:val="24"/>
          <w:szCs w:val="24"/>
          <w:lang w:val="en-GB"/>
        </w:rPr>
        <w:t>only</w:t>
      </w:r>
      <w:r>
        <w:rPr>
          <w:sz w:val="24"/>
          <w:szCs w:val="24"/>
          <w:lang w:val="en-GB"/>
        </w:rPr>
        <w:t xml:space="preserve"> from animals</w:t>
      </w:r>
      <w:r w:rsidR="001D2768">
        <w:rPr>
          <w:sz w:val="24"/>
          <w:szCs w:val="24"/>
          <w:lang w:val="en-GB"/>
        </w:rPr>
        <w:t xml:space="preserve"> processed commercially for their meat in premises licensed by </w:t>
      </w:r>
      <w:r w:rsidR="009F3A40">
        <w:rPr>
          <w:sz w:val="24"/>
          <w:szCs w:val="24"/>
          <w:lang w:val="en-GB"/>
        </w:rPr>
        <w:t>FSB</w:t>
      </w:r>
      <w:r w:rsidR="00197ABA">
        <w:rPr>
          <w:sz w:val="24"/>
          <w:szCs w:val="24"/>
          <w:lang w:val="en-GB"/>
        </w:rPr>
        <w:t xml:space="preserve"> or Dept Agriculture and Water Resources</w:t>
      </w:r>
      <w:r w:rsidR="001D2768">
        <w:rPr>
          <w:sz w:val="24"/>
          <w:szCs w:val="24"/>
          <w:lang w:val="en-GB"/>
        </w:rPr>
        <w:t xml:space="preserve">. Mechanisms to ensure the export will not threaten the abundance of the species across its existing range are laid out at Section </w:t>
      </w:r>
      <w:r w:rsidR="00031B34">
        <w:rPr>
          <w:sz w:val="24"/>
          <w:szCs w:val="24"/>
          <w:lang w:val="en-GB"/>
        </w:rPr>
        <w:t>6</w:t>
      </w:r>
      <w:r w:rsidR="001D2768">
        <w:rPr>
          <w:sz w:val="24"/>
          <w:szCs w:val="24"/>
          <w:lang w:val="en-GB"/>
        </w:rPr>
        <w:t>.</w:t>
      </w:r>
    </w:p>
    <w:p w:rsidR="001D2768" w:rsidRDefault="001D2768">
      <w:pPr>
        <w:widowControl/>
        <w:rPr>
          <w:sz w:val="24"/>
          <w:szCs w:val="24"/>
          <w:lang w:val="en-GB"/>
        </w:rPr>
      </w:pPr>
      <w:r>
        <w:rPr>
          <w:b/>
          <w:sz w:val="24"/>
          <w:szCs w:val="24"/>
          <w:lang w:val="en-GB"/>
        </w:rPr>
        <w:t xml:space="preserve">3.3 </w:t>
      </w:r>
      <w:r>
        <w:rPr>
          <w:b/>
          <w:sz w:val="24"/>
          <w:szCs w:val="24"/>
          <w:lang w:val="en-GB"/>
        </w:rPr>
        <w:tab/>
        <w:t>Method of Harvest.</w:t>
      </w:r>
    </w:p>
    <w:p w:rsidR="001D2768" w:rsidRDefault="001D2768">
      <w:pPr>
        <w:widowControl/>
        <w:spacing w:after="120"/>
        <w:rPr>
          <w:sz w:val="24"/>
          <w:szCs w:val="24"/>
          <w:u w:val="single"/>
          <w:lang w:val="en-GB"/>
        </w:rPr>
      </w:pPr>
      <w:r>
        <w:rPr>
          <w:sz w:val="24"/>
          <w:szCs w:val="24"/>
          <w:lang w:val="en-GB"/>
        </w:rPr>
        <w:t>Animals will be ta</w:t>
      </w:r>
      <w:r w:rsidR="00144D88">
        <w:rPr>
          <w:sz w:val="24"/>
          <w:szCs w:val="24"/>
          <w:lang w:val="en-GB"/>
        </w:rPr>
        <w:t xml:space="preserve">ken only by harvesters </w:t>
      </w:r>
      <w:r w:rsidR="00197ABA">
        <w:rPr>
          <w:sz w:val="24"/>
          <w:szCs w:val="24"/>
          <w:lang w:val="en-GB"/>
        </w:rPr>
        <w:t>holding a cu</w:t>
      </w:r>
      <w:r w:rsidR="00144D88">
        <w:rPr>
          <w:sz w:val="24"/>
          <w:szCs w:val="24"/>
          <w:lang w:val="en-GB"/>
        </w:rPr>
        <w:t>rrent Commercial Wallaby Hunters Licence</w:t>
      </w:r>
      <w:r>
        <w:rPr>
          <w:sz w:val="24"/>
          <w:szCs w:val="24"/>
          <w:lang w:val="en-GB"/>
        </w:rPr>
        <w:t>.</w:t>
      </w:r>
      <w:r w:rsidR="00144D88">
        <w:rPr>
          <w:sz w:val="24"/>
          <w:szCs w:val="24"/>
          <w:lang w:val="en-GB"/>
        </w:rPr>
        <w:t xml:space="preserve"> </w:t>
      </w:r>
      <w:r>
        <w:rPr>
          <w:sz w:val="24"/>
          <w:szCs w:val="24"/>
          <w:lang w:val="en-GB"/>
        </w:rPr>
        <w:t xml:space="preserve"> </w:t>
      </w:r>
      <w:r w:rsidR="009F3A40">
        <w:rPr>
          <w:sz w:val="24"/>
          <w:szCs w:val="24"/>
          <w:lang w:val="en-GB"/>
        </w:rPr>
        <w:t>FSB</w:t>
      </w:r>
      <w:r>
        <w:rPr>
          <w:sz w:val="24"/>
          <w:szCs w:val="24"/>
          <w:lang w:val="en-GB"/>
        </w:rPr>
        <w:t xml:space="preserve"> requires that animals entering the commercial </w:t>
      </w:r>
      <w:r w:rsidR="00144D88">
        <w:rPr>
          <w:sz w:val="24"/>
          <w:szCs w:val="24"/>
          <w:lang w:val="en-GB"/>
        </w:rPr>
        <w:t xml:space="preserve">meat </w:t>
      </w:r>
      <w:r>
        <w:rPr>
          <w:sz w:val="24"/>
          <w:szCs w:val="24"/>
          <w:lang w:val="en-GB"/>
        </w:rPr>
        <w:t xml:space="preserve">trade must be taken </w:t>
      </w:r>
      <w:r w:rsidR="00144D88">
        <w:rPr>
          <w:sz w:val="24"/>
          <w:szCs w:val="24"/>
          <w:lang w:val="en-GB"/>
        </w:rPr>
        <w:t xml:space="preserve">by accredited Game Meat Harvesters </w:t>
      </w:r>
      <w:r>
        <w:rPr>
          <w:sz w:val="24"/>
          <w:szCs w:val="24"/>
          <w:lang w:val="en-GB"/>
        </w:rPr>
        <w:t xml:space="preserve">according to the </w:t>
      </w:r>
      <w:r>
        <w:rPr>
          <w:i/>
          <w:sz w:val="24"/>
          <w:szCs w:val="24"/>
          <w:lang w:val="en-GB"/>
        </w:rPr>
        <w:t>Animal Welfare Standard for the Hunting of Wallabies in Tasmania</w:t>
      </w:r>
      <w:r w:rsidR="00DC4C3F">
        <w:rPr>
          <w:sz w:val="24"/>
          <w:szCs w:val="24"/>
          <w:lang w:val="en-GB"/>
        </w:rPr>
        <w:t xml:space="preserve"> (Appendix 2</w:t>
      </w:r>
      <w:r>
        <w:rPr>
          <w:sz w:val="24"/>
          <w:szCs w:val="24"/>
          <w:lang w:val="en-GB"/>
        </w:rPr>
        <w:t xml:space="preserve">) and </w:t>
      </w:r>
      <w:r>
        <w:rPr>
          <w:sz w:val="24"/>
          <w:szCs w:val="24"/>
          <w:u w:val="single"/>
          <w:lang w:val="en-GB"/>
        </w:rPr>
        <w:t>must</w:t>
      </w:r>
      <w:r>
        <w:rPr>
          <w:sz w:val="24"/>
          <w:szCs w:val="24"/>
          <w:lang w:val="en-GB"/>
        </w:rPr>
        <w:t xml:space="preserve"> be </w:t>
      </w:r>
      <w:r w:rsidR="009F3A40">
        <w:rPr>
          <w:sz w:val="24"/>
          <w:szCs w:val="24"/>
          <w:lang w:val="en-GB"/>
        </w:rPr>
        <w:t>brain</w:t>
      </w:r>
      <w:r>
        <w:rPr>
          <w:sz w:val="24"/>
          <w:szCs w:val="24"/>
          <w:lang w:val="en-GB"/>
        </w:rPr>
        <w:t xml:space="preserve">-shot. This is regulated by </w:t>
      </w:r>
      <w:r w:rsidR="009F3A40">
        <w:rPr>
          <w:sz w:val="24"/>
          <w:szCs w:val="24"/>
          <w:lang w:val="en-GB"/>
        </w:rPr>
        <w:t>FSB</w:t>
      </w:r>
      <w:r>
        <w:rPr>
          <w:sz w:val="24"/>
          <w:szCs w:val="24"/>
          <w:lang w:val="en-GB"/>
        </w:rPr>
        <w:t xml:space="preserve"> </w:t>
      </w:r>
      <w:r>
        <w:rPr>
          <w:sz w:val="24"/>
          <w:szCs w:val="24"/>
          <w:lang w:val="en-GB"/>
        </w:rPr>
        <w:lastRenderedPageBreak/>
        <w:t>through regular audits of processing premises (quarterly) and harvesters (at least annually, often more regularly).</w:t>
      </w:r>
    </w:p>
    <w:p w:rsidR="001D2768" w:rsidRDefault="001D2768">
      <w:pPr>
        <w:widowControl/>
        <w:rPr>
          <w:sz w:val="24"/>
          <w:szCs w:val="24"/>
          <w:lang w:val="en-GB"/>
        </w:rPr>
      </w:pPr>
      <w:r>
        <w:rPr>
          <w:b/>
          <w:sz w:val="24"/>
          <w:szCs w:val="24"/>
          <w:lang w:val="en-GB"/>
        </w:rPr>
        <w:t xml:space="preserve">3.4 </w:t>
      </w:r>
      <w:r>
        <w:rPr>
          <w:b/>
          <w:sz w:val="24"/>
          <w:szCs w:val="24"/>
          <w:lang w:val="en-GB"/>
        </w:rPr>
        <w:tab/>
        <w:t>Harvest season</w:t>
      </w:r>
      <w:r>
        <w:rPr>
          <w:sz w:val="24"/>
          <w:szCs w:val="24"/>
          <w:lang w:val="en-GB"/>
        </w:rPr>
        <w:t>.</w:t>
      </w:r>
    </w:p>
    <w:p w:rsidR="003131A8" w:rsidRDefault="00144D88">
      <w:pPr>
        <w:widowControl/>
        <w:spacing w:after="120"/>
        <w:rPr>
          <w:sz w:val="24"/>
          <w:szCs w:val="24"/>
          <w:lang w:val="en-GB"/>
        </w:rPr>
      </w:pPr>
      <w:r>
        <w:rPr>
          <w:sz w:val="24"/>
          <w:szCs w:val="24"/>
          <w:lang w:val="en-GB"/>
        </w:rPr>
        <w:t xml:space="preserve">The harvest </w:t>
      </w:r>
      <w:r w:rsidR="001D2768">
        <w:rPr>
          <w:sz w:val="24"/>
          <w:szCs w:val="24"/>
          <w:lang w:val="en-GB"/>
        </w:rPr>
        <w:t>will be undertaken throughout the year.</w:t>
      </w:r>
    </w:p>
    <w:p w:rsidR="001D2768" w:rsidRDefault="001D2768">
      <w:pPr>
        <w:widowControl/>
        <w:rPr>
          <w:b/>
          <w:sz w:val="24"/>
          <w:szCs w:val="24"/>
          <w:lang w:val="en-GB"/>
        </w:rPr>
      </w:pPr>
      <w:r>
        <w:rPr>
          <w:b/>
          <w:sz w:val="24"/>
          <w:szCs w:val="24"/>
          <w:lang w:val="en-GB"/>
        </w:rPr>
        <w:t>3.5</w:t>
      </w:r>
      <w:r>
        <w:rPr>
          <w:sz w:val="24"/>
          <w:szCs w:val="24"/>
          <w:lang w:val="en-GB"/>
        </w:rPr>
        <w:t xml:space="preserve"> </w:t>
      </w:r>
      <w:r>
        <w:rPr>
          <w:sz w:val="24"/>
          <w:szCs w:val="24"/>
          <w:lang w:val="en-GB"/>
        </w:rPr>
        <w:tab/>
      </w:r>
      <w:r>
        <w:rPr>
          <w:b/>
          <w:sz w:val="24"/>
          <w:szCs w:val="24"/>
          <w:lang w:val="en-GB"/>
        </w:rPr>
        <w:t>Size of the Harvest.</w:t>
      </w:r>
    </w:p>
    <w:p w:rsidR="001D2768" w:rsidRDefault="00144D88">
      <w:pPr>
        <w:widowControl/>
        <w:spacing w:after="120"/>
        <w:rPr>
          <w:sz w:val="24"/>
          <w:szCs w:val="24"/>
          <w:lang w:val="en-GB"/>
        </w:rPr>
      </w:pPr>
      <w:r>
        <w:rPr>
          <w:sz w:val="24"/>
          <w:szCs w:val="24"/>
          <w:lang w:val="en-GB"/>
        </w:rPr>
        <w:t xml:space="preserve">The total export of </w:t>
      </w:r>
      <w:r w:rsidR="00FB00E8">
        <w:rPr>
          <w:sz w:val="24"/>
          <w:szCs w:val="24"/>
          <w:lang w:val="en-GB"/>
        </w:rPr>
        <w:t xml:space="preserve">wallaby </w:t>
      </w:r>
      <w:r w:rsidR="001D2768">
        <w:rPr>
          <w:sz w:val="24"/>
          <w:szCs w:val="24"/>
          <w:lang w:val="en-GB"/>
        </w:rPr>
        <w:t xml:space="preserve">from Tasmania will be </w:t>
      </w:r>
      <w:r w:rsidR="00FB00E8">
        <w:rPr>
          <w:sz w:val="24"/>
          <w:szCs w:val="24"/>
          <w:lang w:val="en-GB"/>
        </w:rPr>
        <w:t xml:space="preserve">set </w:t>
      </w:r>
      <w:r w:rsidR="00266B07">
        <w:rPr>
          <w:sz w:val="24"/>
          <w:szCs w:val="24"/>
          <w:lang w:val="en-GB"/>
        </w:rPr>
        <w:t xml:space="preserve">at a maximum of </w:t>
      </w:r>
      <w:r>
        <w:rPr>
          <w:sz w:val="24"/>
          <w:szCs w:val="24"/>
          <w:lang w:val="en-GB"/>
        </w:rPr>
        <w:t>20</w:t>
      </w:r>
      <w:r w:rsidR="001D2768">
        <w:rPr>
          <w:sz w:val="24"/>
          <w:szCs w:val="24"/>
          <w:lang w:val="en-GB"/>
        </w:rPr>
        <w:t>0,000</w:t>
      </w:r>
      <w:r w:rsidR="00266B07">
        <w:rPr>
          <w:sz w:val="24"/>
          <w:szCs w:val="24"/>
          <w:lang w:val="en-GB"/>
        </w:rPr>
        <w:t xml:space="preserve">.  </w:t>
      </w:r>
      <w:r>
        <w:rPr>
          <w:sz w:val="24"/>
          <w:szCs w:val="24"/>
          <w:lang w:val="en-GB"/>
        </w:rPr>
        <w:t xml:space="preserve">The average take of </w:t>
      </w:r>
      <w:r w:rsidR="002541A8">
        <w:rPr>
          <w:sz w:val="24"/>
          <w:szCs w:val="24"/>
          <w:lang w:val="en-GB"/>
        </w:rPr>
        <w:t>wallaby in the years 2002/03-2010/11 has been at least 652,367/year.  It must be emphasised this is simply the average reported take, it includes years in whi</w:t>
      </w:r>
      <w:r>
        <w:rPr>
          <w:sz w:val="24"/>
          <w:szCs w:val="24"/>
          <w:lang w:val="en-GB"/>
        </w:rPr>
        <w:t>ch reporting was not mandatory</w:t>
      </w:r>
      <w:r w:rsidR="002541A8">
        <w:rPr>
          <w:sz w:val="24"/>
          <w:szCs w:val="24"/>
          <w:lang w:val="en-GB"/>
        </w:rPr>
        <w:t xml:space="preserve">.  Thus it can be expected the actually average kill is higher than this.  </w:t>
      </w:r>
      <w:r w:rsidR="00266B07">
        <w:rPr>
          <w:sz w:val="24"/>
          <w:szCs w:val="24"/>
          <w:lang w:val="en-GB"/>
        </w:rPr>
        <w:t>The</w:t>
      </w:r>
      <w:r w:rsidR="002541A8">
        <w:rPr>
          <w:sz w:val="24"/>
          <w:szCs w:val="24"/>
          <w:lang w:val="en-GB"/>
        </w:rPr>
        <w:t xml:space="preserve"> proposed</w:t>
      </w:r>
      <w:r>
        <w:rPr>
          <w:sz w:val="24"/>
          <w:szCs w:val="24"/>
          <w:lang w:val="en-GB"/>
        </w:rPr>
        <w:t xml:space="preserve"> available commercial quot</w:t>
      </w:r>
      <w:r w:rsidR="009F3543">
        <w:rPr>
          <w:sz w:val="24"/>
          <w:szCs w:val="24"/>
          <w:lang w:val="en-GB"/>
        </w:rPr>
        <w:t>a of 200,000/year is approxmently 20</w:t>
      </w:r>
      <w:r w:rsidR="00FB00E8">
        <w:rPr>
          <w:sz w:val="24"/>
          <w:szCs w:val="24"/>
          <w:lang w:val="en-GB"/>
        </w:rPr>
        <w:t>% of the current cull.</w:t>
      </w:r>
      <w:r w:rsidR="002541A8">
        <w:rPr>
          <w:sz w:val="24"/>
          <w:szCs w:val="24"/>
          <w:lang w:val="en-GB"/>
        </w:rPr>
        <w:t xml:space="preserve">  It is not expected this take will be in addition to the existing cull, rather a diversion from the existing cull to a commercial harvest.</w:t>
      </w:r>
    </w:p>
    <w:p w:rsidR="001D2768" w:rsidRDefault="001D2768">
      <w:pPr>
        <w:widowControl/>
        <w:spacing w:before="240" w:after="240"/>
        <w:rPr>
          <w:sz w:val="28"/>
          <w:szCs w:val="28"/>
          <w:lang w:val="en-GB"/>
        </w:rPr>
      </w:pPr>
      <w:r>
        <w:rPr>
          <w:b/>
          <w:sz w:val="28"/>
          <w:szCs w:val="28"/>
          <w:lang w:val="en-GB"/>
        </w:rPr>
        <w:t>4. Impact on the harvested species</w:t>
      </w:r>
    </w:p>
    <w:p w:rsidR="001D2768" w:rsidRDefault="001D2768">
      <w:pPr>
        <w:widowControl/>
        <w:spacing w:after="120"/>
        <w:rPr>
          <w:sz w:val="24"/>
          <w:szCs w:val="24"/>
          <w:lang w:val="en-GB"/>
        </w:rPr>
      </w:pPr>
      <w:r>
        <w:rPr>
          <w:sz w:val="24"/>
          <w:szCs w:val="24"/>
          <w:lang w:val="en-GB"/>
        </w:rPr>
        <w:t xml:space="preserve">Wallaby have been commercially harvested </w:t>
      </w:r>
      <w:r w:rsidR="003131A8">
        <w:rPr>
          <w:sz w:val="24"/>
          <w:szCs w:val="24"/>
          <w:lang w:val="en-GB"/>
        </w:rPr>
        <w:t>and culled under damage miti</w:t>
      </w:r>
      <w:r w:rsidR="00FB00E8">
        <w:rPr>
          <w:sz w:val="24"/>
          <w:szCs w:val="24"/>
          <w:lang w:val="en-GB"/>
        </w:rPr>
        <w:t xml:space="preserve">gation permits </w:t>
      </w:r>
      <w:r>
        <w:rPr>
          <w:sz w:val="24"/>
          <w:szCs w:val="24"/>
          <w:lang w:val="en-GB"/>
        </w:rPr>
        <w:t xml:space="preserve">for domestic purposes on mainland </w:t>
      </w:r>
      <w:smartTag w:uri="urn:schemas-microsoft-com:office:smarttags" w:element="place">
        <w:smartTag w:uri="urn:schemas-microsoft-com:office:smarttags" w:element="State">
          <w:r>
            <w:rPr>
              <w:sz w:val="24"/>
              <w:szCs w:val="24"/>
              <w:lang w:val="en-GB"/>
            </w:rPr>
            <w:t>Tasmania</w:t>
          </w:r>
        </w:smartTag>
      </w:smartTag>
      <w:r w:rsidR="002541A8">
        <w:rPr>
          <w:sz w:val="24"/>
          <w:szCs w:val="24"/>
          <w:lang w:val="en-GB"/>
        </w:rPr>
        <w:t xml:space="preserve"> at rates of 65</w:t>
      </w:r>
      <w:r w:rsidR="00266B07">
        <w:rPr>
          <w:sz w:val="24"/>
          <w:szCs w:val="24"/>
          <w:lang w:val="en-GB"/>
        </w:rPr>
        <w:t>2</w:t>
      </w:r>
      <w:r>
        <w:rPr>
          <w:sz w:val="24"/>
          <w:szCs w:val="24"/>
          <w:lang w:val="en-GB"/>
        </w:rPr>
        <w:t>,000</w:t>
      </w:r>
      <w:r w:rsidR="002541A8">
        <w:rPr>
          <w:sz w:val="24"/>
          <w:szCs w:val="24"/>
          <w:lang w:val="en-GB"/>
        </w:rPr>
        <w:t xml:space="preserve"> plus</w:t>
      </w:r>
      <w:r>
        <w:rPr>
          <w:sz w:val="24"/>
          <w:szCs w:val="24"/>
          <w:lang w:val="en-GB"/>
        </w:rPr>
        <w:t>/year for a number of years (</w:t>
      </w:r>
      <w:r w:rsidR="002541A8">
        <w:rPr>
          <w:sz w:val="24"/>
          <w:szCs w:val="24"/>
          <w:lang w:val="en-GB"/>
        </w:rPr>
        <w:t>WM</w:t>
      </w:r>
      <w:r w:rsidR="009F3A40">
        <w:rPr>
          <w:sz w:val="24"/>
          <w:szCs w:val="24"/>
          <w:lang w:val="en-GB"/>
        </w:rPr>
        <w:t>B</w:t>
      </w:r>
      <w:r>
        <w:rPr>
          <w:sz w:val="24"/>
          <w:szCs w:val="24"/>
          <w:lang w:val="en-GB"/>
        </w:rPr>
        <w:t xml:space="preserve"> pers. comm.</w:t>
      </w:r>
      <w:r w:rsidR="002541A8">
        <w:rPr>
          <w:sz w:val="24"/>
          <w:szCs w:val="24"/>
          <w:lang w:val="en-GB"/>
        </w:rPr>
        <w:t xml:space="preserve"> 2011</w:t>
      </w:r>
      <w:r>
        <w:rPr>
          <w:sz w:val="24"/>
          <w:szCs w:val="24"/>
          <w:lang w:val="en-GB"/>
        </w:rPr>
        <w:t>). These rates of harvest clearly have had no adverse impact on the viability of the Tasmanian</w:t>
      </w:r>
      <w:r w:rsidR="00144D88">
        <w:rPr>
          <w:sz w:val="24"/>
          <w:szCs w:val="24"/>
          <w:lang w:val="en-GB"/>
        </w:rPr>
        <w:t xml:space="preserve"> </w:t>
      </w:r>
      <w:r>
        <w:rPr>
          <w:sz w:val="24"/>
          <w:szCs w:val="24"/>
          <w:lang w:val="en-GB"/>
        </w:rPr>
        <w:t>wallaby population which has undergone no long-term decline over this period and particularly so over the past decade as demonstrated in Figure 1.</w:t>
      </w:r>
      <w:r w:rsidR="00BF73E8">
        <w:rPr>
          <w:sz w:val="24"/>
          <w:szCs w:val="24"/>
          <w:lang w:val="en-GB"/>
        </w:rPr>
        <w:t xml:space="preserve">  Both species demonstrate a steady longer term upward trend in mean densities.</w:t>
      </w:r>
    </w:p>
    <w:p w:rsidR="001D2768" w:rsidRDefault="001D2768">
      <w:pPr>
        <w:widowControl/>
        <w:spacing w:after="120"/>
        <w:rPr>
          <w:sz w:val="24"/>
          <w:szCs w:val="24"/>
          <w:lang w:val="en-GB"/>
        </w:rPr>
      </w:pPr>
      <w:r>
        <w:rPr>
          <w:sz w:val="24"/>
          <w:szCs w:val="24"/>
          <w:lang w:val="en-GB"/>
        </w:rPr>
        <w:t>The WTO has in place mechanisms to ensure that if</w:t>
      </w:r>
      <w:r w:rsidR="00144D88">
        <w:rPr>
          <w:sz w:val="24"/>
          <w:szCs w:val="24"/>
          <w:lang w:val="en-GB"/>
        </w:rPr>
        <w:t xml:space="preserve"> </w:t>
      </w:r>
      <w:r>
        <w:rPr>
          <w:sz w:val="24"/>
          <w:szCs w:val="24"/>
          <w:lang w:val="en-GB"/>
        </w:rPr>
        <w:t>wallaby densities fall below very conserv</w:t>
      </w:r>
      <w:r w:rsidR="00FB00E8">
        <w:rPr>
          <w:sz w:val="24"/>
          <w:szCs w:val="24"/>
          <w:lang w:val="en-GB"/>
        </w:rPr>
        <w:t>atively</w:t>
      </w:r>
      <w:r w:rsidR="00144D88">
        <w:rPr>
          <w:sz w:val="24"/>
          <w:szCs w:val="24"/>
          <w:lang w:val="en-GB"/>
        </w:rPr>
        <w:t xml:space="preserve"> set trigger points, exports </w:t>
      </w:r>
      <w:r>
        <w:rPr>
          <w:sz w:val="24"/>
          <w:szCs w:val="24"/>
          <w:lang w:val="en-GB"/>
        </w:rPr>
        <w:t>will cease.</w:t>
      </w:r>
      <w:r w:rsidR="00FB00E8">
        <w:rPr>
          <w:sz w:val="24"/>
          <w:szCs w:val="24"/>
          <w:lang w:val="en-GB"/>
        </w:rPr>
        <w:t xml:space="preserve"> </w:t>
      </w:r>
      <w:r>
        <w:rPr>
          <w:sz w:val="24"/>
          <w:szCs w:val="24"/>
          <w:lang w:val="en-GB"/>
        </w:rPr>
        <w:t xml:space="preserve"> The trigger </w:t>
      </w:r>
      <w:r w:rsidR="00617FD3">
        <w:rPr>
          <w:sz w:val="24"/>
          <w:szCs w:val="24"/>
          <w:lang w:val="en-GB"/>
        </w:rPr>
        <w:t xml:space="preserve">point </w:t>
      </w:r>
      <w:r>
        <w:rPr>
          <w:sz w:val="24"/>
          <w:szCs w:val="24"/>
          <w:lang w:val="en-GB"/>
        </w:rPr>
        <w:t>mechanisms are laid out in Section 6.1. They are design</w:t>
      </w:r>
      <w:r w:rsidR="00FB00E8">
        <w:rPr>
          <w:sz w:val="24"/>
          <w:szCs w:val="24"/>
          <w:lang w:val="en-GB"/>
        </w:rPr>
        <w:t xml:space="preserve">ed to ensure the trade </w:t>
      </w:r>
      <w:r>
        <w:rPr>
          <w:sz w:val="24"/>
          <w:szCs w:val="24"/>
          <w:lang w:val="en-GB"/>
        </w:rPr>
        <w:t>facilitated by export does not contribute to a trade that will be detrimental to</w:t>
      </w:r>
      <w:r w:rsidR="00144D88">
        <w:rPr>
          <w:sz w:val="24"/>
          <w:szCs w:val="24"/>
          <w:lang w:val="en-GB"/>
        </w:rPr>
        <w:t xml:space="preserve"> </w:t>
      </w:r>
      <w:r>
        <w:rPr>
          <w:sz w:val="24"/>
          <w:szCs w:val="24"/>
          <w:lang w:val="en-GB"/>
        </w:rPr>
        <w:t>wallaby populations.</w:t>
      </w:r>
    </w:p>
    <w:p w:rsidR="001D2768" w:rsidRDefault="001D2768">
      <w:pPr>
        <w:widowControl/>
        <w:rPr>
          <w:sz w:val="24"/>
          <w:szCs w:val="24"/>
          <w:lang w:val="en-GB"/>
        </w:rPr>
      </w:pPr>
    </w:p>
    <w:p w:rsidR="00E760CB" w:rsidRDefault="00947519" w:rsidP="00E760CB">
      <w:pPr>
        <w:rPr>
          <w:noProof/>
          <w:lang w:eastAsia="en-AU"/>
        </w:rPr>
      </w:pPr>
      <w:bookmarkStart w:id="1" w:name="OLE_LINK1"/>
      <w:bookmarkStart w:id="2" w:name="OLE_LINK2"/>
      <w:r w:rsidRPr="00763F31">
        <w:rPr>
          <w:noProof/>
          <w:lang w:val="en-AU" w:eastAsia="en-AU"/>
        </w:rPr>
        <w:drawing>
          <wp:inline distT="0" distB="0" distL="0" distR="0">
            <wp:extent cx="5731510" cy="2825750"/>
            <wp:effectExtent l="0" t="0" r="2540" b="12700"/>
            <wp:docPr id="1" name="Chart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804AF" w:rsidRDefault="009804AF" w:rsidP="00E760CB">
      <w:pPr>
        <w:rPr>
          <w:noProof/>
          <w:lang w:eastAsia="en-AU"/>
        </w:rPr>
      </w:pPr>
    </w:p>
    <w:p w:rsidR="009804AF" w:rsidRDefault="009804AF" w:rsidP="00E760CB">
      <w:pPr>
        <w:rPr>
          <w:noProof/>
          <w:lang w:eastAsia="en-AU"/>
        </w:rPr>
      </w:pPr>
    </w:p>
    <w:p w:rsidR="009804AF" w:rsidRDefault="009804AF" w:rsidP="00E760CB"/>
    <w:p w:rsidR="001D2768" w:rsidRDefault="001D2768">
      <w:pPr>
        <w:widowControl/>
        <w:jc w:val="center"/>
        <w:rPr>
          <w:sz w:val="24"/>
          <w:szCs w:val="24"/>
          <w:lang w:val="en-GB"/>
        </w:rPr>
      </w:pPr>
    </w:p>
    <w:p w:rsidR="001D2768" w:rsidRDefault="001D2768" w:rsidP="00617FD3">
      <w:pPr>
        <w:widowControl/>
        <w:jc w:val="center"/>
        <w:rPr>
          <w:b/>
          <w:lang w:val="en-GB"/>
        </w:rPr>
      </w:pPr>
      <w:r>
        <w:rPr>
          <w:b/>
          <w:lang w:val="en-GB"/>
        </w:rPr>
        <w:t xml:space="preserve">Figure </w:t>
      </w:r>
      <w:r w:rsidR="008F19C4">
        <w:rPr>
          <w:b/>
          <w:lang w:val="en-GB"/>
        </w:rPr>
        <w:t>1: Population trends for Rufu</w:t>
      </w:r>
      <w:r>
        <w:rPr>
          <w:b/>
          <w:lang w:val="en-GB"/>
        </w:rPr>
        <w:t>s wallabies</w:t>
      </w:r>
      <w:r w:rsidR="00BF73E8">
        <w:rPr>
          <w:b/>
          <w:lang w:val="en-GB"/>
        </w:rPr>
        <w:t xml:space="preserve"> (Pademelon) </w:t>
      </w:r>
      <w:r>
        <w:rPr>
          <w:b/>
          <w:lang w:val="en-GB"/>
        </w:rPr>
        <w:t xml:space="preserve"> in Tasmania</w:t>
      </w:r>
      <w:r w:rsidR="00E760CB">
        <w:rPr>
          <w:b/>
          <w:lang w:val="en-GB"/>
        </w:rPr>
        <w:t xml:space="preserve"> for the period 20</w:t>
      </w:r>
      <w:r w:rsidR="00BF73E8">
        <w:rPr>
          <w:b/>
          <w:lang w:val="en-GB"/>
        </w:rPr>
        <w:t>02-2015</w:t>
      </w:r>
      <w:r>
        <w:rPr>
          <w:b/>
          <w:lang w:val="en-GB"/>
        </w:rPr>
        <w:t>. Solid line represents the mean count and dotted lines represent the standard error.</w:t>
      </w:r>
    </w:p>
    <w:p w:rsidR="00BF73E8" w:rsidRDefault="00BF73E8" w:rsidP="00617FD3">
      <w:pPr>
        <w:widowControl/>
        <w:jc w:val="center"/>
        <w:rPr>
          <w:b/>
          <w:lang w:val="en-GB"/>
        </w:rPr>
      </w:pPr>
    </w:p>
    <w:p w:rsidR="00BF73E8" w:rsidRDefault="00BF73E8" w:rsidP="00617FD3">
      <w:pPr>
        <w:widowControl/>
        <w:jc w:val="center"/>
        <w:rPr>
          <w:b/>
          <w:lang w:val="en-GB"/>
        </w:rPr>
      </w:pPr>
    </w:p>
    <w:p w:rsidR="00BF73E8" w:rsidRDefault="00947519" w:rsidP="00617FD3">
      <w:pPr>
        <w:widowControl/>
        <w:jc w:val="center"/>
        <w:rPr>
          <w:b/>
          <w:lang w:val="en-GB"/>
        </w:rPr>
      </w:pPr>
      <w:r w:rsidRPr="00763F31">
        <w:rPr>
          <w:noProof/>
          <w:lang w:val="en-AU" w:eastAsia="en-AU"/>
        </w:rPr>
        <w:lastRenderedPageBreak/>
        <w:drawing>
          <wp:inline distT="0" distB="0" distL="0" distR="0">
            <wp:extent cx="5721350" cy="2895600"/>
            <wp:effectExtent l="0" t="0" r="12700" b="0"/>
            <wp:docPr id="2" name="Chart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73E8" w:rsidRDefault="00BF73E8" w:rsidP="00617FD3">
      <w:pPr>
        <w:widowControl/>
        <w:jc w:val="center"/>
        <w:rPr>
          <w:b/>
          <w:lang w:val="en-GB"/>
        </w:rPr>
      </w:pPr>
    </w:p>
    <w:p w:rsidR="00BF73E8" w:rsidRDefault="00BF73E8" w:rsidP="00BF73E8">
      <w:pPr>
        <w:widowControl/>
        <w:jc w:val="center"/>
        <w:rPr>
          <w:b/>
          <w:lang w:val="en-GB"/>
        </w:rPr>
      </w:pPr>
      <w:r>
        <w:rPr>
          <w:b/>
          <w:lang w:val="en-GB"/>
        </w:rPr>
        <w:t>Figure 1: Population trends for Bennett wallabies in Tasmania for the period 2002-2015. Solid line represents the mean count and dotted lines represent the standard error.</w:t>
      </w:r>
    </w:p>
    <w:p w:rsidR="00BF73E8" w:rsidRDefault="00BF73E8" w:rsidP="00617FD3">
      <w:pPr>
        <w:widowControl/>
        <w:jc w:val="center"/>
        <w:rPr>
          <w:b/>
          <w:lang w:val="en-GB"/>
        </w:rPr>
      </w:pPr>
    </w:p>
    <w:p w:rsidR="00BF73E8" w:rsidRDefault="00BF73E8" w:rsidP="00617FD3">
      <w:pPr>
        <w:widowControl/>
        <w:jc w:val="center"/>
        <w:rPr>
          <w:b/>
          <w:lang w:val="en-GB"/>
        </w:rPr>
      </w:pPr>
    </w:p>
    <w:p w:rsidR="00BF73E8" w:rsidRDefault="00BF73E8" w:rsidP="00617FD3">
      <w:pPr>
        <w:widowControl/>
        <w:jc w:val="center"/>
        <w:rPr>
          <w:b/>
          <w:lang w:val="en-GB"/>
        </w:rPr>
      </w:pPr>
    </w:p>
    <w:p w:rsidR="00BF73E8" w:rsidRDefault="00BF73E8" w:rsidP="00617FD3">
      <w:pPr>
        <w:widowControl/>
        <w:jc w:val="center"/>
        <w:rPr>
          <w:sz w:val="24"/>
          <w:szCs w:val="24"/>
          <w:lang w:val="en-GB"/>
        </w:rPr>
      </w:pPr>
    </w:p>
    <w:bookmarkEnd w:id="1"/>
    <w:bookmarkEnd w:id="2"/>
    <w:p w:rsidR="001D2768" w:rsidRDefault="001D2768">
      <w:pPr>
        <w:widowControl/>
        <w:numPr>
          <w:ilvl w:val="0"/>
          <w:numId w:val="3"/>
        </w:numPr>
        <w:spacing w:before="240" w:after="240"/>
        <w:ind w:left="0" w:firstLine="0"/>
        <w:rPr>
          <w:b/>
          <w:sz w:val="28"/>
          <w:szCs w:val="28"/>
          <w:lang w:val="en-GB"/>
        </w:rPr>
      </w:pPr>
      <w:r>
        <w:rPr>
          <w:b/>
          <w:sz w:val="28"/>
          <w:szCs w:val="28"/>
          <w:lang w:val="en-GB"/>
        </w:rPr>
        <w:t xml:space="preserve"> Monitoring and assessment</w:t>
      </w:r>
    </w:p>
    <w:p w:rsidR="001D2768" w:rsidRDefault="001D2768">
      <w:pPr>
        <w:pStyle w:val="Heading2"/>
        <w:widowControl/>
        <w:spacing w:before="0" w:after="0"/>
        <w:rPr>
          <w:rFonts w:ascii="Times New Roman" w:hAnsi="Times New Roman"/>
          <w:sz w:val="24"/>
          <w:szCs w:val="24"/>
          <w:lang w:val="en-GB"/>
        </w:rPr>
      </w:pPr>
      <w:r>
        <w:rPr>
          <w:rFonts w:ascii="Times New Roman" w:hAnsi="Times New Roman"/>
          <w:sz w:val="24"/>
          <w:szCs w:val="24"/>
          <w:lang w:val="en-GB"/>
        </w:rPr>
        <w:t xml:space="preserve">5.1 </w:t>
      </w:r>
      <w:bookmarkStart w:id="3" w:name="_Hlt51222578"/>
      <w:bookmarkStart w:id="4" w:name="_Hlt51224954"/>
      <w:bookmarkStart w:id="5" w:name="_Ref51210861"/>
      <w:bookmarkStart w:id="6" w:name="_Toc52163505"/>
      <w:bookmarkStart w:id="7" w:name="_Hlt50271972"/>
      <w:bookmarkEnd w:id="3"/>
      <w:bookmarkEnd w:id="4"/>
      <w:r>
        <w:rPr>
          <w:rFonts w:ascii="Times New Roman" w:hAnsi="Times New Roman"/>
          <w:sz w:val="24"/>
          <w:szCs w:val="24"/>
          <w:lang w:val="en-GB"/>
        </w:rPr>
        <w:t>Monitoring of Wallaby Population</w:t>
      </w:r>
      <w:bookmarkEnd w:id="5"/>
      <w:bookmarkEnd w:id="6"/>
      <w:r>
        <w:rPr>
          <w:rFonts w:ascii="Times New Roman" w:hAnsi="Times New Roman"/>
          <w:sz w:val="24"/>
          <w:szCs w:val="24"/>
          <w:lang w:val="en-GB"/>
        </w:rPr>
        <w:t>s.</w:t>
      </w:r>
    </w:p>
    <w:bookmarkEnd w:id="7"/>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Monitoring of t</w:t>
      </w:r>
      <w:r w:rsidR="00144D88">
        <w:rPr>
          <w:rFonts w:ascii="Times New Roman" w:hAnsi="Times New Roman"/>
          <w:szCs w:val="24"/>
          <w:lang w:val="en-GB"/>
        </w:rPr>
        <w:t xml:space="preserve">rends in populations of </w:t>
      </w:r>
      <w:r>
        <w:rPr>
          <w:rFonts w:ascii="Times New Roman" w:hAnsi="Times New Roman"/>
          <w:szCs w:val="24"/>
          <w:lang w:val="en-GB"/>
        </w:rPr>
        <w:t xml:space="preserve">wallaby in Tasmania is undertaken through a system of standardised spotlight survey counts performed annually by DPIPWE. The standardised surveys are carried out in accordance with the method set out in the </w:t>
      </w:r>
      <w:r>
        <w:rPr>
          <w:rFonts w:ascii="Times New Roman" w:hAnsi="Times New Roman"/>
          <w:i/>
          <w:szCs w:val="24"/>
          <w:lang w:val="en-GB"/>
        </w:rPr>
        <w:t xml:space="preserve">Tasmanian Spotlight Survey Manual </w:t>
      </w:r>
      <w:r>
        <w:rPr>
          <w:rFonts w:ascii="Times New Roman" w:hAnsi="Times New Roman"/>
          <w:szCs w:val="24"/>
          <w:lang w:val="en-GB"/>
        </w:rPr>
        <w:t>(Hocking and Driessen 1992; Appendix 4) and have been undertaken annually since 1975. The survey methodology was modified in 2002 to include line transect sampling in an effort to improve survey precision and assist in minimising observer variation and seasonal differences.</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Line transect sampling involves an observer moving along a transect line; in this case the survey route, recording perpendicular distances to detected objects. Objects away from the line may often go undetected, but those on or near the line are assumed to be seen with certainty. The sample of detection distances allows a detection function to be modelled and the proportion of objects detected in a strip transect (= detection probability) to be estimated. An estimate of wallaby density in the vicinity of transect lines can then be calculated.</w:t>
      </w:r>
    </w:p>
    <w:p w:rsidR="001D2768" w:rsidRDefault="001D2768">
      <w:pPr>
        <w:pStyle w:val="Text"/>
        <w:tabs>
          <w:tab w:val="left" w:pos="851"/>
        </w:tabs>
        <w:spacing w:before="0"/>
        <w:ind w:right="-1"/>
        <w:rPr>
          <w:rFonts w:ascii="Times New Roman" w:hAnsi="Times New Roman"/>
        </w:rPr>
      </w:pPr>
      <w:r>
        <w:rPr>
          <w:rFonts w:ascii="Times New Roman" w:hAnsi="Times New Roman"/>
          <w:szCs w:val="24"/>
          <w:lang w:val="en-GB"/>
        </w:rPr>
        <w:t xml:space="preserve">There are currently 173 standard 10 km spotlight survey routes in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w:t>
      </w:r>
      <w:r>
        <w:rPr>
          <w:rFonts w:ascii="Times New Roman" w:hAnsi="Times New Roman"/>
        </w:rPr>
        <w:t>In order to allow for long term trends to be examined without bias from the introduction of new survey routes, only those 132 routes surveyed since 1985 are used in examining historical trends prior to 2002 (42 prior to 1985). Given the smaller sample size, results from estimates of historical data may not be directly comparable to the 2002 data onwards, however it does give a very good indication of trends in wallaby populations over time.</w:t>
      </w:r>
    </w:p>
    <w:p w:rsidR="001D2768" w:rsidRPr="00617F92" w:rsidRDefault="001D2768">
      <w:pPr>
        <w:pStyle w:val="Text"/>
        <w:widowControl/>
        <w:spacing w:before="0"/>
        <w:rPr>
          <w:rFonts w:ascii="Times New Roman" w:hAnsi="Times New Roman"/>
          <w:color w:val="000000"/>
          <w:szCs w:val="24"/>
          <w:lang w:val="en-GB"/>
        </w:rPr>
      </w:pPr>
      <w:r>
        <w:rPr>
          <w:rFonts w:ascii="Times New Roman" w:hAnsi="Times New Roman"/>
          <w:szCs w:val="24"/>
          <w:lang w:val="en-GB"/>
        </w:rPr>
        <w:t xml:space="preserve">Data is collected and reported on a regional basis.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is divided into 5 regions, one of which is the far South West of the state in which no commercial harvesting currently takes place. The standard spotlight survey routes are surveyed in November-January each year. </w:t>
      </w:r>
      <w:r w:rsidRPr="00617F92">
        <w:rPr>
          <w:rFonts w:ascii="Times New Roman" w:hAnsi="Times New Roman"/>
          <w:color w:val="000000"/>
          <w:szCs w:val="24"/>
          <w:lang w:val="en-GB"/>
        </w:rPr>
        <w:t>The survey year is determined by the timing of the first survey (e.g. for surveys undertaken in November 2007 and January 2008, the survey year would be 2007).</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lastRenderedPageBreak/>
        <w:t xml:space="preserve">The results obtained by this method should be regarded as a repeatable </w:t>
      </w:r>
      <w:r>
        <w:rPr>
          <w:rFonts w:ascii="Times New Roman" w:hAnsi="Times New Roman"/>
          <w:i/>
          <w:szCs w:val="24"/>
          <w:lang w:val="en-GB"/>
        </w:rPr>
        <w:t xml:space="preserve">index </w:t>
      </w:r>
      <w:r>
        <w:rPr>
          <w:rFonts w:ascii="Times New Roman" w:hAnsi="Times New Roman"/>
          <w:szCs w:val="24"/>
          <w:lang w:val="en-GB"/>
        </w:rPr>
        <w:t>of population density rather than an estimate of total population size. Reviews of survey method, such as frequency of monitoring and monitoring protocols, may be conducted in the future.</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Prior to the change in methodology, survey results were recorded as the average number of wallabies seen per 10 km transect. DPIPWE is aiming to shortly develop conversion factors that will allow density figures to be estimated for earlier years. DPIPWE has not converted the 1985 – 2001 survey data to a density index and all data in Figure 1 are recorded as the average number of wallabies seen per 10 km transect in order to enable comparison between years.</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The results of the spotlight surveys will be used to assess changes in density of wallaby species and will be presented in the Annual Report to the Commonwealth (see section 10). The trends in density will be used to assess the impact of harvesting on wallaby populations against Trigger Point 1 and the annual report will recommend if exports are to continue.</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As with all scientific data, these density figures contain an element of uncertainty. For this reason, these densities cannot be easily extrapolated into estimates of absolute population size. However, such estimates of absolute population size are not essential for the management of the commercial harvest under this WTO, as the total quota of exportable skins has been set at a figure well below what would normally be considered a sustainable take.</w:t>
      </w:r>
    </w:p>
    <w:p w:rsidR="001D2768" w:rsidRDefault="001D2768">
      <w:pPr>
        <w:widowControl/>
        <w:spacing w:after="120"/>
        <w:rPr>
          <w:sz w:val="24"/>
          <w:szCs w:val="24"/>
          <w:lang w:val="en-GB"/>
        </w:rPr>
      </w:pPr>
      <w:r>
        <w:rPr>
          <w:sz w:val="24"/>
          <w:szCs w:val="24"/>
          <w:lang w:val="en-GB"/>
        </w:rPr>
        <w:t>The long term trends in the data collected in these surveys as shown in Figure 1 indicate a stable long term population even in the face of the existing commercial harvest</w:t>
      </w:r>
      <w:r w:rsidR="003131A8">
        <w:rPr>
          <w:sz w:val="24"/>
          <w:szCs w:val="24"/>
          <w:lang w:val="en-GB"/>
        </w:rPr>
        <w:t>, recreational kill and damage mitigation cull</w:t>
      </w:r>
      <w:r>
        <w:rPr>
          <w:sz w:val="24"/>
          <w:szCs w:val="24"/>
          <w:lang w:val="en-GB"/>
        </w:rPr>
        <w:t>. This population stability is particularly apparent over the past decade and even prior to that any variation could not be considered more than would occur due to normal population fluctuation in response to seasonal changes.</w:t>
      </w:r>
    </w:p>
    <w:p w:rsidR="002E758F" w:rsidRDefault="002E758F">
      <w:pPr>
        <w:widowControl/>
        <w:spacing w:after="120"/>
        <w:rPr>
          <w:sz w:val="24"/>
          <w:szCs w:val="24"/>
          <w:lang w:val="en-GB"/>
        </w:rPr>
      </w:pPr>
    </w:p>
    <w:p w:rsidR="001D2768" w:rsidRDefault="001D2768">
      <w:pPr>
        <w:widowControl/>
        <w:numPr>
          <w:ilvl w:val="0"/>
          <w:numId w:val="4"/>
        </w:numPr>
        <w:ind w:left="709" w:hanging="709"/>
        <w:rPr>
          <w:b/>
          <w:sz w:val="24"/>
          <w:szCs w:val="24"/>
          <w:lang w:val="en-GB"/>
        </w:rPr>
      </w:pPr>
      <w:r>
        <w:rPr>
          <w:b/>
          <w:sz w:val="24"/>
          <w:szCs w:val="24"/>
          <w:lang w:val="en-GB"/>
        </w:rPr>
        <w:t>Monitoring the take.</w:t>
      </w:r>
    </w:p>
    <w:p w:rsidR="001D2768" w:rsidRDefault="001D2768">
      <w:pPr>
        <w:widowControl/>
        <w:rPr>
          <w:sz w:val="24"/>
          <w:szCs w:val="24"/>
          <w:lang w:val="en-GB"/>
        </w:rPr>
      </w:pPr>
      <w:r>
        <w:rPr>
          <w:b/>
          <w:sz w:val="24"/>
          <w:szCs w:val="24"/>
          <w:lang w:val="en-GB"/>
        </w:rPr>
        <w:t xml:space="preserve">5.2.1 </w:t>
      </w:r>
      <w:r>
        <w:rPr>
          <w:b/>
          <w:sz w:val="24"/>
          <w:szCs w:val="24"/>
          <w:lang w:val="en-GB"/>
        </w:rPr>
        <w:tab/>
        <w:t>Existing Controls.</w:t>
      </w:r>
    </w:p>
    <w:p w:rsidR="001D2768" w:rsidRDefault="001D2768">
      <w:pPr>
        <w:widowControl/>
        <w:spacing w:after="120"/>
        <w:rPr>
          <w:sz w:val="24"/>
          <w:szCs w:val="24"/>
          <w:lang w:val="en-GB"/>
        </w:rPr>
      </w:pPr>
      <w:r>
        <w:rPr>
          <w:sz w:val="24"/>
          <w:szCs w:val="24"/>
          <w:lang w:val="en-GB"/>
        </w:rPr>
        <w:t xml:space="preserve">Under the Meat Hygiene Act, licensed wallaby meat processors in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can only purchase wallaby from harvesters licensed by the Wildlife Management Branch (WMB).</w:t>
      </w:r>
      <w:r w:rsidR="006F2263">
        <w:rPr>
          <w:sz w:val="24"/>
          <w:szCs w:val="24"/>
          <w:lang w:val="en-GB"/>
        </w:rPr>
        <w:t xml:space="preserve"> </w:t>
      </w:r>
      <w:r>
        <w:rPr>
          <w:sz w:val="24"/>
          <w:szCs w:val="24"/>
          <w:lang w:val="en-GB"/>
        </w:rPr>
        <w:t>All wallaby meat processors in Tasmania are requ</w:t>
      </w:r>
      <w:r w:rsidR="00144D88">
        <w:rPr>
          <w:sz w:val="24"/>
          <w:szCs w:val="24"/>
          <w:lang w:val="en-GB"/>
        </w:rPr>
        <w:t>ired by DPIPWE to report</w:t>
      </w:r>
      <w:r>
        <w:rPr>
          <w:sz w:val="24"/>
          <w:szCs w:val="24"/>
          <w:lang w:val="en-GB"/>
        </w:rPr>
        <w:t xml:space="preserve"> to </w:t>
      </w:r>
      <w:r w:rsidR="009F3A40">
        <w:rPr>
          <w:sz w:val="24"/>
          <w:szCs w:val="24"/>
          <w:lang w:val="en-GB"/>
        </w:rPr>
        <w:t>FSB</w:t>
      </w:r>
      <w:r>
        <w:rPr>
          <w:sz w:val="24"/>
          <w:szCs w:val="24"/>
          <w:lang w:val="en-GB"/>
        </w:rPr>
        <w:t>, on the number of wallaby they process</w:t>
      </w:r>
      <w:r w:rsidR="00144D88">
        <w:rPr>
          <w:sz w:val="24"/>
          <w:szCs w:val="24"/>
          <w:lang w:val="en-GB"/>
        </w:rPr>
        <w:t>.</w:t>
      </w:r>
    </w:p>
    <w:p w:rsidR="001D2768" w:rsidRDefault="001D2768">
      <w:pPr>
        <w:widowControl/>
        <w:spacing w:after="120"/>
        <w:rPr>
          <w:sz w:val="24"/>
          <w:szCs w:val="24"/>
          <w:lang w:val="en-GB"/>
        </w:rPr>
      </w:pPr>
      <w:r>
        <w:rPr>
          <w:sz w:val="24"/>
          <w:szCs w:val="24"/>
          <w:lang w:val="en-GB"/>
        </w:rPr>
        <w:t xml:space="preserve">All skin </w:t>
      </w:r>
      <w:r w:rsidR="003131A8">
        <w:rPr>
          <w:sz w:val="24"/>
          <w:szCs w:val="24"/>
          <w:lang w:val="en-GB"/>
        </w:rPr>
        <w:t xml:space="preserve">and meat </w:t>
      </w:r>
      <w:r>
        <w:rPr>
          <w:sz w:val="24"/>
          <w:szCs w:val="24"/>
          <w:lang w:val="en-GB"/>
        </w:rPr>
        <w:t>exports must be accompanied by permits issued by the Australian Government Department of the Environme</w:t>
      </w:r>
      <w:r w:rsidR="00144D88">
        <w:rPr>
          <w:sz w:val="24"/>
          <w:szCs w:val="24"/>
          <w:lang w:val="en-GB"/>
        </w:rPr>
        <w:t>nt and Energy (DEE</w:t>
      </w:r>
      <w:r>
        <w:rPr>
          <w:sz w:val="24"/>
          <w:szCs w:val="24"/>
          <w:lang w:val="en-GB"/>
        </w:rPr>
        <w:t>).</w:t>
      </w:r>
    </w:p>
    <w:p w:rsidR="001D2768" w:rsidRDefault="001D2768">
      <w:pPr>
        <w:widowControl/>
        <w:rPr>
          <w:b/>
          <w:sz w:val="24"/>
          <w:szCs w:val="24"/>
          <w:lang w:val="en-GB"/>
        </w:rPr>
      </w:pPr>
      <w:r>
        <w:rPr>
          <w:b/>
          <w:sz w:val="24"/>
          <w:szCs w:val="24"/>
          <w:lang w:val="en-GB"/>
        </w:rPr>
        <w:t>5.2.2</w:t>
      </w:r>
      <w:r>
        <w:rPr>
          <w:b/>
          <w:sz w:val="24"/>
          <w:szCs w:val="24"/>
          <w:lang w:val="en-GB"/>
        </w:rPr>
        <w:tab/>
        <w:t>Verification.</w:t>
      </w:r>
    </w:p>
    <w:p w:rsidR="001D2768" w:rsidRDefault="001D2768">
      <w:pPr>
        <w:widowControl/>
        <w:spacing w:after="120"/>
        <w:rPr>
          <w:sz w:val="24"/>
          <w:szCs w:val="24"/>
          <w:lang w:val="en-GB"/>
        </w:rPr>
      </w:pPr>
      <w:r>
        <w:rPr>
          <w:sz w:val="24"/>
          <w:szCs w:val="24"/>
          <w:lang w:val="en-GB"/>
        </w:rPr>
        <w:t>Table 1 charts the extensive licensing, reporting and verification controls in the supply chain.</w:t>
      </w:r>
    </w:p>
    <w:tbl>
      <w:tblPr>
        <w:tblW w:w="9643" w:type="dxa"/>
        <w:tblBorders>
          <w:top w:val="single" w:sz="6" w:space="0" w:color="auto"/>
          <w:left w:val="single" w:sz="6" w:space="0" w:color="auto"/>
          <w:bottom w:val="single" w:sz="6" w:space="0" w:color="auto"/>
          <w:right w:val="single" w:sz="6" w:space="0" w:color="auto"/>
        </w:tblBorders>
        <w:tblLayout w:type="fixed"/>
        <w:tblCellMar>
          <w:left w:w="30" w:type="dxa"/>
          <w:right w:w="30" w:type="dxa"/>
        </w:tblCellMar>
        <w:tblLook w:val="0000" w:firstRow="0" w:lastRow="0" w:firstColumn="0" w:lastColumn="0" w:noHBand="0" w:noVBand="0"/>
      </w:tblPr>
      <w:tblGrid>
        <w:gridCol w:w="1010"/>
        <w:gridCol w:w="1011"/>
        <w:gridCol w:w="1010"/>
        <w:gridCol w:w="827"/>
        <w:gridCol w:w="184"/>
        <w:gridCol w:w="204"/>
        <w:gridCol w:w="93"/>
        <w:gridCol w:w="1011"/>
        <w:gridCol w:w="1010"/>
        <w:gridCol w:w="1121"/>
        <w:gridCol w:w="141"/>
        <w:gridCol w:w="1011"/>
        <w:gridCol w:w="1010"/>
      </w:tblGrid>
      <w:tr w:rsidR="001D2768">
        <w:tblPrEx>
          <w:tblCellMar>
            <w:top w:w="0" w:type="dxa"/>
            <w:bottom w:w="0" w:type="dxa"/>
          </w:tblCellMar>
        </w:tblPrEx>
        <w:trPr>
          <w:cantSplit/>
          <w:trHeight w:val="362"/>
        </w:trPr>
        <w:tc>
          <w:tcPr>
            <w:tcW w:w="1010"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011"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010"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3329" w:type="dxa"/>
            <w:gridSpan w:val="6"/>
            <w:tcBorders>
              <w:top w:val="single" w:sz="6" w:space="0" w:color="auto"/>
              <w:bottom w:val="single" w:sz="6" w:space="0" w:color="auto"/>
            </w:tcBorders>
          </w:tcPr>
          <w:p w:rsidR="001D2768" w:rsidRDefault="001D2768">
            <w:pPr>
              <w:widowControl/>
              <w:rPr>
                <w:b/>
                <w:color w:val="000000"/>
                <w:sz w:val="24"/>
                <w:szCs w:val="24"/>
                <w:lang w:val="en-GB"/>
              </w:rPr>
            </w:pPr>
            <w:r>
              <w:rPr>
                <w:b/>
                <w:color w:val="000000"/>
                <w:sz w:val="24"/>
                <w:szCs w:val="24"/>
                <w:lang w:val="en-GB"/>
              </w:rPr>
              <w:t>Supply Verification Chart</w:t>
            </w:r>
          </w:p>
        </w:tc>
        <w:tc>
          <w:tcPr>
            <w:tcW w:w="1121"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41"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011"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010" w:type="dxa"/>
            <w:tcBorders>
              <w:top w:val="single" w:sz="6" w:space="0" w:color="auto"/>
              <w:bottom w:val="single" w:sz="6" w:space="0" w:color="auto"/>
            </w:tcBorders>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305"/>
        </w:trPr>
        <w:tc>
          <w:tcPr>
            <w:tcW w:w="2021" w:type="dxa"/>
            <w:gridSpan w:val="2"/>
          </w:tcPr>
          <w:p w:rsidR="001D2768" w:rsidRDefault="001D2768">
            <w:pPr>
              <w:widowControl/>
              <w:rPr>
                <w:b/>
                <w:color w:val="000000"/>
                <w:sz w:val="24"/>
                <w:szCs w:val="24"/>
                <w:lang w:val="en-GB"/>
              </w:rPr>
            </w:pPr>
            <w:r>
              <w:rPr>
                <w:b/>
                <w:color w:val="000000"/>
                <w:sz w:val="24"/>
                <w:szCs w:val="24"/>
                <w:lang w:val="en-GB"/>
              </w:rPr>
              <w:t>Supply Link</w:t>
            </w:r>
          </w:p>
        </w:tc>
        <w:tc>
          <w:tcPr>
            <w:tcW w:w="2021" w:type="dxa"/>
            <w:gridSpan w:val="3"/>
          </w:tcPr>
          <w:p w:rsidR="001D2768" w:rsidRDefault="001D2768">
            <w:pPr>
              <w:widowControl/>
              <w:rPr>
                <w:b/>
                <w:color w:val="000000"/>
                <w:sz w:val="24"/>
                <w:szCs w:val="24"/>
                <w:lang w:val="en-GB"/>
              </w:rPr>
            </w:pPr>
            <w:r>
              <w:rPr>
                <w:b/>
                <w:color w:val="000000"/>
                <w:sz w:val="24"/>
                <w:szCs w:val="24"/>
                <w:lang w:val="en-GB"/>
              </w:rPr>
              <w:t>Permits Required</w:t>
            </w:r>
          </w:p>
        </w:tc>
        <w:tc>
          <w:tcPr>
            <w:tcW w:w="204" w:type="dxa"/>
          </w:tcPr>
          <w:p w:rsidR="001D2768" w:rsidRDefault="001D2768">
            <w:pPr>
              <w:widowControl/>
              <w:jc w:val="right"/>
              <w:rPr>
                <w:b/>
                <w:color w:val="000000"/>
                <w:sz w:val="24"/>
                <w:szCs w:val="24"/>
                <w:lang w:val="en-GB"/>
              </w:rPr>
            </w:pPr>
          </w:p>
        </w:tc>
        <w:tc>
          <w:tcPr>
            <w:tcW w:w="93" w:type="dxa"/>
          </w:tcPr>
          <w:p w:rsidR="001D2768" w:rsidRDefault="001D2768">
            <w:pPr>
              <w:widowControl/>
              <w:jc w:val="right"/>
              <w:rPr>
                <w:b/>
                <w:color w:val="000000"/>
                <w:sz w:val="24"/>
                <w:szCs w:val="24"/>
                <w:lang w:val="en-GB"/>
              </w:rPr>
            </w:pPr>
          </w:p>
        </w:tc>
        <w:tc>
          <w:tcPr>
            <w:tcW w:w="3142" w:type="dxa"/>
            <w:gridSpan w:val="3"/>
          </w:tcPr>
          <w:p w:rsidR="001D2768" w:rsidRDefault="001D2768">
            <w:pPr>
              <w:widowControl/>
              <w:rPr>
                <w:b/>
                <w:color w:val="000000"/>
                <w:sz w:val="24"/>
                <w:szCs w:val="24"/>
                <w:lang w:val="en-GB"/>
              </w:rPr>
            </w:pPr>
            <w:r>
              <w:rPr>
                <w:b/>
                <w:color w:val="000000"/>
                <w:sz w:val="24"/>
                <w:szCs w:val="24"/>
                <w:lang w:val="en-GB"/>
              </w:rPr>
              <w:t>Reporting Required</w:t>
            </w:r>
          </w:p>
        </w:tc>
        <w:tc>
          <w:tcPr>
            <w:tcW w:w="141" w:type="dxa"/>
          </w:tcPr>
          <w:p w:rsidR="001D2768" w:rsidRDefault="001D2768">
            <w:pPr>
              <w:widowControl/>
              <w:jc w:val="right"/>
              <w:rPr>
                <w:b/>
                <w:color w:val="000000"/>
                <w:sz w:val="24"/>
                <w:szCs w:val="24"/>
                <w:lang w:val="en-GB"/>
              </w:rPr>
            </w:pPr>
          </w:p>
        </w:tc>
        <w:tc>
          <w:tcPr>
            <w:tcW w:w="2021" w:type="dxa"/>
            <w:gridSpan w:val="2"/>
          </w:tcPr>
          <w:p w:rsidR="001D2768" w:rsidRDefault="001D2768">
            <w:pPr>
              <w:widowControl/>
              <w:rPr>
                <w:b/>
                <w:color w:val="000000"/>
                <w:sz w:val="24"/>
                <w:szCs w:val="24"/>
                <w:lang w:val="en-GB"/>
              </w:rPr>
            </w:pPr>
            <w:r>
              <w:rPr>
                <w:b/>
                <w:color w:val="000000"/>
                <w:sz w:val="24"/>
                <w:szCs w:val="24"/>
                <w:lang w:val="en-GB"/>
              </w:rPr>
              <w:t xml:space="preserve">Verification </w:t>
            </w:r>
          </w:p>
        </w:tc>
      </w:tr>
      <w:tr w:rsidR="001D2768">
        <w:tblPrEx>
          <w:tblCellMar>
            <w:top w:w="0" w:type="dxa"/>
            <w:bottom w:w="0" w:type="dxa"/>
          </w:tblCellMar>
        </w:tblPrEx>
        <w:trPr>
          <w:cantSplit/>
          <w:trHeight w:val="305"/>
        </w:trPr>
        <w:tc>
          <w:tcPr>
            <w:tcW w:w="1010" w:type="dxa"/>
          </w:tcPr>
          <w:p w:rsidR="001D2768" w:rsidRDefault="001D2768">
            <w:pPr>
              <w:widowControl/>
              <w:jc w:val="right"/>
              <w:rPr>
                <w:color w:val="000000"/>
                <w:sz w:val="24"/>
                <w:szCs w:val="24"/>
                <w:lang w:val="en-GB"/>
              </w:rPr>
            </w:pPr>
          </w:p>
        </w:tc>
        <w:tc>
          <w:tcPr>
            <w:tcW w:w="1011" w:type="dxa"/>
          </w:tcPr>
          <w:p w:rsidR="001D2768" w:rsidRDefault="001D2768">
            <w:pPr>
              <w:widowControl/>
              <w:jc w:val="right"/>
              <w:rPr>
                <w:color w:val="000000"/>
                <w:sz w:val="24"/>
                <w:szCs w:val="24"/>
                <w:lang w:val="en-GB"/>
              </w:rPr>
            </w:pPr>
          </w:p>
        </w:tc>
        <w:tc>
          <w:tcPr>
            <w:tcW w:w="1010" w:type="dxa"/>
          </w:tcPr>
          <w:p w:rsidR="001D2768" w:rsidRDefault="001D2768">
            <w:pPr>
              <w:widowControl/>
              <w:jc w:val="right"/>
              <w:rPr>
                <w:color w:val="000000"/>
                <w:sz w:val="24"/>
                <w:szCs w:val="24"/>
                <w:lang w:val="en-GB"/>
              </w:rPr>
            </w:pPr>
          </w:p>
        </w:tc>
        <w:tc>
          <w:tcPr>
            <w:tcW w:w="1011" w:type="dxa"/>
            <w:gridSpan w:val="2"/>
          </w:tcPr>
          <w:p w:rsidR="001D2768" w:rsidRDefault="001D2768">
            <w:pPr>
              <w:widowControl/>
              <w:jc w:val="right"/>
              <w:rPr>
                <w:color w:val="000000"/>
                <w:sz w:val="24"/>
                <w:szCs w:val="24"/>
                <w:lang w:val="en-GB"/>
              </w:rPr>
            </w:pPr>
          </w:p>
        </w:tc>
        <w:tc>
          <w:tcPr>
            <w:tcW w:w="204" w:type="dxa"/>
          </w:tcPr>
          <w:p w:rsidR="001D2768" w:rsidRDefault="001D2768">
            <w:pPr>
              <w:widowControl/>
              <w:jc w:val="right"/>
              <w:rPr>
                <w:color w:val="000000"/>
                <w:sz w:val="24"/>
                <w:szCs w:val="24"/>
                <w:lang w:val="en-GB"/>
              </w:rPr>
            </w:pPr>
          </w:p>
        </w:tc>
        <w:tc>
          <w:tcPr>
            <w:tcW w:w="93" w:type="dxa"/>
          </w:tcPr>
          <w:p w:rsidR="001D2768" w:rsidRDefault="001D2768">
            <w:pPr>
              <w:widowControl/>
              <w:jc w:val="right"/>
              <w:rPr>
                <w:color w:val="000000"/>
                <w:sz w:val="24"/>
                <w:szCs w:val="24"/>
                <w:lang w:val="en-GB"/>
              </w:rPr>
            </w:pPr>
          </w:p>
        </w:tc>
        <w:tc>
          <w:tcPr>
            <w:tcW w:w="1011" w:type="dxa"/>
          </w:tcPr>
          <w:p w:rsidR="001D2768" w:rsidRDefault="001D2768">
            <w:pPr>
              <w:widowControl/>
              <w:jc w:val="right"/>
              <w:rPr>
                <w:color w:val="000000"/>
                <w:sz w:val="24"/>
                <w:szCs w:val="24"/>
                <w:lang w:val="en-GB"/>
              </w:rPr>
            </w:pPr>
          </w:p>
        </w:tc>
        <w:tc>
          <w:tcPr>
            <w:tcW w:w="1010" w:type="dxa"/>
          </w:tcPr>
          <w:p w:rsidR="001D2768" w:rsidRDefault="001D2768">
            <w:pPr>
              <w:widowControl/>
              <w:jc w:val="right"/>
              <w:rPr>
                <w:color w:val="000000"/>
                <w:sz w:val="24"/>
                <w:szCs w:val="24"/>
                <w:lang w:val="en-GB"/>
              </w:rPr>
            </w:pPr>
          </w:p>
        </w:tc>
        <w:tc>
          <w:tcPr>
            <w:tcW w:w="1121" w:type="dxa"/>
          </w:tcPr>
          <w:p w:rsidR="001D2768" w:rsidRDefault="001D2768">
            <w:pPr>
              <w:widowControl/>
              <w:jc w:val="right"/>
              <w:rPr>
                <w:color w:val="000000"/>
                <w:sz w:val="24"/>
                <w:szCs w:val="24"/>
                <w:lang w:val="en-GB"/>
              </w:rPr>
            </w:pPr>
          </w:p>
        </w:tc>
        <w:tc>
          <w:tcPr>
            <w:tcW w:w="141" w:type="dxa"/>
          </w:tcPr>
          <w:p w:rsidR="001D2768" w:rsidRDefault="001D2768">
            <w:pPr>
              <w:widowControl/>
              <w:jc w:val="right"/>
              <w:rPr>
                <w:color w:val="000000"/>
                <w:sz w:val="24"/>
                <w:szCs w:val="24"/>
                <w:lang w:val="en-GB"/>
              </w:rPr>
            </w:pPr>
          </w:p>
        </w:tc>
        <w:tc>
          <w:tcPr>
            <w:tcW w:w="1011" w:type="dxa"/>
          </w:tcPr>
          <w:p w:rsidR="001D2768" w:rsidRDefault="001D2768">
            <w:pPr>
              <w:widowControl/>
              <w:rPr>
                <w:b/>
                <w:color w:val="000000"/>
                <w:sz w:val="24"/>
                <w:szCs w:val="24"/>
                <w:lang w:val="en-GB"/>
              </w:rPr>
            </w:pPr>
            <w:r>
              <w:rPr>
                <w:b/>
                <w:color w:val="000000"/>
                <w:sz w:val="24"/>
                <w:szCs w:val="24"/>
                <w:lang w:val="en-GB"/>
              </w:rPr>
              <w:t>available</w:t>
            </w:r>
          </w:p>
        </w:tc>
        <w:tc>
          <w:tcPr>
            <w:tcW w:w="1010" w:type="dxa"/>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2021" w:type="dxa"/>
            <w:gridSpan w:val="2"/>
            <w:tcBorders>
              <w:top w:val="single" w:sz="6" w:space="0" w:color="auto"/>
              <w:bottom w:val="single" w:sz="6" w:space="0" w:color="auto"/>
            </w:tcBorders>
          </w:tcPr>
          <w:p w:rsidR="001D2768" w:rsidRDefault="001D2768">
            <w:pPr>
              <w:widowControl/>
              <w:rPr>
                <w:color w:val="000000"/>
                <w:sz w:val="24"/>
                <w:szCs w:val="24"/>
                <w:lang w:val="en-GB"/>
              </w:rPr>
            </w:pPr>
            <w:r>
              <w:rPr>
                <w:color w:val="000000"/>
                <w:sz w:val="24"/>
                <w:szCs w:val="24"/>
                <w:lang w:val="en-GB"/>
              </w:rPr>
              <w:t>Private property</w:t>
            </w:r>
          </w:p>
        </w:tc>
        <w:tc>
          <w:tcPr>
            <w:tcW w:w="2021" w:type="dxa"/>
            <w:gridSpan w:val="3"/>
            <w:tcBorders>
              <w:top w:val="single" w:sz="6" w:space="0" w:color="auto"/>
              <w:bottom w:val="single" w:sz="6" w:space="0" w:color="auto"/>
            </w:tcBorders>
          </w:tcPr>
          <w:p w:rsidR="001D2768" w:rsidRDefault="001D2768">
            <w:pPr>
              <w:widowControl/>
              <w:jc w:val="left"/>
              <w:rPr>
                <w:color w:val="000000"/>
                <w:sz w:val="24"/>
                <w:szCs w:val="24"/>
                <w:lang w:val="en-GB"/>
              </w:rPr>
            </w:pPr>
            <w:r>
              <w:rPr>
                <w:color w:val="000000"/>
                <w:sz w:val="24"/>
                <w:szCs w:val="24"/>
                <w:lang w:val="en-GB"/>
              </w:rPr>
              <w:t>Crop Protection Permit</w:t>
            </w:r>
          </w:p>
        </w:tc>
        <w:tc>
          <w:tcPr>
            <w:tcW w:w="204"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93"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0"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12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4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0" w:type="dxa"/>
            <w:tcBorders>
              <w:top w:val="single" w:sz="6" w:space="0" w:color="auto"/>
              <w:bottom w:val="single" w:sz="6" w:space="0" w:color="auto"/>
            </w:tcBorders>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2021" w:type="dxa"/>
            <w:gridSpan w:val="2"/>
            <w:tcBorders>
              <w:top w:val="single" w:sz="6" w:space="0" w:color="auto"/>
              <w:bottom w:val="nil"/>
            </w:tcBorders>
          </w:tcPr>
          <w:p w:rsidR="001D2768" w:rsidRDefault="001D2768">
            <w:pPr>
              <w:widowControl/>
              <w:rPr>
                <w:color w:val="000000"/>
                <w:sz w:val="24"/>
                <w:szCs w:val="24"/>
                <w:lang w:val="en-GB"/>
              </w:rPr>
            </w:pPr>
            <w:r>
              <w:rPr>
                <w:color w:val="000000"/>
                <w:sz w:val="24"/>
                <w:szCs w:val="24"/>
                <w:lang w:val="en-GB"/>
              </w:rPr>
              <w:t>Licensed harvesters</w:t>
            </w:r>
          </w:p>
        </w:tc>
        <w:tc>
          <w:tcPr>
            <w:tcW w:w="2021" w:type="dxa"/>
            <w:gridSpan w:val="3"/>
            <w:tcBorders>
              <w:top w:val="single" w:sz="6" w:space="0" w:color="auto"/>
              <w:bottom w:val="nil"/>
            </w:tcBorders>
          </w:tcPr>
          <w:p w:rsidR="001D2768" w:rsidRDefault="001D2768">
            <w:pPr>
              <w:widowControl/>
              <w:jc w:val="left"/>
              <w:rPr>
                <w:color w:val="000000"/>
                <w:sz w:val="24"/>
                <w:szCs w:val="24"/>
                <w:lang w:val="en-GB"/>
              </w:rPr>
            </w:pPr>
            <w:r>
              <w:rPr>
                <w:color w:val="000000"/>
                <w:sz w:val="24"/>
                <w:szCs w:val="24"/>
                <w:lang w:val="en-GB"/>
              </w:rPr>
              <w:t>WMB Commercial Wallaby licence</w:t>
            </w:r>
          </w:p>
        </w:tc>
        <w:tc>
          <w:tcPr>
            <w:tcW w:w="204" w:type="dxa"/>
            <w:tcBorders>
              <w:top w:val="single" w:sz="6" w:space="0" w:color="auto"/>
              <w:bottom w:val="nil"/>
            </w:tcBorders>
          </w:tcPr>
          <w:p w:rsidR="001D2768" w:rsidRDefault="001D2768">
            <w:pPr>
              <w:widowControl/>
              <w:jc w:val="left"/>
              <w:rPr>
                <w:color w:val="000000"/>
                <w:sz w:val="24"/>
                <w:szCs w:val="24"/>
                <w:lang w:val="en-GB"/>
              </w:rPr>
            </w:pPr>
          </w:p>
        </w:tc>
        <w:tc>
          <w:tcPr>
            <w:tcW w:w="93" w:type="dxa"/>
            <w:tcBorders>
              <w:top w:val="single" w:sz="6" w:space="0" w:color="auto"/>
              <w:bottom w:val="nil"/>
            </w:tcBorders>
          </w:tcPr>
          <w:p w:rsidR="001D2768" w:rsidRDefault="001D2768">
            <w:pPr>
              <w:widowControl/>
              <w:jc w:val="left"/>
              <w:rPr>
                <w:color w:val="000000"/>
                <w:sz w:val="24"/>
                <w:szCs w:val="24"/>
                <w:lang w:val="en-GB"/>
              </w:rPr>
            </w:pPr>
          </w:p>
        </w:tc>
        <w:tc>
          <w:tcPr>
            <w:tcW w:w="2021" w:type="dxa"/>
            <w:gridSpan w:val="2"/>
            <w:tcBorders>
              <w:top w:val="single" w:sz="6" w:space="0" w:color="auto"/>
              <w:bottom w:val="nil"/>
            </w:tcBorders>
          </w:tcPr>
          <w:p w:rsidR="001D2768" w:rsidRDefault="003E3780">
            <w:pPr>
              <w:widowControl/>
              <w:jc w:val="left"/>
              <w:rPr>
                <w:color w:val="000000"/>
                <w:sz w:val="24"/>
                <w:szCs w:val="24"/>
                <w:lang w:val="en-GB"/>
              </w:rPr>
            </w:pPr>
            <w:r>
              <w:rPr>
                <w:color w:val="000000"/>
                <w:sz w:val="24"/>
                <w:szCs w:val="24"/>
                <w:lang w:val="en-GB"/>
              </w:rPr>
              <w:t xml:space="preserve">Monthly </w:t>
            </w:r>
            <w:r w:rsidR="001D2768">
              <w:rPr>
                <w:color w:val="000000"/>
                <w:sz w:val="24"/>
                <w:szCs w:val="24"/>
                <w:lang w:val="en-GB"/>
              </w:rPr>
              <w:t>return to WMB</w:t>
            </w:r>
          </w:p>
        </w:tc>
        <w:tc>
          <w:tcPr>
            <w:tcW w:w="1121" w:type="dxa"/>
            <w:tcBorders>
              <w:top w:val="single" w:sz="6" w:space="0" w:color="auto"/>
              <w:bottom w:val="nil"/>
            </w:tcBorders>
          </w:tcPr>
          <w:p w:rsidR="001D2768" w:rsidRDefault="001D2768">
            <w:pPr>
              <w:widowControl/>
              <w:jc w:val="left"/>
              <w:rPr>
                <w:color w:val="000000"/>
                <w:sz w:val="24"/>
                <w:szCs w:val="24"/>
                <w:lang w:val="en-GB"/>
              </w:rPr>
            </w:pPr>
          </w:p>
        </w:tc>
        <w:tc>
          <w:tcPr>
            <w:tcW w:w="141" w:type="dxa"/>
            <w:tcBorders>
              <w:top w:val="single" w:sz="6" w:space="0" w:color="auto"/>
              <w:bottom w:val="nil"/>
            </w:tcBorders>
          </w:tcPr>
          <w:p w:rsidR="001D2768" w:rsidRDefault="001D2768">
            <w:pPr>
              <w:widowControl/>
              <w:jc w:val="left"/>
              <w:rPr>
                <w:color w:val="000000"/>
                <w:sz w:val="24"/>
                <w:szCs w:val="24"/>
                <w:lang w:val="en-GB"/>
              </w:rPr>
            </w:pPr>
          </w:p>
        </w:tc>
        <w:tc>
          <w:tcPr>
            <w:tcW w:w="1011" w:type="dxa"/>
            <w:tcBorders>
              <w:top w:val="single" w:sz="6" w:space="0" w:color="auto"/>
              <w:bottom w:val="nil"/>
            </w:tcBorders>
          </w:tcPr>
          <w:p w:rsidR="001D2768" w:rsidRDefault="001D2768">
            <w:pPr>
              <w:widowControl/>
              <w:jc w:val="left"/>
              <w:rPr>
                <w:color w:val="000000"/>
                <w:sz w:val="24"/>
                <w:szCs w:val="24"/>
                <w:lang w:val="en-GB"/>
              </w:rPr>
            </w:pPr>
          </w:p>
        </w:tc>
        <w:tc>
          <w:tcPr>
            <w:tcW w:w="1010" w:type="dxa"/>
            <w:tcBorders>
              <w:top w:val="single" w:sz="6" w:space="0" w:color="auto"/>
              <w:bottom w:val="nil"/>
            </w:tcBorders>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Borders>
              <w:top w:val="single" w:sz="6" w:space="0" w:color="auto"/>
              <w:bottom w:val="nil"/>
            </w:tcBorders>
          </w:tcPr>
          <w:p w:rsidR="001D2768" w:rsidRDefault="001D2768">
            <w:pPr>
              <w:widowControl/>
              <w:jc w:val="right"/>
              <w:rPr>
                <w:color w:val="000000"/>
                <w:sz w:val="24"/>
                <w:szCs w:val="24"/>
                <w:lang w:val="en-GB"/>
              </w:rPr>
            </w:pPr>
          </w:p>
        </w:tc>
        <w:tc>
          <w:tcPr>
            <w:tcW w:w="1011" w:type="dxa"/>
            <w:tcBorders>
              <w:top w:val="single" w:sz="6" w:space="0" w:color="auto"/>
              <w:bottom w:val="nil"/>
            </w:tcBorders>
          </w:tcPr>
          <w:p w:rsidR="001D2768" w:rsidRDefault="001D2768">
            <w:pPr>
              <w:widowControl/>
              <w:jc w:val="right"/>
              <w:rPr>
                <w:color w:val="000000"/>
                <w:sz w:val="24"/>
                <w:szCs w:val="24"/>
                <w:lang w:val="en-GB"/>
              </w:rPr>
            </w:pPr>
          </w:p>
        </w:tc>
        <w:tc>
          <w:tcPr>
            <w:tcW w:w="2021" w:type="dxa"/>
            <w:gridSpan w:val="3"/>
            <w:tcBorders>
              <w:top w:val="single" w:sz="6" w:space="0" w:color="auto"/>
              <w:bottom w:val="nil"/>
            </w:tcBorders>
          </w:tcPr>
          <w:p w:rsidR="001D2768" w:rsidRDefault="009F3A40">
            <w:pPr>
              <w:widowControl/>
              <w:jc w:val="left"/>
              <w:rPr>
                <w:color w:val="000000"/>
                <w:sz w:val="24"/>
                <w:szCs w:val="24"/>
                <w:lang w:val="en-GB"/>
              </w:rPr>
            </w:pPr>
            <w:r>
              <w:rPr>
                <w:color w:val="000000"/>
                <w:sz w:val="24"/>
                <w:szCs w:val="24"/>
                <w:lang w:val="en-GB"/>
              </w:rPr>
              <w:t>FSB</w:t>
            </w:r>
            <w:r w:rsidR="001D2768">
              <w:rPr>
                <w:color w:val="000000"/>
                <w:sz w:val="24"/>
                <w:szCs w:val="24"/>
                <w:lang w:val="en-GB"/>
              </w:rPr>
              <w:t xml:space="preserve"> accreditation</w:t>
            </w:r>
          </w:p>
        </w:tc>
        <w:tc>
          <w:tcPr>
            <w:tcW w:w="204" w:type="dxa"/>
            <w:tcBorders>
              <w:top w:val="single" w:sz="6" w:space="0" w:color="auto"/>
              <w:bottom w:val="nil"/>
            </w:tcBorders>
          </w:tcPr>
          <w:p w:rsidR="001D2768" w:rsidRDefault="001D2768">
            <w:pPr>
              <w:widowControl/>
              <w:jc w:val="left"/>
              <w:rPr>
                <w:color w:val="000000"/>
                <w:sz w:val="24"/>
                <w:szCs w:val="24"/>
                <w:lang w:val="en-GB"/>
              </w:rPr>
            </w:pPr>
          </w:p>
        </w:tc>
        <w:tc>
          <w:tcPr>
            <w:tcW w:w="93" w:type="dxa"/>
            <w:tcBorders>
              <w:top w:val="single" w:sz="6" w:space="0" w:color="auto"/>
              <w:bottom w:val="nil"/>
            </w:tcBorders>
          </w:tcPr>
          <w:p w:rsidR="001D2768" w:rsidRDefault="001D2768">
            <w:pPr>
              <w:widowControl/>
              <w:jc w:val="left"/>
              <w:rPr>
                <w:color w:val="000000"/>
                <w:sz w:val="24"/>
                <w:szCs w:val="24"/>
                <w:lang w:val="en-GB"/>
              </w:rPr>
            </w:pPr>
          </w:p>
        </w:tc>
        <w:tc>
          <w:tcPr>
            <w:tcW w:w="1011" w:type="dxa"/>
            <w:tcBorders>
              <w:top w:val="single" w:sz="6" w:space="0" w:color="auto"/>
              <w:bottom w:val="nil"/>
            </w:tcBorders>
          </w:tcPr>
          <w:p w:rsidR="001D2768" w:rsidRDefault="001D2768">
            <w:pPr>
              <w:widowControl/>
              <w:jc w:val="left"/>
              <w:rPr>
                <w:color w:val="000000"/>
                <w:sz w:val="24"/>
                <w:szCs w:val="24"/>
                <w:lang w:val="en-GB"/>
              </w:rPr>
            </w:pPr>
          </w:p>
        </w:tc>
        <w:tc>
          <w:tcPr>
            <w:tcW w:w="1010" w:type="dxa"/>
            <w:tcBorders>
              <w:top w:val="single" w:sz="6" w:space="0" w:color="auto"/>
              <w:bottom w:val="nil"/>
            </w:tcBorders>
          </w:tcPr>
          <w:p w:rsidR="001D2768" w:rsidRDefault="001D2768">
            <w:pPr>
              <w:widowControl/>
              <w:jc w:val="left"/>
              <w:rPr>
                <w:color w:val="000000"/>
                <w:sz w:val="24"/>
                <w:szCs w:val="24"/>
                <w:lang w:val="en-GB"/>
              </w:rPr>
            </w:pPr>
          </w:p>
        </w:tc>
        <w:tc>
          <w:tcPr>
            <w:tcW w:w="1121" w:type="dxa"/>
            <w:tcBorders>
              <w:top w:val="single" w:sz="6" w:space="0" w:color="auto"/>
              <w:bottom w:val="nil"/>
            </w:tcBorders>
          </w:tcPr>
          <w:p w:rsidR="001D2768" w:rsidRDefault="001D2768">
            <w:pPr>
              <w:widowControl/>
              <w:jc w:val="left"/>
              <w:rPr>
                <w:color w:val="000000"/>
                <w:sz w:val="24"/>
                <w:szCs w:val="24"/>
                <w:lang w:val="en-GB"/>
              </w:rPr>
            </w:pPr>
          </w:p>
        </w:tc>
        <w:tc>
          <w:tcPr>
            <w:tcW w:w="141" w:type="dxa"/>
            <w:tcBorders>
              <w:top w:val="single" w:sz="6" w:space="0" w:color="auto"/>
              <w:bottom w:val="nil"/>
            </w:tcBorders>
          </w:tcPr>
          <w:p w:rsidR="001D2768" w:rsidRDefault="001D2768">
            <w:pPr>
              <w:widowControl/>
              <w:jc w:val="left"/>
              <w:rPr>
                <w:color w:val="000000"/>
                <w:sz w:val="24"/>
                <w:szCs w:val="24"/>
                <w:lang w:val="en-GB"/>
              </w:rPr>
            </w:pPr>
          </w:p>
        </w:tc>
        <w:tc>
          <w:tcPr>
            <w:tcW w:w="2021" w:type="dxa"/>
            <w:gridSpan w:val="2"/>
            <w:tcBorders>
              <w:top w:val="single" w:sz="6" w:space="0" w:color="auto"/>
              <w:bottom w:val="nil"/>
            </w:tcBorders>
          </w:tcPr>
          <w:p w:rsidR="001D2768" w:rsidRDefault="001D2768">
            <w:pPr>
              <w:widowControl/>
              <w:jc w:val="left"/>
              <w:rPr>
                <w:color w:val="000000"/>
                <w:sz w:val="24"/>
                <w:szCs w:val="24"/>
                <w:lang w:val="en-GB"/>
              </w:rPr>
            </w:pPr>
            <w:r>
              <w:rPr>
                <w:color w:val="000000"/>
                <w:sz w:val="24"/>
                <w:szCs w:val="24"/>
                <w:lang w:val="en-GB"/>
              </w:rPr>
              <w:t xml:space="preserve">annual reassessment </w:t>
            </w:r>
          </w:p>
        </w:tc>
      </w:tr>
      <w:tr w:rsidR="001D2768">
        <w:tblPrEx>
          <w:tblCellMar>
            <w:top w:w="0" w:type="dxa"/>
            <w:bottom w:w="0" w:type="dxa"/>
          </w:tblCellMar>
        </w:tblPrEx>
        <w:trPr>
          <w:cantSplit/>
          <w:trHeight w:val="247"/>
        </w:trPr>
        <w:tc>
          <w:tcPr>
            <w:tcW w:w="1010" w:type="dxa"/>
            <w:tcBorders>
              <w:top w:val="nil"/>
            </w:tcBorders>
          </w:tcPr>
          <w:p w:rsidR="001D2768" w:rsidRDefault="001D2768">
            <w:pPr>
              <w:widowControl/>
              <w:jc w:val="right"/>
              <w:rPr>
                <w:color w:val="000000"/>
                <w:sz w:val="24"/>
                <w:szCs w:val="24"/>
                <w:lang w:val="en-GB"/>
              </w:rPr>
            </w:pPr>
          </w:p>
        </w:tc>
        <w:tc>
          <w:tcPr>
            <w:tcW w:w="1011" w:type="dxa"/>
            <w:tcBorders>
              <w:top w:val="nil"/>
            </w:tcBorders>
          </w:tcPr>
          <w:p w:rsidR="001D2768" w:rsidRDefault="001D2768">
            <w:pPr>
              <w:widowControl/>
              <w:jc w:val="right"/>
              <w:rPr>
                <w:color w:val="000000"/>
                <w:sz w:val="24"/>
                <w:szCs w:val="24"/>
                <w:lang w:val="en-GB"/>
              </w:rPr>
            </w:pPr>
          </w:p>
        </w:tc>
        <w:tc>
          <w:tcPr>
            <w:tcW w:w="1010" w:type="dxa"/>
            <w:tcBorders>
              <w:top w:val="nil"/>
            </w:tcBorders>
          </w:tcPr>
          <w:p w:rsidR="001D2768" w:rsidRDefault="001D2768">
            <w:pPr>
              <w:widowControl/>
              <w:jc w:val="left"/>
              <w:rPr>
                <w:color w:val="000000"/>
                <w:sz w:val="24"/>
                <w:szCs w:val="24"/>
                <w:lang w:val="en-GB"/>
              </w:rPr>
            </w:pPr>
          </w:p>
        </w:tc>
        <w:tc>
          <w:tcPr>
            <w:tcW w:w="1011" w:type="dxa"/>
            <w:gridSpan w:val="2"/>
            <w:tcBorders>
              <w:top w:val="nil"/>
            </w:tcBorders>
          </w:tcPr>
          <w:p w:rsidR="001D2768" w:rsidRDefault="001D2768">
            <w:pPr>
              <w:widowControl/>
              <w:jc w:val="left"/>
              <w:rPr>
                <w:color w:val="000000"/>
                <w:sz w:val="24"/>
                <w:szCs w:val="24"/>
                <w:lang w:val="en-GB"/>
              </w:rPr>
            </w:pPr>
          </w:p>
        </w:tc>
        <w:tc>
          <w:tcPr>
            <w:tcW w:w="204" w:type="dxa"/>
            <w:tcBorders>
              <w:top w:val="nil"/>
            </w:tcBorders>
          </w:tcPr>
          <w:p w:rsidR="001D2768" w:rsidRDefault="001D2768">
            <w:pPr>
              <w:widowControl/>
              <w:jc w:val="left"/>
              <w:rPr>
                <w:color w:val="000000"/>
                <w:sz w:val="24"/>
                <w:szCs w:val="24"/>
                <w:lang w:val="en-GB"/>
              </w:rPr>
            </w:pPr>
          </w:p>
        </w:tc>
        <w:tc>
          <w:tcPr>
            <w:tcW w:w="93" w:type="dxa"/>
            <w:tcBorders>
              <w:top w:val="nil"/>
            </w:tcBorders>
          </w:tcPr>
          <w:p w:rsidR="001D2768" w:rsidRDefault="001D2768">
            <w:pPr>
              <w:widowControl/>
              <w:jc w:val="left"/>
              <w:rPr>
                <w:color w:val="000000"/>
                <w:sz w:val="24"/>
                <w:szCs w:val="24"/>
                <w:lang w:val="en-GB"/>
              </w:rPr>
            </w:pPr>
          </w:p>
        </w:tc>
        <w:tc>
          <w:tcPr>
            <w:tcW w:w="1011" w:type="dxa"/>
            <w:tcBorders>
              <w:top w:val="nil"/>
            </w:tcBorders>
          </w:tcPr>
          <w:p w:rsidR="001D2768" w:rsidRDefault="001D2768">
            <w:pPr>
              <w:widowControl/>
              <w:jc w:val="left"/>
              <w:rPr>
                <w:color w:val="000000"/>
                <w:sz w:val="24"/>
                <w:szCs w:val="24"/>
                <w:lang w:val="en-GB"/>
              </w:rPr>
            </w:pPr>
          </w:p>
        </w:tc>
        <w:tc>
          <w:tcPr>
            <w:tcW w:w="1010" w:type="dxa"/>
            <w:tcBorders>
              <w:top w:val="nil"/>
            </w:tcBorders>
          </w:tcPr>
          <w:p w:rsidR="001D2768" w:rsidRDefault="001D2768">
            <w:pPr>
              <w:widowControl/>
              <w:jc w:val="left"/>
              <w:rPr>
                <w:color w:val="000000"/>
                <w:sz w:val="24"/>
                <w:szCs w:val="24"/>
                <w:lang w:val="en-GB"/>
              </w:rPr>
            </w:pPr>
          </w:p>
        </w:tc>
        <w:tc>
          <w:tcPr>
            <w:tcW w:w="1121" w:type="dxa"/>
            <w:tcBorders>
              <w:top w:val="nil"/>
            </w:tcBorders>
          </w:tcPr>
          <w:p w:rsidR="001D2768" w:rsidRDefault="001D2768">
            <w:pPr>
              <w:widowControl/>
              <w:jc w:val="left"/>
              <w:rPr>
                <w:color w:val="000000"/>
                <w:sz w:val="24"/>
                <w:szCs w:val="24"/>
                <w:lang w:val="en-GB"/>
              </w:rPr>
            </w:pPr>
          </w:p>
        </w:tc>
        <w:tc>
          <w:tcPr>
            <w:tcW w:w="141" w:type="dxa"/>
            <w:tcBorders>
              <w:top w:val="nil"/>
            </w:tcBorders>
          </w:tcPr>
          <w:p w:rsidR="001D2768" w:rsidRDefault="001D2768">
            <w:pPr>
              <w:widowControl/>
              <w:jc w:val="left"/>
              <w:rPr>
                <w:color w:val="000000"/>
                <w:sz w:val="24"/>
                <w:szCs w:val="24"/>
                <w:lang w:val="en-GB"/>
              </w:rPr>
            </w:pPr>
          </w:p>
        </w:tc>
        <w:tc>
          <w:tcPr>
            <w:tcW w:w="2021" w:type="dxa"/>
            <w:gridSpan w:val="2"/>
            <w:tcBorders>
              <w:top w:val="nil"/>
            </w:tcBorders>
          </w:tcPr>
          <w:p w:rsidR="001D2768" w:rsidRDefault="001D2768">
            <w:pPr>
              <w:widowControl/>
              <w:jc w:val="left"/>
              <w:rPr>
                <w:color w:val="000000"/>
                <w:sz w:val="24"/>
                <w:szCs w:val="24"/>
                <w:lang w:val="en-GB"/>
              </w:rPr>
            </w:pPr>
            <w:r>
              <w:rPr>
                <w:color w:val="000000"/>
                <w:sz w:val="24"/>
                <w:szCs w:val="24"/>
                <w:lang w:val="en-GB"/>
              </w:rPr>
              <w:t>against Welfare Code</w:t>
            </w:r>
          </w:p>
        </w:tc>
      </w:tr>
      <w:tr w:rsidR="001D2768">
        <w:tblPrEx>
          <w:tblCellMar>
            <w:top w:w="0" w:type="dxa"/>
            <w:bottom w:w="0" w:type="dxa"/>
          </w:tblCellMar>
        </w:tblPrEx>
        <w:trPr>
          <w:cantSplit/>
          <w:trHeight w:val="247"/>
        </w:trPr>
        <w:tc>
          <w:tcPr>
            <w:tcW w:w="2021" w:type="dxa"/>
            <w:gridSpan w:val="2"/>
            <w:tcBorders>
              <w:top w:val="single" w:sz="6" w:space="0" w:color="auto"/>
              <w:bottom w:val="nil"/>
            </w:tcBorders>
          </w:tcPr>
          <w:p w:rsidR="001D2768" w:rsidRDefault="001D2768">
            <w:pPr>
              <w:widowControl/>
              <w:rPr>
                <w:color w:val="000000"/>
                <w:sz w:val="24"/>
                <w:szCs w:val="24"/>
                <w:lang w:val="en-GB"/>
              </w:rPr>
            </w:pPr>
            <w:r>
              <w:rPr>
                <w:color w:val="000000"/>
                <w:sz w:val="24"/>
                <w:szCs w:val="24"/>
                <w:lang w:val="en-GB"/>
              </w:rPr>
              <w:t>Licensed meat</w:t>
            </w:r>
          </w:p>
        </w:tc>
        <w:tc>
          <w:tcPr>
            <w:tcW w:w="2021" w:type="dxa"/>
            <w:gridSpan w:val="3"/>
            <w:tcBorders>
              <w:top w:val="single" w:sz="6" w:space="0" w:color="auto"/>
              <w:bottom w:val="nil"/>
            </w:tcBorders>
          </w:tcPr>
          <w:p w:rsidR="001D2768" w:rsidRDefault="009F3A40">
            <w:pPr>
              <w:widowControl/>
              <w:jc w:val="left"/>
              <w:rPr>
                <w:color w:val="000000"/>
                <w:sz w:val="24"/>
                <w:szCs w:val="24"/>
                <w:lang w:val="en-GB"/>
              </w:rPr>
            </w:pPr>
            <w:r>
              <w:rPr>
                <w:color w:val="000000"/>
                <w:sz w:val="24"/>
                <w:szCs w:val="24"/>
                <w:lang w:val="en-GB"/>
              </w:rPr>
              <w:t>FSB</w:t>
            </w:r>
            <w:r w:rsidR="001D2768">
              <w:rPr>
                <w:color w:val="000000"/>
                <w:sz w:val="24"/>
                <w:szCs w:val="24"/>
                <w:lang w:val="en-GB"/>
              </w:rPr>
              <w:t xml:space="preserve"> licence</w:t>
            </w:r>
          </w:p>
        </w:tc>
        <w:tc>
          <w:tcPr>
            <w:tcW w:w="204" w:type="dxa"/>
            <w:tcBorders>
              <w:top w:val="single" w:sz="6" w:space="0" w:color="auto"/>
              <w:bottom w:val="nil"/>
            </w:tcBorders>
          </w:tcPr>
          <w:p w:rsidR="001D2768" w:rsidRDefault="001D2768">
            <w:pPr>
              <w:widowControl/>
              <w:jc w:val="left"/>
              <w:rPr>
                <w:color w:val="000000"/>
                <w:sz w:val="24"/>
                <w:szCs w:val="24"/>
                <w:lang w:val="en-GB"/>
              </w:rPr>
            </w:pPr>
          </w:p>
        </w:tc>
        <w:tc>
          <w:tcPr>
            <w:tcW w:w="93" w:type="dxa"/>
            <w:tcBorders>
              <w:top w:val="single" w:sz="6" w:space="0" w:color="auto"/>
              <w:bottom w:val="nil"/>
            </w:tcBorders>
          </w:tcPr>
          <w:p w:rsidR="001D2768" w:rsidRDefault="001D2768">
            <w:pPr>
              <w:widowControl/>
              <w:jc w:val="left"/>
              <w:rPr>
                <w:color w:val="000000"/>
                <w:sz w:val="24"/>
                <w:szCs w:val="24"/>
                <w:lang w:val="en-GB"/>
              </w:rPr>
            </w:pPr>
          </w:p>
        </w:tc>
        <w:tc>
          <w:tcPr>
            <w:tcW w:w="3142" w:type="dxa"/>
            <w:gridSpan w:val="3"/>
            <w:tcBorders>
              <w:top w:val="single" w:sz="6" w:space="0" w:color="auto"/>
              <w:bottom w:val="nil"/>
            </w:tcBorders>
          </w:tcPr>
          <w:p w:rsidR="001D2768" w:rsidRDefault="001D2768">
            <w:pPr>
              <w:widowControl/>
              <w:jc w:val="left"/>
              <w:rPr>
                <w:color w:val="000000"/>
                <w:sz w:val="24"/>
                <w:szCs w:val="24"/>
                <w:lang w:val="en-GB"/>
              </w:rPr>
            </w:pPr>
            <w:r>
              <w:rPr>
                <w:color w:val="000000"/>
                <w:sz w:val="24"/>
                <w:szCs w:val="24"/>
                <w:lang w:val="en-GB"/>
              </w:rPr>
              <w:t xml:space="preserve">returns to </w:t>
            </w:r>
            <w:r w:rsidR="009F3A40">
              <w:rPr>
                <w:color w:val="000000"/>
                <w:sz w:val="24"/>
                <w:szCs w:val="24"/>
                <w:lang w:val="en-GB"/>
              </w:rPr>
              <w:t>FSB</w:t>
            </w:r>
          </w:p>
        </w:tc>
        <w:tc>
          <w:tcPr>
            <w:tcW w:w="141" w:type="dxa"/>
            <w:vMerge w:val="restart"/>
            <w:tcBorders>
              <w:top w:val="single" w:sz="6" w:space="0" w:color="auto"/>
            </w:tcBorders>
          </w:tcPr>
          <w:p w:rsidR="001D2768" w:rsidRDefault="001D2768">
            <w:pPr>
              <w:widowControl/>
              <w:jc w:val="left"/>
              <w:rPr>
                <w:color w:val="000000"/>
                <w:sz w:val="24"/>
                <w:szCs w:val="24"/>
                <w:lang w:val="en-GB"/>
              </w:rPr>
            </w:pPr>
            <w:r>
              <w:rPr>
                <w:color w:val="000000"/>
                <w:sz w:val="24"/>
                <w:szCs w:val="24"/>
                <w:lang w:val="en-GB"/>
              </w:rPr>
              <w:t>}</w:t>
            </w:r>
          </w:p>
          <w:p w:rsidR="001D2768" w:rsidRDefault="001D2768">
            <w:pPr>
              <w:widowControl/>
              <w:jc w:val="left"/>
              <w:rPr>
                <w:color w:val="000000"/>
                <w:sz w:val="24"/>
                <w:szCs w:val="24"/>
                <w:lang w:val="en-GB"/>
              </w:rPr>
            </w:pPr>
            <w:r>
              <w:rPr>
                <w:color w:val="000000"/>
                <w:sz w:val="24"/>
                <w:szCs w:val="24"/>
                <w:lang w:val="en-GB"/>
              </w:rPr>
              <w:t>}</w:t>
            </w:r>
          </w:p>
          <w:p w:rsidR="001D2768" w:rsidRDefault="001D2768">
            <w:pPr>
              <w:widowControl/>
              <w:jc w:val="left"/>
              <w:rPr>
                <w:color w:val="000000"/>
                <w:sz w:val="24"/>
                <w:szCs w:val="24"/>
                <w:lang w:val="en-GB"/>
              </w:rPr>
            </w:pPr>
            <w:r>
              <w:rPr>
                <w:color w:val="000000"/>
                <w:sz w:val="24"/>
                <w:szCs w:val="24"/>
                <w:lang w:val="en-GB"/>
              </w:rPr>
              <w:lastRenderedPageBreak/>
              <w:t>}</w:t>
            </w:r>
          </w:p>
          <w:p w:rsidR="001D2768" w:rsidRDefault="001D2768">
            <w:pPr>
              <w:widowControl/>
              <w:jc w:val="left"/>
              <w:rPr>
                <w:color w:val="000000"/>
                <w:sz w:val="24"/>
                <w:szCs w:val="24"/>
                <w:lang w:val="en-GB"/>
              </w:rPr>
            </w:pPr>
            <w:r>
              <w:rPr>
                <w:color w:val="000000"/>
                <w:sz w:val="24"/>
                <w:szCs w:val="24"/>
                <w:lang w:val="en-GB"/>
              </w:rPr>
              <w:t>}</w:t>
            </w:r>
          </w:p>
          <w:p w:rsidR="001D2768" w:rsidRDefault="001D2768">
            <w:pPr>
              <w:widowControl/>
              <w:jc w:val="left"/>
              <w:rPr>
                <w:color w:val="000000"/>
                <w:sz w:val="24"/>
                <w:szCs w:val="24"/>
                <w:lang w:val="en-GB"/>
              </w:rPr>
            </w:pPr>
            <w:r>
              <w:rPr>
                <w:color w:val="000000"/>
                <w:sz w:val="24"/>
                <w:szCs w:val="24"/>
                <w:lang w:val="en-GB"/>
              </w:rPr>
              <w:t>}</w:t>
            </w:r>
          </w:p>
          <w:p w:rsidR="001D2768" w:rsidRDefault="001D2768">
            <w:pPr>
              <w:jc w:val="left"/>
              <w:rPr>
                <w:color w:val="000000"/>
                <w:sz w:val="24"/>
                <w:szCs w:val="24"/>
                <w:lang w:val="en-GB"/>
              </w:rPr>
            </w:pPr>
            <w:r>
              <w:rPr>
                <w:color w:val="000000"/>
                <w:sz w:val="24"/>
                <w:szCs w:val="24"/>
                <w:lang w:val="en-GB"/>
              </w:rPr>
              <w:t>}</w:t>
            </w:r>
          </w:p>
          <w:p w:rsidR="001D2768" w:rsidRDefault="001D2768">
            <w:pPr>
              <w:jc w:val="left"/>
              <w:rPr>
                <w:color w:val="000000"/>
                <w:sz w:val="24"/>
                <w:szCs w:val="24"/>
                <w:lang w:val="en-GB"/>
              </w:rPr>
            </w:pPr>
            <w:r>
              <w:rPr>
                <w:color w:val="000000"/>
                <w:sz w:val="24"/>
                <w:szCs w:val="24"/>
                <w:lang w:val="en-GB"/>
              </w:rPr>
              <w:t>}</w:t>
            </w:r>
          </w:p>
        </w:tc>
        <w:tc>
          <w:tcPr>
            <w:tcW w:w="1011" w:type="dxa"/>
            <w:tcBorders>
              <w:top w:val="single" w:sz="6" w:space="0" w:color="auto"/>
              <w:bottom w:val="nil"/>
            </w:tcBorders>
          </w:tcPr>
          <w:p w:rsidR="001D2768" w:rsidRDefault="001D2768">
            <w:pPr>
              <w:widowControl/>
              <w:jc w:val="left"/>
              <w:rPr>
                <w:color w:val="000000"/>
                <w:sz w:val="24"/>
                <w:szCs w:val="24"/>
                <w:lang w:val="en-GB"/>
              </w:rPr>
            </w:pPr>
          </w:p>
        </w:tc>
        <w:tc>
          <w:tcPr>
            <w:tcW w:w="1010" w:type="dxa"/>
            <w:tcBorders>
              <w:top w:val="single" w:sz="6" w:space="0" w:color="auto"/>
              <w:bottom w:val="nil"/>
            </w:tcBorders>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Borders>
              <w:top w:val="nil"/>
            </w:tcBorders>
          </w:tcPr>
          <w:p w:rsidR="001D2768" w:rsidRDefault="001D2768">
            <w:pPr>
              <w:widowControl/>
              <w:rPr>
                <w:color w:val="000000"/>
                <w:sz w:val="24"/>
                <w:szCs w:val="24"/>
                <w:lang w:val="en-GB"/>
              </w:rPr>
            </w:pPr>
            <w:r>
              <w:rPr>
                <w:color w:val="000000"/>
                <w:sz w:val="24"/>
                <w:szCs w:val="24"/>
                <w:lang w:val="en-GB"/>
              </w:rPr>
              <w:t>premises</w:t>
            </w:r>
          </w:p>
        </w:tc>
        <w:tc>
          <w:tcPr>
            <w:tcW w:w="1011" w:type="dxa"/>
            <w:tcBorders>
              <w:top w:val="nil"/>
            </w:tcBorders>
          </w:tcPr>
          <w:p w:rsidR="001D2768" w:rsidRDefault="001D2768">
            <w:pPr>
              <w:widowControl/>
              <w:jc w:val="right"/>
              <w:rPr>
                <w:color w:val="000000"/>
                <w:sz w:val="24"/>
                <w:szCs w:val="24"/>
                <w:lang w:val="en-GB"/>
              </w:rPr>
            </w:pPr>
          </w:p>
        </w:tc>
        <w:tc>
          <w:tcPr>
            <w:tcW w:w="1010" w:type="dxa"/>
            <w:tcBorders>
              <w:top w:val="nil"/>
            </w:tcBorders>
          </w:tcPr>
          <w:p w:rsidR="001D2768" w:rsidRDefault="001D2768">
            <w:pPr>
              <w:widowControl/>
              <w:jc w:val="left"/>
              <w:rPr>
                <w:color w:val="000000"/>
                <w:sz w:val="24"/>
                <w:szCs w:val="24"/>
                <w:lang w:val="en-GB"/>
              </w:rPr>
            </w:pPr>
          </w:p>
        </w:tc>
        <w:tc>
          <w:tcPr>
            <w:tcW w:w="1011" w:type="dxa"/>
            <w:gridSpan w:val="2"/>
            <w:tcBorders>
              <w:top w:val="nil"/>
            </w:tcBorders>
          </w:tcPr>
          <w:p w:rsidR="001D2768" w:rsidRDefault="001D2768">
            <w:pPr>
              <w:widowControl/>
              <w:jc w:val="left"/>
              <w:rPr>
                <w:color w:val="000000"/>
                <w:sz w:val="24"/>
                <w:szCs w:val="24"/>
                <w:lang w:val="en-GB"/>
              </w:rPr>
            </w:pPr>
          </w:p>
        </w:tc>
        <w:tc>
          <w:tcPr>
            <w:tcW w:w="204" w:type="dxa"/>
            <w:tcBorders>
              <w:top w:val="nil"/>
            </w:tcBorders>
          </w:tcPr>
          <w:p w:rsidR="001D2768" w:rsidRDefault="001D2768">
            <w:pPr>
              <w:widowControl/>
              <w:jc w:val="left"/>
              <w:rPr>
                <w:color w:val="000000"/>
                <w:sz w:val="24"/>
                <w:szCs w:val="24"/>
                <w:lang w:val="en-GB"/>
              </w:rPr>
            </w:pPr>
          </w:p>
        </w:tc>
        <w:tc>
          <w:tcPr>
            <w:tcW w:w="93" w:type="dxa"/>
            <w:tcBorders>
              <w:top w:val="nil"/>
            </w:tcBorders>
          </w:tcPr>
          <w:p w:rsidR="001D2768" w:rsidRDefault="001D2768">
            <w:pPr>
              <w:widowControl/>
              <w:jc w:val="left"/>
              <w:rPr>
                <w:color w:val="000000"/>
                <w:sz w:val="24"/>
                <w:szCs w:val="24"/>
                <w:lang w:val="en-GB"/>
              </w:rPr>
            </w:pPr>
          </w:p>
        </w:tc>
        <w:tc>
          <w:tcPr>
            <w:tcW w:w="1011" w:type="dxa"/>
            <w:tcBorders>
              <w:top w:val="nil"/>
            </w:tcBorders>
          </w:tcPr>
          <w:p w:rsidR="001D2768" w:rsidRDefault="001D2768">
            <w:pPr>
              <w:widowControl/>
              <w:jc w:val="left"/>
              <w:rPr>
                <w:color w:val="000000"/>
                <w:sz w:val="24"/>
                <w:szCs w:val="24"/>
                <w:lang w:val="en-GB"/>
              </w:rPr>
            </w:pPr>
          </w:p>
        </w:tc>
        <w:tc>
          <w:tcPr>
            <w:tcW w:w="1010" w:type="dxa"/>
            <w:tcBorders>
              <w:top w:val="nil"/>
            </w:tcBorders>
          </w:tcPr>
          <w:p w:rsidR="001D2768" w:rsidRDefault="001D2768">
            <w:pPr>
              <w:widowControl/>
              <w:jc w:val="left"/>
              <w:rPr>
                <w:color w:val="000000"/>
                <w:sz w:val="24"/>
                <w:szCs w:val="24"/>
                <w:lang w:val="en-GB"/>
              </w:rPr>
            </w:pPr>
          </w:p>
        </w:tc>
        <w:tc>
          <w:tcPr>
            <w:tcW w:w="1121" w:type="dxa"/>
            <w:tcBorders>
              <w:top w:val="nil"/>
            </w:tcBorders>
          </w:tcPr>
          <w:p w:rsidR="001D2768" w:rsidRDefault="001D2768">
            <w:pPr>
              <w:widowControl/>
              <w:jc w:val="left"/>
              <w:rPr>
                <w:color w:val="000000"/>
                <w:sz w:val="24"/>
                <w:szCs w:val="24"/>
                <w:lang w:val="en-GB"/>
              </w:rPr>
            </w:pPr>
          </w:p>
        </w:tc>
        <w:tc>
          <w:tcPr>
            <w:tcW w:w="141" w:type="dxa"/>
            <w:vMerge/>
          </w:tcPr>
          <w:p w:rsidR="001D2768" w:rsidRDefault="001D2768">
            <w:pPr>
              <w:jc w:val="left"/>
              <w:rPr>
                <w:color w:val="000000"/>
                <w:sz w:val="24"/>
                <w:szCs w:val="24"/>
                <w:lang w:val="en-GB"/>
              </w:rPr>
            </w:pPr>
          </w:p>
        </w:tc>
        <w:tc>
          <w:tcPr>
            <w:tcW w:w="1011" w:type="dxa"/>
            <w:tcBorders>
              <w:top w:val="nil"/>
            </w:tcBorders>
          </w:tcPr>
          <w:p w:rsidR="001D2768" w:rsidRDefault="001D2768">
            <w:pPr>
              <w:widowControl/>
              <w:jc w:val="left"/>
              <w:rPr>
                <w:color w:val="000000"/>
                <w:sz w:val="24"/>
                <w:szCs w:val="24"/>
                <w:lang w:val="en-GB"/>
              </w:rPr>
            </w:pPr>
          </w:p>
        </w:tc>
        <w:tc>
          <w:tcPr>
            <w:tcW w:w="1010" w:type="dxa"/>
            <w:tcBorders>
              <w:top w:val="nil"/>
            </w:tcBorders>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Pr>
          <w:p w:rsidR="001D2768" w:rsidRDefault="001D2768">
            <w:pPr>
              <w:widowControl/>
              <w:jc w:val="right"/>
              <w:rPr>
                <w:color w:val="000000"/>
                <w:sz w:val="24"/>
                <w:szCs w:val="24"/>
                <w:lang w:val="en-GB"/>
              </w:rPr>
            </w:pPr>
          </w:p>
        </w:tc>
        <w:tc>
          <w:tcPr>
            <w:tcW w:w="1011" w:type="dxa"/>
          </w:tcPr>
          <w:p w:rsidR="001D2768" w:rsidRDefault="001D2768">
            <w:pPr>
              <w:widowControl/>
              <w:jc w:val="right"/>
              <w:rPr>
                <w:color w:val="000000"/>
                <w:sz w:val="24"/>
                <w:szCs w:val="24"/>
                <w:lang w:val="en-GB"/>
              </w:rPr>
            </w:pPr>
          </w:p>
        </w:tc>
        <w:tc>
          <w:tcPr>
            <w:tcW w:w="2021" w:type="dxa"/>
            <w:gridSpan w:val="3"/>
          </w:tcPr>
          <w:p w:rsidR="001D2768" w:rsidRDefault="001D2768">
            <w:pPr>
              <w:widowControl/>
              <w:jc w:val="left"/>
              <w:rPr>
                <w:color w:val="000000"/>
                <w:sz w:val="24"/>
                <w:szCs w:val="24"/>
                <w:lang w:val="en-GB"/>
              </w:rPr>
            </w:pPr>
            <w:r>
              <w:rPr>
                <w:color w:val="000000"/>
                <w:sz w:val="24"/>
                <w:szCs w:val="24"/>
                <w:lang w:val="en-GB"/>
              </w:rPr>
              <w:t>WMB Skin Dealers License.</w:t>
            </w:r>
          </w:p>
        </w:tc>
        <w:tc>
          <w:tcPr>
            <w:tcW w:w="204" w:type="dxa"/>
          </w:tcPr>
          <w:p w:rsidR="001D2768" w:rsidRDefault="001D2768">
            <w:pPr>
              <w:widowControl/>
              <w:jc w:val="left"/>
              <w:rPr>
                <w:color w:val="000000"/>
                <w:sz w:val="24"/>
                <w:szCs w:val="24"/>
                <w:lang w:val="en-GB"/>
              </w:rPr>
            </w:pPr>
          </w:p>
        </w:tc>
        <w:tc>
          <w:tcPr>
            <w:tcW w:w="93" w:type="dxa"/>
          </w:tcPr>
          <w:p w:rsidR="001D2768" w:rsidRDefault="001D2768">
            <w:pPr>
              <w:widowControl/>
              <w:jc w:val="left"/>
              <w:rPr>
                <w:color w:val="000000"/>
                <w:sz w:val="24"/>
                <w:szCs w:val="24"/>
                <w:lang w:val="en-GB"/>
              </w:rPr>
            </w:pPr>
          </w:p>
        </w:tc>
        <w:tc>
          <w:tcPr>
            <w:tcW w:w="3142" w:type="dxa"/>
            <w:gridSpan w:val="3"/>
          </w:tcPr>
          <w:p w:rsidR="001D2768" w:rsidRDefault="001D2768">
            <w:pPr>
              <w:widowControl/>
              <w:jc w:val="left"/>
              <w:rPr>
                <w:color w:val="000000"/>
                <w:sz w:val="24"/>
                <w:szCs w:val="24"/>
                <w:lang w:val="en-GB"/>
              </w:rPr>
            </w:pPr>
            <w:r>
              <w:rPr>
                <w:color w:val="000000"/>
                <w:sz w:val="24"/>
                <w:szCs w:val="24"/>
                <w:lang w:val="en-GB"/>
              </w:rPr>
              <w:t>monthly returns to WMB</w:t>
            </w:r>
          </w:p>
        </w:tc>
        <w:tc>
          <w:tcPr>
            <w:tcW w:w="141" w:type="dxa"/>
            <w:vMerge/>
          </w:tcPr>
          <w:p w:rsidR="001D2768" w:rsidRDefault="001D2768">
            <w:pPr>
              <w:jc w:val="left"/>
              <w:rPr>
                <w:color w:val="000000"/>
                <w:sz w:val="24"/>
                <w:szCs w:val="24"/>
                <w:lang w:val="en-GB"/>
              </w:rPr>
            </w:pPr>
          </w:p>
        </w:tc>
        <w:tc>
          <w:tcPr>
            <w:tcW w:w="2021" w:type="dxa"/>
            <w:gridSpan w:val="2"/>
          </w:tcPr>
          <w:p w:rsidR="001D2768" w:rsidRDefault="001D2768">
            <w:pPr>
              <w:widowControl/>
              <w:jc w:val="left"/>
              <w:rPr>
                <w:color w:val="000000"/>
                <w:sz w:val="24"/>
                <w:szCs w:val="24"/>
                <w:lang w:val="en-GB"/>
              </w:rPr>
            </w:pPr>
            <w:r>
              <w:rPr>
                <w:color w:val="000000"/>
                <w:sz w:val="24"/>
                <w:szCs w:val="24"/>
                <w:lang w:val="en-GB"/>
              </w:rPr>
              <w:t>collate</w:t>
            </w:r>
          </w:p>
          <w:p w:rsidR="001D2768" w:rsidRDefault="001D2768">
            <w:pPr>
              <w:widowControl/>
              <w:jc w:val="left"/>
              <w:rPr>
                <w:color w:val="000000"/>
                <w:sz w:val="24"/>
                <w:szCs w:val="24"/>
                <w:lang w:val="en-GB"/>
              </w:rPr>
            </w:pPr>
            <w:r>
              <w:rPr>
                <w:color w:val="000000"/>
                <w:sz w:val="24"/>
                <w:szCs w:val="24"/>
                <w:lang w:val="en-GB"/>
              </w:rPr>
              <w:t>to</w:t>
            </w:r>
          </w:p>
          <w:p w:rsidR="001D2768" w:rsidRDefault="001D2768">
            <w:pPr>
              <w:widowControl/>
              <w:jc w:val="left"/>
              <w:rPr>
                <w:color w:val="000000"/>
                <w:sz w:val="24"/>
                <w:szCs w:val="24"/>
                <w:lang w:val="en-GB"/>
              </w:rPr>
            </w:pPr>
            <w:r>
              <w:rPr>
                <w:color w:val="000000"/>
                <w:sz w:val="24"/>
                <w:szCs w:val="24"/>
                <w:lang w:val="en-GB"/>
              </w:rPr>
              <w:t>ensure all</w:t>
            </w:r>
          </w:p>
        </w:tc>
      </w:tr>
      <w:tr w:rsidR="001D2768">
        <w:tblPrEx>
          <w:tblCellMar>
            <w:top w:w="0" w:type="dxa"/>
            <w:bottom w:w="0" w:type="dxa"/>
          </w:tblCellMar>
        </w:tblPrEx>
        <w:trPr>
          <w:cantSplit/>
          <w:trHeight w:val="247"/>
        </w:trPr>
        <w:tc>
          <w:tcPr>
            <w:tcW w:w="2021" w:type="dxa"/>
            <w:gridSpan w:val="2"/>
          </w:tcPr>
          <w:p w:rsidR="001D2768" w:rsidRDefault="001D2768">
            <w:pPr>
              <w:widowControl/>
              <w:rPr>
                <w:color w:val="000000"/>
                <w:sz w:val="24"/>
                <w:szCs w:val="24"/>
                <w:lang w:val="en-GB"/>
              </w:rPr>
            </w:pPr>
            <w:r>
              <w:rPr>
                <w:color w:val="000000"/>
                <w:sz w:val="24"/>
                <w:szCs w:val="24"/>
                <w:lang w:val="en-GB"/>
              </w:rPr>
              <w:t>Lenah Game Meats</w:t>
            </w:r>
          </w:p>
        </w:tc>
        <w:tc>
          <w:tcPr>
            <w:tcW w:w="2021" w:type="dxa"/>
            <w:gridSpan w:val="3"/>
          </w:tcPr>
          <w:p w:rsidR="001D2768" w:rsidRDefault="001D2768">
            <w:pPr>
              <w:widowControl/>
              <w:jc w:val="left"/>
              <w:rPr>
                <w:color w:val="000000"/>
                <w:sz w:val="24"/>
                <w:szCs w:val="24"/>
                <w:lang w:val="en-GB"/>
              </w:rPr>
            </w:pPr>
            <w:r>
              <w:rPr>
                <w:color w:val="000000"/>
                <w:sz w:val="24"/>
                <w:szCs w:val="24"/>
                <w:lang w:val="en-GB"/>
              </w:rPr>
              <w:t>WMB Skin Dealers License.</w:t>
            </w:r>
          </w:p>
        </w:tc>
        <w:tc>
          <w:tcPr>
            <w:tcW w:w="204" w:type="dxa"/>
          </w:tcPr>
          <w:p w:rsidR="001D2768" w:rsidRDefault="001D2768">
            <w:pPr>
              <w:widowControl/>
              <w:jc w:val="left"/>
              <w:rPr>
                <w:color w:val="000000"/>
                <w:sz w:val="24"/>
                <w:szCs w:val="24"/>
                <w:lang w:val="en-GB"/>
              </w:rPr>
            </w:pPr>
          </w:p>
        </w:tc>
        <w:tc>
          <w:tcPr>
            <w:tcW w:w="93" w:type="dxa"/>
          </w:tcPr>
          <w:p w:rsidR="001D2768" w:rsidRDefault="001D2768">
            <w:pPr>
              <w:widowControl/>
              <w:jc w:val="left"/>
              <w:rPr>
                <w:color w:val="000000"/>
                <w:sz w:val="24"/>
                <w:szCs w:val="24"/>
                <w:lang w:val="en-GB"/>
              </w:rPr>
            </w:pPr>
          </w:p>
        </w:tc>
        <w:tc>
          <w:tcPr>
            <w:tcW w:w="3142" w:type="dxa"/>
            <w:gridSpan w:val="3"/>
          </w:tcPr>
          <w:p w:rsidR="001D2768" w:rsidRDefault="001D2768">
            <w:pPr>
              <w:widowControl/>
              <w:jc w:val="left"/>
              <w:rPr>
                <w:color w:val="000000"/>
                <w:sz w:val="24"/>
                <w:szCs w:val="24"/>
                <w:lang w:val="en-GB"/>
              </w:rPr>
            </w:pPr>
            <w:r>
              <w:rPr>
                <w:color w:val="000000"/>
                <w:sz w:val="24"/>
                <w:szCs w:val="24"/>
                <w:lang w:val="en-GB"/>
              </w:rPr>
              <w:t>monthly returns to WMB</w:t>
            </w:r>
          </w:p>
          <w:p w:rsidR="001D2768" w:rsidRDefault="001D2768">
            <w:pPr>
              <w:widowControl/>
              <w:jc w:val="left"/>
              <w:rPr>
                <w:color w:val="000000"/>
                <w:sz w:val="24"/>
                <w:szCs w:val="24"/>
                <w:lang w:val="en-GB"/>
              </w:rPr>
            </w:pPr>
            <w:r>
              <w:rPr>
                <w:color w:val="000000"/>
                <w:sz w:val="24"/>
                <w:szCs w:val="24"/>
                <w:lang w:val="en-GB"/>
              </w:rPr>
              <w:t>Monthly royalty payments to WMB</w:t>
            </w:r>
          </w:p>
        </w:tc>
        <w:tc>
          <w:tcPr>
            <w:tcW w:w="141" w:type="dxa"/>
            <w:vMerge/>
          </w:tcPr>
          <w:p w:rsidR="001D2768" w:rsidRDefault="001D2768">
            <w:pPr>
              <w:widowControl/>
              <w:jc w:val="left"/>
              <w:rPr>
                <w:color w:val="000000"/>
                <w:sz w:val="24"/>
                <w:szCs w:val="24"/>
                <w:lang w:val="en-GB"/>
              </w:rPr>
            </w:pPr>
          </w:p>
        </w:tc>
        <w:tc>
          <w:tcPr>
            <w:tcW w:w="1011" w:type="dxa"/>
          </w:tcPr>
          <w:p w:rsidR="001D2768" w:rsidRDefault="001D2768">
            <w:pPr>
              <w:widowControl/>
              <w:jc w:val="left"/>
              <w:rPr>
                <w:color w:val="000000"/>
                <w:sz w:val="24"/>
                <w:szCs w:val="24"/>
                <w:lang w:val="en-GB"/>
              </w:rPr>
            </w:pPr>
            <w:r>
              <w:rPr>
                <w:color w:val="000000"/>
                <w:sz w:val="24"/>
                <w:szCs w:val="24"/>
                <w:lang w:val="en-GB"/>
              </w:rPr>
              <w:t>data matches</w:t>
            </w:r>
          </w:p>
        </w:tc>
        <w:tc>
          <w:tcPr>
            <w:tcW w:w="1010" w:type="dxa"/>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Pr>
          <w:p w:rsidR="001D2768" w:rsidRDefault="001D2768">
            <w:pPr>
              <w:widowControl/>
              <w:jc w:val="right"/>
              <w:rPr>
                <w:color w:val="000000"/>
                <w:sz w:val="24"/>
                <w:szCs w:val="24"/>
                <w:lang w:val="en-GB"/>
              </w:rPr>
            </w:pPr>
          </w:p>
        </w:tc>
        <w:tc>
          <w:tcPr>
            <w:tcW w:w="1011" w:type="dxa"/>
          </w:tcPr>
          <w:p w:rsidR="001D2768" w:rsidRDefault="001D2768">
            <w:pPr>
              <w:widowControl/>
              <w:jc w:val="right"/>
              <w:rPr>
                <w:color w:val="000000"/>
                <w:sz w:val="24"/>
                <w:szCs w:val="24"/>
                <w:lang w:val="en-GB"/>
              </w:rPr>
            </w:pPr>
          </w:p>
        </w:tc>
        <w:tc>
          <w:tcPr>
            <w:tcW w:w="1837" w:type="dxa"/>
            <w:gridSpan w:val="2"/>
          </w:tcPr>
          <w:p w:rsidR="001D2768" w:rsidRDefault="001D2768">
            <w:pPr>
              <w:widowControl/>
              <w:jc w:val="left"/>
              <w:rPr>
                <w:color w:val="000000"/>
                <w:sz w:val="24"/>
                <w:szCs w:val="24"/>
                <w:lang w:val="en-GB"/>
              </w:rPr>
            </w:pPr>
          </w:p>
        </w:tc>
        <w:tc>
          <w:tcPr>
            <w:tcW w:w="184" w:type="dxa"/>
          </w:tcPr>
          <w:p w:rsidR="001D2768" w:rsidRDefault="001D2768">
            <w:pPr>
              <w:widowControl/>
              <w:jc w:val="left"/>
              <w:rPr>
                <w:color w:val="000000"/>
                <w:sz w:val="24"/>
                <w:szCs w:val="24"/>
                <w:lang w:val="en-GB"/>
              </w:rPr>
            </w:pPr>
          </w:p>
        </w:tc>
        <w:tc>
          <w:tcPr>
            <w:tcW w:w="204" w:type="dxa"/>
          </w:tcPr>
          <w:p w:rsidR="001D2768" w:rsidRDefault="001D2768">
            <w:pPr>
              <w:widowControl/>
              <w:jc w:val="left"/>
              <w:rPr>
                <w:color w:val="000000"/>
                <w:sz w:val="24"/>
                <w:szCs w:val="24"/>
                <w:lang w:val="en-GB"/>
              </w:rPr>
            </w:pPr>
          </w:p>
        </w:tc>
        <w:tc>
          <w:tcPr>
            <w:tcW w:w="93" w:type="dxa"/>
          </w:tcPr>
          <w:p w:rsidR="001D2768" w:rsidRDefault="001D2768">
            <w:pPr>
              <w:widowControl/>
              <w:jc w:val="left"/>
              <w:rPr>
                <w:color w:val="000000"/>
                <w:sz w:val="24"/>
                <w:szCs w:val="24"/>
                <w:lang w:val="en-GB"/>
              </w:rPr>
            </w:pPr>
          </w:p>
        </w:tc>
        <w:tc>
          <w:tcPr>
            <w:tcW w:w="1011" w:type="dxa"/>
          </w:tcPr>
          <w:p w:rsidR="001D2768" w:rsidRDefault="001D2768">
            <w:pPr>
              <w:widowControl/>
              <w:jc w:val="left"/>
              <w:rPr>
                <w:color w:val="000000"/>
                <w:sz w:val="24"/>
                <w:szCs w:val="24"/>
                <w:lang w:val="en-GB"/>
              </w:rPr>
            </w:pPr>
          </w:p>
        </w:tc>
        <w:tc>
          <w:tcPr>
            <w:tcW w:w="1010" w:type="dxa"/>
          </w:tcPr>
          <w:p w:rsidR="001D2768" w:rsidRDefault="001D2768">
            <w:pPr>
              <w:widowControl/>
              <w:jc w:val="left"/>
              <w:rPr>
                <w:color w:val="000000"/>
                <w:sz w:val="24"/>
                <w:szCs w:val="24"/>
                <w:lang w:val="en-GB"/>
              </w:rPr>
            </w:pPr>
          </w:p>
        </w:tc>
        <w:tc>
          <w:tcPr>
            <w:tcW w:w="1121" w:type="dxa"/>
          </w:tcPr>
          <w:p w:rsidR="001D2768" w:rsidRDefault="001D2768">
            <w:pPr>
              <w:widowControl/>
              <w:jc w:val="left"/>
              <w:rPr>
                <w:color w:val="000000"/>
                <w:sz w:val="24"/>
                <w:szCs w:val="24"/>
                <w:lang w:val="en-GB"/>
              </w:rPr>
            </w:pPr>
          </w:p>
        </w:tc>
        <w:tc>
          <w:tcPr>
            <w:tcW w:w="141" w:type="dxa"/>
          </w:tcPr>
          <w:p w:rsidR="001D2768" w:rsidRDefault="001D2768">
            <w:pPr>
              <w:widowControl/>
              <w:jc w:val="left"/>
              <w:rPr>
                <w:color w:val="000000"/>
                <w:sz w:val="24"/>
                <w:szCs w:val="24"/>
                <w:lang w:val="en-GB"/>
              </w:rPr>
            </w:pPr>
          </w:p>
        </w:tc>
        <w:tc>
          <w:tcPr>
            <w:tcW w:w="1011" w:type="dxa"/>
          </w:tcPr>
          <w:p w:rsidR="001D2768" w:rsidRDefault="001D2768">
            <w:pPr>
              <w:widowControl/>
              <w:jc w:val="left"/>
              <w:rPr>
                <w:color w:val="000000"/>
                <w:sz w:val="24"/>
                <w:szCs w:val="24"/>
                <w:lang w:val="en-GB"/>
              </w:rPr>
            </w:pPr>
          </w:p>
        </w:tc>
        <w:tc>
          <w:tcPr>
            <w:tcW w:w="1010" w:type="dxa"/>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Pr>
          <w:p w:rsidR="001D2768" w:rsidRDefault="001D2768">
            <w:pPr>
              <w:widowControl/>
              <w:jc w:val="right"/>
              <w:rPr>
                <w:color w:val="000000"/>
                <w:sz w:val="24"/>
                <w:szCs w:val="24"/>
                <w:lang w:val="en-GB"/>
              </w:rPr>
            </w:pPr>
          </w:p>
        </w:tc>
        <w:tc>
          <w:tcPr>
            <w:tcW w:w="1011" w:type="dxa"/>
          </w:tcPr>
          <w:p w:rsidR="001D2768" w:rsidRDefault="001D2768">
            <w:pPr>
              <w:widowControl/>
              <w:jc w:val="right"/>
              <w:rPr>
                <w:color w:val="000000"/>
                <w:sz w:val="24"/>
                <w:szCs w:val="24"/>
                <w:lang w:val="en-GB"/>
              </w:rPr>
            </w:pPr>
          </w:p>
        </w:tc>
        <w:tc>
          <w:tcPr>
            <w:tcW w:w="1837" w:type="dxa"/>
            <w:gridSpan w:val="2"/>
          </w:tcPr>
          <w:p w:rsidR="001D2768" w:rsidRDefault="001D2768">
            <w:pPr>
              <w:widowControl/>
              <w:jc w:val="left"/>
              <w:rPr>
                <w:color w:val="000000"/>
                <w:sz w:val="24"/>
                <w:szCs w:val="24"/>
                <w:lang w:val="en-GB"/>
              </w:rPr>
            </w:pPr>
          </w:p>
        </w:tc>
        <w:tc>
          <w:tcPr>
            <w:tcW w:w="184" w:type="dxa"/>
          </w:tcPr>
          <w:p w:rsidR="001D2768" w:rsidRDefault="001D2768">
            <w:pPr>
              <w:widowControl/>
              <w:jc w:val="left"/>
              <w:rPr>
                <w:color w:val="000000"/>
                <w:sz w:val="24"/>
                <w:szCs w:val="24"/>
                <w:lang w:val="en-GB"/>
              </w:rPr>
            </w:pPr>
          </w:p>
        </w:tc>
        <w:tc>
          <w:tcPr>
            <w:tcW w:w="204" w:type="dxa"/>
          </w:tcPr>
          <w:p w:rsidR="001D2768" w:rsidRDefault="001D2768">
            <w:pPr>
              <w:widowControl/>
              <w:jc w:val="left"/>
              <w:rPr>
                <w:color w:val="000000"/>
                <w:sz w:val="24"/>
                <w:szCs w:val="24"/>
                <w:lang w:val="en-GB"/>
              </w:rPr>
            </w:pPr>
          </w:p>
        </w:tc>
        <w:tc>
          <w:tcPr>
            <w:tcW w:w="93" w:type="dxa"/>
          </w:tcPr>
          <w:p w:rsidR="001D2768" w:rsidRDefault="001D2768">
            <w:pPr>
              <w:widowControl/>
              <w:jc w:val="left"/>
              <w:rPr>
                <w:color w:val="000000"/>
                <w:sz w:val="24"/>
                <w:szCs w:val="24"/>
                <w:lang w:val="en-GB"/>
              </w:rPr>
            </w:pPr>
          </w:p>
        </w:tc>
        <w:tc>
          <w:tcPr>
            <w:tcW w:w="3142" w:type="dxa"/>
            <w:gridSpan w:val="3"/>
          </w:tcPr>
          <w:p w:rsidR="001D2768" w:rsidRDefault="001D2768">
            <w:pPr>
              <w:widowControl/>
              <w:jc w:val="left"/>
              <w:rPr>
                <w:color w:val="000000"/>
                <w:sz w:val="24"/>
                <w:szCs w:val="24"/>
                <w:lang w:val="en-GB"/>
              </w:rPr>
            </w:pPr>
            <w:r>
              <w:rPr>
                <w:color w:val="000000"/>
                <w:sz w:val="24"/>
                <w:szCs w:val="24"/>
                <w:lang w:val="en-GB"/>
              </w:rPr>
              <w:t>annual report on Trigger Points (monitoring results) due by end of April</w:t>
            </w:r>
          </w:p>
        </w:tc>
        <w:tc>
          <w:tcPr>
            <w:tcW w:w="141" w:type="dxa"/>
          </w:tcPr>
          <w:p w:rsidR="001D2768" w:rsidRDefault="001D2768">
            <w:pPr>
              <w:widowControl/>
              <w:jc w:val="left"/>
              <w:rPr>
                <w:color w:val="000000"/>
                <w:sz w:val="24"/>
                <w:szCs w:val="24"/>
                <w:lang w:val="en-GB"/>
              </w:rPr>
            </w:pPr>
          </w:p>
        </w:tc>
        <w:tc>
          <w:tcPr>
            <w:tcW w:w="1011" w:type="dxa"/>
          </w:tcPr>
          <w:p w:rsidR="001D2768" w:rsidRDefault="001D2768">
            <w:pPr>
              <w:widowControl/>
              <w:jc w:val="left"/>
              <w:rPr>
                <w:color w:val="000000"/>
                <w:sz w:val="24"/>
                <w:szCs w:val="24"/>
                <w:lang w:val="en-GB"/>
              </w:rPr>
            </w:pPr>
          </w:p>
        </w:tc>
        <w:tc>
          <w:tcPr>
            <w:tcW w:w="1010" w:type="dxa"/>
          </w:tcPr>
          <w:p w:rsidR="001D2768" w:rsidRDefault="001D2768">
            <w:pPr>
              <w:widowControl/>
              <w:jc w:val="right"/>
              <w:rPr>
                <w:color w:val="000000"/>
                <w:sz w:val="24"/>
                <w:szCs w:val="24"/>
                <w:lang w:val="en-GB"/>
              </w:rPr>
            </w:pPr>
          </w:p>
        </w:tc>
      </w:tr>
      <w:tr w:rsidR="001D2768">
        <w:tblPrEx>
          <w:tblCellMar>
            <w:top w:w="0" w:type="dxa"/>
            <w:bottom w:w="0" w:type="dxa"/>
          </w:tblCellMar>
        </w:tblPrEx>
        <w:trPr>
          <w:cantSplit/>
          <w:trHeight w:val="247"/>
        </w:trPr>
        <w:tc>
          <w:tcPr>
            <w:tcW w:w="1010" w:type="dxa"/>
            <w:tcBorders>
              <w:top w:val="single" w:sz="6" w:space="0" w:color="auto"/>
              <w:bottom w:val="single" w:sz="6" w:space="0" w:color="auto"/>
            </w:tcBorders>
          </w:tcPr>
          <w:p w:rsidR="001D2768" w:rsidRDefault="001D2768">
            <w:pPr>
              <w:widowControl/>
              <w:rPr>
                <w:color w:val="000000"/>
                <w:sz w:val="24"/>
                <w:szCs w:val="24"/>
                <w:lang w:val="en-GB"/>
              </w:rPr>
            </w:pPr>
            <w:r>
              <w:rPr>
                <w:color w:val="000000"/>
                <w:sz w:val="24"/>
                <w:szCs w:val="24"/>
                <w:lang w:val="en-GB"/>
              </w:rPr>
              <w:t>Export</w:t>
            </w:r>
          </w:p>
        </w:tc>
        <w:tc>
          <w:tcPr>
            <w:tcW w:w="1011" w:type="dxa"/>
            <w:tcBorders>
              <w:top w:val="single" w:sz="6" w:space="0" w:color="auto"/>
              <w:bottom w:val="single" w:sz="6" w:space="0" w:color="auto"/>
            </w:tcBorders>
          </w:tcPr>
          <w:p w:rsidR="001D2768" w:rsidRDefault="001D2768">
            <w:pPr>
              <w:widowControl/>
              <w:jc w:val="right"/>
              <w:rPr>
                <w:color w:val="000000"/>
                <w:sz w:val="24"/>
                <w:szCs w:val="24"/>
                <w:lang w:val="en-GB"/>
              </w:rPr>
            </w:pPr>
          </w:p>
        </w:tc>
        <w:tc>
          <w:tcPr>
            <w:tcW w:w="1837" w:type="dxa"/>
            <w:gridSpan w:val="2"/>
            <w:tcBorders>
              <w:top w:val="single" w:sz="6" w:space="0" w:color="auto"/>
              <w:bottom w:val="single" w:sz="6" w:space="0" w:color="auto"/>
            </w:tcBorders>
          </w:tcPr>
          <w:p w:rsidR="001D2768" w:rsidRDefault="003E3780">
            <w:pPr>
              <w:widowControl/>
              <w:jc w:val="left"/>
              <w:rPr>
                <w:color w:val="000000"/>
                <w:sz w:val="24"/>
                <w:szCs w:val="24"/>
                <w:lang w:val="en-GB"/>
              </w:rPr>
            </w:pPr>
            <w:r>
              <w:rPr>
                <w:color w:val="000000"/>
                <w:sz w:val="24"/>
                <w:szCs w:val="24"/>
                <w:lang w:val="en-GB"/>
              </w:rPr>
              <w:t>DEE</w:t>
            </w:r>
            <w:r w:rsidR="001D2768">
              <w:rPr>
                <w:color w:val="000000"/>
                <w:sz w:val="24"/>
                <w:szCs w:val="24"/>
                <w:lang w:val="en-GB"/>
              </w:rPr>
              <w:t xml:space="preserve"> permit</w:t>
            </w:r>
          </w:p>
        </w:tc>
        <w:tc>
          <w:tcPr>
            <w:tcW w:w="184"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204"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93"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2021" w:type="dxa"/>
            <w:gridSpan w:val="2"/>
            <w:tcBorders>
              <w:top w:val="single" w:sz="6" w:space="0" w:color="auto"/>
              <w:bottom w:val="single" w:sz="6" w:space="0" w:color="auto"/>
            </w:tcBorders>
          </w:tcPr>
          <w:p w:rsidR="001D2768" w:rsidRDefault="003E3780" w:rsidP="003E3780">
            <w:pPr>
              <w:widowControl/>
              <w:jc w:val="left"/>
              <w:rPr>
                <w:color w:val="000000"/>
                <w:sz w:val="24"/>
                <w:szCs w:val="24"/>
                <w:lang w:val="en-GB"/>
              </w:rPr>
            </w:pPr>
            <w:r>
              <w:rPr>
                <w:color w:val="000000"/>
                <w:sz w:val="24"/>
                <w:szCs w:val="24"/>
                <w:lang w:val="en-GB"/>
              </w:rPr>
              <w:t>DEE</w:t>
            </w:r>
            <w:r w:rsidR="001D2768">
              <w:rPr>
                <w:color w:val="000000"/>
                <w:sz w:val="24"/>
                <w:szCs w:val="24"/>
                <w:lang w:val="en-GB"/>
              </w:rPr>
              <w:t xml:space="preserve"> export permit acquittals</w:t>
            </w:r>
          </w:p>
        </w:tc>
        <w:tc>
          <w:tcPr>
            <w:tcW w:w="112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4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1" w:type="dxa"/>
            <w:tcBorders>
              <w:top w:val="single" w:sz="6" w:space="0" w:color="auto"/>
              <w:bottom w:val="single" w:sz="6" w:space="0" w:color="auto"/>
            </w:tcBorders>
          </w:tcPr>
          <w:p w:rsidR="001D2768" w:rsidRDefault="001D2768">
            <w:pPr>
              <w:widowControl/>
              <w:jc w:val="left"/>
              <w:rPr>
                <w:color w:val="000000"/>
                <w:sz w:val="24"/>
                <w:szCs w:val="24"/>
                <w:lang w:val="en-GB"/>
              </w:rPr>
            </w:pPr>
          </w:p>
        </w:tc>
        <w:tc>
          <w:tcPr>
            <w:tcW w:w="1010" w:type="dxa"/>
            <w:tcBorders>
              <w:top w:val="single" w:sz="6" w:space="0" w:color="auto"/>
              <w:bottom w:val="single" w:sz="6" w:space="0" w:color="auto"/>
            </w:tcBorders>
          </w:tcPr>
          <w:p w:rsidR="001D2768" w:rsidRDefault="001D2768">
            <w:pPr>
              <w:widowControl/>
              <w:jc w:val="right"/>
              <w:rPr>
                <w:color w:val="000000"/>
                <w:sz w:val="24"/>
                <w:szCs w:val="24"/>
                <w:lang w:val="en-GB"/>
              </w:rPr>
            </w:pPr>
          </w:p>
        </w:tc>
      </w:tr>
    </w:tbl>
    <w:p w:rsidR="001D2768" w:rsidRDefault="001D2768">
      <w:pPr>
        <w:widowControl/>
        <w:spacing w:after="120"/>
        <w:rPr>
          <w:sz w:val="24"/>
          <w:szCs w:val="24"/>
          <w:lang w:val="en-GB"/>
        </w:rPr>
      </w:pPr>
      <w:r>
        <w:rPr>
          <w:b/>
          <w:lang w:val="en-GB"/>
        </w:rPr>
        <w:t>Table 1:  Supply chain con</w:t>
      </w:r>
      <w:r w:rsidR="008F19C4">
        <w:rPr>
          <w:b/>
          <w:lang w:val="en-GB"/>
        </w:rPr>
        <w:t xml:space="preserve">trols for the export of </w:t>
      </w:r>
      <w:r w:rsidR="00B9507C">
        <w:rPr>
          <w:b/>
          <w:lang w:val="en-GB"/>
        </w:rPr>
        <w:t>wallaby</w:t>
      </w:r>
      <w:r>
        <w:rPr>
          <w:b/>
          <w:lang w:val="en-GB"/>
        </w:rPr>
        <w:t xml:space="preserve"> from Tasmania</w:t>
      </w:r>
    </w:p>
    <w:p w:rsidR="001D2768" w:rsidRDefault="001D2768">
      <w:pPr>
        <w:widowControl/>
        <w:rPr>
          <w:i/>
          <w:sz w:val="24"/>
          <w:szCs w:val="24"/>
          <w:lang w:val="en-GB"/>
        </w:rPr>
      </w:pPr>
    </w:p>
    <w:p w:rsidR="001D2768" w:rsidRDefault="001D2768">
      <w:pPr>
        <w:widowControl/>
        <w:rPr>
          <w:b/>
          <w:sz w:val="24"/>
          <w:szCs w:val="24"/>
          <w:lang w:val="en-GB"/>
        </w:rPr>
      </w:pPr>
      <w:r>
        <w:rPr>
          <w:i/>
          <w:sz w:val="24"/>
          <w:szCs w:val="24"/>
          <w:lang w:val="en-GB"/>
        </w:rPr>
        <w:t>5.2.2.1</w:t>
      </w:r>
      <w:r>
        <w:rPr>
          <w:b/>
          <w:sz w:val="24"/>
          <w:szCs w:val="24"/>
          <w:lang w:val="en-GB"/>
        </w:rPr>
        <w:t>:</w:t>
      </w:r>
      <w:r w:rsidR="004E0E09">
        <w:rPr>
          <w:i/>
          <w:sz w:val="24"/>
          <w:szCs w:val="24"/>
          <w:lang w:val="en-GB"/>
        </w:rPr>
        <w:t xml:space="preserve"> Verification of source of product</w:t>
      </w:r>
      <w:r>
        <w:rPr>
          <w:b/>
          <w:sz w:val="24"/>
          <w:szCs w:val="24"/>
          <w:lang w:val="en-GB"/>
        </w:rPr>
        <w:t>.</w:t>
      </w:r>
    </w:p>
    <w:p w:rsidR="001D2768" w:rsidRDefault="004E0E09">
      <w:pPr>
        <w:pStyle w:val="BodyText3"/>
        <w:widowControl/>
        <w:spacing w:after="120"/>
        <w:rPr>
          <w:szCs w:val="24"/>
          <w:lang w:val="en-GB"/>
        </w:rPr>
      </w:pPr>
      <w:r>
        <w:rPr>
          <w:szCs w:val="24"/>
          <w:lang w:val="en-GB"/>
        </w:rPr>
        <w:t xml:space="preserve">Licensed </w:t>
      </w:r>
      <w:r w:rsidR="001D2768">
        <w:rPr>
          <w:szCs w:val="24"/>
          <w:lang w:val="en-GB"/>
        </w:rPr>
        <w:t>dealers are required by WMB to report m</w:t>
      </w:r>
      <w:r>
        <w:rPr>
          <w:szCs w:val="24"/>
          <w:lang w:val="en-GB"/>
        </w:rPr>
        <w:t>onthly who they sell their product</w:t>
      </w:r>
      <w:r w:rsidR="001D2768">
        <w:rPr>
          <w:szCs w:val="24"/>
          <w:lang w:val="en-GB"/>
        </w:rPr>
        <w:t xml:space="preserve"> to and in what numbers. An example of the reporting form is at Appendix 3. WMB </w:t>
      </w:r>
      <w:r w:rsidR="00A7476D">
        <w:rPr>
          <w:szCs w:val="24"/>
          <w:lang w:val="en-GB"/>
        </w:rPr>
        <w:t>will also require</w:t>
      </w:r>
      <w:r w:rsidR="001D2768">
        <w:rPr>
          <w:szCs w:val="24"/>
          <w:lang w:val="en-GB"/>
        </w:rPr>
        <w:t xml:space="preserve"> LGM to provide monthly reports detailing</w:t>
      </w:r>
      <w:r w:rsidR="00B9507C">
        <w:rPr>
          <w:szCs w:val="24"/>
          <w:lang w:val="en-GB"/>
        </w:rPr>
        <w:t xml:space="preserve"> </w:t>
      </w:r>
      <w:r w:rsidR="003E3780">
        <w:rPr>
          <w:szCs w:val="24"/>
          <w:lang w:val="en-GB"/>
        </w:rPr>
        <w:t xml:space="preserve">the source and numbers of </w:t>
      </w:r>
      <w:r w:rsidR="00B9507C">
        <w:rPr>
          <w:szCs w:val="24"/>
          <w:lang w:val="en-GB"/>
        </w:rPr>
        <w:t>wallaby</w:t>
      </w:r>
      <w:r w:rsidR="001D2768">
        <w:rPr>
          <w:szCs w:val="24"/>
          <w:lang w:val="en-GB"/>
        </w:rPr>
        <w:t xml:space="preserve"> purchased.</w:t>
      </w:r>
    </w:p>
    <w:p w:rsidR="001D2768" w:rsidRDefault="003E3780">
      <w:pPr>
        <w:pStyle w:val="BodyText3"/>
        <w:widowControl/>
        <w:spacing w:after="120"/>
        <w:rPr>
          <w:szCs w:val="24"/>
          <w:lang w:val="en-GB"/>
        </w:rPr>
      </w:pPr>
      <w:r>
        <w:rPr>
          <w:szCs w:val="24"/>
          <w:lang w:val="en-GB"/>
        </w:rPr>
        <w:t>W</w:t>
      </w:r>
      <w:r w:rsidR="00B9507C">
        <w:rPr>
          <w:szCs w:val="24"/>
          <w:lang w:val="en-GB"/>
        </w:rPr>
        <w:t>allaby exports</w:t>
      </w:r>
      <w:r w:rsidR="001D2768">
        <w:rPr>
          <w:szCs w:val="24"/>
          <w:lang w:val="en-GB"/>
        </w:rPr>
        <w:t xml:space="preserve"> out of Tasmania require the issuing of an export permit from the WMB which verifies that they were obtained from appropriately licensed sources and royalties paid.</w:t>
      </w:r>
    </w:p>
    <w:p w:rsidR="001D2768" w:rsidRDefault="009F3A40">
      <w:pPr>
        <w:widowControl/>
        <w:spacing w:after="120"/>
        <w:rPr>
          <w:sz w:val="24"/>
          <w:szCs w:val="24"/>
          <w:lang w:val="en-GB"/>
        </w:rPr>
      </w:pPr>
      <w:r>
        <w:rPr>
          <w:sz w:val="24"/>
          <w:szCs w:val="24"/>
          <w:lang w:val="en-GB"/>
        </w:rPr>
        <w:t>FSB</w:t>
      </w:r>
      <w:r w:rsidR="001D2768">
        <w:rPr>
          <w:sz w:val="24"/>
          <w:szCs w:val="24"/>
          <w:lang w:val="en-GB"/>
        </w:rPr>
        <w:t xml:space="preserve"> audits licensed premises to ensure all wallabies supplied are sourced only from accredited harvesters.</w:t>
      </w:r>
    </w:p>
    <w:p w:rsidR="008F19C4" w:rsidRDefault="008F19C4">
      <w:pPr>
        <w:widowControl/>
        <w:spacing w:after="120"/>
        <w:rPr>
          <w:sz w:val="24"/>
          <w:szCs w:val="24"/>
          <w:lang w:val="en-GB"/>
        </w:rPr>
      </w:pPr>
    </w:p>
    <w:p w:rsidR="008F19C4" w:rsidRDefault="008F19C4">
      <w:pPr>
        <w:widowControl/>
        <w:spacing w:after="120"/>
        <w:rPr>
          <w:sz w:val="24"/>
          <w:szCs w:val="24"/>
          <w:lang w:val="en-GB"/>
        </w:rPr>
      </w:pPr>
    </w:p>
    <w:p w:rsidR="001D2768" w:rsidRDefault="001D2768">
      <w:pPr>
        <w:widowControl/>
        <w:rPr>
          <w:b/>
          <w:sz w:val="24"/>
          <w:szCs w:val="24"/>
          <w:lang w:val="en-GB"/>
        </w:rPr>
      </w:pPr>
      <w:r>
        <w:rPr>
          <w:i/>
          <w:sz w:val="24"/>
          <w:szCs w:val="24"/>
          <w:lang w:val="en-GB"/>
        </w:rPr>
        <w:t>5.2.2.2</w:t>
      </w:r>
      <w:r>
        <w:rPr>
          <w:b/>
          <w:sz w:val="24"/>
          <w:szCs w:val="24"/>
          <w:lang w:val="en-GB"/>
        </w:rPr>
        <w:t>:</w:t>
      </w:r>
      <w:r>
        <w:rPr>
          <w:i/>
          <w:sz w:val="24"/>
          <w:szCs w:val="24"/>
          <w:lang w:val="en-GB"/>
        </w:rPr>
        <w:t xml:space="preserve"> Verification of numbers exported</w:t>
      </w:r>
      <w:r>
        <w:rPr>
          <w:b/>
          <w:sz w:val="24"/>
          <w:szCs w:val="24"/>
          <w:lang w:val="en-GB"/>
        </w:rPr>
        <w:t>.</w:t>
      </w:r>
    </w:p>
    <w:p w:rsidR="001D2768" w:rsidRDefault="001D2768">
      <w:pPr>
        <w:widowControl/>
        <w:spacing w:after="120"/>
        <w:rPr>
          <w:sz w:val="24"/>
          <w:szCs w:val="24"/>
          <w:lang w:val="en-GB"/>
        </w:rPr>
      </w:pPr>
      <w:r>
        <w:rPr>
          <w:sz w:val="24"/>
          <w:szCs w:val="24"/>
          <w:lang w:val="en-GB"/>
        </w:rPr>
        <w:t>All exports are acco</w:t>
      </w:r>
      <w:r w:rsidR="003E3780">
        <w:rPr>
          <w:sz w:val="24"/>
          <w:szCs w:val="24"/>
          <w:lang w:val="en-GB"/>
        </w:rPr>
        <w:t>mpanied by permits issued by DEE</w:t>
      </w:r>
      <w:r w:rsidR="00B9507C">
        <w:rPr>
          <w:sz w:val="24"/>
          <w:szCs w:val="24"/>
          <w:lang w:val="en-GB"/>
        </w:rPr>
        <w:t xml:space="preserve"> detailing the product</w:t>
      </w:r>
      <w:r>
        <w:rPr>
          <w:sz w:val="24"/>
          <w:szCs w:val="24"/>
          <w:lang w:val="en-GB"/>
        </w:rPr>
        <w:t xml:space="preserve"> in each con</w:t>
      </w:r>
      <w:r w:rsidR="00B9507C">
        <w:rPr>
          <w:sz w:val="24"/>
          <w:szCs w:val="24"/>
          <w:lang w:val="en-GB"/>
        </w:rPr>
        <w:t>signment. Total exports</w:t>
      </w:r>
      <w:r>
        <w:rPr>
          <w:sz w:val="24"/>
          <w:szCs w:val="24"/>
          <w:lang w:val="en-GB"/>
        </w:rPr>
        <w:t xml:space="preserve"> can be cross checked against numbers reported to WMB as purchased by LGM and retained for trading.</w:t>
      </w:r>
    </w:p>
    <w:p w:rsidR="001D2768" w:rsidRDefault="001D2768">
      <w:pPr>
        <w:widowControl/>
        <w:numPr>
          <w:ilvl w:val="0"/>
          <w:numId w:val="5"/>
        </w:numPr>
        <w:spacing w:before="240" w:after="240"/>
        <w:ind w:left="0" w:firstLine="0"/>
        <w:rPr>
          <w:b/>
          <w:sz w:val="28"/>
          <w:szCs w:val="28"/>
          <w:lang w:val="en-GB"/>
        </w:rPr>
      </w:pPr>
      <w:r>
        <w:rPr>
          <w:b/>
          <w:sz w:val="28"/>
          <w:szCs w:val="28"/>
          <w:lang w:val="en-GB"/>
        </w:rPr>
        <w:t>Management Strategies</w:t>
      </w:r>
    </w:p>
    <w:p w:rsidR="001D2768" w:rsidRPr="00137E54" w:rsidRDefault="001D2768">
      <w:pPr>
        <w:pStyle w:val="Text"/>
        <w:widowControl/>
        <w:spacing w:before="0"/>
        <w:rPr>
          <w:rFonts w:ascii="Times New Roman" w:hAnsi="Times New Roman"/>
          <w:i/>
          <w:szCs w:val="24"/>
          <w:lang w:val="en-GB"/>
        </w:rPr>
      </w:pPr>
      <w:r>
        <w:rPr>
          <w:rFonts w:ascii="Times New Roman" w:hAnsi="Times New Roman"/>
          <w:szCs w:val="24"/>
          <w:lang w:val="en-GB"/>
        </w:rPr>
        <w:t xml:space="preserve">Mechanisms for </w:t>
      </w:r>
      <w:r w:rsidR="008F19C4">
        <w:rPr>
          <w:rFonts w:ascii="Times New Roman" w:hAnsi="Times New Roman"/>
          <w:szCs w:val="24"/>
          <w:lang w:val="en-GB"/>
        </w:rPr>
        <w:t xml:space="preserve">trigger points to regulate </w:t>
      </w:r>
      <w:r>
        <w:rPr>
          <w:rFonts w:ascii="Times New Roman" w:hAnsi="Times New Roman"/>
          <w:szCs w:val="24"/>
          <w:lang w:val="en-GB"/>
        </w:rPr>
        <w:t>exports will be in place to ensure this is a sustainable trade.</w:t>
      </w:r>
      <w:r w:rsidR="00137E54" w:rsidRPr="00137E54">
        <w:rPr>
          <w:rFonts w:ascii="Times New Roman" w:hAnsi="Times New Roman"/>
          <w:szCs w:val="24"/>
          <w:lang w:val="en-GB"/>
        </w:rPr>
        <w:t xml:space="preserve"> </w:t>
      </w:r>
      <w:r w:rsidR="00137E54">
        <w:rPr>
          <w:rFonts w:ascii="Times New Roman" w:hAnsi="Times New Roman"/>
          <w:szCs w:val="24"/>
          <w:lang w:val="en-GB"/>
        </w:rPr>
        <w:t>It needs to be noted that these trigger points are highly conservative in terms of any effect on the population they reflect. In addition they initiate a complete stop to regional collection for export, not simply a slowing of the level of collection. They ensure that any export activity will not of itself impose a threat to</w:t>
      </w:r>
      <w:r w:rsidR="003E3780">
        <w:rPr>
          <w:rFonts w:ascii="Times New Roman" w:hAnsi="Times New Roman"/>
          <w:szCs w:val="24"/>
          <w:lang w:val="en-GB"/>
        </w:rPr>
        <w:t xml:space="preserve"> </w:t>
      </w:r>
      <w:r w:rsidR="00137E54">
        <w:rPr>
          <w:rFonts w:ascii="Times New Roman" w:hAnsi="Times New Roman"/>
          <w:szCs w:val="24"/>
          <w:lang w:val="en-GB"/>
        </w:rPr>
        <w:t>wallaby populations.</w:t>
      </w:r>
    </w:p>
    <w:p w:rsidR="001D2768" w:rsidRDefault="001D2768">
      <w:pPr>
        <w:pStyle w:val="Heading2"/>
        <w:widowControl/>
        <w:spacing w:after="0"/>
        <w:rPr>
          <w:rFonts w:ascii="Times New Roman" w:hAnsi="Times New Roman"/>
          <w:sz w:val="24"/>
          <w:szCs w:val="24"/>
          <w:lang w:val="en-GB"/>
        </w:rPr>
      </w:pPr>
      <w:r>
        <w:rPr>
          <w:rFonts w:ascii="Times New Roman" w:hAnsi="Times New Roman"/>
          <w:sz w:val="24"/>
          <w:szCs w:val="24"/>
          <w:lang w:val="en-GB"/>
        </w:rPr>
        <w:t>6.1 Trigger Points.</w:t>
      </w:r>
    </w:p>
    <w:p w:rsidR="001D2768" w:rsidRDefault="001D2768">
      <w:pPr>
        <w:pStyle w:val="Text"/>
        <w:widowControl/>
        <w:spacing w:before="0" w:after="0"/>
        <w:rPr>
          <w:rFonts w:ascii="Times New Roman" w:hAnsi="Times New Roman"/>
          <w:b/>
          <w:szCs w:val="24"/>
          <w:lang w:val="en-GB"/>
        </w:rPr>
      </w:pPr>
      <w:r>
        <w:rPr>
          <w:rFonts w:ascii="Times New Roman" w:hAnsi="Times New Roman"/>
          <w:b/>
          <w:szCs w:val="24"/>
          <w:lang w:val="en-GB"/>
        </w:rPr>
        <w:t>6.1.1 Trigger Point One (TP1).</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 xml:space="preserve">Wallaby populations in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have been monitored since 1985 (refer to Appendix 4 for a description of the monitoring method). During the latter part of this period, the population has been relatively stable. In recent years a density index with a standard error has been derived for each of the four regions in which wallaby are commercially harvested. Note that wallaby are also monitored in the South West but no commercial harvesting takes place in this region due to its isolation.</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Trigger points for each region</w:t>
      </w:r>
      <w:r w:rsidR="00F556AE">
        <w:rPr>
          <w:rFonts w:ascii="Times New Roman" w:hAnsi="Times New Roman"/>
          <w:szCs w:val="24"/>
          <w:lang w:val="en-GB"/>
        </w:rPr>
        <w:t xml:space="preserve"> and each species</w:t>
      </w:r>
      <w:r>
        <w:rPr>
          <w:rFonts w:ascii="Times New Roman" w:hAnsi="Times New Roman"/>
          <w:szCs w:val="24"/>
          <w:lang w:val="en-GB"/>
        </w:rPr>
        <w:t xml:space="preserve">, based on the density index supplied by WMB, have been set and will be fixed for the life of this WTO should it be approved (see Table </w:t>
      </w:r>
      <w:r w:rsidR="00487F4C">
        <w:rPr>
          <w:rFonts w:ascii="Times New Roman" w:hAnsi="Times New Roman"/>
          <w:szCs w:val="24"/>
          <w:lang w:val="en-GB"/>
        </w:rPr>
        <w:t>2). Trigger points are set at 40</w:t>
      </w:r>
      <w:r>
        <w:rPr>
          <w:rFonts w:ascii="Times New Roman" w:hAnsi="Times New Roman"/>
          <w:szCs w:val="24"/>
          <w:lang w:val="en-GB"/>
        </w:rPr>
        <w:t>% below the average density index for the years 20</w:t>
      </w:r>
      <w:r w:rsidR="00174154">
        <w:rPr>
          <w:rFonts w:ascii="Times New Roman" w:hAnsi="Times New Roman"/>
          <w:szCs w:val="24"/>
          <w:lang w:val="en-GB"/>
        </w:rPr>
        <w:t>14-18</w:t>
      </w:r>
      <w:r>
        <w:rPr>
          <w:rFonts w:ascii="Times New Roman" w:hAnsi="Times New Roman"/>
          <w:szCs w:val="24"/>
          <w:lang w:val="en-GB"/>
        </w:rPr>
        <w:t xml:space="preserve"> for </w:t>
      </w:r>
      <w:r w:rsidR="00923D22">
        <w:rPr>
          <w:rFonts w:ascii="Times New Roman" w:hAnsi="Times New Roman"/>
          <w:szCs w:val="24"/>
          <w:lang w:val="en-GB"/>
        </w:rPr>
        <w:t>each</w:t>
      </w:r>
      <w:r>
        <w:rPr>
          <w:rFonts w:ascii="Times New Roman" w:hAnsi="Times New Roman"/>
          <w:szCs w:val="24"/>
          <w:lang w:val="en-GB"/>
        </w:rPr>
        <w:t xml:space="preserve"> </w:t>
      </w:r>
      <w:r>
        <w:rPr>
          <w:rFonts w:ascii="Times New Roman" w:hAnsi="Times New Roman"/>
          <w:szCs w:val="24"/>
          <w:lang w:val="en-GB"/>
        </w:rPr>
        <w:lastRenderedPageBreak/>
        <w:t>region. WMB will supply annual density index figures to LGM by end of the March following the survey year.</w:t>
      </w:r>
    </w:p>
    <w:tbl>
      <w:tblPr>
        <w:tblpPr w:leftFromText="180" w:rightFromText="180" w:vertAnchor="text" w:horzAnchor="page" w:tblpX="1822" w:tblpY="7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72"/>
        <w:gridCol w:w="756"/>
        <w:gridCol w:w="756"/>
        <w:gridCol w:w="756"/>
        <w:gridCol w:w="756"/>
        <w:gridCol w:w="696"/>
        <w:gridCol w:w="876"/>
        <w:gridCol w:w="2035"/>
      </w:tblGrid>
      <w:tr w:rsidR="00C10721" w:rsidTr="009409C6">
        <w:tblPrEx>
          <w:tblCellMar>
            <w:top w:w="0" w:type="dxa"/>
            <w:bottom w:w="0" w:type="dxa"/>
          </w:tblCellMar>
        </w:tblPrEx>
        <w:trPr>
          <w:cantSplit/>
        </w:trPr>
        <w:tc>
          <w:tcPr>
            <w:tcW w:w="0" w:type="auto"/>
            <w:vAlign w:val="center"/>
          </w:tcPr>
          <w:p w:rsidR="00C10721" w:rsidRDefault="00C10721" w:rsidP="00C10721">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Region</w:t>
            </w:r>
          </w:p>
        </w:tc>
        <w:tc>
          <w:tcPr>
            <w:tcW w:w="0" w:type="auto"/>
          </w:tcPr>
          <w:p w:rsidR="00C10721" w:rsidRDefault="00C10721" w:rsidP="00C10721">
            <w:pPr>
              <w:pStyle w:val="Text"/>
              <w:keepNext/>
              <w:keepLines/>
              <w:widowControl/>
              <w:spacing w:before="60" w:after="0"/>
              <w:jc w:val="center"/>
              <w:rPr>
                <w:rFonts w:ascii="Times New Roman" w:hAnsi="Times New Roman"/>
                <w:b/>
                <w:szCs w:val="24"/>
                <w:lang w:val="en-GB"/>
              </w:rPr>
            </w:pPr>
          </w:p>
          <w:p w:rsidR="00C10721" w:rsidRDefault="00C10721" w:rsidP="00C10721">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2014</w:t>
            </w:r>
          </w:p>
        </w:tc>
        <w:tc>
          <w:tcPr>
            <w:tcW w:w="0" w:type="auto"/>
            <w:vAlign w:val="center"/>
          </w:tcPr>
          <w:p w:rsidR="00C10721" w:rsidRDefault="00C10721" w:rsidP="00C10721">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2015</w:t>
            </w:r>
          </w:p>
        </w:tc>
        <w:tc>
          <w:tcPr>
            <w:tcW w:w="0" w:type="auto"/>
            <w:vAlign w:val="center"/>
          </w:tcPr>
          <w:p w:rsidR="00C10721" w:rsidRDefault="00C10721" w:rsidP="00C10721">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2016</w:t>
            </w:r>
          </w:p>
        </w:tc>
        <w:tc>
          <w:tcPr>
            <w:tcW w:w="0" w:type="auto"/>
            <w:vAlign w:val="center"/>
          </w:tcPr>
          <w:p w:rsidR="00C10721" w:rsidRDefault="00C10721" w:rsidP="00C10721">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2017</w:t>
            </w:r>
          </w:p>
        </w:tc>
        <w:tc>
          <w:tcPr>
            <w:tcW w:w="0" w:type="auto"/>
            <w:vAlign w:val="center"/>
          </w:tcPr>
          <w:p w:rsidR="00C10721" w:rsidRDefault="00C10721" w:rsidP="00C10721">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2018</w:t>
            </w:r>
          </w:p>
        </w:tc>
        <w:tc>
          <w:tcPr>
            <w:tcW w:w="756" w:type="dxa"/>
          </w:tcPr>
          <w:p w:rsidR="00C10721" w:rsidRDefault="00C10721" w:rsidP="00C10721">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Av</w:t>
            </w:r>
          </w:p>
          <w:p w:rsidR="00C10721" w:rsidRDefault="00C10721" w:rsidP="00C10721">
            <w:pPr>
              <w:pStyle w:val="Text"/>
              <w:keepNext/>
              <w:keepLines/>
              <w:widowControl/>
              <w:spacing w:before="60" w:after="0"/>
              <w:jc w:val="center"/>
              <w:rPr>
                <w:rFonts w:ascii="Times New Roman" w:hAnsi="Times New Roman"/>
                <w:b/>
                <w:szCs w:val="24"/>
                <w:lang w:val="en-GB"/>
              </w:rPr>
            </w:pPr>
          </w:p>
        </w:tc>
        <w:tc>
          <w:tcPr>
            <w:tcW w:w="2035" w:type="dxa"/>
          </w:tcPr>
          <w:p w:rsidR="00C10721" w:rsidRDefault="00C10721" w:rsidP="00C10721">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Trigger point</w:t>
            </w:r>
          </w:p>
          <w:p w:rsidR="00C10721" w:rsidRDefault="00487F4C" w:rsidP="00C10721">
            <w:pPr>
              <w:pStyle w:val="Text"/>
              <w:keepNext/>
              <w:keepLines/>
              <w:widowControl/>
              <w:spacing w:before="0" w:after="60"/>
              <w:jc w:val="center"/>
              <w:rPr>
                <w:rFonts w:ascii="Times New Roman" w:hAnsi="Times New Roman"/>
                <w:b/>
                <w:szCs w:val="24"/>
                <w:lang w:val="en-GB"/>
              </w:rPr>
            </w:pPr>
            <w:r>
              <w:rPr>
                <w:rFonts w:ascii="Times New Roman" w:hAnsi="Times New Roman"/>
                <w:b/>
                <w:szCs w:val="24"/>
                <w:lang w:val="en-GB"/>
              </w:rPr>
              <w:t>(40</w:t>
            </w:r>
            <w:r w:rsidR="00C10721">
              <w:rPr>
                <w:rFonts w:ascii="Times New Roman" w:hAnsi="Times New Roman"/>
                <w:b/>
                <w:szCs w:val="24"/>
                <w:lang w:val="en-GB"/>
              </w:rPr>
              <w:t>% below average)</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Central</w:t>
            </w:r>
          </w:p>
        </w:tc>
        <w:tc>
          <w:tcPr>
            <w:tcW w:w="0" w:type="auto"/>
          </w:tcPr>
          <w:p w:rsidR="00C10721" w:rsidRDefault="00416286" w:rsidP="00C10721">
            <w:pPr>
              <w:pStyle w:val="Text"/>
              <w:keepNext/>
              <w:keepLines/>
              <w:widowControl/>
              <w:jc w:val="center"/>
              <w:rPr>
                <w:rFonts w:ascii="Times New Roman" w:hAnsi="Times New Roman"/>
                <w:szCs w:val="24"/>
                <w:lang w:val="en-GB"/>
              </w:rPr>
            </w:pPr>
            <w:r>
              <w:rPr>
                <w:rFonts w:ascii="Times New Roman" w:hAnsi="Times New Roman"/>
                <w:szCs w:val="24"/>
                <w:lang w:val="en-GB"/>
              </w:rPr>
              <w:t>42.5</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45.7</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10.54</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25.5</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20.0</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28.85</w:t>
            </w:r>
          </w:p>
        </w:tc>
        <w:tc>
          <w:tcPr>
            <w:tcW w:w="2035" w:type="dxa"/>
          </w:tcPr>
          <w:p w:rsidR="00C10721" w:rsidRDefault="00487F4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17.31</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 xml:space="preserve">Flinders </w:t>
            </w:r>
            <w:smartTag w:uri="urn:schemas-microsoft-com:office:smarttags" w:element="PlaceType">
              <w:r>
                <w:rPr>
                  <w:rFonts w:ascii="Times New Roman" w:hAnsi="Times New Roman"/>
                  <w:b/>
                  <w:szCs w:val="24"/>
                  <w:lang w:val="en-GB"/>
                </w:rPr>
                <w:t>Island</w:t>
              </w:r>
            </w:smartTag>
          </w:p>
        </w:tc>
        <w:tc>
          <w:tcPr>
            <w:tcW w:w="0" w:type="auto"/>
          </w:tcPr>
          <w:p w:rsidR="00C10721" w:rsidRDefault="00416286" w:rsidP="00C10721">
            <w:pPr>
              <w:pStyle w:val="Text"/>
              <w:keepNext/>
              <w:keepLines/>
              <w:widowControl/>
              <w:jc w:val="center"/>
              <w:rPr>
                <w:rFonts w:ascii="Times New Roman" w:hAnsi="Times New Roman"/>
                <w:szCs w:val="24"/>
                <w:lang w:val="en-GB"/>
              </w:rPr>
            </w:pPr>
            <w:r>
              <w:rPr>
                <w:rFonts w:ascii="Times New Roman" w:hAnsi="Times New Roman"/>
                <w:szCs w:val="24"/>
                <w:lang w:val="en-GB"/>
              </w:rPr>
              <w:t>83.7</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45.4</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121.5</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120.0</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64.6</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87.04</w:t>
            </w:r>
          </w:p>
        </w:tc>
        <w:tc>
          <w:tcPr>
            <w:tcW w:w="2035" w:type="dxa"/>
          </w:tcPr>
          <w:p w:rsidR="00C10721" w:rsidRDefault="00487F4C" w:rsidP="00C10721">
            <w:pPr>
              <w:pStyle w:val="Text"/>
              <w:keepNext/>
              <w:keepLines/>
              <w:widowControl/>
              <w:jc w:val="center"/>
              <w:rPr>
                <w:rFonts w:ascii="Times New Roman" w:hAnsi="Times New Roman"/>
                <w:szCs w:val="24"/>
                <w:lang w:val="en-GB"/>
              </w:rPr>
            </w:pPr>
            <w:r>
              <w:rPr>
                <w:rFonts w:ascii="Times New Roman" w:hAnsi="Times New Roman"/>
                <w:szCs w:val="24"/>
                <w:lang w:val="en-GB"/>
              </w:rPr>
              <w:t>52.22</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 xml:space="preserve">King </w:t>
            </w:r>
            <w:smartTag w:uri="urn:schemas-microsoft-com:office:smarttags" w:element="PlaceType">
              <w:r>
                <w:rPr>
                  <w:rFonts w:ascii="Times New Roman" w:hAnsi="Times New Roman"/>
                  <w:b/>
                  <w:szCs w:val="24"/>
                  <w:lang w:val="en-GB"/>
                </w:rPr>
                <w:t>Island</w:t>
              </w:r>
            </w:smartTag>
          </w:p>
        </w:tc>
        <w:tc>
          <w:tcPr>
            <w:tcW w:w="0" w:type="auto"/>
          </w:tcPr>
          <w:p w:rsidR="00C10721" w:rsidRDefault="00416286" w:rsidP="00C10721">
            <w:pPr>
              <w:pStyle w:val="Text"/>
              <w:keepNext/>
              <w:keepLines/>
              <w:widowControl/>
              <w:jc w:val="center"/>
              <w:rPr>
                <w:rFonts w:ascii="Times New Roman" w:hAnsi="Times New Roman"/>
                <w:szCs w:val="24"/>
                <w:lang w:val="en-GB"/>
              </w:rPr>
            </w:pPr>
            <w:r>
              <w:rPr>
                <w:rFonts w:ascii="Times New Roman" w:hAnsi="Times New Roman"/>
                <w:szCs w:val="24"/>
                <w:lang w:val="en-GB"/>
              </w:rPr>
              <w:t>13.4</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18.9</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8.2</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10.0</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12.4</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12.58</w:t>
            </w:r>
          </w:p>
        </w:tc>
        <w:tc>
          <w:tcPr>
            <w:tcW w:w="2035" w:type="dxa"/>
          </w:tcPr>
          <w:p w:rsidR="00C10721" w:rsidRDefault="00487F4C" w:rsidP="00C10721">
            <w:pPr>
              <w:pStyle w:val="Text"/>
              <w:keepNext/>
              <w:keepLines/>
              <w:widowControl/>
              <w:jc w:val="center"/>
              <w:rPr>
                <w:rFonts w:ascii="Times New Roman" w:hAnsi="Times New Roman"/>
                <w:szCs w:val="24"/>
                <w:lang w:val="en-GB"/>
              </w:rPr>
            </w:pPr>
            <w:r>
              <w:rPr>
                <w:rFonts w:ascii="Times New Roman" w:hAnsi="Times New Roman"/>
                <w:szCs w:val="24"/>
                <w:lang w:val="en-GB"/>
              </w:rPr>
              <w:t>7.55</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Northeast</w:t>
            </w:r>
          </w:p>
        </w:tc>
        <w:tc>
          <w:tcPr>
            <w:tcW w:w="0" w:type="auto"/>
          </w:tcPr>
          <w:p w:rsidR="00C10721" w:rsidRDefault="00416286" w:rsidP="00C10721">
            <w:pPr>
              <w:pStyle w:val="Text"/>
              <w:keepNext/>
              <w:keepLines/>
              <w:widowControl/>
              <w:jc w:val="center"/>
              <w:rPr>
                <w:rFonts w:ascii="Times New Roman" w:hAnsi="Times New Roman"/>
                <w:szCs w:val="24"/>
                <w:lang w:val="en-GB"/>
              </w:rPr>
            </w:pPr>
            <w:r>
              <w:rPr>
                <w:rFonts w:ascii="Times New Roman" w:hAnsi="Times New Roman"/>
                <w:szCs w:val="24"/>
                <w:lang w:val="en-GB"/>
              </w:rPr>
              <w:t>109.3</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119.1</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78.9</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53.7</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60.0</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84.2</w:t>
            </w:r>
          </w:p>
        </w:tc>
        <w:tc>
          <w:tcPr>
            <w:tcW w:w="2035" w:type="dxa"/>
          </w:tcPr>
          <w:p w:rsidR="00C10721" w:rsidRDefault="00487F4C" w:rsidP="00C10721">
            <w:pPr>
              <w:pStyle w:val="Text"/>
              <w:keepNext/>
              <w:keepLines/>
              <w:widowControl/>
              <w:jc w:val="center"/>
              <w:rPr>
                <w:rFonts w:ascii="Times New Roman" w:hAnsi="Times New Roman"/>
                <w:szCs w:val="24"/>
                <w:lang w:val="en-GB"/>
              </w:rPr>
            </w:pPr>
            <w:r>
              <w:rPr>
                <w:rFonts w:ascii="Times New Roman" w:hAnsi="Times New Roman"/>
                <w:szCs w:val="24"/>
                <w:lang w:val="en-GB"/>
              </w:rPr>
              <w:t>50.52</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Northwest</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121.8</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157.2</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180.0</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117.9</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80.2</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131.42</w:t>
            </w:r>
          </w:p>
        </w:tc>
        <w:tc>
          <w:tcPr>
            <w:tcW w:w="2035" w:type="dxa"/>
          </w:tcPr>
          <w:p w:rsidR="00C10721" w:rsidRDefault="00487F4C" w:rsidP="00C10721">
            <w:pPr>
              <w:pStyle w:val="Text"/>
              <w:keepNext/>
              <w:keepLines/>
              <w:widowControl/>
              <w:jc w:val="center"/>
              <w:rPr>
                <w:rFonts w:ascii="Times New Roman" w:hAnsi="Times New Roman"/>
                <w:szCs w:val="24"/>
                <w:lang w:val="en-GB"/>
              </w:rPr>
            </w:pPr>
            <w:r>
              <w:rPr>
                <w:rFonts w:ascii="Times New Roman" w:hAnsi="Times New Roman"/>
                <w:szCs w:val="24"/>
                <w:lang w:val="en-GB"/>
              </w:rPr>
              <w:t>78.85</w:t>
            </w:r>
          </w:p>
        </w:tc>
      </w:tr>
      <w:tr w:rsidR="00C10721" w:rsidTr="009409C6">
        <w:tblPrEx>
          <w:tblCellMar>
            <w:top w:w="0" w:type="dxa"/>
            <w:bottom w:w="0" w:type="dxa"/>
          </w:tblCellMar>
        </w:tblPrEx>
        <w:trPr>
          <w:cantSplit/>
        </w:trPr>
        <w:tc>
          <w:tcPr>
            <w:tcW w:w="0" w:type="auto"/>
          </w:tcPr>
          <w:p w:rsidR="00C10721" w:rsidRDefault="00C10721" w:rsidP="00C10721">
            <w:pPr>
              <w:pStyle w:val="Text"/>
              <w:keepNext/>
              <w:keepLines/>
              <w:widowControl/>
              <w:jc w:val="center"/>
              <w:rPr>
                <w:rFonts w:ascii="Times New Roman" w:hAnsi="Times New Roman"/>
                <w:b/>
                <w:szCs w:val="24"/>
                <w:lang w:val="en-GB"/>
              </w:rPr>
            </w:pPr>
            <w:r>
              <w:rPr>
                <w:rFonts w:ascii="Times New Roman" w:hAnsi="Times New Roman"/>
                <w:b/>
                <w:szCs w:val="24"/>
                <w:lang w:val="en-GB"/>
              </w:rPr>
              <w:t>Southeast</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37.2</w:t>
            </w:r>
          </w:p>
        </w:tc>
        <w:tc>
          <w:tcPr>
            <w:tcW w:w="0" w:type="auto"/>
          </w:tcPr>
          <w:p w:rsidR="00C10721" w:rsidRDefault="00C10721" w:rsidP="00C10721">
            <w:pPr>
              <w:pStyle w:val="Text"/>
              <w:keepNext/>
              <w:keepLines/>
              <w:widowControl/>
              <w:jc w:val="center"/>
              <w:rPr>
                <w:rFonts w:ascii="Times New Roman" w:hAnsi="Times New Roman"/>
                <w:szCs w:val="24"/>
                <w:lang w:val="en-GB"/>
              </w:rPr>
            </w:pPr>
            <w:r>
              <w:rPr>
                <w:rFonts w:ascii="Times New Roman" w:hAnsi="Times New Roman"/>
                <w:szCs w:val="24"/>
                <w:lang w:val="en-GB"/>
              </w:rPr>
              <w:t>76.7</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33.1</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48.1</w:t>
            </w:r>
          </w:p>
        </w:tc>
        <w:tc>
          <w:tcPr>
            <w:tcW w:w="0" w:type="auto"/>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32.5</w:t>
            </w:r>
          </w:p>
        </w:tc>
        <w:tc>
          <w:tcPr>
            <w:tcW w:w="756" w:type="dxa"/>
          </w:tcPr>
          <w:p w:rsidR="00C10721" w:rsidRDefault="007A6FEC" w:rsidP="00C10721">
            <w:pPr>
              <w:pStyle w:val="Text"/>
              <w:keepNext/>
              <w:keepLines/>
              <w:widowControl/>
              <w:jc w:val="center"/>
              <w:rPr>
                <w:rFonts w:ascii="Times New Roman" w:hAnsi="Times New Roman"/>
                <w:szCs w:val="24"/>
                <w:lang w:val="en-GB"/>
              </w:rPr>
            </w:pPr>
            <w:r>
              <w:rPr>
                <w:rFonts w:ascii="Times New Roman" w:hAnsi="Times New Roman"/>
                <w:szCs w:val="24"/>
                <w:lang w:val="en-GB"/>
              </w:rPr>
              <w:t>45.52</w:t>
            </w:r>
          </w:p>
        </w:tc>
        <w:tc>
          <w:tcPr>
            <w:tcW w:w="2035" w:type="dxa"/>
          </w:tcPr>
          <w:p w:rsidR="00C10721" w:rsidRDefault="00A129F7" w:rsidP="00C10721">
            <w:pPr>
              <w:pStyle w:val="Text"/>
              <w:keepNext/>
              <w:keepLines/>
              <w:widowControl/>
              <w:jc w:val="center"/>
              <w:rPr>
                <w:rFonts w:ascii="Times New Roman" w:hAnsi="Times New Roman"/>
                <w:szCs w:val="24"/>
                <w:lang w:val="en-GB"/>
              </w:rPr>
            </w:pPr>
            <w:r>
              <w:rPr>
                <w:rFonts w:ascii="Times New Roman" w:hAnsi="Times New Roman"/>
                <w:szCs w:val="24"/>
                <w:lang w:val="en-GB"/>
              </w:rPr>
              <w:t>27.31</w:t>
            </w:r>
          </w:p>
        </w:tc>
      </w:tr>
    </w:tbl>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F556AE" w:rsidRDefault="00F556AE">
      <w:pPr>
        <w:pStyle w:val="Text"/>
        <w:widowControl/>
        <w:spacing w:before="0" w:after="0"/>
        <w:rPr>
          <w:rFonts w:ascii="Times New Roman" w:hAnsi="Times New Roman"/>
          <w:b/>
          <w:sz w:val="20"/>
          <w:lang w:val="en-GB"/>
        </w:rPr>
      </w:pPr>
    </w:p>
    <w:p w:rsidR="001D2768" w:rsidRDefault="001D2768">
      <w:pPr>
        <w:pStyle w:val="Text"/>
        <w:widowControl/>
        <w:spacing w:before="0" w:after="0"/>
        <w:rPr>
          <w:rFonts w:ascii="Times New Roman" w:hAnsi="Times New Roman"/>
          <w:b/>
          <w:sz w:val="20"/>
          <w:lang w:val="en-GB"/>
        </w:rPr>
      </w:pPr>
      <w:r>
        <w:rPr>
          <w:rFonts w:ascii="Times New Roman" w:hAnsi="Times New Roman"/>
          <w:b/>
          <w:sz w:val="20"/>
          <w:lang w:val="en-GB"/>
        </w:rPr>
        <w:t>Table 2: Density Index</w:t>
      </w:r>
      <w:r w:rsidR="00DC42F7">
        <w:rPr>
          <w:rFonts w:ascii="Times New Roman" w:hAnsi="Times New Roman"/>
          <w:b/>
          <w:sz w:val="20"/>
          <w:lang w:val="en-GB"/>
        </w:rPr>
        <w:t xml:space="preserve"> Figures for Rufu</w:t>
      </w:r>
      <w:r>
        <w:rPr>
          <w:rFonts w:ascii="Times New Roman" w:hAnsi="Times New Roman"/>
          <w:b/>
          <w:sz w:val="20"/>
          <w:lang w:val="en-GB"/>
        </w:rPr>
        <w:t>s Wallabies</w:t>
      </w: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tbl>
      <w:tblPr>
        <w:tblpPr w:leftFromText="180" w:rightFromText="180" w:vertAnchor="text" w:horzAnchor="page" w:tblpX="1822" w:tblpY="7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72"/>
        <w:gridCol w:w="756"/>
        <w:gridCol w:w="756"/>
        <w:gridCol w:w="756"/>
        <w:gridCol w:w="756"/>
        <w:gridCol w:w="756"/>
        <w:gridCol w:w="876"/>
        <w:gridCol w:w="2035"/>
      </w:tblGrid>
      <w:tr w:rsidR="00A94E77" w:rsidTr="005C033D">
        <w:tblPrEx>
          <w:tblCellMar>
            <w:top w:w="0" w:type="dxa"/>
            <w:bottom w:w="0" w:type="dxa"/>
          </w:tblCellMar>
        </w:tblPrEx>
        <w:trPr>
          <w:cantSplit/>
        </w:trPr>
        <w:tc>
          <w:tcPr>
            <w:tcW w:w="0" w:type="auto"/>
            <w:vAlign w:val="center"/>
          </w:tcPr>
          <w:p w:rsidR="00A94E77" w:rsidRDefault="00A94E77" w:rsidP="005C033D">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Region</w:t>
            </w:r>
          </w:p>
        </w:tc>
        <w:tc>
          <w:tcPr>
            <w:tcW w:w="0" w:type="auto"/>
            <w:vAlign w:val="center"/>
          </w:tcPr>
          <w:p w:rsidR="00A94E77" w:rsidRDefault="00B70188" w:rsidP="005C033D">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2014</w:t>
            </w:r>
          </w:p>
        </w:tc>
        <w:tc>
          <w:tcPr>
            <w:tcW w:w="0" w:type="auto"/>
            <w:vAlign w:val="center"/>
          </w:tcPr>
          <w:p w:rsidR="00A94E77" w:rsidRDefault="00B70188" w:rsidP="005C033D">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2015</w:t>
            </w:r>
          </w:p>
        </w:tc>
        <w:tc>
          <w:tcPr>
            <w:tcW w:w="0" w:type="auto"/>
            <w:vAlign w:val="center"/>
          </w:tcPr>
          <w:p w:rsidR="00A94E77" w:rsidRDefault="00B70188" w:rsidP="005C033D">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2016</w:t>
            </w:r>
          </w:p>
        </w:tc>
        <w:tc>
          <w:tcPr>
            <w:tcW w:w="0" w:type="auto"/>
            <w:vAlign w:val="center"/>
          </w:tcPr>
          <w:p w:rsidR="00A94E77" w:rsidRDefault="00B70188" w:rsidP="005C033D">
            <w:pPr>
              <w:pStyle w:val="Text"/>
              <w:keepNext/>
              <w:keepLines/>
              <w:widowControl/>
              <w:spacing w:before="60" w:after="60"/>
              <w:jc w:val="center"/>
              <w:rPr>
                <w:rFonts w:ascii="Times New Roman" w:hAnsi="Times New Roman"/>
                <w:b/>
                <w:szCs w:val="24"/>
                <w:lang w:val="en-GB"/>
              </w:rPr>
            </w:pPr>
            <w:r>
              <w:rPr>
                <w:rFonts w:ascii="Times New Roman" w:hAnsi="Times New Roman"/>
                <w:b/>
                <w:szCs w:val="24"/>
                <w:lang w:val="en-GB"/>
              </w:rPr>
              <w:t>2017</w:t>
            </w:r>
          </w:p>
        </w:tc>
        <w:tc>
          <w:tcPr>
            <w:tcW w:w="756" w:type="dxa"/>
          </w:tcPr>
          <w:p w:rsidR="00A94E77" w:rsidRDefault="00A94E77" w:rsidP="005C033D">
            <w:pPr>
              <w:pStyle w:val="Text"/>
              <w:keepNext/>
              <w:keepLines/>
              <w:widowControl/>
              <w:spacing w:before="60" w:after="0"/>
              <w:jc w:val="center"/>
              <w:rPr>
                <w:rFonts w:ascii="Times New Roman" w:hAnsi="Times New Roman"/>
                <w:b/>
                <w:szCs w:val="24"/>
                <w:lang w:val="en-GB"/>
              </w:rPr>
            </w:pPr>
          </w:p>
          <w:p w:rsidR="00A94E77" w:rsidRDefault="00B70188" w:rsidP="005C033D">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2018</w:t>
            </w:r>
          </w:p>
        </w:tc>
        <w:tc>
          <w:tcPr>
            <w:tcW w:w="756" w:type="dxa"/>
          </w:tcPr>
          <w:p w:rsidR="00A94E77" w:rsidRDefault="00A94E77" w:rsidP="005C033D">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Av</w:t>
            </w:r>
          </w:p>
          <w:p w:rsidR="00A94E77" w:rsidRDefault="00A94E77" w:rsidP="005C033D">
            <w:pPr>
              <w:pStyle w:val="Text"/>
              <w:keepNext/>
              <w:keepLines/>
              <w:widowControl/>
              <w:spacing w:before="60" w:after="0"/>
              <w:jc w:val="center"/>
              <w:rPr>
                <w:rFonts w:ascii="Times New Roman" w:hAnsi="Times New Roman"/>
                <w:b/>
                <w:szCs w:val="24"/>
                <w:lang w:val="en-GB"/>
              </w:rPr>
            </w:pPr>
          </w:p>
        </w:tc>
        <w:tc>
          <w:tcPr>
            <w:tcW w:w="2035" w:type="dxa"/>
          </w:tcPr>
          <w:p w:rsidR="00A94E77" w:rsidRDefault="00A94E77" w:rsidP="005C033D">
            <w:pPr>
              <w:pStyle w:val="Text"/>
              <w:keepNext/>
              <w:keepLines/>
              <w:widowControl/>
              <w:spacing w:before="60" w:after="0"/>
              <w:jc w:val="center"/>
              <w:rPr>
                <w:rFonts w:ascii="Times New Roman" w:hAnsi="Times New Roman"/>
                <w:b/>
                <w:szCs w:val="24"/>
                <w:lang w:val="en-GB"/>
              </w:rPr>
            </w:pPr>
            <w:r>
              <w:rPr>
                <w:rFonts w:ascii="Times New Roman" w:hAnsi="Times New Roman"/>
                <w:b/>
                <w:szCs w:val="24"/>
                <w:lang w:val="en-GB"/>
              </w:rPr>
              <w:t>Trigger point</w:t>
            </w:r>
          </w:p>
          <w:p w:rsidR="00A94E77" w:rsidRDefault="00A94E77" w:rsidP="005C033D">
            <w:pPr>
              <w:pStyle w:val="Text"/>
              <w:keepNext/>
              <w:keepLines/>
              <w:widowControl/>
              <w:spacing w:before="0" w:after="60"/>
              <w:jc w:val="center"/>
              <w:rPr>
                <w:rFonts w:ascii="Times New Roman" w:hAnsi="Times New Roman"/>
                <w:b/>
                <w:szCs w:val="24"/>
                <w:lang w:val="en-GB"/>
              </w:rPr>
            </w:pPr>
            <w:r>
              <w:rPr>
                <w:rFonts w:ascii="Times New Roman" w:hAnsi="Times New Roman"/>
                <w:b/>
                <w:szCs w:val="24"/>
                <w:lang w:val="en-GB"/>
              </w:rPr>
              <w:t>(33% below average)</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r>
              <w:rPr>
                <w:rFonts w:ascii="Times New Roman" w:hAnsi="Times New Roman"/>
                <w:b/>
                <w:szCs w:val="24"/>
                <w:lang w:val="en-GB"/>
              </w:rPr>
              <w:t>Central</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78.2</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56.5</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29.6</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51.7</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46.9</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52.5</w:t>
            </w:r>
            <w:r w:rsidR="00EE454D">
              <w:rPr>
                <w:rFonts w:ascii="Times New Roman" w:hAnsi="Times New Roman"/>
                <w:szCs w:val="24"/>
                <w:lang w:val="en-GB"/>
              </w:rPr>
              <w:t>2</w:t>
            </w:r>
          </w:p>
        </w:tc>
        <w:tc>
          <w:tcPr>
            <w:tcW w:w="2035" w:type="dxa"/>
          </w:tcPr>
          <w:p w:rsidR="00A94E77" w:rsidRDefault="00A129F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31.55</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smartTag w:uri="urn:schemas-microsoft-com:office:smarttags" w:element="place">
              <w:smartTag w:uri="urn:schemas-microsoft-com:office:smarttags" w:element="PlaceName">
                <w:r>
                  <w:rPr>
                    <w:rFonts w:ascii="Times New Roman" w:hAnsi="Times New Roman"/>
                    <w:b/>
                    <w:szCs w:val="24"/>
                    <w:lang w:val="en-GB"/>
                  </w:rPr>
                  <w:t>Flinders</w:t>
                </w:r>
              </w:smartTag>
              <w:r>
                <w:rPr>
                  <w:rFonts w:ascii="Times New Roman" w:hAnsi="Times New Roman"/>
                  <w:b/>
                  <w:szCs w:val="24"/>
                  <w:lang w:val="en-GB"/>
                </w:rPr>
                <w:t xml:space="preserve"> </w:t>
              </w:r>
              <w:smartTag w:uri="urn:schemas-microsoft-com:office:smarttags" w:element="PlaceType">
                <w:r>
                  <w:rPr>
                    <w:rFonts w:ascii="Times New Roman" w:hAnsi="Times New Roman"/>
                    <w:b/>
                    <w:szCs w:val="24"/>
                    <w:lang w:val="en-GB"/>
                  </w:rPr>
                  <w:t>Island</w:t>
                </w:r>
              </w:smartTag>
            </w:smartTag>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40.7</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65.8</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241.3</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220.0</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191.3</w:t>
            </w:r>
          </w:p>
        </w:tc>
        <w:tc>
          <w:tcPr>
            <w:tcW w:w="756"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182.18</w:t>
            </w:r>
          </w:p>
        </w:tc>
        <w:tc>
          <w:tcPr>
            <w:tcW w:w="2035" w:type="dxa"/>
          </w:tcPr>
          <w:p w:rsidR="00A129F7" w:rsidRDefault="00EE454D" w:rsidP="00A129F7">
            <w:pPr>
              <w:pStyle w:val="Text"/>
              <w:keepNext/>
              <w:keepLines/>
              <w:widowControl/>
              <w:rPr>
                <w:rFonts w:ascii="Times New Roman" w:hAnsi="Times New Roman"/>
                <w:szCs w:val="24"/>
                <w:lang w:val="en-GB"/>
              </w:rPr>
            </w:pPr>
            <w:r>
              <w:rPr>
                <w:rFonts w:ascii="Times New Roman" w:hAnsi="Times New Roman"/>
                <w:szCs w:val="24"/>
                <w:lang w:val="en-GB"/>
              </w:rPr>
              <w:t xml:space="preserve">          109.3</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smartTag w:uri="urn:schemas-microsoft-com:office:smarttags" w:element="place">
              <w:smartTag w:uri="urn:schemas-microsoft-com:office:smarttags" w:element="PlaceName">
                <w:r>
                  <w:rPr>
                    <w:rFonts w:ascii="Times New Roman" w:hAnsi="Times New Roman"/>
                    <w:b/>
                    <w:szCs w:val="24"/>
                    <w:lang w:val="en-GB"/>
                  </w:rPr>
                  <w:t>King</w:t>
                </w:r>
              </w:smartTag>
              <w:r>
                <w:rPr>
                  <w:rFonts w:ascii="Times New Roman" w:hAnsi="Times New Roman"/>
                  <w:b/>
                  <w:szCs w:val="24"/>
                  <w:lang w:val="en-GB"/>
                </w:rPr>
                <w:t xml:space="preserve"> </w:t>
              </w:r>
              <w:smartTag w:uri="urn:schemas-microsoft-com:office:smarttags" w:element="PlaceType">
                <w:r>
                  <w:rPr>
                    <w:rFonts w:ascii="Times New Roman" w:hAnsi="Times New Roman"/>
                    <w:b/>
                    <w:szCs w:val="24"/>
                    <w:lang w:val="en-GB"/>
                  </w:rPr>
                  <w:t>Island</w:t>
                </w:r>
              </w:smartTag>
            </w:smartTag>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167.3</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111.7</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87.0</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68.6</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77.0</w:t>
            </w:r>
          </w:p>
        </w:tc>
        <w:tc>
          <w:tcPr>
            <w:tcW w:w="756"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122.78</w:t>
            </w:r>
          </w:p>
        </w:tc>
        <w:tc>
          <w:tcPr>
            <w:tcW w:w="2035"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73.67</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r>
              <w:rPr>
                <w:rFonts w:ascii="Times New Roman" w:hAnsi="Times New Roman"/>
                <w:b/>
                <w:szCs w:val="24"/>
                <w:lang w:val="en-GB"/>
              </w:rPr>
              <w:t>Northeast</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39.8</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42.6</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33.1</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21.9</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32.0</w:t>
            </w:r>
          </w:p>
        </w:tc>
        <w:tc>
          <w:tcPr>
            <w:tcW w:w="756"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33.95</w:t>
            </w:r>
          </w:p>
        </w:tc>
        <w:tc>
          <w:tcPr>
            <w:tcW w:w="2035" w:type="dxa"/>
          </w:tcPr>
          <w:p w:rsidR="00A94E77" w:rsidRDefault="00A129F7" w:rsidP="00A129F7">
            <w:pPr>
              <w:pStyle w:val="Text"/>
              <w:keepNext/>
              <w:keepLines/>
              <w:widowControl/>
              <w:rPr>
                <w:rFonts w:ascii="Times New Roman" w:hAnsi="Times New Roman"/>
                <w:szCs w:val="24"/>
                <w:lang w:val="en-GB"/>
              </w:rPr>
            </w:pPr>
            <w:r>
              <w:rPr>
                <w:rFonts w:ascii="Times New Roman" w:hAnsi="Times New Roman"/>
                <w:szCs w:val="24"/>
                <w:lang w:val="en-GB"/>
              </w:rPr>
              <w:t xml:space="preserve">           20.3</w:t>
            </w:r>
            <w:r w:rsidR="00EE454D">
              <w:rPr>
                <w:rFonts w:ascii="Times New Roman" w:hAnsi="Times New Roman"/>
                <w:szCs w:val="24"/>
                <w:lang w:val="en-GB"/>
              </w:rPr>
              <w:t>7</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r>
              <w:rPr>
                <w:rFonts w:ascii="Times New Roman" w:hAnsi="Times New Roman"/>
                <w:b/>
                <w:szCs w:val="24"/>
                <w:lang w:val="en-GB"/>
              </w:rPr>
              <w:t>Northwest</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25.3</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38.8</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39.1</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46.7</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26.9</w:t>
            </w:r>
          </w:p>
        </w:tc>
        <w:tc>
          <w:tcPr>
            <w:tcW w:w="756" w:type="dxa"/>
          </w:tcPr>
          <w:p w:rsidR="00A94E77" w:rsidRDefault="00736F01" w:rsidP="005C033D">
            <w:pPr>
              <w:pStyle w:val="Text"/>
              <w:keepNext/>
              <w:keepLines/>
              <w:widowControl/>
              <w:jc w:val="center"/>
              <w:rPr>
                <w:rFonts w:ascii="Times New Roman" w:hAnsi="Times New Roman"/>
                <w:szCs w:val="24"/>
                <w:lang w:val="en-GB"/>
              </w:rPr>
            </w:pPr>
            <w:r>
              <w:rPr>
                <w:rFonts w:ascii="Times New Roman" w:hAnsi="Times New Roman"/>
                <w:szCs w:val="24"/>
                <w:lang w:val="en-GB"/>
              </w:rPr>
              <w:t>35.36</w:t>
            </w:r>
          </w:p>
        </w:tc>
        <w:tc>
          <w:tcPr>
            <w:tcW w:w="2035" w:type="dxa"/>
          </w:tcPr>
          <w:p w:rsidR="00A94E77" w:rsidRDefault="00A129F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21.22</w:t>
            </w:r>
          </w:p>
        </w:tc>
      </w:tr>
      <w:tr w:rsidR="00A94E77" w:rsidTr="005C033D">
        <w:tblPrEx>
          <w:tblCellMar>
            <w:top w:w="0" w:type="dxa"/>
            <w:bottom w:w="0" w:type="dxa"/>
          </w:tblCellMar>
        </w:tblPrEx>
        <w:trPr>
          <w:cantSplit/>
        </w:trPr>
        <w:tc>
          <w:tcPr>
            <w:tcW w:w="0" w:type="auto"/>
          </w:tcPr>
          <w:p w:rsidR="00A94E77" w:rsidRDefault="00A94E77" w:rsidP="005C033D">
            <w:pPr>
              <w:pStyle w:val="Text"/>
              <w:keepNext/>
              <w:keepLines/>
              <w:widowControl/>
              <w:jc w:val="center"/>
              <w:rPr>
                <w:rFonts w:ascii="Times New Roman" w:hAnsi="Times New Roman"/>
                <w:b/>
                <w:szCs w:val="24"/>
                <w:lang w:val="en-GB"/>
              </w:rPr>
            </w:pPr>
            <w:r>
              <w:rPr>
                <w:rFonts w:ascii="Times New Roman" w:hAnsi="Times New Roman"/>
                <w:b/>
                <w:szCs w:val="24"/>
                <w:lang w:val="en-GB"/>
              </w:rPr>
              <w:t>Southeast</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41.0</w:t>
            </w:r>
          </w:p>
        </w:tc>
        <w:tc>
          <w:tcPr>
            <w:tcW w:w="0" w:type="auto"/>
          </w:tcPr>
          <w:p w:rsidR="00A94E77" w:rsidRDefault="00736F01" w:rsidP="005C033D">
            <w:pPr>
              <w:pStyle w:val="Text"/>
              <w:keepNext/>
              <w:keepLines/>
              <w:widowControl/>
              <w:jc w:val="center"/>
              <w:rPr>
                <w:rFonts w:ascii="Times New Roman" w:hAnsi="Times New Roman"/>
                <w:szCs w:val="24"/>
                <w:lang w:val="en-GB"/>
              </w:rPr>
            </w:pPr>
            <w:r>
              <w:rPr>
                <w:rFonts w:ascii="Times New Roman" w:hAnsi="Times New Roman"/>
                <w:szCs w:val="24"/>
                <w:lang w:val="en-GB"/>
              </w:rPr>
              <w:t>n/a</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19.8</w:t>
            </w:r>
          </w:p>
        </w:tc>
        <w:tc>
          <w:tcPr>
            <w:tcW w:w="0" w:type="auto"/>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38.2</w:t>
            </w:r>
          </w:p>
        </w:tc>
        <w:tc>
          <w:tcPr>
            <w:tcW w:w="756" w:type="dxa"/>
          </w:tcPr>
          <w:p w:rsidR="00A94E77" w:rsidRDefault="006D0DB7" w:rsidP="005C033D">
            <w:pPr>
              <w:pStyle w:val="Text"/>
              <w:keepNext/>
              <w:keepLines/>
              <w:widowControl/>
              <w:jc w:val="center"/>
              <w:rPr>
                <w:rFonts w:ascii="Times New Roman" w:hAnsi="Times New Roman"/>
                <w:szCs w:val="24"/>
                <w:lang w:val="en-GB"/>
              </w:rPr>
            </w:pPr>
            <w:r>
              <w:rPr>
                <w:rFonts w:ascii="Times New Roman" w:hAnsi="Times New Roman"/>
                <w:szCs w:val="24"/>
                <w:lang w:val="en-GB"/>
              </w:rPr>
              <w:t>22.1</w:t>
            </w:r>
          </w:p>
        </w:tc>
        <w:tc>
          <w:tcPr>
            <w:tcW w:w="756"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30.27</w:t>
            </w:r>
          </w:p>
        </w:tc>
        <w:tc>
          <w:tcPr>
            <w:tcW w:w="2035" w:type="dxa"/>
          </w:tcPr>
          <w:p w:rsidR="00A94E77" w:rsidRDefault="00EE454D" w:rsidP="005C033D">
            <w:pPr>
              <w:pStyle w:val="Text"/>
              <w:keepNext/>
              <w:keepLines/>
              <w:widowControl/>
              <w:jc w:val="center"/>
              <w:rPr>
                <w:rFonts w:ascii="Times New Roman" w:hAnsi="Times New Roman"/>
                <w:szCs w:val="24"/>
                <w:lang w:val="en-GB"/>
              </w:rPr>
            </w:pPr>
            <w:r>
              <w:rPr>
                <w:rFonts w:ascii="Times New Roman" w:hAnsi="Times New Roman"/>
                <w:szCs w:val="24"/>
                <w:lang w:val="en-GB"/>
              </w:rPr>
              <w:t>18.16</w:t>
            </w:r>
          </w:p>
        </w:tc>
      </w:tr>
    </w:tbl>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p>
    <w:p w:rsidR="00A94E77" w:rsidRDefault="00A94E77" w:rsidP="00A94E77">
      <w:pPr>
        <w:pStyle w:val="Text"/>
        <w:widowControl/>
        <w:spacing w:before="0" w:after="0"/>
        <w:rPr>
          <w:rFonts w:ascii="Times New Roman" w:hAnsi="Times New Roman"/>
          <w:b/>
          <w:sz w:val="20"/>
          <w:lang w:val="en-GB"/>
        </w:rPr>
      </w:pPr>
      <w:r>
        <w:rPr>
          <w:rFonts w:ascii="Times New Roman" w:hAnsi="Times New Roman"/>
          <w:b/>
          <w:sz w:val="20"/>
          <w:lang w:val="en-GB"/>
        </w:rPr>
        <w:t>Table 2: Density Index Figures for Bennet Wallabies</w:t>
      </w: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A94E77" w:rsidRDefault="00A94E77">
      <w:pPr>
        <w:pStyle w:val="Text"/>
        <w:widowControl/>
        <w:spacing w:before="0" w:after="0"/>
        <w:rPr>
          <w:rFonts w:ascii="Times New Roman" w:hAnsi="Times New Roman"/>
          <w:b/>
          <w:sz w:val="20"/>
          <w:lang w:val="en-GB"/>
        </w:rPr>
      </w:pP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A reduction in density in any region to a density below the trigger point will trig</w:t>
      </w:r>
      <w:r w:rsidR="00DC42F7">
        <w:rPr>
          <w:rFonts w:ascii="Times New Roman" w:hAnsi="Times New Roman"/>
          <w:szCs w:val="24"/>
          <w:lang w:val="en-GB"/>
        </w:rPr>
        <w:t>ger a stop to harvest for</w:t>
      </w:r>
      <w:r>
        <w:rPr>
          <w:rFonts w:ascii="Times New Roman" w:hAnsi="Times New Roman"/>
          <w:szCs w:val="24"/>
          <w:lang w:val="en-GB"/>
        </w:rPr>
        <w:t xml:space="preserve"> export </w:t>
      </w:r>
      <w:r w:rsidR="00F556AE">
        <w:rPr>
          <w:rFonts w:ascii="Times New Roman" w:hAnsi="Times New Roman"/>
          <w:szCs w:val="24"/>
          <w:lang w:val="en-GB"/>
        </w:rPr>
        <w:t xml:space="preserve">of that specie </w:t>
      </w:r>
      <w:r>
        <w:rPr>
          <w:rFonts w:ascii="Times New Roman" w:hAnsi="Times New Roman"/>
          <w:szCs w:val="24"/>
          <w:lang w:val="en-GB"/>
        </w:rPr>
        <w:t xml:space="preserve">in that region for the remainder of that year, effective from 30 April. The export of </w:t>
      </w:r>
      <w:r w:rsidR="00DC42F7">
        <w:rPr>
          <w:rFonts w:ascii="Times New Roman" w:hAnsi="Times New Roman"/>
          <w:szCs w:val="24"/>
          <w:lang w:val="en-GB"/>
        </w:rPr>
        <w:t>wallaby</w:t>
      </w:r>
      <w:r>
        <w:rPr>
          <w:rFonts w:ascii="Times New Roman" w:hAnsi="Times New Roman"/>
          <w:szCs w:val="24"/>
          <w:lang w:val="en-GB"/>
        </w:rPr>
        <w:t xml:space="preserve"> from those regions where the density index exceeds the trigger point will still be permitted. Export from the other regions (those not closed) can only occur if LGM has procedures in place that will ensure that </w:t>
      </w:r>
      <w:r w:rsidR="003D4A6A">
        <w:rPr>
          <w:rFonts w:ascii="Times New Roman" w:hAnsi="Times New Roman"/>
          <w:szCs w:val="24"/>
          <w:lang w:val="en-GB"/>
        </w:rPr>
        <w:t xml:space="preserve">the </w:t>
      </w:r>
      <w:r w:rsidR="00DC42F7">
        <w:rPr>
          <w:rFonts w:ascii="Times New Roman" w:hAnsi="Times New Roman"/>
          <w:szCs w:val="24"/>
          <w:lang w:val="en-GB"/>
        </w:rPr>
        <w:t>wallaby</w:t>
      </w:r>
      <w:r>
        <w:rPr>
          <w:rFonts w:ascii="Times New Roman" w:hAnsi="Times New Roman"/>
          <w:szCs w:val="24"/>
          <w:lang w:val="en-GB"/>
        </w:rPr>
        <w:t xml:space="preserve"> </w:t>
      </w:r>
      <w:r w:rsidR="003D4A6A">
        <w:rPr>
          <w:rFonts w:ascii="Times New Roman" w:hAnsi="Times New Roman"/>
          <w:szCs w:val="24"/>
          <w:lang w:val="en-GB"/>
        </w:rPr>
        <w:t xml:space="preserve">specie </w:t>
      </w:r>
      <w:r>
        <w:rPr>
          <w:rFonts w:ascii="Times New Roman" w:hAnsi="Times New Roman"/>
          <w:szCs w:val="24"/>
          <w:lang w:val="en-GB"/>
        </w:rPr>
        <w:t>harvested from the closed region will not be exported. LGM must include an outline of these procedures in its annual report (Section 10).</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lastRenderedPageBreak/>
        <w:t>Exports from a closed region can only recommence following completion of the next year’s survey and then only if the results of that survey show a density index that exceeds the trigger point</w:t>
      </w:r>
      <w:r w:rsidR="00656966">
        <w:rPr>
          <w:rFonts w:ascii="Times New Roman" w:hAnsi="Times New Roman"/>
          <w:szCs w:val="24"/>
          <w:lang w:val="en-GB"/>
        </w:rPr>
        <w:t xml:space="preserve"> for the species concerned</w:t>
      </w:r>
      <w:r>
        <w:rPr>
          <w:rFonts w:ascii="Times New Roman" w:hAnsi="Times New Roman"/>
          <w:szCs w:val="24"/>
          <w:lang w:val="en-GB"/>
        </w:rPr>
        <w:t>.</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Below shows a worked example of how this would apply:</w:t>
      </w:r>
    </w:p>
    <w:p w:rsidR="001D2768" w:rsidRDefault="00D34D82">
      <w:pPr>
        <w:pStyle w:val="Text"/>
        <w:widowControl/>
        <w:spacing w:before="0"/>
        <w:rPr>
          <w:rFonts w:ascii="Times New Roman" w:hAnsi="Times New Roman"/>
          <w:i/>
          <w:szCs w:val="24"/>
          <w:lang w:val="en-GB"/>
        </w:rPr>
      </w:pPr>
      <w:r>
        <w:rPr>
          <w:rFonts w:ascii="Times New Roman" w:hAnsi="Times New Roman"/>
          <w:i/>
          <w:szCs w:val="24"/>
          <w:lang w:val="en-GB"/>
        </w:rPr>
        <w:t>In 2018</w:t>
      </w:r>
      <w:r w:rsidR="001D2768">
        <w:rPr>
          <w:rFonts w:ascii="Times New Roman" w:hAnsi="Times New Roman"/>
          <w:i/>
          <w:szCs w:val="24"/>
          <w:lang w:val="en-GB"/>
        </w:rPr>
        <w:t xml:space="preserve"> the density</w:t>
      </w:r>
      <w:r>
        <w:rPr>
          <w:rFonts w:ascii="Times New Roman" w:hAnsi="Times New Roman"/>
          <w:i/>
          <w:szCs w:val="24"/>
          <w:lang w:val="en-GB"/>
        </w:rPr>
        <w:t xml:space="preserve"> in the Central</w:t>
      </w:r>
      <w:r w:rsidR="008E34F2">
        <w:rPr>
          <w:rFonts w:ascii="Times New Roman" w:hAnsi="Times New Roman"/>
          <w:i/>
          <w:szCs w:val="24"/>
          <w:lang w:val="en-GB"/>
        </w:rPr>
        <w:t xml:space="preserve"> region </w:t>
      </w:r>
      <w:r>
        <w:rPr>
          <w:rFonts w:ascii="Times New Roman" w:hAnsi="Times New Roman"/>
          <w:i/>
          <w:szCs w:val="24"/>
          <w:lang w:val="en-GB"/>
        </w:rPr>
        <w:t>for bennetts</w:t>
      </w:r>
      <w:r w:rsidR="003D4A6A">
        <w:rPr>
          <w:rFonts w:ascii="Times New Roman" w:hAnsi="Times New Roman"/>
          <w:i/>
          <w:szCs w:val="24"/>
          <w:lang w:val="en-GB"/>
        </w:rPr>
        <w:t xml:space="preserve"> wallaby </w:t>
      </w:r>
      <w:r>
        <w:rPr>
          <w:rFonts w:ascii="Times New Roman" w:hAnsi="Times New Roman"/>
          <w:i/>
          <w:szCs w:val="24"/>
          <w:lang w:val="en-GB"/>
        </w:rPr>
        <w:t>was 46.9</w:t>
      </w:r>
      <w:r w:rsidR="008E34F2">
        <w:rPr>
          <w:rFonts w:ascii="Times New Roman" w:hAnsi="Times New Roman"/>
          <w:i/>
          <w:szCs w:val="24"/>
          <w:lang w:val="en-GB"/>
        </w:rPr>
        <w:t>. The long run aver</w:t>
      </w:r>
      <w:r w:rsidR="00736F01">
        <w:rPr>
          <w:rFonts w:ascii="Times New Roman" w:hAnsi="Times New Roman"/>
          <w:i/>
          <w:szCs w:val="24"/>
          <w:lang w:val="en-GB"/>
        </w:rPr>
        <w:t>age</w:t>
      </w:r>
      <w:r>
        <w:rPr>
          <w:rFonts w:ascii="Times New Roman" w:hAnsi="Times New Roman"/>
          <w:i/>
          <w:szCs w:val="24"/>
          <w:lang w:val="en-GB"/>
        </w:rPr>
        <w:t xml:space="preserve"> shown above is 52.58</w:t>
      </w:r>
      <w:r w:rsidR="001D2768">
        <w:rPr>
          <w:rFonts w:ascii="Times New Roman" w:hAnsi="Times New Roman"/>
          <w:i/>
          <w:szCs w:val="24"/>
          <w:lang w:val="en-GB"/>
        </w:rPr>
        <w:t xml:space="preserve">. The trigger point for this region is </w:t>
      </w:r>
      <w:r>
        <w:rPr>
          <w:rFonts w:ascii="Times New Roman" w:hAnsi="Times New Roman"/>
          <w:i/>
          <w:szCs w:val="24"/>
          <w:lang w:val="en-GB"/>
        </w:rPr>
        <w:t>31.55</w:t>
      </w:r>
      <w:r w:rsidR="001D2768">
        <w:rPr>
          <w:rFonts w:ascii="Times New Roman" w:hAnsi="Times New Roman"/>
          <w:i/>
          <w:szCs w:val="24"/>
          <w:lang w:val="en-GB"/>
        </w:rPr>
        <w:t xml:space="preserve">. The density index is above </w:t>
      </w:r>
      <w:r w:rsidR="008E34F2">
        <w:rPr>
          <w:rFonts w:ascii="Times New Roman" w:hAnsi="Times New Roman"/>
          <w:i/>
          <w:szCs w:val="24"/>
          <w:lang w:val="en-GB"/>
        </w:rPr>
        <w:t xml:space="preserve">the trigger </w:t>
      </w:r>
      <w:r w:rsidR="00E01AAF">
        <w:rPr>
          <w:rFonts w:ascii="Times New Roman" w:hAnsi="Times New Roman"/>
          <w:i/>
          <w:szCs w:val="24"/>
          <w:lang w:val="en-GB"/>
        </w:rPr>
        <w:t>point</w:t>
      </w:r>
      <w:r w:rsidR="008E34F2">
        <w:rPr>
          <w:rFonts w:ascii="Times New Roman" w:hAnsi="Times New Roman"/>
          <w:i/>
          <w:szCs w:val="24"/>
          <w:lang w:val="en-GB"/>
        </w:rPr>
        <w:t xml:space="preserve"> listed in Table 2, </w:t>
      </w:r>
      <w:r w:rsidR="001D2768">
        <w:rPr>
          <w:rFonts w:ascii="Times New Roman" w:hAnsi="Times New Roman"/>
          <w:i/>
          <w:szCs w:val="24"/>
          <w:lang w:val="en-GB"/>
        </w:rPr>
        <w:t>the trigger point is not exceeded and exports can continue.</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These trigger point densities still reflect an abundant species.</w:t>
      </w:r>
    </w:p>
    <w:p w:rsidR="001D2768" w:rsidRDefault="001D2768">
      <w:pPr>
        <w:pStyle w:val="Text"/>
        <w:widowControl/>
        <w:spacing w:after="0"/>
        <w:rPr>
          <w:rFonts w:ascii="Times New Roman" w:hAnsi="Times New Roman"/>
          <w:b/>
          <w:szCs w:val="24"/>
          <w:lang w:val="en-GB"/>
        </w:rPr>
      </w:pPr>
      <w:r>
        <w:rPr>
          <w:rFonts w:ascii="Times New Roman" w:hAnsi="Times New Roman"/>
          <w:b/>
          <w:szCs w:val="24"/>
          <w:lang w:val="en-GB"/>
        </w:rPr>
        <w:t>6.1.2 Trigger Point Two (TP2).</w:t>
      </w:r>
    </w:p>
    <w:p w:rsidR="0034458F" w:rsidRPr="0034458F" w:rsidRDefault="001D2768">
      <w:pPr>
        <w:widowControl/>
        <w:numPr>
          <w:ilvl w:val="0"/>
          <w:numId w:val="6"/>
        </w:numPr>
        <w:spacing w:before="240" w:after="240"/>
        <w:ind w:left="0" w:firstLine="0"/>
        <w:rPr>
          <w:b/>
          <w:sz w:val="24"/>
          <w:szCs w:val="24"/>
          <w:lang w:val="en-GB"/>
        </w:rPr>
      </w:pPr>
      <w:r w:rsidRPr="0034458F">
        <w:rPr>
          <w:sz w:val="24"/>
          <w:szCs w:val="24"/>
          <w:lang w:val="en-GB"/>
        </w:rPr>
        <w:t xml:space="preserve">LGM will </w:t>
      </w:r>
      <w:r w:rsidR="008B217B" w:rsidRPr="0034458F">
        <w:rPr>
          <w:sz w:val="24"/>
          <w:szCs w:val="24"/>
          <w:lang w:val="en-GB"/>
        </w:rPr>
        <w:t xml:space="preserve">monitor </w:t>
      </w:r>
      <w:r w:rsidR="003D4A6A" w:rsidRPr="0034458F">
        <w:rPr>
          <w:sz w:val="24"/>
          <w:szCs w:val="24"/>
          <w:lang w:val="en-GB"/>
        </w:rPr>
        <w:t xml:space="preserve">the total number of </w:t>
      </w:r>
      <w:r w:rsidRPr="0034458F">
        <w:rPr>
          <w:sz w:val="24"/>
          <w:szCs w:val="24"/>
          <w:lang w:val="en-GB"/>
        </w:rPr>
        <w:t xml:space="preserve">wallaby </w:t>
      </w:r>
      <w:r w:rsidR="008B217B" w:rsidRPr="0034458F">
        <w:rPr>
          <w:sz w:val="24"/>
          <w:szCs w:val="24"/>
          <w:lang w:val="en-GB"/>
        </w:rPr>
        <w:t xml:space="preserve">they </w:t>
      </w:r>
      <w:r w:rsidR="00B9507C" w:rsidRPr="0034458F">
        <w:rPr>
          <w:sz w:val="24"/>
          <w:szCs w:val="24"/>
          <w:lang w:val="en-GB"/>
        </w:rPr>
        <w:t>process</w:t>
      </w:r>
      <w:r w:rsidR="00DC42F7" w:rsidRPr="0034458F">
        <w:rPr>
          <w:sz w:val="24"/>
          <w:szCs w:val="24"/>
          <w:lang w:val="en-GB"/>
        </w:rPr>
        <w:t xml:space="preserve">.  </w:t>
      </w:r>
      <w:r w:rsidRPr="0034458F">
        <w:rPr>
          <w:sz w:val="24"/>
          <w:szCs w:val="24"/>
          <w:lang w:val="en-GB"/>
        </w:rPr>
        <w:t xml:space="preserve">If this number </w:t>
      </w:r>
      <w:r w:rsidR="00E8769B" w:rsidRPr="0034458F">
        <w:rPr>
          <w:sz w:val="24"/>
          <w:szCs w:val="24"/>
          <w:lang w:val="en-GB"/>
        </w:rPr>
        <w:t xml:space="preserve">reaches </w:t>
      </w:r>
      <w:r w:rsidR="003D4A6A" w:rsidRPr="0034458F">
        <w:rPr>
          <w:sz w:val="24"/>
          <w:szCs w:val="24"/>
          <w:lang w:val="en-GB"/>
        </w:rPr>
        <w:t>200</w:t>
      </w:r>
      <w:r w:rsidRPr="0034458F">
        <w:rPr>
          <w:sz w:val="24"/>
          <w:szCs w:val="24"/>
          <w:lang w:val="en-GB"/>
        </w:rPr>
        <w:t xml:space="preserve">,000, </w:t>
      </w:r>
      <w:r w:rsidR="00023B4F" w:rsidRPr="0034458F">
        <w:rPr>
          <w:sz w:val="24"/>
          <w:szCs w:val="24"/>
          <w:lang w:val="en-GB"/>
        </w:rPr>
        <w:t xml:space="preserve">LGM will </w:t>
      </w:r>
      <w:r w:rsidR="004E1C31" w:rsidRPr="0034458F">
        <w:rPr>
          <w:sz w:val="24"/>
          <w:szCs w:val="24"/>
          <w:lang w:val="en-GB"/>
        </w:rPr>
        <w:t xml:space="preserve">immediately </w:t>
      </w:r>
      <w:r w:rsidR="00023B4F" w:rsidRPr="0034458F">
        <w:rPr>
          <w:sz w:val="24"/>
          <w:szCs w:val="24"/>
          <w:lang w:val="en-GB"/>
        </w:rPr>
        <w:t xml:space="preserve">notify DEWHA and </w:t>
      </w:r>
      <w:r w:rsidRPr="0034458F">
        <w:rPr>
          <w:sz w:val="24"/>
          <w:szCs w:val="24"/>
          <w:lang w:val="en-GB"/>
        </w:rPr>
        <w:t xml:space="preserve">no further </w:t>
      </w:r>
      <w:r w:rsidR="00DC42F7" w:rsidRPr="0034458F">
        <w:rPr>
          <w:sz w:val="24"/>
          <w:szCs w:val="24"/>
          <w:lang w:val="en-GB"/>
        </w:rPr>
        <w:t>animals</w:t>
      </w:r>
      <w:r w:rsidRPr="0034458F">
        <w:rPr>
          <w:sz w:val="24"/>
          <w:szCs w:val="24"/>
          <w:lang w:val="en-GB"/>
        </w:rPr>
        <w:t xml:space="preserve"> will be </w:t>
      </w:r>
      <w:r w:rsidR="00DC42F7" w:rsidRPr="0034458F">
        <w:rPr>
          <w:sz w:val="24"/>
          <w:szCs w:val="24"/>
          <w:lang w:val="en-GB"/>
        </w:rPr>
        <w:t>harvested for export</w:t>
      </w:r>
      <w:r w:rsidRPr="0034458F">
        <w:rPr>
          <w:sz w:val="24"/>
          <w:szCs w:val="24"/>
          <w:lang w:val="en-GB"/>
        </w:rPr>
        <w:t xml:space="preserve"> for </w:t>
      </w:r>
      <w:r w:rsidR="00DC42F7" w:rsidRPr="0034458F">
        <w:rPr>
          <w:sz w:val="24"/>
          <w:szCs w:val="24"/>
          <w:lang w:val="en-GB"/>
        </w:rPr>
        <w:t xml:space="preserve">the balance of that </w:t>
      </w:r>
      <w:r w:rsidRPr="0034458F">
        <w:rPr>
          <w:sz w:val="24"/>
          <w:szCs w:val="24"/>
          <w:lang w:val="en-GB"/>
        </w:rPr>
        <w:t>year.</w:t>
      </w:r>
      <w:r w:rsidR="00B9507C" w:rsidRPr="0034458F">
        <w:rPr>
          <w:sz w:val="24"/>
          <w:szCs w:val="24"/>
          <w:lang w:val="en-GB"/>
        </w:rPr>
        <w:t xml:space="preserve">  This can be cross checked by WMB from the monthly reports of wallaby processed submitted by LGM.</w:t>
      </w:r>
    </w:p>
    <w:p w:rsidR="001D2768" w:rsidRDefault="001D2768">
      <w:pPr>
        <w:widowControl/>
        <w:numPr>
          <w:ilvl w:val="0"/>
          <w:numId w:val="6"/>
        </w:numPr>
        <w:spacing w:before="240" w:after="240"/>
        <w:ind w:left="0" w:firstLine="0"/>
        <w:rPr>
          <w:b/>
          <w:sz w:val="28"/>
          <w:szCs w:val="28"/>
          <w:lang w:val="en-GB"/>
        </w:rPr>
      </w:pPr>
      <w:r>
        <w:rPr>
          <w:b/>
          <w:sz w:val="28"/>
          <w:szCs w:val="28"/>
          <w:lang w:val="en-GB"/>
        </w:rPr>
        <w:t>Compliance</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 xml:space="preserve">Wallaby management in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is administered by the WMB, under the </w:t>
      </w:r>
      <w:r>
        <w:rPr>
          <w:rFonts w:ascii="Times New Roman" w:hAnsi="Times New Roman"/>
          <w:i/>
          <w:szCs w:val="24"/>
          <w:lang w:val="en-GB"/>
        </w:rPr>
        <w:t>Nature Conservation Act 2002</w:t>
      </w:r>
      <w:r>
        <w:rPr>
          <w:rFonts w:ascii="Times New Roman" w:hAnsi="Times New Roman"/>
          <w:szCs w:val="24"/>
          <w:lang w:val="en-GB"/>
        </w:rPr>
        <w:t xml:space="preserve"> and the </w:t>
      </w:r>
      <w:r>
        <w:rPr>
          <w:rFonts w:ascii="Times New Roman" w:hAnsi="Times New Roman"/>
          <w:i/>
          <w:szCs w:val="24"/>
          <w:lang w:val="en-GB"/>
        </w:rPr>
        <w:t>Wildlife Regulations 1999</w:t>
      </w:r>
      <w:r>
        <w:rPr>
          <w:rFonts w:ascii="Times New Roman" w:hAnsi="Times New Roman"/>
          <w:szCs w:val="24"/>
          <w:lang w:val="en-GB"/>
        </w:rPr>
        <w:t xml:space="preserve">. Under Schedule 4 of the </w:t>
      </w:r>
      <w:r>
        <w:rPr>
          <w:rFonts w:ascii="Times New Roman" w:hAnsi="Times New Roman"/>
          <w:i/>
          <w:szCs w:val="24"/>
          <w:lang w:val="en-GB"/>
        </w:rPr>
        <w:t>Wildlife Regulations 1999</w:t>
      </w:r>
      <w:r w:rsidR="003E3780">
        <w:rPr>
          <w:rFonts w:ascii="Times New Roman" w:hAnsi="Times New Roman"/>
          <w:szCs w:val="24"/>
          <w:lang w:val="en-GB"/>
        </w:rPr>
        <w:t xml:space="preserve">, </w:t>
      </w:r>
      <w:r>
        <w:rPr>
          <w:rFonts w:ascii="Times New Roman" w:hAnsi="Times New Roman"/>
          <w:szCs w:val="24"/>
          <w:lang w:val="en-GB"/>
        </w:rPr>
        <w:t xml:space="preserve">wallabies are classified as Partly Protected Wildlife throughout Tasmania. As such, they may be taken under the authority of a permit issued under Regulation 13 of the </w:t>
      </w:r>
      <w:r>
        <w:rPr>
          <w:rFonts w:ascii="Times New Roman" w:hAnsi="Times New Roman"/>
          <w:i/>
          <w:szCs w:val="24"/>
          <w:lang w:val="en-GB"/>
        </w:rPr>
        <w:t>Wildlife Regulations 1999</w:t>
      </w:r>
      <w:r>
        <w:rPr>
          <w:rFonts w:ascii="Times New Roman" w:hAnsi="Times New Roman"/>
          <w:szCs w:val="24"/>
          <w:lang w:val="en-GB"/>
        </w:rPr>
        <w:t xml:space="preserve"> on properties where they are causing crop damage. Permits may specify conditions with which the holder of the permit must comply.</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In order for commercial harvesting of wallabies to be carried out, the commercial shooter must hold a Commercial Wallaby Hunting Licence, which allows the harvesting of wallabies for commercial purposes on lands used for primary production.</w:t>
      </w:r>
    </w:p>
    <w:p w:rsidR="001D2768" w:rsidRPr="00E8769B" w:rsidRDefault="001D2768">
      <w:pPr>
        <w:widowControl/>
        <w:spacing w:after="120"/>
        <w:rPr>
          <w:sz w:val="24"/>
          <w:szCs w:val="24"/>
          <w:lang w:val="en-GB"/>
        </w:rPr>
      </w:pPr>
      <w:r>
        <w:rPr>
          <w:sz w:val="24"/>
          <w:szCs w:val="24"/>
          <w:lang w:val="en-GB"/>
        </w:rPr>
        <w:t xml:space="preserve">Commercial wallaby hunters are permitted to sell wallaby carcasses only to licensed meat </w:t>
      </w:r>
      <w:r w:rsidRPr="00E8769B">
        <w:rPr>
          <w:sz w:val="24"/>
          <w:szCs w:val="24"/>
          <w:lang w:val="en-GB"/>
        </w:rPr>
        <w:t>processors or their agents.</w:t>
      </w:r>
    </w:p>
    <w:p w:rsidR="003128B8" w:rsidRPr="00E8769B" w:rsidRDefault="001D2768" w:rsidP="003128B8">
      <w:pPr>
        <w:pStyle w:val="Text"/>
        <w:widowControl/>
        <w:spacing w:before="0"/>
        <w:rPr>
          <w:rFonts w:ascii="Times New Roman" w:hAnsi="Times New Roman"/>
          <w:szCs w:val="24"/>
          <w:lang w:val="en-GB"/>
        </w:rPr>
      </w:pPr>
      <w:r w:rsidRPr="00E8769B">
        <w:rPr>
          <w:rFonts w:ascii="Times New Roman" w:hAnsi="Times New Roman"/>
          <w:szCs w:val="24"/>
          <w:lang w:val="en-GB"/>
        </w:rPr>
        <w:t>Permits are req</w:t>
      </w:r>
      <w:r w:rsidR="003E3780">
        <w:rPr>
          <w:rFonts w:ascii="Times New Roman" w:hAnsi="Times New Roman"/>
          <w:szCs w:val="24"/>
          <w:lang w:val="en-GB"/>
        </w:rPr>
        <w:t>uired from both DPIPWE and DEE</w:t>
      </w:r>
      <w:r w:rsidRPr="00E8769B">
        <w:rPr>
          <w:rFonts w:ascii="Times New Roman" w:hAnsi="Times New Roman"/>
          <w:szCs w:val="24"/>
          <w:lang w:val="en-GB"/>
        </w:rPr>
        <w:t xml:space="preserve"> to expo</w:t>
      </w:r>
      <w:r w:rsidR="003E3780">
        <w:rPr>
          <w:rFonts w:ascii="Times New Roman" w:hAnsi="Times New Roman"/>
          <w:szCs w:val="24"/>
          <w:lang w:val="en-GB"/>
        </w:rPr>
        <w:t>rt any wallaby product</w:t>
      </w:r>
      <w:r w:rsidRPr="00E8769B">
        <w:rPr>
          <w:rFonts w:ascii="Times New Roman" w:hAnsi="Times New Roman"/>
          <w:szCs w:val="24"/>
          <w:lang w:val="en-GB"/>
        </w:rPr>
        <w:t xml:space="preserve">. These permits are issued only when the WMB is </w:t>
      </w:r>
      <w:r w:rsidR="003E3780">
        <w:rPr>
          <w:rFonts w:ascii="Times New Roman" w:hAnsi="Times New Roman"/>
          <w:szCs w:val="24"/>
          <w:lang w:val="en-GB"/>
        </w:rPr>
        <w:t>satisfied that the wallaby products</w:t>
      </w:r>
      <w:r w:rsidRPr="00E8769B">
        <w:rPr>
          <w:rFonts w:ascii="Times New Roman" w:hAnsi="Times New Roman"/>
          <w:szCs w:val="24"/>
          <w:lang w:val="en-GB"/>
        </w:rPr>
        <w:t xml:space="preserve"> were legally taken, processed and royalties paid.</w:t>
      </w:r>
    </w:p>
    <w:p w:rsidR="001D2768" w:rsidRDefault="001D2768">
      <w:pPr>
        <w:widowControl/>
        <w:spacing w:before="120" w:after="240"/>
        <w:rPr>
          <w:i/>
          <w:sz w:val="24"/>
          <w:szCs w:val="24"/>
          <w:lang w:val="en-GB"/>
        </w:rPr>
      </w:pPr>
      <w:r>
        <w:rPr>
          <w:sz w:val="24"/>
          <w:szCs w:val="24"/>
          <w:lang w:val="en-GB"/>
        </w:rPr>
        <w:t xml:space="preserve">WMB has a team of six full-time compliance officers whose responsibility is the enforcement of the </w:t>
      </w:r>
      <w:r>
        <w:rPr>
          <w:i/>
          <w:sz w:val="24"/>
          <w:szCs w:val="24"/>
          <w:lang w:val="en-GB"/>
        </w:rPr>
        <w:t xml:space="preserve">Nature Conservation Act 2002 </w:t>
      </w:r>
      <w:r>
        <w:rPr>
          <w:sz w:val="24"/>
          <w:szCs w:val="24"/>
          <w:lang w:val="en-GB"/>
        </w:rPr>
        <w:t xml:space="preserve">and regulations as well as associated legislation such as the </w:t>
      </w:r>
      <w:r>
        <w:rPr>
          <w:i/>
          <w:sz w:val="24"/>
          <w:szCs w:val="24"/>
          <w:lang w:val="en-GB"/>
        </w:rPr>
        <w:t>Animal Welfare Act 1993.</w:t>
      </w:r>
    </w:p>
    <w:p w:rsidR="001D2768" w:rsidRDefault="001D2768">
      <w:pPr>
        <w:pStyle w:val="Heading1"/>
        <w:keepNext w:val="0"/>
        <w:widowControl/>
        <w:rPr>
          <w:rFonts w:ascii="Times New Roman Bold" w:hAnsi="Times New Roman Bold"/>
          <w:caps w:val="0"/>
          <w:szCs w:val="28"/>
          <w:lang w:val="en-GB"/>
        </w:rPr>
      </w:pPr>
      <w:r>
        <w:rPr>
          <w:rFonts w:ascii="Times New Roman" w:hAnsi="Times New Roman"/>
          <w:szCs w:val="28"/>
          <w:lang w:val="en-GB"/>
        </w:rPr>
        <w:t>8.</w:t>
      </w:r>
      <w:r>
        <w:rPr>
          <w:rFonts w:ascii="Times New Roman" w:hAnsi="Times New Roman"/>
          <w:szCs w:val="28"/>
          <w:lang w:val="en-GB"/>
        </w:rPr>
        <w:tab/>
      </w:r>
      <w:bookmarkStart w:id="8" w:name="_Toc49584198"/>
      <w:bookmarkStart w:id="9" w:name="_Toc49744945"/>
      <w:bookmarkStart w:id="10" w:name="_Toc52163508"/>
      <w:r>
        <w:rPr>
          <w:rFonts w:ascii="Times New Roman Bold" w:hAnsi="Times New Roman Bold"/>
          <w:caps w:val="0"/>
          <w:szCs w:val="28"/>
          <w:lang w:val="en-GB"/>
        </w:rPr>
        <w:t>Animal Welfare</w:t>
      </w:r>
      <w:bookmarkEnd w:id="8"/>
      <w:bookmarkEnd w:id="9"/>
      <w:bookmarkEnd w:id="10"/>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 xml:space="preserve">The prevention of cruelty to animals, including wallabies, and the promotion of animal welfare are provided for by the </w:t>
      </w:r>
      <w:r>
        <w:rPr>
          <w:rFonts w:ascii="Times New Roman" w:hAnsi="Times New Roman"/>
          <w:i/>
          <w:szCs w:val="24"/>
          <w:lang w:val="en-GB"/>
        </w:rPr>
        <w:t>Animal Welfare Act 1993</w:t>
      </w:r>
      <w:r>
        <w:rPr>
          <w:rFonts w:ascii="Times New Roman" w:hAnsi="Times New Roman"/>
          <w:szCs w:val="24"/>
          <w:lang w:val="en-GB"/>
        </w:rPr>
        <w:t xml:space="preserve">. Section 8 of this Act makes it an offence to inflict unreasonable or unjustifiable pain or suffering to an animal.  </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 xml:space="preserve">The </w:t>
      </w:r>
      <w:r>
        <w:rPr>
          <w:rFonts w:ascii="Times New Roman" w:hAnsi="Times New Roman"/>
          <w:i/>
          <w:szCs w:val="24"/>
          <w:lang w:val="en-GB"/>
        </w:rPr>
        <w:t>Animal Welfare Act 1993</w:t>
      </w:r>
      <w:r>
        <w:rPr>
          <w:rFonts w:ascii="Times New Roman" w:hAnsi="Times New Roman"/>
          <w:szCs w:val="24"/>
          <w:lang w:val="en-GB"/>
        </w:rPr>
        <w:t xml:space="preserve"> also provides for the development of Animal Welfare Standards.  An </w:t>
      </w:r>
      <w:r>
        <w:rPr>
          <w:rFonts w:ascii="Times New Roman" w:hAnsi="Times New Roman"/>
          <w:i/>
          <w:szCs w:val="24"/>
          <w:lang w:val="en-GB"/>
        </w:rPr>
        <w:t xml:space="preserve">Animal Welfare Standard for the Hunting of Wallabies in Tasmania </w:t>
      </w:r>
      <w:r>
        <w:rPr>
          <w:rFonts w:ascii="Times New Roman" w:hAnsi="Times New Roman"/>
          <w:szCs w:val="24"/>
          <w:lang w:val="en-GB"/>
        </w:rPr>
        <w:t xml:space="preserve">has been developed and approved under section 44 of the </w:t>
      </w:r>
      <w:r>
        <w:rPr>
          <w:rFonts w:ascii="Times New Roman" w:hAnsi="Times New Roman"/>
          <w:i/>
          <w:szCs w:val="24"/>
          <w:lang w:val="en-GB"/>
        </w:rPr>
        <w:t>Animal Welfare Act 1993</w:t>
      </w:r>
      <w:r>
        <w:rPr>
          <w:rFonts w:ascii="Times New Roman" w:hAnsi="Times New Roman"/>
          <w:szCs w:val="24"/>
          <w:lang w:val="en-GB"/>
        </w:rPr>
        <w:t>. A copy of the welfare</w:t>
      </w:r>
      <w:r w:rsidR="003E3780">
        <w:rPr>
          <w:rFonts w:ascii="Times New Roman" w:hAnsi="Times New Roman"/>
          <w:szCs w:val="24"/>
          <w:lang w:val="en-GB"/>
        </w:rPr>
        <w:t xml:space="preserve"> standard is shown in Appendix</w:t>
      </w:r>
      <w:r w:rsidR="00346470">
        <w:rPr>
          <w:rFonts w:ascii="Times New Roman" w:hAnsi="Times New Roman"/>
          <w:szCs w:val="24"/>
          <w:lang w:val="en-GB"/>
        </w:rPr>
        <w:t xml:space="preserve"> 2</w:t>
      </w:r>
      <w:r>
        <w:rPr>
          <w:rFonts w:ascii="Times New Roman" w:hAnsi="Times New Roman"/>
          <w:szCs w:val="24"/>
          <w:lang w:val="en-GB"/>
        </w:rPr>
        <w:t xml:space="preserve">. This standard defines what is considered current best practice in the hunting of wallabies under Tasmanian conditions. In addition </w:t>
      </w:r>
      <w:r w:rsidR="009F3A40">
        <w:rPr>
          <w:rFonts w:ascii="Times New Roman" w:hAnsi="Times New Roman"/>
          <w:szCs w:val="24"/>
          <w:lang w:val="en-GB"/>
        </w:rPr>
        <w:t>FSB</w:t>
      </w:r>
      <w:r>
        <w:rPr>
          <w:rFonts w:ascii="Times New Roman" w:hAnsi="Times New Roman"/>
          <w:szCs w:val="24"/>
          <w:lang w:val="en-GB"/>
        </w:rPr>
        <w:t xml:space="preserve"> require </w:t>
      </w:r>
      <w:r>
        <w:rPr>
          <w:rFonts w:ascii="Times New Roman" w:hAnsi="Times New Roman"/>
          <w:szCs w:val="24"/>
          <w:lang w:val="en-GB"/>
        </w:rPr>
        <w:lastRenderedPageBreak/>
        <w:t xml:space="preserve">all animals entering the commercial trade to be </w:t>
      </w:r>
      <w:r w:rsidR="009F3A40">
        <w:rPr>
          <w:rFonts w:ascii="Times New Roman" w:hAnsi="Times New Roman"/>
          <w:szCs w:val="24"/>
          <w:lang w:val="en-GB"/>
        </w:rPr>
        <w:t>brain</w:t>
      </w:r>
      <w:r>
        <w:rPr>
          <w:rFonts w:ascii="Times New Roman" w:hAnsi="Times New Roman"/>
          <w:szCs w:val="24"/>
          <w:lang w:val="en-GB"/>
        </w:rPr>
        <w:t xml:space="preserve"> shot. This is audited regularly at both the processing premises and harvest sites.</w:t>
      </w:r>
    </w:p>
    <w:p w:rsidR="001D2768" w:rsidRDefault="001D2768">
      <w:pPr>
        <w:pStyle w:val="Text"/>
        <w:widowControl/>
        <w:spacing w:before="0"/>
        <w:rPr>
          <w:rFonts w:ascii="Times New Roman" w:hAnsi="Times New Roman"/>
          <w:szCs w:val="24"/>
          <w:lang w:val="en-GB"/>
        </w:rPr>
      </w:pPr>
      <w:r>
        <w:rPr>
          <w:rFonts w:ascii="Times New Roman" w:hAnsi="Times New Roman"/>
          <w:szCs w:val="24"/>
          <w:lang w:val="en-GB"/>
        </w:rPr>
        <w:t xml:space="preserve">It is a condition of a Commercial Wallaby Hunting licence issued by WMB that wallabies are taken in accordance with the requirements of the </w:t>
      </w:r>
      <w:r>
        <w:rPr>
          <w:rFonts w:ascii="Times New Roman" w:hAnsi="Times New Roman"/>
          <w:i/>
          <w:szCs w:val="24"/>
          <w:lang w:val="en-GB"/>
        </w:rPr>
        <w:t>Animal Welfare Standard for the Hunting of Wallabies in Tasmania</w:t>
      </w:r>
      <w:r>
        <w:rPr>
          <w:rFonts w:ascii="Times New Roman" w:hAnsi="Times New Roman"/>
          <w:szCs w:val="24"/>
          <w:lang w:val="en-GB"/>
        </w:rPr>
        <w:t>. An example of a Commercial Wallaby Huntin</w:t>
      </w:r>
      <w:r w:rsidR="003E3780">
        <w:rPr>
          <w:rFonts w:ascii="Times New Roman" w:hAnsi="Times New Roman"/>
          <w:szCs w:val="24"/>
          <w:lang w:val="en-GB"/>
        </w:rPr>
        <w:t xml:space="preserve">g Licence is shown in Appendix </w:t>
      </w:r>
      <w:r w:rsidR="00346470">
        <w:rPr>
          <w:rFonts w:ascii="Times New Roman" w:hAnsi="Times New Roman"/>
          <w:szCs w:val="24"/>
          <w:lang w:val="en-GB"/>
        </w:rPr>
        <w:t>1</w:t>
      </w:r>
      <w:r>
        <w:rPr>
          <w:rFonts w:ascii="Times New Roman" w:hAnsi="Times New Roman"/>
          <w:szCs w:val="24"/>
          <w:lang w:val="en-GB"/>
        </w:rPr>
        <w:t>.</w:t>
      </w:r>
    </w:p>
    <w:p w:rsidR="00346470" w:rsidRDefault="001D2768" w:rsidP="00346470">
      <w:pPr>
        <w:pStyle w:val="Bullet"/>
        <w:widowControl/>
        <w:numPr>
          <w:ilvl w:val="0"/>
          <w:numId w:val="0"/>
        </w:numPr>
        <w:spacing w:before="0" w:after="120"/>
        <w:rPr>
          <w:rFonts w:ascii="Times New Roman" w:hAnsi="Times New Roman"/>
          <w:b w:val="0"/>
          <w:szCs w:val="24"/>
          <w:lang w:val="en-GB"/>
        </w:rPr>
      </w:pPr>
      <w:r>
        <w:rPr>
          <w:rFonts w:ascii="Times New Roman" w:hAnsi="Times New Roman"/>
          <w:b w:val="0"/>
          <w:szCs w:val="24"/>
          <w:lang w:val="en-GB"/>
        </w:rPr>
        <w:t xml:space="preserve">The use of </w:t>
      </w:r>
      <w:r w:rsidR="00346470">
        <w:rPr>
          <w:rFonts w:ascii="Times New Roman" w:hAnsi="Times New Roman"/>
          <w:b w:val="0"/>
          <w:szCs w:val="24"/>
          <w:lang w:val="en-GB"/>
        </w:rPr>
        <w:t>supplied for meat processing.</w:t>
      </w:r>
    </w:p>
    <w:p w:rsidR="00346470" w:rsidRDefault="00346470" w:rsidP="00346470">
      <w:pPr>
        <w:pStyle w:val="Bullet"/>
        <w:widowControl/>
        <w:numPr>
          <w:ilvl w:val="0"/>
          <w:numId w:val="0"/>
        </w:numPr>
        <w:spacing w:before="0" w:after="120"/>
        <w:rPr>
          <w:rFonts w:ascii="Times New Roman" w:hAnsi="Times New Roman"/>
          <w:szCs w:val="24"/>
          <w:lang w:val="en-GB"/>
        </w:rPr>
      </w:pPr>
      <w:r>
        <w:rPr>
          <w:rFonts w:ascii="Times New Roman" w:hAnsi="Times New Roman"/>
          <w:szCs w:val="24"/>
          <w:lang w:val="en-GB"/>
        </w:rPr>
        <w:t xml:space="preserve">All </w:t>
      </w:r>
      <w:r w:rsidR="001D2768">
        <w:rPr>
          <w:rFonts w:ascii="Times New Roman" w:hAnsi="Times New Roman"/>
          <w:b w:val="0"/>
          <w:szCs w:val="24"/>
          <w:lang w:val="en-GB"/>
        </w:rPr>
        <w:t xml:space="preserve">shotguns and/or dogs is not permitted by DPIPWE in harvesting animals to be </w:t>
      </w:r>
    </w:p>
    <w:p w:rsidR="001D2768" w:rsidRDefault="001D2768">
      <w:pPr>
        <w:pStyle w:val="Text"/>
        <w:widowControl/>
        <w:numPr>
          <w:ilvl w:val="12"/>
          <w:numId w:val="0"/>
        </w:numPr>
        <w:spacing w:before="0"/>
        <w:rPr>
          <w:rFonts w:ascii="Times New Roman" w:hAnsi="Times New Roman"/>
          <w:szCs w:val="24"/>
          <w:lang w:val="en-GB"/>
        </w:rPr>
      </w:pPr>
      <w:r>
        <w:rPr>
          <w:rFonts w:ascii="Times New Roman" w:hAnsi="Times New Roman"/>
          <w:szCs w:val="24"/>
          <w:lang w:val="en-GB"/>
        </w:rPr>
        <w:t xml:space="preserve">holders of Commercial Wallaby Hunting licences must be appropriately trained and accredited. </w:t>
      </w:r>
      <w:r>
        <w:rPr>
          <w:rFonts w:ascii="Times New Roman" w:hAnsi="Times New Roman"/>
          <w:color w:val="000000"/>
          <w:szCs w:val="24"/>
          <w:lang w:val="en-GB"/>
        </w:rPr>
        <w:t xml:space="preserve">Persons harvesting for meat must be accredited in accordance with the provisions of the </w:t>
      </w:r>
      <w:r>
        <w:rPr>
          <w:rFonts w:ascii="Times New Roman" w:hAnsi="Times New Roman"/>
          <w:i/>
          <w:color w:val="000000"/>
          <w:szCs w:val="24"/>
          <w:lang w:val="en-GB"/>
        </w:rPr>
        <w:t xml:space="preserve">Meat Hygiene Act 1986 </w:t>
      </w:r>
      <w:r>
        <w:rPr>
          <w:rFonts w:ascii="Times New Roman" w:hAnsi="Times New Roman"/>
          <w:color w:val="000000"/>
          <w:szCs w:val="24"/>
          <w:lang w:val="en-GB"/>
        </w:rPr>
        <w:t>and the Australian Standard for the Hygienic Production of Game Meat for Human Consumption. All accreditation will</w:t>
      </w:r>
      <w:r>
        <w:rPr>
          <w:rFonts w:ascii="Times New Roman" w:hAnsi="Times New Roman"/>
          <w:szCs w:val="24"/>
          <w:lang w:val="en-GB"/>
        </w:rPr>
        <w:t xml:space="preserve"> include training in the requirements of the </w:t>
      </w:r>
      <w:r>
        <w:rPr>
          <w:rFonts w:ascii="Times New Roman" w:hAnsi="Times New Roman"/>
          <w:i/>
          <w:szCs w:val="24"/>
          <w:lang w:val="en-GB"/>
        </w:rPr>
        <w:t xml:space="preserve">Animal Welfare Standard for the Hunting of Wallabies in Tasmania </w:t>
      </w:r>
      <w:r>
        <w:rPr>
          <w:rFonts w:ascii="Times New Roman" w:hAnsi="Times New Roman"/>
          <w:szCs w:val="24"/>
          <w:lang w:val="en-GB"/>
        </w:rPr>
        <w:t xml:space="preserve">and other relevant permit conditions, as well as a field-based assessment of competence in shooting. Shooting assessments are done in the field by a Certified Auditor. Accredited shooters within the game meat industry are reassessed at yearly intervals by the </w:t>
      </w:r>
      <w:r w:rsidR="009F3A40">
        <w:rPr>
          <w:rFonts w:ascii="Times New Roman" w:hAnsi="Times New Roman"/>
          <w:szCs w:val="24"/>
          <w:lang w:val="en-GB"/>
        </w:rPr>
        <w:t>FSB</w:t>
      </w:r>
      <w:r>
        <w:rPr>
          <w:rFonts w:ascii="Times New Roman" w:hAnsi="Times New Roman"/>
          <w:szCs w:val="24"/>
          <w:lang w:val="en-GB"/>
        </w:rPr>
        <w:t xml:space="preserve"> as part of the auditing of Licensed Game Meat Premises. This reassessment includes their ability to adhere to the </w:t>
      </w:r>
      <w:r>
        <w:rPr>
          <w:rFonts w:ascii="Times New Roman" w:hAnsi="Times New Roman"/>
          <w:i/>
          <w:szCs w:val="24"/>
          <w:lang w:val="en-GB"/>
        </w:rPr>
        <w:t xml:space="preserve">Animal Welfare Standard for the Hunting of Wallabies in </w:t>
      </w:r>
      <w:smartTag w:uri="urn:schemas-microsoft-com:office:smarttags" w:element="place">
        <w:smartTag w:uri="urn:schemas-microsoft-com:office:smarttags" w:element="State">
          <w:r>
            <w:rPr>
              <w:rFonts w:ascii="Times New Roman" w:hAnsi="Times New Roman"/>
              <w:i/>
              <w:szCs w:val="24"/>
              <w:lang w:val="en-GB"/>
            </w:rPr>
            <w:t>Tasmania</w:t>
          </w:r>
        </w:smartTag>
      </w:smartTag>
      <w:r>
        <w:rPr>
          <w:rFonts w:ascii="Times New Roman" w:hAnsi="Times New Roman"/>
          <w:i/>
          <w:szCs w:val="24"/>
          <w:lang w:val="en-GB"/>
        </w:rPr>
        <w:t>.</w:t>
      </w:r>
    </w:p>
    <w:p w:rsidR="001D2768" w:rsidRDefault="001D2768">
      <w:pPr>
        <w:pStyle w:val="Text"/>
        <w:widowControl/>
        <w:numPr>
          <w:ilvl w:val="12"/>
          <w:numId w:val="0"/>
        </w:numPr>
        <w:spacing w:before="0"/>
        <w:rPr>
          <w:rFonts w:ascii="Times New Roman" w:hAnsi="Times New Roman"/>
          <w:szCs w:val="24"/>
          <w:lang w:val="en-GB"/>
        </w:rPr>
      </w:pPr>
      <w:r>
        <w:rPr>
          <w:rFonts w:ascii="Times New Roman" w:hAnsi="Times New Roman"/>
          <w:szCs w:val="24"/>
          <w:lang w:val="en-GB"/>
        </w:rPr>
        <w:t xml:space="preserve">All meat processing premises are audited on a regular basis (usually quarterly) by </w:t>
      </w:r>
      <w:r w:rsidR="009F3A40">
        <w:rPr>
          <w:rFonts w:ascii="Times New Roman" w:hAnsi="Times New Roman"/>
          <w:szCs w:val="24"/>
          <w:lang w:val="en-GB"/>
        </w:rPr>
        <w:t>FSB</w:t>
      </w:r>
      <w:r>
        <w:rPr>
          <w:rFonts w:ascii="Times New Roman" w:hAnsi="Times New Roman"/>
          <w:szCs w:val="24"/>
          <w:lang w:val="en-GB"/>
        </w:rPr>
        <w:t>. Part of this audit procedure is to ensure compliance with the animal welfare standards.</w:t>
      </w:r>
    </w:p>
    <w:p w:rsidR="001D2768" w:rsidRDefault="001D2768">
      <w:pPr>
        <w:widowControl/>
        <w:numPr>
          <w:ilvl w:val="12"/>
          <w:numId w:val="0"/>
        </w:numPr>
        <w:spacing w:after="120"/>
        <w:rPr>
          <w:sz w:val="24"/>
          <w:szCs w:val="24"/>
          <w:lang w:val="en-GB"/>
        </w:rPr>
      </w:pPr>
      <w:r>
        <w:rPr>
          <w:sz w:val="24"/>
          <w:szCs w:val="24"/>
          <w:lang w:val="en-GB"/>
        </w:rPr>
        <w:t xml:space="preserve">The extent of compliance with the requirements of the </w:t>
      </w:r>
      <w:r>
        <w:rPr>
          <w:i/>
          <w:sz w:val="24"/>
          <w:szCs w:val="24"/>
          <w:lang w:val="en-GB"/>
        </w:rPr>
        <w:t xml:space="preserve">Animal Welfare Standard for the Hunting of Wallabies in Tasmania </w:t>
      </w:r>
      <w:r>
        <w:rPr>
          <w:sz w:val="24"/>
          <w:szCs w:val="24"/>
          <w:lang w:val="en-GB"/>
        </w:rPr>
        <w:t xml:space="preserve">and permit conditions relating to shooting requirements is determined through annual in field audits of all harvesters and is currently at or near 100% (Neville Price </w:t>
      </w:r>
      <w:r w:rsidR="009F3A40">
        <w:rPr>
          <w:sz w:val="24"/>
          <w:szCs w:val="24"/>
          <w:lang w:val="en-GB"/>
        </w:rPr>
        <w:t>FSB</w:t>
      </w:r>
      <w:r>
        <w:rPr>
          <w:sz w:val="24"/>
          <w:szCs w:val="24"/>
          <w:lang w:val="en-GB"/>
        </w:rPr>
        <w:t xml:space="preserve"> pers. comm.).</w:t>
      </w:r>
    </w:p>
    <w:p w:rsidR="001D2768" w:rsidRDefault="001D2768">
      <w:pPr>
        <w:pStyle w:val="BodyText3"/>
        <w:widowControl/>
        <w:numPr>
          <w:ilvl w:val="12"/>
          <w:numId w:val="0"/>
        </w:numPr>
        <w:spacing w:after="120"/>
        <w:rPr>
          <w:szCs w:val="24"/>
          <w:lang w:val="en-GB"/>
        </w:rPr>
      </w:pPr>
      <w:r>
        <w:rPr>
          <w:szCs w:val="24"/>
          <w:lang w:val="en-GB"/>
        </w:rPr>
        <w:t>Any meat processor or harvester found to be in breach of these controls will suffer disciplinary action, including potential loss of licence as regulated by DPIPWE, thus eliminating them as a potential skin supplier under this WTO.</w:t>
      </w:r>
    </w:p>
    <w:p w:rsidR="00346470" w:rsidRDefault="00346470">
      <w:pPr>
        <w:pStyle w:val="BodyText3"/>
        <w:widowControl/>
        <w:numPr>
          <w:ilvl w:val="12"/>
          <w:numId w:val="0"/>
        </w:numPr>
        <w:spacing w:after="120"/>
        <w:rPr>
          <w:lang w:val="en-GB"/>
        </w:rPr>
      </w:pPr>
    </w:p>
    <w:p w:rsidR="001D2768" w:rsidRDefault="001D2768">
      <w:pPr>
        <w:widowControl/>
        <w:numPr>
          <w:ilvl w:val="12"/>
          <w:numId w:val="0"/>
        </w:numPr>
        <w:rPr>
          <w:b/>
          <w:sz w:val="24"/>
          <w:szCs w:val="24"/>
          <w:lang w:val="en-GB"/>
        </w:rPr>
      </w:pPr>
      <w:r>
        <w:rPr>
          <w:b/>
          <w:sz w:val="24"/>
          <w:szCs w:val="24"/>
          <w:lang w:val="en-GB"/>
        </w:rPr>
        <w:t>8.1</w:t>
      </w:r>
      <w:r>
        <w:rPr>
          <w:b/>
          <w:sz w:val="24"/>
          <w:szCs w:val="24"/>
          <w:lang w:val="en-GB"/>
        </w:rPr>
        <w:tab/>
        <w:t>Non-target considerations.</w:t>
      </w:r>
    </w:p>
    <w:p w:rsidR="001D2768" w:rsidRDefault="001D2768">
      <w:pPr>
        <w:widowControl/>
        <w:numPr>
          <w:ilvl w:val="12"/>
          <w:numId w:val="0"/>
        </w:numPr>
        <w:spacing w:after="120"/>
        <w:rPr>
          <w:sz w:val="24"/>
          <w:szCs w:val="24"/>
          <w:lang w:val="en-GB"/>
        </w:rPr>
      </w:pPr>
      <w:r>
        <w:rPr>
          <w:sz w:val="24"/>
          <w:szCs w:val="24"/>
          <w:lang w:val="en-GB"/>
        </w:rPr>
        <w:t>The argument is often raised in objection to kangaroo harvesting that removing dominant males and females upsets the social balance within a mob of kangaroos, thus having detrimental welfare effects on non-target animals. This WTO makes no comment on the validity of this criticis</w:t>
      </w:r>
      <w:r w:rsidR="00A87197">
        <w:rPr>
          <w:sz w:val="24"/>
          <w:szCs w:val="24"/>
          <w:lang w:val="en-GB"/>
        </w:rPr>
        <w:t xml:space="preserve">m; it merely notes that </w:t>
      </w:r>
      <w:r>
        <w:rPr>
          <w:sz w:val="24"/>
          <w:szCs w:val="24"/>
          <w:lang w:val="en-GB"/>
        </w:rPr>
        <w:t>wallabies are less gregarious than the larger macropod species. Social relatio</w:t>
      </w:r>
      <w:r w:rsidR="00336173">
        <w:rPr>
          <w:sz w:val="24"/>
          <w:szCs w:val="24"/>
          <w:lang w:val="en-GB"/>
        </w:rPr>
        <w:t xml:space="preserve">nships within groups of </w:t>
      </w:r>
      <w:r>
        <w:rPr>
          <w:sz w:val="24"/>
          <w:szCs w:val="24"/>
          <w:lang w:val="en-GB"/>
        </w:rPr>
        <w:t>wallaby are highly unstable, the only enduring relationship being between a female and her unweaned progeny (Calaby 1983; Johnson &amp; Rose, 1995, Morton, S.R. and Burton, T.C. 1973). Studies of movement indicate that individuals are relatively sedentary, occupying small home ranges that overlap broadly with other individuals (Catt 1977; Mooney &amp; Johnson 1979). This indicates that harvesting will have minimal impact on any so</w:t>
      </w:r>
      <w:r w:rsidR="0026426C">
        <w:rPr>
          <w:sz w:val="24"/>
          <w:szCs w:val="24"/>
          <w:lang w:val="en-GB"/>
        </w:rPr>
        <w:t xml:space="preserve">cial structures within a </w:t>
      </w:r>
      <w:r>
        <w:rPr>
          <w:sz w:val="24"/>
          <w:szCs w:val="24"/>
          <w:lang w:val="en-GB"/>
        </w:rPr>
        <w:t>wallaby population.</w:t>
      </w:r>
    </w:p>
    <w:p w:rsidR="001D2768" w:rsidRDefault="001D2768">
      <w:pPr>
        <w:widowControl/>
        <w:numPr>
          <w:ilvl w:val="12"/>
          <w:numId w:val="0"/>
        </w:numPr>
        <w:spacing w:after="120"/>
        <w:rPr>
          <w:sz w:val="24"/>
          <w:szCs w:val="24"/>
          <w:lang w:val="en-GB"/>
        </w:rPr>
      </w:pPr>
      <w:r>
        <w:rPr>
          <w:sz w:val="24"/>
          <w:szCs w:val="24"/>
          <w:lang w:val="en-GB"/>
        </w:rPr>
        <w:t>In additio</w:t>
      </w:r>
      <w:r w:rsidR="0026426C">
        <w:rPr>
          <w:sz w:val="24"/>
          <w:szCs w:val="24"/>
          <w:lang w:val="en-GB"/>
        </w:rPr>
        <w:t>n, the identification of</w:t>
      </w:r>
      <w:r>
        <w:rPr>
          <w:sz w:val="24"/>
          <w:szCs w:val="24"/>
          <w:lang w:val="en-GB"/>
        </w:rPr>
        <w:t xml:space="preserve"> wallabies in the field is well covered in the accreditation process for commercial shooters; hence the likelihood of harvesters shooting non-target species (e.g. forester kangaroos) is extremely low.</w:t>
      </w:r>
    </w:p>
    <w:p w:rsidR="00346470" w:rsidRDefault="00346470">
      <w:pPr>
        <w:widowControl/>
        <w:numPr>
          <w:ilvl w:val="12"/>
          <w:numId w:val="0"/>
        </w:numPr>
        <w:spacing w:after="120"/>
        <w:rPr>
          <w:sz w:val="24"/>
          <w:szCs w:val="24"/>
          <w:lang w:val="en-GB"/>
        </w:rPr>
      </w:pPr>
    </w:p>
    <w:p w:rsidR="00346470" w:rsidRDefault="00346470">
      <w:pPr>
        <w:widowControl/>
        <w:numPr>
          <w:ilvl w:val="12"/>
          <w:numId w:val="0"/>
        </w:numPr>
        <w:spacing w:after="120"/>
        <w:rPr>
          <w:sz w:val="24"/>
          <w:szCs w:val="24"/>
          <w:lang w:val="en-GB"/>
        </w:rPr>
      </w:pPr>
    </w:p>
    <w:p w:rsidR="00346470" w:rsidRDefault="00346470">
      <w:pPr>
        <w:widowControl/>
        <w:numPr>
          <w:ilvl w:val="12"/>
          <w:numId w:val="0"/>
        </w:numPr>
        <w:spacing w:after="120"/>
        <w:rPr>
          <w:sz w:val="24"/>
          <w:szCs w:val="24"/>
          <w:lang w:val="en-GB"/>
        </w:rPr>
      </w:pPr>
    </w:p>
    <w:p w:rsidR="001D2768" w:rsidRDefault="001D2768">
      <w:pPr>
        <w:widowControl/>
        <w:numPr>
          <w:ilvl w:val="12"/>
          <w:numId w:val="0"/>
        </w:numPr>
        <w:spacing w:after="120"/>
        <w:rPr>
          <w:sz w:val="24"/>
          <w:szCs w:val="24"/>
          <w:lang w:val="en-GB"/>
        </w:rPr>
      </w:pPr>
      <w:r>
        <w:rPr>
          <w:b/>
          <w:sz w:val="24"/>
          <w:szCs w:val="24"/>
          <w:lang w:val="en-GB"/>
        </w:rPr>
        <w:lastRenderedPageBreak/>
        <w:t>Key controls:</w:t>
      </w:r>
    </w:p>
    <w:p w:rsidR="001D2768" w:rsidRDefault="001D2768">
      <w:pPr>
        <w:widowControl/>
        <w:numPr>
          <w:ilvl w:val="12"/>
          <w:numId w:val="0"/>
        </w:numPr>
        <w:spacing w:after="120"/>
        <w:rPr>
          <w:sz w:val="24"/>
          <w:szCs w:val="24"/>
          <w:lang w:val="en-GB"/>
        </w:rPr>
      </w:pPr>
      <w:r>
        <w:rPr>
          <w:sz w:val="24"/>
          <w:szCs w:val="24"/>
          <w:lang w:val="en-GB"/>
        </w:rPr>
        <w:t>All harvesters are re-assessed under actual field operating conditions every year to ensure compliance with the Code.</w:t>
      </w:r>
    </w:p>
    <w:p w:rsidR="001D2768" w:rsidRDefault="001D2768">
      <w:pPr>
        <w:widowControl/>
        <w:numPr>
          <w:ilvl w:val="12"/>
          <w:numId w:val="0"/>
        </w:numPr>
        <w:spacing w:after="120"/>
        <w:rPr>
          <w:sz w:val="24"/>
          <w:szCs w:val="24"/>
          <w:lang w:val="en-GB"/>
        </w:rPr>
      </w:pPr>
      <w:r>
        <w:rPr>
          <w:sz w:val="24"/>
          <w:szCs w:val="24"/>
          <w:lang w:val="en-GB"/>
        </w:rPr>
        <w:t>All meat processors are audited regularly and assessment of compliance with the Animal Welfare Standard is part of the audit procedure.</w:t>
      </w:r>
    </w:p>
    <w:p w:rsidR="001D2768" w:rsidRDefault="001D2768">
      <w:pPr>
        <w:widowControl/>
        <w:numPr>
          <w:ilvl w:val="12"/>
          <w:numId w:val="0"/>
        </w:numPr>
        <w:spacing w:before="240" w:after="240"/>
        <w:rPr>
          <w:b/>
          <w:sz w:val="28"/>
          <w:szCs w:val="28"/>
          <w:lang w:val="en-GB"/>
        </w:rPr>
      </w:pPr>
      <w:r>
        <w:rPr>
          <w:b/>
          <w:sz w:val="28"/>
          <w:szCs w:val="28"/>
          <w:lang w:val="en-GB"/>
        </w:rPr>
        <w:t>9. Over-ride Provision:</w:t>
      </w:r>
    </w:p>
    <w:p w:rsidR="001D2768" w:rsidRDefault="001D2768">
      <w:pPr>
        <w:pStyle w:val="BodyText3"/>
        <w:widowControl/>
        <w:numPr>
          <w:ilvl w:val="12"/>
          <w:numId w:val="0"/>
        </w:numPr>
        <w:spacing w:after="120"/>
        <w:rPr>
          <w:lang w:val="en-GB"/>
        </w:rPr>
      </w:pPr>
      <w:r>
        <w:rPr>
          <w:szCs w:val="24"/>
          <w:lang w:val="en-GB"/>
        </w:rPr>
        <w:t xml:space="preserve">This WTO shall be invalidated in the case of DEWHA approving a Wildlife Trade Management Plan under section 303FO of the EPBC Act submitted by </w:t>
      </w:r>
      <w:r w:rsidR="00B9545C">
        <w:rPr>
          <w:szCs w:val="24"/>
          <w:lang w:val="en-GB"/>
        </w:rPr>
        <w:t xml:space="preserve">DPIPWE </w:t>
      </w:r>
      <w:r w:rsidR="003E3780">
        <w:rPr>
          <w:szCs w:val="24"/>
          <w:lang w:val="en-GB"/>
        </w:rPr>
        <w:t xml:space="preserve">covering </w:t>
      </w:r>
      <w:r>
        <w:rPr>
          <w:szCs w:val="24"/>
          <w:lang w:val="en-GB"/>
        </w:rPr>
        <w:t>wallaby in Tasmania as a whole.</w:t>
      </w:r>
    </w:p>
    <w:p w:rsidR="001D2768" w:rsidRDefault="001D2768">
      <w:pPr>
        <w:widowControl/>
        <w:numPr>
          <w:ilvl w:val="12"/>
          <w:numId w:val="0"/>
        </w:numPr>
        <w:spacing w:before="240" w:after="240"/>
        <w:rPr>
          <w:b/>
          <w:sz w:val="28"/>
          <w:szCs w:val="28"/>
          <w:lang w:val="en-GB"/>
        </w:rPr>
      </w:pPr>
      <w:r>
        <w:rPr>
          <w:b/>
          <w:sz w:val="28"/>
          <w:szCs w:val="28"/>
          <w:lang w:val="en-GB"/>
        </w:rPr>
        <w:t>10. Reports</w:t>
      </w:r>
    </w:p>
    <w:p w:rsidR="001D2768" w:rsidRDefault="001D2768">
      <w:pPr>
        <w:widowControl/>
        <w:numPr>
          <w:ilvl w:val="12"/>
          <w:numId w:val="0"/>
        </w:numPr>
        <w:spacing w:after="120"/>
        <w:rPr>
          <w:sz w:val="24"/>
          <w:szCs w:val="24"/>
          <w:lang w:val="en-GB"/>
        </w:rPr>
      </w:pPr>
      <w:r>
        <w:rPr>
          <w:sz w:val="24"/>
          <w:szCs w:val="24"/>
          <w:lang w:val="en-GB"/>
        </w:rPr>
        <w:t>Following the collation and analysis of survey data by WMB by the end of March, LGM will submit to DEWHA by 30 April, an annual report on the following:</w:t>
      </w:r>
    </w:p>
    <w:p w:rsidR="001D2768" w:rsidRDefault="001D2768">
      <w:pPr>
        <w:widowControl/>
        <w:numPr>
          <w:ilvl w:val="12"/>
          <w:numId w:val="0"/>
        </w:numPr>
        <w:rPr>
          <w:sz w:val="24"/>
          <w:szCs w:val="24"/>
          <w:lang w:val="en-GB"/>
        </w:rPr>
      </w:pPr>
    </w:p>
    <w:p w:rsidR="003128B8" w:rsidRDefault="003E3780" w:rsidP="003128B8">
      <w:pPr>
        <w:widowControl/>
        <w:numPr>
          <w:ilvl w:val="0"/>
          <w:numId w:val="8"/>
        </w:numPr>
        <w:ind w:left="567" w:hanging="567"/>
        <w:rPr>
          <w:sz w:val="24"/>
          <w:szCs w:val="24"/>
          <w:lang w:val="en-GB"/>
        </w:rPr>
      </w:pPr>
      <w:r>
        <w:rPr>
          <w:sz w:val="24"/>
          <w:szCs w:val="24"/>
          <w:lang w:val="en-GB"/>
        </w:rPr>
        <w:t xml:space="preserve">The </w:t>
      </w:r>
      <w:r w:rsidR="001D2768">
        <w:rPr>
          <w:sz w:val="24"/>
          <w:szCs w:val="24"/>
          <w:lang w:val="en-GB"/>
        </w:rPr>
        <w:t>wallaby density index reported by WMB for the previous year with its position against TP1</w:t>
      </w:r>
      <w:r w:rsidR="003128B8">
        <w:rPr>
          <w:sz w:val="24"/>
          <w:szCs w:val="24"/>
          <w:lang w:val="en-GB"/>
        </w:rPr>
        <w:t>; and</w:t>
      </w:r>
    </w:p>
    <w:p w:rsidR="00B42444" w:rsidRDefault="003128B8" w:rsidP="003128B8">
      <w:pPr>
        <w:widowControl/>
        <w:numPr>
          <w:ilvl w:val="0"/>
          <w:numId w:val="8"/>
        </w:numPr>
        <w:ind w:left="567" w:hanging="567"/>
        <w:rPr>
          <w:sz w:val="24"/>
          <w:szCs w:val="24"/>
          <w:lang w:val="en-GB"/>
        </w:rPr>
      </w:pPr>
      <w:r>
        <w:rPr>
          <w:sz w:val="24"/>
          <w:szCs w:val="24"/>
          <w:lang w:val="en-GB"/>
        </w:rPr>
        <w:t>Total number of</w:t>
      </w:r>
      <w:r w:rsidR="003E3780">
        <w:rPr>
          <w:sz w:val="24"/>
          <w:szCs w:val="24"/>
          <w:lang w:val="en-GB"/>
        </w:rPr>
        <w:t xml:space="preserve"> </w:t>
      </w:r>
      <w:r>
        <w:rPr>
          <w:sz w:val="24"/>
          <w:szCs w:val="24"/>
          <w:lang w:val="en-GB"/>
        </w:rPr>
        <w:t>wallaby exported for the previous calendar year</w:t>
      </w:r>
    </w:p>
    <w:p w:rsidR="001D2768" w:rsidRDefault="00B42444" w:rsidP="003128B8">
      <w:pPr>
        <w:widowControl/>
        <w:numPr>
          <w:ilvl w:val="0"/>
          <w:numId w:val="8"/>
        </w:numPr>
        <w:ind w:left="567" w:hanging="567"/>
        <w:rPr>
          <w:sz w:val="24"/>
          <w:szCs w:val="24"/>
          <w:lang w:val="en-GB"/>
        </w:rPr>
      </w:pPr>
      <w:r>
        <w:rPr>
          <w:sz w:val="24"/>
          <w:szCs w:val="24"/>
          <w:lang w:val="en-GB"/>
        </w:rPr>
        <w:t>Total number of</w:t>
      </w:r>
      <w:r w:rsidR="003E3780">
        <w:rPr>
          <w:sz w:val="24"/>
          <w:szCs w:val="24"/>
          <w:lang w:val="en-GB"/>
        </w:rPr>
        <w:t xml:space="preserve"> </w:t>
      </w:r>
      <w:r w:rsidR="0034458F">
        <w:rPr>
          <w:sz w:val="24"/>
          <w:szCs w:val="24"/>
          <w:lang w:val="en-GB"/>
        </w:rPr>
        <w:t>wallaby</w:t>
      </w:r>
      <w:r>
        <w:rPr>
          <w:sz w:val="24"/>
          <w:szCs w:val="24"/>
          <w:lang w:val="en-GB"/>
        </w:rPr>
        <w:t xml:space="preserve"> harvested for the previous calendar year.</w:t>
      </w:r>
    </w:p>
    <w:p w:rsidR="001D2768" w:rsidRDefault="001D2768">
      <w:pPr>
        <w:widowControl/>
        <w:rPr>
          <w:sz w:val="24"/>
          <w:szCs w:val="24"/>
          <w:lang w:val="en-GB"/>
        </w:rPr>
      </w:pPr>
    </w:p>
    <w:p w:rsidR="00923D22" w:rsidRPr="00923D22" w:rsidRDefault="001D2768" w:rsidP="00923D22">
      <w:pPr>
        <w:widowControl/>
        <w:numPr>
          <w:ilvl w:val="12"/>
          <w:numId w:val="0"/>
        </w:numPr>
        <w:spacing w:after="120"/>
        <w:rPr>
          <w:sz w:val="24"/>
          <w:szCs w:val="24"/>
          <w:lang w:val="en-GB"/>
        </w:rPr>
      </w:pPr>
      <w:r>
        <w:rPr>
          <w:sz w:val="24"/>
          <w:szCs w:val="24"/>
          <w:lang w:val="en-GB"/>
        </w:rPr>
        <w:t xml:space="preserve">This report will detail if, given assessments against the </w:t>
      </w:r>
      <w:r w:rsidR="00137E54">
        <w:rPr>
          <w:sz w:val="24"/>
          <w:szCs w:val="24"/>
          <w:lang w:val="en-GB"/>
        </w:rPr>
        <w:t>t</w:t>
      </w:r>
      <w:r>
        <w:rPr>
          <w:sz w:val="24"/>
          <w:szCs w:val="24"/>
          <w:lang w:val="en-GB"/>
        </w:rPr>
        <w:t xml:space="preserve">rigger </w:t>
      </w:r>
      <w:r w:rsidR="00137E54">
        <w:rPr>
          <w:sz w:val="24"/>
          <w:szCs w:val="24"/>
          <w:lang w:val="en-GB"/>
        </w:rPr>
        <w:t>p</w:t>
      </w:r>
      <w:r w:rsidR="00B9507C">
        <w:rPr>
          <w:sz w:val="24"/>
          <w:szCs w:val="24"/>
          <w:lang w:val="en-GB"/>
        </w:rPr>
        <w:t>oints, wallaby</w:t>
      </w:r>
      <w:r>
        <w:rPr>
          <w:sz w:val="24"/>
          <w:szCs w:val="24"/>
          <w:lang w:val="en-GB"/>
        </w:rPr>
        <w:t xml:space="preserve"> harvested in the current year will be eligible for export. If any of the regional density indices have fallen below their respective trigger points then, as set out in subsection 6.1.1, LGM will ensure that exports do not occur from animals harvested in that region. LGM should outline the procedures it has put in place to ensure that skins harvested from the closed region will not be exported.</w:t>
      </w:r>
    </w:p>
    <w:p w:rsidR="001D2768" w:rsidRDefault="001D2768">
      <w:pPr>
        <w:widowControl/>
        <w:numPr>
          <w:ilvl w:val="12"/>
          <w:numId w:val="0"/>
        </w:numPr>
        <w:spacing w:before="240" w:after="240"/>
        <w:rPr>
          <w:sz w:val="28"/>
          <w:szCs w:val="28"/>
          <w:lang w:val="en-GB"/>
        </w:rPr>
      </w:pPr>
      <w:r>
        <w:rPr>
          <w:b/>
          <w:sz w:val="28"/>
          <w:szCs w:val="28"/>
          <w:lang w:val="en-GB"/>
        </w:rPr>
        <w:t>11.</w:t>
      </w:r>
      <w:r>
        <w:rPr>
          <w:b/>
          <w:sz w:val="28"/>
          <w:szCs w:val="28"/>
          <w:lang w:val="en-GB"/>
        </w:rPr>
        <w:tab/>
        <w:t>Summary</w:t>
      </w:r>
    </w:p>
    <w:p w:rsidR="001D2768" w:rsidRDefault="001D2768">
      <w:pPr>
        <w:widowControl/>
        <w:numPr>
          <w:ilvl w:val="12"/>
          <w:numId w:val="0"/>
        </w:numPr>
        <w:spacing w:after="120"/>
        <w:rPr>
          <w:sz w:val="24"/>
          <w:szCs w:val="24"/>
          <w:lang w:val="en-GB"/>
        </w:rPr>
      </w:pPr>
      <w:r>
        <w:rPr>
          <w:sz w:val="24"/>
          <w:szCs w:val="24"/>
          <w:lang w:val="en-GB"/>
        </w:rPr>
        <w:t>This WTO:</w:t>
      </w:r>
    </w:p>
    <w:p w:rsidR="001D2768" w:rsidRDefault="00346470">
      <w:pPr>
        <w:widowControl/>
        <w:numPr>
          <w:ilvl w:val="0"/>
          <w:numId w:val="11"/>
        </w:numPr>
        <w:ind w:left="567" w:hanging="567"/>
        <w:rPr>
          <w:sz w:val="24"/>
          <w:szCs w:val="24"/>
          <w:lang w:val="en-GB"/>
        </w:rPr>
      </w:pPr>
      <w:r>
        <w:rPr>
          <w:sz w:val="24"/>
          <w:szCs w:val="24"/>
          <w:lang w:val="en-GB"/>
        </w:rPr>
        <w:t>Acknowledges that some 900</w:t>
      </w:r>
      <w:r w:rsidR="001D2768">
        <w:rPr>
          <w:sz w:val="24"/>
          <w:szCs w:val="24"/>
          <w:lang w:val="en-GB"/>
        </w:rPr>
        <w:t>,000</w:t>
      </w:r>
      <w:r>
        <w:rPr>
          <w:sz w:val="24"/>
          <w:szCs w:val="24"/>
          <w:lang w:val="en-GB"/>
        </w:rPr>
        <w:t>-1,000,000</w:t>
      </w:r>
      <w:r w:rsidR="003E3780">
        <w:rPr>
          <w:sz w:val="24"/>
          <w:szCs w:val="24"/>
          <w:lang w:val="en-GB"/>
        </w:rPr>
        <w:t xml:space="preserve"> </w:t>
      </w:r>
      <w:r w:rsidR="001D2768">
        <w:rPr>
          <w:sz w:val="24"/>
          <w:szCs w:val="24"/>
          <w:lang w:val="en-GB"/>
        </w:rPr>
        <w:t>wa</w:t>
      </w:r>
      <w:r w:rsidR="004E0E09">
        <w:rPr>
          <w:sz w:val="24"/>
          <w:szCs w:val="24"/>
          <w:lang w:val="en-GB"/>
        </w:rPr>
        <w:t>llaby are currently culled</w:t>
      </w:r>
      <w:r w:rsidR="001D2768">
        <w:rPr>
          <w:sz w:val="24"/>
          <w:szCs w:val="24"/>
          <w:lang w:val="en-GB"/>
        </w:rPr>
        <w:t xml:space="preserve"> in T</w:t>
      </w:r>
      <w:r w:rsidR="004E0E09">
        <w:rPr>
          <w:sz w:val="24"/>
          <w:szCs w:val="24"/>
          <w:lang w:val="en-GB"/>
        </w:rPr>
        <w:t>asmania every year and much of the product is</w:t>
      </w:r>
      <w:r w:rsidR="001D2768">
        <w:rPr>
          <w:sz w:val="24"/>
          <w:szCs w:val="24"/>
          <w:lang w:val="en-GB"/>
        </w:rPr>
        <w:t xml:space="preserve"> wasted.</w:t>
      </w:r>
    </w:p>
    <w:p w:rsidR="001D2768" w:rsidRDefault="001D2768">
      <w:pPr>
        <w:widowControl/>
        <w:numPr>
          <w:ilvl w:val="0"/>
          <w:numId w:val="11"/>
        </w:numPr>
        <w:ind w:left="567" w:hanging="567"/>
        <w:rPr>
          <w:sz w:val="24"/>
          <w:szCs w:val="24"/>
          <w:lang w:val="en-GB"/>
        </w:rPr>
      </w:pPr>
      <w:r>
        <w:rPr>
          <w:sz w:val="24"/>
          <w:szCs w:val="24"/>
          <w:lang w:val="en-GB"/>
        </w:rPr>
        <w:t>Acknowledges that this level of harvest has occurred for an extended time and appears to have no effect on populations.</w:t>
      </w:r>
    </w:p>
    <w:p w:rsidR="001D2768" w:rsidRDefault="00346470">
      <w:pPr>
        <w:widowControl/>
        <w:numPr>
          <w:ilvl w:val="0"/>
          <w:numId w:val="11"/>
        </w:numPr>
        <w:ind w:left="567" w:hanging="567"/>
        <w:rPr>
          <w:sz w:val="24"/>
          <w:szCs w:val="24"/>
          <w:lang w:val="en-GB"/>
        </w:rPr>
      </w:pPr>
      <w:r>
        <w:rPr>
          <w:sz w:val="24"/>
          <w:szCs w:val="24"/>
          <w:lang w:val="en-GB"/>
        </w:rPr>
        <w:t>Proposes that the product from up to 200</w:t>
      </w:r>
      <w:r w:rsidR="004E0E09">
        <w:rPr>
          <w:sz w:val="24"/>
          <w:szCs w:val="24"/>
          <w:lang w:val="en-GB"/>
        </w:rPr>
        <w:t>,000 wallaby</w:t>
      </w:r>
      <w:r w:rsidR="001D2768">
        <w:rPr>
          <w:sz w:val="24"/>
          <w:szCs w:val="24"/>
          <w:lang w:val="en-GB"/>
        </w:rPr>
        <w:t xml:space="preserve"> per fiscal year be exportable.</w:t>
      </w:r>
    </w:p>
    <w:p w:rsidR="001D2768" w:rsidRDefault="001D2768">
      <w:pPr>
        <w:widowControl/>
        <w:numPr>
          <w:ilvl w:val="0"/>
          <w:numId w:val="11"/>
        </w:numPr>
        <w:ind w:left="567" w:hanging="567"/>
        <w:rPr>
          <w:sz w:val="24"/>
          <w:szCs w:val="24"/>
          <w:lang w:val="en-GB"/>
        </w:rPr>
      </w:pPr>
      <w:r>
        <w:rPr>
          <w:sz w:val="24"/>
          <w:szCs w:val="24"/>
          <w:lang w:val="en-GB"/>
        </w:rPr>
        <w:t>Puts in place mechanisms to stop export</w:t>
      </w:r>
      <w:r w:rsidR="003128B8">
        <w:rPr>
          <w:sz w:val="24"/>
          <w:szCs w:val="24"/>
          <w:lang w:val="en-GB"/>
        </w:rPr>
        <w:t>s</w:t>
      </w:r>
      <w:r>
        <w:rPr>
          <w:sz w:val="24"/>
          <w:szCs w:val="24"/>
          <w:lang w:val="en-GB"/>
        </w:rPr>
        <w:t xml:space="preserve"> if</w:t>
      </w:r>
      <w:r w:rsidR="003E3780">
        <w:rPr>
          <w:sz w:val="24"/>
          <w:szCs w:val="24"/>
          <w:lang w:val="en-GB"/>
        </w:rPr>
        <w:t xml:space="preserve"> </w:t>
      </w:r>
      <w:r>
        <w:rPr>
          <w:sz w:val="24"/>
          <w:szCs w:val="24"/>
          <w:lang w:val="en-GB"/>
        </w:rPr>
        <w:t>wallaby densit</w:t>
      </w:r>
      <w:r w:rsidR="003128B8">
        <w:rPr>
          <w:sz w:val="24"/>
          <w:szCs w:val="24"/>
          <w:lang w:val="en-GB"/>
        </w:rPr>
        <w:t>ies</w:t>
      </w:r>
      <w:r>
        <w:rPr>
          <w:sz w:val="24"/>
          <w:szCs w:val="24"/>
          <w:lang w:val="en-GB"/>
        </w:rPr>
        <w:t xml:space="preserve"> decline below conservative levels or if</w:t>
      </w:r>
      <w:r w:rsidR="003E3780">
        <w:rPr>
          <w:sz w:val="24"/>
          <w:szCs w:val="24"/>
          <w:lang w:val="en-GB"/>
        </w:rPr>
        <w:t xml:space="preserve"> </w:t>
      </w:r>
      <w:r w:rsidR="00B9507C">
        <w:rPr>
          <w:sz w:val="24"/>
          <w:szCs w:val="24"/>
          <w:lang w:val="en-GB"/>
        </w:rPr>
        <w:t>wallaby processed by LGM</w:t>
      </w:r>
      <w:r>
        <w:rPr>
          <w:sz w:val="24"/>
          <w:szCs w:val="24"/>
          <w:lang w:val="en-GB"/>
        </w:rPr>
        <w:t xml:space="preserve"> </w:t>
      </w:r>
      <w:r w:rsidR="00B42444">
        <w:rPr>
          <w:sz w:val="24"/>
          <w:szCs w:val="24"/>
          <w:lang w:val="en-GB"/>
        </w:rPr>
        <w:t>reach</w:t>
      </w:r>
      <w:r>
        <w:rPr>
          <w:sz w:val="24"/>
          <w:szCs w:val="24"/>
          <w:lang w:val="en-GB"/>
        </w:rPr>
        <w:t xml:space="preserve"> </w:t>
      </w:r>
      <w:r w:rsidR="00346470">
        <w:rPr>
          <w:sz w:val="24"/>
          <w:szCs w:val="24"/>
          <w:lang w:val="en-GB"/>
        </w:rPr>
        <w:t>20</w:t>
      </w:r>
      <w:r w:rsidR="003128B8">
        <w:rPr>
          <w:sz w:val="24"/>
          <w:szCs w:val="24"/>
          <w:lang w:val="en-GB"/>
        </w:rPr>
        <w:t xml:space="preserve">0,000 </w:t>
      </w:r>
      <w:r w:rsidR="004E0E09">
        <w:rPr>
          <w:sz w:val="24"/>
          <w:szCs w:val="24"/>
          <w:lang w:val="en-GB"/>
        </w:rPr>
        <w:t>wallaby</w:t>
      </w:r>
      <w:r w:rsidR="003128B8">
        <w:rPr>
          <w:sz w:val="24"/>
          <w:szCs w:val="24"/>
          <w:lang w:val="en-GB"/>
        </w:rPr>
        <w:t xml:space="preserve"> per calendar</w:t>
      </w:r>
      <w:r w:rsidR="004E0E09">
        <w:rPr>
          <w:sz w:val="24"/>
          <w:szCs w:val="24"/>
          <w:lang w:val="en-GB"/>
        </w:rPr>
        <w:t xml:space="preserve"> year.</w:t>
      </w:r>
    </w:p>
    <w:p w:rsidR="001D2768" w:rsidRDefault="001D2768">
      <w:pPr>
        <w:widowControl/>
        <w:numPr>
          <w:ilvl w:val="0"/>
          <w:numId w:val="11"/>
        </w:numPr>
        <w:ind w:left="567" w:hanging="567"/>
        <w:rPr>
          <w:sz w:val="24"/>
          <w:szCs w:val="24"/>
          <w:lang w:val="en-GB"/>
        </w:rPr>
      </w:pPr>
      <w:r>
        <w:rPr>
          <w:sz w:val="24"/>
          <w:szCs w:val="24"/>
          <w:lang w:val="en-GB"/>
        </w:rPr>
        <w:t xml:space="preserve">Documents the extensive licensing, reporting and monitoring controls in place to ensure compliance and establish an auditable supply chain. </w:t>
      </w:r>
    </w:p>
    <w:p w:rsidR="001D2768" w:rsidRDefault="001D2768">
      <w:pPr>
        <w:widowControl/>
        <w:spacing w:after="120"/>
        <w:rPr>
          <w:sz w:val="24"/>
          <w:szCs w:val="24"/>
          <w:lang w:val="en-GB"/>
        </w:rPr>
      </w:pPr>
    </w:p>
    <w:p w:rsidR="001D2768" w:rsidRDefault="001D2768">
      <w:pPr>
        <w:widowControl/>
        <w:spacing w:after="120"/>
        <w:rPr>
          <w:b/>
          <w:sz w:val="28"/>
          <w:szCs w:val="28"/>
          <w:lang w:val="en-GB"/>
        </w:rPr>
      </w:pPr>
      <w:r>
        <w:rPr>
          <w:sz w:val="24"/>
          <w:szCs w:val="24"/>
          <w:lang w:val="en-GB"/>
        </w:rPr>
        <w:t>This WTO is non-detri</w:t>
      </w:r>
      <w:r w:rsidR="003E3780">
        <w:rPr>
          <w:sz w:val="24"/>
          <w:szCs w:val="24"/>
          <w:lang w:val="en-GB"/>
        </w:rPr>
        <w:t xml:space="preserve">mental to the Tasmanian </w:t>
      </w:r>
      <w:r>
        <w:rPr>
          <w:sz w:val="24"/>
          <w:szCs w:val="24"/>
          <w:lang w:val="en-GB"/>
        </w:rPr>
        <w:t xml:space="preserve">wallaby population since it simply puts in place a mechanism to enable </w:t>
      </w:r>
      <w:r w:rsidR="004E0E09">
        <w:rPr>
          <w:sz w:val="24"/>
          <w:szCs w:val="24"/>
          <w:lang w:val="en-GB"/>
        </w:rPr>
        <w:t>a small</w:t>
      </w:r>
      <w:r w:rsidR="00B9507C">
        <w:rPr>
          <w:sz w:val="24"/>
          <w:szCs w:val="24"/>
          <w:lang w:val="en-GB"/>
        </w:rPr>
        <w:t xml:space="preserve"> percentage of an existing </w:t>
      </w:r>
      <w:r w:rsidR="004E0E09">
        <w:rPr>
          <w:sz w:val="24"/>
          <w:szCs w:val="24"/>
          <w:lang w:val="en-GB"/>
        </w:rPr>
        <w:t>sustainable cull</w:t>
      </w:r>
      <w:r>
        <w:rPr>
          <w:sz w:val="24"/>
          <w:szCs w:val="24"/>
          <w:lang w:val="en-GB"/>
        </w:rPr>
        <w:t xml:space="preserve"> to be exported rather than wasted.</w:t>
      </w:r>
    </w:p>
    <w:p w:rsidR="001D2768" w:rsidRDefault="001D2768">
      <w:pPr>
        <w:widowControl/>
        <w:spacing w:before="240" w:after="240"/>
        <w:rPr>
          <w:b/>
          <w:sz w:val="28"/>
          <w:szCs w:val="28"/>
          <w:lang w:val="en-GB"/>
        </w:rPr>
      </w:pPr>
      <w:r>
        <w:rPr>
          <w:b/>
          <w:sz w:val="28"/>
          <w:szCs w:val="28"/>
          <w:lang w:val="en-GB"/>
        </w:rPr>
        <w:lastRenderedPageBreak/>
        <w:t>Bibliography</w:t>
      </w:r>
    </w:p>
    <w:p w:rsidR="001D2768" w:rsidRDefault="001D2768">
      <w:pPr>
        <w:widowControl/>
        <w:spacing w:after="120"/>
        <w:rPr>
          <w:b/>
          <w:sz w:val="24"/>
          <w:szCs w:val="24"/>
          <w:lang w:val="en-GB"/>
        </w:rPr>
      </w:pPr>
      <w:r>
        <w:rPr>
          <w:b/>
          <w:sz w:val="24"/>
          <w:szCs w:val="24"/>
          <w:lang w:val="en-GB"/>
        </w:rPr>
        <w:t>Calaby, J.H. (1983)</w:t>
      </w:r>
      <w:r>
        <w:rPr>
          <w:sz w:val="24"/>
          <w:szCs w:val="24"/>
          <w:lang w:val="en-GB"/>
        </w:rPr>
        <w:t xml:space="preserve"> Red-Necked Wallaby. In 'Complete Book of Australian Mammals'. (Ed. R. Strahan) p. 186. (Angus and Robertson: Sydney).</w:t>
      </w:r>
    </w:p>
    <w:p w:rsidR="001D2768" w:rsidRDefault="001D2768">
      <w:pPr>
        <w:widowControl/>
        <w:spacing w:after="120"/>
        <w:rPr>
          <w:sz w:val="24"/>
          <w:szCs w:val="24"/>
          <w:lang w:val="en-GB"/>
        </w:rPr>
      </w:pPr>
      <w:smartTag w:uri="urn:schemas-microsoft-com:office:smarttags" w:element="City">
        <w:r>
          <w:rPr>
            <w:b/>
            <w:sz w:val="24"/>
            <w:szCs w:val="24"/>
            <w:lang w:val="en-GB"/>
          </w:rPr>
          <w:t>Catt</w:t>
        </w:r>
      </w:smartTag>
      <w:r>
        <w:rPr>
          <w:b/>
          <w:sz w:val="24"/>
          <w:szCs w:val="24"/>
          <w:lang w:val="en-GB"/>
        </w:rPr>
        <w:t xml:space="preserve">, </w:t>
      </w:r>
      <w:smartTag w:uri="urn:schemas-microsoft-com:office:smarttags" w:element="State">
        <w:r>
          <w:rPr>
            <w:b/>
            <w:sz w:val="24"/>
            <w:szCs w:val="24"/>
            <w:lang w:val="en-GB"/>
          </w:rPr>
          <w:t>D.C.</w:t>
        </w:r>
      </w:smartTag>
      <w:r>
        <w:rPr>
          <w:b/>
          <w:sz w:val="24"/>
          <w:szCs w:val="24"/>
          <w:lang w:val="en-GB"/>
        </w:rPr>
        <w:t xml:space="preserve"> (1977) </w:t>
      </w:r>
      <w:r>
        <w:rPr>
          <w:sz w:val="24"/>
          <w:szCs w:val="24"/>
          <w:lang w:val="en-GB"/>
        </w:rPr>
        <w:t xml:space="preserve">The breeding biology of Bennett's wallaby </w:t>
      </w:r>
      <w:r>
        <w:rPr>
          <w:i/>
          <w:sz w:val="24"/>
          <w:szCs w:val="24"/>
          <w:lang w:val="en-GB"/>
        </w:rPr>
        <w:t>(Macropus rufogriseus fruticus)</w:t>
      </w:r>
      <w:r>
        <w:rPr>
          <w:sz w:val="24"/>
          <w:szCs w:val="24"/>
          <w:lang w:val="en-GB"/>
        </w:rPr>
        <w:t xml:space="preserve"> in </w:t>
      </w:r>
      <w:smartTag w:uri="urn:schemas-microsoft-com:office:smarttags" w:element="place">
        <w:smartTag w:uri="urn:schemas-microsoft-com:office:smarttags" w:element="City">
          <w:r>
            <w:rPr>
              <w:sz w:val="24"/>
              <w:szCs w:val="24"/>
              <w:lang w:val="en-GB"/>
            </w:rPr>
            <w:t>South Canterbury</w:t>
          </w:r>
        </w:smartTag>
        <w:r>
          <w:rPr>
            <w:sz w:val="24"/>
            <w:szCs w:val="24"/>
            <w:lang w:val="en-GB"/>
          </w:rPr>
          <w:t xml:space="preserve">, </w:t>
        </w:r>
        <w:smartTag w:uri="urn:schemas-microsoft-com:office:smarttags" w:element="country-region">
          <w:r>
            <w:rPr>
              <w:sz w:val="24"/>
              <w:szCs w:val="24"/>
              <w:lang w:val="en-GB"/>
            </w:rPr>
            <w:t>New Zealand</w:t>
          </w:r>
        </w:smartTag>
      </w:smartTag>
      <w:r>
        <w:rPr>
          <w:sz w:val="24"/>
          <w:szCs w:val="24"/>
          <w:lang w:val="en-GB"/>
        </w:rPr>
        <w:t xml:space="preserve">. </w:t>
      </w:r>
      <w:r>
        <w:rPr>
          <w:i/>
          <w:sz w:val="24"/>
          <w:szCs w:val="24"/>
          <w:lang w:val="en-GB"/>
        </w:rPr>
        <w:t>N.Z. J. Zool</w:t>
      </w:r>
      <w:r>
        <w:rPr>
          <w:sz w:val="24"/>
          <w:szCs w:val="24"/>
          <w:lang w:val="en-GB"/>
        </w:rPr>
        <w:t xml:space="preserve">. </w:t>
      </w:r>
      <w:r>
        <w:rPr>
          <w:b/>
          <w:sz w:val="24"/>
          <w:szCs w:val="24"/>
          <w:lang w:val="en-GB"/>
        </w:rPr>
        <w:t>4</w:t>
      </w:r>
      <w:r>
        <w:rPr>
          <w:sz w:val="24"/>
          <w:szCs w:val="24"/>
          <w:lang w:val="en-GB"/>
        </w:rPr>
        <w:t>: 401-411.</w:t>
      </w:r>
    </w:p>
    <w:p w:rsidR="001D2768" w:rsidRDefault="001D2768">
      <w:pPr>
        <w:widowControl/>
        <w:spacing w:after="120"/>
        <w:rPr>
          <w:b/>
          <w:sz w:val="24"/>
          <w:szCs w:val="24"/>
          <w:lang w:val="en-GB"/>
        </w:rPr>
      </w:pPr>
      <w:r>
        <w:rPr>
          <w:b/>
          <w:sz w:val="24"/>
          <w:szCs w:val="24"/>
          <w:lang w:val="en-GB"/>
        </w:rPr>
        <w:t>Hocking, G.J., and Driessen, M.M. (1992)</w:t>
      </w:r>
      <w:r>
        <w:rPr>
          <w:sz w:val="24"/>
          <w:szCs w:val="24"/>
          <w:lang w:val="en-GB"/>
        </w:rPr>
        <w:t xml:space="preserve"> </w:t>
      </w:r>
      <w:r>
        <w:rPr>
          <w:i/>
          <w:sz w:val="24"/>
          <w:szCs w:val="24"/>
          <w:lang w:val="en-GB"/>
        </w:rPr>
        <w:t>Tasmanian Spotlight Survey Manual</w:t>
      </w:r>
      <w:r>
        <w:rPr>
          <w:sz w:val="24"/>
          <w:szCs w:val="24"/>
          <w:lang w:val="en-GB"/>
        </w:rPr>
        <w:t>. Department of Parks, Wildlife and Heritage, Hobart.</w:t>
      </w:r>
    </w:p>
    <w:p w:rsidR="001D2768" w:rsidRDefault="001D2768">
      <w:pPr>
        <w:widowControl/>
        <w:spacing w:after="120"/>
        <w:rPr>
          <w:sz w:val="24"/>
          <w:szCs w:val="24"/>
          <w:lang w:val="en-GB"/>
        </w:rPr>
      </w:pPr>
      <w:r>
        <w:rPr>
          <w:b/>
          <w:sz w:val="24"/>
          <w:szCs w:val="24"/>
          <w:lang w:val="en-GB"/>
        </w:rPr>
        <w:t>Johnson, K.A., and Rose, R.W. (1995)</w:t>
      </w:r>
      <w:r>
        <w:rPr>
          <w:sz w:val="24"/>
          <w:szCs w:val="24"/>
          <w:lang w:val="en-GB"/>
        </w:rPr>
        <w:t xml:space="preserve"> Tasmanian Pademelon (</w:t>
      </w:r>
      <w:r>
        <w:rPr>
          <w:i/>
          <w:sz w:val="24"/>
          <w:szCs w:val="24"/>
          <w:lang w:val="en-GB"/>
        </w:rPr>
        <w:t>Thylogale billardierii).</w:t>
      </w:r>
      <w:r>
        <w:rPr>
          <w:sz w:val="24"/>
          <w:szCs w:val="24"/>
          <w:lang w:val="en-GB"/>
        </w:rPr>
        <w:t xml:space="preserve"> In ‘The Mammals of </w:t>
      </w:r>
      <w:smartTag w:uri="urn:schemas-microsoft-com:office:smarttags" w:element="place">
        <w:smartTag w:uri="urn:schemas-microsoft-com:office:smarttags" w:element="country-region">
          <w:r>
            <w:rPr>
              <w:sz w:val="24"/>
              <w:szCs w:val="24"/>
              <w:lang w:val="en-GB"/>
            </w:rPr>
            <w:t>Australia</w:t>
          </w:r>
        </w:smartTag>
      </w:smartTag>
      <w:r>
        <w:rPr>
          <w:sz w:val="24"/>
          <w:szCs w:val="24"/>
          <w:lang w:val="en-GB"/>
        </w:rPr>
        <w:t>’. (Ed. R. Strahan) p. 394. (Reed Books: Chatswood).</w:t>
      </w:r>
    </w:p>
    <w:p w:rsidR="001D2768" w:rsidRDefault="001D2768">
      <w:pPr>
        <w:widowControl/>
        <w:spacing w:after="120"/>
        <w:rPr>
          <w:sz w:val="24"/>
          <w:szCs w:val="24"/>
          <w:lang w:val="en-GB"/>
        </w:rPr>
      </w:pPr>
      <w:r>
        <w:rPr>
          <w:b/>
          <w:sz w:val="24"/>
          <w:szCs w:val="24"/>
          <w:lang w:val="en-GB"/>
        </w:rPr>
        <w:t xml:space="preserve">Mooney, </w:t>
      </w:r>
      <w:smartTag w:uri="urn:schemas-microsoft-com:office:smarttags" w:element="State">
        <w:r>
          <w:rPr>
            <w:b/>
            <w:sz w:val="24"/>
            <w:szCs w:val="24"/>
            <w:lang w:val="en-GB"/>
          </w:rPr>
          <w:t>N.J.</w:t>
        </w:r>
      </w:smartTag>
      <w:r>
        <w:rPr>
          <w:b/>
          <w:sz w:val="24"/>
          <w:szCs w:val="24"/>
          <w:lang w:val="en-GB"/>
        </w:rPr>
        <w:t xml:space="preserve"> and Johnson, K.A. (1979)</w:t>
      </w:r>
      <w:r>
        <w:rPr>
          <w:sz w:val="24"/>
          <w:szCs w:val="24"/>
          <w:lang w:val="en-GB"/>
        </w:rPr>
        <w:t xml:space="preserve"> Methods for the census of wallaby and possum in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Unpublished </w:t>
      </w:r>
      <w:smartTag w:uri="urn:schemas-microsoft-com:office:smarttags" w:element="place">
        <w:smartTag w:uri="urn:schemas-microsoft-com:office:smarttags" w:element="PlaceName">
          <w:r>
            <w:rPr>
              <w:sz w:val="24"/>
              <w:szCs w:val="24"/>
              <w:lang w:val="en-GB"/>
            </w:rPr>
            <w:t>Tasmanian</w:t>
          </w:r>
        </w:smartTag>
        <w:r>
          <w:rPr>
            <w:sz w:val="24"/>
            <w:szCs w:val="24"/>
            <w:lang w:val="en-GB"/>
          </w:rPr>
          <w:t xml:space="preserve"> </w:t>
        </w:r>
        <w:smartTag w:uri="urn:schemas-microsoft-com:office:smarttags" w:element="PlaceType">
          <w:r>
            <w:rPr>
              <w:sz w:val="24"/>
              <w:szCs w:val="24"/>
              <w:lang w:val="en-GB"/>
            </w:rPr>
            <w:t>National Parks</w:t>
          </w:r>
        </w:smartTag>
      </w:smartTag>
      <w:r>
        <w:rPr>
          <w:sz w:val="24"/>
          <w:szCs w:val="24"/>
          <w:lang w:val="en-GB"/>
        </w:rPr>
        <w:t xml:space="preserve"> and Wildlife Service Technical Report.</w:t>
      </w:r>
    </w:p>
    <w:p w:rsidR="001D2768" w:rsidRDefault="001D2768">
      <w:pPr>
        <w:widowControl/>
        <w:spacing w:after="120"/>
        <w:rPr>
          <w:sz w:val="24"/>
          <w:szCs w:val="24"/>
          <w:lang w:val="en-GB"/>
        </w:rPr>
      </w:pPr>
      <w:r>
        <w:rPr>
          <w:b/>
          <w:sz w:val="24"/>
          <w:szCs w:val="24"/>
          <w:lang w:val="en-GB"/>
        </w:rPr>
        <w:t xml:space="preserve">Morton, S.R. and </w:t>
      </w:r>
      <w:smartTag w:uri="urn:schemas-microsoft-com:office:smarttags" w:element="place">
        <w:smartTag w:uri="urn:schemas-microsoft-com:office:smarttags" w:element="City">
          <w:r>
            <w:rPr>
              <w:b/>
              <w:sz w:val="24"/>
              <w:szCs w:val="24"/>
              <w:lang w:val="en-GB"/>
            </w:rPr>
            <w:t>Burton</w:t>
          </w:r>
        </w:smartTag>
      </w:smartTag>
      <w:r>
        <w:rPr>
          <w:b/>
          <w:sz w:val="24"/>
          <w:szCs w:val="24"/>
          <w:lang w:val="en-GB"/>
        </w:rPr>
        <w:t>, T.C. (1973)</w:t>
      </w:r>
      <w:r>
        <w:rPr>
          <w:sz w:val="24"/>
          <w:szCs w:val="24"/>
          <w:lang w:val="en-GB"/>
        </w:rPr>
        <w:t xml:space="preserve"> Observations on the behaviour of the macropodid marsupial </w:t>
      </w:r>
      <w:r>
        <w:rPr>
          <w:i/>
          <w:sz w:val="24"/>
          <w:szCs w:val="24"/>
          <w:lang w:val="en-GB"/>
        </w:rPr>
        <w:t>Thylogale billardierii</w:t>
      </w:r>
      <w:r>
        <w:rPr>
          <w:sz w:val="24"/>
          <w:szCs w:val="24"/>
          <w:lang w:val="en-GB"/>
        </w:rPr>
        <w:t xml:space="preserve"> (Desmarest) in captivity. </w:t>
      </w:r>
      <w:r>
        <w:rPr>
          <w:i/>
          <w:sz w:val="24"/>
          <w:szCs w:val="24"/>
          <w:lang w:val="en-GB"/>
        </w:rPr>
        <w:t>Aust. Zool.</w:t>
      </w:r>
      <w:r>
        <w:rPr>
          <w:sz w:val="24"/>
          <w:szCs w:val="24"/>
          <w:lang w:val="en-GB"/>
        </w:rPr>
        <w:t xml:space="preserve"> </w:t>
      </w:r>
      <w:r>
        <w:rPr>
          <w:b/>
          <w:sz w:val="24"/>
          <w:szCs w:val="24"/>
          <w:lang w:val="en-GB"/>
        </w:rPr>
        <w:t>18</w:t>
      </w:r>
      <w:r>
        <w:rPr>
          <w:sz w:val="24"/>
          <w:szCs w:val="24"/>
          <w:lang w:val="en-GB"/>
        </w:rPr>
        <w:t>: 1-14.</w:t>
      </w:r>
    </w:p>
    <w:p w:rsidR="001D2768" w:rsidRDefault="001D2768">
      <w:pPr>
        <w:widowControl/>
        <w:spacing w:after="120"/>
        <w:rPr>
          <w:sz w:val="24"/>
          <w:szCs w:val="24"/>
          <w:lang w:val="en-GB"/>
        </w:rPr>
      </w:pPr>
      <w:r>
        <w:rPr>
          <w:b/>
          <w:sz w:val="24"/>
          <w:szCs w:val="24"/>
          <w:lang w:val="en-GB"/>
        </w:rPr>
        <w:t>Rounsevell, D. E., Taylor, R.J. and Hocking, G.J. (1991).</w:t>
      </w:r>
      <w:r>
        <w:rPr>
          <w:sz w:val="24"/>
          <w:szCs w:val="24"/>
          <w:lang w:val="en-GB"/>
        </w:rPr>
        <w:t xml:space="preserve"> Distribution records of native terrestrial Mammals in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w:t>
      </w:r>
      <w:r>
        <w:rPr>
          <w:i/>
          <w:sz w:val="24"/>
          <w:szCs w:val="24"/>
          <w:lang w:val="en-GB"/>
        </w:rPr>
        <w:t xml:space="preserve">Wildlife Research </w:t>
      </w:r>
      <w:r>
        <w:rPr>
          <w:b/>
          <w:i/>
          <w:sz w:val="24"/>
          <w:szCs w:val="24"/>
          <w:lang w:val="en-GB"/>
        </w:rPr>
        <w:t>18</w:t>
      </w:r>
      <w:r>
        <w:rPr>
          <w:i/>
          <w:sz w:val="24"/>
          <w:szCs w:val="24"/>
          <w:lang w:val="en-GB"/>
        </w:rPr>
        <w:t>:699-717.</w:t>
      </w:r>
    </w:p>
    <w:sectPr w:rsidR="001D2768">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953" w:right="1134" w:bottom="1304" w:left="1134" w:header="567" w:footer="482" w:gutter="567"/>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5A5" w:rsidRDefault="000255A5">
      <w:pPr>
        <w:widowControl/>
      </w:pPr>
      <w:r>
        <w:separator/>
      </w:r>
    </w:p>
  </w:endnote>
  <w:endnote w:type="continuationSeparator" w:id="0">
    <w:p w:rsidR="000255A5" w:rsidRDefault="000255A5">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19" w:rsidRDefault="009475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A43" w:rsidRDefault="00C04A43">
    <w:pPr>
      <w:pStyle w:val="Footer"/>
      <w:framePr w:wrap="auto" w:vAnchor="text" w:hAnchor="margin" w:xAlign="right" w:y="1"/>
      <w:widowControl/>
      <w:rPr>
        <w:rStyle w:val="PageNumber"/>
      </w:rPr>
    </w:pPr>
    <w:r>
      <w:rPr>
        <w:rStyle w:val="PageNumber"/>
      </w:rPr>
      <w:fldChar w:fldCharType="begin"/>
    </w:r>
    <w:r>
      <w:rPr>
        <w:rStyle w:val="PageNumber"/>
      </w:rPr>
      <w:instrText xml:space="preserve">page  </w:instrText>
    </w:r>
    <w:r>
      <w:rPr>
        <w:rStyle w:val="PageNumber"/>
      </w:rPr>
      <w:fldChar w:fldCharType="separate"/>
    </w:r>
    <w:r w:rsidR="00947519">
      <w:rPr>
        <w:rStyle w:val="PageNumber"/>
        <w:noProof/>
      </w:rPr>
      <w:t>1</w:t>
    </w:r>
    <w:r>
      <w:rPr>
        <w:rStyle w:val="PageNumber"/>
      </w:rPr>
      <w:fldChar w:fldCharType="end"/>
    </w:r>
  </w:p>
  <w:p w:rsidR="00C04A43" w:rsidRDefault="00C04A43">
    <w:pPr>
      <w:pStyle w:val="Footer"/>
      <w:widowContr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19" w:rsidRDefault="00947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5A5" w:rsidRDefault="000255A5">
      <w:pPr>
        <w:widowControl/>
      </w:pPr>
      <w:r>
        <w:separator/>
      </w:r>
    </w:p>
  </w:footnote>
  <w:footnote w:type="continuationSeparator" w:id="0">
    <w:p w:rsidR="000255A5" w:rsidRDefault="000255A5">
      <w:pPr>
        <w:widowContro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19" w:rsidRDefault="009475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19" w:rsidRDefault="009475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19" w:rsidRDefault="00947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720A8FE"/>
    <w:lvl w:ilvl="0">
      <w:numFmt w:val="bullet"/>
      <w:lvlText w:val="*"/>
      <w:lvlJc w:val="left"/>
    </w:lvl>
  </w:abstractNum>
  <w:abstractNum w:abstractNumId="1" w15:restartNumberingAfterBreak="0">
    <w:nsid w:val="10217FFD"/>
    <w:multiLevelType w:val="multilevel"/>
    <w:tmpl w:val="D19CE10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FE71B4"/>
    <w:multiLevelType w:val="singleLevel"/>
    <w:tmpl w:val="AE00DD9E"/>
    <w:lvl w:ilvl="0">
      <w:start w:val="5"/>
      <w:numFmt w:val="decimal"/>
      <w:lvlText w:val="%1. "/>
      <w:legacy w:legacy="1" w:legacySpace="0" w:legacyIndent="283"/>
      <w:lvlJc w:val="left"/>
      <w:pPr>
        <w:ind w:left="283" w:hanging="283"/>
      </w:pPr>
      <w:rPr>
        <w:b/>
        <w:sz w:val="28"/>
      </w:rPr>
    </w:lvl>
  </w:abstractNum>
  <w:abstractNum w:abstractNumId="3" w15:restartNumberingAfterBreak="0">
    <w:nsid w:val="4C910A09"/>
    <w:multiLevelType w:val="singleLevel"/>
    <w:tmpl w:val="334684EC"/>
    <w:lvl w:ilvl="0">
      <w:start w:val="3"/>
      <w:numFmt w:val="decimal"/>
      <w:lvlText w:val="%1. "/>
      <w:legacy w:legacy="1" w:legacySpace="0" w:legacyIndent="283"/>
      <w:lvlJc w:val="left"/>
      <w:pPr>
        <w:ind w:left="283" w:hanging="283"/>
      </w:pPr>
      <w:rPr>
        <w:b/>
        <w:sz w:val="28"/>
      </w:rPr>
    </w:lvl>
  </w:abstractNum>
  <w:abstractNum w:abstractNumId="4" w15:restartNumberingAfterBreak="0">
    <w:nsid w:val="4D656D34"/>
    <w:multiLevelType w:val="singleLevel"/>
    <w:tmpl w:val="43DE085C"/>
    <w:lvl w:ilvl="0">
      <w:start w:val="2"/>
      <w:numFmt w:val="decimal"/>
      <w:lvlText w:val="5.%1 "/>
      <w:legacy w:legacy="1" w:legacySpace="0" w:legacyIndent="283"/>
      <w:lvlJc w:val="left"/>
      <w:pPr>
        <w:ind w:left="283" w:hanging="283"/>
      </w:pPr>
      <w:rPr>
        <w:b/>
        <w:sz w:val="28"/>
      </w:rPr>
    </w:lvl>
  </w:abstractNum>
  <w:abstractNum w:abstractNumId="5" w15:restartNumberingAfterBreak="0">
    <w:nsid w:val="5DC75B6C"/>
    <w:multiLevelType w:val="singleLevel"/>
    <w:tmpl w:val="F65CD59A"/>
    <w:lvl w:ilvl="0">
      <w:start w:val="7"/>
      <w:numFmt w:val="decimal"/>
      <w:lvlText w:val="%1. "/>
      <w:legacy w:legacy="1" w:legacySpace="0" w:legacyIndent="283"/>
      <w:lvlJc w:val="left"/>
      <w:pPr>
        <w:ind w:left="850" w:hanging="283"/>
      </w:pPr>
      <w:rPr>
        <w:b/>
        <w:sz w:val="28"/>
      </w:rPr>
    </w:lvl>
  </w:abstractNum>
  <w:abstractNum w:abstractNumId="6" w15:restartNumberingAfterBreak="0">
    <w:nsid w:val="68A124AD"/>
    <w:multiLevelType w:val="hybridMultilevel"/>
    <w:tmpl w:val="7D8A9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EF4CE4"/>
    <w:multiLevelType w:val="singleLevel"/>
    <w:tmpl w:val="04660006"/>
    <w:lvl w:ilvl="0">
      <w:start w:val="1"/>
      <w:numFmt w:val="decimal"/>
      <w:lvlText w:val="3.%1 "/>
      <w:lvlJc w:val="left"/>
      <w:pPr>
        <w:tabs>
          <w:tab w:val="num" w:pos="0"/>
        </w:tabs>
        <w:ind w:left="283" w:hanging="283"/>
      </w:pPr>
      <w:rPr>
        <w:rFonts w:hint="default"/>
        <w:b/>
        <w:i w:val="0"/>
        <w:sz w:val="24"/>
      </w:rPr>
    </w:lvl>
  </w:abstractNum>
  <w:abstractNum w:abstractNumId="8" w15:restartNumberingAfterBreak="0">
    <w:nsid w:val="7571514B"/>
    <w:multiLevelType w:val="singleLevel"/>
    <w:tmpl w:val="CFC68034"/>
    <w:lvl w:ilvl="0">
      <w:start w:val="6"/>
      <w:numFmt w:val="decimal"/>
      <w:lvlText w:val="%1. "/>
      <w:legacy w:legacy="1" w:legacySpace="0" w:legacyIndent="283"/>
      <w:lvlJc w:val="left"/>
      <w:pPr>
        <w:ind w:left="283" w:hanging="283"/>
      </w:pPr>
      <w:rPr>
        <w:b/>
        <w:sz w:val="28"/>
      </w:rPr>
    </w:lvl>
  </w:abstractNum>
  <w:abstractNum w:abstractNumId="9" w15:restartNumberingAfterBreak="0">
    <w:nsid w:val="7B7177F8"/>
    <w:multiLevelType w:val="hybridMultilevel"/>
    <w:tmpl w:val="6D747A0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4"/>
  </w:num>
  <w:num w:numId="5">
    <w:abstractNumId w:val="8"/>
  </w:num>
  <w:num w:numId="6">
    <w:abstractNumId w:val="5"/>
  </w:num>
  <w:num w:numId="7">
    <w:abstractNumId w:val="0"/>
    <w:lvlOverride w:ilvl="0">
      <w:lvl w:ilvl="0">
        <w:start w:val="1"/>
        <w:numFmt w:val="bullet"/>
        <w:lvlText w:val="·"/>
        <w:legacy w:legacy="1" w:legacySpace="0" w:legacyIndent="360"/>
        <w:lvlJc w:val="left"/>
        <w:pPr>
          <w:ind w:left="360" w:hanging="360"/>
        </w:pPr>
        <w:rPr>
          <w:rFonts w:ascii="Helvetica" w:hAnsi="Helvetica" w:cs="Helvetica" w:hint="default"/>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283"/>
        <w:lvlJc w:val="left"/>
        <w:pPr>
          <w:ind w:left="283" w:hanging="283"/>
        </w:pPr>
        <w:rPr>
          <w:rFonts w:ascii="Wingdings" w:hAnsi="Wingdings" w:hint="default"/>
          <w:sz w:val="24"/>
        </w:rPr>
      </w:lvl>
    </w:lvlOverride>
  </w:num>
  <w:num w:numId="10">
    <w:abstractNumId w:val="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22"/>
    <w:rsid w:val="00023B4F"/>
    <w:rsid w:val="000255A5"/>
    <w:rsid w:val="00031B34"/>
    <w:rsid w:val="0004319B"/>
    <w:rsid w:val="00044AD6"/>
    <w:rsid w:val="00115B37"/>
    <w:rsid w:val="00137E54"/>
    <w:rsid w:val="00144D88"/>
    <w:rsid w:val="001633C5"/>
    <w:rsid w:val="00174154"/>
    <w:rsid w:val="00197ABA"/>
    <w:rsid w:val="001A43C1"/>
    <w:rsid w:val="001D11F2"/>
    <w:rsid w:val="001D2768"/>
    <w:rsid w:val="002541A8"/>
    <w:rsid w:val="0026426C"/>
    <w:rsid w:val="00266B07"/>
    <w:rsid w:val="002E758F"/>
    <w:rsid w:val="002F1036"/>
    <w:rsid w:val="002F3518"/>
    <w:rsid w:val="003128B8"/>
    <w:rsid w:val="003131A8"/>
    <w:rsid w:val="00336173"/>
    <w:rsid w:val="0034458F"/>
    <w:rsid w:val="00346470"/>
    <w:rsid w:val="0035263E"/>
    <w:rsid w:val="00353A31"/>
    <w:rsid w:val="00387272"/>
    <w:rsid w:val="003D4A6A"/>
    <w:rsid w:val="003D53DF"/>
    <w:rsid w:val="003E3780"/>
    <w:rsid w:val="003F6819"/>
    <w:rsid w:val="0040271C"/>
    <w:rsid w:val="00407760"/>
    <w:rsid w:val="00414616"/>
    <w:rsid w:val="00416286"/>
    <w:rsid w:val="004257C5"/>
    <w:rsid w:val="00473B9B"/>
    <w:rsid w:val="00487F4C"/>
    <w:rsid w:val="004E0E09"/>
    <w:rsid w:val="004E1C31"/>
    <w:rsid w:val="004E24DC"/>
    <w:rsid w:val="00557494"/>
    <w:rsid w:val="00571384"/>
    <w:rsid w:val="005A6ADB"/>
    <w:rsid w:val="005B75A4"/>
    <w:rsid w:val="005C033D"/>
    <w:rsid w:val="005E22D5"/>
    <w:rsid w:val="0061629C"/>
    <w:rsid w:val="00617F92"/>
    <w:rsid w:val="00617FD3"/>
    <w:rsid w:val="006538B4"/>
    <w:rsid w:val="00656966"/>
    <w:rsid w:val="00685490"/>
    <w:rsid w:val="006D0DB7"/>
    <w:rsid w:val="006D6393"/>
    <w:rsid w:val="006F2263"/>
    <w:rsid w:val="00736F01"/>
    <w:rsid w:val="00763F31"/>
    <w:rsid w:val="00786BB2"/>
    <w:rsid w:val="007A6FEC"/>
    <w:rsid w:val="007F0799"/>
    <w:rsid w:val="00865080"/>
    <w:rsid w:val="008B217B"/>
    <w:rsid w:val="008B34C8"/>
    <w:rsid w:val="008B77D1"/>
    <w:rsid w:val="008C14F3"/>
    <w:rsid w:val="008E34F2"/>
    <w:rsid w:val="008F19C4"/>
    <w:rsid w:val="00923D22"/>
    <w:rsid w:val="009409C6"/>
    <w:rsid w:val="00944B2A"/>
    <w:rsid w:val="0094597B"/>
    <w:rsid w:val="00947519"/>
    <w:rsid w:val="009737E0"/>
    <w:rsid w:val="009804AF"/>
    <w:rsid w:val="009F3543"/>
    <w:rsid w:val="009F3A40"/>
    <w:rsid w:val="00A129F7"/>
    <w:rsid w:val="00A5498F"/>
    <w:rsid w:val="00A7476D"/>
    <w:rsid w:val="00A76DE8"/>
    <w:rsid w:val="00A87197"/>
    <w:rsid w:val="00A94E77"/>
    <w:rsid w:val="00AE5D99"/>
    <w:rsid w:val="00B42444"/>
    <w:rsid w:val="00B45F1D"/>
    <w:rsid w:val="00B70188"/>
    <w:rsid w:val="00B9507C"/>
    <w:rsid w:val="00B9545C"/>
    <w:rsid w:val="00BF73E8"/>
    <w:rsid w:val="00C04A43"/>
    <w:rsid w:val="00C10721"/>
    <w:rsid w:val="00C4230B"/>
    <w:rsid w:val="00C44DE8"/>
    <w:rsid w:val="00C9335C"/>
    <w:rsid w:val="00D34D82"/>
    <w:rsid w:val="00DC42F7"/>
    <w:rsid w:val="00DC4C3F"/>
    <w:rsid w:val="00E01AAF"/>
    <w:rsid w:val="00E760CB"/>
    <w:rsid w:val="00E8769B"/>
    <w:rsid w:val="00EE454D"/>
    <w:rsid w:val="00F33677"/>
    <w:rsid w:val="00F556AE"/>
    <w:rsid w:val="00FA28F7"/>
    <w:rsid w:val="00FB00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E7416E3-B9CE-4DD9-B19F-69F231A9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jc w:val="both"/>
      <w:textAlignment w:val="baseline"/>
    </w:pPr>
    <w:rPr>
      <w:lang w:val="en-US" w:eastAsia="en-US"/>
    </w:rPr>
  </w:style>
  <w:style w:type="paragraph" w:styleId="Heading1">
    <w:name w:val="heading 1"/>
    <w:basedOn w:val="Normal"/>
    <w:next w:val="Text"/>
    <w:qFormat/>
    <w:pPr>
      <w:keepNext/>
      <w:tabs>
        <w:tab w:val="left" w:pos="360"/>
      </w:tabs>
      <w:spacing w:before="240" w:after="240"/>
      <w:outlineLvl w:val="0"/>
    </w:pPr>
    <w:rPr>
      <w:rFonts w:ascii="Arial" w:hAnsi="Arial"/>
      <w:b/>
      <w:caps/>
      <w:kern w:val="28"/>
      <w:sz w:val="28"/>
    </w:rPr>
  </w:style>
  <w:style w:type="paragraph" w:styleId="Heading2">
    <w:name w:val="heading 2"/>
    <w:basedOn w:val="Normal"/>
    <w:next w:val="Text"/>
    <w:qFormat/>
    <w:pPr>
      <w:keepNext/>
      <w:tabs>
        <w:tab w:val="left" w:pos="720"/>
      </w:tabs>
      <w:spacing w:before="120" w:after="120"/>
      <w:outlineLvl w:val="1"/>
    </w:pPr>
    <w:rPr>
      <w:rFonts w:ascii="Arial" w:hAnsi="Arial"/>
      <w:b/>
      <w:sz w:val="22"/>
    </w:rPr>
  </w:style>
  <w:style w:type="paragraph" w:styleId="Heading3">
    <w:name w:val="heading 3"/>
    <w:basedOn w:val="Normal"/>
    <w:next w:val="Normal"/>
    <w:qFormat/>
    <w:pPr>
      <w:keepNext/>
      <w:tabs>
        <w:tab w:val="left" w:pos="0"/>
      </w:tabs>
      <w:spacing w:before="240" w:after="60"/>
      <w:outlineLvl w:val="2"/>
    </w:pPr>
    <w:rPr>
      <w:rFonts w:ascii="Arial" w:hAnsi="Arial"/>
      <w:sz w:val="24"/>
    </w:rPr>
  </w:style>
  <w:style w:type="paragraph" w:styleId="Heading4">
    <w:name w:val="heading 4"/>
    <w:basedOn w:val="Normal"/>
    <w:next w:val="Normal"/>
    <w:qFormat/>
    <w:pPr>
      <w:keepNext/>
      <w:tabs>
        <w:tab w:val="left" w:pos="0"/>
      </w:tabs>
      <w:spacing w:before="240" w:after="60"/>
      <w:outlineLvl w:val="3"/>
    </w:pPr>
    <w:rPr>
      <w:rFonts w:ascii="Arial" w:hAnsi="Arial"/>
      <w:b/>
      <w:sz w:val="28"/>
    </w:rPr>
  </w:style>
  <w:style w:type="paragraph" w:styleId="Heading8">
    <w:name w:val="heading 8"/>
    <w:basedOn w:val="Normal"/>
    <w:next w:val="Normal"/>
    <w:qFormat/>
    <w:pPr>
      <w:keepNext/>
      <w:ind w:left="567" w:right="-294"/>
      <w:jc w:val="center"/>
      <w:outlineLvl w:val="7"/>
    </w:pPr>
    <w:rPr>
      <w:rFonts w:ascii="Palatino" w:hAnsi="Palatino"/>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
    <w:name w:val="Text"/>
    <w:basedOn w:val="Normal"/>
    <w:pPr>
      <w:spacing w:before="120" w:after="120"/>
    </w:pPr>
    <w:rPr>
      <w:rFonts w:ascii="Garamond" w:hAnsi="Garamond"/>
      <w:sz w:val="24"/>
    </w:rPr>
  </w:style>
  <w:style w:type="paragraph" w:customStyle="1" w:styleId="Bullet">
    <w:name w:val="Bullet"/>
    <w:basedOn w:val="Text"/>
    <w:pPr>
      <w:tabs>
        <w:tab w:val="left" w:pos="360"/>
      </w:tabs>
      <w:spacing w:before="60" w:after="60"/>
      <w:ind w:left="360" w:right="-1" w:hanging="360"/>
    </w:pPr>
    <w:rPr>
      <w:b/>
    </w:rPr>
  </w:style>
  <w:style w:type="character" w:styleId="PageNumber">
    <w:name w:val="page number"/>
    <w:rPr>
      <w:rFonts w:ascii="Arial" w:hAnsi="Arial"/>
      <w:sz w:val="20"/>
    </w:rPr>
  </w:style>
  <w:style w:type="paragraph" w:customStyle="1" w:styleId="Appendix">
    <w:name w:val="Appendix"/>
    <w:basedOn w:val="Text"/>
    <w:next w:val="Text"/>
    <w:rPr>
      <w:rFonts w:ascii="Arial" w:hAnsi="Arial"/>
      <w:b/>
      <w:sz w:val="28"/>
    </w:rPr>
  </w:style>
  <w:style w:type="paragraph" w:styleId="PlainText">
    <w:name w:val="Plain Text"/>
    <w:basedOn w:val="Normal"/>
    <w:rPr>
      <w:rFonts w:ascii="Courier New" w:hAnsi="Courier New"/>
    </w:rPr>
  </w:style>
  <w:style w:type="paragraph" w:styleId="Footer">
    <w:name w:val="footer"/>
    <w:basedOn w:val="Normal"/>
    <w:pPr>
      <w:tabs>
        <w:tab w:val="center" w:pos="4153"/>
        <w:tab w:val="right" w:pos="8306"/>
      </w:tabs>
    </w:pPr>
    <w:rPr>
      <w:rFonts w:ascii="Garamond" w:hAnsi="Garamond"/>
      <w:i/>
      <w:sz w:val="16"/>
    </w:rPr>
  </w:style>
  <w:style w:type="paragraph" w:styleId="BodyText">
    <w:name w:val="Body Text"/>
    <w:basedOn w:val="Normal"/>
    <w:pPr>
      <w:ind w:right="23"/>
    </w:pPr>
    <w:rPr>
      <w:color w:val="000000"/>
      <w:sz w:val="24"/>
    </w:rPr>
  </w:style>
  <w:style w:type="paragraph" w:styleId="BodyText2">
    <w:name w:val="Body Text 2"/>
    <w:basedOn w:val="Normal"/>
    <w:rPr>
      <w:sz w:val="24"/>
    </w:rPr>
  </w:style>
  <w:style w:type="paragraph" w:styleId="BodyText3">
    <w:name w:val="Body Text 3"/>
    <w:basedOn w:val="Normal"/>
    <w:rPr>
      <w:sz w:val="24"/>
    </w:rPr>
  </w:style>
  <w:style w:type="character" w:styleId="CommentReference">
    <w:name w:val="annotation reference"/>
    <w:semiHidden/>
    <w:rPr>
      <w:sz w:val="16"/>
    </w:rPr>
  </w:style>
  <w:style w:type="paragraph" w:styleId="CommentText">
    <w:name w:val="annotation text"/>
    <w:basedOn w:val="Normal"/>
    <w:semiHidden/>
  </w:style>
  <w:style w:type="paragraph" w:styleId="FootnoteText">
    <w:name w:val="footnote text"/>
    <w:basedOn w:val="Normal"/>
    <w:semiHidden/>
  </w:style>
  <w:style w:type="character" w:styleId="FootnoteReference">
    <w:name w:val="footnote reference"/>
    <w:semiHidden/>
    <w:rPr>
      <w:sz w:val="20"/>
      <w:vertAlign w:val="superscript"/>
    </w:rPr>
  </w:style>
  <w:style w:type="paragraph" w:styleId="BalloonText">
    <w:name w:val="Balloon Text"/>
    <w:basedOn w:val="Normal"/>
    <w:rPr>
      <w:rFonts w:ascii="Tahoma" w:hAnsi="Tahoma"/>
      <w:sz w:val="16"/>
    </w:rPr>
  </w:style>
  <w:style w:type="paragraph" w:styleId="CommentSubject">
    <w:name w:val="annotation subject"/>
    <w:basedOn w:val="CommentText"/>
    <w:next w:val="CommentText"/>
    <w:semiHidden/>
    <w:rPr>
      <w:b/>
      <w:bCs/>
    </w:rPr>
  </w:style>
  <w:style w:type="paragraph" w:styleId="Header">
    <w:name w:val="header"/>
    <w:basedOn w:val="Normal"/>
    <w:pPr>
      <w:tabs>
        <w:tab w:val="center" w:pos="4153"/>
        <w:tab w:val="right" w:pos="8306"/>
      </w:tabs>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oleObject" Target="file:///\\internal.dtpha.tas.gov.au\grp\NCH\WMB\Monitoring%20and%20Mgmt\WWM_Shared\SPOTLIGHT%20SURVEYS\SPOTLIGHT%20GRAPHS\state_regional%20densities_BrP_BeW_TaP_%202002%20onward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internal.dtpha.tas.gov.au\grp\NCH\WMB\Monitoring%20and%20Mgmt\WWM_Shared\SPOTLIGHT%20SURVEYS\SPOTLIGHT%20GRAPHS\state_regional%20densities_BrP_BeW_TaP_%202002%20onwards.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[state_regional densities_BrP_BeW_TaP_ 2002 onwards.xlsx]Statewide Paddy!PivotTable3</c:name>
    <c:fmtId val="-1"/>
  </c:pivotSource>
  <c:chart>
    <c:title>
      <c:tx>
        <c:rich>
          <a:bodyPr/>
          <a:lstStyle/>
          <a:p>
            <a:pPr algn="l">
              <a:defRPr/>
            </a:pPr>
            <a:r>
              <a:rPr lang="en-US" sz="900"/>
              <a:t>Tas Pademelon</a:t>
            </a:r>
          </a:p>
          <a:p>
            <a:pPr algn="l">
              <a:defRPr/>
            </a:pPr>
            <a:r>
              <a:rPr lang="en-US" sz="900"/>
              <a:t>Annual mainland density estimate</a:t>
            </a:r>
          </a:p>
          <a:p>
            <a:pPr algn="l">
              <a:defRPr/>
            </a:pPr>
            <a:r>
              <a:rPr lang="en-US" sz="900"/>
              <a:t>Tasmania</a:t>
            </a:r>
          </a:p>
        </c:rich>
      </c:tx>
      <c:layout>
        <c:manualLayout>
          <c:xMode val="edge"/>
          <c:yMode val="edge"/>
          <c:x val="0.61366666666666669"/>
          <c:y val="4.1666666666666664E-2"/>
        </c:manualLayout>
      </c:layout>
      <c:overlay val="1"/>
    </c:title>
    <c:autoTitleDeleted val="0"/>
    <c:pivotFmts>
      <c:pivotFmt>
        <c:idx val="0"/>
        <c:spPr>
          <a:ln>
            <a:solidFill>
              <a:sysClr val="windowText" lastClr="000000"/>
            </a:solidFill>
          </a:ln>
        </c:spPr>
        <c:marker>
          <c:spPr>
            <a:solidFill>
              <a:sysClr val="windowText" lastClr="000000"/>
            </a:solidFill>
            <a:ln>
              <a:solidFill>
                <a:sysClr val="windowText" lastClr="000000"/>
              </a:solidFill>
            </a:ln>
          </c:spPr>
        </c:marker>
      </c:pivotFmt>
      <c:pivotFmt>
        <c:idx val="1"/>
        <c:spPr>
          <a:ln>
            <a:solidFill>
              <a:sysClr val="windowText" lastClr="000000"/>
            </a:solidFill>
            <a:prstDash val="sysDash"/>
          </a:ln>
        </c:spPr>
        <c:marker>
          <c:symbol val="none"/>
        </c:marker>
      </c:pivotFmt>
      <c:pivotFmt>
        <c:idx val="2"/>
        <c:spPr>
          <a:ln>
            <a:solidFill>
              <a:sysClr val="windowText" lastClr="000000"/>
            </a:solidFill>
            <a:prstDash val="sysDash"/>
          </a:ln>
        </c:spPr>
        <c:marker>
          <c:symbol val="none"/>
        </c:marker>
      </c:pivotFmt>
      <c:pivotFmt>
        <c:idx val="3"/>
        <c:spPr>
          <a:ln>
            <a:solidFill>
              <a:sysClr val="windowText" lastClr="000000"/>
            </a:solidFill>
          </a:ln>
        </c:spPr>
        <c:marker>
          <c:spPr>
            <a:solidFill>
              <a:sysClr val="windowText" lastClr="000000"/>
            </a:solidFill>
            <a:ln>
              <a:solidFill>
                <a:sysClr val="windowText" lastClr="000000"/>
              </a:solidFill>
            </a:ln>
          </c:spPr>
        </c:marker>
      </c:pivotFmt>
      <c:pivotFmt>
        <c:idx val="4"/>
        <c:spPr>
          <a:ln>
            <a:solidFill>
              <a:sysClr val="windowText" lastClr="000000"/>
            </a:solidFill>
            <a:prstDash val="sysDash"/>
          </a:ln>
        </c:spPr>
        <c:marker>
          <c:symbol val="none"/>
        </c:marker>
      </c:pivotFmt>
      <c:pivotFmt>
        <c:idx val="5"/>
        <c:spPr>
          <a:ln>
            <a:solidFill>
              <a:sysClr val="windowText" lastClr="000000"/>
            </a:solidFill>
            <a:prstDash val="sysDash"/>
          </a:ln>
        </c:spPr>
        <c:marker>
          <c:symbol val="none"/>
        </c:marker>
      </c:pivotFmt>
      <c:pivotFmt>
        <c:idx val="6"/>
        <c:spPr>
          <a:ln>
            <a:solidFill>
              <a:sysClr val="windowText" lastClr="000000"/>
            </a:solidFill>
          </a:ln>
        </c:spPr>
        <c:marker>
          <c:spPr>
            <a:solidFill>
              <a:sysClr val="windowText" lastClr="000000"/>
            </a:solidFill>
            <a:ln>
              <a:solidFill>
                <a:sysClr val="windowText" lastClr="000000"/>
              </a:solidFill>
            </a:ln>
          </c:spPr>
        </c:marker>
      </c:pivotFmt>
      <c:pivotFmt>
        <c:idx val="7"/>
        <c:spPr>
          <a:ln>
            <a:solidFill>
              <a:sysClr val="windowText" lastClr="000000"/>
            </a:solidFill>
            <a:prstDash val="sysDash"/>
          </a:ln>
        </c:spPr>
        <c:marker>
          <c:symbol val="none"/>
        </c:marker>
      </c:pivotFmt>
      <c:pivotFmt>
        <c:idx val="8"/>
        <c:spPr>
          <a:ln>
            <a:solidFill>
              <a:sysClr val="windowText" lastClr="000000"/>
            </a:solidFill>
            <a:prstDash val="sysDash"/>
          </a:ln>
        </c:spPr>
        <c:marker>
          <c:symbol val="none"/>
        </c:marker>
      </c:pivotFmt>
    </c:pivotFmts>
    <c:plotArea>
      <c:layout>
        <c:manualLayout>
          <c:layoutTarget val="inner"/>
          <c:xMode val="edge"/>
          <c:yMode val="edge"/>
          <c:x val="0.14497462817147858"/>
          <c:y val="5.1400554097404488E-2"/>
          <c:w val="0.82446981627296589"/>
          <c:h val="0.78278032954214061"/>
        </c:manualLayout>
      </c:layout>
      <c:lineChart>
        <c:grouping val="standard"/>
        <c:varyColors val="0"/>
        <c:ser>
          <c:idx val="0"/>
          <c:order val="0"/>
          <c:tx>
            <c:strRef>
              <c:f>'Statewide Paddy'!$B$3:$B$4</c:f>
              <c:strCache>
                <c:ptCount val="1"/>
                <c:pt idx="0">
                  <c:v>Average of Tas. Pademelon</c:v>
                </c:pt>
              </c:strCache>
            </c:strRef>
          </c:tx>
          <c:spPr>
            <a:ln>
              <a:solidFill>
                <a:sysClr val="windowText" lastClr="000000"/>
              </a:solidFill>
            </a:ln>
          </c:spPr>
          <c:marker>
            <c:spPr>
              <a:solidFill>
                <a:sysClr val="windowText" lastClr="000000"/>
              </a:solidFill>
              <a:ln>
                <a:solidFill>
                  <a:sysClr val="windowText" lastClr="000000"/>
                </a:solidFill>
              </a:ln>
            </c:spPr>
          </c:marker>
          <c:trendline>
            <c:trendlineType val="linear"/>
            <c:dispRSqr val="0"/>
            <c:dispEq val="0"/>
          </c:trendline>
          <c:cat>
            <c:strRef>
              <c:f>'Statewide Paddy'!$A$5:$A$22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Paddy'!$B$5:$B$22</c:f>
              <c:numCache>
                <c:formatCode>General</c:formatCode>
                <c:ptCount val="17"/>
                <c:pt idx="0">
                  <c:v>59.1</c:v>
                </c:pt>
                <c:pt idx="1">
                  <c:v>57.14</c:v>
                </c:pt>
                <c:pt idx="2">
                  <c:v>55.740000000000009</c:v>
                </c:pt>
                <c:pt idx="3">
                  <c:v>79.360000000000014</c:v>
                </c:pt>
                <c:pt idx="4">
                  <c:v>64.529199999999989</c:v>
                </c:pt>
                <c:pt idx="5">
                  <c:v>68.42</c:v>
                </c:pt>
                <c:pt idx="6">
                  <c:v>104</c:v>
                </c:pt>
                <c:pt idx="7">
                  <c:v>58.6</c:v>
                </c:pt>
                <c:pt idx="8">
                  <c:v>46.52</c:v>
                </c:pt>
                <c:pt idx="9">
                  <c:v>57.7</c:v>
                </c:pt>
                <c:pt idx="10">
                  <c:v>70.951400000000007</c:v>
                </c:pt>
                <c:pt idx="11">
                  <c:v>80.280799999999999</c:v>
                </c:pt>
                <c:pt idx="12">
                  <c:v>66.591200000000001</c:v>
                </c:pt>
                <c:pt idx="13">
                  <c:v>99.658500000000004</c:v>
                </c:pt>
                <c:pt idx="14">
                  <c:v>75.501750000000001</c:v>
                </c:pt>
                <c:pt idx="15">
                  <c:v>61.283999999999999</c:v>
                </c:pt>
                <c:pt idx="16">
                  <c:v>48.171999999999997</c:v>
                </c:pt>
              </c:numCache>
            </c:numRef>
          </c:val>
          <c:smooth val="1"/>
          <c:extLst xmlns:c16r2="http://schemas.microsoft.com/office/drawing/2015/06/chart">
            <c:ext xmlns:c16="http://schemas.microsoft.com/office/drawing/2014/chart" uri="{C3380CC4-5D6E-409C-BE32-E72D297353CC}">
              <c16:uniqueId val="{00000000-F866-4419-8E82-D6AFBE44F234}"/>
            </c:ext>
          </c:extLst>
        </c:ser>
        <c:ser>
          <c:idx val="1"/>
          <c:order val="1"/>
          <c:tx>
            <c:strRef>
              <c:f>'Statewide Paddy'!$C$3:$C$4</c:f>
              <c:strCache>
                <c:ptCount val="1"/>
                <c:pt idx="0">
                  <c:v>Average of LCL</c:v>
                </c:pt>
              </c:strCache>
            </c:strRef>
          </c:tx>
          <c:spPr>
            <a:ln>
              <a:solidFill>
                <a:sysClr val="windowText" lastClr="000000"/>
              </a:solidFill>
              <a:prstDash val="sysDash"/>
            </a:ln>
          </c:spPr>
          <c:marker>
            <c:symbol val="none"/>
          </c:marker>
          <c:cat>
            <c:strRef>
              <c:f>'Statewide Paddy'!$A$5:$A$22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Paddy'!$C$5:$C$22</c:f>
              <c:numCache>
                <c:formatCode>General</c:formatCode>
                <c:ptCount val="17"/>
                <c:pt idx="0">
                  <c:v>37.600000000000009</c:v>
                </c:pt>
                <c:pt idx="1">
                  <c:v>38.300800000000002</c:v>
                </c:pt>
                <c:pt idx="2">
                  <c:v>34.359200000000001</c:v>
                </c:pt>
                <c:pt idx="3">
                  <c:v>54.582599999999999</c:v>
                </c:pt>
                <c:pt idx="4">
                  <c:v>41.8874</c:v>
                </c:pt>
                <c:pt idx="5">
                  <c:v>44.690600000000003</c:v>
                </c:pt>
                <c:pt idx="6">
                  <c:v>54.060999999999993</c:v>
                </c:pt>
                <c:pt idx="7">
                  <c:v>37.1</c:v>
                </c:pt>
                <c:pt idx="8">
                  <c:v>28.439999999999998</c:v>
                </c:pt>
                <c:pt idx="9">
                  <c:v>36.9</c:v>
                </c:pt>
                <c:pt idx="10">
                  <c:v>42.786199999999994</c:v>
                </c:pt>
                <c:pt idx="11">
                  <c:v>54.173799999999993</c:v>
                </c:pt>
                <c:pt idx="12">
                  <c:v>44.185020000000002</c:v>
                </c:pt>
                <c:pt idx="13">
                  <c:v>67.08574999999999</c:v>
                </c:pt>
                <c:pt idx="14">
                  <c:v>46.079549999999998</c:v>
                </c:pt>
                <c:pt idx="15">
                  <c:v>40.313749999999999</c:v>
                </c:pt>
                <c:pt idx="16">
                  <c:v>30.589749999999995</c:v>
                </c:pt>
              </c:numCache>
            </c:numRef>
          </c:val>
          <c:smooth val="1"/>
          <c:extLst xmlns:c16r2="http://schemas.microsoft.com/office/drawing/2015/06/chart">
            <c:ext xmlns:c16="http://schemas.microsoft.com/office/drawing/2014/chart" uri="{C3380CC4-5D6E-409C-BE32-E72D297353CC}">
              <c16:uniqueId val="{00000001-F866-4419-8E82-D6AFBE44F234}"/>
            </c:ext>
          </c:extLst>
        </c:ser>
        <c:ser>
          <c:idx val="2"/>
          <c:order val="2"/>
          <c:tx>
            <c:strRef>
              <c:f>'Statewide Paddy'!$D$3:$D$4</c:f>
              <c:strCache>
                <c:ptCount val="1"/>
                <c:pt idx="0">
                  <c:v>Average of UCL</c:v>
                </c:pt>
              </c:strCache>
            </c:strRef>
          </c:tx>
          <c:spPr>
            <a:ln>
              <a:solidFill>
                <a:sysClr val="windowText" lastClr="000000"/>
              </a:solidFill>
              <a:prstDash val="sysDash"/>
            </a:ln>
          </c:spPr>
          <c:marker>
            <c:symbol val="none"/>
          </c:marker>
          <c:cat>
            <c:strRef>
              <c:f>'Statewide Paddy'!$A$5:$A$22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Paddy'!$D$5:$D$22</c:f>
              <c:numCache>
                <c:formatCode>General</c:formatCode>
                <c:ptCount val="17"/>
                <c:pt idx="0">
                  <c:v>94.539999999999992</c:v>
                </c:pt>
                <c:pt idx="1">
                  <c:v>85.486400000000003</c:v>
                </c:pt>
                <c:pt idx="2">
                  <c:v>91.397199999999998</c:v>
                </c:pt>
                <c:pt idx="3">
                  <c:v>117.32579999999999</c:v>
                </c:pt>
                <c:pt idx="4">
                  <c:v>101.29900000000001</c:v>
                </c:pt>
                <c:pt idx="5">
                  <c:v>105.476</c:v>
                </c:pt>
                <c:pt idx="6">
                  <c:v>217.18779999999998</c:v>
                </c:pt>
                <c:pt idx="7">
                  <c:v>92.9</c:v>
                </c:pt>
                <c:pt idx="8">
                  <c:v>77.22</c:v>
                </c:pt>
                <c:pt idx="9">
                  <c:v>90.759999999999991</c:v>
                </c:pt>
                <c:pt idx="10">
                  <c:v>121.47040000000001</c:v>
                </c:pt>
                <c:pt idx="11">
                  <c:v>119.76680000000002</c:v>
                </c:pt>
                <c:pt idx="12">
                  <c:v>103.50460000000001</c:v>
                </c:pt>
                <c:pt idx="13">
                  <c:v>148.76049999999998</c:v>
                </c:pt>
                <c:pt idx="14">
                  <c:v>124.75274999999999</c:v>
                </c:pt>
                <c:pt idx="15">
                  <c:v>93.914249999999996</c:v>
                </c:pt>
                <c:pt idx="16">
                  <c:v>76.209000000000003</c:v>
                </c:pt>
              </c:numCache>
            </c:numRef>
          </c:val>
          <c:smooth val="1"/>
          <c:extLst xmlns:c16r2="http://schemas.microsoft.com/office/drawing/2015/06/chart">
            <c:ext xmlns:c16="http://schemas.microsoft.com/office/drawing/2014/chart" uri="{C3380CC4-5D6E-409C-BE32-E72D297353CC}">
              <c16:uniqueId val="{00000002-F866-4419-8E82-D6AFBE44F234}"/>
            </c:ext>
          </c:extLst>
        </c:ser>
        <c:dLbls>
          <c:showLegendKey val="0"/>
          <c:showVal val="0"/>
          <c:showCatName val="0"/>
          <c:showSerName val="0"/>
          <c:showPercent val="0"/>
          <c:showBubbleSize val="0"/>
        </c:dLbls>
        <c:marker val="1"/>
        <c:smooth val="0"/>
        <c:axId val="465984424"/>
        <c:axId val="465984032"/>
      </c:lineChart>
      <c:catAx>
        <c:axId val="465984424"/>
        <c:scaling>
          <c:orientation val="minMax"/>
        </c:scaling>
        <c:delete val="0"/>
        <c:axPos val="b"/>
        <c:numFmt formatCode="General" sourceLinked="0"/>
        <c:majorTickMark val="out"/>
        <c:minorTickMark val="none"/>
        <c:tickLblPos val="nextTo"/>
        <c:crossAx val="465984032"/>
        <c:crosses val="autoZero"/>
        <c:auto val="1"/>
        <c:lblAlgn val="ctr"/>
        <c:lblOffset val="100"/>
        <c:noMultiLvlLbl val="0"/>
      </c:catAx>
      <c:valAx>
        <c:axId val="465984032"/>
        <c:scaling>
          <c:orientation val="minMax"/>
        </c:scaling>
        <c:delete val="0"/>
        <c:axPos val="l"/>
        <c:title>
          <c:tx>
            <c:rich>
              <a:bodyPr rot="-5400000" vert="horz"/>
              <a:lstStyle/>
              <a:p>
                <a:pPr>
                  <a:defRPr/>
                </a:pPr>
                <a:r>
                  <a:rPr lang="en-US"/>
                  <a:t>Wallabies per sq. km</a:t>
                </a:r>
              </a:p>
            </c:rich>
          </c:tx>
          <c:layout>
            <c:manualLayout>
              <c:xMode val="edge"/>
              <c:yMode val="edge"/>
              <c:x val="1.6666666666666698E-2"/>
              <c:y val="0.34571959755030635"/>
            </c:manualLayout>
          </c:layout>
          <c:overlay val="0"/>
        </c:title>
        <c:numFmt formatCode="General" sourceLinked="1"/>
        <c:majorTickMark val="out"/>
        <c:minorTickMark val="none"/>
        <c:tickLblPos val="nextTo"/>
        <c:crossAx val="46598442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[state_regional densities_BrP_BeW_TaP_ 2002 onwards.xlsx]Statewide Bennetts!PivotTable2</c:name>
    <c:fmtId val="-1"/>
  </c:pivotSource>
  <c:chart>
    <c:title>
      <c:tx>
        <c:rich>
          <a:bodyPr/>
          <a:lstStyle/>
          <a:p>
            <a:pPr algn="r">
              <a:defRPr/>
            </a:pPr>
            <a:r>
              <a:rPr lang="en-US" sz="900"/>
              <a:t>Bennetts wallaby</a:t>
            </a:r>
          </a:p>
          <a:p>
            <a:pPr algn="r">
              <a:defRPr/>
            </a:pPr>
            <a:r>
              <a:rPr lang="en-US" sz="900"/>
              <a:t>Annual mainland density estimate, Tasmania</a:t>
            </a:r>
          </a:p>
        </c:rich>
      </c:tx>
      <c:layout>
        <c:manualLayout>
          <c:xMode val="edge"/>
          <c:yMode val="edge"/>
          <c:x val="0.39979035809051339"/>
          <c:y val="3.7037037037037035E-2"/>
        </c:manualLayout>
      </c:layout>
      <c:overlay val="1"/>
    </c:title>
    <c:autoTitleDeleted val="0"/>
    <c:pivotFmts>
      <c:pivotFmt>
        <c:idx val="0"/>
        <c:spPr>
          <a:ln>
            <a:solidFill>
              <a:sysClr val="windowText" lastClr="000000"/>
            </a:solidFill>
          </a:ln>
        </c:spPr>
        <c:marker>
          <c:spPr>
            <a:solidFill>
              <a:sysClr val="windowText" lastClr="000000"/>
            </a:solidFill>
            <a:ln>
              <a:solidFill>
                <a:sysClr val="windowText" lastClr="000000"/>
              </a:solidFill>
            </a:ln>
          </c:spPr>
        </c:marker>
      </c:pivotFmt>
      <c:pivotFmt>
        <c:idx val="1"/>
        <c:spPr>
          <a:ln>
            <a:solidFill>
              <a:sysClr val="windowText" lastClr="000000"/>
            </a:solidFill>
            <a:prstDash val="sysDash"/>
          </a:ln>
        </c:spPr>
        <c:marker>
          <c:symbol val="none"/>
        </c:marker>
      </c:pivotFmt>
      <c:pivotFmt>
        <c:idx val="2"/>
        <c:spPr>
          <a:ln>
            <a:solidFill>
              <a:sysClr val="windowText" lastClr="000000"/>
            </a:solidFill>
            <a:prstDash val="sysDash"/>
          </a:ln>
        </c:spPr>
        <c:marker>
          <c:symbol val="none"/>
        </c:marker>
      </c:pivotFmt>
      <c:pivotFmt>
        <c:idx val="3"/>
        <c:spPr>
          <a:ln>
            <a:solidFill>
              <a:sysClr val="windowText" lastClr="000000"/>
            </a:solidFill>
          </a:ln>
        </c:spPr>
        <c:marker>
          <c:spPr>
            <a:solidFill>
              <a:sysClr val="windowText" lastClr="000000"/>
            </a:solidFill>
            <a:ln>
              <a:solidFill>
                <a:sysClr val="windowText" lastClr="000000"/>
              </a:solidFill>
            </a:ln>
          </c:spPr>
        </c:marker>
      </c:pivotFmt>
      <c:pivotFmt>
        <c:idx val="4"/>
        <c:spPr>
          <a:ln>
            <a:solidFill>
              <a:sysClr val="windowText" lastClr="000000"/>
            </a:solidFill>
            <a:prstDash val="sysDash"/>
          </a:ln>
        </c:spPr>
        <c:marker>
          <c:symbol val="none"/>
        </c:marker>
      </c:pivotFmt>
      <c:pivotFmt>
        <c:idx val="5"/>
        <c:spPr>
          <a:ln>
            <a:solidFill>
              <a:sysClr val="windowText" lastClr="000000"/>
            </a:solidFill>
            <a:prstDash val="sysDash"/>
          </a:ln>
        </c:spPr>
        <c:marker>
          <c:symbol val="none"/>
        </c:marker>
      </c:pivotFmt>
      <c:pivotFmt>
        <c:idx val="6"/>
        <c:spPr>
          <a:ln>
            <a:solidFill>
              <a:sysClr val="windowText" lastClr="000000"/>
            </a:solidFill>
          </a:ln>
        </c:spPr>
        <c:marker>
          <c:spPr>
            <a:solidFill>
              <a:sysClr val="windowText" lastClr="000000"/>
            </a:solidFill>
            <a:ln>
              <a:solidFill>
                <a:sysClr val="windowText" lastClr="000000"/>
              </a:solidFill>
            </a:ln>
          </c:spPr>
        </c:marker>
      </c:pivotFmt>
      <c:pivotFmt>
        <c:idx val="7"/>
        <c:spPr>
          <a:ln>
            <a:solidFill>
              <a:sysClr val="windowText" lastClr="000000"/>
            </a:solidFill>
            <a:prstDash val="sysDash"/>
          </a:ln>
        </c:spPr>
        <c:marker>
          <c:symbol val="none"/>
        </c:marker>
      </c:pivotFmt>
      <c:pivotFmt>
        <c:idx val="8"/>
        <c:spPr>
          <a:ln>
            <a:solidFill>
              <a:sysClr val="windowText" lastClr="000000"/>
            </a:solidFill>
            <a:prstDash val="sysDash"/>
          </a:ln>
        </c:spPr>
        <c:marker>
          <c:symbol val="none"/>
        </c:marker>
      </c:pivotFmt>
    </c:pivotFmts>
    <c:plotArea>
      <c:layout/>
      <c:lineChart>
        <c:grouping val="standard"/>
        <c:varyColors val="0"/>
        <c:ser>
          <c:idx val="0"/>
          <c:order val="0"/>
          <c:tx>
            <c:strRef>
              <c:f>'Statewide Bennetts'!$B$3:$B$4</c:f>
              <c:strCache>
                <c:ptCount val="1"/>
                <c:pt idx="0">
                  <c:v>Average of Bennett's Wallaby</c:v>
                </c:pt>
              </c:strCache>
            </c:strRef>
          </c:tx>
          <c:spPr>
            <a:ln>
              <a:solidFill>
                <a:sysClr val="windowText" lastClr="000000"/>
              </a:solidFill>
            </a:ln>
          </c:spPr>
          <c:marker>
            <c:spPr>
              <a:solidFill>
                <a:sysClr val="windowText" lastClr="000000"/>
              </a:solidFill>
              <a:ln>
                <a:solidFill>
                  <a:sysClr val="windowText" lastClr="000000"/>
                </a:solidFill>
              </a:ln>
            </c:spPr>
          </c:marker>
          <c:trendline>
            <c:trendlineType val="linear"/>
            <c:dispRSqr val="0"/>
            <c:dispEq val="0"/>
          </c:trendline>
          <c:cat>
            <c:strRef>
              <c:f>'Statewide Bennetts'!$A$5:$A$22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Bennetts'!$B$5:$B$22</c:f>
              <c:numCache>
                <c:formatCode>General</c:formatCode>
                <c:ptCount val="17"/>
                <c:pt idx="0">
                  <c:v>21.62</c:v>
                </c:pt>
                <c:pt idx="1">
                  <c:v>20.720000000000002</c:v>
                </c:pt>
                <c:pt idx="2">
                  <c:v>26.959999999999997</c:v>
                </c:pt>
                <c:pt idx="3">
                  <c:v>44.16</c:v>
                </c:pt>
                <c:pt idx="4">
                  <c:v>33.14</c:v>
                </c:pt>
                <c:pt idx="5">
                  <c:v>29.22</c:v>
                </c:pt>
                <c:pt idx="6">
                  <c:v>23.259999999999998</c:v>
                </c:pt>
                <c:pt idx="7">
                  <c:v>22.8</c:v>
                </c:pt>
                <c:pt idx="8">
                  <c:v>21.7</c:v>
                </c:pt>
                <c:pt idx="9">
                  <c:v>26.360000000000003</c:v>
                </c:pt>
                <c:pt idx="10">
                  <c:v>33.824599999999997</c:v>
                </c:pt>
                <c:pt idx="11">
                  <c:v>28.179000000000002</c:v>
                </c:pt>
                <c:pt idx="12">
                  <c:v>38.821739999999998</c:v>
                </c:pt>
                <c:pt idx="13">
                  <c:v>61.642249999999997</c:v>
                </c:pt>
                <c:pt idx="14">
                  <c:v>30.396749999999997</c:v>
                </c:pt>
                <c:pt idx="15">
                  <c:v>39.618499999999997</c:v>
                </c:pt>
                <c:pt idx="16">
                  <c:v>31.937999999999995</c:v>
                </c:pt>
              </c:numCache>
            </c:numRef>
          </c:val>
          <c:smooth val="1"/>
          <c:extLst xmlns:c16r2="http://schemas.microsoft.com/office/drawing/2015/06/chart">
            <c:ext xmlns:c16="http://schemas.microsoft.com/office/drawing/2014/chart" uri="{C3380CC4-5D6E-409C-BE32-E72D297353CC}">
              <c16:uniqueId val="{00000000-24E0-4086-990D-C100856F8FA7}"/>
            </c:ext>
          </c:extLst>
        </c:ser>
        <c:ser>
          <c:idx val="1"/>
          <c:order val="1"/>
          <c:tx>
            <c:strRef>
              <c:f>'Statewide Bennetts'!$C$3:$C$4</c:f>
              <c:strCache>
                <c:ptCount val="1"/>
                <c:pt idx="0">
                  <c:v>Average of LCL</c:v>
                </c:pt>
              </c:strCache>
            </c:strRef>
          </c:tx>
          <c:spPr>
            <a:ln>
              <a:solidFill>
                <a:sysClr val="windowText" lastClr="000000"/>
              </a:solidFill>
              <a:prstDash val="sysDash"/>
            </a:ln>
          </c:spPr>
          <c:marker>
            <c:symbol val="none"/>
          </c:marker>
          <c:cat>
            <c:strRef>
              <c:f>'Statewide Bennetts'!$A$5:$A$22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Bennetts'!$C$5:$C$22</c:f>
              <c:numCache>
                <c:formatCode>General</c:formatCode>
                <c:ptCount val="17"/>
                <c:pt idx="0">
                  <c:v>13.719999999999999</c:v>
                </c:pt>
                <c:pt idx="1">
                  <c:v>12.770619999999997</c:v>
                </c:pt>
                <c:pt idx="2">
                  <c:v>15.83338</c:v>
                </c:pt>
                <c:pt idx="3">
                  <c:v>27.908179999999998</c:v>
                </c:pt>
                <c:pt idx="4">
                  <c:v>18.653379999999999</c:v>
                </c:pt>
                <c:pt idx="5">
                  <c:v>16.630780000000001</c:v>
                </c:pt>
                <c:pt idx="6">
                  <c:v>14.52544</c:v>
                </c:pt>
                <c:pt idx="7">
                  <c:v>12.919999999999998</c:v>
                </c:pt>
                <c:pt idx="8">
                  <c:v>12.64</c:v>
                </c:pt>
                <c:pt idx="9">
                  <c:v>15.02</c:v>
                </c:pt>
                <c:pt idx="10">
                  <c:v>19.743600000000001</c:v>
                </c:pt>
                <c:pt idx="11">
                  <c:v>18.1236</c:v>
                </c:pt>
                <c:pt idx="12">
                  <c:v>24.475519999999999</c:v>
                </c:pt>
                <c:pt idx="13">
                  <c:v>37.811999999999998</c:v>
                </c:pt>
                <c:pt idx="14">
                  <c:v>18.483499999999999</c:v>
                </c:pt>
                <c:pt idx="15">
                  <c:v>24.6995</c:v>
                </c:pt>
                <c:pt idx="16">
                  <c:v>18.729999999999997</c:v>
                </c:pt>
              </c:numCache>
            </c:numRef>
          </c:val>
          <c:smooth val="1"/>
          <c:extLst xmlns:c16r2="http://schemas.microsoft.com/office/drawing/2015/06/chart">
            <c:ext xmlns:c16="http://schemas.microsoft.com/office/drawing/2014/chart" uri="{C3380CC4-5D6E-409C-BE32-E72D297353CC}">
              <c16:uniqueId val="{00000001-24E0-4086-990D-C100856F8FA7}"/>
            </c:ext>
          </c:extLst>
        </c:ser>
        <c:ser>
          <c:idx val="2"/>
          <c:order val="2"/>
          <c:tx>
            <c:strRef>
              <c:f>'Statewide Bennetts'!$D$3:$D$4</c:f>
              <c:strCache>
                <c:ptCount val="1"/>
                <c:pt idx="0">
                  <c:v>Average of UCL</c:v>
                </c:pt>
              </c:strCache>
            </c:strRef>
          </c:tx>
          <c:spPr>
            <a:ln>
              <a:solidFill>
                <a:sysClr val="windowText" lastClr="000000"/>
              </a:solidFill>
              <a:prstDash val="sysDash"/>
            </a:ln>
          </c:spPr>
          <c:marker>
            <c:symbol val="none"/>
          </c:marker>
          <c:cat>
            <c:strRef>
              <c:f>'Statewide Bennetts'!$A$5:$A$22</c:f>
              <c:strCach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strCache>
            </c:strRef>
          </c:cat>
          <c:val>
            <c:numRef>
              <c:f>'Statewide Bennetts'!$D$5:$D$22</c:f>
              <c:numCache>
                <c:formatCode>General</c:formatCode>
                <c:ptCount val="17"/>
                <c:pt idx="0">
                  <c:v>34.519999999999996</c:v>
                </c:pt>
                <c:pt idx="1">
                  <c:v>36.304400000000001</c:v>
                </c:pt>
                <c:pt idx="2">
                  <c:v>46.581000000000003</c:v>
                </c:pt>
                <c:pt idx="3">
                  <c:v>71.088200000000001</c:v>
                </c:pt>
                <c:pt idx="4">
                  <c:v>63.220399999999998</c:v>
                </c:pt>
                <c:pt idx="5">
                  <c:v>53.658200000000001</c:v>
                </c:pt>
                <c:pt idx="6">
                  <c:v>38.046399999999998</c:v>
                </c:pt>
                <c:pt idx="7">
                  <c:v>41.440000000000005</c:v>
                </c:pt>
                <c:pt idx="8">
                  <c:v>37.4</c:v>
                </c:pt>
                <c:pt idx="9">
                  <c:v>46.96</c:v>
                </c:pt>
                <c:pt idx="10">
                  <c:v>61.878999999999998</c:v>
                </c:pt>
                <c:pt idx="11">
                  <c:v>44.290799999999997</c:v>
                </c:pt>
                <c:pt idx="12">
                  <c:v>62.427599999999998</c:v>
                </c:pt>
                <c:pt idx="13">
                  <c:v>100.79975</c:v>
                </c:pt>
                <c:pt idx="14">
                  <c:v>50.776749999999993</c:v>
                </c:pt>
                <c:pt idx="15">
                  <c:v>64.257499999999993</c:v>
                </c:pt>
                <c:pt idx="16">
                  <c:v>55.116</c:v>
                </c:pt>
              </c:numCache>
            </c:numRef>
          </c:val>
          <c:smooth val="1"/>
          <c:extLst xmlns:c16r2="http://schemas.microsoft.com/office/drawing/2015/06/chart">
            <c:ext xmlns:c16="http://schemas.microsoft.com/office/drawing/2014/chart" uri="{C3380CC4-5D6E-409C-BE32-E72D297353CC}">
              <c16:uniqueId val="{00000002-24E0-4086-990D-C100856F8FA7}"/>
            </c:ext>
          </c:extLst>
        </c:ser>
        <c:dLbls>
          <c:showLegendKey val="0"/>
          <c:showVal val="0"/>
          <c:showCatName val="0"/>
          <c:showSerName val="0"/>
          <c:showPercent val="0"/>
          <c:showBubbleSize val="0"/>
        </c:dLbls>
        <c:marker val="1"/>
        <c:smooth val="0"/>
        <c:axId val="183781888"/>
        <c:axId val="183782280"/>
      </c:lineChart>
      <c:catAx>
        <c:axId val="183781888"/>
        <c:scaling>
          <c:orientation val="minMax"/>
        </c:scaling>
        <c:delete val="0"/>
        <c:axPos val="b"/>
        <c:numFmt formatCode="General" sourceLinked="0"/>
        <c:majorTickMark val="out"/>
        <c:minorTickMark val="none"/>
        <c:tickLblPos val="nextTo"/>
        <c:crossAx val="183782280"/>
        <c:crosses val="autoZero"/>
        <c:auto val="1"/>
        <c:lblAlgn val="ctr"/>
        <c:lblOffset val="100"/>
        <c:noMultiLvlLbl val="0"/>
      </c:catAx>
      <c:valAx>
        <c:axId val="183782280"/>
        <c:scaling>
          <c:orientation val="minMax"/>
        </c:scaling>
        <c:delete val="0"/>
        <c:axPos val="l"/>
        <c:title>
          <c:tx>
            <c:rich>
              <a:bodyPr rot="-5400000" vert="horz"/>
              <a:lstStyle/>
              <a:p>
                <a:pPr>
                  <a:defRPr/>
                </a:pPr>
                <a:r>
                  <a:rPr lang="en-US"/>
                  <a:t>Wallaby</a:t>
                </a:r>
                <a:r>
                  <a:rPr lang="en-US" baseline="0"/>
                  <a:t> per sq. km</a:t>
                </a:r>
                <a:endParaRPr lang="en-US"/>
              </a:p>
            </c:rich>
          </c:tx>
          <c:layout>
            <c:manualLayout>
              <c:xMode val="edge"/>
              <c:yMode val="edge"/>
              <c:x val="2.4999343912381684E-2"/>
              <c:y val="0.12812700495771365"/>
            </c:manualLayout>
          </c:layout>
          <c:overlay val="0"/>
        </c:title>
        <c:numFmt formatCode="General" sourceLinked="1"/>
        <c:majorTickMark val="out"/>
        <c:minorTickMark val="none"/>
        <c:tickLblPos val="nextTo"/>
        <c:crossAx val="18378188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9F8C0E77.dotm</Template>
  <TotalTime>0</TotalTime>
  <Pages>11</Pages>
  <Words>4036</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Application Management Plan for the Commercial Harvest and Export of Wallaby from Tasmania</dc:title>
  <dc:subject/>
  <dc:creator>Lenah Game Meats Pty. Ltd.</dc:creator>
  <cp:keywords/>
  <dc:description/>
  <cp:lastModifiedBy>Durack, Bec</cp:lastModifiedBy>
  <cp:revision>2</cp:revision>
  <dcterms:created xsi:type="dcterms:W3CDTF">2019-12-11T03:43:00Z</dcterms:created>
  <dcterms:modified xsi:type="dcterms:W3CDTF">2019-12-11T03:43:00Z</dcterms:modified>
</cp:coreProperties>
</file>