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161308497"/>
        <w:lock w:val="sdtContentLocked"/>
        <w:placeholder>
          <w:docPart w:val="56B7B848ED5A427C93F0CAA0ADA4D851"/>
        </w:placeholder>
      </w:sdtPr>
      <w:sdtEndPr/>
      <w:sdtContent>
        <w:p w14:paraId="62162193" w14:textId="77777777" w:rsidR="00C636DA" w:rsidRDefault="00C73C5F" w:rsidP="00FC388E">
          <w:r>
            <w:rPr>
              <w:rFonts w:ascii="Times New Roman" w:eastAsia="Times New Roman" w:hAnsi="Times New Roman" w:cs="Times New Roman"/>
              <w:noProof/>
              <w:sz w:val="20"/>
              <w:szCs w:val="20"/>
              <w:lang w:eastAsia="en-AU"/>
            </w:rPr>
            <w:drawing>
              <wp:anchor distT="0" distB="0" distL="114300" distR="114300" simplePos="0" relativeHeight="251665408" behindDoc="1" locked="1" layoutInCell="1" allowOverlap="1" wp14:anchorId="336E1727" wp14:editId="217AFDA6">
                <wp:simplePos x="0" y="0"/>
                <wp:positionH relativeFrom="margin">
                  <wp:posOffset>-11430</wp:posOffset>
                </wp:positionH>
                <wp:positionV relativeFrom="page">
                  <wp:posOffset>0</wp:posOffset>
                </wp:positionV>
                <wp:extent cx="863600" cy="863600"/>
                <wp:effectExtent l="0" t="0" r="0" b="0"/>
                <wp:wrapNone/>
                <wp:docPr id="94" name="Picture 94" title="NSW government warata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OEH logo top placement A4.ai"/>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3600" cy="8636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612E2D1" w14:textId="77777777" w:rsidR="006E1F0E" w:rsidRPr="000426DE" w:rsidRDefault="00CE7AB0" w:rsidP="00FC388E">
      <w:pPr>
        <w:pStyle w:val="Title"/>
      </w:pPr>
      <w:bookmarkStart w:id="0" w:name="_GoBack"/>
      <w:r w:rsidRPr="00CE7AB0">
        <w:t>Draft Whole Plant Sustainable Management Plan 2018–22</w:t>
      </w:r>
    </w:p>
    <w:bookmarkEnd w:id="0"/>
    <w:p w14:paraId="1D941A4F" w14:textId="77777777" w:rsidR="006E1F0E" w:rsidRPr="008C0352" w:rsidRDefault="00CE7AB0" w:rsidP="002E2A5B">
      <w:pPr>
        <w:pStyle w:val="Subtitle"/>
      </w:pPr>
      <w:r w:rsidRPr="00CE7AB0">
        <w:t>For the commercial harvest, salvage and propagation of protected whole plants</w:t>
      </w:r>
    </w:p>
    <w:p w14:paraId="55C20CE2" w14:textId="77777777" w:rsidR="00372E2B" w:rsidRDefault="0018235E" w:rsidP="00FC388E">
      <w:r>
        <w:br w:type="page"/>
      </w:r>
      <w:bookmarkStart w:id="1" w:name="_Toc386616061"/>
      <w:bookmarkStart w:id="2" w:name="_Toc387145750"/>
    </w:p>
    <w:p w14:paraId="10751F2F" w14:textId="77777777" w:rsidR="008059C0" w:rsidRPr="008059C0" w:rsidRDefault="008059C0" w:rsidP="00FC388E">
      <w:r w:rsidRPr="008059C0">
        <w:lastRenderedPageBreak/>
        <w:t>© 201</w:t>
      </w:r>
      <w:r w:rsidR="00A543C1">
        <w:t>7</w:t>
      </w:r>
      <w:r w:rsidRPr="008059C0">
        <w:t xml:space="preserve"> State of NSW and Office of Environment and Heritage</w:t>
      </w:r>
    </w:p>
    <w:p w14:paraId="783A02D2" w14:textId="77777777" w:rsidR="008059C0" w:rsidRPr="00FE0750" w:rsidRDefault="008059C0" w:rsidP="00FC388E">
      <w:r w:rsidRPr="00FE0750">
        <w:t xml:space="preserve">With the exception of photographs, the </w:t>
      </w:r>
      <w:r>
        <w:t>State of NSW and Office of Environment and Heritage</w:t>
      </w:r>
      <w:r w:rsidRPr="00FE0750">
        <w:t xml:space="preserve"> are pleased to allow this material to be reproduced in whole or in part for educational and non-commercial use, provided the meaning is unchanged and its source, publisher and authorship are acknowledged. Specific permission is required for the reproduction of photographs.</w:t>
      </w:r>
    </w:p>
    <w:p w14:paraId="648B2DB2" w14:textId="77777777" w:rsidR="008059C0" w:rsidRDefault="008059C0" w:rsidP="00FC388E">
      <w:r w:rsidRPr="009F41F7">
        <w:t xml:space="preserve">The Office of Environment and Heritage </w:t>
      </w:r>
      <w:r>
        <w:t xml:space="preserve">(OEH) </w:t>
      </w:r>
      <w:r w:rsidRPr="009F41F7">
        <w:t xml:space="preserve">has compiled this </w:t>
      </w:r>
      <w:r>
        <w:t>report</w:t>
      </w:r>
      <w:r w:rsidRPr="009F41F7">
        <w:t xml:space="preserve"> in good faith, exercising all due care and attention. No representation is made about the accuracy, completeness or suitability of the information in this publication for any particular purpose. OEH shall not be liable for any damage which may occur to any person or organisation taking action or not on the basis of this publication. Readers should seek appropriate advice when applying the information to their specific needs.</w:t>
      </w:r>
      <w:r>
        <w:t xml:space="preserve"> </w:t>
      </w:r>
    </w:p>
    <w:p w14:paraId="4A64E5CC" w14:textId="77777777" w:rsidR="008059C0" w:rsidRPr="00957A60" w:rsidRDefault="008059C0" w:rsidP="00FC388E">
      <w:r w:rsidRPr="00957A60">
        <w:t>All content in this publication is owned by OEH and is protected by Crown Copyright</w:t>
      </w:r>
      <w:r>
        <w:t>, unless credited otherwise</w:t>
      </w:r>
      <w:r w:rsidRPr="00957A60">
        <w:t xml:space="preserve">. It is licensed under the </w:t>
      </w:r>
      <w:hyperlink r:id="rId9" w:tooltip="Creative Commons — Attribution 4.0 International — CC BY 4.0" w:history="1">
        <w:r w:rsidRPr="00957A60">
          <w:rPr>
            <w:rStyle w:val="Hyperlink"/>
          </w:rPr>
          <w:t>Creative Commons Attribution 4.0 International (CC BY 4.0)</w:t>
        </w:r>
      </w:hyperlink>
      <w:r w:rsidRPr="00957A60">
        <w:t xml:space="preserve">, subject to the exemptions contained in the licence. The legal code for the licence is available at </w:t>
      </w:r>
      <w:hyperlink r:id="rId10" w:tooltip="Creative Commons - Attribution 4.0 International — CC BY 4.0:" w:history="1">
        <w:r w:rsidRPr="00957A60">
          <w:rPr>
            <w:rStyle w:val="Hyperlink"/>
          </w:rPr>
          <w:t>Creative Commons</w:t>
        </w:r>
      </w:hyperlink>
      <w:r w:rsidRPr="00957A60">
        <w:t>.</w:t>
      </w:r>
    </w:p>
    <w:p w14:paraId="1BD09EAD" w14:textId="77777777" w:rsidR="008059C0" w:rsidRPr="00957A60" w:rsidRDefault="008059C0" w:rsidP="00FC388E">
      <w:r w:rsidRPr="00957A60">
        <w:t>OEH asserts the right to be attributed as author of the original material in the following manner: © State of New South Wales and Office of Environment and Heritage 201</w:t>
      </w:r>
      <w:r w:rsidR="00A543C1">
        <w:t>7</w:t>
      </w:r>
      <w:r w:rsidRPr="00957A60">
        <w:t>.</w:t>
      </w:r>
    </w:p>
    <w:p w14:paraId="2D6404FA" w14:textId="77777777" w:rsidR="008059C0" w:rsidRPr="00FE0750" w:rsidRDefault="008059C0" w:rsidP="00FC388E">
      <w:r w:rsidRPr="00FE0750">
        <w:t>Published by:</w:t>
      </w:r>
    </w:p>
    <w:p w14:paraId="711FB226" w14:textId="77777777" w:rsidR="008059C0" w:rsidRPr="008059C0" w:rsidRDefault="008059C0" w:rsidP="00FC388E">
      <w:r w:rsidRPr="008059C0">
        <w:t xml:space="preserve">Office of </w:t>
      </w:r>
      <w:r>
        <w:t>Environment and Heritage</w:t>
      </w:r>
    </w:p>
    <w:p w14:paraId="68025902" w14:textId="77777777" w:rsidR="008059C0" w:rsidRPr="008059C0" w:rsidRDefault="008059C0" w:rsidP="00FC388E">
      <w:r w:rsidRPr="008059C0">
        <w:t>59 Goulburn Street, Sydney NSW 2000</w:t>
      </w:r>
    </w:p>
    <w:p w14:paraId="3D1D8FA6" w14:textId="77777777" w:rsidR="008059C0" w:rsidRPr="008059C0" w:rsidRDefault="008059C0" w:rsidP="00FC388E">
      <w:r w:rsidRPr="008059C0">
        <w:t>PO Box A290, Sydney South NSW 1232</w:t>
      </w:r>
    </w:p>
    <w:p w14:paraId="321C98B1" w14:textId="77777777" w:rsidR="008059C0" w:rsidRPr="00FE0750" w:rsidRDefault="008059C0" w:rsidP="00FC388E">
      <w:r>
        <w:t>Phone: +61 2</w:t>
      </w:r>
      <w:r w:rsidRPr="00FE0750">
        <w:t xml:space="preserve"> 9995 5000 (switchboard)</w:t>
      </w:r>
    </w:p>
    <w:p w14:paraId="0E1A796C" w14:textId="77777777" w:rsidR="008059C0" w:rsidRPr="00FE0750" w:rsidRDefault="008059C0" w:rsidP="00FC388E">
      <w:r w:rsidRPr="00FE0750">
        <w:t>Phone: 131 555 (environment information and publications requests)</w:t>
      </w:r>
    </w:p>
    <w:p w14:paraId="28B0E3C6" w14:textId="77777777" w:rsidR="008059C0" w:rsidRPr="00FE0750" w:rsidRDefault="008059C0" w:rsidP="00FC388E">
      <w:r w:rsidRPr="00FE0750">
        <w:t xml:space="preserve">Phone: 1300 361 967 (national parks, </w:t>
      </w:r>
      <w:r>
        <w:t>general environmental enquiries,</w:t>
      </w:r>
      <w:r w:rsidRPr="00FE0750">
        <w:t xml:space="preserve"> and publications requests)</w:t>
      </w:r>
    </w:p>
    <w:p w14:paraId="251EFDF8" w14:textId="77777777" w:rsidR="008059C0" w:rsidRDefault="008059C0" w:rsidP="00FC388E">
      <w:r w:rsidRPr="00FE0750">
        <w:t xml:space="preserve">Fax: </w:t>
      </w:r>
      <w:r>
        <w:t xml:space="preserve">+61 </w:t>
      </w:r>
      <w:r w:rsidRPr="00FE0750">
        <w:t>2 9995 5999</w:t>
      </w:r>
    </w:p>
    <w:p w14:paraId="3101E12C" w14:textId="77777777" w:rsidR="008059C0" w:rsidRPr="008059C0" w:rsidRDefault="008059C0" w:rsidP="00FC388E">
      <w:r w:rsidRPr="008059C0">
        <w:t>TTY users: phone 133 677, then ask for 131 555</w:t>
      </w:r>
    </w:p>
    <w:p w14:paraId="302812CD" w14:textId="77777777" w:rsidR="008059C0" w:rsidRPr="008059C0" w:rsidRDefault="008059C0" w:rsidP="00FC388E">
      <w:r w:rsidRPr="008059C0">
        <w:t>Speak and listen users: phone 1300 555 727, then ask for 131 555</w:t>
      </w:r>
    </w:p>
    <w:p w14:paraId="0C6616B2" w14:textId="77777777" w:rsidR="008059C0" w:rsidRPr="008059C0" w:rsidRDefault="008059C0" w:rsidP="00FC388E">
      <w:r w:rsidRPr="008059C0">
        <w:t xml:space="preserve">Email: </w:t>
      </w:r>
      <w:hyperlink r:id="rId11" w:history="1">
        <w:r w:rsidRPr="008059C0">
          <w:rPr>
            <w:rStyle w:val="Hyperlink"/>
          </w:rPr>
          <w:t>info@environment.nsw.gov.au</w:t>
        </w:r>
      </w:hyperlink>
      <w:r w:rsidRPr="008059C0">
        <w:t xml:space="preserve"> </w:t>
      </w:r>
    </w:p>
    <w:p w14:paraId="4381646F" w14:textId="77777777" w:rsidR="008059C0" w:rsidRPr="008059C0" w:rsidRDefault="008059C0" w:rsidP="00FC388E">
      <w:r w:rsidRPr="008059C0">
        <w:t xml:space="preserve">Website: </w:t>
      </w:r>
      <w:hyperlink r:id="rId12" w:history="1">
        <w:r w:rsidRPr="008059C0">
          <w:rPr>
            <w:rStyle w:val="Hyperlink"/>
          </w:rPr>
          <w:t>www.environment.nsw.gov.au</w:t>
        </w:r>
      </w:hyperlink>
      <w:r w:rsidRPr="008059C0">
        <w:t xml:space="preserve"> </w:t>
      </w:r>
    </w:p>
    <w:p w14:paraId="55F6D1E3" w14:textId="77777777" w:rsidR="008059C0" w:rsidRPr="008059C0" w:rsidRDefault="008059C0" w:rsidP="00FC388E"/>
    <w:p w14:paraId="78DEC9F4" w14:textId="77777777" w:rsidR="008059C0" w:rsidRPr="008059C0" w:rsidRDefault="008059C0" w:rsidP="00FC388E">
      <w:r w:rsidRPr="008059C0">
        <w:t>Report pollution and environmental incidents</w:t>
      </w:r>
    </w:p>
    <w:p w14:paraId="15F68357" w14:textId="77777777" w:rsidR="008059C0" w:rsidRPr="008059C0" w:rsidRDefault="008059C0" w:rsidP="00FC388E">
      <w:r w:rsidRPr="008059C0">
        <w:t xml:space="preserve">Environment Line: 131 555 (NSW only) or </w:t>
      </w:r>
      <w:hyperlink r:id="rId13" w:history="1">
        <w:r w:rsidRPr="008059C0">
          <w:rPr>
            <w:rStyle w:val="Hyperlink"/>
          </w:rPr>
          <w:t>info@environment.nsw.gov.au</w:t>
        </w:r>
      </w:hyperlink>
    </w:p>
    <w:p w14:paraId="2D195116" w14:textId="77777777" w:rsidR="008059C0" w:rsidRPr="008059C0" w:rsidRDefault="008059C0" w:rsidP="00FC388E">
      <w:r w:rsidRPr="008059C0">
        <w:t xml:space="preserve">See also </w:t>
      </w:r>
      <w:hyperlink r:id="rId14" w:history="1">
        <w:r w:rsidRPr="008059C0">
          <w:rPr>
            <w:rStyle w:val="Hyperlink"/>
          </w:rPr>
          <w:t>www.environment.nsw.gov.au</w:t>
        </w:r>
      </w:hyperlink>
      <w:r w:rsidRPr="008059C0">
        <w:t xml:space="preserve"> </w:t>
      </w:r>
    </w:p>
    <w:p w14:paraId="3F488079" w14:textId="77777777" w:rsidR="008059C0" w:rsidRPr="008059C0" w:rsidRDefault="008059C0" w:rsidP="00FC388E"/>
    <w:p w14:paraId="5B7586BC" w14:textId="77777777" w:rsidR="000F3B46" w:rsidRDefault="000F3B46" w:rsidP="00FC388E">
      <w:r w:rsidRPr="00C85E3F">
        <w:t xml:space="preserve">ISBN </w:t>
      </w:r>
      <w:r w:rsidR="00CE7AB0" w:rsidRPr="00CE7AB0">
        <w:t>978-1-76039-878-1</w:t>
      </w:r>
      <w:r>
        <w:br/>
        <w:t>OEH</w:t>
      </w:r>
      <w:r w:rsidRPr="00C85E3F">
        <w:t xml:space="preserve"> 201</w:t>
      </w:r>
      <w:r w:rsidR="00A543C1">
        <w:t>7</w:t>
      </w:r>
      <w:r w:rsidRPr="00C85E3F">
        <w:t>/</w:t>
      </w:r>
      <w:r w:rsidR="00CE7AB0" w:rsidRPr="00CE7AB0">
        <w:t xml:space="preserve"> 0433</w:t>
      </w:r>
      <w:r w:rsidRPr="00C85E3F">
        <w:br/>
      </w:r>
      <w:r w:rsidR="00CE7AB0">
        <w:t>October</w:t>
      </w:r>
      <w:r w:rsidRPr="00C85E3F">
        <w:t xml:space="preserve"> </w:t>
      </w:r>
      <w:r>
        <w:t>201</w:t>
      </w:r>
      <w:r w:rsidR="00A543C1">
        <w:t>7</w:t>
      </w:r>
    </w:p>
    <w:p w14:paraId="46BEBFE6" w14:textId="77777777" w:rsidR="001310D8" w:rsidRPr="001310D8" w:rsidRDefault="001310D8" w:rsidP="001310D8">
      <w:pPr>
        <w:pStyle w:val="WebCallout"/>
        <w:framePr w:wrap="around"/>
      </w:pPr>
      <w:r w:rsidRPr="001310D8">
        <w:t>Find out more about your environment at:</w:t>
      </w:r>
    </w:p>
    <w:p w14:paraId="1ED4C016" w14:textId="77777777" w:rsidR="001310D8" w:rsidRPr="001310D8" w:rsidRDefault="001310D8" w:rsidP="001310D8">
      <w:pPr>
        <w:pStyle w:val="WebCallout"/>
        <w:framePr w:wrap="around"/>
        <w:rPr>
          <w:sz w:val="28"/>
          <w:szCs w:val="28"/>
        </w:rPr>
      </w:pPr>
      <w:r w:rsidRPr="001310D8">
        <w:rPr>
          <w:sz w:val="28"/>
          <w:szCs w:val="28"/>
        </w:rPr>
        <w:t>www.environment.nsw.gov.au</w:t>
      </w:r>
    </w:p>
    <w:p w14:paraId="62D9C430" w14:textId="77777777" w:rsidR="00232435" w:rsidRDefault="00232435" w:rsidP="00FC388E"/>
    <w:p w14:paraId="5748481E" w14:textId="77777777" w:rsidR="00540035" w:rsidRDefault="00540035" w:rsidP="00FC388E">
      <w:pPr>
        <w:sectPr w:rsidR="00540035" w:rsidSect="00CE7AB0">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680" w:footer="680" w:gutter="0"/>
          <w:cols w:space="708"/>
          <w:docGrid w:linePitch="360"/>
        </w:sectPr>
      </w:pPr>
    </w:p>
    <w:p w14:paraId="0B038935" w14:textId="77777777" w:rsidR="00372E2B" w:rsidRDefault="007D417A" w:rsidP="00EF4268">
      <w:pPr>
        <w:pStyle w:val="TOCHeading"/>
        <w:numPr>
          <w:ilvl w:val="0"/>
          <w:numId w:val="0"/>
        </w:numPr>
        <w:ind w:left="432" w:hanging="432"/>
      </w:pPr>
      <w:r w:rsidRPr="00B5021C">
        <w:lastRenderedPageBreak/>
        <w:t>Contents</w:t>
      </w:r>
    </w:p>
    <w:p w14:paraId="21B375B8" w14:textId="192196A1" w:rsidR="00350B08" w:rsidRDefault="004F5844">
      <w:pPr>
        <w:pStyle w:val="TOC1"/>
        <w:rPr>
          <w:rFonts w:asciiTheme="minorHAnsi" w:eastAsiaTheme="minorEastAsia" w:hAnsiTheme="minorHAnsi"/>
          <w:color w:val="auto"/>
          <w:sz w:val="22"/>
          <w:lang w:eastAsia="en-AU"/>
        </w:rPr>
      </w:pPr>
      <w:r>
        <w:fldChar w:fldCharType="begin"/>
      </w:r>
      <w:r>
        <w:instrText xml:space="preserve"> TOC \o "1-2" \h \z \u </w:instrText>
      </w:r>
      <w:r>
        <w:fldChar w:fldCharType="separate"/>
      </w:r>
      <w:hyperlink w:anchor="_Toc494449553" w:history="1">
        <w:r w:rsidR="00350B08" w:rsidRPr="009C0426">
          <w:rPr>
            <w:rStyle w:val="Hyperlink"/>
            <w:noProof/>
          </w:rPr>
          <w:t>Foreword</w:t>
        </w:r>
        <w:r w:rsidR="00350B08">
          <w:rPr>
            <w:webHidden/>
          </w:rPr>
          <w:tab/>
        </w:r>
        <w:r w:rsidR="00350B08">
          <w:rPr>
            <w:webHidden/>
          </w:rPr>
          <w:fldChar w:fldCharType="begin"/>
        </w:r>
        <w:r w:rsidR="00350B08">
          <w:rPr>
            <w:webHidden/>
          </w:rPr>
          <w:instrText xml:space="preserve"> PAGEREF _Toc494449553 \h </w:instrText>
        </w:r>
        <w:r w:rsidR="00350B08">
          <w:rPr>
            <w:webHidden/>
          </w:rPr>
        </w:r>
        <w:r w:rsidR="00350B08">
          <w:rPr>
            <w:webHidden/>
          </w:rPr>
          <w:fldChar w:fldCharType="separate"/>
        </w:r>
        <w:r w:rsidR="00813A6A">
          <w:rPr>
            <w:webHidden/>
          </w:rPr>
          <w:t>i</w:t>
        </w:r>
        <w:r w:rsidR="00350B08">
          <w:rPr>
            <w:webHidden/>
          </w:rPr>
          <w:fldChar w:fldCharType="end"/>
        </w:r>
      </w:hyperlink>
    </w:p>
    <w:p w14:paraId="7CB7E7E9" w14:textId="725EDDAA" w:rsidR="00350B08" w:rsidRDefault="004D11D1">
      <w:pPr>
        <w:pStyle w:val="TOC2"/>
        <w:rPr>
          <w:rFonts w:asciiTheme="minorHAnsi" w:eastAsiaTheme="minorEastAsia" w:hAnsiTheme="minorHAnsi" w:cstheme="minorBidi"/>
          <w:bCs w:val="0"/>
          <w:color w:val="auto"/>
          <w:sz w:val="22"/>
          <w:lang w:eastAsia="en-AU"/>
        </w:rPr>
      </w:pPr>
      <w:hyperlink w:anchor="_Toc494449554" w:history="1">
        <w:r w:rsidR="00350B08" w:rsidRPr="009C0426">
          <w:rPr>
            <w:rStyle w:val="Hyperlink"/>
            <w:noProof/>
          </w:rPr>
          <w:t>New legislation</w:t>
        </w:r>
        <w:r w:rsidR="00350B08">
          <w:rPr>
            <w:webHidden/>
          </w:rPr>
          <w:tab/>
        </w:r>
        <w:r w:rsidR="00350B08">
          <w:rPr>
            <w:webHidden/>
          </w:rPr>
          <w:fldChar w:fldCharType="begin"/>
        </w:r>
        <w:r w:rsidR="00350B08">
          <w:rPr>
            <w:webHidden/>
          </w:rPr>
          <w:instrText xml:space="preserve"> PAGEREF _Toc494449554 \h </w:instrText>
        </w:r>
        <w:r w:rsidR="00350B08">
          <w:rPr>
            <w:webHidden/>
          </w:rPr>
        </w:r>
        <w:r w:rsidR="00350B08">
          <w:rPr>
            <w:webHidden/>
          </w:rPr>
          <w:fldChar w:fldCharType="separate"/>
        </w:r>
        <w:r w:rsidR="00813A6A">
          <w:rPr>
            <w:webHidden/>
          </w:rPr>
          <w:t>i</w:t>
        </w:r>
        <w:r w:rsidR="00350B08">
          <w:rPr>
            <w:webHidden/>
          </w:rPr>
          <w:fldChar w:fldCharType="end"/>
        </w:r>
      </w:hyperlink>
    </w:p>
    <w:p w14:paraId="3648CE34" w14:textId="64988234" w:rsidR="00350B08" w:rsidRDefault="004D11D1">
      <w:pPr>
        <w:pStyle w:val="TOC2"/>
        <w:rPr>
          <w:rFonts w:asciiTheme="minorHAnsi" w:eastAsiaTheme="minorEastAsia" w:hAnsiTheme="minorHAnsi" w:cstheme="minorBidi"/>
          <w:bCs w:val="0"/>
          <w:color w:val="auto"/>
          <w:sz w:val="22"/>
          <w:lang w:eastAsia="en-AU"/>
        </w:rPr>
      </w:pPr>
      <w:hyperlink w:anchor="_Toc494449555" w:history="1">
        <w:r w:rsidR="00350B08" w:rsidRPr="009C0426">
          <w:rPr>
            <w:rStyle w:val="Hyperlink"/>
            <w:noProof/>
          </w:rPr>
          <w:t>No multiple licences per site</w:t>
        </w:r>
        <w:r w:rsidR="00350B08">
          <w:rPr>
            <w:webHidden/>
          </w:rPr>
          <w:tab/>
        </w:r>
        <w:r w:rsidR="00350B08">
          <w:rPr>
            <w:webHidden/>
          </w:rPr>
          <w:fldChar w:fldCharType="begin"/>
        </w:r>
        <w:r w:rsidR="00350B08">
          <w:rPr>
            <w:webHidden/>
          </w:rPr>
          <w:instrText xml:space="preserve"> PAGEREF _Toc494449555 \h </w:instrText>
        </w:r>
        <w:r w:rsidR="00350B08">
          <w:rPr>
            <w:webHidden/>
          </w:rPr>
        </w:r>
        <w:r w:rsidR="00350B08">
          <w:rPr>
            <w:webHidden/>
          </w:rPr>
          <w:fldChar w:fldCharType="separate"/>
        </w:r>
        <w:r w:rsidR="00813A6A">
          <w:rPr>
            <w:webHidden/>
          </w:rPr>
          <w:t>i</w:t>
        </w:r>
        <w:r w:rsidR="00350B08">
          <w:rPr>
            <w:webHidden/>
          </w:rPr>
          <w:fldChar w:fldCharType="end"/>
        </w:r>
      </w:hyperlink>
    </w:p>
    <w:p w14:paraId="221B84C6" w14:textId="13C6DCF6" w:rsidR="00350B08" w:rsidRDefault="004D11D1">
      <w:pPr>
        <w:pStyle w:val="TOC2"/>
        <w:rPr>
          <w:rFonts w:asciiTheme="minorHAnsi" w:eastAsiaTheme="minorEastAsia" w:hAnsiTheme="minorHAnsi" w:cstheme="minorBidi"/>
          <w:bCs w:val="0"/>
          <w:color w:val="auto"/>
          <w:sz w:val="22"/>
          <w:lang w:eastAsia="en-AU"/>
        </w:rPr>
      </w:pPr>
      <w:hyperlink w:anchor="_Toc494449556" w:history="1">
        <w:r w:rsidR="00350B08" w:rsidRPr="009C0426">
          <w:rPr>
            <w:rStyle w:val="Hyperlink"/>
            <w:noProof/>
          </w:rPr>
          <w:t>Xanthorrhoea size classes</w:t>
        </w:r>
        <w:r w:rsidR="00350B08">
          <w:rPr>
            <w:webHidden/>
          </w:rPr>
          <w:tab/>
        </w:r>
        <w:r w:rsidR="00350B08">
          <w:rPr>
            <w:webHidden/>
          </w:rPr>
          <w:fldChar w:fldCharType="begin"/>
        </w:r>
        <w:r w:rsidR="00350B08">
          <w:rPr>
            <w:webHidden/>
          </w:rPr>
          <w:instrText xml:space="preserve"> PAGEREF _Toc494449556 \h </w:instrText>
        </w:r>
        <w:r w:rsidR="00350B08">
          <w:rPr>
            <w:webHidden/>
          </w:rPr>
        </w:r>
        <w:r w:rsidR="00350B08">
          <w:rPr>
            <w:webHidden/>
          </w:rPr>
          <w:fldChar w:fldCharType="separate"/>
        </w:r>
        <w:r w:rsidR="00813A6A">
          <w:rPr>
            <w:webHidden/>
          </w:rPr>
          <w:t>i</w:t>
        </w:r>
        <w:r w:rsidR="00350B08">
          <w:rPr>
            <w:webHidden/>
          </w:rPr>
          <w:fldChar w:fldCharType="end"/>
        </w:r>
      </w:hyperlink>
    </w:p>
    <w:p w14:paraId="14C15847" w14:textId="55B53E44" w:rsidR="00350B08" w:rsidRDefault="004D11D1">
      <w:pPr>
        <w:pStyle w:val="TOC2"/>
        <w:rPr>
          <w:rFonts w:asciiTheme="minorHAnsi" w:eastAsiaTheme="minorEastAsia" w:hAnsiTheme="minorHAnsi" w:cstheme="minorBidi"/>
          <w:bCs w:val="0"/>
          <w:color w:val="auto"/>
          <w:sz w:val="22"/>
          <w:lang w:eastAsia="en-AU"/>
        </w:rPr>
      </w:pPr>
      <w:hyperlink w:anchor="_Toc494449557" w:history="1">
        <w:r w:rsidR="00350B08" w:rsidRPr="009C0426">
          <w:rPr>
            <w:rStyle w:val="Hyperlink"/>
            <w:noProof/>
          </w:rPr>
          <w:t>Increased protection for or</w:t>
        </w:r>
        <w:r w:rsidR="00350B08">
          <w:rPr>
            <w:rStyle w:val="Hyperlink"/>
            <w:noProof/>
          </w:rPr>
          <w:t xml:space="preserve">chid species </w:t>
        </w:r>
        <w:r w:rsidR="00350B08">
          <w:rPr>
            <w:webHidden/>
          </w:rPr>
          <w:tab/>
        </w:r>
        <w:r w:rsidR="00350B08">
          <w:rPr>
            <w:webHidden/>
          </w:rPr>
          <w:fldChar w:fldCharType="begin"/>
        </w:r>
        <w:r w:rsidR="00350B08">
          <w:rPr>
            <w:webHidden/>
          </w:rPr>
          <w:instrText xml:space="preserve"> PAGEREF _Toc494449557 \h </w:instrText>
        </w:r>
        <w:r w:rsidR="00350B08">
          <w:rPr>
            <w:webHidden/>
          </w:rPr>
        </w:r>
        <w:r w:rsidR="00350B08">
          <w:rPr>
            <w:webHidden/>
          </w:rPr>
          <w:fldChar w:fldCharType="separate"/>
        </w:r>
        <w:r w:rsidR="00813A6A">
          <w:rPr>
            <w:webHidden/>
          </w:rPr>
          <w:t>i</w:t>
        </w:r>
        <w:r w:rsidR="00350B08">
          <w:rPr>
            <w:webHidden/>
          </w:rPr>
          <w:fldChar w:fldCharType="end"/>
        </w:r>
      </w:hyperlink>
    </w:p>
    <w:p w14:paraId="5864660C" w14:textId="3B0FCAA9" w:rsidR="00350B08" w:rsidRDefault="004D11D1">
      <w:pPr>
        <w:pStyle w:val="TOC2"/>
        <w:rPr>
          <w:rFonts w:asciiTheme="minorHAnsi" w:eastAsiaTheme="minorEastAsia" w:hAnsiTheme="minorHAnsi" w:cstheme="minorBidi"/>
          <w:bCs w:val="0"/>
          <w:color w:val="auto"/>
          <w:sz w:val="22"/>
          <w:lang w:eastAsia="en-AU"/>
        </w:rPr>
      </w:pPr>
      <w:hyperlink w:anchor="_Toc494449558" w:history="1">
        <w:r w:rsidR="00350B08" w:rsidRPr="009C0426">
          <w:rPr>
            <w:rStyle w:val="Hyperlink"/>
            <w:noProof/>
          </w:rPr>
          <w:t>Requirement for grower tags</w:t>
        </w:r>
        <w:r w:rsidR="00350B08">
          <w:rPr>
            <w:webHidden/>
          </w:rPr>
          <w:tab/>
        </w:r>
        <w:r w:rsidR="00350B08">
          <w:rPr>
            <w:webHidden/>
          </w:rPr>
          <w:fldChar w:fldCharType="begin"/>
        </w:r>
        <w:r w:rsidR="00350B08">
          <w:rPr>
            <w:webHidden/>
          </w:rPr>
          <w:instrText xml:space="preserve"> PAGEREF _Toc494449558 \h </w:instrText>
        </w:r>
        <w:r w:rsidR="00350B08">
          <w:rPr>
            <w:webHidden/>
          </w:rPr>
        </w:r>
        <w:r w:rsidR="00350B08">
          <w:rPr>
            <w:webHidden/>
          </w:rPr>
          <w:fldChar w:fldCharType="separate"/>
        </w:r>
        <w:r w:rsidR="00813A6A">
          <w:rPr>
            <w:webHidden/>
          </w:rPr>
          <w:t>i</w:t>
        </w:r>
        <w:r w:rsidR="00350B08">
          <w:rPr>
            <w:webHidden/>
          </w:rPr>
          <w:fldChar w:fldCharType="end"/>
        </w:r>
      </w:hyperlink>
    </w:p>
    <w:p w14:paraId="1EABB46D" w14:textId="5CDF885C" w:rsidR="00350B08" w:rsidRDefault="004D11D1">
      <w:pPr>
        <w:pStyle w:val="TOC1"/>
        <w:rPr>
          <w:rFonts w:asciiTheme="minorHAnsi" w:eastAsiaTheme="minorEastAsia" w:hAnsiTheme="minorHAnsi"/>
          <w:color w:val="auto"/>
          <w:sz w:val="22"/>
          <w:lang w:eastAsia="en-AU"/>
        </w:rPr>
      </w:pPr>
      <w:hyperlink w:anchor="_Toc494449559" w:history="1">
        <w:r w:rsidR="00350B08" w:rsidRPr="009C0426">
          <w:rPr>
            <w:rStyle w:val="Hyperlink"/>
            <w:noProof/>
          </w:rPr>
          <w:t>Terms and definitions</w:t>
        </w:r>
        <w:r w:rsidR="00350B08">
          <w:rPr>
            <w:webHidden/>
          </w:rPr>
          <w:tab/>
        </w:r>
        <w:r w:rsidR="00350B08">
          <w:rPr>
            <w:webHidden/>
          </w:rPr>
          <w:fldChar w:fldCharType="begin"/>
        </w:r>
        <w:r w:rsidR="00350B08">
          <w:rPr>
            <w:webHidden/>
          </w:rPr>
          <w:instrText xml:space="preserve"> PAGEREF _Toc494449559 \h </w:instrText>
        </w:r>
        <w:r w:rsidR="00350B08">
          <w:rPr>
            <w:webHidden/>
          </w:rPr>
        </w:r>
        <w:r w:rsidR="00350B08">
          <w:rPr>
            <w:webHidden/>
          </w:rPr>
          <w:fldChar w:fldCharType="separate"/>
        </w:r>
        <w:r w:rsidR="00813A6A">
          <w:rPr>
            <w:webHidden/>
          </w:rPr>
          <w:t>i</w:t>
        </w:r>
        <w:r w:rsidR="00350B08">
          <w:rPr>
            <w:webHidden/>
          </w:rPr>
          <w:fldChar w:fldCharType="end"/>
        </w:r>
      </w:hyperlink>
    </w:p>
    <w:p w14:paraId="3C3579D0" w14:textId="55891C5C" w:rsidR="00350B08" w:rsidRDefault="004D11D1">
      <w:pPr>
        <w:pStyle w:val="TOC1"/>
        <w:rPr>
          <w:rFonts w:asciiTheme="minorHAnsi" w:eastAsiaTheme="minorEastAsia" w:hAnsiTheme="minorHAnsi"/>
          <w:color w:val="auto"/>
          <w:sz w:val="22"/>
          <w:lang w:eastAsia="en-AU"/>
        </w:rPr>
      </w:pPr>
      <w:hyperlink w:anchor="_Toc494449560" w:history="1">
        <w:r w:rsidR="00350B08" w:rsidRPr="009C0426">
          <w:rPr>
            <w:rStyle w:val="Hyperlink"/>
            <w:noProof/>
          </w:rPr>
          <w:t>1</w:t>
        </w:r>
        <w:r w:rsidR="00350B08">
          <w:rPr>
            <w:rFonts w:asciiTheme="minorHAnsi" w:eastAsiaTheme="minorEastAsia" w:hAnsiTheme="minorHAnsi"/>
            <w:color w:val="auto"/>
            <w:sz w:val="22"/>
            <w:lang w:eastAsia="en-AU"/>
          </w:rPr>
          <w:tab/>
        </w:r>
        <w:r w:rsidR="00350B08" w:rsidRPr="009C0426">
          <w:rPr>
            <w:rStyle w:val="Hyperlink"/>
            <w:noProof/>
          </w:rPr>
          <w:t>Introduction</w:t>
        </w:r>
        <w:r w:rsidR="00350B08">
          <w:rPr>
            <w:webHidden/>
          </w:rPr>
          <w:tab/>
        </w:r>
        <w:r w:rsidR="00350B08">
          <w:rPr>
            <w:webHidden/>
          </w:rPr>
          <w:fldChar w:fldCharType="begin"/>
        </w:r>
        <w:r w:rsidR="00350B08">
          <w:rPr>
            <w:webHidden/>
          </w:rPr>
          <w:instrText xml:space="preserve"> PAGEREF _Toc494449560 \h </w:instrText>
        </w:r>
        <w:r w:rsidR="00350B08">
          <w:rPr>
            <w:webHidden/>
          </w:rPr>
        </w:r>
        <w:r w:rsidR="00350B08">
          <w:rPr>
            <w:webHidden/>
          </w:rPr>
          <w:fldChar w:fldCharType="separate"/>
        </w:r>
        <w:r w:rsidR="00813A6A">
          <w:rPr>
            <w:webHidden/>
          </w:rPr>
          <w:t>1</w:t>
        </w:r>
        <w:r w:rsidR="00350B08">
          <w:rPr>
            <w:webHidden/>
          </w:rPr>
          <w:fldChar w:fldCharType="end"/>
        </w:r>
      </w:hyperlink>
    </w:p>
    <w:p w14:paraId="6A8EED96" w14:textId="31540BF7" w:rsidR="00350B08" w:rsidRDefault="004D11D1">
      <w:pPr>
        <w:pStyle w:val="TOC1"/>
        <w:rPr>
          <w:rFonts w:asciiTheme="minorHAnsi" w:eastAsiaTheme="minorEastAsia" w:hAnsiTheme="minorHAnsi"/>
          <w:color w:val="auto"/>
          <w:sz w:val="22"/>
          <w:lang w:eastAsia="en-AU"/>
        </w:rPr>
      </w:pPr>
      <w:hyperlink w:anchor="_Toc494449561" w:history="1">
        <w:r w:rsidR="00350B08" w:rsidRPr="009C0426">
          <w:rPr>
            <w:rStyle w:val="Hyperlink"/>
            <w:noProof/>
          </w:rPr>
          <w:t>2</w:t>
        </w:r>
        <w:r w:rsidR="00350B08">
          <w:rPr>
            <w:rFonts w:asciiTheme="minorHAnsi" w:eastAsiaTheme="minorEastAsia" w:hAnsiTheme="minorHAnsi"/>
            <w:color w:val="auto"/>
            <w:sz w:val="22"/>
            <w:lang w:eastAsia="en-AU"/>
          </w:rPr>
          <w:tab/>
        </w:r>
        <w:r w:rsidR="00350B08" w:rsidRPr="009C0426">
          <w:rPr>
            <w:rStyle w:val="Hyperlink"/>
            <w:noProof/>
          </w:rPr>
          <w:t>Objectives</w:t>
        </w:r>
        <w:r w:rsidR="00350B08">
          <w:rPr>
            <w:webHidden/>
          </w:rPr>
          <w:tab/>
        </w:r>
        <w:r w:rsidR="00350B08">
          <w:rPr>
            <w:webHidden/>
          </w:rPr>
          <w:fldChar w:fldCharType="begin"/>
        </w:r>
        <w:r w:rsidR="00350B08">
          <w:rPr>
            <w:webHidden/>
          </w:rPr>
          <w:instrText xml:space="preserve"> PAGEREF _Toc494449561 \h </w:instrText>
        </w:r>
        <w:r w:rsidR="00350B08">
          <w:rPr>
            <w:webHidden/>
          </w:rPr>
        </w:r>
        <w:r w:rsidR="00350B08">
          <w:rPr>
            <w:webHidden/>
          </w:rPr>
          <w:fldChar w:fldCharType="separate"/>
        </w:r>
        <w:r w:rsidR="00813A6A">
          <w:rPr>
            <w:webHidden/>
          </w:rPr>
          <w:t>3</w:t>
        </w:r>
        <w:r w:rsidR="00350B08">
          <w:rPr>
            <w:webHidden/>
          </w:rPr>
          <w:fldChar w:fldCharType="end"/>
        </w:r>
      </w:hyperlink>
    </w:p>
    <w:p w14:paraId="083D8935" w14:textId="5E7486DB" w:rsidR="00350B08" w:rsidRDefault="004D11D1">
      <w:pPr>
        <w:pStyle w:val="TOC1"/>
        <w:rPr>
          <w:rFonts w:asciiTheme="minorHAnsi" w:eastAsiaTheme="minorEastAsia" w:hAnsiTheme="minorHAnsi"/>
          <w:color w:val="auto"/>
          <w:sz w:val="22"/>
          <w:lang w:eastAsia="en-AU"/>
        </w:rPr>
      </w:pPr>
      <w:hyperlink w:anchor="_Toc494449562" w:history="1">
        <w:r w:rsidR="00350B08" w:rsidRPr="009C0426">
          <w:rPr>
            <w:rStyle w:val="Hyperlink"/>
            <w:noProof/>
          </w:rPr>
          <w:t>3</w:t>
        </w:r>
        <w:r w:rsidR="00350B08">
          <w:rPr>
            <w:rFonts w:asciiTheme="minorHAnsi" w:eastAsiaTheme="minorEastAsia" w:hAnsiTheme="minorHAnsi"/>
            <w:color w:val="auto"/>
            <w:sz w:val="22"/>
            <w:lang w:eastAsia="en-AU"/>
          </w:rPr>
          <w:tab/>
        </w:r>
        <w:r w:rsidR="00350B08" w:rsidRPr="009C0426">
          <w:rPr>
            <w:rStyle w:val="Hyperlink"/>
            <w:noProof/>
          </w:rPr>
          <w:t>Legislative framework</w:t>
        </w:r>
        <w:r w:rsidR="00350B08">
          <w:rPr>
            <w:webHidden/>
          </w:rPr>
          <w:tab/>
        </w:r>
        <w:r w:rsidR="00350B08">
          <w:rPr>
            <w:webHidden/>
          </w:rPr>
          <w:fldChar w:fldCharType="begin"/>
        </w:r>
        <w:r w:rsidR="00350B08">
          <w:rPr>
            <w:webHidden/>
          </w:rPr>
          <w:instrText xml:space="preserve"> PAGEREF _Toc494449562 \h </w:instrText>
        </w:r>
        <w:r w:rsidR="00350B08">
          <w:rPr>
            <w:webHidden/>
          </w:rPr>
        </w:r>
        <w:r w:rsidR="00350B08">
          <w:rPr>
            <w:webHidden/>
          </w:rPr>
          <w:fldChar w:fldCharType="separate"/>
        </w:r>
        <w:r w:rsidR="00813A6A">
          <w:rPr>
            <w:webHidden/>
          </w:rPr>
          <w:t>4</w:t>
        </w:r>
        <w:r w:rsidR="00350B08">
          <w:rPr>
            <w:webHidden/>
          </w:rPr>
          <w:fldChar w:fldCharType="end"/>
        </w:r>
      </w:hyperlink>
    </w:p>
    <w:p w14:paraId="3BC57771" w14:textId="70D8EC10" w:rsidR="00350B08" w:rsidRDefault="004D11D1">
      <w:pPr>
        <w:pStyle w:val="TOC2"/>
        <w:rPr>
          <w:rFonts w:asciiTheme="minorHAnsi" w:eastAsiaTheme="minorEastAsia" w:hAnsiTheme="minorHAnsi" w:cstheme="minorBidi"/>
          <w:bCs w:val="0"/>
          <w:color w:val="auto"/>
          <w:sz w:val="22"/>
          <w:lang w:eastAsia="en-AU"/>
        </w:rPr>
      </w:pPr>
      <w:hyperlink w:anchor="_Toc494449563" w:history="1">
        <w:r w:rsidR="00350B08" w:rsidRPr="009C0426">
          <w:rPr>
            <w:rStyle w:val="Hyperlink"/>
            <w:noProof/>
          </w:rPr>
          <w:t>3.1</w:t>
        </w:r>
        <w:r w:rsidR="00350B08">
          <w:rPr>
            <w:rFonts w:asciiTheme="minorHAnsi" w:eastAsiaTheme="minorEastAsia" w:hAnsiTheme="minorHAnsi" w:cstheme="minorBidi"/>
            <w:bCs w:val="0"/>
            <w:color w:val="auto"/>
            <w:sz w:val="22"/>
            <w:lang w:eastAsia="en-AU"/>
          </w:rPr>
          <w:tab/>
        </w:r>
        <w:r w:rsidR="00350B08" w:rsidRPr="009C0426">
          <w:rPr>
            <w:rStyle w:val="Hyperlink"/>
            <w:noProof/>
          </w:rPr>
          <w:t>Commonwealth legislation</w:t>
        </w:r>
        <w:r w:rsidR="00350B08">
          <w:rPr>
            <w:webHidden/>
          </w:rPr>
          <w:tab/>
        </w:r>
        <w:r w:rsidR="00350B08">
          <w:rPr>
            <w:webHidden/>
          </w:rPr>
          <w:fldChar w:fldCharType="begin"/>
        </w:r>
        <w:r w:rsidR="00350B08">
          <w:rPr>
            <w:webHidden/>
          </w:rPr>
          <w:instrText xml:space="preserve"> PAGEREF _Toc494449563 \h </w:instrText>
        </w:r>
        <w:r w:rsidR="00350B08">
          <w:rPr>
            <w:webHidden/>
          </w:rPr>
        </w:r>
        <w:r w:rsidR="00350B08">
          <w:rPr>
            <w:webHidden/>
          </w:rPr>
          <w:fldChar w:fldCharType="separate"/>
        </w:r>
        <w:r w:rsidR="00813A6A">
          <w:rPr>
            <w:webHidden/>
          </w:rPr>
          <w:t>4</w:t>
        </w:r>
        <w:r w:rsidR="00350B08">
          <w:rPr>
            <w:webHidden/>
          </w:rPr>
          <w:fldChar w:fldCharType="end"/>
        </w:r>
      </w:hyperlink>
    </w:p>
    <w:p w14:paraId="218404F1" w14:textId="09435413" w:rsidR="00350B08" w:rsidRDefault="004D11D1">
      <w:pPr>
        <w:pStyle w:val="TOC2"/>
        <w:rPr>
          <w:rFonts w:asciiTheme="minorHAnsi" w:eastAsiaTheme="minorEastAsia" w:hAnsiTheme="minorHAnsi" w:cstheme="minorBidi"/>
          <w:bCs w:val="0"/>
          <w:color w:val="auto"/>
          <w:sz w:val="22"/>
          <w:lang w:eastAsia="en-AU"/>
        </w:rPr>
      </w:pPr>
      <w:hyperlink w:anchor="_Toc494449564" w:history="1">
        <w:r w:rsidR="00350B08" w:rsidRPr="009C0426">
          <w:rPr>
            <w:rStyle w:val="Hyperlink"/>
            <w:noProof/>
          </w:rPr>
          <w:t>3.2</w:t>
        </w:r>
        <w:r w:rsidR="00350B08">
          <w:rPr>
            <w:rFonts w:asciiTheme="minorHAnsi" w:eastAsiaTheme="minorEastAsia" w:hAnsiTheme="minorHAnsi" w:cstheme="minorBidi"/>
            <w:bCs w:val="0"/>
            <w:color w:val="auto"/>
            <w:sz w:val="22"/>
            <w:lang w:eastAsia="en-AU"/>
          </w:rPr>
          <w:tab/>
        </w:r>
        <w:r w:rsidR="00350B08" w:rsidRPr="009C0426">
          <w:rPr>
            <w:rStyle w:val="Hyperlink"/>
            <w:noProof/>
          </w:rPr>
          <w:t>NSW Legislation</w:t>
        </w:r>
        <w:r w:rsidR="00350B08">
          <w:rPr>
            <w:webHidden/>
          </w:rPr>
          <w:tab/>
        </w:r>
        <w:r w:rsidR="00350B08">
          <w:rPr>
            <w:webHidden/>
          </w:rPr>
          <w:fldChar w:fldCharType="begin"/>
        </w:r>
        <w:r w:rsidR="00350B08">
          <w:rPr>
            <w:webHidden/>
          </w:rPr>
          <w:instrText xml:space="preserve"> PAGEREF _Toc494449564 \h </w:instrText>
        </w:r>
        <w:r w:rsidR="00350B08">
          <w:rPr>
            <w:webHidden/>
          </w:rPr>
        </w:r>
        <w:r w:rsidR="00350B08">
          <w:rPr>
            <w:webHidden/>
          </w:rPr>
          <w:fldChar w:fldCharType="separate"/>
        </w:r>
        <w:r w:rsidR="00813A6A">
          <w:rPr>
            <w:webHidden/>
          </w:rPr>
          <w:t>4</w:t>
        </w:r>
        <w:r w:rsidR="00350B08">
          <w:rPr>
            <w:webHidden/>
          </w:rPr>
          <w:fldChar w:fldCharType="end"/>
        </w:r>
      </w:hyperlink>
    </w:p>
    <w:p w14:paraId="60BE51B0" w14:textId="65504C12" w:rsidR="00350B08" w:rsidRDefault="004D11D1">
      <w:pPr>
        <w:pStyle w:val="TOC2"/>
        <w:rPr>
          <w:rFonts w:asciiTheme="minorHAnsi" w:eastAsiaTheme="minorEastAsia" w:hAnsiTheme="minorHAnsi" w:cstheme="minorBidi"/>
          <w:bCs w:val="0"/>
          <w:color w:val="auto"/>
          <w:sz w:val="22"/>
          <w:lang w:eastAsia="en-AU"/>
        </w:rPr>
      </w:pPr>
      <w:hyperlink w:anchor="_Toc494449565" w:history="1">
        <w:r w:rsidR="00350B08" w:rsidRPr="009C0426">
          <w:rPr>
            <w:rStyle w:val="Hyperlink"/>
            <w:noProof/>
          </w:rPr>
          <w:t>3.3</w:t>
        </w:r>
        <w:r w:rsidR="00350B08">
          <w:rPr>
            <w:rFonts w:asciiTheme="minorHAnsi" w:eastAsiaTheme="minorEastAsia" w:hAnsiTheme="minorHAnsi" w:cstheme="minorBidi"/>
            <w:bCs w:val="0"/>
            <w:color w:val="auto"/>
            <w:sz w:val="22"/>
            <w:lang w:eastAsia="en-AU"/>
          </w:rPr>
          <w:tab/>
        </w:r>
        <w:r w:rsidR="00350B08" w:rsidRPr="009C0426">
          <w:rPr>
            <w:rStyle w:val="Hyperlink"/>
            <w:noProof/>
          </w:rPr>
          <w:t>Penalties</w:t>
        </w:r>
        <w:r w:rsidR="00350B08">
          <w:rPr>
            <w:webHidden/>
          </w:rPr>
          <w:tab/>
        </w:r>
        <w:r w:rsidR="00350B08">
          <w:rPr>
            <w:webHidden/>
          </w:rPr>
          <w:fldChar w:fldCharType="begin"/>
        </w:r>
        <w:r w:rsidR="00350B08">
          <w:rPr>
            <w:webHidden/>
          </w:rPr>
          <w:instrText xml:space="preserve"> PAGEREF _Toc494449565 \h </w:instrText>
        </w:r>
        <w:r w:rsidR="00350B08">
          <w:rPr>
            <w:webHidden/>
          </w:rPr>
        </w:r>
        <w:r w:rsidR="00350B08">
          <w:rPr>
            <w:webHidden/>
          </w:rPr>
          <w:fldChar w:fldCharType="separate"/>
        </w:r>
        <w:r w:rsidR="00813A6A">
          <w:rPr>
            <w:webHidden/>
          </w:rPr>
          <w:t>6</w:t>
        </w:r>
        <w:r w:rsidR="00350B08">
          <w:rPr>
            <w:webHidden/>
          </w:rPr>
          <w:fldChar w:fldCharType="end"/>
        </w:r>
      </w:hyperlink>
    </w:p>
    <w:p w14:paraId="0050B95D" w14:textId="4C31638A" w:rsidR="00350B08" w:rsidRDefault="004D11D1">
      <w:pPr>
        <w:pStyle w:val="TOC1"/>
        <w:rPr>
          <w:rFonts w:asciiTheme="minorHAnsi" w:eastAsiaTheme="minorEastAsia" w:hAnsiTheme="minorHAnsi"/>
          <w:color w:val="auto"/>
          <w:sz w:val="22"/>
          <w:lang w:eastAsia="en-AU"/>
        </w:rPr>
      </w:pPr>
      <w:hyperlink w:anchor="_Toc494449566" w:history="1">
        <w:r w:rsidR="00350B08" w:rsidRPr="009C0426">
          <w:rPr>
            <w:rStyle w:val="Hyperlink"/>
            <w:noProof/>
          </w:rPr>
          <w:t>4</w:t>
        </w:r>
        <w:r w:rsidR="00350B08">
          <w:rPr>
            <w:rFonts w:asciiTheme="minorHAnsi" w:eastAsiaTheme="minorEastAsia" w:hAnsiTheme="minorHAnsi"/>
            <w:color w:val="auto"/>
            <w:sz w:val="22"/>
            <w:lang w:eastAsia="en-AU"/>
          </w:rPr>
          <w:tab/>
        </w:r>
        <w:r w:rsidR="00350B08" w:rsidRPr="009C0426">
          <w:rPr>
            <w:rStyle w:val="Hyperlink"/>
            <w:noProof/>
          </w:rPr>
          <w:t>Policy and administrative framework</w:t>
        </w:r>
        <w:r w:rsidR="00350B08">
          <w:rPr>
            <w:webHidden/>
          </w:rPr>
          <w:tab/>
        </w:r>
        <w:r w:rsidR="00350B08">
          <w:rPr>
            <w:webHidden/>
          </w:rPr>
          <w:fldChar w:fldCharType="begin"/>
        </w:r>
        <w:r w:rsidR="00350B08">
          <w:rPr>
            <w:webHidden/>
          </w:rPr>
          <w:instrText xml:space="preserve"> PAGEREF _Toc494449566 \h </w:instrText>
        </w:r>
        <w:r w:rsidR="00350B08">
          <w:rPr>
            <w:webHidden/>
          </w:rPr>
        </w:r>
        <w:r w:rsidR="00350B08">
          <w:rPr>
            <w:webHidden/>
          </w:rPr>
          <w:fldChar w:fldCharType="separate"/>
        </w:r>
        <w:r w:rsidR="00813A6A">
          <w:rPr>
            <w:webHidden/>
          </w:rPr>
          <w:t>7</w:t>
        </w:r>
        <w:r w:rsidR="00350B08">
          <w:rPr>
            <w:webHidden/>
          </w:rPr>
          <w:fldChar w:fldCharType="end"/>
        </w:r>
      </w:hyperlink>
    </w:p>
    <w:p w14:paraId="33E3D1E5" w14:textId="184D50DA" w:rsidR="00350B08" w:rsidRDefault="004D11D1">
      <w:pPr>
        <w:pStyle w:val="TOC2"/>
        <w:rPr>
          <w:rFonts w:asciiTheme="minorHAnsi" w:eastAsiaTheme="minorEastAsia" w:hAnsiTheme="minorHAnsi" w:cstheme="minorBidi"/>
          <w:bCs w:val="0"/>
          <w:color w:val="auto"/>
          <w:sz w:val="22"/>
          <w:lang w:eastAsia="en-AU"/>
        </w:rPr>
      </w:pPr>
      <w:hyperlink w:anchor="_Toc494449567" w:history="1">
        <w:r w:rsidR="00350B08" w:rsidRPr="009C0426">
          <w:rPr>
            <w:rStyle w:val="Hyperlink"/>
            <w:noProof/>
          </w:rPr>
          <w:t>4.1</w:t>
        </w:r>
        <w:r w:rsidR="00350B08">
          <w:rPr>
            <w:rFonts w:asciiTheme="minorHAnsi" w:eastAsiaTheme="minorEastAsia" w:hAnsiTheme="minorHAnsi" w:cstheme="minorBidi"/>
            <w:bCs w:val="0"/>
            <w:color w:val="auto"/>
            <w:sz w:val="22"/>
            <w:lang w:eastAsia="en-AU"/>
          </w:rPr>
          <w:tab/>
        </w:r>
        <w:r w:rsidR="00350B08" w:rsidRPr="009C0426">
          <w:rPr>
            <w:rStyle w:val="Hyperlink"/>
            <w:noProof/>
          </w:rPr>
          <w:t>Licensing for whole plants</w:t>
        </w:r>
        <w:r w:rsidR="00350B08">
          <w:rPr>
            <w:webHidden/>
          </w:rPr>
          <w:tab/>
        </w:r>
        <w:r w:rsidR="00350B08">
          <w:rPr>
            <w:webHidden/>
          </w:rPr>
          <w:fldChar w:fldCharType="begin"/>
        </w:r>
        <w:r w:rsidR="00350B08">
          <w:rPr>
            <w:webHidden/>
          </w:rPr>
          <w:instrText xml:space="preserve"> PAGEREF _Toc494449567 \h </w:instrText>
        </w:r>
        <w:r w:rsidR="00350B08">
          <w:rPr>
            <w:webHidden/>
          </w:rPr>
        </w:r>
        <w:r w:rsidR="00350B08">
          <w:rPr>
            <w:webHidden/>
          </w:rPr>
          <w:fldChar w:fldCharType="separate"/>
        </w:r>
        <w:r w:rsidR="00813A6A">
          <w:rPr>
            <w:webHidden/>
          </w:rPr>
          <w:t>7</w:t>
        </w:r>
        <w:r w:rsidR="00350B08">
          <w:rPr>
            <w:webHidden/>
          </w:rPr>
          <w:fldChar w:fldCharType="end"/>
        </w:r>
      </w:hyperlink>
    </w:p>
    <w:p w14:paraId="45F7FF01" w14:textId="1319A2F7" w:rsidR="00350B08" w:rsidRDefault="004D11D1">
      <w:pPr>
        <w:pStyle w:val="TOC2"/>
        <w:rPr>
          <w:rFonts w:asciiTheme="minorHAnsi" w:eastAsiaTheme="minorEastAsia" w:hAnsiTheme="minorHAnsi" w:cstheme="minorBidi"/>
          <w:bCs w:val="0"/>
          <w:color w:val="auto"/>
          <w:sz w:val="22"/>
          <w:lang w:eastAsia="en-AU"/>
        </w:rPr>
      </w:pPr>
      <w:hyperlink w:anchor="_Toc494449568" w:history="1">
        <w:r w:rsidR="00350B08" w:rsidRPr="009C0426">
          <w:rPr>
            <w:rStyle w:val="Hyperlink"/>
            <w:noProof/>
          </w:rPr>
          <w:t>4.2</w:t>
        </w:r>
        <w:r w:rsidR="00350B08">
          <w:rPr>
            <w:rFonts w:asciiTheme="minorHAnsi" w:eastAsiaTheme="minorEastAsia" w:hAnsiTheme="minorHAnsi" w:cstheme="minorBidi"/>
            <w:bCs w:val="0"/>
            <w:color w:val="auto"/>
            <w:sz w:val="22"/>
            <w:lang w:eastAsia="en-AU"/>
          </w:rPr>
          <w:tab/>
        </w:r>
        <w:r w:rsidR="00350B08" w:rsidRPr="009C0426">
          <w:rPr>
            <w:rStyle w:val="Hyperlink"/>
            <w:noProof/>
          </w:rPr>
          <w:t>Wild harvester licence</w:t>
        </w:r>
        <w:r w:rsidR="00350B08">
          <w:rPr>
            <w:webHidden/>
          </w:rPr>
          <w:tab/>
        </w:r>
        <w:r w:rsidR="00350B08">
          <w:rPr>
            <w:webHidden/>
          </w:rPr>
          <w:fldChar w:fldCharType="begin"/>
        </w:r>
        <w:r w:rsidR="00350B08">
          <w:rPr>
            <w:webHidden/>
          </w:rPr>
          <w:instrText xml:space="preserve"> PAGEREF _Toc494449568 \h </w:instrText>
        </w:r>
        <w:r w:rsidR="00350B08">
          <w:rPr>
            <w:webHidden/>
          </w:rPr>
        </w:r>
        <w:r w:rsidR="00350B08">
          <w:rPr>
            <w:webHidden/>
          </w:rPr>
          <w:fldChar w:fldCharType="separate"/>
        </w:r>
        <w:r w:rsidR="00813A6A">
          <w:rPr>
            <w:webHidden/>
          </w:rPr>
          <w:t>7</w:t>
        </w:r>
        <w:r w:rsidR="00350B08">
          <w:rPr>
            <w:webHidden/>
          </w:rPr>
          <w:fldChar w:fldCharType="end"/>
        </w:r>
      </w:hyperlink>
    </w:p>
    <w:p w14:paraId="55FEB628" w14:textId="27A968AF" w:rsidR="00350B08" w:rsidRDefault="004D11D1">
      <w:pPr>
        <w:pStyle w:val="TOC2"/>
        <w:rPr>
          <w:rFonts w:asciiTheme="minorHAnsi" w:eastAsiaTheme="minorEastAsia" w:hAnsiTheme="minorHAnsi" w:cstheme="minorBidi"/>
          <w:bCs w:val="0"/>
          <w:color w:val="auto"/>
          <w:sz w:val="22"/>
          <w:lang w:eastAsia="en-AU"/>
        </w:rPr>
      </w:pPr>
      <w:hyperlink w:anchor="_Toc494449569" w:history="1">
        <w:r w:rsidR="00350B08" w:rsidRPr="009C0426">
          <w:rPr>
            <w:rStyle w:val="Hyperlink"/>
            <w:noProof/>
          </w:rPr>
          <w:t>4.3</w:t>
        </w:r>
        <w:r w:rsidR="00350B08">
          <w:rPr>
            <w:rFonts w:asciiTheme="minorHAnsi" w:eastAsiaTheme="minorEastAsia" w:hAnsiTheme="minorHAnsi" w:cstheme="minorBidi"/>
            <w:bCs w:val="0"/>
            <w:color w:val="auto"/>
            <w:sz w:val="22"/>
            <w:lang w:eastAsia="en-AU"/>
          </w:rPr>
          <w:tab/>
        </w:r>
        <w:r w:rsidR="00350B08" w:rsidRPr="009C0426">
          <w:rPr>
            <w:rStyle w:val="Hyperlink"/>
            <w:noProof/>
          </w:rPr>
          <w:t>Approved harvester licence</w:t>
        </w:r>
        <w:r w:rsidR="00350B08">
          <w:rPr>
            <w:webHidden/>
          </w:rPr>
          <w:tab/>
        </w:r>
        <w:r w:rsidR="00350B08">
          <w:rPr>
            <w:webHidden/>
          </w:rPr>
          <w:fldChar w:fldCharType="begin"/>
        </w:r>
        <w:r w:rsidR="00350B08">
          <w:rPr>
            <w:webHidden/>
          </w:rPr>
          <w:instrText xml:space="preserve"> PAGEREF _Toc494449569 \h </w:instrText>
        </w:r>
        <w:r w:rsidR="00350B08">
          <w:rPr>
            <w:webHidden/>
          </w:rPr>
        </w:r>
        <w:r w:rsidR="00350B08">
          <w:rPr>
            <w:webHidden/>
          </w:rPr>
          <w:fldChar w:fldCharType="separate"/>
        </w:r>
        <w:r w:rsidR="00813A6A">
          <w:rPr>
            <w:webHidden/>
          </w:rPr>
          <w:t>7</w:t>
        </w:r>
        <w:r w:rsidR="00350B08">
          <w:rPr>
            <w:webHidden/>
          </w:rPr>
          <w:fldChar w:fldCharType="end"/>
        </w:r>
      </w:hyperlink>
    </w:p>
    <w:p w14:paraId="279F12D8" w14:textId="12C304FE" w:rsidR="00350B08" w:rsidRDefault="004D11D1">
      <w:pPr>
        <w:pStyle w:val="TOC2"/>
        <w:rPr>
          <w:rFonts w:asciiTheme="minorHAnsi" w:eastAsiaTheme="minorEastAsia" w:hAnsiTheme="minorHAnsi" w:cstheme="minorBidi"/>
          <w:bCs w:val="0"/>
          <w:color w:val="auto"/>
          <w:sz w:val="22"/>
          <w:lang w:eastAsia="en-AU"/>
        </w:rPr>
      </w:pPr>
      <w:hyperlink w:anchor="_Toc494449570" w:history="1">
        <w:r w:rsidR="00350B08" w:rsidRPr="009C0426">
          <w:rPr>
            <w:rStyle w:val="Hyperlink"/>
            <w:noProof/>
          </w:rPr>
          <w:t>4.4</w:t>
        </w:r>
        <w:r w:rsidR="00350B08">
          <w:rPr>
            <w:rFonts w:asciiTheme="minorHAnsi" w:eastAsiaTheme="minorEastAsia" w:hAnsiTheme="minorHAnsi" w:cstheme="minorBidi"/>
            <w:bCs w:val="0"/>
            <w:color w:val="auto"/>
            <w:sz w:val="22"/>
            <w:lang w:eastAsia="en-AU"/>
          </w:rPr>
          <w:tab/>
        </w:r>
        <w:r w:rsidR="00350B08" w:rsidRPr="009C0426">
          <w:rPr>
            <w:rStyle w:val="Hyperlink"/>
            <w:noProof/>
          </w:rPr>
          <w:t>Seed harvester licence</w:t>
        </w:r>
        <w:r w:rsidR="00350B08">
          <w:rPr>
            <w:webHidden/>
          </w:rPr>
          <w:tab/>
        </w:r>
        <w:r w:rsidR="00350B08">
          <w:rPr>
            <w:webHidden/>
          </w:rPr>
          <w:fldChar w:fldCharType="begin"/>
        </w:r>
        <w:r w:rsidR="00350B08">
          <w:rPr>
            <w:webHidden/>
          </w:rPr>
          <w:instrText xml:space="preserve"> PAGEREF _Toc494449570 \h </w:instrText>
        </w:r>
        <w:r w:rsidR="00350B08">
          <w:rPr>
            <w:webHidden/>
          </w:rPr>
        </w:r>
        <w:r w:rsidR="00350B08">
          <w:rPr>
            <w:webHidden/>
          </w:rPr>
          <w:fldChar w:fldCharType="separate"/>
        </w:r>
        <w:r w:rsidR="00813A6A">
          <w:rPr>
            <w:webHidden/>
          </w:rPr>
          <w:t>8</w:t>
        </w:r>
        <w:r w:rsidR="00350B08">
          <w:rPr>
            <w:webHidden/>
          </w:rPr>
          <w:fldChar w:fldCharType="end"/>
        </w:r>
      </w:hyperlink>
    </w:p>
    <w:p w14:paraId="1CA2BB0B" w14:textId="3972F1D5" w:rsidR="00350B08" w:rsidRDefault="004D11D1">
      <w:pPr>
        <w:pStyle w:val="TOC2"/>
        <w:rPr>
          <w:rFonts w:asciiTheme="minorHAnsi" w:eastAsiaTheme="minorEastAsia" w:hAnsiTheme="minorHAnsi" w:cstheme="minorBidi"/>
          <w:bCs w:val="0"/>
          <w:color w:val="auto"/>
          <w:sz w:val="22"/>
          <w:lang w:eastAsia="en-AU"/>
        </w:rPr>
      </w:pPr>
      <w:hyperlink w:anchor="_Toc494449571" w:history="1">
        <w:r w:rsidR="00350B08" w:rsidRPr="009C0426">
          <w:rPr>
            <w:rStyle w:val="Hyperlink"/>
            <w:noProof/>
          </w:rPr>
          <w:t>4.5</w:t>
        </w:r>
        <w:r w:rsidR="00350B08">
          <w:rPr>
            <w:rFonts w:asciiTheme="minorHAnsi" w:eastAsiaTheme="minorEastAsia" w:hAnsiTheme="minorHAnsi" w:cstheme="minorBidi"/>
            <w:bCs w:val="0"/>
            <w:color w:val="auto"/>
            <w:sz w:val="22"/>
            <w:lang w:eastAsia="en-AU"/>
          </w:rPr>
          <w:tab/>
        </w:r>
        <w:r w:rsidR="00350B08" w:rsidRPr="009C0426">
          <w:rPr>
            <w:rStyle w:val="Hyperlink"/>
            <w:noProof/>
          </w:rPr>
          <w:t>Grower licence</w:t>
        </w:r>
        <w:r w:rsidR="00350B08">
          <w:rPr>
            <w:webHidden/>
          </w:rPr>
          <w:tab/>
        </w:r>
        <w:r w:rsidR="00350B08">
          <w:rPr>
            <w:webHidden/>
          </w:rPr>
          <w:fldChar w:fldCharType="begin"/>
        </w:r>
        <w:r w:rsidR="00350B08">
          <w:rPr>
            <w:webHidden/>
          </w:rPr>
          <w:instrText xml:space="preserve"> PAGEREF _Toc494449571 \h </w:instrText>
        </w:r>
        <w:r w:rsidR="00350B08">
          <w:rPr>
            <w:webHidden/>
          </w:rPr>
        </w:r>
        <w:r w:rsidR="00350B08">
          <w:rPr>
            <w:webHidden/>
          </w:rPr>
          <w:fldChar w:fldCharType="separate"/>
        </w:r>
        <w:r w:rsidR="00813A6A">
          <w:rPr>
            <w:webHidden/>
          </w:rPr>
          <w:t>9</w:t>
        </w:r>
        <w:r w:rsidR="00350B08">
          <w:rPr>
            <w:webHidden/>
          </w:rPr>
          <w:fldChar w:fldCharType="end"/>
        </w:r>
      </w:hyperlink>
    </w:p>
    <w:p w14:paraId="29EE4EEB" w14:textId="654A4572" w:rsidR="00350B08" w:rsidRDefault="004D11D1">
      <w:pPr>
        <w:pStyle w:val="TOC2"/>
        <w:rPr>
          <w:rFonts w:asciiTheme="minorHAnsi" w:eastAsiaTheme="minorEastAsia" w:hAnsiTheme="minorHAnsi" w:cstheme="minorBidi"/>
          <w:bCs w:val="0"/>
          <w:color w:val="auto"/>
          <w:sz w:val="22"/>
          <w:lang w:eastAsia="en-AU"/>
        </w:rPr>
      </w:pPr>
      <w:hyperlink w:anchor="_Toc494449572" w:history="1">
        <w:r w:rsidR="00350B08" w:rsidRPr="009C0426">
          <w:rPr>
            <w:rStyle w:val="Hyperlink"/>
            <w:noProof/>
          </w:rPr>
          <w:t>4.6</w:t>
        </w:r>
        <w:r w:rsidR="00350B08">
          <w:rPr>
            <w:rFonts w:asciiTheme="minorHAnsi" w:eastAsiaTheme="minorEastAsia" w:hAnsiTheme="minorHAnsi" w:cstheme="minorBidi"/>
            <w:bCs w:val="0"/>
            <w:color w:val="auto"/>
            <w:sz w:val="22"/>
            <w:lang w:eastAsia="en-AU"/>
          </w:rPr>
          <w:tab/>
        </w:r>
        <w:r w:rsidR="00350B08" w:rsidRPr="009C0426">
          <w:rPr>
            <w:rStyle w:val="Hyperlink"/>
            <w:noProof/>
          </w:rPr>
          <w:t>Traditional use of whole protected plants</w:t>
        </w:r>
        <w:r w:rsidR="00350B08">
          <w:rPr>
            <w:webHidden/>
          </w:rPr>
          <w:tab/>
        </w:r>
        <w:r w:rsidR="00350B08">
          <w:rPr>
            <w:webHidden/>
          </w:rPr>
          <w:fldChar w:fldCharType="begin"/>
        </w:r>
        <w:r w:rsidR="00350B08">
          <w:rPr>
            <w:webHidden/>
          </w:rPr>
          <w:instrText xml:space="preserve"> PAGEREF _Toc494449572 \h </w:instrText>
        </w:r>
        <w:r w:rsidR="00350B08">
          <w:rPr>
            <w:webHidden/>
          </w:rPr>
        </w:r>
        <w:r w:rsidR="00350B08">
          <w:rPr>
            <w:webHidden/>
          </w:rPr>
          <w:fldChar w:fldCharType="separate"/>
        </w:r>
        <w:r w:rsidR="00813A6A">
          <w:rPr>
            <w:webHidden/>
          </w:rPr>
          <w:t>10</w:t>
        </w:r>
        <w:r w:rsidR="00350B08">
          <w:rPr>
            <w:webHidden/>
          </w:rPr>
          <w:fldChar w:fldCharType="end"/>
        </w:r>
      </w:hyperlink>
    </w:p>
    <w:p w14:paraId="36565082" w14:textId="40916E2E" w:rsidR="00350B08" w:rsidRDefault="004D11D1">
      <w:pPr>
        <w:pStyle w:val="TOC2"/>
        <w:rPr>
          <w:rFonts w:asciiTheme="minorHAnsi" w:eastAsiaTheme="minorEastAsia" w:hAnsiTheme="minorHAnsi" w:cstheme="minorBidi"/>
          <w:bCs w:val="0"/>
          <w:color w:val="auto"/>
          <w:sz w:val="22"/>
          <w:lang w:eastAsia="en-AU"/>
        </w:rPr>
      </w:pPr>
      <w:hyperlink w:anchor="_Toc494449573" w:history="1">
        <w:r w:rsidR="00350B08" w:rsidRPr="009C0426">
          <w:rPr>
            <w:rStyle w:val="Hyperlink"/>
            <w:noProof/>
          </w:rPr>
          <w:t>4.7</w:t>
        </w:r>
        <w:r w:rsidR="00350B08">
          <w:rPr>
            <w:rFonts w:asciiTheme="minorHAnsi" w:eastAsiaTheme="minorEastAsia" w:hAnsiTheme="minorHAnsi" w:cstheme="minorBidi"/>
            <w:bCs w:val="0"/>
            <w:color w:val="auto"/>
            <w:sz w:val="22"/>
            <w:lang w:eastAsia="en-AU"/>
          </w:rPr>
          <w:tab/>
        </w:r>
        <w:r w:rsidR="00350B08" w:rsidRPr="009C0426">
          <w:rPr>
            <w:rStyle w:val="Hyperlink"/>
            <w:noProof/>
          </w:rPr>
          <w:t>Commercial harvest for bush tucker and other purposes</w:t>
        </w:r>
        <w:r w:rsidR="00350B08">
          <w:rPr>
            <w:webHidden/>
          </w:rPr>
          <w:tab/>
        </w:r>
        <w:r w:rsidR="00350B08">
          <w:rPr>
            <w:webHidden/>
          </w:rPr>
          <w:fldChar w:fldCharType="begin"/>
        </w:r>
        <w:r w:rsidR="00350B08">
          <w:rPr>
            <w:webHidden/>
          </w:rPr>
          <w:instrText xml:space="preserve"> PAGEREF _Toc494449573 \h </w:instrText>
        </w:r>
        <w:r w:rsidR="00350B08">
          <w:rPr>
            <w:webHidden/>
          </w:rPr>
        </w:r>
        <w:r w:rsidR="00350B08">
          <w:rPr>
            <w:webHidden/>
          </w:rPr>
          <w:fldChar w:fldCharType="separate"/>
        </w:r>
        <w:r w:rsidR="00813A6A">
          <w:rPr>
            <w:webHidden/>
          </w:rPr>
          <w:t>10</w:t>
        </w:r>
        <w:r w:rsidR="00350B08">
          <w:rPr>
            <w:webHidden/>
          </w:rPr>
          <w:fldChar w:fldCharType="end"/>
        </w:r>
      </w:hyperlink>
    </w:p>
    <w:p w14:paraId="285B5B7A" w14:textId="7EFBF884" w:rsidR="00350B08" w:rsidRDefault="004D11D1">
      <w:pPr>
        <w:pStyle w:val="TOC2"/>
        <w:rPr>
          <w:rFonts w:asciiTheme="minorHAnsi" w:eastAsiaTheme="minorEastAsia" w:hAnsiTheme="minorHAnsi" w:cstheme="minorBidi"/>
          <w:bCs w:val="0"/>
          <w:color w:val="auto"/>
          <w:sz w:val="22"/>
          <w:lang w:eastAsia="en-AU"/>
        </w:rPr>
      </w:pPr>
      <w:hyperlink w:anchor="_Toc494449574" w:history="1">
        <w:r w:rsidR="00350B08" w:rsidRPr="009C0426">
          <w:rPr>
            <w:rStyle w:val="Hyperlink"/>
            <w:noProof/>
          </w:rPr>
          <w:t>4.8</w:t>
        </w:r>
        <w:r w:rsidR="00350B08">
          <w:rPr>
            <w:rFonts w:asciiTheme="minorHAnsi" w:eastAsiaTheme="minorEastAsia" w:hAnsiTheme="minorHAnsi" w:cstheme="minorBidi"/>
            <w:bCs w:val="0"/>
            <w:color w:val="auto"/>
            <w:sz w:val="22"/>
            <w:lang w:eastAsia="en-AU"/>
          </w:rPr>
          <w:tab/>
        </w:r>
        <w:r w:rsidR="00350B08" w:rsidRPr="009C0426">
          <w:rPr>
            <w:rStyle w:val="Hyperlink"/>
            <w:noProof/>
          </w:rPr>
          <w:t>Location of harvest</w:t>
        </w:r>
        <w:r w:rsidR="00350B08">
          <w:rPr>
            <w:webHidden/>
          </w:rPr>
          <w:tab/>
        </w:r>
        <w:r w:rsidR="00350B08">
          <w:rPr>
            <w:webHidden/>
          </w:rPr>
          <w:fldChar w:fldCharType="begin"/>
        </w:r>
        <w:r w:rsidR="00350B08">
          <w:rPr>
            <w:webHidden/>
          </w:rPr>
          <w:instrText xml:space="preserve"> PAGEREF _Toc494449574 \h </w:instrText>
        </w:r>
        <w:r w:rsidR="00350B08">
          <w:rPr>
            <w:webHidden/>
          </w:rPr>
        </w:r>
        <w:r w:rsidR="00350B08">
          <w:rPr>
            <w:webHidden/>
          </w:rPr>
          <w:fldChar w:fldCharType="separate"/>
        </w:r>
        <w:r w:rsidR="00813A6A">
          <w:rPr>
            <w:webHidden/>
          </w:rPr>
          <w:t>10</w:t>
        </w:r>
        <w:r w:rsidR="00350B08">
          <w:rPr>
            <w:webHidden/>
          </w:rPr>
          <w:fldChar w:fldCharType="end"/>
        </w:r>
      </w:hyperlink>
    </w:p>
    <w:p w14:paraId="53D11F67" w14:textId="152075B6" w:rsidR="00350B08" w:rsidRDefault="004D11D1">
      <w:pPr>
        <w:pStyle w:val="TOC2"/>
        <w:rPr>
          <w:rFonts w:asciiTheme="minorHAnsi" w:eastAsiaTheme="minorEastAsia" w:hAnsiTheme="minorHAnsi" w:cstheme="minorBidi"/>
          <w:bCs w:val="0"/>
          <w:color w:val="auto"/>
          <w:sz w:val="22"/>
          <w:lang w:eastAsia="en-AU"/>
        </w:rPr>
      </w:pPr>
      <w:hyperlink w:anchor="_Toc494449575" w:history="1">
        <w:r w:rsidR="00350B08" w:rsidRPr="009C0426">
          <w:rPr>
            <w:rStyle w:val="Hyperlink"/>
            <w:noProof/>
          </w:rPr>
          <w:t>4.9</w:t>
        </w:r>
        <w:r w:rsidR="00350B08">
          <w:rPr>
            <w:rFonts w:asciiTheme="minorHAnsi" w:eastAsiaTheme="minorEastAsia" w:hAnsiTheme="minorHAnsi" w:cstheme="minorBidi"/>
            <w:bCs w:val="0"/>
            <w:color w:val="auto"/>
            <w:sz w:val="22"/>
            <w:lang w:eastAsia="en-AU"/>
          </w:rPr>
          <w:tab/>
        </w:r>
        <w:r w:rsidR="00350B08" w:rsidRPr="009C0426">
          <w:rPr>
            <w:rStyle w:val="Hyperlink"/>
            <w:noProof/>
          </w:rPr>
          <w:t>Sourcing seeds and other propagating material</w:t>
        </w:r>
        <w:r w:rsidR="00350B08">
          <w:rPr>
            <w:webHidden/>
          </w:rPr>
          <w:tab/>
        </w:r>
        <w:r w:rsidR="00350B08">
          <w:rPr>
            <w:webHidden/>
          </w:rPr>
          <w:fldChar w:fldCharType="begin"/>
        </w:r>
        <w:r w:rsidR="00350B08">
          <w:rPr>
            <w:webHidden/>
          </w:rPr>
          <w:instrText xml:space="preserve"> PAGEREF _Toc494449575 \h </w:instrText>
        </w:r>
        <w:r w:rsidR="00350B08">
          <w:rPr>
            <w:webHidden/>
          </w:rPr>
        </w:r>
        <w:r w:rsidR="00350B08">
          <w:rPr>
            <w:webHidden/>
          </w:rPr>
          <w:fldChar w:fldCharType="separate"/>
        </w:r>
        <w:r w:rsidR="00813A6A">
          <w:rPr>
            <w:webHidden/>
          </w:rPr>
          <w:t>12</w:t>
        </w:r>
        <w:r w:rsidR="00350B08">
          <w:rPr>
            <w:webHidden/>
          </w:rPr>
          <w:fldChar w:fldCharType="end"/>
        </w:r>
      </w:hyperlink>
    </w:p>
    <w:p w14:paraId="18AE8238" w14:textId="43671DC2" w:rsidR="00350B08" w:rsidRDefault="004D11D1">
      <w:pPr>
        <w:pStyle w:val="TOC2"/>
        <w:rPr>
          <w:rFonts w:asciiTheme="minorHAnsi" w:eastAsiaTheme="minorEastAsia" w:hAnsiTheme="minorHAnsi" w:cstheme="minorBidi"/>
          <w:bCs w:val="0"/>
          <w:color w:val="auto"/>
          <w:sz w:val="22"/>
          <w:lang w:eastAsia="en-AU"/>
        </w:rPr>
      </w:pPr>
      <w:hyperlink w:anchor="_Toc494449576" w:history="1">
        <w:r w:rsidR="00350B08" w:rsidRPr="009C0426">
          <w:rPr>
            <w:rStyle w:val="Hyperlink"/>
            <w:noProof/>
          </w:rPr>
          <w:t>4.10</w:t>
        </w:r>
        <w:r w:rsidR="00350B08">
          <w:rPr>
            <w:rFonts w:asciiTheme="minorHAnsi" w:eastAsiaTheme="minorEastAsia" w:hAnsiTheme="minorHAnsi" w:cstheme="minorBidi"/>
            <w:bCs w:val="0"/>
            <w:color w:val="auto"/>
            <w:sz w:val="22"/>
            <w:lang w:eastAsia="en-AU"/>
          </w:rPr>
          <w:tab/>
        </w:r>
        <w:r w:rsidR="00350B08" w:rsidRPr="009C0426">
          <w:rPr>
            <w:rStyle w:val="Hyperlink"/>
            <w:noProof/>
          </w:rPr>
          <w:t>Managing harvest impacts</w:t>
        </w:r>
        <w:r w:rsidR="00350B08">
          <w:rPr>
            <w:webHidden/>
          </w:rPr>
          <w:tab/>
        </w:r>
        <w:r w:rsidR="00350B08">
          <w:rPr>
            <w:webHidden/>
          </w:rPr>
          <w:fldChar w:fldCharType="begin"/>
        </w:r>
        <w:r w:rsidR="00350B08">
          <w:rPr>
            <w:webHidden/>
          </w:rPr>
          <w:instrText xml:space="preserve"> PAGEREF _Toc494449576 \h </w:instrText>
        </w:r>
        <w:r w:rsidR="00350B08">
          <w:rPr>
            <w:webHidden/>
          </w:rPr>
        </w:r>
        <w:r w:rsidR="00350B08">
          <w:rPr>
            <w:webHidden/>
          </w:rPr>
          <w:fldChar w:fldCharType="separate"/>
        </w:r>
        <w:r w:rsidR="00813A6A">
          <w:rPr>
            <w:webHidden/>
          </w:rPr>
          <w:t>13</w:t>
        </w:r>
        <w:r w:rsidR="00350B08">
          <w:rPr>
            <w:webHidden/>
          </w:rPr>
          <w:fldChar w:fldCharType="end"/>
        </w:r>
      </w:hyperlink>
    </w:p>
    <w:p w14:paraId="79C662FA" w14:textId="5ED7B755" w:rsidR="00350B08" w:rsidRDefault="004D11D1">
      <w:pPr>
        <w:pStyle w:val="TOC2"/>
        <w:rPr>
          <w:rFonts w:asciiTheme="minorHAnsi" w:eastAsiaTheme="minorEastAsia" w:hAnsiTheme="minorHAnsi" w:cstheme="minorBidi"/>
          <w:bCs w:val="0"/>
          <w:color w:val="auto"/>
          <w:sz w:val="22"/>
          <w:lang w:eastAsia="en-AU"/>
        </w:rPr>
      </w:pPr>
      <w:hyperlink w:anchor="_Toc494449577" w:history="1">
        <w:r w:rsidR="00350B08" w:rsidRPr="009C0426">
          <w:rPr>
            <w:rStyle w:val="Hyperlink"/>
            <w:noProof/>
          </w:rPr>
          <w:t>4.11</w:t>
        </w:r>
        <w:r w:rsidR="00350B08">
          <w:rPr>
            <w:rFonts w:asciiTheme="minorHAnsi" w:eastAsiaTheme="minorEastAsia" w:hAnsiTheme="minorHAnsi" w:cstheme="minorBidi"/>
            <w:bCs w:val="0"/>
            <w:color w:val="auto"/>
            <w:sz w:val="22"/>
            <w:lang w:eastAsia="en-AU"/>
          </w:rPr>
          <w:tab/>
        </w:r>
        <w:r w:rsidR="00350B08" w:rsidRPr="009C0426">
          <w:rPr>
            <w:rStyle w:val="Hyperlink"/>
            <w:noProof/>
          </w:rPr>
          <w:t>Whole plant tagging requirements</w:t>
        </w:r>
        <w:r w:rsidR="00350B08">
          <w:rPr>
            <w:webHidden/>
          </w:rPr>
          <w:tab/>
        </w:r>
        <w:r w:rsidR="00350B08">
          <w:rPr>
            <w:webHidden/>
          </w:rPr>
          <w:fldChar w:fldCharType="begin"/>
        </w:r>
        <w:r w:rsidR="00350B08">
          <w:rPr>
            <w:webHidden/>
          </w:rPr>
          <w:instrText xml:space="preserve"> PAGEREF _Toc494449577 \h </w:instrText>
        </w:r>
        <w:r w:rsidR="00350B08">
          <w:rPr>
            <w:webHidden/>
          </w:rPr>
        </w:r>
        <w:r w:rsidR="00350B08">
          <w:rPr>
            <w:webHidden/>
          </w:rPr>
          <w:fldChar w:fldCharType="separate"/>
        </w:r>
        <w:r w:rsidR="00813A6A">
          <w:rPr>
            <w:webHidden/>
          </w:rPr>
          <w:t>15</w:t>
        </w:r>
        <w:r w:rsidR="00350B08">
          <w:rPr>
            <w:webHidden/>
          </w:rPr>
          <w:fldChar w:fldCharType="end"/>
        </w:r>
      </w:hyperlink>
    </w:p>
    <w:p w14:paraId="4ACFF958" w14:textId="059E4A13" w:rsidR="00350B08" w:rsidRDefault="004D11D1">
      <w:pPr>
        <w:pStyle w:val="TOC2"/>
        <w:rPr>
          <w:rFonts w:asciiTheme="minorHAnsi" w:eastAsiaTheme="minorEastAsia" w:hAnsiTheme="minorHAnsi" w:cstheme="minorBidi"/>
          <w:bCs w:val="0"/>
          <w:color w:val="auto"/>
          <w:sz w:val="22"/>
          <w:lang w:eastAsia="en-AU"/>
        </w:rPr>
      </w:pPr>
      <w:hyperlink w:anchor="_Toc494449578" w:history="1">
        <w:r w:rsidR="00350B08" w:rsidRPr="009C0426">
          <w:rPr>
            <w:rStyle w:val="Hyperlink"/>
            <w:noProof/>
          </w:rPr>
          <w:t>4.12</w:t>
        </w:r>
        <w:r w:rsidR="00350B08">
          <w:rPr>
            <w:rFonts w:asciiTheme="minorHAnsi" w:eastAsiaTheme="minorEastAsia" w:hAnsiTheme="minorHAnsi" w:cstheme="minorBidi"/>
            <w:bCs w:val="0"/>
            <w:color w:val="auto"/>
            <w:sz w:val="22"/>
            <w:lang w:eastAsia="en-AU"/>
          </w:rPr>
          <w:tab/>
        </w:r>
        <w:r w:rsidR="00350B08" w:rsidRPr="009C0426">
          <w:rPr>
            <w:rStyle w:val="Hyperlink"/>
            <w:noProof/>
          </w:rPr>
          <w:t>Monitoring requirements for wild harvesters and approved harvesters</w:t>
        </w:r>
        <w:r w:rsidR="00350B08">
          <w:rPr>
            <w:webHidden/>
          </w:rPr>
          <w:tab/>
        </w:r>
        <w:r w:rsidR="00350B08">
          <w:rPr>
            <w:webHidden/>
          </w:rPr>
          <w:fldChar w:fldCharType="begin"/>
        </w:r>
        <w:r w:rsidR="00350B08">
          <w:rPr>
            <w:webHidden/>
          </w:rPr>
          <w:instrText xml:space="preserve"> PAGEREF _Toc494449578 \h </w:instrText>
        </w:r>
        <w:r w:rsidR="00350B08">
          <w:rPr>
            <w:webHidden/>
          </w:rPr>
        </w:r>
        <w:r w:rsidR="00350B08">
          <w:rPr>
            <w:webHidden/>
          </w:rPr>
          <w:fldChar w:fldCharType="separate"/>
        </w:r>
        <w:r w:rsidR="00813A6A">
          <w:rPr>
            <w:webHidden/>
          </w:rPr>
          <w:t>17</w:t>
        </w:r>
        <w:r w:rsidR="00350B08">
          <w:rPr>
            <w:webHidden/>
          </w:rPr>
          <w:fldChar w:fldCharType="end"/>
        </w:r>
      </w:hyperlink>
    </w:p>
    <w:p w14:paraId="279D8DCC" w14:textId="3BBDE20A" w:rsidR="00350B08" w:rsidRDefault="004D11D1">
      <w:pPr>
        <w:pStyle w:val="TOC2"/>
        <w:rPr>
          <w:rFonts w:asciiTheme="minorHAnsi" w:eastAsiaTheme="minorEastAsia" w:hAnsiTheme="minorHAnsi" w:cstheme="minorBidi"/>
          <w:bCs w:val="0"/>
          <w:color w:val="auto"/>
          <w:sz w:val="22"/>
          <w:lang w:eastAsia="en-AU"/>
        </w:rPr>
      </w:pPr>
      <w:hyperlink w:anchor="_Toc494449579" w:history="1">
        <w:r w:rsidR="00350B08" w:rsidRPr="009C0426">
          <w:rPr>
            <w:rStyle w:val="Hyperlink"/>
            <w:noProof/>
          </w:rPr>
          <w:t>4.13</w:t>
        </w:r>
        <w:r w:rsidR="00350B08">
          <w:rPr>
            <w:rFonts w:asciiTheme="minorHAnsi" w:eastAsiaTheme="minorEastAsia" w:hAnsiTheme="minorHAnsi" w:cstheme="minorBidi"/>
            <w:bCs w:val="0"/>
            <w:color w:val="auto"/>
            <w:sz w:val="22"/>
            <w:lang w:eastAsia="en-AU"/>
          </w:rPr>
          <w:tab/>
        </w:r>
        <w:r w:rsidR="00350B08" w:rsidRPr="009C0426">
          <w:rPr>
            <w:rStyle w:val="Hyperlink"/>
            <w:noProof/>
          </w:rPr>
          <w:t>Record-keeping requirements</w:t>
        </w:r>
        <w:r w:rsidR="00350B08">
          <w:rPr>
            <w:webHidden/>
          </w:rPr>
          <w:tab/>
        </w:r>
        <w:r w:rsidR="00350B08">
          <w:rPr>
            <w:webHidden/>
          </w:rPr>
          <w:fldChar w:fldCharType="begin"/>
        </w:r>
        <w:r w:rsidR="00350B08">
          <w:rPr>
            <w:webHidden/>
          </w:rPr>
          <w:instrText xml:space="preserve"> PAGEREF _Toc494449579 \h </w:instrText>
        </w:r>
        <w:r w:rsidR="00350B08">
          <w:rPr>
            <w:webHidden/>
          </w:rPr>
        </w:r>
        <w:r w:rsidR="00350B08">
          <w:rPr>
            <w:webHidden/>
          </w:rPr>
          <w:fldChar w:fldCharType="separate"/>
        </w:r>
        <w:r w:rsidR="00813A6A">
          <w:rPr>
            <w:webHidden/>
          </w:rPr>
          <w:t>17</w:t>
        </w:r>
        <w:r w:rsidR="00350B08">
          <w:rPr>
            <w:webHidden/>
          </w:rPr>
          <w:fldChar w:fldCharType="end"/>
        </w:r>
      </w:hyperlink>
    </w:p>
    <w:p w14:paraId="62558301" w14:textId="446232D0" w:rsidR="00350B08" w:rsidRDefault="004D11D1">
      <w:pPr>
        <w:pStyle w:val="TOC2"/>
        <w:rPr>
          <w:rFonts w:asciiTheme="minorHAnsi" w:eastAsiaTheme="minorEastAsia" w:hAnsiTheme="minorHAnsi" w:cstheme="minorBidi"/>
          <w:bCs w:val="0"/>
          <w:color w:val="auto"/>
          <w:sz w:val="22"/>
          <w:lang w:eastAsia="en-AU"/>
        </w:rPr>
      </w:pPr>
      <w:hyperlink w:anchor="_Toc494449580" w:history="1">
        <w:r w:rsidR="00350B08" w:rsidRPr="009C0426">
          <w:rPr>
            <w:rStyle w:val="Hyperlink"/>
            <w:noProof/>
          </w:rPr>
          <w:t>4.14</w:t>
        </w:r>
        <w:r w:rsidR="00350B08">
          <w:rPr>
            <w:rFonts w:asciiTheme="minorHAnsi" w:eastAsiaTheme="minorEastAsia" w:hAnsiTheme="minorHAnsi" w:cstheme="minorBidi"/>
            <w:bCs w:val="0"/>
            <w:color w:val="auto"/>
            <w:sz w:val="22"/>
            <w:lang w:eastAsia="en-AU"/>
          </w:rPr>
          <w:tab/>
        </w:r>
        <w:r w:rsidR="00350B08" w:rsidRPr="009C0426">
          <w:rPr>
            <w:rStyle w:val="Hyperlink"/>
            <w:noProof/>
          </w:rPr>
          <w:t>Licence fees</w:t>
        </w:r>
        <w:r w:rsidR="00350B08">
          <w:rPr>
            <w:webHidden/>
          </w:rPr>
          <w:tab/>
        </w:r>
        <w:r w:rsidR="00350B08">
          <w:rPr>
            <w:webHidden/>
          </w:rPr>
          <w:fldChar w:fldCharType="begin"/>
        </w:r>
        <w:r w:rsidR="00350B08">
          <w:rPr>
            <w:webHidden/>
          </w:rPr>
          <w:instrText xml:space="preserve"> PAGEREF _Toc494449580 \h </w:instrText>
        </w:r>
        <w:r w:rsidR="00350B08">
          <w:rPr>
            <w:webHidden/>
          </w:rPr>
        </w:r>
        <w:r w:rsidR="00350B08">
          <w:rPr>
            <w:webHidden/>
          </w:rPr>
          <w:fldChar w:fldCharType="separate"/>
        </w:r>
        <w:r w:rsidR="00813A6A">
          <w:rPr>
            <w:webHidden/>
          </w:rPr>
          <w:t>17</w:t>
        </w:r>
        <w:r w:rsidR="00350B08">
          <w:rPr>
            <w:webHidden/>
          </w:rPr>
          <w:fldChar w:fldCharType="end"/>
        </w:r>
      </w:hyperlink>
    </w:p>
    <w:p w14:paraId="058FAA8A" w14:textId="014E4EEC" w:rsidR="00350B08" w:rsidRDefault="004D11D1">
      <w:pPr>
        <w:pStyle w:val="TOC2"/>
        <w:rPr>
          <w:rFonts w:asciiTheme="minorHAnsi" w:eastAsiaTheme="minorEastAsia" w:hAnsiTheme="minorHAnsi" w:cstheme="minorBidi"/>
          <w:bCs w:val="0"/>
          <w:color w:val="auto"/>
          <w:sz w:val="22"/>
          <w:lang w:eastAsia="en-AU"/>
        </w:rPr>
      </w:pPr>
      <w:hyperlink w:anchor="_Toc494449581" w:history="1">
        <w:r w:rsidR="00350B08" w:rsidRPr="009C0426">
          <w:rPr>
            <w:rStyle w:val="Hyperlink"/>
            <w:noProof/>
          </w:rPr>
          <w:t>4.15</w:t>
        </w:r>
        <w:r w:rsidR="00350B08">
          <w:rPr>
            <w:rFonts w:asciiTheme="minorHAnsi" w:eastAsiaTheme="minorEastAsia" w:hAnsiTheme="minorHAnsi" w:cstheme="minorBidi"/>
            <w:bCs w:val="0"/>
            <w:color w:val="auto"/>
            <w:sz w:val="22"/>
            <w:lang w:eastAsia="en-AU"/>
          </w:rPr>
          <w:tab/>
        </w:r>
        <w:r w:rsidR="00350B08" w:rsidRPr="009C0426">
          <w:rPr>
            <w:rStyle w:val="Hyperlink"/>
            <w:noProof/>
          </w:rPr>
          <w:t>Public listing of licensees on the OEH website</w:t>
        </w:r>
        <w:r w:rsidR="00350B08">
          <w:rPr>
            <w:webHidden/>
          </w:rPr>
          <w:tab/>
        </w:r>
        <w:r w:rsidR="00350B08">
          <w:rPr>
            <w:webHidden/>
          </w:rPr>
          <w:fldChar w:fldCharType="begin"/>
        </w:r>
        <w:r w:rsidR="00350B08">
          <w:rPr>
            <w:webHidden/>
          </w:rPr>
          <w:instrText xml:space="preserve"> PAGEREF _Toc494449581 \h </w:instrText>
        </w:r>
        <w:r w:rsidR="00350B08">
          <w:rPr>
            <w:webHidden/>
          </w:rPr>
        </w:r>
        <w:r w:rsidR="00350B08">
          <w:rPr>
            <w:webHidden/>
          </w:rPr>
          <w:fldChar w:fldCharType="separate"/>
        </w:r>
        <w:r w:rsidR="00813A6A">
          <w:rPr>
            <w:webHidden/>
          </w:rPr>
          <w:t>18</w:t>
        </w:r>
        <w:r w:rsidR="00350B08">
          <w:rPr>
            <w:webHidden/>
          </w:rPr>
          <w:fldChar w:fldCharType="end"/>
        </w:r>
      </w:hyperlink>
    </w:p>
    <w:p w14:paraId="738E1632" w14:textId="245C28BA" w:rsidR="00350B08" w:rsidRDefault="004D11D1">
      <w:pPr>
        <w:pStyle w:val="TOC2"/>
        <w:rPr>
          <w:rFonts w:asciiTheme="minorHAnsi" w:eastAsiaTheme="minorEastAsia" w:hAnsiTheme="minorHAnsi" w:cstheme="minorBidi"/>
          <w:bCs w:val="0"/>
          <w:color w:val="auto"/>
          <w:sz w:val="22"/>
          <w:lang w:eastAsia="en-AU"/>
        </w:rPr>
      </w:pPr>
      <w:hyperlink w:anchor="_Toc494449582" w:history="1">
        <w:r w:rsidR="00350B08" w:rsidRPr="009C0426">
          <w:rPr>
            <w:rStyle w:val="Hyperlink"/>
            <w:noProof/>
          </w:rPr>
          <w:t>4.16</w:t>
        </w:r>
        <w:r w:rsidR="00350B08">
          <w:rPr>
            <w:rFonts w:asciiTheme="minorHAnsi" w:eastAsiaTheme="minorEastAsia" w:hAnsiTheme="minorHAnsi" w:cstheme="minorBidi"/>
            <w:bCs w:val="0"/>
            <w:color w:val="auto"/>
            <w:sz w:val="22"/>
            <w:lang w:eastAsia="en-AU"/>
          </w:rPr>
          <w:tab/>
        </w:r>
        <w:r w:rsidR="00350B08" w:rsidRPr="009C0426">
          <w:rPr>
            <w:rStyle w:val="Hyperlink"/>
            <w:noProof/>
          </w:rPr>
          <w:t>Importing and exporting protected plants</w:t>
        </w:r>
        <w:r w:rsidR="00350B08">
          <w:rPr>
            <w:webHidden/>
          </w:rPr>
          <w:tab/>
        </w:r>
        <w:r w:rsidR="00350B08">
          <w:rPr>
            <w:webHidden/>
          </w:rPr>
          <w:fldChar w:fldCharType="begin"/>
        </w:r>
        <w:r w:rsidR="00350B08">
          <w:rPr>
            <w:webHidden/>
          </w:rPr>
          <w:instrText xml:space="preserve"> PAGEREF _Toc494449582 \h </w:instrText>
        </w:r>
        <w:r w:rsidR="00350B08">
          <w:rPr>
            <w:webHidden/>
          </w:rPr>
        </w:r>
        <w:r w:rsidR="00350B08">
          <w:rPr>
            <w:webHidden/>
          </w:rPr>
          <w:fldChar w:fldCharType="separate"/>
        </w:r>
        <w:r w:rsidR="00813A6A">
          <w:rPr>
            <w:webHidden/>
          </w:rPr>
          <w:t>18</w:t>
        </w:r>
        <w:r w:rsidR="00350B08">
          <w:rPr>
            <w:webHidden/>
          </w:rPr>
          <w:fldChar w:fldCharType="end"/>
        </w:r>
      </w:hyperlink>
    </w:p>
    <w:p w14:paraId="2CF6607F" w14:textId="6E012BC4" w:rsidR="00350B08" w:rsidRDefault="004D11D1">
      <w:pPr>
        <w:pStyle w:val="TOC1"/>
        <w:rPr>
          <w:rFonts w:asciiTheme="minorHAnsi" w:eastAsiaTheme="minorEastAsia" w:hAnsiTheme="minorHAnsi"/>
          <w:color w:val="auto"/>
          <w:sz w:val="22"/>
          <w:lang w:eastAsia="en-AU"/>
        </w:rPr>
      </w:pPr>
      <w:hyperlink w:anchor="_Toc494449583" w:history="1">
        <w:r w:rsidR="00350B08" w:rsidRPr="009C0426">
          <w:rPr>
            <w:rStyle w:val="Hyperlink"/>
            <w:noProof/>
          </w:rPr>
          <w:t>5</w:t>
        </w:r>
        <w:r w:rsidR="00350B08">
          <w:rPr>
            <w:rFonts w:asciiTheme="minorHAnsi" w:eastAsiaTheme="minorEastAsia" w:hAnsiTheme="minorHAnsi"/>
            <w:color w:val="auto"/>
            <w:sz w:val="22"/>
            <w:lang w:eastAsia="en-AU"/>
          </w:rPr>
          <w:tab/>
        </w:r>
        <w:r w:rsidR="00350B08" w:rsidRPr="009C0426">
          <w:rPr>
            <w:rStyle w:val="Hyperlink"/>
            <w:noProof/>
          </w:rPr>
          <w:t>Management protocols</w:t>
        </w:r>
        <w:r w:rsidR="00350B08">
          <w:rPr>
            <w:webHidden/>
          </w:rPr>
          <w:tab/>
        </w:r>
        <w:r w:rsidR="00350B08">
          <w:rPr>
            <w:webHidden/>
          </w:rPr>
          <w:fldChar w:fldCharType="begin"/>
        </w:r>
        <w:r w:rsidR="00350B08">
          <w:rPr>
            <w:webHidden/>
          </w:rPr>
          <w:instrText xml:space="preserve"> PAGEREF _Toc494449583 \h </w:instrText>
        </w:r>
        <w:r w:rsidR="00350B08">
          <w:rPr>
            <w:webHidden/>
          </w:rPr>
        </w:r>
        <w:r w:rsidR="00350B08">
          <w:rPr>
            <w:webHidden/>
          </w:rPr>
          <w:fldChar w:fldCharType="separate"/>
        </w:r>
        <w:r w:rsidR="00813A6A">
          <w:rPr>
            <w:webHidden/>
          </w:rPr>
          <w:t>19</w:t>
        </w:r>
        <w:r w:rsidR="00350B08">
          <w:rPr>
            <w:webHidden/>
          </w:rPr>
          <w:fldChar w:fldCharType="end"/>
        </w:r>
      </w:hyperlink>
    </w:p>
    <w:p w14:paraId="02E0A402" w14:textId="0F5F65EB" w:rsidR="00350B08" w:rsidRDefault="004D11D1">
      <w:pPr>
        <w:pStyle w:val="TOC2"/>
        <w:rPr>
          <w:rFonts w:asciiTheme="minorHAnsi" w:eastAsiaTheme="minorEastAsia" w:hAnsiTheme="minorHAnsi" w:cstheme="minorBidi"/>
          <w:bCs w:val="0"/>
          <w:color w:val="auto"/>
          <w:sz w:val="22"/>
          <w:lang w:eastAsia="en-AU"/>
        </w:rPr>
      </w:pPr>
      <w:hyperlink w:anchor="_Toc494449584" w:history="1">
        <w:r w:rsidR="00350B08" w:rsidRPr="009C0426">
          <w:rPr>
            <w:rStyle w:val="Hyperlink"/>
            <w:noProof/>
          </w:rPr>
          <w:t>5.1</w:t>
        </w:r>
        <w:r w:rsidR="00350B08">
          <w:rPr>
            <w:rFonts w:asciiTheme="minorHAnsi" w:eastAsiaTheme="minorEastAsia" w:hAnsiTheme="minorHAnsi" w:cstheme="minorBidi"/>
            <w:bCs w:val="0"/>
            <w:color w:val="auto"/>
            <w:sz w:val="22"/>
            <w:lang w:eastAsia="en-AU"/>
          </w:rPr>
          <w:tab/>
        </w:r>
        <w:r w:rsidR="00350B08" w:rsidRPr="009C0426">
          <w:rPr>
            <w:rStyle w:val="Hyperlink"/>
            <w:noProof/>
          </w:rPr>
          <w:t>Managing risk through plant groupings in Schedule 6 Part 2</w:t>
        </w:r>
        <w:r w:rsidR="00350B08">
          <w:rPr>
            <w:webHidden/>
          </w:rPr>
          <w:tab/>
        </w:r>
        <w:r w:rsidR="00350B08">
          <w:rPr>
            <w:webHidden/>
          </w:rPr>
          <w:fldChar w:fldCharType="begin"/>
        </w:r>
        <w:r w:rsidR="00350B08">
          <w:rPr>
            <w:webHidden/>
          </w:rPr>
          <w:instrText xml:space="preserve"> PAGEREF _Toc494449584 \h </w:instrText>
        </w:r>
        <w:r w:rsidR="00350B08">
          <w:rPr>
            <w:webHidden/>
          </w:rPr>
        </w:r>
        <w:r w:rsidR="00350B08">
          <w:rPr>
            <w:webHidden/>
          </w:rPr>
          <w:fldChar w:fldCharType="separate"/>
        </w:r>
        <w:r w:rsidR="00813A6A">
          <w:rPr>
            <w:webHidden/>
          </w:rPr>
          <w:t>19</w:t>
        </w:r>
        <w:r w:rsidR="00350B08">
          <w:rPr>
            <w:webHidden/>
          </w:rPr>
          <w:fldChar w:fldCharType="end"/>
        </w:r>
      </w:hyperlink>
    </w:p>
    <w:p w14:paraId="7F009938" w14:textId="72D1451D" w:rsidR="00350B08" w:rsidRDefault="004D11D1">
      <w:pPr>
        <w:pStyle w:val="TOC2"/>
        <w:rPr>
          <w:rFonts w:asciiTheme="minorHAnsi" w:eastAsiaTheme="minorEastAsia" w:hAnsiTheme="minorHAnsi" w:cstheme="minorBidi"/>
          <w:bCs w:val="0"/>
          <w:color w:val="auto"/>
          <w:sz w:val="22"/>
          <w:lang w:eastAsia="en-AU"/>
        </w:rPr>
      </w:pPr>
      <w:hyperlink w:anchor="_Toc494449585" w:history="1">
        <w:r w:rsidR="00350B08" w:rsidRPr="009C0426">
          <w:rPr>
            <w:rStyle w:val="Hyperlink"/>
            <w:noProof/>
          </w:rPr>
          <w:t>5.2</w:t>
        </w:r>
        <w:r w:rsidR="00350B08">
          <w:rPr>
            <w:rFonts w:asciiTheme="minorHAnsi" w:eastAsiaTheme="minorEastAsia" w:hAnsiTheme="minorHAnsi" w:cstheme="minorBidi"/>
            <w:bCs w:val="0"/>
            <w:color w:val="auto"/>
            <w:sz w:val="22"/>
            <w:lang w:eastAsia="en-AU"/>
          </w:rPr>
          <w:tab/>
        </w:r>
        <w:r w:rsidR="00350B08" w:rsidRPr="009C0426">
          <w:rPr>
            <w:rStyle w:val="Hyperlink"/>
            <w:noProof/>
          </w:rPr>
          <w:t>Education</w:t>
        </w:r>
        <w:r w:rsidR="00350B08">
          <w:rPr>
            <w:webHidden/>
          </w:rPr>
          <w:tab/>
        </w:r>
        <w:r w:rsidR="00350B08">
          <w:rPr>
            <w:webHidden/>
          </w:rPr>
          <w:fldChar w:fldCharType="begin"/>
        </w:r>
        <w:r w:rsidR="00350B08">
          <w:rPr>
            <w:webHidden/>
          </w:rPr>
          <w:instrText xml:space="preserve"> PAGEREF _Toc494449585 \h </w:instrText>
        </w:r>
        <w:r w:rsidR="00350B08">
          <w:rPr>
            <w:webHidden/>
          </w:rPr>
        </w:r>
        <w:r w:rsidR="00350B08">
          <w:rPr>
            <w:webHidden/>
          </w:rPr>
          <w:fldChar w:fldCharType="separate"/>
        </w:r>
        <w:r w:rsidR="00813A6A">
          <w:rPr>
            <w:webHidden/>
          </w:rPr>
          <w:t>21</w:t>
        </w:r>
        <w:r w:rsidR="00350B08">
          <w:rPr>
            <w:webHidden/>
          </w:rPr>
          <w:fldChar w:fldCharType="end"/>
        </w:r>
      </w:hyperlink>
    </w:p>
    <w:p w14:paraId="5502F7E6" w14:textId="22DABF73" w:rsidR="00350B08" w:rsidRDefault="004D11D1">
      <w:pPr>
        <w:pStyle w:val="TOC2"/>
        <w:rPr>
          <w:rFonts w:asciiTheme="minorHAnsi" w:eastAsiaTheme="minorEastAsia" w:hAnsiTheme="minorHAnsi" w:cstheme="minorBidi"/>
          <w:bCs w:val="0"/>
          <w:color w:val="auto"/>
          <w:sz w:val="22"/>
          <w:lang w:eastAsia="en-AU"/>
        </w:rPr>
      </w:pPr>
      <w:hyperlink w:anchor="_Toc494449586" w:history="1">
        <w:r w:rsidR="00350B08" w:rsidRPr="009C0426">
          <w:rPr>
            <w:rStyle w:val="Hyperlink"/>
            <w:noProof/>
          </w:rPr>
          <w:t>5.3</w:t>
        </w:r>
        <w:r w:rsidR="00350B08">
          <w:rPr>
            <w:rFonts w:asciiTheme="minorHAnsi" w:eastAsiaTheme="minorEastAsia" w:hAnsiTheme="minorHAnsi" w:cstheme="minorBidi"/>
            <w:bCs w:val="0"/>
            <w:color w:val="auto"/>
            <w:sz w:val="22"/>
            <w:lang w:eastAsia="en-AU"/>
          </w:rPr>
          <w:tab/>
        </w:r>
        <w:r w:rsidR="00350B08" w:rsidRPr="009C0426">
          <w:rPr>
            <w:rStyle w:val="Hyperlink"/>
            <w:noProof/>
          </w:rPr>
          <w:t>Compliance</w:t>
        </w:r>
        <w:r w:rsidR="00350B08">
          <w:rPr>
            <w:webHidden/>
          </w:rPr>
          <w:tab/>
        </w:r>
        <w:r w:rsidR="00350B08">
          <w:rPr>
            <w:webHidden/>
          </w:rPr>
          <w:fldChar w:fldCharType="begin"/>
        </w:r>
        <w:r w:rsidR="00350B08">
          <w:rPr>
            <w:webHidden/>
          </w:rPr>
          <w:instrText xml:space="preserve"> PAGEREF _Toc494449586 \h </w:instrText>
        </w:r>
        <w:r w:rsidR="00350B08">
          <w:rPr>
            <w:webHidden/>
          </w:rPr>
        </w:r>
        <w:r w:rsidR="00350B08">
          <w:rPr>
            <w:webHidden/>
          </w:rPr>
          <w:fldChar w:fldCharType="separate"/>
        </w:r>
        <w:r w:rsidR="00813A6A">
          <w:rPr>
            <w:webHidden/>
          </w:rPr>
          <w:t>21</w:t>
        </w:r>
        <w:r w:rsidR="00350B08">
          <w:rPr>
            <w:webHidden/>
          </w:rPr>
          <w:fldChar w:fldCharType="end"/>
        </w:r>
      </w:hyperlink>
    </w:p>
    <w:p w14:paraId="6DED1B60" w14:textId="4641619E" w:rsidR="00350B08" w:rsidRDefault="004D11D1">
      <w:pPr>
        <w:pStyle w:val="TOC2"/>
        <w:rPr>
          <w:rFonts w:asciiTheme="minorHAnsi" w:eastAsiaTheme="minorEastAsia" w:hAnsiTheme="minorHAnsi" w:cstheme="minorBidi"/>
          <w:bCs w:val="0"/>
          <w:color w:val="auto"/>
          <w:sz w:val="22"/>
          <w:lang w:eastAsia="en-AU"/>
        </w:rPr>
      </w:pPr>
      <w:hyperlink w:anchor="_Toc494449587" w:history="1">
        <w:r w:rsidR="00350B08" w:rsidRPr="009C0426">
          <w:rPr>
            <w:rStyle w:val="Hyperlink"/>
            <w:noProof/>
          </w:rPr>
          <w:t>5.4</w:t>
        </w:r>
        <w:r w:rsidR="00350B08">
          <w:rPr>
            <w:rFonts w:asciiTheme="minorHAnsi" w:eastAsiaTheme="minorEastAsia" w:hAnsiTheme="minorHAnsi" w:cstheme="minorBidi"/>
            <w:bCs w:val="0"/>
            <w:color w:val="auto"/>
            <w:sz w:val="22"/>
            <w:lang w:eastAsia="en-AU"/>
          </w:rPr>
          <w:tab/>
        </w:r>
        <w:r w:rsidR="00350B08" w:rsidRPr="009C0426">
          <w:rPr>
            <w:rStyle w:val="Hyperlink"/>
            <w:noProof/>
          </w:rPr>
          <w:t>Research</w:t>
        </w:r>
        <w:r w:rsidR="00350B08">
          <w:rPr>
            <w:webHidden/>
          </w:rPr>
          <w:tab/>
        </w:r>
        <w:r w:rsidR="00350B08">
          <w:rPr>
            <w:webHidden/>
          </w:rPr>
          <w:fldChar w:fldCharType="begin"/>
        </w:r>
        <w:r w:rsidR="00350B08">
          <w:rPr>
            <w:webHidden/>
          </w:rPr>
          <w:instrText xml:space="preserve"> PAGEREF _Toc494449587 \h </w:instrText>
        </w:r>
        <w:r w:rsidR="00350B08">
          <w:rPr>
            <w:webHidden/>
          </w:rPr>
        </w:r>
        <w:r w:rsidR="00350B08">
          <w:rPr>
            <w:webHidden/>
          </w:rPr>
          <w:fldChar w:fldCharType="separate"/>
        </w:r>
        <w:r w:rsidR="00813A6A">
          <w:rPr>
            <w:webHidden/>
          </w:rPr>
          <w:t>22</w:t>
        </w:r>
        <w:r w:rsidR="00350B08">
          <w:rPr>
            <w:webHidden/>
          </w:rPr>
          <w:fldChar w:fldCharType="end"/>
        </w:r>
      </w:hyperlink>
    </w:p>
    <w:p w14:paraId="3C403680" w14:textId="323CF3FA" w:rsidR="00350B08" w:rsidRDefault="004D11D1">
      <w:pPr>
        <w:pStyle w:val="TOC2"/>
        <w:rPr>
          <w:rFonts w:asciiTheme="minorHAnsi" w:eastAsiaTheme="minorEastAsia" w:hAnsiTheme="minorHAnsi" w:cstheme="minorBidi"/>
          <w:bCs w:val="0"/>
          <w:color w:val="auto"/>
          <w:sz w:val="22"/>
          <w:lang w:eastAsia="en-AU"/>
        </w:rPr>
      </w:pPr>
      <w:hyperlink w:anchor="_Toc494449588" w:history="1">
        <w:r w:rsidR="00350B08" w:rsidRPr="009C0426">
          <w:rPr>
            <w:rStyle w:val="Hyperlink"/>
            <w:noProof/>
          </w:rPr>
          <w:t>5.5</w:t>
        </w:r>
        <w:r w:rsidR="00350B08">
          <w:rPr>
            <w:rFonts w:asciiTheme="minorHAnsi" w:eastAsiaTheme="minorEastAsia" w:hAnsiTheme="minorHAnsi" w:cstheme="minorBidi"/>
            <w:bCs w:val="0"/>
            <w:color w:val="auto"/>
            <w:sz w:val="22"/>
            <w:lang w:eastAsia="en-AU"/>
          </w:rPr>
          <w:tab/>
        </w:r>
        <w:r w:rsidR="00350B08" w:rsidRPr="009C0426">
          <w:rPr>
            <w:rStyle w:val="Hyperlink"/>
            <w:noProof/>
          </w:rPr>
          <w:t>Review of plan</w:t>
        </w:r>
        <w:r w:rsidR="00350B08">
          <w:rPr>
            <w:webHidden/>
          </w:rPr>
          <w:tab/>
        </w:r>
        <w:r w:rsidR="00350B08">
          <w:rPr>
            <w:webHidden/>
          </w:rPr>
          <w:fldChar w:fldCharType="begin"/>
        </w:r>
        <w:r w:rsidR="00350B08">
          <w:rPr>
            <w:webHidden/>
          </w:rPr>
          <w:instrText xml:space="preserve"> PAGEREF _Toc494449588 \h </w:instrText>
        </w:r>
        <w:r w:rsidR="00350B08">
          <w:rPr>
            <w:webHidden/>
          </w:rPr>
        </w:r>
        <w:r w:rsidR="00350B08">
          <w:rPr>
            <w:webHidden/>
          </w:rPr>
          <w:fldChar w:fldCharType="separate"/>
        </w:r>
        <w:r w:rsidR="00813A6A">
          <w:rPr>
            <w:webHidden/>
          </w:rPr>
          <w:t>22</w:t>
        </w:r>
        <w:r w:rsidR="00350B08">
          <w:rPr>
            <w:webHidden/>
          </w:rPr>
          <w:fldChar w:fldCharType="end"/>
        </w:r>
      </w:hyperlink>
    </w:p>
    <w:p w14:paraId="06779376" w14:textId="319AAB0F" w:rsidR="00350B08" w:rsidRDefault="004D11D1">
      <w:pPr>
        <w:pStyle w:val="TOC1"/>
        <w:rPr>
          <w:rFonts w:asciiTheme="minorHAnsi" w:eastAsiaTheme="minorEastAsia" w:hAnsiTheme="minorHAnsi"/>
          <w:color w:val="auto"/>
          <w:sz w:val="22"/>
          <w:lang w:eastAsia="en-AU"/>
        </w:rPr>
      </w:pPr>
      <w:hyperlink w:anchor="_Toc494449589" w:history="1">
        <w:r w:rsidR="00350B08" w:rsidRPr="009C0426">
          <w:rPr>
            <w:rStyle w:val="Hyperlink"/>
            <w:noProof/>
          </w:rPr>
          <w:t>6</w:t>
        </w:r>
        <w:r w:rsidR="00350B08">
          <w:rPr>
            <w:rFonts w:asciiTheme="minorHAnsi" w:eastAsiaTheme="minorEastAsia" w:hAnsiTheme="minorHAnsi"/>
            <w:color w:val="auto"/>
            <w:sz w:val="22"/>
            <w:lang w:eastAsia="en-AU"/>
          </w:rPr>
          <w:tab/>
        </w:r>
        <w:r w:rsidR="00350B08" w:rsidRPr="009C0426">
          <w:rPr>
            <w:rStyle w:val="Hyperlink"/>
            <w:noProof/>
          </w:rPr>
          <w:t>References</w:t>
        </w:r>
        <w:r w:rsidR="00350B08">
          <w:rPr>
            <w:webHidden/>
          </w:rPr>
          <w:tab/>
        </w:r>
        <w:r w:rsidR="00350B08">
          <w:rPr>
            <w:webHidden/>
          </w:rPr>
          <w:fldChar w:fldCharType="begin"/>
        </w:r>
        <w:r w:rsidR="00350B08">
          <w:rPr>
            <w:webHidden/>
          </w:rPr>
          <w:instrText xml:space="preserve"> PAGEREF _Toc494449589 \h </w:instrText>
        </w:r>
        <w:r w:rsidR="00350B08">
          <w:rPr>
            <w:webHidden/>
          </w:rPr>
        </w:r>
        <w:r w:rsidR="00350B08">
          <w:rPr>
            <w:webHidden/>
          </w:rPr>
          <w:fldChar w:fldCharType="separate"/>
        </w:r>
        <w:r w:rsidR="00813A6A">
          <w:rPr>
            <w:webHidden/>
          </w:rPr>
          <w:t>24</w:t>
        </w:r>
        <w:r w:rsidR="00350B08">
          <w:rPr>
            <w:webHidden/>
          </w:rPr>
          <w:fldChar w:fldCharType="end"/>
        </w:r>
      </w:hyperlink>
    </w:p>
    <w:p w14:paraId="3460C9DE" w14:textId="65A898AA" w:rsidR="00350B08" w:rsidRDefault="004D11D1">
      <w:pPr>
        <w:pStyle w:val="TOC1"/>
        <w:rPr>
          <w:rFonts w:asciiTheme="minorHAnsi" w:eastAsiaTheme="minorEastAsia" w:hAnsiTheme="minorHAnsi"/>
          <w:color w:val="auto"/>
          <w:sz w:val="22"/>
          <w:lang w:eastAsia="en-AU"/>
        </w:rPr>
      </w:pPr>
      <w:hyperlink w:anchor="_Toc494449590" w:history="1">
        <w:r w:rsidR="00350B08" w:rsidRPr="009C0426">
          <w:rPr>
            <w:rStyle w:val="Hyperlink"/>
            <w:noProof/>
          </w:rPr>
          <w:t>Appendix A: Schedule of Protected plants</w:t>
        </w:r>
        <w:r w:rsidR="00350B08">
          <w:rPr>
            <w:webHidden/>
          </w:rPr>
          <w:tab/>
        </w:r>
        <w:r w:rsidR="00350B08">
          <w:rPr>
            <w:webHidden/>
          </w:rPr>
          <w:fldChar w:fldCharType="begin"/>
        </w:r>
        <w:r w:rsidR="00350B08">
          <w:rPr>
            <w:webHidden/>
          </w:rPr>
          <w:instrText xml:space="preserve"> PAGEREF _Toc494449590 \h </w:instrText>
        </w:r>
        <w:r w:rsidR="00350B08">
          <w:rPr>
            <w:webHidden/>
          </w:rPr>
        </w:r>
        <w:r w:rsidR="00350B08">
          <w:rPr>
            <w:webHidden/>
          </w:rPr>
          <w:fldChar w:fldCharType="separate"/>
        </w:r>
        <w:r w:rsidR="00813A6A">
          <w:rPr>
            <w:webHidden/>
          </w:rPr>
          <w:t>25</w:t>
        </w:r>
        <w:r w:rsidR="00350B08">
          <w:rPr>
            <w:webHidden/>
          </w:rPr>
          <w:fldChar w:fldCharType="end"/>
        </w:r>
      </w:hyperlink>
    </w:p>
    <w:p w14:paraId="002D25BD" w14:textId="5C7A416A" w:rsidR="00350B08" w:rsidRDefault="004D11D1">
      <w:pPr>
        <w:pStyle w:val="TOC2"/>
        <w:rPr>
          <w:rFonts w:asciiTheme="minorHAnsi" w:eastAsiaTheme="minorEastAsia" w:hAnsiTheme="minorHAnsi" w:cstheme="minorBidi"/>
          <w:bCs w:val="0"/>
          <w:color w:val="auto"/>
          <w:sz w:val="22"/>
          <w:lang w:eastAsia="en-AU"/>
        </w:rPr>
      </w:pPr>
      <w:hyperlink w:anchor="_Toc494449591" w:history="1">
        <w:r w:rsidR="00350B08" w:rsidRPr="009C0426">
          <w:rPr>
            <w:rStyle w:val="Hyperlink"/>
            <w:noProof/>
          </w:rPr>
          <w:t>Part 2: Whole plants</w:t>
        </w:r>
        <w:r w:rsidR="00350B08">
          <w:rPr>
            <w:webHidden/>
          </w:rPr>
          <w:tab/>
        </w:r>
        <w:r w:rsidR="00350B08">
          <w:rPr>
            <w:webHidden/>
          </w:rPr>
          <w:fldChar w:fldCharType="begin"/>
        </w:r>
        <w:r w:rsidR="00350B08">
          <w:rPr>
            <w:webHidden/>
          </w:rPr>
          <w:instrText xml:space="preserve"> PAGEREF _Toc494449591 \h </w:instrText>
        </w:r>
        <w:r w:rsidR="00350B08">
          <w:rPr>
            <w:webHidden/>
          </w:rPr>
        </w:r>
        <w:r w:rsidR="00350B08">
          <w:rPr>
            <w:webHidden/>
          </w:rPr>
          <w:fldChar w:fldCharType="separate"/>
        </w:r>
        <w:r w:rsidR="00813A6A">
          <w:rPr>
            <w:webHidden/>
          </w:rPr>
          <w:t>25</w:t>
        </w:r>
        <w:r w:rsidR="00350B08">
          <w:rPr>
            <w:webHidden/>
          </w:rPr>
          <w:fldChar w:fldCharType="end"/>
        </w:r>
      </w:hyperlink>
    </w:p>
    <w:p w14:paraId="5F0D8033" w14:textId="159D5ACF" w:rsidR="00350B08" w:rsidRDefault="004D11D1">
      <w:pPr>
        <w:pStyle w:val="TOC1"/>
        <w:rPr>
          <w:rFonts w:asciiTheme="minorHAnsi" w:eastAsiaTheme="minorEastAsia" w:hAnsiTheme="minorHAnsi"/>
          <w:color w:val="auto"/>
          <w:sz w:val="22"/>
          <w:lang w:eastAsia="en-AU"/>
        </w:rPr>
      </w:pPr>
      <w:hyperlink w:anchor="_Toc494449592" w:history="1">
        <w:r w:rsidR="00350B08" w:rsidRPr="009C0426">
          <w:rPr>
            <w:rStyle w:val="Hyperlink"/>
            <w:noProof/>
          </w:rPr>
          <w:t>Appendix B: Wild harvester licence application requirements</w:t>
        </w:r>
        <w:r w:rsidR="00350B08">
          <w:rPr>
            <w:webHidden/>
          </w:rPr>
          <w:tab/>
        </w:r>
        <w:r w:rsidR="00350B08">
          <w:rPr>
            <w:webHidden/>
          </w:rPr>
          <w:fldChar w:fldCharType="begin"/>
        </w:r>
        <w:r w:rsidR="00350B08">
          <w:rPr>
            <w:webHidden/>
          </w:rPr>
          <w:instrText xml:space="preserve"> PAGEREF _Toc494449592 \h </w:instrText>
        </w:r>
        <w:r w:rsidR="00350B08">
          <w:rPr>
            <w:webHidden/>
          </w:rPr>
        </w:r>
        <w:r w:rsidR="00350B08">
          <w:rPr>
            <w:webHidden/>
          </w:rPr>
          <w:fldChar w:fldCharType="separate"/>
        </w:r>
        <w:r w:rsidR="00813A6A">
          <w:rPr>
            <w:webHidden/>
          </w:rPr>
          <w:t>27</w:t>
        </w:r>
        <w:r w:rsidR="00350B08">
          <w:rPr>
            <w:webHidden/>
          </w:rPr>
          <w:fldChar w:fldCharType="end"/>
        </w:r>
      </w:hyperlink>
    </w:p>
    <w:p w14:paraId="23FC1BBE" w14:textId="4244D5C9" w:rsidR="00350B08" w:rsidRDefault="004D11D1">
      <w:pPr>
        <w:pStyle w:val="TOC1"/>
        <w:rPr>
          <w:rFonts w:asciiTheme="minorHAnsi" w:eastAsiaTheme="minorEastAsia" w:hAnsiTheme="minorHAnsi"/>
          <w:color w:val="auto"/>
          <w:sz w:val="22"/>
          <w:lang w:eastAsia="en-AU"/>
        </w:rPr>
      </w:pPr>
      <w:hyperlink w:anchor="_Toc494449593" w:history="1">
        <w:r w:rsidR="00350B08" w:rsidRPr="009C0426">
          <w:rPr>
            <w:rStyle w:val="Hyperlink"/>
            <w:noProof/>
          </w:rPr>
          <w:t>Appendix C: Approved harvester licence application requirements</w:t>
        </w:r>
        <w:r w:rsidR="00350B08">
          <w:rPr>
            <w:webHidden/>
          </w:rPr>
          <w:tab/>
        </w:r>
        <w:r w:rsidR="00350B08">
          <w:rPr>
            <w:webHidden/>
          </w:rPr>
          <w:fldChar w:fldCharType="begin"/>
        </w:r>
        <w:r w:rsidR="00350B08">
          <w:rPr>
            <w:webHidden/>
          </w:rPr>
          <w:instrText xml:space="preserve"> PAGEREF _Toc494449593 \h </w:instrText>
        </w:r>
        <w:r w:rsidR="00350B08">
          <w:rPr>
            <w:webHidden/>
          </w:rPr>
        </w:r>
        <w:r w:rsidR="00350B08">
          <w:rPr>
            <w:webHidden/>
          </w:rPr>
          <w:fldChar w:fldCharType="separate"/>
        </w:r>
        <w:r w:rsidR="00813A6A">
          <w:rPr>
            <w:webHidden/>
          </w:rPr>
          <w:t>28</w:t>
        </w:r>
        <w:r w:rsidR="00350B08">
          <w:rPr>
            <w:webHidden/>
          </w:rPr>
          <w:fldChar w:fldCharType="end"/>
        </w:r>
      </w:hyperlink>
    </w:p>
    <w:p w14:paraId="19C10983" w14:textId="1F5079D0" w:rsidR="00350B08" w:rsidRDefault="004D11D1">
      <w:pPr>
        <w:pStyle w:val="TOC2"/>
        <w:rPr>
          <w:rFonts w:asciiTheme="minorHAnsi" w:eastAsiaTheme="minorEastAsia" w:hAnsiTheme="minorHAnsi" w:cstheme="minorBidi"/>
          <w:bCs w:val="0"/>
          <w:color w:val="auto"/>
          <w:sz w:val="22"/>
          <w:lang w:eastAsia="en-AU"/>
        </w:rPr>
      </w:pPr>
      <w:hyperlink w:anchor="_Toc494449594" w:history="1">
        <w:r w:rsidR="00350B08" w:rsidRPr="009C0426">
          <w:rPr>
            <w:rStyle w:val="Hyperlink"/>
            <w:noProof/>
          </w:rPr>
          <w:t>Sustainable harvest</w:t>
        </w:r>
        <w:r w:rsidR="00350B08">
          <w:rPr>
            <w:webHidden/>
          </w:rPr>
          <w:tab/>
        </w:r>
        <w:r w:rsidR="00350B08">
          <w:rPr>
            <w:webHidden/>
          </w:rPr>
          <w:fldChar w:fldCharType="begin"/>
        </w:r>
        <w:r w:rsidR="00350B08">
          <w:rPr>
            <w:webHidden/>
          </w:rPr>
          <w:instrText xml:space="preserve"> PAGEREF _Toc494449594 \h </w:instrText>
        </w:r>
        <w:r w:rsidR="00350B08">
          <w:rPr>
            <w:webHidden/>
          </w:rPr>
        </w:r>
        <w:r w:rsidR="00350B08">
          <w:rPr>
            <w:webHidden/>
          </w:rPr>
          <w:fldChar w:fldCharType="separate"/>
        </w:r>
        <w:r w:rsidR="00813A6A">
          <w:rPr>
            <w:webHidden/>
          </w:rPr>
          <w:t>28</w:t>
        </w:r>
        <w:r w:rsidR="00350B08">
          <w:rPr>
            <w:webHidden/>
          </w:rPr>
          <w:fldChar w:fldCharType="end"/>
        </w:r>
      </w:hyperlink>
    </w:p>
    <w:p w14:paraId="1D96B6FE" w14:textId="43B07466" w:rsidR="00350B08" w:rsidRDefault="004D11D1">
      <w:pPr>
        <w:pStyle w:val="TOC2"/>
        <w:rPr>
          <w:rFonts w:asciiTheme="minorHAnsi" w:eastAsiaTheme="minorEastAsia" w:hAnsiTheme="minorHAnsi" w:cstheme="minorBidi"/>
          <w:bCs w:val="0"/>
          <w:color w:val="auto"/>
          <w:sz w:val="22"/>
          <w:lang w:eastAsia="en-AU"/>
        </w:rPr>
      </w:pPr>
      <w:hyperlink w:anchor="_Toc494449595" w:history="1">
        <w:r w:rsidR="00350B08" w:rsidRPr="009C0426">
          <w:rPr>
            <w:rStyle w:val="Hyperlink"/>
            <w:noProof/>
          </w:rPr>
          <w:t>Salvage harvest</w:t>
        </w:r>
        <w:r w:rsidR="00350B08">
          <w:rPr>
            <w:webHidden/>
          </w:rPr>
          <w:tab/>
        </w:r>
        <w:r w:rsidR="00350B08">
          <w:rPr>
            <w:webHidden/>
          </w:rPr>
          <w:fldChar w:fldCharType="begin"/>
        </w:r>
        <w:r w:rsidR="00350B08">
          <w:rPr>
            <w:webHidden/>
          </w:rPr>
          <w:instrText xml:space="preserve"> PAGEREF _Toc494449595 \h </w:instrText>
        </w:r>
        <w:r w:rsidR="00350B08">
          <w:rPr>
            <w:webHidden/>
          </w:rPr>
        </w:r>
        <w:r w:rsidR="00350B08">
          <w:rPr>
            <w:webHidden/>
          </w:rPr>
          <w:fldChar w:fldCharType="separate"/>
        </w:r>
        <w:r w:rsidR="00813A6A">
          <w:rPr>
            <w:webHidden/>
          </w:rPr>
          <w:t>29</w:t>
        </w:r>
        <w:r w:rsidR="00350B08">
          <w:rPr>
            <w:webHidden/>
          </w:rPr>
          <w:fldChar w:fldCharType="end"/>
        </w:r>
      </w:hyperlink>
    </w:p>
    <w:p w14:paraId="39F6DDEE" w14:textId="1A014117" w:rsidR="00350B08" w:rsidRDefault="004D11D1">
      <w:pPr>
        <w:pStyle w:val="TOC1"/>
        <w:rPr>
          <w:rFonts w:asciiTheme="minorHAnsi" w:eastAsiaTheme="minorEastAsia" w:hAnsiTheme="minorHAnsi"/>
          <w:color w:val="auto"/>
          <w:sz w:val="22"/>
          <w:lang w:eastAsia="en-AU"/>
        </w:rPr>
      </w:pPr>
      <w:hyperlink w:anchor="_Toc494449596" w:history="1">
        <w:r w:rsidR="00350B08" w:rsidRPr="009C0426">
          <w:rPr>
            <w:rStyle w:val="Hyperlink"/>
            <w:noProof/>
          </w:rPr>
          <w:t>Appendix D: Harvest site controls</w:t>
        </w:r>
        <w:r w:rsidR="00350B08">
          <w:rPr>
            <w:webHidden/>
          </w:rPr>
          <w:tab/>
        </w:r>
        <w:r w:rsidR="00350B08">
          <w:rPr>
            <w:webHidden/>
          </w:rPr>
          <w:fldChar w:fldCharType="begin"/>
        </w:r>
        <w:r w:rsidR="00350B08">
          <w:rPr>
            <w:webHidden/>
          </w:rPr>
          <w:instrText xml:space="preserve"> PAGEREF _Toc494449596 \h </w:instrText>
        </w:r>
        <w:r w:rsidR="00350B08">
          <w:rPr>
            <w:webHidden/>
          </w:rPr>
        </w:r>
        <w:r w:rsidR="00350B08">
          <w:rPr>
            <w:webHidden/>
          </w:rPr>
          <w:fldChar w:fldCharType="separate"/>
        </w:r>
        <w:r w:rsidR="00813A6A">
          <w:rPr>
            <w:webHidden/>
          </w:rPr>
          <w:t>30</w:t>
        </w:r>
        <w:r w:rsidR="00350B08">
          <w:rPr>
            <w:webHidden/>
          </w:rPr>
          <w:fldChar w:fldCharType="end"/>
        </w:r>
      </w:hyperlink>
    </w:p>
    <w:p w14:paraId="4EACBB04" w14:textId="2BD4BED0" w:rsidR="00350B08" w:rsidRDefault="004D11D1">
      <w:pPr>
        <w:pStyle w:val="TOC2"/>
        <w:rPr>
          <w:rFonts w:asciiTheme="minorHAnsi" w:eastAsiaTheme="minorEastAsia" w:hAnsiTheme="minorHAnsi" w:cstheme="minorBidi"/>
          <w:bCs w:val="0"/>
          <w:color w:val="auto"/>
          <w:sz w:val="22"/>
          <w:lang w:eastAsia="en-AU"/>
        </w:rPr>
      </w:pPr>
      <w:hyperlink w:anchor="_Toc494449597" w:history="1">
        <w:r w:rsidR="00350B08" w:rsidRPr="009C0426">
          <w:rPr>
            <w:rStyle w:val="Hyperlink"/>
            <w:noProof/>
          </w:rPr>
          <w:t>Hygiene</w:t>
        </w:r>
        <w:r w:rsidR="00350B08">
          <w:rPr>
            <w:webHidden/>
          </w:rPr>
          <w:tab/>
        </w:r>
        <w:r w:rsidR="00350B08">
          <w:rPr>
            <w:webHidden/>
          </w:rPr>
          <w:fldChar w:fldCharType="begin"/>
        </w:r>
        <w:r w:rsidR="00350B08">
          <w:rPr>
            <w:webHidden/>
          </w:rPr>
          <w:instrText xml:space="preserve"> PAGEREF _Toc494449597 \h </w:instrText>
        </w:r>
        <w:r w:rsidR="00350B08">
          <w:rPr>
            <w:webHidden/>
          </w:rPr>
        </w:r>
        <w:r w:rsidR="00350B08">
          <w:rPr>
            <w:webHidden/>
          </w:rPr>
          <w:fldChar w:fldCharType="separate"/>
        </w:r>
        <w:r w:rsidR="00813A6A">
          <w:rPr>
            <w:webHidden/>
          </w:rPr>
          <w:t>30</w:t>
        </w:r>
        <w:r w:rsidR="00350B08">
          <w:rPr>
            <w:webHidden/>
          </w:rPr>
          <w:fldChar w:fldCharType="end"/>
        </w:r>
      </w:hyperlink>
    </w:p>
    <w:p w14:paraId="538F7433" w14:textId="3BE5A598" w:rsidR="00350B08" w:rsidRDefault="004D11D1">
      <w:pPr>
        <w:pStyle w:val="TOC2"/>
        <w:rPr>
          <w:rFonts w:asciiTheme="minorHAnsi" w:eastAsiaTheme="minorEastAsia" w:hAnsiTheme="minorHAnsi" w:cstheme="minorBidi"/>
          <w:bCs w:val="0"/>
          <w:color w:val="auto"/>
          <w:sz w:val="22"/>
          <w:lang w:eastAsia="en-AU"/>
        </w:rPr>
      </w:pPr>
      <w:hyperlink w:anchor="_Toc494449598" w:history="1">
        <w:r w:rsidR="00350B08" w:rsidRPr="009C0426">
          <w:rPr>
            <w:rStyle w:val="Hyperlink"/>
            <w:noProof/>
          </w:rPr>
          <w:t>Harvest, handling and transport</w:t>
        </w:r>
        <w:r w:rsidR="00350B08">
          <w:rPr>
            <w:webHidden/>
          </w:rPr>
          <w:tab/>
        </w:r>
        <w:r w:rsidR="00350B08">
          <w:rPr>
            <w:webHidden/>
          </w:rPr>
          <w:fldChar w:fldCharType="begin"/>
        </w:r>
        <w:r w:rsidR="00350B08">
          <w:rPr>
            <w:webHidden/>
          </w:rPr>
          <w:instrText xml:space="preserve"> PAGEREF _Toc494449598 \h </w:instrText>
        </w:r>
        <w:r w:rsidR="00350B08">
          <w:rPr>
            <w:webHidden/>
          </w:rPr>
        </w:r>
        <w:r w:rsidR="00350B08">
          <w:rPr>
            <w:webHidden/>
          </w:rPr>
          <w:fldChar w:fldCharType="separate"/>
        </w:r>
        <w:r w:rsidR="00813A6A">
          <w:rPr>
            <w:webHidden/>
          </w:rPr>
          <w:t>30</w:t>
        </w:r>
        <w:r w:rsidR="00350B08">
          <w:rPr>
            <w:webHidden/>
          </w:rPr>
          <w:fldChar w:fldCharType="end"/>
        </w:r>
      </w:hyperlink>
    </w:p>
    <w:p w14:paraId="4169AA02" w14:textId="6ED511CF" w:rsidR="00350B08" w:rsidRDefault="004D11D1">
      <w:pPr>
        <w:pStyle w:val="TOC2"/>
        <w:rPr>
          <w:rFonts w:asciiTheme="minorHAnsi" w:eastAsiaTheme="minorEastAsia" w:hAnsiTheme="minorHAnsi" w:cstheme="minorBidi"/>
          <w:bCs w:val="0"/>
          <w:color w:val="auto"/>
          <w:sz w:val="22"/>
          <w:lang w:eastAsia="en-AU"/>
        </w:rPr>
      </w:pPr>
      <w:hyperlink w:anchor="_Toc494449599" w:history="1">
        <w:r w:rsidR="00350B08" w:rsidRPr="009C0426">
          <w:rPr>
            <w:rStyle w:val="Hyperlink"/>
            <w:noProof/>
          </w:rPr>
          <w:t>Record keeping</w:t>
        </w:r>
        <w:r w:rsidR="00350B08">
          <w:rPr>
            <w:webHidden/>
          </w:rPr>
          <w:tab/>
        </w:r>
        <w:r w:rsidR="00350B08">
          <w:rPr>
            <w:webHidden/>
          </w:rPr>
          <w:fldChar w:fldCharType="begin"/>
        </w:r>
        <w:r w:rsidR="00350B08">
          <w:rPr>
            <w:webHidden/>
          </w:rPr>
          <w:instrText xml:space="preserve"> PAGEREF _Toc494449599 \h </w:instrText>
        </w:r>
        <w:r w:rsidR="00350B08">
          <w:rPr>
            <w:webHidden/>
          </w:rPr>
        </w:r>
        <w:r w:rsidR="00350B08">
          <w:rPr>
            <w:webHidden/>
          </w:rPr>
          <w:fldChar w:fldCharType="separate"/>
        </w:r>
        <w:r w:rsidR="00813A6A">
          <w:rPr>
            <w:webHidden/>
          </w:rPr>
          <w:t>31</w:t>
        </w:r>
        <w:r w:rsidR="00350B08">
          <w:rPr>
            <w:webHidden/>
          </w:rPr>
          <w:fldChar w:fldCharType="end"/>
        </w:r>
      </w:hyperlink>
    </w:p>
    <w:p w14:paraId="0DABF4A2" w14:textId="006B1C50" w:rsidR="00350B08" w:rsidRDefault="004D11D1">
      <w:pPr>
        <w:pStyle w:val="TOC1"/>
        <w:rPr>
          <w:rFonts w:asciiTheme="minorHAnsi" w:eastAsiaTheme="minorEastAsia" w:hAnsiTheme="minorHAnsi"/>
          <w:color w:val="auto"/>
          <w:sz w:val="22"/>
          <w:lang w:eastAsia="en-AU"/>
        </w:rPr>
      </w:pPr>
      <w:hyperlink w:anchor="_Toc494449600" w:history="1">
        <w:r w:rsidR="00350B08" w:rsidRPr="009C0426">
          <w:rPr>
            <w:rStyle w:val="Hyperlink"/>
            <w:noProof/>
          </w:rPr>
          <w:t>Appendix E: Stockpile site controls</w:t>
        </w:r>
        <w:r w:rsidR="00350B08">
          <w:rPr>
            <w:webHidden/>
          </w:rPr>
          <w:tab/>
        </w:r>
        <w:r w:rsidR="00350B08">
          <w:rPr>
            <w:webHidden/>
          </w:rPr>
          <w:fldChar w:fldCharType="begin"/>
        </w:r>
        <w:r w:rsidR="00350B08">
          <w:rPr>
            <w:webHidden/>
          </w:rPr>
          <w:instrText xml:space="preserve"> PAGEREF _Toc494449600 \h </w:instrText>
        </w:r>
        <w:r w:rsidR="00350B08">
          <w:rPr>
            <w:webHidden/>
          </w:rPr>
        </w:r>
        <w:r w:rsidR="00350B08">
          <w:rPr>
            <w:webHidden/>
          </w:rPr>
          <w:fldChar w:fldCharType="separate"/>
        </w:r>
        <w:r w:rsidR="00813A6A">
          <w:rPr>
            <w:webHidden/>
          </w:rPr>
          <w:t>32</w:t>
        </w:r>
        <w:r w:rsidR="00350B08">
          <w:rPr>
            <w:webHidden/>
          </w:rPr>
          <w:fldChar w:fldCharType="end"/>
        </w:r>
      </w:hyperlink>
    </w:p>
    <w:p w14:paraId="18D49F87" w14:textId="68F2EC52" w:rsidR="00350B08" w:rsidRDefault="004D11D1">
      <w:pPr>
        <w:pStyle w:val="TOC2"/>
        <w:rPr>
          <w:rFonts w:asciiTheme="minorHAnsi" w:eastAsiaTheme="minorEastAsia" w:hAnsiTheme="minorHAnsi" w:cstheme="minorBidi"/>
          <w:bCs w:val="0"/>
          <w:color w:val="auto"/>
          <w:sz w:val="22"/>
          <w:lang w:eastAsia="en-AU"/>
        </w:rPr>
      </w:pPr>
      <w:hyperlink w:anchor="_Toc494449601" w:history="1">
        <w:r w:rsidR="00350B08" w:rsidRPr="009C0426">
          <w:rPr>
            <w:rStyle w:val="Hyperlink"/>
            <w:noProof/>
          </w:rPr>
          <w:t>Stockpile site requirements</w:t>
        </w:r>
        <w:r w:rsidR="00350B08">
          <w:rPr>
            <w:webHidden/>
          </w:rPr>
          <w:tab/>
        </w:r>
        <w:r w:rsidR="00350B08">
          <w:rPr>
            <w:webHidden/>
          </w:rPr>
          <w:fldChar w:fldCharType="begin"/>
        </w:r>
        <w:r w:rsidR="00350B08">
          <w:rPr>
            <w:webHidden/>
          </w:rPr>
          <w:instrText xml:space="preserve"> PAGEREF _Toc494449601 \h </w:instrText>
        </w:r>
        <w:r w:rsidR="00350B08">
          <w:rPr>
            <w:webHidden/>
          </w:rPr>
        </w:r>
        <w:r w:rsidR="00350B08">
          <w:rPr>
            <w:webHidden/>
          </w:rPr>
          <w:fldChar w:fldCharType="separate"/>
        </w:r>
        <w:r w:rsidR="00813A6A">
          <w:rPr>
            <w:webHidden/>
          </w:rPr>
          <w:t>32</w:t>
        </w:r>
        <w:r w:rsidR="00350B08">
          <w:rPr>
            <w:webHidden/>
          </w:rPr>
          <w:fldChar w:fldCharType="end"/>
        </w:r>
      </w:hyperlink>
    </w:p>
    <w:p w14:paraId="2FF8CC1F" w14:textId="059055AD" w:rsidR="00350B08" w:rsidRDefault="004D11D1">
      <w:pPr>
        <w:pStyle w:val="TOC2"/>
        <w:rPr>
          <w:rFonts w:asciiTheme="minorHAnsi" w:eastAsiaTheme="minorEastAsia" w:hAnsiTheme="minorHAnsi" w:cstheme="minorBidi"/>
          <w:bCs w:val="0"/>
          <w:color w:val="auto"/>
          <w:sz w:val="22"/>
          <w:lang w:eastAsia="en-AU"/>
        </w:rPr>
      </w:pPr>
      <w:hyperlink w:anchor="_Toc494449602" w:history="1">
        <w:r w:rsidR="00350B08" w:rsidRPr="009C0426">
          <w:rPr>
            <w:rStyle w:val="Hyperlink"/>
            <w:noProof/>
          </w:rPr>
          <w:t>Documentation and reporting requirements</w:t>
        </w:r>
        <w:r w:rsidR="00350B08">
          <w:rPr>
            <w:webHidden/>
          </w:rPr>
          <w:tab/>
        </w:r>
        <w:r w:rsidR="00350B08">
          <w:rPr>
            <w:webHidden/>
          </w:rPr>
          <w:fldChar w:fldCharType="begin"/>
        </w:r>
        <w:r w:rsidR="00350B08">
          <w:rPr>
            <w:webHidden/>
          </w:rPr>
          <w:instrText xml:space="preserve"> PAGEREF _Toc494449602 \h </w:instrText>
        </w:r>
        <w:r w:rsidR="00350B08">
          <w:rPr>
            <w:webHidden/>
          </w:rPr>
        </w:r>
        <w:r w:rsidR="00350B08">
          <w:rPr>
            <w:webHidden/>
          </w:rPr>
          <w:fldChar w:fldCharType="separate"/>
        </w:r>
        <w:r w:rsidR="00813A6A">
          <w:rPr>
            <w:webHidden/>
          </w:rPr>
          <w:t>32</w:t>
        </w:r>
        <w:r w:rsidR="00350B08">
          <w:rPr>
            <w:webHidden/>
          </w:rPr>
          <w:fldChar w:fldCharType="end"/>
        </w:r>
      </w:hyperlink>
    </w:p>
    <w:p w14:paraId="76BB7F13" w14:textId="09AAB936" w:rsidR="00350B08" w:rsidRDefault="004D11D1">
      <w:pPr>
        <w:pStyle w:val="TOC1"/>
        <w:rPr>
          <w:rFonts w:asciiTheme="minorHAnsi" w:eastAsiaTheme="minorEastAsia" w:hAnsiTheme="minorHAnsi"/>
          <w:color w:val="auto"/>
          <w:sz w:val="22"/>
          <w:lang w:eastAsia="en-AU"/>
        </w:rPr>
      </w:pPr>
      <w:hyperlink w:anchor="_Toc494449603" w:history="1">
        <w:r w:rsidR="00350B08" w:rsidRPr="009C0426">
          <w:rPr>
            <w:rStyle w:val="Hyperlink"/>
            <w:noProof/>
          </w:rPr>
          <w:t>Appendix F: Seed harvester licence application requirements</w:t>
        </w:r>
        <w:r w:rsidR="00350B08">
          <w:rPr>
            <w:webHidden/>
          </w:rPr>
          <w:tab/>
        </w:r>
        <w:r w:rsidR="00350B08">
          <w:rPr>
            <w:webHidden/>
          </w:rPr>
          <w:fldChar w:fldCharType="begin"/>
        </w:r>
        <w:r w:rsidR="00350B08">
          <w:rPr>
            <w:webHidden/>
          </w:rPr>
          <w:instrText xml:space="preserve"> PAGEREF _Toc494449603 \h </w:instrText>
        </w:r>
        <w:r w:rsidR="00350B08">
          <w:rPr>
            <w:webHidden/>
          </w:rPr>
        </w:r>
        <w:r w:rsidR="00350B08">
          <w:rPr>
            <w:webHidden/>
          </w:rPr>
          <w:fldChar w:fldCharType="separate"/>
        </w:r>
        <w:r w:rsidR="00813A6A">
          <w:rPr>
            <w:webHidden/>
          </w:rPr>
          <w:t>34</w:t>
        </w:r>
        <w:r w:rsidR="00350B08">
          <w:rPr>
            <w:webHidden/>
          </w:rPr>
          <w:fldChar w:fldCharType="end"/>
        </w:r>
      </w:hyperlink>
    </w:p>
    <w:p w14:paraId="1206F67D" w14:textId="2FD0B0DC" w:rsidR="00350B08" w:rsidRDefault="004D11D1">
      <w:pPr>
        <w:pStyle w:val="TOC1"/>
        <w:rPr>
          <w:rFonts w:asciiTheme="minorHAnsi" w:eastAsiaTheme="minorEastAsia" w:hAnsiTheme="minorHAnsi"/>
          <w:color w:val="auto"/>
          <w:sz w:val="22"/>
          <w:lang w:eastAsia="en-AU"/>
        </w:rPr>
      </w:pPr>
      <w:hyperlink w:anchor="_Toc494449604" w:history="1">
        <w:r w:rsidR="00350B08" w:rsidRPr="009C0426">
          <w:rPr>
            <w:rStyle w:val="Hyperlink"/>
            <w:noProof/>
          </w:rPr>
          <w:t>Appendix G: Grower licence application requirements</w:t>
        </w:r>
        <w:r w:rsidR="00350B08">
          <w:rPr>
            <w:webHidden/>
          </w:rPr>
          <w:tab/>
        </w:r>
        <w:r w:rsidR="00350B08">
          <w:rPr>
            <w:webHidden/>
          </w:rPr>
          <w:fldChar w:fldCharType="begin"/>
        </w:r>
        <w:r w:rsidR="00350B08">
          <w:rPr>
            <w:webHidden/>
          </w:rPr>
          <w:instrText xml:space="preserve"> PAGEREF _Toc494449604 \h </w:instrText>
        </w:r>
        <w:r w:rsidR="00350B08">
          <w:rPr>
            <w:webHidden/>
          </w:rPr>
        </w:r>
        <w:r w:rsidR="00350B08">
          <w:rPr>
            <w:webHidden/>
          </w:rPr>
          <w:fldChar w:fldCharType="separate"/>
        </w:r>
        <w:r w:rsidR="00813A6A">
          <w:rPr>
            <w:webHidden/>
          </w:rPr>
          <w:t>35</w:t>
        </w:r>
        <w:r w:rsidR="00350B08">
          <w:rPr>
            <w:webHidden/>
          </w:rPr>
          <w:fldChar w:fldCharType="end"/>
        </w:r>
      </w:hyperlink>
    </w:p>
    <w:p w14:paraId="302AD32E" w14:textId="30F051EF" w:rsidR="00350B08" w:rsidRDefault="004D11D1">
      <w:pPr>
        <w:pStyle w:val="TOC1"/>
        <w:rPr>
          <w:rFonts w:asciiTheme="minorHAnsi" w:eastAsiaTheme="minorEastAsia" w:hAnsiTheme="minorHAnsi"/>
          <w:color w:val="auto"/>
          <w:sz w:val="22"/>
          <w:lang w:eastAsia="en-AU"/>
        </w:rPr>
      </w:pPr>
      <w:hyperlink w:anchor="_Toc494449605" w:history="1">
        <w:r w:rsidR="00350B08" w:rsidRPr="009C0426">
          <w:rPr>
            <w:rStyle w:val="Hyperlink"/>
            <w:noProof/>
          </w:rPr>
          <w:t>Appendix H: Genus Xanthorrhoea</w:t>
        </w:r>
        <w:r w:rsidR="00350B08">
          <w:rPr>
            <w:webHidden/>
          </w:rPr>
          <w:tab/>
        </w:r>
        <w:r w:rsidR="00350B08">
          <w:rPr>
            <w:webHidden/>
          </w:rPr>
          <w:fldChar w:fldCharType="begin"/>
        </w:r>
        <w:r w:rsidR="00350B08">
          <w:rPr>
            <w:webHidden/>
          </w:rPr>
          <w:instrText xml:space="preserve"> PAGEREF _Toc494449605 \h </w:instrText>
        </w:r>
        <w:r w:rsidR="00350B08">
          <w:rPr>
            <w:webHidden/>
          </w:rPr>
        </w:r>
        <w:r w:rsidR="00350B08">
          <w:rPr>
            <w:webHidden/>
          </w:rPr>
          <w:fldChar w:fldCharType="separate"/>
        </w:r>
        <w:r w:rsidR="00813A6A">
          <w:rPr>
            <w:webHidden/>
          </w:rPr>
          <w:t>36</w:t>
        </w:r>
        <w:r w:rsidR="00350B08">
          <w:rPr>
            <w:webHidden/>
          </w:rPr>
          <w:fldChar w:fldCharType="end"/>
        </w:r>
      </w:hyperlink>
    </w:p>
    <w:p w14:paraId="75F46745" w14:textId="781A59A4" w:rsidR="00350B08" w:rsidRDefault="004D11D1">
      <w:pPr>
        <w:pStyle w:val="TOC2"/>
        <w:rPr>
          <w:rFonts w:asciiTheme="minorHAnsi" w:eastAsiaTheme="minorEastAsia" w:hAnsiTheme="minorHAnsi" w:cstheme="minorBidi"/>
          <w:bCs w:val="0"/>
          <w:color w:val="auto"/>
          <w:sz w:val="22"/>
          <w:lang w:eastAsia="en-AU"/>
        </w:rPr>
      </w:pPr>
      <w:hyperlink w:anchor="_Toc494449606" w:history="1">
        <w:r w:rsidR="00350B08" w:rsidRPr="009C0426">
          <w:rPr>
            <w:rStyle w:val="Hyperlink"/>
            <w:noProof/>
          </w:rPr>
          <w:t>General requirements</w:t>
        </w:r>
        <w:r w:rsidR="00350B08">
          <w:rPr>
            <w:webHidden/>
          </w:rPr>
          <w:tab/>
        </w:r>
        <w:r w:rsidR="00350B08">
          <w:rPr>
            <w:webHidden/>
          </w:rPr>
          <w:fldChar w:fldCharType="begin"/>
        </w:r>
        <w:r w:rsidR="00350B08">
          <w:rPr>
            <w:webHidden/>
          </w:rPr>
          <w:instrText xml:space="preserve"> PAGEREF _Toc494449606 \h </w:instrText>
        </w:r>
        <w:r w:rsidR="00350B08">
          <w:rPr>
            <w:webHidden/>
          </w:rPr>
        </w:r>
        <w:r w:rsidR="00350B08">
          <w:rPr>
            <w:webHidden/>
          </w:rPr>
          <w:fldChar w:fldCharType="separate"/>
        </w:r>
        <w:r w:rsidR="00813A6A">
          <w:rPr>
            <w:webHidden/>
          </w:rPr>
          <w:t>36</w:t>
        </w:r>
        <w:r w:rsidR="00350B08">
          <w:rPr>
            <w:webHidden/>
          </w:rPr>
          <w:fldChar w:fldCharType="end"/>
        </w:r>
      </w:hyperlink>
    </w:p>
    <w:p w14:paraId="3C2AC0EC" w14:textId="305071B3" w:rsidR="00350B08" w:rsidRDefault="004D11D1">
      <w:pPr>
        <w:pStyle w:val="TOC2"/>
        <w:rPr>
          <w:rFonts w:asciiTheme="minorHAnsi" w:eastAsiaTheme="minorEastAsia" w:hAnsiTheme="minorHAnsi" w:cstheme="minorBidi"/>
          <w:bCs w:val="0"/>
          <w:color w:val="auto"/>
          <w:sz w:val="22"/>
          <w:lang w:eastAsia="en-AU"/>
        </w:rPr>
      </w:pPr>
      <w:hyperlink w:anchor="_Toc494449607" w:history="1">
        <w:r w:rsidR="00350B08" w:rsidRPr="009C0426">
          <w:rPr>
            <w:rStyle w:val="Hyperlink"/>
            <w:noProof/>
          </w:rPr>
          <w:t>Sustainable harvest</w:t>
        </w:r>
        <w:r w:rsidR="00350B08">
          <w:rPr>
            <w:webHidden/>
          </w:rPr>
          <w:tab/>
        </w:r>
        <w:r w:rsidR="00350B08">
          <w:rPr>
            <w:webHidden/>
          </w:rPr>
          <w:fldChar w:fldCharType="begin"/>
        </w:r>
        <w:r w:rsidR="00350B08">
          <w:rPr>
            <w:webHidden/>
          </w:rPr>
          <w:instrText xml:space="preserve"> PAGEREF _Toc494449607 \h </w:instrText>
        </w:r>
        <w:r w:rsidR="00350B08">
          <w:rPr>
            <w:webHidden/>
          </w:rPr>
        </w:r>
        <w:r w:rsidR="00350B08">
          <w:rPr>
            <w:webHidden/>
          </w:rPr>
          <w:fldChar w:fldCharType="separate"/>
        </w:r>
        <w:r w:rsidR="00813A6A">
          <w:rPr>
            <w:webHidden/>
          </w:rPr>
          <w:t>37</w:t>
        </w:r>
        <w:r w:rsidR="00350B08">
          <w:rPr>
            <w:webHidden/>
          </w:rPr>
          <w:fldChar w:fldCharType="end"/>
        </w:r>
      </w:hyperlink>
    </w:p>
    <w:p w14:paraId="4F37E524" w14:textId="7EA9A053" w:rsidR="00350B08" w:rsidRDefault="004D11D1">
      <w:pPr>
        <w:pStyle w:val="TOC2"/>
        <w:rPr>
          <w:rFonts w:asciiTheme="minorHAnsi" w:eastAsiaTheme="minorEastAsia" w:hAnsiTheme="minorHAnsi" w:cstheme="minorBidi"/>
          <w:bCs w:val="0"/>
          <w:color w:val="auto"/>
          <w:sz w:val="22"/>
          <w:lang w:eastAsia="en-AU"/>
        </w:rPr>
      </w:pPr>
      <w:hyperlink w:anchor="_Toc494449608" w:history="1">
        <w:r w:rsidR="00350B08" w:rsidRPr="009C0426">
          <w:rPr>
            <w:rStyle w:val="Hyperlink"/>
            <w:noProof/>
          </w:rPr>
          <w:t>Salvage harvest</w:t>
        </w:r>
        <w:r w:rsidR="00350B08">
          <w:rPr>
            <w:webHidden/>
          </w:rPr>
          <w:tab/>
        </w:r>
        <w:r w:rsidR="00350B08">
          <w:rPr>
            <w:webHidden/>
          </w:rPr>
          <w:fldChar w:fldCharType="begin"/>
        </w:r>
        <w:r w:rsidR="00350B08">
          <w:rPr>
            <w:webHidden/>
          </w:rPr>
          <w:instrText xml:space="preserve"> PAGEREF _Toc494449608 \h </w:instrText>
        </w:r>
        <w:r w:rsidR="00350B08">
          <w:rPr>
            <w:webHidden/>
          </w:rPr>
        </w:r>
        <w:r w:rsidR="00350B08">
          <w:rPr>
            <w:webHidden/>
          </w:rPr>
          <w:fldChar w:fldCharType="separate"/>
        </w:r>
        <w:r w:rsidR="00813A6A">
          <w:rPr>
            <w:webHidden/>
          </w:rPr>
          <w:t>37</w:t>
        </w:r>
        <w:r w:rsidR="00350B08">
          <w:rPr>
            <w:webHidden/>
          </w:rPr>
          <w:fldChar w:fldCharType="end"/>
        </w:r>
      </w:hyperlink>
    </w:p>
    <w:p w14:paraId="2E5E73E4" w14:textId="4774EE52" w:rsidR="00350B08" w:rsidRDefault="004D11D1">
      <w:pPr>
        <w:pStyle w:val="TOC2"/>
        <w:rPr>
          <w:rFonts w:asciiTheme="minorHAnsi" w:eastAsiaTheme="minorEastAsia" w:hAnsiTheme="minorHAnsi" w:cstheme="minorBidi"/>
          <w:bCs w:val="0"/>
          <w:color w:val="auto"/>
          <w:sz w:val="22"/>
          <w:lang w:eastAsia="en-AU"/>
        </w:rPr>
      </w:pPr>
      <w:hyperlink w:anchor="_Toc494449609" w:history="1">
        <w:r w:rsidR="00350B08" w:rsidRPr="009C0426">
          <w:rPr>
            <w:rStyle w:val="Hyperlink"/>
            <w:noProof/>
          </w:rPr>
          <w:t>Grower production</w:t>
        </w:r>
        <w:r w:rsidR="00350B08">
          <w:rPr>
            <w:webHidden/>
          </w:rPr>
          <w:tab/>
        </w:r>
        <w:r w:rsidR="00350B08">
          <w:rPr>
            <w:webHidden/>
          </w:rPr>
          <w:fldChar w:fldCharType="begin"/>
        </w:r>
        <w:r w:rsidR="00350B08">
          <w:rPr>
            <w:webHidden/>
          </w:rPr>
          <w:instrText xml:space="preserve"> PAGEREF _Toc494449609 \h </w:instrText>
        </w:r>
        <w:r w:rsidR="00350B08">
          <w:rPr>
            <w:webHidden/>
          </w:rPr>
        </w:r>
        <w:r w:rsidR="00350B08">
          <w:rPr>
            <w:webHidden/>
          </w:rPr>
          <w:fldChar w:fldCharType="separate"/>
        </w:r>
        <w:r w:rsidR="00813A6A">
          <w:rPr>
            <w:webHidden/>
          </w:rPr>
          <w:t>37</w:t>
        </w:r>
        <w:r w:rsidR="00350B08">
          <w:rPr>
            <w:webHidden/>
          </w:rPr>
          <w:fldChar w:fldCharType="end"/>
        </w:r>
      </w:hyperlink>
    </w:p>
    <w:p w14:paraId="7890B52F" w14:textId="301A1A5C" w:rsidR="00350B08" w:rsidRDefault="004D11D1">
      <w:pPr>
        <w:pStyle w:val="TOC1"/>
        <w:rPr>
          <w:rFonts w:asciiTheme="minorHAnsi" w:eastAsiaTheme="minorEastAsia" w:hAnsiTheme="minorHAnsi"/>
          <w:color w:val="auto"/>
          <w:sz w:val="22"/>
          <w:lang w:eastAsia="en-AU"/>
        </w:rPr>
      </w:pPr>
      <w:hyperlink w:anchor="_Toc494449610" w:history="1">
        <w:r w:rsidR="00350B08" w:rsidRPr="009C0426">
          <w:rPr>
            <w:rStyle w:val="Hyperlink"/>
            <w:noProof/>
          </w:rPr>
          <w:t>Appendix I: Family Orchidaceae</w:t>
        </w:r>
        <w:r w:rsidR="00350B08">
          <w:rPr>
            <w:webHidden/>
          </w:rPr>
          <w:tab/>
        </w:r>
        <w:r w:rsidR="00350B08">
          <w:rPr>
            <w:webHidden/>
          </w:rPr>
          <w:fldChar w:fldCharType="begin"/>
        </w:r>
        <w:r w:rsidR="00350B08">
          <w:rPr>
            <w:webHidden/>
          </w:rPr>
          <w:instrText xml:space="preserve"> PAGEREF _Toc494449610 \h </w:instrText>
        </w:r>
        <w:r w:rsidR="00350B08">
          <w:rPr>
            <w:webHidden/>
          </w:rPr>
        </w:r>
        <w:r w:rsidR="00350B08">
          <w:rPr>
            <w:webHidden/>
          </w:rPr>
          <w:fldChar w:fldCharType="separate"/>
        </w:r>
        <w:r w:rsidR="00813A6A">
          <w:rPr>
            <w:webHidden/>
          </w:rPr>
          <w:t>38</w:t>
        </w:r>
        <w:r w:rsidR="00350B08">
          <w:rPr>
            <w:webHidden/>
          </w:rPr>
          <w:fldChar w:fldCharType="end"/>
        </w:r>
      </w:hyperlink>
    </w:p>
    <w:p w14:paraId="6283D797" w14:textId="53F1E7B0" w:rsidR="00350B08" w:rsidRDefault="004D11D1">
      <w:pPr>
        <w:pStyle w:val="TOC2"/>
        <w:rPr>
          <w:rFonts w:asciiTheme="minorHAnsi" w:eastAsiaTheme="minorEastAsia" w:hAnsiTheme="minorHAnsi" w:cstheme="minorBidi"/>
          <w:bCs w:val="0"/>
          <w:color w:val="auto"/>
          <w:sz w:val="22"/>
          <w:lang w:eastAsia="en-AU"/>
        </w:rPr>
      </w:pPr>
      <w:hyperlink w:anchor="_Toc494449611" w:history="1">
        <w:r w:rsidR="00350B08" w:rsidRPr="009C0426">
          <w:rPr>
            <w:rStyle w:val="Hyperlink"/>
            <w:noProof/>
          </w:rPr>
          <w:t>Sustainable harvest</w:t>
        </w:r>
        <w:r w:rsidR="00350B08">
          <w:rPr>
            <w:webHidden/>
          </w:rPr>
          <w:tab/>
        </w:r>
        <w:r w:rsidR="00350B08">
          <w:rPr>
            <w:webHidden/>
          </w:rPr>
          <w:fldChar w:fldCharType="begin"/>
        </w:r>
        <w:r w:rsidR="00350B08">
          <w:rPr>
            <w:webHidden/>
          </w:rPr>
          <w:instrText xml:space="preserve"> PAGEREF _Toc494449611 \h </w:instrText>
        </w:r>
        <w:r w:rsidR="00350B08">
          <w:rPr>
            <w:webHidden/>
          </w:rPr>
        </w:r>
        <w:r w:rsidR="00350B08">
          <w:rPr>
            <w:webHidden/>
          </w:rPr>
          <w:fldChar w:fldCharType="separate"/>
        </w:r>
        <w:r w:rsidR="00813A6A">
          <w:rPr>
            <w:webHidden/>
          </w:rPr>
          <w:t>38</w:t>
        </w:r>
        <w:r w:rsidR="00350B08">
          <w:rPr>
            <w:webHidden/>
          </w:rPr>
          <w:fldChar w:fldCharType="end"/>
        </w:r>
      </w:hyperlink>
    </w:p>
    <w:p w14:paraId="76F29E15" w14:textId="26DD9AFF" w:rsidR="00350B08" w:rsidRDefault="004D11D1">
      <w:pPr>
        <w:pStyle w:val="TOC2"/>
        <w:rPr>
          <w:rFonts w:asciiTheme="minorHAnsi" w:eastAsiaTheme="minorEastAsia" w:hAnsiTheme="minorHAnsi" w:cstheme="minorBidi"/>
          <w:bCs w:val="0"/>
          <w:color w:val="auto"/>
          <w:sz w:val="22"/>
          <w:lang w:eastAsia="en-AU"/>
        </w:rPr>
      </w:pPr>
      <w:hyperlink w:anchor="_Toc494449612" w:history="1">
        <w:r w:rsidR="00350B08" w:rsidRPr="009C0426">
          <w:rPr>
            <w:rStyle w:val="Hyperlink"/>
            <w:noProof/>
          </w:rPr>
          <w:t>Salvage harvest</w:t>
        </w:r>
        <w:r w:rsidR="00350B08">
          <w:rPr>
            <w:webHidden/>
          </w:rPr>
          <w:tab/>
        </w:r>
        <w:r w:rsidR="00350B08">
          <w:rPr>
            <w:webHidden/>
          </w:rPr>
          <w:fldChar w:fldCharType="begin"/>
        </w:r>
        <w:r w:rsidR="00350B08">
          <w:rPr>
            <w:webHidden/>
          </w:rPr>
          <w:instrText xml:space="preserve"> PAGEREF _Toc494449612 \h </w:instrText>
        </w:r>
        <w:r w:rsidR="00350B08">
          <w:rPr>
            <w:webHidden/>
          </w:rPr>
        </w:r>
        <w:r w:rsidR="00350B08">
          <w:rPr>
            <w:webHidden/>
          </w:rPr>
          <w:fldChar w:fldCharType="separate"/>
        </w:r>
        <w:r w:rsidR="00813A6A">
          <w:rPr>
            <w:webHidden/>
          </w:rPr>
          <w:t>39</w:t>
        </w:r>
        <w:r w:rsidR="00350B08">
          <w:rPr>
            <w:webHidden/>
          </w:rPr>
          <w:fldChar w:fldCharType="end"/>
        </w:r>
      </w:hyperlink>
    </w:p>
    <w:p w14:paraId="54A790DA" w14:textId="154EAFEA" w:rsidR="00350B08" w:rsidRDefault="004D11D1">
      <w:pPr>
        <w:pStyle w:val="TOC2"/>
        <w:rPr>
          <w:rFonts w:asciiTheme="minorHAnsi" w:eastAsiaTheme="minorEastAsia" w:hAnsiTheme="minorHAnsi" w:cstheme="minorBidi"/>
          <w:bCs w:val="0"/>
          <w:color w:val="auto"/>
          <w:sz w:val="22"/>
          <w:lang w:eastAsia="en-AU"/>
        </w:rPr>
      </w:pPr>
      <w:hyperlink w:anchor="_Toc494449613" w:history="1">
        <w:r w:rsidR="00350B08" w:rsidRPr="009C0426">
          <w:rPr>
            <w:rStyle w:val="Hyperlink"/>
            <w:noProof/>
          </w:rPr>
          <w:t>Grower production</w:t>
        </w:r>
        <w:r w:rsidR="00350B08">
          <w:rPr>
            <w:webHidden/>
          </w:rPr>
          <w:tab/>
        </w:r>
        <w:r w:rsidR="00350B08">
          <w:rPr>
            <w:webHidden/>
          </w:rPr>
          <w:fldChar w:fldCharType="begin"/>
        </w:r>
        <w:r w:rsidR="00350B08">
          <w:rPr>
            <w:webHidden/>
          </w:rPr>
          <w:instrText xml:space="preserve"> PAGEREF _Toc494449613 \h </w:instrText>
        </w:r>
        <w:r w:rsidR="00350B08">
          <w:rPr>
            <w:webHidden/>
          </w:rPr>
        </w:r>
        <w:r w:rsidR="00350B08">
          <w:rPr>
            <w:webHidden/>
          </w:rPr>
          <w:fldChar w:fldCharType="separate"/>
        </w:r>
        <w:r w:rsidR="00813A6A">
          <w:rPr>
            <w:webHidden/>
          </w:rPr>
          <w:t>39</w:t>
        </w:r>
        <w:r w:rsidR="00350B08">
          <w:rPr>
            <w:webHidden/>
          </w:rPr>
          <w:fldChar w:fldCharType="end"/>
        </w:r>
      </w:hyperlink>
    </w:p>
    <w:p w14:paraId="3B6CD389" w14:textId="7497ACB5" w:rsidR="00350B08" w:rsidRDefault="004D11D1">
      <w:pPr>
        <w:pStyle w:val="TOC2"/>
        <w:rPr>
          <w:rFonts w:asciiTheme="minorHAnsi" w:eastAsiaTheme="minorEastAsia" w:hAnsiTheme="minorHAnsi" w:cstheme="minorBidi"/>
          <w:bCs w:val="0"/>
          <w:color w:val="auto"/>
          <w:sz w:val="22"/>
          <w:lang w:eastAsia="en-AU"/>
        </w:rPr>
      </w:pPr>
      <w:hyperlink w:anchor="_Toc494449614" w:history="1">
        <w:r w:rsidR="00350B08" w:rsidRPr="009C0426">
          <w:rPr>
            <w:rStyle w:val="Hyperlink"/>
            <w:noProof/>
          </w:rPr>
          <w:t>Societies and special interest groups</w:t>
        </w:r>
        <w:r w:rsidR="00350B08">
          <w:rPr>
            <w:webHidden/>
          </w:rPr>
          <w:tab/>
        </w:r>
        <w:r w:rsidR="00350B08">
          <w:rPr>
            <w:webHidden/>
          </w:rPr>
          <w:fldChar w:fldCharType="begin"/>
        </w:r>
        <w:r w:rsidR="00350B08">
          <w:rPr>
            <w:webHidden/>
          </w:rPr>
          <w:instrText xml:space="preserve"> PAGEREF _Toc494449614 \h </w:instrText>
        </w:r>
        <w:r w:rsidR="00350B08">
          <w:rPr>
            <w:webHidden/>
          </w:rPr>
        </w:r>
        <w:r w:rsidR="00350B08">
          <w:rPr>
            <w:webHidden/>
          </w:rPr>
          <w:fldChar w:fldCharType="separate"/>
        </w:r>
        <w:r w:rsidR="00813A6A">
          <w:rPr>
            <w:webHidden/>
          </w:rPr>
          <w:t>39</w:t>
        </w:r>
        <w:r w:rsidR="00350B08">
          <w:rPr>
            <w:webHidden/>
          </w:rPr>
          <w:fldChar w:fldCharType="end"/>
        </w:r>
      </w:hyperlink>
    </w:p>
    <w:p w14:paraId="58FC0E87" w14:textId="47202FC9" w:rsidR="00350B08" w:rsidRDefault="004D11D1">
      <w:pPr>
        <w:pStyle w:val="TOC1"/>
        <w:rPr>
          <w:rFonts w:asciiTheme="minorHAnsi" w:eastAsiaTheme="minorEastAsia" w:hAnsiTheme="minorHAnsi"/>
          <w:color w:val="auto"/>
          <w:sz w:val="22"/>
          <w:lang w:eastAsia="en-AU"/>
        </w:rPr>
      </w:pPr>
      <w:hyperlink w:anchor="_Toc494449615" w:history="1">
        <w:r w:rsidR="00350B08" w:rsidRPr="009C0426">
          <w:rPr>
            <w:rStyle w:val="Hyperlink"/>
            <w:noProof/>
          </w:rPr>
          <w:t>Appendix J: Tools for assessing population and harvest numbers</w:t>
        </w:r>
        <w:r w:rsidR="00350B08">
          <w:rPr>
            <w:webHidden/>
          </w:rPr>
          <w:tab/>
        </w:r>
        <w:r w:rsidR="00350B08">
          <w:rPr>
            <w:webHidden/>
          </w:rPr>
          <w:fldChar w:fldCharType="begin"/>
        </w:r>
        <w:r w:rsidR="00350B08">
          <w:rPr>
            <w:webHidden/>
          </w:rPr>
          <w:instrText xml:space="preserve"> PAGEREF _Toc494449615 \h </w:instrText>
        </w:r>
        <w:r w:rsidR="00350B08">
          <w:rPr>
            <w:webHidden/>
          </w:rPr>
        </w:r>
        <w:r w:rsidR="00350B08">
          <w:rPr>
            <w:webHidden/>
          </w:rPr>
          <w:fldChar w:fldCharType="separate"/>
        </w:r>
        <w:r w:rsidR="00813A6A">
          <w:rPr>
            <w:webHidden/>
          </w:rPr>
          <w:t>40</w:t>
        </w:r>
        <w:r w:rsidR="00350B08">
          <w:rPr>
            <w:webHidden/>
          </w:rPr>
          <w:fldChar w:fldCharType="end"/>
        </w:r>
      </w:hyperlink>
    </w:p>
    <w:p w14:paraId="58C63020" w14:textId="0915ABA1" w:rsidR="00350B08" w:rsidRDefault="004D11D1">
      <w:pPr>
        <w:pStyle w:val="TOC2"/>
        <w:rPr>
          <w:rFonts w:asciiTheme="minorHAnsi" w:eastAsiaTheme="minorEastAsia" w:hAnsiTheme="minorHAnsi" w:cstheme="minorBidi"/>
          <w:bCs w:val="0"/>
          <w:color w:val="auto"/>
          <w:sz w:val="22"/>
          <w:lang w:eastAsia="en-AU"/>
        </w:rPr>
      </w:pPr>
      <w:hyperlink w:anchor="_Toc494449616" w:history="1">
        <w:r w:rsidR="00350B08" w:rsidRPr="009C0426">
          <w:rPr>
            <w:rStyle w:val="Hyperlink"/>
            <w:noProof/>
          </w:rPr>
          <w:t>Determining the number of plants per acre or hectare</w:t>
        </w:r>
        <w:r w:rsidR="00350B08">
          <w:rPr>
            <w:webHidden/>
          </w:rPr>
          <w:tab/>
        </w:r>
        <w:r w:rsidR="00350B08">
          <w:rPr>
            <w:webHidden/>
          </w:rPr>
          <w:fldChar w:fldCharType="begin"/>
        </w:r>
        <w:r w:rsidR="00350B08">
          <w:rPr>
            <w:webHidden/>
          </w:rPr>
          <w:instrText xml:space="preserve"> PAGEREF _Toc494449616 \h </w:instrText>
        </w:r>
        <w:r w:rsidR="00350B08">
          <w:rPr>
            <w:webHidden/>
          </w:rPr>
        </w:r>
        <w:r w:rsidR="00350B08">
          <w:rPr>
            <w:webHidden/>
          </w:rPr>
          <w:fldChar w:fldCharType="separate"/>
        </w:r>
        <w:r w:rsidR="00813A6A">
          <w:rPr>
            <w:webHidden/>
          </w:rPr>
          <w:t>40</w:t>
        </w:r>
        <w:r w:rsidR="00350B08">
          <w:rPr>
            <w:webHidden/>
          </w:rPr>
          <w:fldChar w:fldCharType="end"/>
        </w:r>
      </w:hyperlink>
    </w:p>
    <w:p w14:paraId="463128B8" w14:textId="24B98452" w:rsidR="00350B08" w:rsidRDefault="004D11D1">
      <w:pPr>
        <w:pStyle w:val="TOC2"/>
        <w:rPr>
          <w:rFonts w:asciiTheme="minorHAnsi" w:eastAsiaTheme="minorEastAsia" w:hAnsiTheme="minorHAnsi" w:cstheme="minorBidi"/>
          <w:bCs w:val="0"/>
          <w:color w:val="auto"/>
          <w:sz w:val="22"/>
          <w:lang w:eastAsia="en-AU"/>
        </w:rPr>
      </w:pPr>
      <w:hyperlink w:anchor="_Toc494449617" w:history="1">
        <w:r w:rsidR="00350B08" w:rsidRPr="009C0426">
          <w:rPr>
            <w:rStyle w:val="Hyperlink"/>
            <w:noProof/>
          </w:rPr>
          <w:t>Conversions</w:t>
        </w:r>
        <w:r w:rsidR="00350B08">
          <w:rPr>
            <w:webHidden/>
          </w:rPr>
          <w:tab/>
        </w:r>
        <w:r w:rsidR="00350B08">
          <w:rPr>
            <w:webHidden/>
          </w:rPr>
          <w:fldChar w:fldCharType="begin"/>
        </w:r>
        <w:r w:rsidR="00350B08">
          <w:rPr>
            <w:webHidden/>
          </w:rPr>
          <w:instrText xml:space="preserve"> PAGEREF _Toc494449617 \h </w:instrText>
        </w:r>
        <w:r w:rsidR="00350B08">
          <w:rPr>
            <w:webHidden/>
          </w:rPr>
        </w:r>
        <w:r w:rsidR="00350B08">
          <w:rPr>
            <w:webHidden/>
          </w:rPr>
          <w:fldChar w:fldCharType="separate"/>
        </w:r>
        <w:r w:rsidR="00813A6A">
          <w:rPr>
            <w:webHidden/>
          </w:rPr>
          <w:t>41</w:t>
        </w:r>
        <w:r w:rsidR="00350B08">
          <w:rPr>
            <w:webHidden/>
          </w:rPr>
          <w:fldChar w:fldCharType="end"/>
        </w:r>
      </w:hyperlink>
    </w:p>
    <w:p w14:paraId="66F406AA" w14:textId="713D0AB7" w:rsidR="00350B08" w:rsidRDefault="004D11D1">
      <w:pPr>
        <w:pStyle w:val="TOC2"/>
        <w:rPr>
          <w:rFonts w:asciiTheme="minorHAnsi" w:eastAsiaTheme="minorEastAsia" w:hAnsiTheme="minorHAnsi" w:cstheme="minorBidi"/>
          <w:bCs w:val="0"/>
          <w:color w:val="auto"/>
          <w:sz w:val="22"/>
          <w:lang w:eastAsia="en-AU"/>
        </w:rPr>
      </w:pPr>
      <w:hyperlink w:anchor="_Toc494449618" w:history="1">
        <w:r w:rsidR="00350B08" w:rsidRPr="009C0426">
          <w:rPr>
            <w:rStyle w:val="Hyperlink"/>
            <w:noProof/>
          </w:rPr>
          <w:t>Rotational harvesting</w:t>
        </w:r>
        <w:r w:rsidR="00350B08">
          <w:rPr>
            <w:webHidden/>
          </w:rPr>
          <w:tab/>
        </w:r>
        <w:r w:rsidR="00350B08">
          <w:rPr>
            <w:webHidden/>
          </w:rPr>
          <w:fldChar w:fldCharType="begin"/>
        </w:r>
        <w:r w:rsidR="00350B08">
          <w:rPr>
            <w:webHidden/>
          </w:rPr>
          <w:instrText xml:space="preserve"> PAGEREF _Toc494449618 \h </w:instrText>
        </w:r>
        <w:r w:rsidR="00350B08">
          <w:rPr>
            <w:webHidden/>
          </w:rPr>
        </w:r>
        <w:r w:rsidR="00350B08">
          <w:rPr>
            <w:webHidden/>
          </w:rPr>
          <w:fldChar w:fldCharType="separate"/>
        </w:r>
        <w:r w:rsidR="00813A6A">
          <w:rPr>
            <w:webHidden/>
          </w:rPr>
          <w:t>41</w:t>
        </w:r>
        <w:r w:rsidR="00350B08">
          <w:rPr>
            <w:webHidden/>
          </w:rPr>
          <w:fldChar w:fldCharType="end"/>
        </w:r>
      </w:hyperlink>
    </w:p>
    <w:p w14:paraId="3AB09035" w14:textId="68E5190B" w:rsidR="00350B08" w:rsidRDefault="004D11D1">
      <w:pPr>
        <w:pStyle w:val="TOC1"/>
        <w:rPr>
          <w:rFonts w:asciiTheme="minorHAnsi" w:eastAsiaTheme="minorEastAsia" w:hAnsiTheme="minorHAnsi"/>
          <w:color w:val="auto"/>
          <w:sz w:val="22"/>
          <w:lang w:eastAsia="en-AU"/>
        </w:rPr>
      </w:pPr>
      <w:hyperlink w:anchor="_Toc494449619" w:history="1">
        <w:r w:rsidR="00350B08" w:rsidRPr="009C0426">
          <w:rPr>
            <w:rStyle w:val="Hyperlink"/>
            <w:noProof/>
          </w:rPr>
          <w:t>Appendix K: Plant size classes relevant to the whole-plant industry</w:t>
        </w:r>
        <w:r w:rsidR="00350B08">
          <w:rPr>
            <w:webHidden/>
          </w:rPr>
          <w:tab/>
        </w:r>
        <w:r w:rsidR="00350B08">
          <w:rPr>
            <w:webHidden/>
          </w:rPr>
          <w:fldChar w:fldCharType="begin"/>
        </w:r>
        <w:r w:rsidR="00350B08">
          <w:rPr>
            <w:webHidden/>
          </w:rPr>
          <w:instrText xml:space="preserve"> PAGEREF _Toc494449619 \h </w:instrText>
        </w:r>
        <w:r w:rsidR="00350B08">
          <w:rPr>
            <w:webHidden/>
          </w:rPr>
        </w:r>
        <w:r w:rsidR="00350B08">
          <w:rPr>
            <w:webHidden/>
          </w:rPr>
          <w:fldChar w:fldCharType="separate"/>
        </w:r>
        <w:r w:rsidR="00813A6A">
          <w:rPr>
            <w:webHidden/>
          </w:rPr>
          <w:t>42</w:t>
        </w:r>
        <w:r w:rsidR="00350B08">
          <w:rPr>
            <w:webHidden/>
          </w:rPr>
          <w:fldChar w:fldCharType="end"/>
        </w:r>
      </w:hyperlink>
    </w:p>
    <w:p w14:paraId="2299230A" w14:textId="3E52B3E3" w:rsidR="00350B08" w:rsidRDefault="004D11D1">
      <w:pPr>
        <w:pStyle w:val="TOC2"/>
        <w:rPr>
          <w:rFonts w:asciiTheme="minorHAnsi" w:eastAsiaTheme="minorEastAsia" w:hAnsiTheme="minorHAnsi" w:cstheme="minorBidi"/>
          <w:bCs w:val="0"/>
          <w:color w:val="auto"/>
          <w:sz w:val="22"/>
          <w:lang w:eastAsia="en-AU"/>
        </w:rPr>
      </w:pPr>
      <w:hyperlink w:anchor="_Toc494449620" w:history="1">
        <w:r w:rsidR="00350B08" w:rsidRPr="009C0426">
          <w:rPr>
            <w:rStyle w:val="Hyperlink"/>
            <w:noProof/>
          </w:rPr>
          <w:t>Size classes for inclusion in population assessments</w:t>
        </w:r>
        <w:r w:rsidR="00350B08">
          <w:rPr>
            <w:webHidden/>
          </w:rPr>
          <w:tab/>
        </w:r>
        <w:r w:rsidR="00350B08">
          <w:rPr>
            <w:webHidden/>
          </w:rPr>
          <w:fldChar w:fldCharType="begin"/>
        </w:r>
        <w:r w:rsidR="00350B08">
          <w:rPr>
            <w:webHidden/>
          </w:rPr>
          <w:instrText xml:space="preserve"> PAGEREF _Toc494449620 \h </w:instrText>
        </w:r>
        <w:r w:rsidR="00350B08">
          <w:rPr>
            <w:webHidden/>
          </w:rPr>
        </w:r>
        <w:r w:rsidR="00350B08">
          <w:rPr>
            <w:webHidden/>
          </w:rPr>
          <w:fldChar w:fldCharType="separate"/>
        </w:r>
        <w:r w:rsidR="00813A6A">
          <w:rPr>
            <w:webHidden/>
          </w:rPr>
          <w:t>42</w:t>
        </w:r>
        <w:r w:rsidR="00350B08">
          <w:rPr>
            <w:webHidden/>
          </w:rPr>
          <w:fldChar w:fldCharType="end"/>
        </w:r>
      </w:hyperlink>
    </w:p>
    <w:p w14:paraId="67E1EBAE" w14:textId="78D2A265" w:rsidR="00350B08" w:rsidRDefault="004D11D1">
      <w:pPr>
        <w:pStyle w:val="TOC2"/>
        <w:rPr>
          <w:rFonts w:asciiTheme="minorHAnsi" w:eastAsiaTheme="minorEastAsia" w:hAnsiTheme="minorHAnsi" w:cstheme="minorBidi"/>
          <w:bCs w:val="0"/>
          <w:color w:val="auto"/>
          <w:sz w:val="22"/>
          <w:lang w:eastAsia="en-AU"/>
        </w:rPr>
      </w:pPr>
      <w:hyperlink w:anchor="_Toc494449621" w:history="1">
        <w:r w:rsidR="00350B08" w:rsidRPr="009C0426">
          <w:rPr>
            <w:rStyle w:val="Hyperlink"/>
            <w:noProof/>
          </w:rPr>
          <w:t>Size classes and licence types</w:t>
        </w:r>
        <w:r w:rsidR="00350B08">
          <w:rPr>
            <w:webHidden/>
          </w:rPr>
          <w:tab/>
        </w:r>
        <w:r w:rsidR="00350B08">
          <w:rPr>
            <w:webHidden/>
          </w:rPr>
          <w:fldChar w:fldCharType="begin"/>
        </w:r>
        <w:r w:rsidR="00350B08">
          <w:rPr>
            <w:webHidden/>
          </w:rPr>
          <w:instrText xml:space="preserve"> PAGEREF _Toc494449621 \h </w:instrText>
        </w:r>
        <w:r w:rsidR="00350B08">
          <w:rPr>
            <w:webHidden/>
          </w:rPr>
        </w:r>
        <w:r w:rsidR="00350B08">
          <w:rPr>
            <w:webHidden/>
          </w:rPr>
          <w:fldChar w:fldCharType="separate"/>
        </w:r>
        <w:r w:rsidR="00813A6A">
          <w:rPr>
            <w:webHidden/>
          </w:rPr>
          <w:t>43</w:t>
        </w:r>
        <w:r w:rsidR="00350B08">
          <w:rPr>
            <w:webHidden/>
          </w:rPr>
          <w:fldChar w:fldCharType="end"/>
        </w:r>
      </w:hyperlink>
    </w:p>
    <w:p w14:paraId="611B6320" w14:textId="77777777" w:rsidR="001A4AE4" w:rsidRDefault="004F5844" w:rsidP="00FC388E">
      <w:r>
        <w:fldChar w:fldCharType="end"/>
      </w:r>
      <w:bookmarkStart w:id="3" w:name="_Toc192399886"/>
      <w:bookmarkStart w:id="4" w:name="_Toc211052523"/>
      <w:bookmarkStart w:id="5" w:name="_Toc211129278"/>
      <w:bookmarkStart w:id="6" w:name="_Toc427223602"/>
      <w:bookmarkEnd w:id="1"/>
      <w:bookmarkEnd w:id="2"/>
    </w:p>
    <w:bookmarkEnd w:id="3"/>
    <w:bookmarkEnd w:id="4"/>
    <w:bookmarkEnd w:id="5"/>
    <w:bookmarkEnd w:id="6"/>
    <w:p w14:paraId="72B6B88F" w14:textId="77777777" w:rsidR="00CE7AB0" w:rsidRDefault="00CE7AB0" w:rsidP="00FC388E">
      <w:pPr>
        <w:sectPr w:rsidR="00CE7AB0" w:rsidSect="00CE7AB0">
          <w:headerReference w:type="default" r:id="rId21"/>
          <w:pgSz w:w="11906" w:h="16838" w:code="9"/>
          <w:pgMar w:top="1418" w:right="1418" w:bottom="1418" w:left="1418" w:header="567" w:footer="709" w:gutter="0"/>
          <w:pgNumType w:fmt="lowerRoman" w:start="1"/>
          <w:cols w:space="708"/>
          <w:docGrid w:linePitch="360"/>
        </w:sectPr>
      </w:pPr>
    </w:p>
    <w:p w14:paraId="66D34267" w14:textId="77777777" w:rsidR="00CE7AB0" w:rsidRPr="00F4449B" w:rsidRDefault="00CE7AB0" w:rsidP="00EF4268">
      <w:pPr>
        <w:pStyle w:val="Heading1"/>
        <w:numPr>
          <w:ilvl w:val="0"/>
          <w:numId w:val="0"/>
        </w:numPr>
        <w:ind w:left="432" w:hanging="432"/>
      </w:pPr>
      <w:bookmarkStart w:id="7" w:name="_Toc494449553"/>
      <w:bookmarkStart w:id="8" w:name="_Toc275527339"/>
      <w:r w:rsidRPr="00F4449B">
        <w:lastRenderedPageBreak/>
        <w:t>Foreword</w:t>
      </w:r>
      <w:bookmarkEnd w:id="7"/>
    </w:p>
    <w:p w14:paraId="51A75E61" w14:textId="77777777" w:rsidR="00CE7AB0" w:rsidRPr="00FC388E" w:rsidRDefault="00CE7AB0" w:rsidP="007A0700">
      <w:pPr>
        <w:pStyle w:val="BodyText"/>
        <w:numPr>
          <w:ilvl w:val="0"/>
          <w:numId w:val="13"/>
        </w:numPr>
      </w:pPr>
      <w:r w:rsidRPr="00FC388E">
        <w:t>This draft Whole Plant Sustainable Management Plan 2018</w:t>
      </w:r>
      <w:r w:rsidR="007A0700">
        <w:t>–</w:t>
      </w:r>
      <w:r w:rsidRPr="00FC388E">
        <w:t>22 is</w:t>
      </w:r>
      <w:r w:rsidR="00F97859">
        <w:t xml:space="preserve"> intended to replace the </w:t>
      </w:r>
      <w:r w:rsidR="007A0700">
        <w:t>C</w:t>
      </w:r>
      <w:r w:rsidR="007A0700" w:rsidRPr="007A0700">
        <w:t>ommercial harvest, salvage and propaga</w:t>
      </w:r>
      <w:r w:rsidR="007A0700">
        <w:t>tion of protected whole plants –</w:t>
      </w:r>
      <w:r w:rsidR="007A0700" w:rsidRPr="007A0700">
        <w:t xml:space="preserve"> S</w:t>
      </w:r>
      <w:r w:rsidR="007A0700">
        <w:t>ustainable management plan 2013–</w:t>
      </w:r>
      <w:r w:rsidR="007A0700" w:rsidRPr="007A0700">
        <w:t>17</w:t>
      </w:r>
      <w:r w:rsidRPr="00FC388E">
        <w:t xml:space="preserve">.   </w:t>
      </w:r>
    </w:p>
    <w:p w14:paraId="1CDC9DD6" w14:textId="739868CB" w:rsidR="00CE7AB0" w:rsidRPr="00FC388E" w:rsidRDefault="00CE7AB0" w:rsidP="00FC388E">
      <w:pPr>
        <w:pStyle w:val="BodyText"/>
        <w:numPr>
          <w:ilvl w:val="0"/>
          <w:numId w:val="13"/>
        </w:numPr>
      </w:pPr>
      <w:r w:rsidRPr="00FC388E">
        <w:t xml:space="preserve">The draft Plan 2018-22 is required to be exhibited for public consultation in accordance with the </w:t>
      </w:r>
      <w:r w:rsidRPr="007A0700">
        <w:rPr>
          <w:i/>
        </w:rPr>
        <w:t>Biodiversity Conservation Act 2016</w:t>
      </w:r>
      <w:r w:rsidRPr="00FC388E">
        <w:t xml:space="preserve"> (NSW) and Environment Protection and Biodiversity Conservation Act 1999 (C</w:t>
      </w:r>
      <w:r w:rsidR="001E605D">
        <w:t>ommonweal</w:t>
      </w:r>
      <w:r w:rsidRPr="00FC388E">
        <w:t>th).</w:t>
      </w:r>
    </w:p>
    <w:p w14:paraId="569FD21D" w14:textId="77777777" w:rsidR="00CE7AB0" w:rsidRPr="00FC388E" w:rsidRDefault="00CE7AB0" w:rsidP="00FC388E">
      <w:pPr>
        <w:pStyle w:val="BodyText"/>
        <w:numPr>
          <w:ilvl w:val="0"/>
          <w:numId w:val="13"/>
        </w:numPr>
      </w:pPr>
      <w:r w:rsidRPr="00FC388E">
        <w:t xml:space="preserve">Key changes from the </w:t>
      </w:r>
      <w:r w:rsidR="007A0700">
        <w:t>2013–</w:t>
      </w:r>
      <w:r w:rsidRPr="00FC388E">
        <w:t>17 Plan are outlined below.</w:t>
      </w:r>
    </w:p>
    <w:p w14:paraId="4C4C854A" w14:textId="77777777" w:rsidR="00CE7AB0" w:rsidRPr="009724A8" w:rsidRDefault="00CE7AB0" w:rsidP="006355C0">
      <w:pPr>
        <w:pStyle w:val="Heading2"/>
        <w:numPr>
          <w:ilvl w:val="0"/>
          <w:numId w:val="0"/>
        </w:numPr>
        <w:ind w:left="794" w:hanging="794"/>
      </w:pPr>
      <w:bookmarkStart w:id="9" w:name="_Toc494449554"/>
      <w:r w:rsidRPr="009724A8">
        <w:t>New legislation</w:t>
      </w:r>
      <w:bookmarkEnd w:id="9"/>
      <w:r w:rsidRPr="009724A8">
        <w:t xml:space="preserve"> </w:t>
      </w:r>
    </w:p>
    <w:p w14:paraId="2EA25129" w14:textId="77777777" w:rsidR="00CE7AB0" w:rsidRPr="004C4889" w:rsidRDefault="00CE7AB0" w:rsidP="00FC388E">
      <w:r w:rsidRPr="004C4889">
        <w:t xml:space="preserve">References to the </w:t>
      </w:r>
      <w:r w:rsidRPr="007A0700">
        <w:rPr>
          <w:i/>
        </w:rPr>
        <w:t>Biodiversity Conservation Act 2016</w:t>
      </w:r>
      <w:r w:rsidRPr="004C4889">
        <w:t xml:space="preserve"> and </w:t>
      </w:r>
      <w:r w:rsidR="001E605D">
        <w:t xml:space="preserve">Biodiversity Conservation </w:t>
      </w:r>
      <w:r w:rsidRPr="004C4889">
        <w:t xml:space="preserve">Regulation 2017 have been inserted in place of references to former legislation including the </w:t>
      </w:r>
      <w:r w:rsidRPr="007A0700">
        <w:rPr>
          <w:i/>
        </w:rPr>
        <w:t>National Parks and Wildlife Act 1974</w:t>
      </w:r>
      <w:r w:rsidRPr="004C4889">
        <w:t xml:space="preserve"> and </w:t>
      </w:r>
      <w:r w:rsidRPr="007A0700">
        <w:rPr>
          <w:i/>
        </w:rPr>
        <w:t>Threatened Species Conservation Act 1995</w:t>
      </w:r>
      <w:r w:rsidRPr="004C4889">
        <w:t xml:space="preserve">. </w:t>
      </w:r>
    </w:p>
    <w:p w14:paraId="24104D3D" w14:textId="77777777" w:rsidR="00CE7AB0" w:rsidRPr="00ED67A6" w:rsidRDefault="00CE7AB0" w:rsidP="006355C0">
      <w:pPr>
        <w:pStyle w:val="Heading2"/>
        <w:numPr>
          <w:ilvl w:val="0"/>
          <w:numId w:val="0"/>
        </w:numPr>
        <w:ind w:left="794" w:hanging="794"/>
      </w:pPr>
      <w:bookmarkStart w:id="10" w:name="_Toc494449555"/>
      <w:r w:rsidRPr="00ED67A6">
        <w:t>No multiple licences per site</w:t>
      </w:r>
      <w:bookmarkEnd w:id="10"/>
      <w:r w:rsidRPr="00ED67A6">
        <w:t xml:space="preserve"> </w:t>
      </w:r>
    </w:p>
    <w:p w14:paraId="206FF19B" w14:textId="77777777" w:rsidR="00CE7AB0" w:rsidRDefault="007A0700" w:rsidP="00FC388E">
      <w:r>
        <w:t>The 2013–</w:t>
      </w:r>
      <w:r w:rsidR="00CE7AB0">
        <w:t xml:space="preserve">17 plan provided multiple licences would not be issued for the same site within any five-year period.  </w:t>
      </w:r>
    </w:p>
    <w:p w14:paraId="019495FD" w14:textId="77777777" w:rsidR="00CE7AB0" w:rsidRDefault="007A0700" w:rsidP="00FC388E">
      <w:r>
        <w:t>The draft 2018–</w:t>
      </w:r>
      <w:r w:rsidR="00CE7AB0">
        <w:t xml:space="preserve">22 plan has clarified this requirement to allow new or renewed licences to be issued for a particular site in cases where the sustainable harvest level for the site has not been exceeded (see section 4.10.4). </w:t>
      </w:r>
    </w:p>
    <w:p w14:paraId="3C4AB3BF" w14:textId="77777777" w:rsidR="00CE7AB0" w:rsidRPr="00ED67A6" w:rsidRDefault="00CE7AB0" w:rsidP="006355C0">
      <w:pPr>
        <w:pStyle w:val="Heading2"/>
        <w:numPr>
          <w:ilvl w:val="0"/>
          <w:numId w:val="0"/>
        </w:numPr>
        <w:ind w:left="794" w:hanging="794"/>
      </w:pPr>
      <w:bookmarkStart w:id="11" w:name="_Toc494449556"/>
      <w:r w:rsidRPr="007A0700">
        <w:rPr>
          <w:i/>
        </w:rPr>
        <w:t>Xanthorrhoea</w:t>
      </w:r>
      <w:r w:rsidRPr="00ED67A6">
        <w:t xml:space="preserve"> size classes</w:t>
      </w:r>
      <w:bookmarkEnd w:id="11"/>
      <w:r w:rsidRPr="00ED67A6">
        <w:t xml:space="preserve"> </w:t>
      </w:r>
    </w:p>
    <w:p w14:paraId="18DE8001" w14:textId="491D1C1D" w:rsidR="00CE7AB0" w:rsidRPr="005F3837" w:rsidRDefault="00CE7AB0" w:rsidP="00FC388E">
      <w:pPr>
        <w:pStyle w:val="ListParagraph"/>
      </w:pPr>
      <w:r>
        <w:t xml:space="preserve">The class sizes for </w:t>
      </w:r>
      <w:r w:rsidR="0086699E">
        <w:rPr>
          <w:i/>
        </w:rPr>
        <w:t>X</w:t>
      </w:r>
      <w:r w:rsidR="0086699E" w:rsidRPr="007A0700">
        <w:rPr>
          <w:i/>
        </w:rPr>
        <w:t>anthorrhoea</w:t>
      </w:r>
      <w:r w:rsidR="0086699E">
        <w:t xml:space="preserve"> </w:t>
      </w:r>
      <w:r>
        <w:t>have been revised to include sustai</w:t>
      </w:r>
      <w:r w:rsidR="007A0700">
        <w:t xml:space="preserve">nable harvest of plants up to two </w:t>
      </w:r>
      <w:r>
        <w:t>m</w:t>
      </w:r>
      <w:r w:rsidR="007A0700">
        <w:t>etres</w:t>
      </w:r>
      <w:r>
        <w:t xml:space="preserve">.  </w:t>
      </w:r>
    </w:p>
    <w:p w14:paraId="2AE16E99" w14:textId="77777777" w:rsidR="00CE7AB0" w:rsidRDefault="00CE7AB0" w:rsidP="00FC388E">
      <w:r>
        <w:t>Existing requirements for population assessments and determining harvest levels to will apply to ensur</w:t>
      </w:r>
      <w:r w:rsidR="007A0700">
        <w:t>e harvesting of plants between one and two</w:t>
      </w:r>
      <w:r>
        <w:t xml:space="preserve"> metres is sustainable (see Appendices H and K).  </w:t>
      </w:r>
    </w:p>
    <w:p w14:paraId="255C9AF5" w14:textId="24F797C7" w:rsidR="00CE7AB0" w:rsidRPr="00693FB1" w:rsidRDefault="00CE7AB0" w:rsidP="00FC388E">
      <w:r w:rsidRPr="00693FB1">
        <w:t xml:space="preserve">In addition, the minimum </w:t>
      </w:r>
      <w:proofErr w:type="spellStart"/>
      <w:r w:rsidRPr="00693FB1">
        <w:t>pot</w:t>
      </w:r>
      <w:proofErr w:type="spellEnd"/>
      <w:r w:rsidRPr="00693FB1">
        <w:t xml:space="preserve"> size limit for plants requiring both </w:t>
      </w:r>
      <w:r w:rsidR="007A0700" w:rsidRPr="007A0700">
        <w:t>National Parks and Wildlife Service (NPWS)</w:t>
      </w:r>
      <w:r w:rsidRPr="00693FB1">
        <w:t xml:space="preserve"> and grower tags has been increased from was increased from </w:t>
      </w:r>
      <w:r w:rsidR="0086699E" w:rsidRPr="00693FB1">
        <w:t>140</w:t>
      </w:r>
      <w:r w:rsidR="0086699E">
        <w:t> </w:t>
      </w:r>
      <w:r w:rsidR="006E51BB">
        <w:t>millim</w:t>
      </w:r>
      <w:r w:rsidR="001E605D">
        <w:t>e</w:t>
      </w:r>
      <w:r w:rsidR="006E51BB">
        <w:t>tres</w:t>
      </w:r>
      <w:r w:rsidRPr="00693FB1">
        <w:t>, which is considered too small for plants with trunks, to 200</w:t>
      </w:r>
      <w:r w:rsidR="006E51BB">
        <w:t xml:space="preserve"> millimetres</w:t>
      </w:r>
      <w:r>
        <w:t xml:space="preserve"> (see Appendix K)</w:t>
      </w:r>
      <w:r w:rsidRPr="00693FB1">
        <w:t xml:space="preserve">. </w:t>
      </w:r>
    </w:p>
    <w:p w14:paraId="6CB16565" w14:textId="77777777" w:rsidR="00CE7AB0" w:rsidRPr="00E82545" w:rsidRDefault="00CE7AB0" w:rsidP="006355C0">
      <w:pPr>
        <w:pStyle w:val="Heading2"/>
        <w:numPr>
          <w:ilvl w:val="0"/>
          <w:numId w:val="0"/>
        </w:numPr>
      </w:pPr>
      <w:bookmarkStart w:id="12" w:name="_Toc494449557"/>
      <w:r>
        <w:t>Increased protection for o</w:t>
      </w:r>
      <w:r w:rsidRPr="00E82545">
        <w:t>rchid species (Section 5.1.2 and Appendices A and I)</w:t>
      </w:r>
      <w:bookmarkEnd w:id="12"/>
    </w:p>
    <w:p w14:paraId="6C8BBCF7" w14:textId="77777777" w:rsidR="00CE7AB0" w:rsidRDefault="006E51BB" w:rsidP="00FC388E">
      <w:pPr>
        <w:pStyle w:val="ListParagraph"/>
      </w:pPr>
      <w:r>
        <w:t>As foreshadowed in the 2013–</w:t>
      </w:r>
      <w:r w:rsidR="00CE7AB0">
        <w:t xml:space="preserve">17 plan, several orchid species have been moved </w:t>
      </w:r>
      <w:r>
        <w:t>from Group 2 (approved harvest –</w:t>
      </w:r>
      <w:r w:rsidR="00CE7AB0">
        <w:t xml:space="preserve"> sustainable) to </w:t>
      </w:r>
      <w:r>
        <w:t>Group 3 (only approved harvest –</w:t>
      </w:r>
      <w:r w:rsidR="00CE7AB0">
        <w:t xml:space="preserve"> salvage). </w:t>
      </w:r>
    </w:p>
    <w:p w14:paraId="47DD3183" w14:textId="77777777" w:rsidR="00CE7AB0" w:rsidRDefault="00CE7AB0" w:rsidP="006355C0">
      <w:pPr>
        <w:pStyle w:val="Heading2"/>
        <w:numPr>
          <w:ilvl w:val="0"/>
          <w:numId w:val="0"/>
        </w:numPr>
        <w:ind w:left="794" w:hanging="794"/>
      </w:pPr>
      <w:bookmarkStart w:id="13" w:name="_Toc494449558"/>
      <w:r w:rsidRPr="00970BBF">
        <w:t>Requirement for grower tags</w:t>
      </w:r>
      <w:bookmarkEnd w:id="13"/>
    </w:p>
    <w:p w14:paraId="0BC14A15" w14:textId="77777777" w:rsidR="00CE7AB0" w:rsidRDefault="006E51BB" w:rsidP="00FC388E">
      <w:r>
        <w:t>The draft 2018–</w:t>
      </w:r>
      <w:r w:rsidR="00CE7AB0" w:rsidRPr="00970BBF">
        <w:t>22 plan retains the requirement for all plants cultivated under a grower licence to have grower tags</w:t>
      </w:r>
      <w:r w:rsidR="00CE7AB0">
        <w:t xml:space="preserve">, with NPWS tags also required for plants over specified size limits that may be confused with plants harvested from the wild. </w:t>
      </w:r>
    </w:p>
    <w:p w14:paraId="1143B2CA" w14:textId="77777777" w:rsidR="00CE7AB0" w:rsidRDefault="00CE7AB0" w:rsidP="00FC388E">
      <w:r>
        <w:lastRenderedPageBreak/>
        <w:t xml:space="preserve">In view of concerns grower tag requirements apply to several species that are widely cultivated and less likely to be harvested from the wild, </w:t>
      </w:r>
      <w:r w:rsidR="006E51BB" w:rsidRPr="006E51BB">
        <w:t>Office of Environment and Heritage (OEH)</w:t>
      </w:r>
      <w:r>
        <w:t xml:space="preserve"> has agreed to review the requirements for grower tags in consultation with stakeholders as part of the consultati</w:t>
      </w:r>
      <w:r w:rsidR="006E51BB">
        <w:t>on process for the draft 2018–</w:t>
      </w:r>
      <w:r>
        <w:t xml:space="preserve">22 plan. </w:t>
      </w:r>
    </w:p>
    <w:p w14:paraId="6D2EBAD5" w14:textId="77777777" w:rsidR="00CE7AB0" w:rsidRPr="00970BBF" w:rsidRDefault="00CE7AB0" w:rsidP="00FC388E"/>
    <w:p w14:paraId="34C27A36" w14:textId="77777777" w:rsidR="00CE7AB0" w:rsidRDefault="00CE7AB0" w:rsidP="00FC388E">
      <w:pPr>
        <w:sectPr w:rsidR="00CE7AB0" w:rsidSect="00CE7AB0">
          <w:headerReference w:type="default" r:id="rId22"/>
          <w:pgSz w:w="11906" w:h="16838" w:code="9"/>
          <w:pgMar w:top="1418" w:right="1418" w:bottom="1418" w:left="1418" w:header="567" w:footer="709" w:gutter="0"/>
          <w:pgNumType w:fmt="lowerRoman" w:start="1"/>
          <w:cols w:space="708"/>
          <w:docGrid w:linePitch="360"/>
        </w:sectPr>
      </w:pPr>
    </w:p>
    <w:p w14:paraId="23D734C6" w14:textId="77777777" w:rsidR="00CE7AB0" w:rsidRPr="002778E1" w:rsidRDefault="00CE7AB0" w:rsidP="00EF4268">
      <w:pPr>
        <w:pStyle w:val="Heading1"/>
        <w:numPr>
          <w:ilvl w:val="0"/>
          <w:numId w:val="0"/>
        </w:numPr>
        <w:ind w:left="432" w:hanging="432"/>
      </w:pPr>
      <w:bookmarkStart w:id="14" w:name="_Toc275528077"/>
      <w:bookmarkStart w:id="15" w:name="_Toc283984781"/>
      <w:bookmarkStart w:id="16" w:name="_Toc301869605"/>
      <w:bookmarkStart w:id="17" w:name="_Toc328986808"/>
      <w:bookmarkStart w:id="18" w:name="_Toc328988017"/>
      <w:bookmarkStart w:id="19" w:name="_Toc328988100"/>
      <w:bookmarkStart w:id="20" w:name="_Toc328988181"/>
      <w:bookmarkStart w:id="21" w:name="_Toc328990994"/>
      <w:bookmarkStart w:id="22" w:name="_Toc328990995"/>
      <w:bookmarkStart w:id="23" w:name="_Toc328991475"/>
      <w:bookmarkStart w:id="24" w:name="_Toc492379074"/>
      <w:bookmarkStart w:id="25" w:name="_Toc494449559"/>
      <w:bookmarkEnd w:id="8"/>
      <w:r w:rsidRPr="002778E1">
        <w:lastRenderedPageBreak/>
        <w:t xml:space="preserve">Terms and </w:t>
      </w:r>
      <w:bookmarkEnd w:id="14"/>
      <w:bookmarkEnd w:id="15"/>
      <w:r w:rsidRPr="002778E1">
        <w:t>definitions</w:t>
      </w:r>
      <w:bookmarkEnd w:id="16"/>
      <w:bookmarkEnd w:id="17"/>
      <w:bookmarkEnd w:id="18"/>
      <w:bookmarkEnd w:id="19"/>
      <w:bookmarkEnd w:id="20"/>
      <w:bookmarkEnd w:id="21"/>
      <w:bookmarkEnd w:id="22"/>
      <w:bookmarkEnd w:id="23"/>
      <w:bookmarkEnd w:id="24"/>
      <w:bookmarkEnd w:id="25"/>
      <w:r w:rsidRPr="002778E1">
        <w:t xml:space="preserve"> </w:t>
      </w:r>
    </w:p>
    <w:tbl>
      <w:tblPr>
        <w:tblW w:w="0" w:type="auto"/>
        <w:tblLook w:val="01E0" w:firstRow="1" w:lastRow="1" w:firstColumn="1" w:lastColumn="1" w:noHBand="0" w:noVBand="0"/>
      </w:tblPr>
      <w:tblGrid>
        <w:gridCol w:w="2005"/>
        <w:gridCol w:w="7065"/>
      </w:tblGrid>
      <w:tr w:rsidR="00CE7AB0" w:rsidRPr="005C77F0" w14:paraId="45168D25" w14:textId="77777777" w:rsidTr="006E51BB">
        <w:tc>
          <w:tcPr>
            <w:tcW w:w="2028" w:type="dxa"/>
            <w:shd w:val="clear" w:color="auto" w:fill="auto"/>
          </w:tcPr>
          <w:p w14:paraId="12104A87" w14:textId="77777777" w:rsidR="00CE7AB0" w:rsidRPr="005C77F0" w:rsidRDefault="00CE7AB0" w:rsidP="002778E1">
            <w:pPr>
              <w:pStyle w:val="Tabletext"/>
            </w:pPr>
            <w:r w:rsidRPr="005C77F0">
              <w:t xml:space="preserve">Approved harvester </w:t>
            </w:r>
          </w:p>
        </w:tc>
        <w:tc>
          <w:tcPr>
            <w:tcW w:w="7258" w:type="dxa"/>
            <w:shd w:val="clear" w:color="auto" w:fill="auto"/>
          </w:tcPr>
          <w:p w14:paraId="1607D22C" w14:textId="77777777" w:rsidR="00CE7AB0" w:rsidRPr="005C77F0" w:rsidRDefault="00CE7AB0" w:rsidP="002778E1">
            <w:pPr>
              <w:pStyle w:val="Tabletext"/>
            </w:pPr>
            <w:r w:rsidRPr="005C77F0">
              <w:t>A person</w:t>
            </w:r>
            <w:r>
              <w:t xml:space="preserve"> </w:t>
            </w:r>
            <w:r w:rsidRPr="005C77F0">
              <w:t xml:space="preserve">licensed </w:t>
            </w:r>
            <w:r>
              <w:t xml:space="preserve">under the </w:t>
            </w:r>
            <w:r w:rsidR="00966905" w:rsidRPr="00966905">
              <w:rPr>
                <w:i/>
              </w:rPr>
              <w:t>Biodiversity Conservation Act 2016</w:t>
            </w:r>
            <w:r w:rsidR="00966905" w:rsidRPr="00966905">
              <w:t xml:space="preserve"> (BC Act) </w:t>
            </w:r>
            <w:r w:rsidRPr="005C77F0">
              <w:t>to undertake the sustainable or salvage harvest of whole protected plants on land not owned by the licensee.</w:t>
            </w:r>
          </w:p>
        </w:tc>
      </w:tr>
      <w:tr w:rsidR="00CE7AB0" w:rsidRPr="005C77F0" w14:paraId="1E8D9066" w14:textId="77777777" w:rsidTr="006E51BB">
        <w:tc>
          <w:tcPr>
            <w:tcW w:w="2028" w:type="dxa"/>
            <w:shd w:val="clear" w:color="auto" w:fill="auto"/>
          </w:tcPr>
          <w:p w14:paraId="0D318FE6" w14:textId="77777777" w:rsidR="00CE7AB0" w:rsidRPr="005C77F0" w:rsidRDefault="00CE7AB0" w:rsidP="002778E1">
            <w:pPr>
              <w:pStyle w:val="Tabletext"/>
            </w:pPr>
            <w:r w:rsidRPr="005C77F0">
              <w:t>Artificially propagated</w:t>
            </w:r>
          </w:p>
        </w:tc>
        <w:tc>
          <w:tcPr>
            <w:tcW w:w="7258" w:type="dxa"/>
            <w:shd w:val="clear" w:color="auto" w:fill="auto"/>
          </w:tcPr>
          <w:p w14:paraId="416A1AA9" w14:textId="77777777" w:rsidR="00CE7AB0" w:rsidRPr="005C77F0" w:rsidRDefault="00CE7AB0" w:rsidP="002778E1">
            <w:pPr>
              <w:pStyle w:val="Tabletext"/>
            </w:pPr>
            <w:r w:rsidRPr="005C77F0">
              <w:t>A plant grown from seeds, cuttings, callus tissue, spores or other propagules under controlled conditions. The resulting plant is cultivated in soil or pots of growing media.</w:t>
            </w:r>
          </w:p>
        </w:tc>
      </w:tr>
      <w:tr w:rsidR="00CE7AB0" w:rsidRPr="005C77F0" w14:paraId="14C62FA1" w14:textId="77777777" w:rsidTr="006E51BB">
        <w:tc>
          <w:tcPr>
            <w:tcW w:w="2028" w:type="dxa"/>
            <w:shd w:val="clear" w:color="auto" w:fill="auto"/>
          </w:tcPr>
          <w:p w14:paraId="37E96C13" w14:textId="77777777" w:rsidR="00CE7AB0" w:rsidRPr="005C77F0" w:rsidRDefault="00CE7AB0" w:rsidP="002778E1">
            <w:pPr>
              <w:pStyle w:val="Tabletext"/>
            </w:pPr>
            <w:r w:rsidRPr="005C77F0">
              <w:t>AP</w:t>
            </w:r>
          </w:p>
        </w:tc>
        <w:tc>
          <w:tcPr>
            <w:tcW w:w="7258" w:type="dxa"/>
            <w:shd w:val="clear" w:color="auto" w:fill="auto"/>
          </w:tcPr>
          <w:p w14:paraId="10E3F8A3" w14:textId="77777777" w:rsidR="00CE7AB0" w:rsidRPr="005C77F0" w:rsidRDefault="00CE7AB0" w:rsidP="002778E1">
            <w:pPr>
              <w:pStyle w:val="Tabletext"/>
              <w:rPr>
                <w:b/>
              </w:rPr>
            </w:pPr>
            <w:r w:rsidRPr="005C77F0">
              <w:t xml:space="preserve">An artificial propagation program approved under the </w:t>
            </w:r>
            <w:r w:rsidRPr="00966905">
              <w:rPr>
                <w:i/>
              </w:rPr>
              <w:t>Environment Protection and Biodiversity Conservation Act 1999</w:t>
            </w:r>
            <w:r w:rsidRPr="005C77F0">
              <w:t>.</w:t>
            </w:r>
          </w:p>
        </w:tc>
      </w:tr>
      <w:tr w:rsidR="00CE7AB0" w:rsidRPr="005C77F0" w14:paraId="1127B687" w14:textId="77777777" w:rsidTr="006E51BB">
        <w:tc>
          <w:tcPr>
            <w:tcW w:w="2028" w:type="dxa"/>
            <w:shd w:val="clear" w:color="auto" w:fill="auto"/>
          </w:tcPr>
          <w:p w14:paraId="121DDFA0" w14:textId="77777777" w:rsidR="00CE7AB0" w:rsidRPr="005C77F0" w:rsidRDefault="00CE7AB0" w:rsidP="002778E1">
            <w:pPr>
              <w:pStyle w:val="Tabletext"/>
            </w:pPr>
            <w:r w:rsidRPr="005C77F0">
              <w:t>Authorised officer</w:t>
            </w:r>
          </w:p>
        </w:tc>
        <w:tc>
          <w:tcPr>
            <w:tcW w:w="7258" w:type="dxa"/>
            <w:shd w:val="clear" w:color="auto" w:fill="auto"/>
          </w:tcPr>
          <w:p w14:paraId="1F18B014" w14:textId="12BAD2FD" w:rsidR="00CE7AB0" w:rsidRPr="005C77F0" w:rsidRDefault="00CE7AB0" w:rsidP="002778E1">
            <w:pPr>
              <w:pStyle w:val="Tabletext"/>
              <w:rPr>
                <w:b/>
              </w:rPr>
            </w:pPr>
            <w:r w:rsidRPr="005C77F0">
              <w:t>A person authorised by</w:t>
            </w:r>
            <w:r>
              <w:t xml:space="preserve"> the Environment Agency Head</w:t>
            </w:r>
            <w:r w:rsidRPr="005C77F0">
              <w:t xml:space="preserve"> to exercise </w:t>
            </w:r>
            <w:r>
              <w:t>the</w:t>
            </w:r>
            <w:r w:rsidRPr="005C77F0">
              <w:t xml:space="preserve"> power</w:t>
            </w:r>
            <w:r>
              <w:t>s of an authorised officer</w:t>
            </w:r>
            <w:r w:rsidRPr="005C77F0">
              <w:t xml:space="preserve"> under the </w:t>
            </w:r>
            <w:r>
              <w:rPr>
                <w:i/>
              </w:rPr>
              <w:t>Biodiversity Conservation Act 2016.</w:t>
            </w:r>
          </w:p>
        </w:tc>
      </w:tr>
      <w:tr w:rsidR="00CE7AB0" w:rsidRPr="005C77F0" w14:paraId="14648ED8" w14:textId="77777777" w:rsidTr="006E51BB">
        <w:tc>
          <w:tcPr>
            <w:tcW w:w="2028" w:type="dxa"/>
            <w:shd w:val="clear" w:color="auto" w:fill="auto"/>
          </w:tcPr>
          <w:p w14:paraId="3B92028E" w14:textId="77777777" w:rsidR="00CE7AB0" w:rsidRPr="005C77F0" w:rsidRDefault="00CE7AB0" w:rsidP="002778E1">
            <w:pPr>
              <w:pStyle w:val="Tabletext"/>
              <w:rPr>
                <w:i/>
              </w:rPr>
            </w:pPr>
            <w:r w:rsidRPr="005C77F0">
              <w:t>Bare root</w:t>
            </w:r>
          </w:p>
        </w:tc>
        <w:tc>
          <w:tcPr>
            <w:tcW w:w="7258" w:type="dxa"/>
            <w:shd w:val="clear" w:color="auto" w:fill="auto"/>
          </w:tcPr>
          <w:p w14:paraId="6B78CD30" w14:textId="77777777" w:rsidR="00CE7AB0" w:rsidRPr="005C77F0" w:rsidRDefault="00CE7AB0" w:rsidP="002778E1">
            <w:pPr>
              <w:pStyle w:val="Tabletext"/>
            </w:pPr>
            <w:r w:rsidRPr="005C77F0">
              <w:t xml:space="preserve">The condition of the root ball (or equivalent) of plants. When referring to species such as grass trees and tree ferns, ‘bare root’ refers to transporting plants that are not in a pot or other container. At harvest, the minimum necessary volume of soil and root material must be removed to ensure the plant’s survival. For orchids, ‘bare root’ refers to plants sold that are not attached to and/or growing on a growing media such as a tree-fern slab or pot. </w:t>
            </w:r>
          </w:p>
        </w:tc>
      </w:tr>
      <w:tr w:rsidR="00CE7AB0" w:rsidRPr="005C77F0" w14:paraId="6F0875B9" w14:textId="77777777" w:rsidTr="006E51BB">
        <w:tc>
          <w:tcPr>
            <w:tcW w:w="2028" w:type="dxa"/>
            <w:shd w:val="clear" w:color="auto" w:fill="auto"/>
          </w:tcPr>
          <w:p w14:paraId="70C8B73A" w14:textId="77777777" w:rsidR="00CE7AB0" w:rsidRPr="005C77F0" w:rsidRDefault="00CE7AB0" w:rsidP="002778E1">
            <w:pPr>
              <w:pStyle w:val="Tabletext"/>
            </w:pPr>
            <w:r>
              <w:t>BC Act</w:t>
            </w:r>
          </w:p>
        </w:tc>
        <w:tc>
          <w:tcPr>
            <w:tcW w:w="7258" w:type="dxa"/>
            <w:shd w:val="clear" w:color="auto" w:fill="auto"/>
          </w:tcPr>
          <w:p w14:paraId="5F2A2634" w14:textId="77777777" w:rsidR="00CE7AB0" w:rsidRPr="00702DE5" w:rsidRDefault="00CE7AB0" w:rsidP="002778E1">
            <w:pPr>
              <w:pStyle w:val="Tabletext"/>
            </w:pPr>
            <w:r w:rsidRPr="00966905">
              <w:rPr>
                <w:i/>
              </w:rPr>
              <w:t>Biodiversity Conservation Act 2016</w:t>
            </w:r>
            <w:r>
              <w:t xml:space="preserve">.  </w:t>
            </w:r>
          </w:p>
        </w:tc>
      </w:tr>
      <w:tr w:rsidR="00CE7AB0" w:rsidRPr="005C77F0" w14:paraId="730CD91A" w14:textId="77777777" w:rsidTr="006E51BB">
        <w:tc>
          <w:tcPr>
            <w:tcW w:w="2028" w:type="dxa"/>
            <w:shd w:val="clear" w:color="auto" w:fill="auto"/>
          </w:tcPr>
          <w:p w14:paraId="32993C6F" w14:textId="77777777" w:rsidR="00CE7AB0" w:rsidRDefault="00CE7AB0" w:rsidP="002778E1">
            <w:pPr>
              <w:pStyle w:val="Tabletext"/>
            </w:pPr>
            <w:r w:rsidRPr="005C77F0">
              <w:t>CFMP</w:t>
            </w:r>
          </w:p>
        </w:tc>
        <w:tc>
          <w:tcPr>
            <w:tcW w:w="7258" w:type="dxa"/>
            <w:shd w:val="clear" w:color="auto" w:fill="auto"/>
          </w:tcPr>
          <w:p w14:paraId="3BB03C7A" w14:textId="77777777" w:rsidR="00CE7AB0" w:rsidRPr="00702DE5" w:rsidRDefault="00CE7AB0" w:rsidP="002778E1">
            <w:pPr>
              <w:pStyle w:val="Tabletext"/>
              <w:rPr>
                <w:i/>
              </w:rPr>
            </w:pPr>
            <w:r w:rsidRPr="005C77F0">
              <w:t xml:space="preserve">The </w:t>
            </w:r>
            <w:r w:rsidRPr="005C77F0">
              <w:rPr>
                <w:i/>
              </w:rPr>
              <w:t>Protected and threatened plants in the cut-flower industry: sustainable management plan 201</w:t>
            </w:r>
            <w:r>
              <w:rPr>
                <w:i/>
              </w:rPr>
              <w:t>8</w:t>
            </w:r>
            <w:r w:rsidR="00966905">
              <w:rPr>
                <w:i/>
              </w:rPr>
              <w:t>–</w:t>
            </w:r>
            <w:r>
              <w:rPr>
                <w:i/>
              </w:rPr>
              <w:t>22</w:t>
            </w:r>
            <w:r w:rsidRPr="005C77F0">
              <w:t xml:space="preserve">. This plan provides management protocols for species in Part 1 of Schedule </w:t>
            </w:r>
            <w:r>
              <w:t>6</w:t>
            </w:r>
            <w:r w:rsidRPr="005C77F0">
              <w:t xml:space="preserve"> of the </w:t>
            </w:r>
            <w:r>
              <w:t>BC</w:t>
            </w:r>
            <w:r w:rsidRPr="005C77F0">
              <w:t xml:space="preserve"> Act in relation to commercial cut-flower use</w:t>
            </w:r>
            <w:r>
              <w:t xml:space="preserve">. </w:t>
            </w:r>
          </w:p>
        </w:tc>
      </w:tr>
      <w:tr w:rsidR="00CE7AB0" w:rsidRPr="005C77F0" w14:paraId="4887C14B" w14:textId="77777777" w:rsidTr="006E51BB">
        <w:tc>
          <w:tcPr>
            <w:tcW w:w="2028" w:type="dxa"/>
            <w:shd w:val="clear" w:color="auto" w:fill="auto"/>
          </w:tcPr>
          <w:p w14:paraId="4EF1B0E8" w14:textId="77777777" w:rsidR="00CE7AB0" w:rsidRPr="005C77F0" w:rsidRDefault="00CE7AB0" w:rsidP="002778E1">
            <w:pPr>
              <w:pStyle w:val="Tabletext"/>
            </w:pPr>
            <w:r w:rsidRPr="005C77F0">
              <w:t>Club</w:t>
            </w:r>
          </w:p>
        </w:tc>
        <w:tc>
          <w:tcPr>
            <w:tcW w:w="7258" w:type="dxa"/>
            <w:shd w:val="clear" w:color="auto" w:fill="auto"/>
          </w:tcPr>
          <w:p w14:paraId="291C94DE" w14:textId="77777777" w:rsidR="00CE7AB0" w:rsidRPr="005C77F0" w:rsidRDefault="00CE7AB0" w:rsidP="002778E1">
            <w:pPr>
              <w:pStyle w:val="Tabletext"/>
            </w:pPr>
            <w:r w:rsidRPr="005C77F0">
              <w:t>A club, society or formal group (incorporated or otherwise) involved in growing protected native plants as a hobby and who may, from time to time, sell protected plants.</w:t>
            </w:r>
          </w:p>
        </w:tc>
      </w:tr>
      <w:tr w:rsidR="00CE7AB0" w:rsidRPr="005C77F0" w14:paraId="3DBE8637" w14:textId="77777777" w:rsidTr="006E51BB">
        <w:tc>
          <w:tcPr>
            <w:tcW w:w="2028" w:type="dxa"/>
            <w:shd w:val="clear" w:color="auto" w:fill="auto"/>
          </w:tcPr>
          <w:p w14:paraId="1B0F4060" w14:textId="77777777" w:rsidR="00CE7AB0" w:rsidRPr="005C77F0" w:rsidRDefault="00CE7AB0" w:rsidP="002778E1">
            <w:pPr>
              <w:pStyle w:val="Tabletext"/>
            </w:pPr>
            <w:r w:rsidRPr="005C77F0">
              <w:t>Commercial</w:t>
            </w:r>
          </w:p>
        </w:tc>
        <w:tc>
          <w:tcPr>
            <w:tcW w:w="7258" w:type="dxa"/>
            <w:shd w:val="clear" w:color="auto" w:fill="auto"/>
          </w:tcPr>
          <w:p w14:paraId="33256C75" w14:textId="77777777" w:rsidR="00CE7AB0" w:rsidRPr="005C77F0" w:rsidRDefault="00CE7AB0" w:rsidP="002778E1">
            <w:pPr>
              <w:pStyle w:val="Tabletext"/>
            </w:pPr>
            <w:r w:rsidRPr="005C77F0">
              <w:t>Of or engaged in all forms of the purchase and sale of goods and services.</w:t>
            </w:r>
          </w:p>
        </w:tc>
      </w:tr>
      <w:tr w:rsidR="00CE7AB0" w:rsidRPr="005C77F0" w14:paraId="73263206" w14:textId="77777777" w:rsidTr="006E51BB">
        <w:tc>
          <w:tcPr>
            <w:tcW w:w="2028" w:type="dxa"/>
            <w:shd w:val="clear" w:color="auto" w:fill="auto"/>
          </w:tcPr>
          <w:p w14:paraId="512FD148" w14:textId="77777777" w:rsidR="00CE7AB0" w:rsidRPr="005C77F0" w:rsidRDefault="00CE7AB0" w:rsidP="002778E1">
            <w:pPr>
              <w:pStyle w:val="Tabletext"/>
            </w:pPr>
            <w:r w:rsidRPr="005C77F0">
              <w:t>Cultivate</w:t>
            </w:r>
          </w:p>
        </w:tc>
        <w:tc>
          <w:tcPr>
            <w:tcW w:w="7258" w:type="dxa"/>
            <w:shd w:val="clear" w:color="auto" w:fill="auto"/>
          </w:tcPr>
          <w:p w14:paraId="327CA72D" w14:textId="77777777" w:rsidR="00CE7AB0" w:rsidRPr="005C77F0" w:rsidRDefault="00CE7AB0" w:rsidP="002778E1">
            <w:pPr>
              <w:pStyle w:val="Tabletext"/>
              <w:rPr>
                <w:i/>
              </w:rPr>
            </w:pPr>
            <w:r w:rsidRPr="005C77F0">
              <w:t>To plant, tend, harvest or improve plants.</w:t>
            </w:r>
          </w:p>
        </w:tc>
      </w:tr>
      <w:tr w:rsidR="00CE7AB0" w:rsidRPr="005C77F0" w14:paraId="27B92CFA" w14:textId="77777777" w:rsidTr="006E51BB">
        <w:tc>
          <w:tcPr>
            <w:tcW w:w="2028" w:type="dxa"/>
            <w:shd w:val="clear" w:color="auto" w:fill="auto"/>
          </w:tcPr>
          <w:p w14:paraId="1B5A17BA" w14:textId="77777777" w:rsidR="00CE7AB0" w:rsidRPr="005C77F0" w:rsidRDefault="00CE7AB0" w:rsidP="002778E1">
            <w:pPr>
              <w:pStyle w:val="Tabletext"/>
            </w:pPr>
            <w:r w:rsidRPr="005C77F0">
              <w:t>Cut-flower</w:t>
            </w:r>
          </w:p>
        </w:tc>
        <w:tc>
          <w:tcPr>
            <w:tcW w:w="7258" w:type="dxa"/>
            <w:shd w:val="clear" w:color="auto" w:fill="auto"/>
          </w:tcPr>
          <w:p w14:paraId="6A4D04AC" w14:textId="77777777" w:rsidR="00CE7AB0" w:rsidRPr="005C77F0" w:rsidRDefault="00CE7AB0" w:rsidP="002778E1">
            <w:pPr>
              <w:pStyle w:val="Tabletext"/>
            </w:pPr>
            <w:r w:rsidRPr="005C77F0">
              <w:t xml:space="preserve">Any plant part that is sold in the commercial cut-flower industry, including flowers, stems, foliage, fruit and seed heads. </w:t>
            </w:r>
          </w:p>
        </w:tc>
      </w:tr>
      <w:tr w:rsidR="00CE7AB0" w:rsidRPr="005C77F0" w14:paraId="16278BEF" w14:textId="77777777" w:rsidTr="006E51BB">
        <w:tc>
          <w:tcPr>
            <w:tcW w:w="2028" w:type="dxa"/>
            <w:shd w:val="clear" w:color="auto" w:fill="auto"/>
          </w:tcPr>
          <w:p w14:paraId="05FF3B48" w14:textId="77777777" w:rsidR="00CE7AB0" w:rsidRPr="005C77F0" w:rsidDel="00361ADB" w:rsidRDefault="00CE7AB0" w:rsidP="002778E1">
            <w:pPr>
              <w:pStyle w:val="Tabletext"/>
            </w:pPr>
            <w:proofErr w:type="spellStart"/>
            <w:r>
              <w:t>DoEE</w:t>
            </w:r>
            <w:proofErr w:type="spellEnd"/>
          </w:p>
        </w:tc>
        <w:tc>
          <w:tcPr>
            <w:tcW w:w="7258" w:type="dxa"/>
            <w:shd w:val="clear" w:color="auto" w:fill="auto"/>
          </w:tcPr>
          <w:p w14:paraId="2B91DF12" w14:textId="77777777" w:rsidR="00CE7AB0" w:rsidRPr="005C77F0" w:rsidRDefault="00CE7AB0" w:rsidP="002778E1">
            <w:pPr>
              <w:pStyle w:val="Tabletext"/>
            </w:pPr>
            <w:r w:rsidRPr="005C77F0">
              <w:t xml:space="preserve">Commonwealth </w:t>
            </w:r>
            <w:r>
              <w:t>Department of Environment and Energy</w:t>
            </w:r>
            <w:r w:rsidRPr="005C77F0">
              <w:t>.</w:t>
            </w:r>
          </w:p>
        </w:tc>
      </w:tr>
      <w:tr w:rsidR="00CE7AB0" w:rsidRPr="005C77F0" w14:paraId="4E33672B" w14:textId="77777777" w:rsidTr="006E51BB">
        <w:tc>
          <w:tcPr>
            <w:tcW w:w="2028" w:type="dxa"/>
            <w:shd w:val="clear" w:color="auto" w:fill="auto"/>
          </w:tcPr>
          <w:p w14:paraId="063013DD" w14:textId="77777777" w:rsidR="00CE7AB0" w:rsidRPr="005C77F0" w:rsidRDefault="00CE7AB0" w:rsidP="002778E1">
            <w:pPr>
              <w:pStyle w:val="Tabletext"/>
            </w:pPr>
            <w:r w:rsidRPr="005C77F0">
              <w:t>Destroy and destruction</w:t>
            </w:r>
          </w:p>
        </w:tc>
        <w:tc>
          <w:tcPr>
            <w:tcW w:w="7258" w:type="dxa"/>
            <w:shd w:val="clear" w:color="auto" w:fill="auto"/>
          </w:tcPr>
          <w:p w14:paraId="7D76B60F" w14:textId="77777777" w:rsidR="00CE7AB0" w:rsidRPr="005C77F0" w:rsidRDefault="00CE7AB0" w:rsidP="002778E1">
            <w:pPr>
              <w:pStyle w:val="Tabletext"/>
            </w:pPr>
            <w:r w:rsidRPr="005C77F0">
              <w:t xml:space="preserve">The destruction of the plant with no subsequent use of the plant or its parts. </w:t>
            </w:r>
          </w:p>
        </w:tc>
      </w:tr>
      <w:tr w:rsidR="00CE7AB0" w:rsidRPr="005C77F0" w14:paraId="02662566" w14:textId="77777777" w:rsidTr="006E51BB">
        <w:tc>
          <w:tcPr>
            <w:tcW w:w="2028" w:type="dxa"/>
            <w:shd w:val="clear" w:color="auto" w:fill="auto"/>
          </w:tcPr>
          <w:p w14:paraId="2509B111" w14:textId="77777777" w:rsidR="00CE7AB0" w:rsidRPr="005C77F0" w:rsidRDefault="00CE7AB0" w:rsidP="002778E1">
            <w:pPr>
              <w:pStyle w:val="Tabletext"/>
              <w:rPr>
                <w:bCs/>
              </w:rPr>
            </w:pPr>
            <w:r w:rsidRPr="005C77F0">
              <w:t>EP&amp;A Act</w:t>
            </w:r>
          </w:p>
        </w:tc>
        <w:tc>
          <w:tcPr>
            <w:tcW w:w="7258" w:type="dxa"/>
            <w:shd w:val="clear" w:color="auto" w:fill="auto"/>
          </w:tcPr>
          <w:p w14:paraId="7FDAA7D9" w14:textId="77777777" w:rsidR="00CE7AB0" w:rsidRPr="005C77F0" w:rsidRDefault="00CE7AB0" w:rsidP="002778E1">
            <w:pPr>
              <w:pStyle w:val="Tabletext"/>
              <w:rPr>
                <w:b/>
              </w:rPr>
            </w:pPr>
            <w:r w:rsidRPr="00966905">
              <w:rPr>
                <w:i/>
              </w:rPr>
              <w:t>Environmental Planning and Assessment Act 1979</w:t>
            </w:r>
            <w:r w:rsidRPr="005C77F0">
              <w:t>.</w:t>
            </w:r>
          </w:p>
        </w:tc>
      </w:tr>
      <w:tr w:rsidR="00CE7AB0" w:rsidRPr="005C77F0" w14:paraId="551037E0" w14:textId="77777777" w:rsidTr="006E51BB">
        <w:tc>
          <w:tcPr>
            <w:tcW w:w="2028" w:type="dxa"/>
            <w:shd w:val="clear" w:color="auto" w:fill="auto"/>
          </w:tcPr>
          <w:p w14:paraId="23B56D62" w14:textId="77777777" w:rsidR="00CE7AB0" w:rsidRPr="005C77F0" w:rsidRDefault="00CE7AB0" w:rsidP="002778E1">
            <w:pPr>
              <w:pStyle w:val="Tabletext"/>
            </w:pPr>
            <w:r w:rsidRPr="008E0486">
              <w:rPr>
                <w:lang w:val="en"/>
              </w:rPr>
              <w:t>Environment Agency Head</w:t>
            </w:r>
          </w:p>
        </w:tc>
        <w:tc>
          <w:tcPr>
            <w:tcW w:w="7258" w:type="dxa"/>
            <w:shd w:val="clear" w:color="auto" w:fill="auto"/>
          </w:tcPr>
          <w:p w14:paraId="02320C58" w14:textId="77777777" w:rsidR="00CE7AB0" w:rsidRPr="00702DE5" w:rsidRDefault="00CE7AB0" w:rsidP="002778E1">
            <w:pPr>
              <w:pStyle w:val="Tabletext"/>
            </w:pPr>
            <w:r w:rsidRPr="00702DE5">
              <w:rPr>
                <w:lang w:val="en"/>
              </w:rPr>
              <w:t>Chief Executive of the Office of Environment and Heritage.</w:t>
            </w:r>
          </w:p>
        </w:tc>
      </w:tr>
      <w:tr w:rsidR="00CE7AB0" w:rsidRPr="005C77F0" w14:paraId="0A5C5CA6" w14:textId="77777777" w:rsidTr="006E51BB">
        <w:tc>
          <w:tcPr>
            <w:tcW w:w="2028" w:type="dxa"/>
            <w:shd w:val="clear" w:color="auto" w:fill="auto"/>
          </w:tcPr>
          <w:p w14:paraId="6A3C7726" w14:textId="77777777" w:rsidR="00CE7AB0" w:rsidRPr="005C77F0" w:rsidRDefault="00CE7AB0" w:rsidP="002778E1">
            <w:pPr>
              <w:pStyle w:val="Tabletext"/>
            </w:pPr>
            <w:r w:rsidRPr="005C77F0">
              <w:t>EPBC Act</w:t>
            </w:r>
          </w:p>
        </w:tc>
        <w:tc>
          <w:tcPr>
            <w:tcW w:w="7258" w:type="dxa"/>
            <w:shd w:val="clear" w:color="auto" w:fill="auto"/>
          </w:tcPr>
          <w:p w14:paraId="2CB3D76E" w14:textId="77777777" w:rsidR="00CE7AB0" w:rsidRPr="005C77F0" w:rsidRDefault="00CE7AB0" w:rsidP="002778E1">
            <w:pPr>
              <w:pStyle w:val="Tabletext"/>
              <w:rPr>
                <w:b/>
              </w:rPr>
            </w:pPr>
            <w:r w:rsidRPr="00966905">
              <w:rPr>
                <w:i/>
              </w:rPr>
              <w:t>Environment Protection and Biodiversity Conservation Act 1999</w:t>
            </w:r>
            <w:r w:rsidRPr="005C77F0">
              <w:t xml:space="preserve"> (</w:t>
            </w:r>
            <w:proofErr w:type="spellStart"/>
            <w:r w:rsidRPr="005C77F0">
              <w:t>C</w:t>
            </w:r>
            <w:r w:rsidR="001E605D">
              <w:t>wl</w:t>
            </w:r>
            <w:r w:rsidRPr="005C77F0">
              <w:t>th</w:t>
            </w:r>
            <w:proofErr w:type="spellEnd"/>
            <w:r w:rsidRPr="005C77F0">
              <w:t>).</w:t>
            </w:r>
          </w:p>
        </w:tc>
      </w:tr>
      <w:tr w:rsidR="00CE7AB0" w:rsidRPr="005C77F0" w14:paraId="5FE2510F" w14:textId="77777777" w:rsidTr="006E51BB">
        <w:tc>
          <w:tcPr>
            <w:tcW w:w="2028" w:type="dxa"/>
            <w:shd w:val="clear" w:color="auto" w:fill="auto"/>
          </w:tcPr>
          <w:p w14:paraId="145AFCF0" w14:textId="77777777" w:rsidR="00CE7AB0" w:rsidRPr="005C77F0" w:rsidRDefault="00CE7AB0" w:rsidP="002778E1">
            <w:pPr>
              <w:pStyle w:val="Tabletext"/>
            </w:pPr>
            <w:r w:rsidRPr="005C77F0">
              <w:t>Extractive use or licence</w:t>
            </w:r>
          </w:p>
        </w:tc>
        <w:tc>
          <w:tcPr>
            <w:tcW w:w="7258" w:type="dxa"/>
            <w:shd w:val="clear" w:color="auto" w:fill="auto"/>
          </w:tcPr>
          <w:p w14:paraId="01A6323F" w14:textId="77777777" w:rsidR="00CE7AB0" w:rsidRPr="005C77F0" w:rsidRDefault="00CE7AB0" w:rsidP="002778E1">
            <w:pPr>
              <w:pStyle w:val="Tabletext"/>
            </w:pPr>
            <w:r w:rsidRPr="005C77F0">
              <w:t>Either a wild harvester or approved harvester licence, where the material in trade is sourced from the wild.</w:t>
            </w:r>
          </w:p>
        </w:tc>
      </w:tr>
      <w:tr w:rsidR="00CE7AB0" w:rsidRPr="005C77F0" w14:paraId="6DEB7EED" w14:textId="77777777" w:rsidTr="006E51BB">
        <w:tc>
          <w:tcPr>
            <w:tcW w:w="2028" w:type="dxa"/>
            <w:shd w:val="clear" w:color="auto" w:fill="auto"/>
          </w:tcPr>
          <w:p w14:paraId="084C92CE" w14:textId="77777777" w:rsidR="00CE7AB0" w:rsidRPr="005C77F0" w:rsidRDefault="00CE7AB0" w:rsidP="002778E1">
            <w:pPr>
              <w:pStyle w:val="Tabletext"/>
            </w:pPr>
            <w:r w:rsidRPr="005C77F0">
              <w:t>Grower</w:t>
            </w:r>
          </w:p>
        </w:tc>
        <w:tc>
          <w:tcPr>
            <w:tcW w:w="7258" w:type="dxa"/>
            <w:shd w:val="clear" w:color="auto" w:fill="auto"/>
          </w:tcPr>
          <w:p w14:paraId="7CA8AC6B" w14:textId="77777777" w:rsidR="00CE7AB0" w:rsidRPr="005C77F0" w:rsidRDefault="00CE7AB0" w:rsidP="002778E1">
            <w:pPr>
              <w:pStyle w:val="Tabletext"/>
            </w:pPr>
            <w:r w:rsidRPr="005C77F0">
              <w:t xml:space="preserve">A person or company licensed under </w:t>
            </w:r>
            <w:r>
              <w:t xml:space="preserve">the BC Act </w:t>
            </w:r>
            <w:r w:rsidRPr="005C77F0">
              <w:t>who propagates, cultivates or harvests material from artificial sources, protected or threatened native plants on land that they own or occupy. A grower may be either the land owner or occupier.</w:t>
            </w:r>
          </w:p>
        </w:tc>
      </w:tr>
      <w:tr w:rsidR="00CE7AB0" w:rsidRPr="005C77F0" w14:paraId="6E3E462E" w14:textId="77777777" w:rsidTr="006E51BB">
        <w:tc>
          <w:tcPr>
            <w:tcW w:w="2028" w:type="dxa"/>
            <w:shd w:val="clear" w:color="auto" w:fill="auto"/>
          </w:tcPr>
          <w:p w14:paraId="7E714640" w14:textId="77777777" w:rsidR="00CE7AB0" w:rsidRPr="005C77F0" w:rsidRDefault="00CE7AB0" w:rsidP="002778E1">
            <w:pPr>
              <w:pStyle w:val="Tabletext"/>
            </w:pPr>
            <w:r w:rsidRPr="005C77F0">
              <w:t xml:space="preserve">Harvest </w:t>
            </w:r>
            <w:r w:rsidRPr="005C77F0">
              <w:br/>
              <w:t>and harvesting</w:t>
            </w:r>
          </w:p>
        </w:tc>
        <w:tc>
          <w:tcPr>
            <w:tcW w:w="7258" w:type="dxa"/>
            <w:shd w:val="clear" w:color="auto" w:fill="auto"/>
          </w:tcPr>
          <w:p w14:paraId="5AA104B4" w14:textId="77777777" w:rsidR="00CE7AB0" w:rsidRPr="005C77F0" w:rsidRDefault="00CE7AB0" w:rsidP="002778E1">
            <w:pPr>
              <w:pStyle w:val="Tabletext"/>
            </w:pPr>
            <w:r w:rsidRPr="005C77F0">
              <w:t>Removal of plants for horticulture, or to extract chemicals, or for food, or for other purposes involving the use of parts of plants. It encompasses plants or plant parts removed by pickers, wild harvesters, approved harvesters and growers.</w:t>
            </w:r>
          </w:p>
        </w:tc>
      </w:tr>
      <w:tr w:rsidR="00CE7AB0" w:rsidRPr="005C77F0" w14:paraId="707F54E9" w14:textId="77777777" w:rsidTr="006E51BB">
        <w:tc>
          <w:tcPr>
            <w:tcW w:w="2028" w:type="dxa"/>
            <w:shd w:val="clear" w:color="auto" w:fill="auto"/>
          </w:tcPr>
          <w:p w14:paraId="661735EA" w14:textId="77777777" w:rsidR="00CE7AB0" w:rsidRPr="005C77F0" w:rsidRDefault="00CE7AB0" w:rsidP="002778E1">
            <w:pPr>
              <w:pStyle w:val="Tabletext"/>
            </w:pPr>
            <w:r w:rsidRPr="005C77F0">
              <w:lastRenderedPageBreak/>
              <w:t xml:space="preserve">In the wild </w:t>
            </w:r>
            <w:r w:rsidRPr="005C77F0">
              <w:br/>
              <w:t>and from the wild</w:t>
            </w:r>
          </w:p>
        </w:tc>
        <w:tc>
          <w:tcPr>
            <w:tcW w:w="7258" w:type="dxa"/>
            <w:shd w:val="clear" w:color="auto" w:fill="auto"/>
          </w:tcPr>
          <w:p w14:paraId="237C3EBB" w14:textId="77777777" w:rsidR="00CE7AB0" w:rsidRPr="005C77F0" w:rsidRDefault="00CE7AB0" w:rsidP="002778E1">
            <w:pPr>
              <w:pStyle w:val="Tabletext"/>
            </w:pPr>
            <w:r w:rsidRPr="005C77F0">
              <w:t xml:space="preserve">In relation to native plants, an independent state of natural liberty. </w:t>
            </w:r>
          </w:p>
        </w:tc>
      </w:tr>
      <w:tr w:rsidR="00CE7AB0" w:rsidRPr="005C77F0" w14:paraId="544F4AB7" w14:textId="77777777" w:rsidTr="006E51BB">
        <w:tc>
          <w:tcPr>
            <w:tcW w:w="2028" w:type="dxa"/>
            <w:shd w:val="clear" w:color="auto" w:fill="auto"/>
          </w:tcPr>
          <w:p w14:paraId="5FE96BB3" w14:textId="77777777" w:rsidR="00CE7AB0" w:rsidRPr="005C77F0" w:rsidRDefault="00CE7AB0" w:rsidP="002778E1">
            <w:pPr>
              <w:pStyle w:val="Tabletext"/>
            </w:pPr>
            <w:r>
              <w:t xml:space="preserve">LLS Act </w:t>
            </w:r>
          </w:p>
        </w:tc>
        <w:tc>
          <w:tcPr>
            <w:tcW w:w="7258" w:type="dxa"/>
            <w:shd w:val="clear" w:color="auto" w:fill="auto"/>
          </w:tcPr>
          <w:p w14:paraId="18D59203" w14:textId="77777777" w:rsidR="00CE7AB0" w:rsidRPr="005C77F0" w:rsidRDefault="00CE7AB0" w:rsidP="002778E1">
            <w:pPr>
              <w:pStyle w:val="Tabletext"/>
            </w:pPr>
            <w:r w:rsidRPr="00966905">
              <w:rPr>
                <w:i/>
              </w:rPr>
              <w:t>Local Land Services Act 2013</w:t>
            </w:r>
            <w:r>
              <w:t>.</w:t>
            </w:r>
          </w:p>
        </w:tc>
      </w:tr>
      <w:tr w:rsidR="00CE7AB0" w:rsidRPr="005C77F0" w14:paraId="2C36CD33" w14:textId="77777777" w:rsidTr="006E51BB">
        <w:tc>
          <w:tcPr>
            <w:tcW w:w="2028" w:type="dxa"/>
            <w:shd w:val="clear" w:color="auto" w:fill="auto"/>
          </w:tcPr>
          <w:p w14:paraId="00F22F38" w14:textId="77777777" w:rsidR="00CE7AB0" w:rsidRPr="005C77F0" w:rsidRDefault="00CE7AB0" w:rsidP="002778E1">
            <w:pPr>
              <w:pStyle w:val="Tabletext"/>
            </w:pPr>
            <w:r w:rsidRPr="005C77F0">
              <w:t>Local area office</w:t>
            </w:r>
          </w:p>
        </w:tc>
        <w:tc>
          <w:tcPr>
            <w:tcW w:w="7258" w:type="dxa"/>
            <w:shd w:val="clear" w:color="auto" w:fill="auto"/>
          </w:tcPr>
          <w:p w14:paraId="660A1790" w14:textId="77777777" w:rsidR="00CE7AB0" w:rsidRPr="005C77F0" w:rsidRDefault="00CE7AB0" w:rsidP="002778E1">
            <w:pPr>
              <w:pStyle w:val="Tabletext"/>
              <w:rPr>
                <w:b/>
              </w:rPr>
            </w:pPr>
            <w:r w:rsidRPr="005C77F0">
              <w:t xml:space="preserve">The OEH office responsible for administering and issuing protected plant licences under the </w:t>
            </w:r>
            <w:r>
              <w:t>BC</w:t>
            </w:r>
            <w:r w:rsidRPr="005C77F0">
              <w:t xml:space="preserve"> Act.</w:t>
            </w:r>
          </w:p>
        </w:tc>
      </w:tr>
      <w:tr w:rsidR="00CE7AB0" w:rsidRPr="005C77F0" w14:paraId="39B8D595" w14:textId="77777777" w:rsidTr="006E51BB">
        <w:tc>
          <w:tcPr>
            <w:tcW w:w="2028" w:type="dxa"/>
            <w:shd w:val="clear" w:color="auto" w:fill="auto"/>
          </w:tcPr>
          <w:p w14:paraId="4D6AF352" w14:textId="77777777" w:rsidR="00CE7AB0" w:rsidRPr="005C77F0" w:rsidRDefault="00CE7AB0" w:rsidP="002778E1">
            <w:pPr>
              <w:pStyle w:val="Tabletext"/>
            </w:pPr>
            <w:r w:rsidRPr="005C77F0">
              <w:t>Native plant</w:t>
            </w:r>
          </w:p>
        </w:tc>
        <w:tc>
          <w:tcPr>
            <w:tcW w:w="7258" w:type="dxa"/>
            <w:shd w:val="clear" w:color="auto" w:fill="auto"/>
          </w:tcPr>
          <w:p w14:paraId="1B0569CE" w14:textId="77777777" w:rsidR="00CE7AB0" w:rsidRPr="005C77F0" w:rsidRDefault="00CE7AB0" w:rsidP="002778E1">
            <w:pPr>
              <w:pStyle w:val="Tabletext"/>
            </w:pPr>
            <w:r w:rsidRPr="005C77F0">
              <w:t>Any tree, shrub, fern, creeper, vine, palm or plant that is native to Australia, and includes the flower and any other part thereof.</w:t>
            </w:r>
          </w:p>
        </w:tc>
      </w:tr>
      <w:tr w:rsidR="00CE7AB0" w:rsidRPr="005C77F0" w14:paraId="515DE215" w14:textId="77777777" w:rsidTr="006E51BB">
        <w:tc>
          <w:tcPr>
            <w:tcW w:w="2028" w:type="dxa"/>
            <w:shd w:val="clear" w:color="auto" w:fill="auto"/>
          </w:tcPr>
          <w:p w14:paraId="02E6957E" w14:textId="77777777" w:rsidR="00CE7AB0" w:rsidRPr="005C77F0" w:rsidRDefault="00CE7AB0" w:rsidP="002778E1">
            <w:pPr>
              <w:pStyle w:val="Tabletext"/>
            </w:pPr>
            <w:r w:rsidRPr="005C77F0">
              <w:t>NPW Act</w:t>
            </w:r>
          </w:p>
        </w:tc>
        <w:tc>
          <w:tcPr>
            <w:tcW w:w="7258" w:type="dxa"/>
            <w:shd w:val="clear" w:color="auto" w:fill="auto"/>
          </w:tcPr>
          <w:p w14:paraId="6301A683" w14:textId="77777777" w:rsidR="00CE7AB0" w:rsidRPr="005C77F0" w:rsidRDefault="00CE7AB0" w:rsidP="002778E1">
            <w:pPr>
              <w:pStyle w:val="Tabletext"/>
            </w:pPr>
            <w:r w:rsidRPr="00966905">
              <w:rPr>
                <w:i/>
              </w:rPr>
              <w:t>National Parks and Wildlife Act 1974</w:t>
            </w:r>
            <w:r w:rsidRPr="005C77F0">
              <w:t>.</w:t>
            </w:r>
          </w:p>
        </w:tc>
      </w:tr>
      <w:tr w:rsidR="00CE7AB0" w:rsidRPr="005C77F0" w14:paraId="5B8E29E4" w14:textId="77777777" w:rsidTr="006E51BB">
        <w:tc>
          <w:tcPr>
            <w:tcW w:w="2028" w:type="dxa"/>
            <w:shd w:val="clear" w:color="auto" w:fill="auto"/>
          </w:tcPr>
          <w:p w14:paraId="19B71F17" w14:textId="77777777" w:rsidR="00CE7AB0" w:rsidRPr="005C77F0" w:rsidRDefault="00CE7AB0" w:rsidP="002778E1">
            <w:pPr>
              <w:pStyle w:val="Tabletext"/>
            </w:pPr>
            <w:r w:rsidRPr="005C77F0">
              <w:t>NPWS</w:t>
            </w:r>
          </w:p>
        </w:tc>
        <w:tc>
          <w:tcPr>
            <w:tcW w:w="7258" w:type="dxa"/>
            <w:shd w:val="clear" w:color="auto" w:fill="auto"/>
          </w:tcPr>
          <w:p w14:paraId="21307891" w14:textId="77777777" w:rsidR="00CE7AB0" w:rsidRPr="005C77F0" w:rsidRDefault="00CE7AB0" w:rsidP="002778E1">
            <w:pPr>
              <w:pStyle w:val="Tabletext"/>
            </w:pPr>
            <w:r w:rsidRPr="005C77F0">
              <w:t>National Parks and Wildlife Service NSW, part of the Office of Environment and Heritage.</w:t>
            </w:r>
          </w:p>
        </w:tc>
      </w:tr>
      <w:tr w:rsidR="00CE7AB0" w:rsidRPr="005C77F0" w14:paraId="2018433C" w14:textId="77777777" w:rsidTr="006E51BB">
        <w:tc>
          <w:tcPr>
            <w:tcW w:w="2028" w:type="dxa"/>
            <w:shd w:val="clear" w:color="auto" w:fill="auto"/>
          </w:tcPr>
          <w:p w14:paraId="77E9FA26" w14:textId="77777777" w:rsidR="00CE7AB0" w:rsidRPr="005C77F0" w:rsidRDefault="00CE7AB0" w:rsidP="002778E1">
            <w:pPr>
              <w:pStyle w:val="Tabletext"/>
            </w:pPr>
            <w:r w:rsidRPr="005C77F0">
              <w:t>OEH</w:t>
            </w:r>
          </w:p>
        </w:tc>
        <w:tc>
          <w:tcPr>
            <w:tcW w:w="7258" w:type="dxa"/>
            <w:shd w:val="clear" w:color="auto" w:fill="auto"/>
          </w:tcPr>
          <w:p w14:paraId="662E7A57" w14:textId="77777777" w:rsidR="00CE7AB0" w:rsidRPr="005C77F0" w:rsidRDefault="00CE7AB0" w:rsidP="002778E1">
            <w:pPr>
              <w:pStyle w:val="Tabletext"/>
            </w:pPr>
            <w:r w:rsidRPr="005C77F0">
              <w:t>Office of Environment and Heritage, which includes the National Parks and Wildlife Service NSW.</w:t>
            </w:r>
          </w:p>
        </w:tc>
      </w:tr>
      <w:tr w:rsidR="00CE7AB0" w:rsidRPr="005C77F0" w14:paraId="2436FC23" w14:textId="77777777" w:rsidTr="006E51BB">
        <w:tc>
          <w:tcPr>
            <w:tcW w:w="2028" w:type="dxa"/>
            <w:shd w:val="clear" w:color="auto" w:fill="auto"/>
          </w:tcPr>
          <w:p w14:paraId="5DD8104A" w14:textId="77777777" w:rsidR="00CE7AB0" w:rsidRPr="005C77F0" w:rsidRDefault="00CE7AB0" w:rsidP="002778E1">
            <w:pPr>
              <w:pStyle w:val="Tabletext"/>
            </w:pPr>
            <w:r w:rsidRPr="005C77F0">
              <w:t>Pick</w:t>
            </w:r>
          </w:p>
        </w:tc>
        <w:tc>
          <w:tcPr>
            <w:tcW w:w="7258" w:type="dxa"/>
            <w:shd w:val="clear" w:color="auto" w:fill="auto"/>
          </w:tcPr>
          <w:p w14:paraId="44F5C944" w14:textId="77777777" w:rsidR="00CE7AB0" w:rsidRPr="005C77F0" w:rsidRDefault="00CE7AB0" w:rsidP="002778E1">
            <w:pPr>
              <w:pStyle w:val="Tabletext"/>
            </w:pPr>
            <w:r w:rsidRPr="005C77F0">
              <w:t xml:space="preserve">To </w:t>
            </w:r>
            <w:r w:rsidRPr="00AA0D13">
              <w:t>gather, take, cut, remove from the ground, destroy, poison, crush or injure the plant or any part of the plant.</w:t>
            </w:r>
          </w:p>
        </w:tc>
      </w:tr>
      <w:tr w:rsidR="00CE7AB0" w:rsidRPr="005C77F0" w14:paraId="0CC0FCF4" w14:textId="77777777" w:rsidTr="006E51BB">
        <w:tc>
          <w:tcPr>
            <w:tcW w:w="2028" w:type="dxa"/>
            <w:shd w:val="clear" w:color="auto" w:fill="auto"/>
          </w:tcPr>
          <w:p w14:paraId="6C739AA9" w14:textId="77777777" w:rsidR="00CE7AB0" w:rsidRPr="005C77F0" w:rsidRDefault="00CE7AB0" w:rsidP="002778E1">
            <w:pPr>
              <w:pStyle w:val="Tabletext"/>
            </w:pPr>
            <w:r w:rsidRPr="005C77F0">
              <w:t>PBR Act</w:t>
            </w:r>
          </w:p>
        </w:tc>
        <w:tc>
          <w:tcPr>
            <w:tcW w:w="7258" w:type="dxa"/>
            <w:shd w:val="clear" w:color="auto" w:fill="auto"/>
          </w:tcPr>
          <w:p w14:paraId="2A013E55" w14:textId="77777777" w:rsidR="00CE7AB0" w:rsidRPr="005C77F0" w:rsidRDefault="00CE7AB0" w:rsidP="002778E1">
            <w:pPr>
              <w:pStyle w:val="Tabletext"/>
            </w:pPr>
            <w:r w:rsidRPr="00966905">
              <w:rPr>
                <w:i/>
              </w:rPr>
              <w:t>Plant Breeders Rights Act 1994</w:t>
            </w:r>
            <w:r>
              <w:t xml:space="preserve"> (</w:t>
            </w:r>
            <w:proofErr w:type="spellStart"/>
            <w:r>
              <w:t>C</w:t>
            </w:r>
            <w:r w:rsidR="001E605D">
              <w:t>wl</w:t>
            </w:r>
            <w:r>
              <w:t>th</w:t>
            </w:r>
            <w:proofErr w:type="spellEnd"/>
            <w:r>
              <w:t>)</w:t>
            </w:r>
            <w:r w:rsidRPr="005C77F0">
              <w:t>.</w:t>
            </w:r>
          </w:p>
        </w:tc>
      </w:tr>
      <w:tr w:rsidR="00CE7AB0" w:rsidRPr="005C77F0" w14:paraId="49A5B538" w14:textId="77777777" w:rsidTr="006E51BB">
        <w:tc>
          <w:tcPr>
            <w:tcW w:w="2028" w:type="dxa"/>
            <w:shd w:val="clear" w:color="auto" w:fill="auto"/>
          </w:tcPr>
          <w:p w14:paraId="62B4C759" w14:textId="77777777" w:rsidR="00CE7AB0" w:rsidRPr="005C77F0" w:rsidRDefault="00CE7AB0" w:rsidP="002778E1">
            <w:pPr>
              <w:pStyle w:val="Tabletext"/>
            </w:pPr>
            <w:r w:rsidRPr="005C77F0">
              <w:t>Plant parts</w:t>
            </w:r>
          </w:p>
        </w:tc>
        <w:tc>
          <w:tcPr>
            <w:tcW w:w="7258" w:type="dxa"/>
            <w:shd w:val="clear" w:color="auto" w:fill="auto"/>
          </w:tcPr>
          <w:p w14:paraId="4C508FB3" w14:textId="77777777" w:rsidR="00CE7AB0" w:rsidRPr="005C77F0" w:rsidRDefault="00CE7AB0" w:rsidP="002778E1">
            <w:pPr>
              <w:pStyle w:val="Tabletext"/>
            </w:pPr>
            <w:r w:rsidRPr="005C77F0">
              <w:t>Parts of a plant which are collected for purposes other than propagation, such as for cut-foliage or cut-flowers, but does not include divisions of plants which are taken for the purpose of propagation.</w:t>
            </w:r>
          </w:p>
        </w:tc>
      </w:tr>
      <w:tr w:rsidR="00CE7AB0" w:rsidRPr="005C77F0" w14:paraId="033E14E1" w14:textId="77777777" w:rsidTr="006E51BB">
        <w:tc>
          <w:tcPr>
            <w:tcW w:w="2028" w:type="dxa"/>
            <w:shd w:val="clear" w:color="auto" w:fill="auto"/>
          </w:tcPr>
          <w:p w14:paraId="75261476" w14:textId="77777777" w:rsidR="00CE7AB0" w:rsidRPr="005C77F0" w:rsidRDefault="00CE7AB0" w:rsidP="002778E1">
            <w:pPr>
              <w:pStyle w:val="Tabletext"/>
            </w:pPr>
            <w:r w:rsidRPr="005C77F0">
              <w:t>Pot</w:t>
            </w:r>
          </w:p>
        </w:tc>
        <w:tc>
          <w:tcPr>
            <w:tcW w:w="7258" w:type="dxa"/>
            <w:shd w:val="clear" w:color="auto" w:fill="auto"/>
          </w:tcPr>
          <w:p w14:paraId="50EBDB04" w14:textId="77777777" w:rsidR="00CE7AB0" w:rsidRPr="005C77F0" w:rsidRDefault="00CE7AB0" w:rsidP="002778E1">
            <w:pPr>
              <w:pStyle w:val="Tabletext"/>
              <w:rPr>
                <w:b/>
              </w:rPr>
            </w:pPr>
            <w:r w:rsidRPr="005C77F0">
              <w:t xml:space="preserve">A container in which plants may be grown and offered for sale, which contains growing media suitable for the species. A pot may include but not be limited to pots, bags, cells, punnets, flasks, tubes or tubs. For epiphytes or lithophytes, a pot may be a slab, board or other appropriate substrate to which the plant is attached. </w:t>
            </w:r>
          </w:p>
        </w:tc>
      </w:tr>
      <w:tr w:rsidR="00CE7AB0" w:rsidRPr="005C77F0" w14:paraId="71ECA85A" w14:textId="77777777" w:rsidTr="006E51BB">
        <w:tc>
          <w:tcPr>
            <w:tcW w:w="2028" w:type="dxa"/>
            <w:shd w:val="clear" w:color="auto" w:fill="auto"/>
          </w:tcPr>
          <w:p w14:paraId="7FB3A8D7" w14:textId="77777777" w:rsidR="00CE7AB0" w:rsidRPr="005C77F0" w:rsidRDefault="00CE7AB0" w:rsidP="002778E1">
            <w:pPr>
              <w:pStyle w:val="Tabletext"/>
            </w:pPr>
            <w:r w:rsidRPr="005C77F0">
              <w:t>PR Act</w:t>
            </w:r>
          </w:p>
        </w:tc>
        <w:tc>
          <w:tcPr>
            <w:tcW w:w="7258" w:type="dxa"/>
            <w:shd w:val="clear" w:color="auto" w:fill="auto"/>
          </w:tcPr>
          <w:p w14:paraId="2A614DA6" w14:textId="77777777" w:rsidR="00CE7AB0" w:rsidRPr="005C77F0" w:rsidRDefault="00CE7AB0" w:rsidP="002778E1">
            <w:pPr>
              <w:pStyle w:val="Tabletext"/>
            </w:pPr>
            <w:r w:rsidRPr="00966905">
              <w:rPr>
                <w:i/>
              </w:rPr>
              <w:t>Plantations and Reafforestation Act 1999</w:t>
            </w:r>
            <w:r w:rsidRPr="005C77F0">
              <w:t>.</w:t>
            </w:r>
          </w:p>
        </w:tc>
      </w:tr>
      <w:tr w:rsidR="00CE7AB0" w:rsidRPr="005C77F0" w14:paraId="045945DF" w14:textId="77777777" w:rsidTr="006E51BB">
        <w:tc>
          <w:tcPr>
            <w:tcW w:w="2028" w:type="dxa"/>
            <w:shd w:val="clear" w:color="auto" w:fill="auto"/>
          </w:tcPr>
          <w:p w14:paraId="1F0376BD" w14:textId="77777777" w:rsidR="00CE7AB0" w:rsidRPr="005C77F0" w:rsidRDefault="00CE7AB0" w:rsidP="002778E1">
            <w:pPr>
              <w:pStyle w:val="Tabletext"/>
              <w:rPr>
                <w:rFonts w:cs="Arial"/>
              </w:rPr>
            </w:pPr>
            <w:r w:rsidRPr="005C77F0">
              <w:t>Private land</w:t>
            </w:r>
          </w:p>
        </w:tc>
        <w:tc>
          <w:tcPr>
            <w:tcW w:w="7258" w:type="dxa"/>
            <w:shd w:val="clear" w:color="auto" w:fill="auto"/>
          </w:tcPr>
          <w:p w14:paraId="62EEF5D1" w14:textId="77777777" w:rsidR="00CE7AB0" w:rsidRPr="00FF75CE" w:rsidRDefault="00CE7AB0" w:rsidP="002778E1">
            <w:pPr>
              <w:pStyle w:val="Tabletext"/>
            </w:pPr>
            <w:r w:rsidRPr="00D74C85">
              <w:t>Freehold land and land leased, held under licence or permit from a natural person, company or the Crown under a tenure that grants an exclusive right of occupancy, or which is in the course of alienation by the Crown under any Act.</w:t>
            </w:r>
          </w:p>
        </w:tc>
      </w:tr>
    </w:tbl>
    <w:tbl>
      <w:tblPr>
        <w:tblpPr w:leftFromText="180" w:rightFromText="180" w:vertAnchor="text" w:tblpY="1"/>
        <w:tblOverlap w:val="never"/>
        <w:tblW w:w="0" w:type="auto"/>
        <w:tblLook w:val="01E0" w:firstRow="1" w:lastRow="1" w:firstColumn="1" w:lastColumn="1" w:noHBand="0" w:noVBand="0"/>
      </w:tblPr>
      <w:tblGrid>
        <w:gridCol w:w="2002"/>
        <w:gridCol w:w="7068"/>
      </w:tblGrid>
      <w:tr w:rsidR="00CE7AB0" w:rsidRPr="005C77F0" w14:paraId="7D4D2F5A" w14:textId="77777777" w:rsidTr="00966905">
        <w:tc>
          <w:tcPr>
            <w:tcW w:w="2002" w:type="dxa"/>
            <w:shd w:val="clear" w:color="auto" w:fill="auto"/>
          </w:tcPr>
          <w:p w14:paraId="6FDA218C" w14:textId="77777777" w:rsidR="00CE7AB0" w:rsidRPr="005C77F0" w:rsidRDefault="00CE7AB0" w:rsidP="002778E1">
            <w:pPr>
              <w:pStyle w:val="Tabletext"/>
              <w:rPr>
                <w:rFonts w:cs="Arial"/>
              </w:rPr>
            </w:pPr>
            <w:r w:rsidRPr="005C77F0">
              <w:t xml:space="preserve">Productive use </w:t>
            </w:r>
            <w:r w:rsidRPr="00D74C85">
              <w:t>or</w:t>
            </w:r>
            <w:r w:rsidRPr="005C77F0">
              <w:t xml:space="preserve"> licence</w:t>
            </w:r>
          </w:p>
        </w:tc>
        <w:tc>
          <w:tcPr>
            <w:tcW w:w="7068" w:type="dxa"/>
            <w:shd w:val="clear" w:color="auto" w:fill="auto"/>
          </w:tcPr>
          <w:p w14:paraId="1E45F824" w14:textId="77777777" w:rsidR="00CE7AB0" w:rsidRPr="00FF75CE" w:rsidRDefault="00CE7AB0" w:rsidP="002778E1">
            <w:pPr>
              <w:pStyle w:val="Tabletext"/>
            </w:pPr>
            <w:r w:rsidRPr="00D74C85">
              <w:t xml:space="preserve">A grower licence or material produced under a grower licence where the source of the material in trade is not from the wild. </w:t>
            </w:r>
          </w:p>
        </w:tc>
      </w:tr>
      <w:tr w:rsidR="00CE7AB0" w:rsidRPr="005C77F0" w14:paraId="0EE8DAE0" w14:textId="77777777" w:rsidTr="00966905">
        <w:tc>
          <w:tcPr>
            <w:tcW w:w="2002" w:type="dxa"/>
            <w:shd w:val="clear" w:color="auto" w:fill="auto"/>
          </w:tcPr>
          <w:p w14:paraId="151E8B54" w14:textId="77777777" w:rsidR="00CE7AB0" w:rsidRPr="005C77F0" w:rsidRDefault="00CE7AB0" w:rsidP="002778E1">
            <w:pPr>
              <w:pStyle w:val="Tabletext"/>
              <w:rPr>
                <w:rFonts w:cs="Arial"/>
              </w:rPr>
            </w:pPr>
            <w:r w:rsidRPr="005C77F0">
              <w:t>Propagate</w:t>
            </w:r>
          </w:p>
        </w:tc>
        <w:tc>
          <w:tcPr>
            <w:tcW w:w="7068" w:type="dxa"/>
            <w:shd w:val="clear" w:color="auto" w:fill="auto"/>
          </w:tcPr>
          <w:p w14:paraId="4FD3E444" w14:textId="77777777" w:rsidR="00CE7AB0" w:rsidRPr="005C77F0" w:rsidRDefault="00CE7AB0" w:rsidP="002778E1">
            <w:pPr>
              <w:pStyle w:val="Tabletext"/>
              <w:rPr>
                <w:b/>
              </w:rPr>
            </w:pPr>
            <w:r w:rsidRPr="00942AA3">
              <w:t>S</w:t>
            </w:r>
            <w:r w:rsidRPr="00232D0E">
              <w:t>ee</w:t>
            </w:r>
            <w:r w:rsidRPr="00D74C85">
              <w:t xml:space="preserve"> artificially propagated.</w:t>
            </w:r>
          </w:p>
        </w:tc>
      </w:tr>
      <w:tr w:rsidR="00CE7AB0" w:rsidRPr="005C77F0" w14:paraId="5D8BD261" w14:textId="77777777" w:rsidTr="00966905">
        <w:tc>
          <w:tcPr>
            <w:tcW w:w="2002" w:type="dxa"/>
            <w:shd w:val="clear" w:color="auto" w:fill="auto"/>
          </w:tcPr>
          <w:p w14:paraId="16217282" w14:textId="77777777" w:rsidR="00CE7AB0" w:rsidRPr="005C77F0" w:rsidRDefault="00CE7AB0" w:rsidP="002778E1">
            <w:pPr>
              <w:pStyle w:val="Tabletext"/>
              <w:rPr>
                <w:rFonts w:cs="Arial"/>
              </w:rPr>
            </w:pPr>
            <w:r w:rsidRPr="005C77F0">
              <w:t>Propagule</w:t>
            </w:r>
          </w:p>
        </w:tc>
        <w:tc>
          <w:tcPr>
            <w:tcW w:w="7068" w:type="dxa"/>
            <w:shd w:val="clear" w:color="auto" w:fill="auto"/>
          </w:tcPr>
          <w:p w14:paraId="1C32A25F" w14:textId="77777777" w:rsidR="00CE7AB0" w:rsidRPr="005C77F0" w:rsidRDefault="00CE7AB0" w:rsidP="002778E1">
            <w:pPr>
              <w:pStyle w:val="Tabletext"/>
              <w:rPr>
                <w:i/>
                <w:lang w:val="en-US"/>
              </w:rPr>
            </w:pPr>
            <w:r w:rsidRPr="00D74C85">
              <w:t>Any part of a plant capable of forming a new individual when separated from the original plant.</w:t>
            </w:r>
          </w:p>
        </w:tc>
      </w:tr>
      <w:tr w:rsidR="00CE7AB0" w:rsidRPr="005C77F0" w14:paraId="289FEC41" w14:textId="77777777" w:rsidTr="00966905">
        <w:tc>
          <w:tcPr>
            <w:tcW w:w="2002" w:type="dxa"/>
            <w:shd w:val="clear" w:color="auto" w:fill="auto"/>
          </w:tcPr>
          <w:p w14:paraId="5812B219" w14:textId="77777777" w:rsidR="00CE7AB0" w:rsidRPr="005C77F0" w:rsidRDefault="00CE7AB0" w:rsidP="002778E1">
            <w:pPr>
              <w:pStyle w:val="Tabletext"/>
              <w:rPr>
                <w:rFonts w:cs="Arial"/>
              </w:rPr>
            </w:pPr>
            <w:r w:rsidRPr="005C77F0">
              <w:rPr>
                <w:lang w:val="en-US"/>
              </w:rPr>
              <w:t>Protected plant</w:t>
            </w:r>
          </w:p>
        </w:tc>
        <w:tc>
          <w:tcPr>
            <w:tcW w:w="7068" w:type="dxa"/>
            <w:shd w:val="clear" w:color="auto" w:fill="auto"/>
          </w:tcPr>
          <w:p w14:paraId="60474145" w14:textId="77777777" w:rsidR="00CE7AB0" w:rsidRPr="005C77F0" w:rsidRDefault="00CE7AB0" w:rsidP="002778E1">
            <w:pPr>
              <w:pStyle w:val="Tabletext"/>
              <w:rPr>
                <w:lang w:val="en-US"/>
              </w:rPr>
            </w:pPr>
            <w:r w:rsidRPr="005C77F0">
              <w:rPr>
                <w:lang w:val="en-US"/>
              </w:rPr>
              <w:t xml:space="preserve">A species or other taxon listed in Schedule </w:t>
            </w:r>
            <w:r>
              <w:rPr>
                <w:lang w:val="en-US"/>
              </w:rPr>
              <w:t>6</w:t>
            </w:r>
            <w:r w:rsidRPr="005C77F0">
              <w:rPr>
                <w:lang w:val="en-US"/>
              </w:rPr>
              <w:t xml:space="preserve"> of the </w:t>
            </w:r>
            <w:r>
              <w:rPr>
                <w:lang w:val="en-US"/>
              </w:rPr>
              <w:t>BC</w:t>
            </w:r>
            <w:r w:rsidRPr="005C77F0">
              <w:rPr>
                <w:lang w:val="en-US"/>
              </w:rPr>
              <w:t xml:space="preserve"> Act.</w:t>
            </w:r>
            <w:r w:rsidRPr="00D74C85">
              <w:t xml:space="preserve"> </w:t>
            </w:r>
            <w:r w:rsidRPr="005C77F0">
              <w:rPr>
                <w:lang w:val="en-US"/>
              </w:rPr>
              <w:t xml:space="preserve">These species may be common in the wild but are listed to enable monitoring and regulation of activities associated with them. </w:t>
            </w:r>
          </w:p>
        </w:tc>
      </w:tr>
      <w:tr w:rsidR="00CE7AB0" w:rsidRPr="005C77F0" w14:paraId="481C6340" w14:textId="77777777" w:rsidTr="00966905">
        <w:tc>
          <w:tcPr>
            <w:tcW w:w="2002" w:type="dxa"/>
            <w:shd w:val="clear" w:color="auto" w:fill="auto"/>
          </w:tcPr>
          <w:p w14:paraId="1A373A94" w14:textId="77777777" w:rsidR="00CE7AB0" w:rsidRPr="005C77F0" w:rsidRDefault="00CE7AB0" w:rsidP="002778E1">
            <w:pPr>
              <w:pStyle w:val="Tabletext"/>
              <w:rPr>
                <w:lang w:val="en-US"/>
              </w:rPr>
            </w:pPr>
            <w:r w:rsidRPr="005C77F0">
              <w:t>Salvage</w:t>
            </w:r>
          </w:p>
        </w:tc>
        <w:tc>
          <w:tcPr>
            <w:tcW w:w="7068" w:type="dxa"/>
            <w:shd w:val="clear" w:color="auto" w:fill="auto"/>
          </w:tcPr>
          <w:p w14:paraId="53CF05BF" w14:textId="77777777" w:rsidR="00CE7AB0" w:rsidRPr="005C77F0" w:rsidRDefault="00CE7AB0" w:rsidP="002778E1">
            <w:pPr>
              <w:pStyle w:val="Tabletext"/>
              <w:rPr>
                <w:rFonts w:cs="Arial"/>
              </w:rPr>
            </w:pPr>
            <w:r w:rsidRPr="00D74C85">
              <w:t>Removal of plants from an area that is being, or is to be, drastically altered by approved urban and rural development, forestry activities, mining or infrastructure development, where the plants would otherwise be destroyed.</w:t>
            </w:r>
          </w:p>
        </w:tc>
      </w:tr>
      <w:tr w:rsidR="00CE7AB0" w:rsidRPr="005C77F0" w14:paraId="0C16A276" w14:textId="77777777" w:rsidTr="00966905">
        <w:tc>
          <w:tcPr>
            <w:tcW w:w="2002" w:type="dxa"/>
            <w:shd w:val="clear" w:color="auto" w:fill="auto"/>
          </w:tcPr>
          <w:p w14:paraId="0418798D" w14:textId="77777777" w:rsidR="00CE7AB0" w:rsidRPr="005C77F0" w:rsidRDefault="00CE7AB0" w:rsidP="002778E1">
            <w:pPr>
              <w:pStyle w:val="Tabletext"/>
              <w:rPr>
                <w:lang w:val="en-US"/>
              </w:rPr>
            </w:pPr>
            <w:r w:rsidRPr="005C77F0">
              <w:t>Seed</w:t>
            </w:r>
          </w:p>
        </w:tc>
        <w:tc>
          <w:tcPr>
            <w:tcW w:w="7068" w:type="dxa"/>
            <w:shd w:val="clear" w:color="auto" w:fill="auto"/>
          </w:tcPr>
          <w:p w14:paraId="39FBCDE5" w14:textId="77777777" w:rsidR="00CE7AB0" w:rsidRPr="005C77F0" w:rsidRDefault="00CE7AB0" w:rsidP="002778E1">
            <w:pPr>
              <w:pStyle w:val="Tabletext"/>
              <w:rPr>
                <w:rFonts w:cs="Arial"/>
              </w:rPr>
            </w:pPr>
            <w:r w:rsidRPr="00D74C85">
              <w:t>For the purposes of this</w:t>
            </w:r>
            <w:r w:rsidRPr="005C77F0">
              <w:rPr>
                <w:b/>
              </w:rPr>
              <w:t xml:space="preserve"> </w:t>
            </w:r>
            <w:r w:rsidRPr="00D74C85">
              <w:t>plan, this includes a fertilised ovule produced by a seed plant and the asexual reproductive cell produced by the sporophyte phase of ferns and other non-seed plants.</w:t>
            </w:r>
            <w:r>
              <w:t xml:space="preserve"> </w:t>
            </w:r>
            <w:r w:rsidRPr="00D74C85">
              <w:t>A seed does not include vegetative propagules such as cuttings or division.</w:t>
            </w:r>
          </w:p>
        </w:tc>
      </w:tr>
      <w:tr w:rsidR="00CE7AB0" w:rsidRPr="005C77F0" w14:paraId="101A1B80" w14:textId="77777777" w:rsidTr="00966905">
        <w:tc>
          <w:tcPr>
            <w:tcW w:w="2002" w:type="dxa"/>
            <w:shd w:val="clear" w:color="auto" w:fill="auto"/>
          </w:tcPr>
          <w:p w14:paraId="5B633B4B" w14:textId="77777777" w:rsidR="00CE7AB0" w:rsidRPr="005C77F0" w:rsidRDefault="00CE7AB0" w:rsidP="002778E1">
            <w:pPr>
              <w:pStyle w:val="Tabletext"/>
              <w:rPr>
                <w:lang w:val="en-US"/>
              </w:rPr>
            </w:pPr>
            <w:r w:rsidRPr="005C77F0">
              <w:t>Seed harvester</w:t>
            </w:r>
          </w:p>
        </w:tc>
        <w:tc>
          <w:tcPr>
            <w:tcW w:w="7068" w:type="dxa"/>
            <w:shd w:val="clear" w:color="auto" w:fill="auto"/>
          </w:tcPr>
          <w:p w14:paraId="08E68F74" w14:textId="77777777" w:rsidR="00CE7AB0" w:rsidRPr="005C77F0" w:rsidRDefault="00CE7AB0" w:rsidP="002778E1">
            <w:pPr>
              <w:pStyle w:val="Tabletext"/>
              <w:rPr>
                <w:rFonts w:cs="Arial"/>
              </w:rPr>
            </w:pPr>
            <w:r w:rsidRPr="00D74C85">
              <w:t xml:space="preserve">A person </w:t>
            </w:r>
            <w:r>
              <w:t xml:space="preserve">or company </w:t>
            </w:r>
            <w:r w:rsidRPr="00D74C85">
              <w:t xml:space="preserve">licensed </w:t>
            </w:r>
            <w:r>
              <w:t xml:space="preserve">under the BC Act </w:t>
            </w:r>
            <w:r w:rsidRPr="00D74C85">
              <w:t>to harvest seeds from protected plants for the purpose of selling the seeds.</w:t>
            </w:r>
          </w:p>
        </w:tc>
      </w:tr>
      <w:tr w:rsidR="00CE7AB0" w:rsidRPr="005C77F0" w14:paraId="3EC3C9C9" w14:textId="77777777" w:rsidTr="00966905">
        <w:tc>
          <w:tcPr>
            <w:tcW w:w="2002" w:type="dxa"/>
            <w:shd w:val="clear" w:color="auto" w:fill="auto"/>
          </w:tcPr>
          <w:p w14:paraId="549DC67B" w14:textId="77777777" w:rsidR="00CE7AB0" w:rsidRPr="005C77F0" w:rsidRDefault="00CE7AB0" w:rsidP="002778E1">
            <w:pPr>
              <w:pStyle w:val="Tabletext"/>
            </w:pPr>
            <w:r w:rsidRPr="005C77F0">
              <w:t>Sell</w:t>
            </w:r>
          </w:p>
        </w:tc>
        <w:tc>
          <w:tcPr>
            <w:tcW w:w="7068" w:type="dxa"/>
            <w:shd w:val="clear" w:color="auto" w:fill="auto"/>
          </w:tcPr>
          <w:p w14:paraId="43D43360" w14:textId="77777777" w:rsidR="00CE7AB0" w:rsidRPr="00D74C85" w:rsidRDefault="00CE7AB0" w:rsidP="002778E1">
            <w:pPr>
              <w:pStyle w:val="Tabletext"/>
            </w:pPr>
            <w:r w:rsidRPr="005C77F0">
              <w:t xml:space="preserve">As defined in the </w:t>
            </w:r>
            <w:r>
              <w:t>BC Act, includes to advertise or hold out as being prepared to sell plants, and to deliver or receive plants for the purpose of their sale.</w:t>
            </w:r>
          </w:p>
        </w:tc>
      </w:tr>
      <w:tr w:rsidR="00CE7AB0" w:rsidRPr="005C77F0" w14:paraId="6FE166BF" w14:textId="77777777" w:rsidTr="00966905">
        <w:tc>
          <w:tcPr>
            <w:tcW w:w="2002" w:type="dxa"/>
            <w:shd w:val="clear" w:color="auto" w:fill="auto"/>
          </w:tcPr>
          <w:p w14:paraId="7820EAAC" w14:textId="77777777" w:rsidR="00CE7AB0" w:rsidRPr="005C77F0" w:rsidRDefault="00CE7AB0" w:rsidP="002778E1">
            <w:pPr>
              <w:pStyle w:val="Tabletext"/>
              <w:rPr>
                <w:lang w:val="en-US"/>
              </w:rPr>
            </w:pPr>
            <w:r w:rsidRPr="005C77F0">
              <w:t>Site</w:t>
            </w:r>
          </w:p>
        </w:tc>
        <w:tc>
          <w:tcPr>
            <w:tcW w:w="7068" w:type="dxa"/>
            <w:shd w:val="clear" w:color="auto" w:fill="auto"/>
          </w:tcPr>
          <w:p w14:paraId="21D7D3B4" w14:textId="77777777" w:rsidR="00CE7AB0" w:rsidRPr="005C77F0" w:rsidRDefault="00CE7AB0" w:rsidP="002778E1">
            <w:pPr>
              <w:pStyle w:val="Tabletext"/>
              <w:rPr>
                <w:rFonts w:cs="Arial"/>
              </w:rPr>
            </w:pPr>
            <w:r w:rsidRPr="00D74C85">
              <w:t xml:space="preserve">A single property held under individual title or a specific parcel of land managed by a public authority. For example, a specific state forest is a single </w:t>
            </w:r>
            <w:r w:rsidRPr="00D74C85">
              <w:lastRenderedPageBreak/>
              <w:t xml:space="preserve">site but may include several picking locations. However, state forests with different names, even though they may adjoin, or adjoining parcels of private land with separate titles are regarded as separate sites. In the case of roadside picking, a site is a 5 </w:t>
            </w:r>
            <w:r w:rsidR="00966905">
              <w:t>kilometres</w:t>
            </w:r>
            <w:r w:rsidRPr="00D74C85">
              <w:t xml:space="preserve"> stretch of road. </w:t>
            </w:r>
          </w:p>
        </w:tc>
      </w:tr>
      <w:tr w:rsidR="00CE7AB0" w:rsidRPr="005C77F0" w14:paraId="563801C6" w14:textId="77777777" w:rsidTr="00966905">
        <w:tc>
          <w:tcPr>
            <w:tcW w:w="2002" w:type="dxa"/>
            <w:shd w:val="clear" w:color="auto" w:fill="auto"/>
          </w:tcPr>
          <w:p w14:paraId="352F9CBB" w14:textId="77777777" w:rsidR="00CE7AB0" w:rsidRPr="005C77F0" w:rsidRDefault="00CE7AB0" w:rsidP="002778E1">
            <w:pPr>
              <w:pStyle w:val="Tabletext"/>
            </w:pPr>
            <w:r w:rsidRPr="005C77F0">
              <w:lastRenderedPageBreak/>
              <w:t>Taxon (plural taxa)</w:t>
            </w:r>
          </w:p>
        </w:tc>
        <w:tc>
          <w:tcPr>
            <w:tcW w:w="7068" w:type="dxa"/>
            <w:shd w:val="clear" w:color="auto" w:fill="auto"/>
          </w:tcPr>
          <w:p w14:paraId="7E9C88C6" w14:textId="77777777" w:rsidR="00CE7AB0" w:rsidRPr="005C77F0" w:rsidRDefault="00CE7AB0" w:rsidP="002778E1">
            <w:pPr>
              <w:pStyle w:val="Tabletext"/>
            </w:pPr>
            <w:r w:rsidRPr="005C77F0">
              <w:t>Any living thing described by a genus name or any other name or description. Taxonomic units are formatted in a nested hierarchy (i.e. variety or cultivar, species, genus, family, order, class, phylum, kingdom).</w:t>
            </w:r>
          </w:p>
        </w:tc>
      </w:tr>
      <w:tr w:rsidR="00CE7AB0" w:rsidRPr="005C77F0" w14:paraId="398A425E" w14:textId="77777777" w:rsidTr="00966905">
        <w:tc>
          <w:tcPr>
            <w:tcW w:w="2002" w:type="dxa"/>
            <w:shd w:val="clear" w:color="auto" w:fill="auto"/>
          </w:tcPr>
          <w:p w14:paraId="3DA8EDDC" w14:textId="77777777" w:rsidR="00CE7AB0" w:rsidRPr="005C77F0" w:rsidRDefault="00CE7AB0" w:rsidP="002778E1">
            <w:pPr>
              <w:pStyle w:val="Tabletext"/>
            </w:pPr>
            <w:r w:rsidRPr="005C77F0">
              <w:t xml:space="preserve">Threatened ecological community </w:t>
            </w:r>
          </w:p>
        </w:tc>
        <w:tc>
          <w:tcPr>
            <w:tcW w:w="7068" w:type="dxa"/>
            <w:shd w:val="clear" w:color="auto" w:fill="auto"/>
          </w:tcPr>
          <w:p w14:paraId="14B9DE1A" w14:textId="77777777" w:rsidR="00CE7AB0" w:rsidRPr="005C77F0" w:rsidRDefault="00CE7AB0" w:rsidP="002778E1">
            <w:pPr>
              <w:pStyle w:val="Tabletext"/>
            </w:pPr>
            <w:r w:rsidRPr="005C77F0">
              <w:t xml:space="preserve">An assemblage of species occupying a particular area as listed Schedule </w:t>
            </w:r>
            <w:r>
              <w:t>2 of the BC Act</w:t>
            </w:r>
            <w:r w:rsidRPr="005C77F0">
              <w:t>.</w:t>
            </w:r>
          </w:p>
        </w:tc>
      </w:tr>
      <w:tr w:rsidR="00CE7AB0" w:rsidRPr="005C77F0" w:rsidDel="00A6426D" w14:paraId="7B433F89" w14:textId="77777777" w:rsidTr="00966905">
        <w:tc>
          <w:tcPr>
            <w:tcW w:w="2002" w:type="dxa"/>
            <w:shd w:val="clear" w:color="auto" w:fill="auto"/>
          </w:tcPr>
          <w:p w14:paraId="0820EF76" w14:textId="77777777" w:rsidR="00CE7AB0" w:rsidRPr="005C77F0" w:rsidDel="00A6426D" w:rsidRDefault="00CE7AB0" w:rsidP="002778E1">
            <w:pPr>
              <w:pStyle w:val="Tabletext"/>
            </w:pPr>
            <w:r w:rsidRPr="005C77F0">
              <w:t>Threatened species</w:t>
            </w:r>
          </w:p>
        </w:tc>
        <w:tc>
          <w:tcPr>
            <w:tcW w:w="7068" w:type="dxa"/>
            <w:shd w:val="clear" w:color="auto" w:fill="auto"/>
          </w:tcPr>
          <w:p w14:paraId="728F3723" w14:textId="77777777" w:rsidR="00CE7AB0" w:rsidRPr="005C77F0" w:rsidDel="00A6426D" w:rsidRDefault="00CE7AB0" w:rsidP="002778E1">
            <w:pPr>
              <w:pStyle w:val="Tabletext"/>
            </w:pPr>
            <w:r w:rsidRPr="005C77F0">
              <w:t xml:space="preserve">A species listed in </w:t>
            </w:r>
            <w:r>
              <w:t>Schedule 1</w:t>
            </w:r>
            <w:r w:rsidRPr="005C77F0">
              <w:t xml:space="preserve"> of the </w:t>
            </w:r>
            <w:r>
              <w:t>BC</w:t>
            </w:r>
            <w:r w:rsidRPr="005C77F0">
              <w:t xml:space="preserve"> Act. </w:t>
            </w:r>
          </w:p>
        </w:tc>
      </w:tr>
      <w:tr w:rsidR="00CE7AB0" w:rsidRPr="005C77F0" w14:paraId="5859280C" w14:textId="77777777" w:rsidTr="00966905">
        <w:tc>
          <w:tcPr>
            <w:tcW w:w="2002" w:type="dxa"/>
            <w:shd w:val="clear" w:color="auto" w:fill="auto"/>
          </w:tcPr>
          <w:p w14:paraId="5DE9547E" w14:textId="77777777" w:rsidR="00CE7AB0" w:rsidRPr="005C77F0" w:rsidRDefault="00CE7AB0" w:rsidP="002778E1">
            <w:pPr>
              <w:pStyle w:val="Tabletext"/>
            </w:pPr>
            <w:r w:rsidRPr="005C77F0">
              <w:t>Wild harvest</w:t>
            </w:r>
          </w:p>
        </w:tc>
        <w:tc>
          <w:tcPr>
            <w:tcW w:w="7068" w:type="dxa"/>
            <w:shd w:val="clear" w:color="auto" w:fill="auto"/>
          </w:tcPr>
          <w:p w14:paraId="5B5B4B00" w14:textId="77777777" w:rsidR="00CE7AB0" w:rsidRPr="005C77F0" w:rsidRDefault="00CE7AB0" w:rsidP="002778E1">
            <w:pPr>
              <w:pStyle w:val="Tabletext"/>
            </w:pPr>
            <w:r w:rsidRPr="005C77F0">
              <w:t>Any harvest from naturally occurring wild stands of protected or threatened plants on property of which the licensee is the owner.</w:t>
            </w:r>
          </w:p>
        </w:tc>
      </w:tr>
      <w:tr w:rsidR="00CE7AB0" w:rsidRPr="005C77F0" w14:paraId="560B48F6" w14:textId="77777777" w:rsidTr="00966905">
        <w:tc>
          <w:tcPr>
            <w:tcW w:w="2002" w:type="dxa"/>
            <w:shd w:val="clear" w:color="auto" w:fill="auto"/>
          </w:tcPr>
          <w:p w14:paraId="6F624786" w14:textId="77777777" w:rsidR="00CE7AB0" w:rsidRPr="005C77F0" w:rsidRDefault="00CE7AB0" w:rsidP="002778E1">
            <w:pPr>
              <w:pStyle w:val="Tabletext"/>
            </w:pPr>
            <w:r w:rsidRPr="005C77F0">
              <w:t>Wild harvester</w:t>
            </w:r>
          </w:p>
        </w:tc>
        <w:tc>
          <w:tcPr>
            <w:tcW w:w="7068" w:type="dxa"/>
            <w:shd w:val="clear" w:color="auto" w:fill="auto"/>
          </w:tcPr>
          <w:p w14:paraId="285EC07D" w14:textId="77777777" w:rsidR="00CE7AB0" w:rsidRPr="005C77F0" w:rsidRDefault="00CE7AB0" w:rsidP="002778E1">
            <w:pPr>
              <w:pStyle w:val="Tabletext"/>
            </w:pPr>
            <w:r w:rsidRPr="005C77F0">
              <w:t xml:space="preserve">A person or company, licensed under of the </w:t>
            </w:r>
            <w:r>
              <w:t xml:space="preserve">BC </w:t>
            </w:r>
            <w:r w:rsidRPr="005C77F0">
              <w:t xml:space="preserve">Act to harvest from naturally occurring stands of native vegetation on property owned by the </w:t>
            </w:r>
            <w:r>
              <w:t>licensee</w:t>
            </w:r>
            <w:r w:rsidRPr="005C77F0">
              <w:t xml:space="preserve">. Harvest from land where the person occupies the land under lease is to be dealt with as for an approved harvester licence. </w:t>
            </w:r>
          </w:p>
        </w:tc>
      </w:tr>
      <w:tr w:rsidR="00CE7AB0" w:rsidRPr="005C77F0" w14:paraId="05DC849A" w14:textId="77777777" w:rsidTr="00966905">
        <w:tc>
          <w:tcPr>
            <w:tcW w:w="2002" w:type="dxa"/>
            <w:shd w:val="clear" w:color="auto" w:fill="auto"/>
          </w:tcPr>
          <w:p w14:paraId="09FADF23" w14:textId="77777777" w:rsidR="00CE7AB0" w:rsidRPr="005C77F0" w:rsidRDefault="00CE7AB0" w:rsidP="002778E1">
            <w:pPr>
              <w:pStyle w:val="Tabletext"/>
            </w:pPr>
            <w:r w:rsidRPr="005C77F0">
              <w:t>WTMP</w:t>
            </w:r>
          </w:p>
        </w:tc>
        <w:tc>
          <w:tcPr>
            <w:tcW w:w="7068" w:type="dxa"/>
            <w:shd w:val="clear" w:color="auto" w:fill="auto"/>
          </w:tcPr>
          <w:p w14:paraId="784EE60D" w14:textId="77777777" w:rsidR="00CE7AB0" w:rsidRPr="005C77F0" w:rsidRDefault="00CE7AB0" w:rsidP="002778E1">
            <w:pPr>
              <w:pStyle w:val="Tabletext"/>
            </w:pPr>
            <w:r w:rsidRPr="005C77F0">
              <w:t xml:space="preserve">Wildlife Trade Management Plan approved under the </w:t>
            </w:r>
            <w:r w:rsidRPr="00966905">
              <w:rPr>
                <w:i/>
              </w:rPr>
              <w:t>Environment Protection and Biodiversity Conservation Act 1999</w:t>
            </w:r>
            <w:r w:rsidRPr="005C77F0">
              <w:t>.</w:t>
            </w:r>
          </w:p>
        </w:tc>
      </w:tr>
    </w:tbl>
    <w:p w14:paraId="77D7AF6E" w14:textId="77777777" w:rsidR="00CE7AB0" w:rsidRDefault="00CE7AB0" w:rsidP="00FC388E"/>
    <w:p w14:paraId="2872049A" w14:textId="77777777" w:rsidR="00CE7AB0" w:rsidRPr="00F106A5" w:rsidRDefault="00CE7AB0" w:rsidP="00FC388E">
      <w:pPr>
        <w:sectPr w:rsidR="00CE7AB0" w:rsidRPr="00F106A5" w:rsidSect="00CE7AB0">
          <w:footerReference w:type="default" r:id="rId23"/>
          <w:pgSz w:w="11906" w:h="16838" w:code="9"/>
          <w:pgMar w:top="1418" w:right="1418" w:bottom="1418" w:left="1418" w:header="567" w:footer="567" w:gutter="0"/>
          <w:pgNumType w:fmt="lowerRoman" w:start="1"/>
          <w:cols w:space="708"/>
          <w:docGrid w:linePitch="360"/>
        </w:sectPr>
      </w:pPr>
      <w:bookmarkStart w:id="26" w:name="_Toc273008482"/>
      <w:bookmarkStart w:id="27" w:name="_Toc283984782"/>
    </w:p>
    <w:p w14:paraId="39274251" w14:textId="77777777" w:rsidR="00CE7AB0" w:rsidRPr="00966905" w:rsidRDefault="00CE7AB0" w:rsidP="00A66212">
      <w:pPr>
        <w:pStyle w:val="Heading1"/>
        <w:numPr>
          <w:ilvl w:val="0"/>
          <w:numId w:val="35"/>
        </w:numPr>
      </w:pPr>
      <w:bookmarkStart w:id="28" w:name="_Toc301869606"/>
      <w:bookmarkStart w:id="29" w:name="_Toc328986809"/>
      <w:bookmarkStart w:id="30" w:name="_Toc328988018"/>
      <w:bookmarkStart w:id="31" w:name="_Toc328988101"/>
      <w:bookmarkStart w:id="32" w:name="_Toc328988182"/>
      <w:bookmarkStart w:id="33" w:name="_Toc328990996"/>
      <w:bookmarkStart w:id="34" w:name="_Toc328991476"/>
      <w:bookmarkStart w:id="35" w:name="_Toc492379075"/>
      <w:bookmarkStart w:id="36" w:name="_Toc494449560"/>
      <w:r w:rsidRPr="00966905">
        <w:lastRenderedPageBreak/>
        <w:t>Introduction</w:t>
      </w:r>
      <w:bookmarkEnd w:id="26"/>
      <w:bookmarkEnd w:id="27"/>
      <w:bookmarkEnd w:id="28"/>
      <w:bookmarkEnd w:id="29"/>
      <w:bookmarkEnd w:id="30"/>
      <w:bookmarkEnd w:id="31"/>
      <w:bookmarkEnd w:id="32"/>
      <w:bookmarkEnd w:id="33"/>
      <w:bookmarkEnd w:id="34"/>
      <w:bookmarkEnd w:id="35"/>
      <w:bookmarkEnd w:id="36"/>
    </w:p>
    <w:p w14:paraId="3227E402" w14:textId="77777777" w:rsidR="00CE7AB0" w:rsidRPr="00FC388E" w:rsidRDefault="00CE7AB0" w:rsidP="00FC388E">
      <w:r w:rsidRPr="00FC388E">
        <w:t>While the proportion of protected plants sourced from artificially propagated sources is rising, a large number of protected plants are still collected from the wild. For many species, this poses little threat to their ongoing conservation. However, for some species in high demand such as grass trees (</w:t>
      </w:r>
      <w:r w:rsidRPr="002B05F9">
        <w:rPr>
          <w:i/>
        </w:rPr>
        <w:t>Xanthorrhoea</w:t>
      </w:r>
      <w:r w:rsidRPr="00FC388E">
        <w:t xml:space="preserve"> species), wild harvest is of concern due to potential overharvesting and illegal collection from the wild. </w:t>
      </w:r>
    </w:p>
    <w:p w14:paraId="3F62FE9D" w14:textId="77777777" w:rsidR="00CE7AB0" w:rsidRPr="00483567" w:rsidRDefault="00CE7AB0" w:rsidP="00FC388E">
      <w:pPr>
        <w:pStyle w:val="BodyText"/>
      </w:pPr>
      <w:r w:rsidRPr="00483567">
        <w:t xml:space="preserve">Harvesting plants from the wild can pose risks to both the harvest site itself and the conservation of </w:t>
      </w:r>
      <w:r w:rsidRPr="00483567">
        <w:rPr>
          <w:i/>
        </w:rPr>
        <w:t>in situ</w:t>
      </w:r>
      <w:r w:rsidRPr="00483567">
        <w:t xml:space="preserve"> native plant populations including the:</w:t>
      </w:r>
    </w:p>
    <w:p w14:paraId="53CE975D" w14:textId="77777777" w:rsidR="00CE7AB0" w:rsidRPr="0060179C" w:rsidRDefault="00CE7AB0" w:rsidP="005B0FCA">
      <w:pPr>
        <w:pStyle w:val="Bulletlist"/>
        <w:numPr>
          <w:ilvl w:val="0"/>
          <w:numId w:val="43"/>
        </w:numPr>
        <w:rPr>
          <w:rFonts w:eastAsiaTheme="minorHAnsi" w:cstheme="minorBidi"/>
          <w:color w:val="231F20" w:themeColor="text1"/>
          <w:lang w:eastAsia="en-US"/>
        </w:rPr>
      </w:pPr>
      <w:r w:rsidRPr="0060179C">
        <w:rPr>
          <w:rFonts w:eastAsiaTheme="minorHAnsi" w:cstheme="minorBidi"/>
          <w:color w:val="231F20" w:themeColor="text1"/>
          <w:lang w:eastAsia="en-US"/>
        </w:rPr>
        <w:t xml:space="preserve">removal of soil, nutrients, biomass and </w:t>
      </w:r>
      <w:r w:rsidR="0060179C" w:rsidRPr="0060179C">
        <w:rPr>
          <w:rFonts w:eastAsiaTheme="minorHAnsi" w:cstheme="minorBidi"/>
          <w:color w:val="231F20" w:themeColor="text1"/>
          <w:lang w:eastAsia="en-US"/>
        </w:rPr>
        <w:t>animal</w:t>
      </w:r>
      <w:r w:rsidRPr="0060179C">
        <w:rPr>
          <w:rFonts w:eastAsiaTheme="minorHAnsi" w:cstheme="minorBidi"/>
          <w:color w:val="231F20" w:themeColor="text1"/>
          <w:lang w:eastAsia="en-US"/>
        </w:rPr>
        <w:t xml:space="preserve"> habitat</w:t>
      </w:r>
    </w:p>
    <w:p w14:paraId="3791ABD1" w14:textId="77777777" w:rsidR="00CE7AB0" w:rsidRPr="0060179C" w:rsidRDefault="00CE7AB0" w:rsidP="005B0FCA">
      <w:pPr>
        <w:pStyle w:val="Bulletlist"/>
        <w:numPr>
          <w:ilvl w:val="0"/>
          <w:numId w:val="43"/>
        </w:numPr>
        <w:rPr>
          <w:rFonts w:eastAsiaTheme="minorHAnsi" w:cstheme="minorBidi"/>
          <w:color w:val="231F20" w:themeColor="text1"/>
          <w:lang w:eastAsia="en-US"/>
        </w:rPr>
      </w:pPr>
      <w:r w:rsidRPr="0060179C">
        <w:rPr>
          <w:rFonts w:eastAsiaTheme="minorHAnsi" w:cstheme="minorBidi"/>
          <w:color w:val="231F20" w:themeColor="text1"/>
          <w:lang w:eastAsia="en-US"/>
        </w:rPr>
        <w:t>introduction of pathogens and weeds</w:t>
      </w:r>
    </w:p>
    <w:p w14:paraId="6A795361" w14:textId="77777777" w:rsidR="00CE7AB0" w:rsidRPr="0060179C" w:rsidRDefault="00CE7AB0" w:rsidP="005B0FCA">
      <w:pPr>
        <w:pStyle w:val="Bulletlist"/>
        <w:numPr>
          <w:ilvl w:val="0"/>
          <w:numId w:val="43"/>
        </w:numPr>
        <w:rPr>
          <w:rFonts w:eastAsiaTheme="minorHAnsi" w:cstheme="minorBidi"/>
          <w:color w:val="231F20" w:themeColor="text1"/>
          <w:lang w:eastAsia="en-US"/>
        </w:rPr>
      </w:pPr>
      <w:r w:rsidRPr="0060179C">
        <w:rPr>
          <w:rFonts w:eastAsiaTheme="minorHAnsi" w:cstheme="minorBidi"/>
          <w:color w:val="231F20" w:themeColor="text1"/>
          <w:lang w:eastAsia="en-US"/>
        </w:rPr>
        <w:t>reduction in genetic diversity within harvested populations</w:t>
      </w:r>
    </w:p>
    <w:p w14:paraId="4B80A401" w14:textId="77777777" w:rsidR="00CE7AB0" w:rsidRPr="0060179C" w:rsidRDefault="00CE7AB0" w:rsidP="005B0FCA">
      <w:pPr>
        <w:pStyle w:val="Bulletlist"/>
        <w:numPr>
          <w:ilvl w:val="0"/>
          <w:numId w:val="43"/>
        </w:numPr>
        <w:rPr>
          <w:rFonts w:eastAsiaTheme="minorHAnsi" w:cstheme="minorBidi"/>
          <w:color w:val="231F20" w:themeColor="text1"/>
          <w:lang w:eastAsia="en-US"/>
        </w:rPr>
      </w:pPr>
      <w:r w:rsidRPr="0060179C">
        <w:rPr>
          <w:rFonts w:eastAsiaTheme="minorHAnsi" w:cstheme="minorBidi"/>
          <w:color w:val="231F20" w:themeColor="text1"/>
          <w:lang w:eastAsia="en-US"/>
        </w:rPr>
        <w:t>introduction of threats to non-target species or populations through habitat modification</w:t>
      </w:r>
    </w:p>
    <w:p w14:paraId="21208631" w14:textId="77777777" w:rsidR="00CE7AB0" w:rsidRPr="0060179C" w:rsidRDefault="00CE7AB0" w:rsidP="005B0FCA">
      <w:pPr>
        <w:pStyle w:val="Bulletlist"/>
        <w:numPr>
          <w:ilvl w:val="0"/>
          <w:numId w:val="43"/>
        </w:numPr>
        <w:rPr>
          <w:rFonts w:eastAsiaTheme="minorHAnsi" w:cstheme="minorBidi"/>
          <w:color w:val="231F20" w:themeColor="text1"/>
          <w:lang w:eastAsia="en-US"/>
        </w:rPr>
      </w:pPr>
      <w:r w:rsidRPr="0060179C">
        <w:rPr>
          <w:rFonts w:eastAsiaTheme="minorHAnsi" w:cstheme="minorBidi"/>
          <w:color w:val="231F20" w:themeColor="text1"/>
          <w:lang w:eastAsia="en-US"/>
        </w:rPr>
        <w:t>decreased reproduction or recruitment of species through the removal of plant reproductive parts</w:t>
      </w:r>
    </w:p>
    <w:p w14:paraId="77C8D8BE" w14:textId="77777777" w:rsidR="00CE7AB0" w:rsidRPr="0060179C" w:rsidRDefault="00CE7AB0" w:rsidP="005B0FCA">
      <w:pPr>
        <w:pStyle w:val="Bulletlist"/>
        <w:numPr>
          <w:ilvl w:val="0"/>
          <w:numId w:val="43"/>
        </w:numPr>
        <w:rPr>
          <w:rFonts w:eastAsiaTheme="minorHAnsi" w:cstheme="minorBidi"/>
          <w:color w:val="231F20" w:themeColor="text1"/>
          <w:lang w:eastAsia="en-US"/>
        </w:rPr>
      </w:pPr>
      <w:proofErr w:type="gramStart"/>
      <w:r w:rsidRPr="0060179C">
        <w:rPr>
          <w:rFonts w:eastAsiaTheme="minorHAnsi" w:cstheme="minorBidi"/>
          <w:color w:val="231F20" w:themeColor="text1"/>
          <w:lang w:eastAsia="en-US"/>
        </w:rPr>
        <w:t>modification</w:t>
      </w:r>
      <w:proofErr w:type="gramEnd"/>
      <w:r w:rsidRPr="0060179C">
        <w:rPr>
          <w:rFonts w:eastAsiaTheme="minorHAnsi" w:cstheme="minorBidi"/>
          <w:color w:val="231F20" w:themeColor="text1"/>
          <w:lang w:eastAsia="en-US"/>
        </w:rPr>
        <w:t xml:space="preserve"> of abiotic (non-living) factors that influence a species or population.</w:t>
      </w:r>
    </w:p>
    <w:p w14:paraId="6F2FF425" w14:textId="77777777" w:rsidR="00CE7AB0" w:rsidRPr="00483567" w:rsidRDefault="00CE7AB0" w:rsidP="00FC388E">
      <w:pPr>
        <w:pStyle w:val="BodyText"/>
      </w:pPr>
      <w:r w:rsidRPr="00483567">
        <w:t>Illegal harvesting practices can also reduce the viability of legitimate harvesters in the industry, compromising plant quality and undermining consumer confidence in native plant products.</w:t>
      </w:r>
    </w:p>
    <w:p w14:paraId="1DB62ADA" w14:textId="77777777" w:rsidR="00CE7AB0" w:rsidRPr="00483567" w:rsidRDefault="00CE7AB0" w:rsidP="00FC388E">
      <w:pPr>
        <w:pStyle w:val="BodyText"/>
      </w:pPr>
      <w:r w:rsidRPr="00483567">
        <w:t xml:space="preserve">As the lead environmental agency in NSW, the Office of Environment and Heritage (OEH) </w:t>
      </w:r>
      <w:r>
        <w:t xml:space="preserve">works </w:t>
      </w:r>
      <w:r w:rsidRPr="00483567">
        <w:t xml:space="preserve">with industry, other agencies and the community to protect and manage the </w:t>
      </w:r>
      <w:r>
        <w:t xml:space="preserve">commercial </w:t>
      </w:r>
      <w:r w:rsidRPr="00483567">
        <w:t>use of whole protected native plants through licensing and other credible regulatory tools.</w:t>
      </w:r>
    </w:p>
    <w:p w14:paraId="7096A6F6" w14:textId="77777777" w:rsidR="00CE7AB0" w:rsidRDefault="00CE7AB0" w:rsidP="00FC388E">
      <w:pPr>
        <w:pStyle w:val="BodyText"/>
      </w:pPr>
      <w:r w:rsidRPr="00483567">
        <w:t xml:space="preserve">OEH issues licences under the </w:t>
      </w:r>
      <w:r w:rsidRPr="0067407C">
        <w:rPr>
          <w:i/>
        </w:rPr>
        <w:t>Biodiversity Conservation Act 2016</w:t>
      </w:r>
      <w:r>
        <w:t xml:space="preserve"> (BC Act)</w:t>
      </w:r>
      <w:r w:rsidRPr="00483567">
        <w:t xml:space="preserve"> to persons seeking to </w:t>
      </w:r>
      <w:r>
        <w:t xml:space="preserve">harvest or </w:t>
      </w:r>
      <w:r w:rsidRPr="00483567">
        <w:t xml:space="preserve">grow whole protected plants for commercial purposes. </w:t>
      </w:r>
    </w:p>
    <w:p w14:paraId="5E902D4B" w14:textId="77777777" w:rsidR="00CE7AB0" w:rsidRPr="00483567" w:rsidRDefault="00CE7AB0" w:rsidP="00FC388E">
      <w:pPr>
        <w:pStyle w:val="BodyText"/>
      </w:pPr>
      <w:r w:rsidRPr="00483567">
        <w:t>This management plan refines and consolidates the existing licensing framework to deliver on two objectives: first that regulation is targeted toward species at risk from unsustainable harvesting and second that best practice management is applied consistently across NSW.</w:t>
      </w:r>
    </w:p>
    <w:p w14:paraId="5C266EE3" w14:textId="77777777" w:rsidR="00CE7AB0" w:rsidRPr="00483567" w:rsidRDefault="00CE7AB0" w:rsidP="00FC388E">
      <w:pPr>
        <w:pStyle w:val="BodyText"/>
      </w:pPr>
      <w:r w:rsidRPr="00483567">
        <w:t>This plan describes the legislative framework, including:</w:t>
      </w:r>
    </w:p>
    <w:p w14:paraId="4978CFBC" w14:textId="77777777" w:rsidR="00CE7AB0" w:rsidRPr="000F554E" w:rsidRDefault="00CE7AB0" w:rsidP="00774965">
      <w:pPr>
        <w:pStyle w:val="ListBullet"/>
      </w:pPr>
      <w:r w:rsidRPr="000F554E">
        <w:t xml:space="preserve">how it fulfils </w:t>
      </w:r>
      <w:r>
        <w:t xml:space="preserve">Australian Government </w:t>
      </w:r>
      <w:r w:rsidRPr="000F554E">
        <w:t>requirements for a wildlife trade management plan (section 3)</w:t>
      </w:r>
    </w:p>
    <w:p w14:paraId="3AC62DE6" w14:textId="77777777" w:rsidR="00CE7AB0" w:rsidRPr="00483567" w:rsidRDefault="00CE7AB0" w:rsidP="00774965">
      <w:pPr>
        <w:pStyle w:val="ListBullet"/>
      </w:pPr>
      <w:r w:rsidRPr="00483567">
        <w:t xml:space="preserve">the types of licences that can be issued for the harvest and cultivation of plants and how and where they may </w:t>
      </w:r>
      <w:r w:rsidRPr="00774965">
        <w:t>operate</w:t>
      </w:r>
      <w:r w:rsidRPr="00483567">
        <w:t xml:space="preserve"> (section 4)</w:t>
      </w:r>
    </w:p>
    <w:p w14:paraId="5FDB98C9" w14:textId="77777777" w:rsidR="00CE7AB0" w:rsidRPr="00483567" w:rsidRDefault="00CE7AB0" w:rsidP="00774965">
      <w:pPr>
        <w:pStyle w:val="ListBullet"/>
      </w:pPr>
      <w:r w:rsidRPr="00483567">
        <w:t xml:space="preserve">the factors governing the placement of protected whole plants into Schedule </w:t>
      </w:r>
      <w:r>
        <w:t>6</w:t>
      </w:r>
      <w:r w:rsidRPr="00483567">
        <w:t xml:space="preserve"> of the </w:t>
      </w:r>
      <w:r w:rsidRPr="0060179C">
        <w:t>BC Act</w:t>
      </w:r>
      <w:r w:rsidRPr="00483567">
        <w:t xml:space="preserve"> and how they apply to each licence type (section 5) </w:t>
      </w:r>
    </w:p>
    <w:p w14:paraId="068134C2" w14:textId="77777777" w:rsidR="00CE7AB0" w:rsidRPr="00483567" w:rsidRDefault="00CE7AB0" w:rsidP="00774965">
      <w:pPr>
        <w:pStyle w:val="ListBullet"/>
      </w:pPr>
      <w:proofErr w:type="gramStart"/>
      <w:r>
        <w:t>a</w:t>
      </w:r>
      <w:r w:rsidRPr="00483567">
        <w:t>n</w:t>
      </w:r>
      <w:proofErr w:type="gramEnd"/>
      <w:r w:rsidRPr="00483567">
        <w:t xml:space="preserve"> outline of all the detailed operational matters that need to be taken into consideration by licensees (Appendices B</w:t>
      </w:r>
      <w:r>
        <w:t xml:space="preserve"> to </w:t>
      </w:r>
      <w:r w:rsidRPr="00483567">
        <w:t>L).</w:t>
      </w:r>
    </w:p>
    <w:p w14:paraId="25D1B2DF" w14:textId="77777777" w:rsidR="00CE7AB0" w:rsidRPr="00483567" w:rsidRDefault="00CE7AB0" w:rsidP="00FC388E">
      <w:pPr>
        <w:pStyle w:val="BodyText"/>
      </w:pPr>
      <w:r w:rsidRPr="00483567">
        <w:t>The plan is an educational resource designed to raise awareness among industry stakeholders and the broader community of the range of issues affecting the management and conservation of protected and threatened plant</w:t>
      </w:r>
      <w:r>
        <w:t xml:space="preserve"> species that are sued </w:t>
      </w:r>
      <w:r w:rsidRPr="00483567">
        <w:t>used commercially.</w:t>
      </w:r>
    </w:p>
    <w:p w14:paraId="78C7D7EB" w14:textId="77777777" w:rsidR="00CE7AB0" w:rsidRPr="00483567" w:rsidRDefault="00CE7AB0" w:rsidP="00FC388E">
      <w:pPr>
        <w:pStyle w:val="BodyText"/>
      </w:pPr>
      <w:r w:rsidRPr="00483567">
        <w:t xml:space="preserve">Fundamental to this plan’s success is correctly identifying any species being traded. Licensees, OEH staff and the broader industry are encouraged to seek professional assistance in identifying any plants subject to this plan. </w:t>
      </w:r>
    </w:p>
    <w:p w14:paraId="25B35A71" w14:textId="77777777" w:rsidR="00CE7AB0" w:rsidRDefault="00CE7AB0" w:rsidP="00FC388E">
      <w:pPr>
        <w:pStyle w:val="BodyText"/>
      </w:pPr>
      <w:r w:rsidRPr="00483567">
        <w:lastRenderedPageBreak/>
        <w:t xml:space="preserve">Throughout this plan the nomenclature is consistent with that published on the </w:t>
      </w:r>
      <w:proofErr w:type="spellStart"/>
      <w:r w:rsidRPr="00483567">
        <w:t>PlantNET</w:t>
      </w:r>
      <w:proofErr w:type="spellEnd"/>
      <w:r w:rsidRPr="00483567">
        <w:t xml:space="preserve"> website, New South Wales FLORA online and is current at the date of publication (</w:t>
      </w:r>
      <w:r w:rsidRPr="00232D0E">
        <w:t>see</w:t>
      </w:r>
      <w:r w:rsidRPr="00483567">
        <w:t xml:space="preserve"> </w:t>
      </w:r>
      <w:hyperlink r:id="rId24" w:history="1">
        <w:proofErr w:type="spellStart"/>
        <w:r w:rsidR="00774965">
          <w:rPr>
            <w:rStyle w:val="Hyperlink"/>
          </w:rPr>
          <w:t>PlantNET</w:t>
        </w:r>
        <w:proofErr w:type="spellEnd"/>
        <w:r w:rsidR="00774965">
          <w:rPr>
            <w:rStyle w:val="Hyperlink"/>
          </w:rPr>
          <w:t xml:space="preserve"> –</w:t>
        </w:r>
        <w:r w:rsidR="00D81239">
          <w:rPr>
            <w:rStyle w:val="Hyperlink"/>
          </w:rPr>
          <w:t xml:space="preserve"> NSW </w:t>
        </w:r>
        <w:proofErr w:type="spellStart"/>
        <w:r w:rsidR="00D81239">
          <w:rPr>
            <w:rStyle w:val="Hyperlink"/>
          </w:rPr>
          <w:t>FloraOnline</w:t>
        </w:r>
        <w:proofErr w:type="spellEnd"/>
      </w:hyperlink>
      <w:r w:rsidRPr="00483567">
        <w:t xml:space="preserve">). </w:t>
      </w:r>
      <w:bookmarkStart w:id="37" w:name="_Toc273008486"/>
      <w:bookmarkStart w:id="38" w:name="_Toc283984783"/>
      <w:bookmarkStart w:id="39" w:name="_Toc301869607"/>
      <w:bookmarkStart w:id="40" w:name="_Toc328986810"/>
      <w:bookmarkStart w:id="41" w:name="_Toc328988019"/>
      <w:bookmarkStart w:id="42" w:name="_Toc328988102"/>
      <w:bookmarkStart w:id="43" w:name="_Toc328988183"/>
      <w:bookmarkStart w:id="44" w:name="_Toc328990997"/>
      <w:bookmarkStart w:id="45" w:name="_Toc328991477"/>
    </w:p>
    <w:p w14:paraId="6CA1757E" w14:textId="77777777" w:rsidR="00CE7AB0" w:rsidRDefault="00CE7AB0" w:rsidP="00FC388E">
      <w:pPr>
        <w:pStyle w:val="BodyText"/>
      </w:pPr>
      <w:r>
        <w:t>This plan</w:t>
      </w:r>
      <w:r w:rsidRPr="00F93B90">
        <w:t xml:space="preserve"> supersedes </w:t>
      </w:r>
      <w:r w:rsidRPr="00C2065A">
        <w:t xml:space="preserve">the </w:t>
      </w:r>
      <w:r>
        <w:t>Commercial Harvest, Salvage and Propagation of Protected Whole Plants: Sustainable</w:t>
      </w:r>
      <w:r w:rsidRPr="00F93B90">
        <w:t xml:space="preserve"> </w:t>
      </w:r>
      <w:r>
        <w:t>M</w:t>
      </w:r>
      <w:r w:rsidRPr="00F93B90">
        <w:t>anagement Plan 20</w:t>
      </w:r>
      <w:r>
        <w:t>13</w:t>
      </w:r>
      <w:r w:rsidR="00774965">
        <w:t>–</w:t>
      </w:r>
      <w:r>
        <w:t xml:space="preserve">17 </w:t>
      </w:r>
      <w:r w:rsidRPr="00F93B90">
        <w:t xml:space="preserve">that was approved by the </w:t>
      </w:r>
      <w:r>
        <w:t xml:space="preserve">Australian </w:t>
      </w:r>
      <w:r w:rsidRPr="00F93B90">
        <w:t>Government in 20</w:t>
      </w:r>
      <w:r>
        <w:t>13</w:t>
      </w:r>
      <w:r w:rsidRPr="00F93B90">
        <w:t>.</w:t>
      </w:r>
    </w:p>
    <w:p w14:paraId="092557D1" w14:textId="77777777" w:rsidR="00CE7AB0" w:rsidRPr="00774965" w:rsidRDefault="00CE7AB0" w:rsidP="00A66212">
      <w:pPr>
        <w:pStyle w:val="Heading1"/>
        <w:numPr>
          <w:ilvl w:val="0"/>
          <w:numId w:val="35"/>
        </w:numPr>
      </w:pPr>
      <w:r>
        <w:br w:type="page"/>
      </w:r>
      <w:bookmarkStart w:id="46" w:name="_Toc492379076"/>
      <w:bookmarkStart w:id="47" w:name="_Toc494449561"/>
      <w:r w:rsidRPr="00774965">
        <w:lastRenderedPageBreak/>
        <w:t>Objectives</w:t>
      </w:r>
      <w:bookmarkEnd w:id="37"/>
      <w:bookmarkEnd w:id="38"/>
      <w:bookmarkEnd w:id="39"/>
      <w:bookmarkEnd w:id="40"/>
      <w:bookmarkEnd w:id="41"/>
      <w:bookmarkEnd w:id="42"/>
      <w:bookmarkEnd w:id="43"/>
      <w:bookmarkEnd w:id="44"/>
      <w:bookmarkEnd w:id="45"/>
      <w:bookmarkEnd w:id="46"/>
      <w:bookmarkEnd w:id="47"/>
    </w:p>
    <w:p w14:paraId="78A695E9" w14:textId="77777777" w:rsidR="00CE7AB0" w:rsidRPr="00483567" w:rsidRDefault="00CE7AB0" w:rsidP="00FC388E">
      <w:pPr>
        <w:pStyle w:val="BodyText"/>
      </w:pPr>
      <w:r w:rsidRPr="00483567">
        <w:t>The objectives of this plan are to:</w:t>
      </w:r>
    </w:p>
    <w:p w14:paraId="29D1F332" w14:textId="77777777" w:rsidR="00CE7AB0" w:rsidRPr="00483567" w:rsidRDefault="00CE7AB0" w:rsidP="00774965">
      <w:pPr>
        <w:pStyle w:val="ListBullet"/>
      </w:pPr>
      <w:r w:rsidRPr="00483567">
        <w:t>establish a risk</w:t>
      </w:r>
      <w:r>
        <w:t>-</w:t>
      </w:r>
      <w:r w:rsidRPr="00483567">
        <w:t>based framework of regulation that focuses effort on higher risk activities and reduces or removes the regulatory burden on low-risk activities or industries</w:t>
      </w:r>
    </w:p>
    <w:p w14:paraId="766BA033" w14:textId="77777777" w:rsidR="00CE7AB0" w:rsidRPr="00BC6285" w:rsidRDefault="00CE7AB0" w:rsidP="00774965">
      <w:pPr>
        <w:pStyle w:val="ListBullet"/>
      </w:pPr>
      <w:r w:rsidRPr="00BC6285">
        <w:t>provide guidance to OEH staff, people working in the whole plant industry and the general public about the management protocols for harvest</w:t>
      </w:r>
      <w:r>
        <w:t>ing</w:t>
      </w:r>
      <w:r w:rsidRPr="00BC6285">
        <w:t>, stor</w:t>
      </w:r>
      <w:r>
        <w:t>ing</w:t>
      </w:r>
      <w:r w:rsidRPr="00BC6285">
        <w:t>, propagati</w:t>
      </w:r>
      <w:r>
        <w:t>ng</w:t>
      </w:r>
      <w:r w:rsidRPr="00BC6285">
        <w:t xml:space="preserve"> and </w:t>
      </w:r>
      <w:r>
        <w:t>selling</w:t>
      </w:r>
      <w:r w:rsidRPr="00BC6285">
        <w:t xml:space="preserve"> protected whole plants </w:t>
      </w:r>
    </w:p>
    <w:p w14:paraId="19EDB8F8" w14:textId="77777777" w:rsidR="00CE7AB0" w:rsidRPr="00483567" w:rsidRDefault="00CE7AB0" w:rsidP="00774965">
      <w:pPr>
        <w:pStyle w:val="ListBullet"/>
      </w:pPr>
      <w:r w:rsidRPr="00483567">
        <w:t>manage the sustainable harvest of protected whole plant species by land owners for commercial use, where the species, age or size classes are not readily available in cultivation</w:t>
      </w:r>
    </w:p>
    <w:p w14:paraId="4FDDC00F" w14:textId="77777777" w:rsidR="00CE7AB0" w:rsidRPr="00483567" w:rsidRDefault="00CE7AB0" w:rsidP="00774965">
      <w:pPr>
        <w:pStyle w:val="ListBullet"/>
      </w:pPr>
      <w:r w:rsidRPr="00483567">
        <w:t>manage the commercial use of whole plants obtained from sustainable harvest and salvage situations, where the species are not available in cultivation</w:t>
      </w:r>
      <w:r>
        <w:t>,</w:t>
      </w:r>
      <w:r w:rsidRPr="00483567">
        <w:t xml:space="preserve"> and limit the commercial use of salvage material where equivalent material is available in cultivation</w:t>
      </w:r>
    </w:p>
    <w:p w14:paraId="091DE19C" w14:textId="77777777" w:rsidR="00CE7AB0" w:rsidRPr="00BC6285" w:rsidRDefault="00CE7AB0" w:rsidP="00774965">
      <w:pPr>
        <w:pStyle w:val="ListBullet"/>
      </w:pPr>
      <w:r w:rsidRPr="00BC6285">
        <w:t>provide protocols for collecting and using the seeds from protected plants for commercial purposes</w:t>
      </w:r>
    </w:p>
    <w:p w14:paraId="5A64CF33" w14:textId="77777777" w:rsidR="00CE7AB0" w:rsidRPr="00483567" w:rsidRDefault="00CE7AB0" w:rsidP="00774965">
      <w:pPr>
        <w:pStyle w:val="ListBullet"/>
      </w:pPr>
      <w:r w:rsidRPr="00483567">
        <w:t>facilitate the reuse of vegetation resources within development approvals</w:t>
      </w:r>
    </w:p>
    <w:p w14:paraId="686DB3D6" w14:textId="77777777" w:rsidR="00CE7AB0" w:rsidRPr="00483567" w:rsidRDefault="00CE7AB0" w:rsidP="00774965">
      <w:pPr>
        <w:pStyle w:val="ListBullet"/>
      </w:pPr>
      <w:r w:rsidRPr="00483567">
        <w:t>support the transition to artificial propagation of protected plant species thereby maintaining wild populations of high-value products and reducing long-term incremental loss</w:t>
      </w:r>
    </w:p>
    <w:p w14:paraId="5399108D" w14:textId="77777777" w:rsidR="00CE7AB0" w:rsidRPr="00483567" w:rsidRDefault="00CE7AB0" w:rsidP="00774965">
      <w:pPr>
        <w:pStyle w:val="ListBullet"/>
      </w:pPr>
      <w:r w:rsidRPr="00483567">
        <w:t>provide guidelines and protocols which allow sustainable commercial use of protected whole plants</w:t>
      </w:r>
    </w:p>
    <w:p w14:paraId="321CDC12" w14:textId="77777777" w:rsidR="00CE7AB0" w:rsidRPr="00483567" w:rsidRDefault="00CE7AB0" w:rsidP="00774965">
      <w:pPr>
        <w:pStyle w:val="ListBullet"/>
      </w:pPr>
      <w:r w:rsidRPr="00483567">
        <w:t>support research by providing access to data collected through the licensing system</w:t>
      </w:r>
    </w:p>
    <w:p w14:paraId="18337921" w14:textId="77777777" w:rsidR="00CE7AB0" w:rsidRDefault="00CE7AB0" w:rsidP="00774965">
      <w:pPr>
        <w:pStyle w:val="ListBullet"/>
      </w:pPr>
      <w:proofErr w:type="gramStart"/>
      <w:r w:rsidRPr="00483567">
        <w:t>establish</w:t>
      </w:r>
      <w:proofErr w:type="gramEnd"/>
      <w:r w:rsidRPr="00483567">
        <w:t xml:space="preserve"> a management regime in NSW that complies with the </w:t>
      </w:r>
      <w:r>
        <w:t xml:space="preserve">Australian Government </w:t>
      </w:r>
      <w:r w:rsidRPr="00483567">
        <w:t>requirements for a wildlife trade management plan (WTMP) and an artificial propagation (AP) program.</w:t>
      </w:r>
    </w:p>
    <w:p w14:paraId="09BAB19F" w14:textId="77777777" w:rsidR="00CE7AB0" w:rsidRPr="00F47793" w:rsidRDefault="00CE7AB0" w:rsidP="00F7444D">
      <w:pPr>
        <w:pStyle w:val="Heading1"/>
      </w:pPr>
      <w:bookmarkStart w:id="48" w:name="_Toc269105355"/>
      <w:bookmarkStart w:id="49" w:name="_Toc269105425"/>
      <w:bookmarkStart w:id="50" w:name="_Toc269105495"/>
      <w:bookmarkStart w:id="51" w:name="_Toc269105565"/>
      <w:bookmarkStart w:id="52" w:name="_Toc269105724"/>
      <w:bookmarkEnd w:id="48"/>
      <w:bookmarkEnd w:id="49"/>
      <w:bookmarkEnd w:id="50"/>
      <w:bookmarkEnd w:id="51"/>
      <w:bookmarkEnd w:id="52"/>
      <w:r w:rsidRPr="00483567">
        <w:br w:type="page"/>
      </w:r>
      <w:bookmarkStart w:id="53" w:name="_Toc268078726"/>
      <w:bookmarkStart w:id="54" w:name="_Toc269105433"/>
      <w:bookmarkStart w:id="55" w:name="_Toc269105503"/>
      <w:bookmarkStart w:id="56" w:name="_Toc269105732"/>
      <w:bookmarkStart w:id="57" w:name="_Toc283984784"/>
      <w:bookmarkStart w:id="58" w:name="_Toc301869608"/>
      <w:bookmarkStart w:id="59" w:name="_Toc328986811"/>
      <w:bookmarkStart w:id="60" w:name="_Toc328988020"/>
      <w:bookmarkStart w:id="61" w:name="_Toc328988103"/>
      <w:bookmarkStart w:id="62" w:name="_Toc328988184"/>
      <w:bookmarkStart w:id="63" w:name="_Toc328990998"/>
      <w:bookmarkStart w:id="64" w:name="_Toc328991478"/>
      <w:bookmarkStart w:id="65" w:name="_Toc492379077"/>
      <w:bookmarkStart w:id="66" w:name="_Toc494449562"/>
      <w:r w:rsidRPr="00F47793">
        <w:lastRenderedPageBreak/>
        <w:t xml:space="preserve">Legislative </w:t>
      </w:r>
      <w:bookmarkEnd w:id="53"/>
      <w:bookmarkEnd w:id="54"/>
      <w:bookmarkEnd w:id="55"/>
      <w:bookmarkEnd w:id="56"/>
      <w:bookmarkEnd w:id="57"/>
      <w:r w:rsidRPr="00F47793">
        <w:t>framework</w:t>
      </w:r>
      <w:bookmarkEnd w:id="58"/>
      <w:bookmarkEnd w:id="59"/>
      <w:bookmarkEnd w:id="60"/>
      <w:bookmarkEnd w:id="61"/>
      <w:bookmarkEnd w:id="62"/>
      <w:bookmarkEnd w:id="63"/>
      <w:bookmarkEnd w:id="64"/>
      <w:bookmarkEnd w:id="65"/>
      <w:bookmarkEnd w:id="66"/>
    </w:p>
    <w:p w14:paraId="5A3CD0F0" w14:textId="77777777" w:rsidR="00CE7AB0" w:rsidRPr="00F47793" w:rsidRDefault="00CE7AB0" w:rsidP="00D72936">
      <w:pPr>
        <w:pStyle w:val="Heading2"/>
        <w:rPr>
          <w:rStyle w:val="StyleHeading2Italic2Char"/>
          <w:rFonts w:eastAsiaTheme="majorEastAsia" w:cstheme="majorBidi"/>
          <w:b/>
          <w:bCs/>
          <w:i w:val="0"/>
          <w:iCs w:val="0"/>
          <w:snapToGrid/>
          <w:color w:val="3B5731"/>
          <w:kern w:val="0"/>
          <w:sz w:val="32"/>
          <w:szCs w:val="26"/>
        </w:rPr>
      </w:pPr>
      <w:bookmarkStart w:id="67" w:name="_Toc328991479"/>
      <w:bookmarkStart w:id="68" w:name="_Toc492379078"/>
      <w:bookmarkStart w:id="69" w:name="_Toc494449563"/>
      <w:r w:rsidRPr="00F47793">
        <w:rPr>
          <w:rStyle w:val="StyleHeading2Italic2Char"/>
          <w:rFonts w:eastAsiaTheme="majorEastAsia" w:cstheme="majorBidi"/>
          <w:b/>
          <w:bCs/>
          <w:i w:val="0"/>
          <w:iCs w:val="0"/>
          <w:snapToGrid/>
          <w:color w:val="3B5731"/>
          <w:kern w:val="0"/>
          <w:sz w:val="32"/>
          <w:szCs w:val="26"/>
        </w:rPr>
        <w:t>Commonwealth legislation</w:t>
      </w:r>
      <w:bookmarkEnd w:id="67"/>
      <w:bookmarkEnd w:id="68"/>
      <w:bookmarkEnd w:id="69"/>
    </w:p>
    <w:p w14:paraId="6A287F85" w14:textId="77777777" w:rsidR="00CE7AB0" w:rsidRPr="00D53CC6" w:rsidRDefault="00CE7AB0" w:rsidP="00D53CC6">
      <w:pPr>
        <w:pStyle w:val="Heading3"/>
      </w:pPr>
      <w:r w:rsidRPr="00D53CC6">
        <w:t>Environment Protection and Biodiversity Conservation Act 1999</w:t>
      </w:r>
    </w:p>
    <w:p w14:paraId="2EB10695" w14:textId="77777777" w:rsidR="00CE7AB0" w:rsidRPr="00483567" w:rsidRDefault="00CE7AB0" w:rsidP="00F47793">
      <w:pPr>
        <w:pStyle w:val="BodyText"/>
      </w:pPr>
      <w:r w:rsidRPr="005C4457">
        <w:t xml:space="preserve">The </w:t>
      </w:r>
      <w:r w:rsidR="00F47793" w:rsidRPr="00F47793">
        <w:rPr>
          <w:rStyle w:val="HTMLAcronym"/>
          <w:i/>
          <w:lang w:val="en"/>
        </w:rPr>
        <w:t>Environment Protection and Biodiversity Conservation Act 1999</w:t>
      </w:r>
      <w:r w:rsidR="00F47793" w:rsidRPr="00F47793">
        <w:rPr>
          <w:rStyle w:val="HTMLAcronym"/>
          <w:lang w:val="en"/>
        </w:rPr>
        <w:t xml:space="preserve"> (EPBC Act)</w:t>
      </w:r>
      <w:r w:rsidR="00F47793">
        <w:rPr>
          <w:rStyle w:val="HTMLAcronym"/>
          <w:lang w:val="en"/>
        </w:rPr>
        <w:t xml:space="preserve"> </w:t>
      </w:r>
      <w:r w:rsidRPr="005C4457">
        <w:t>provides a legal framework for protecting and managing nationally and</w:t>
      </w:r>
      <w:r w:rsidRPr="00483567">
        <w:t xml:space="preserve"> internationally important flora, fauna, ecological communities and heritage places.</w:t>
      </w:r>
      <w:r>
        <w:t xml:space="preserve"> </w:t>
      </w:r>
    </w:p>
    <w:p w14:paraId="58563FDE" w14:textId="77777777" w:rsidR="00CE7AB0" w:rsidRPr="00483567" w:rsidRDefault="00CE7AB0" w:rsidP="00FC388E">
      <w:pPr>
        <w:pStyle w:val="BodyText"/>
      </w:pPr>
      <w:r w:rsidRPr="00483567">
        <w:t xml:space="preserve">It allows management arrangements to be established that protect, conserve and manage a plant or animal under a </w:t>
      </w:r>
      <w:r w:rsidR="00F47793" w:rsidRPr="00F47793">
        <w:t>wildlife trade management plan (WTMP)</w:t>
      </w:r>
      <w:r w:rsidRPr="00483567">
        <w:t xml:space="preserve"> or an </w:t>
      </w:r>
      <w:r w:rsidR="00F47793" w:rsidRPr="00F47793">
        <w:t xml:space="preserve">artificial propagation (AP) program </w:t>
      </w:r>
      <w:r w:rsidRPr="00483567">
        <w:t>where there is commercial use of native species. Species or products sourced under these plans and programs are eligible for an export permit.</w:t>
      </w:r>
    </w:p>
    <w:p w14:paraId="7FDD1B42" w14:textId="7D40FA0E" w:rsidR="00CE7AB0" w:rsidRDefault="00CE7AB0" w:rsidP="00FC388E">
      <w:pPr>
        <w:pStyle w:val="BodyText"/>
      </w:pPr>
      <w:r w:rsidRPr="00483567">
        <w:t xml:space="preserve">This management plan meets the EPBC Act requirements for a WTMP and the proposed regime for </w:t>
      </w:r>
      <w:r>
        <w:rPr>
          <w:lang w:val="en-US"/>
        </w:rPr>
        <w:t>BC</w:t>
      </w:r>
      <w:r w:rsidRPr="00483567">
        <w:rPr>
          <w:lang w:val="en-US"/>
        </w:rPr>
        <w:t xml:space="preserve"> Act</w:t>
      </w:r>
      <w:r w:rsidRPr="00483567">
        <w:t xml:space="preserve"> grower licences meets the requirements for an AP program. Approval of</w:t>
      </w:r>
      <w:r>
        <w:t> </w:t>
      </w:r>
      <w:r w:rsidRPr="00483567">
        <w:t xml:space="preserve">this plan by the Commonwealth </w:t>
      </w:r>
      <w:r>
        <w:t>Department of Environment and Energy</w:t>
      </w:r>
      <w:r w:rsidRPr="00483567">
        <w:t xml:space="preserve"> </w:t>
      </w:r>
      <w:r>
        <w:t>(</w:t>
      </w:r>
      <w:proofErr w:type="spellStart"/>
      <w:r>
        <w:t>DoEE</w:t>
      </w:r>
      <w:proofErr w:type="spellEnd"/>
      <w:r>
        <w:t xml:space="preserve">) </w:t>
      </w:r>
      <w:r w:rsidRPr="00483567">
        <w:t>means the export requirements for both wild harvested and propagated plants will be reduced on providing a copy of the appropriate NSW licence. Further information on the commercial export of regulated plants is available on</w:t>
      </w:r>
      <w:r w:rsidR="001E605D">
        <w:t xml:space="preserve"> the</w:t>
      </w:r>
      <w:r w:rsidRPr="00483567">
        <w:t xml:space="preserve"> </w:t>
      </w:r>
      <w:hyperlink r:id="rId25" w:history="1">
        <w:proofErr w:type="spellStart"/>
        <w:r w:rsidR="0060494E">
          <w:rPr>
            <w:rStyle w:val="Hyperlink"/>
          </w:rPr>
          <w:t>DoEE</w:t>
        </w:r>
        <w:proofErr w:type="spellEnd"/>
        <w:r w:rsidR="0060494E">
          <w:rPr>
            <w:rStyle w:val="Hyperlink"/>
          </w:rPr>
          <w:t xml:space="preserve"> website</w:t>
        </w:r>
      </w:hyperlink>
      <w:r w:rsidRPr="0066349C">
        <w:t>.</w:t>
      </w:r>
    </w:p>
    <w:p w14:paraId="606BBD98" w14:textId="77777777" w:rsidR="00CE7AB0" w:rsidRPr="0064596B" w:rsidRDefault="00CE7AB0" w:rsidP="00D53CC6">
      <w:pPr>
        <w:pStyle w:val="Heading3"/>
      </w:pPr>
      <w:r w:rsidRPr="0064596B">
        <w:t>Plant Breeders Rights Act 1994</w:t>
      </w:r>
    </w:p>
    <w:p w14:paraId="20554B8F" w14:textId="77777777" w:rsidR="00CE7AB0" w:rsidRPr="00483567" w:rsidRDefault="00CE7AB0" w:rsidP="00FC388E">
      <w:pPr>
        <w:pStyle w:val="BodyText"/>
      </w:pPr>
      <w:r w:rsidRPr="00483567">
        <w:t xml:space="preserve">The </w:t>
      </w:r>
      <w:r w:rsidR="00F47793" w:rsidRPr="00F47793">
        <w:rPr>
          <w:i/>
        </w:rPr>
        <w:t>Plant Breeders Rights Act 1994</w:t>
      </w:r>
      <w:r w:rsidR="00F47793" w:rsidRPr="00F47793">
        <w:t xml:space="preserve"> </w:t>
      </w:r>
      <w:r w:rsidR="00F47793">
        <w:t>(</w:t>
      </w:r>
      <w:r w:rsidRPr="00483567">
        <w:t>PBR Act</w:t>
      </w:r>
      <w:r w:rsidR="00F47793">
        <w:t>)</w:t>
      </w:r>
      <w:r w:rsidRPr="00483567">
        <w:t xml:space="preserve"> allows Australia-wide proprietary rights to be granted to breeders of new varieties or cultivars of plants and fungi.</w:t>
      </w:r>
    </w:p>
    <w:p w14:paraId="0340708A" w14:textId="77777777" w:rsidR="00CE7AB0" w:rsidRPr="00483567" w:rsidRDefault="00CE7AB0" w:rsidP="00FC388E">
      <w:pPr>
        <w:pStyle w:val="BodyText"/>
      </w:pPr>
      <w:r w:rsidRPr="00483567">
        <w:t xml:space="preserve">A licence under this plan will not be required for growing plant material that has been accepted under the PBR Act. However, it will be the responsibility of the applicant to demonstrate the status of PBR Act material. It is an offence under this Act to use material without the approval of the owner of the property. It is also an offence for anyone to claim PBR Act protection when they do not have such protection. </w:t>
      </w:r>
    </w:p>
    <w:p w14:paraId="5A2A0B77" w14:textId="77777777" w:rsidR="00CE7AB0" w:rsidRPr="00F47793" w:rsidRDefault="00CE7AB0" w:rsidP="00D72936">
      <w:pPr>
        <w:pStyle w:val="Heading2"/>
        <w:rPr>
          <w:rStyle w:val="StyleHeading2Italic2Char"/>
          <w:rFonts w:eastAsiaTheme="majorEastAsia" w:cstheme="majorBidi"/>
          <w:b/>
          <w:bCs/>
          <w:i w:val="0"/>
          <w:iCs w:val="0"/>
          <w:snapToGrid/>
          <w:color w:val="3B5731"/>
          <w:kern w:val="0"/>
          <w:sz w:val="32"/>
          <w:szCs w:val="26"/>
        </w:rPr>
      </w:pPr>
      <w:bookmarkStart w:id="70" w:name="_Toc328991480"/>
      <w:bookmarkStart w:id="71" w:name="_Toc492379081"/>
      <w:bookmarkStart w:id="72" w:name="_Toc494449564"/>
      <w:r w:rsidRPr="00F47793">
        <w:rPr>
          <w:rStyle w:val="StyleHeading2Italic2Char"/>
          <w:rFonts w:eastAsiaTheme="majorEastAsia" w:cstheme="majorBidi"/>
          <w:b/>
          <w:bCs/>
          <w:i w:val="0"/>
          <w:iCs w:val="0"/>
          <w:snapToGrid/>
          <w:color w:val="3B5731"/>
          <w:kern w:val="0"/>
          <w:sz w:val="32"/>
          <w:szCs w:val="26"/>
        </w:rPr>
        <w:t>NSW Legislation</w:t>
      </w:r>
      <w:bookmarkEnd w:id="70"/>
      <w:bookmarkEnd w:id="71"/>
      <w:bookmarkEnd w:id="72"/>
    </w:p>
    <w:p w14:paraId="1A06A9F4" w14:textId="77777777" w:rsidR="00CE7AB0" w:rsidRPr="0060494E" w:rsidRDefault="00CE7AB0" w:rsidP="00D53CC6">
      <w:pPr>
        <w:pStyle w:val="Heading3"/>
      </w:pPr>
      <w:bookmarkStart w:id="73" w:name="_Toc268078728"/>
      <w:bookmarkStart w:id="74" w:name="_Toc269105435"/>
      <w:bookmarkStart w:id="75" w:name="_Toc269105505"/>
      <w:bookmarkStart w:id="76" w:name="_Toc269105734"/>
      <w:bookmarkStart w:id="77" w:name="_Toc301869609"/>
      <w:bookmarkStart w:id="78" w:name="_Toc328986812"/>
      <w:bookmarkStart w:id="79" w:name="_Toc328988021"/>
      <w:bookmarkStart w:id="80" w:name="_Toc328988104"/>
      <w:bookmarkStart w:id="81" w:name="_Toc328988185"/>
      <w:bookmarkStart w:id="82" w:name="_Toc328990999"/>
      <w:bookmarkStart w:id="83" w:name="_Toc328991481"/>
      <w:r w:rsidRPr="0060494E">
        <w:t>Biodiversity Conservation Act 2016</w:t>
      </w:r>
    </w:p>
    <w:p w14:paraId="0CB2B855" w14:textId="77777777" w:rsidR="00CE7AB0" w:rsidRDefault="00CE7AB0" w:rsidP="00FC388E">
      <w:pPr>
        <w:pStyle w:val="BodyText"/>
      </w:pPr>
      <w:r>
        <w:t xml:space="preserve">The </w:t>
      </w:r>
      <w:r w:rsidR="0064596B" w:rsidRPr="0064596B">
        <w:rPr>
          <w:i/>
        </w:rPr>
        <w:t>Biodiversity Conservation Act 2016</w:t>
      </w:r>
      <w:r w:rsidR="0064596B" w:rsidRPr="0064596B">
        <w:t xml:space="preserve"> (BC Act)</w:t>
      </w:r>
      <w:r w:rsidR="0064596B">
        <w:t xml:space="preserve"> </w:t>
      </w:r>
      <w:r>
        <w:t xml:space="preserve">commenced on the 25 August 2017 and replaced the </w:t>
      </w:r>
      <w:r w:rsidRPr="00775C85">
        <w:rPr>
          <w:i/>
        </w:rPr>
        <w:t>Threatened Species Conservation Act 1995</w:t>
      </w:r>
      <w:r>
        <w:t xml:space="preserve"> and parts of the </w:t>
      </w:r>
      <w:r w:rsidRPr="00775C85">
        <w:rPr>
          <w:i/>
        </w:rPr>
        <w:t>National Parks and Wildlife Act 1974</w:t>
      </w:r>
      <w:r>
        <w:t xml:space="preserve"> relating to native plant and animal protection and licensing.</w:t>
      </w:r>
    </w:p>
    <w:p w14:paraId="3F563B51" w14:textId="4F3AD600" w:rsidR="00CE7AB0" w:rsidRDefault="00CE7AB0" w:rsidP="00FC388E">
      <w:pPr>
        <w:pStyle w:val="BodyText"/>
      </w:pPr>
      <w:r>
        <w:t xml:space="preserve">Under the BC Act, it is an offence to pick and sell plants that are threatened species, or protected plants, unless it is authorised by an exemption in the Act or </w:t>
      </w:r>
      <w:r w:rsidR="007217EC">
        <w:t>Biodiversity Conservation R</w:t>
      </w:r>
      <w:r>
        <w:t>egulation</w:t>
      </w:r>
      <w:r w:rsidR="007217EC">
        <w:t xml:space="preserve"> 2017 (BC Regulation)</w:t>
      </w:r>
      <w:r>
        <w:t xml:space="preserve">, or authorised under a licence issued by </w:t>
      </w:r>
      <w:r w:rsidR="0064596B" w:rsidRPr="0064596B">
        <w:t>Office of Environment and Heritage (OEH)</w:t>
      </w:r>
      <w:r>
        <w:t>.</w:t>
      </w:r>
    </w:p>
    <w:p w14:paraId="6A2E733B" w14:textId="77777777" w:rsidR="00CE7AB0" w:rsidRDefault="00CE7AB0" w:rsidP="00FC388E">
      <w:pPr>
        <w:pStyle w:val="BodyText"/>
      </w:pPr>
      <w:r>
        <w:t xml:space="preserve">Threatened species are listed in </w:t>
      </w:r>
      <w:r>
        <w:rPr>
          <w:lang w:val="en-US"/>
        </w:rPr>
        <w:t xml:space="preserve">Schedule 1 of the BC Act and </w:t>
      </w:r>
      <w:r w:rsidRPr="00483567">
        <w:t>protected plants</w:t>
      </w:r>
      <w:r>
        <w:t xml:space="preserve"> are listed </w:t>
      </w:r>
      <w:r w:rsidRPr="00483567">
        <w:t xml:space="preserve">in Schedule </w:t>
      </w:r>
      <w:r>
        <w:t>6</w:t>
      </w:r>
      <w:r w:rsidRPr="00483567">
        <w:t xml:space="preserve"> of the </w:t>
      </w:r>
      <w:r>
        <w:rPr>
          <w:lang w:val="en-US"/>
        </w:rPr>
        <w:t xml:space="preserve">BC </w:t>
      </w:r>
      <w:r w:rsidRPr="00483567">
        <w:rPr>
          <w:lang w:val="en-US"/>
        </w:rPr>
        <w:t>Act</w:t>
      </w:r>
      <w:r>
        <w:rPr>
          <w:lang w:val="en-US"/>
        </w:rPr>
        <w:t xml:space="preserve">.  </w:t>
      </w:r>
      <w:r w:rsidRPr="00483567">
        <w:t xml:space="preserve">Schedule </w:t>
      </w:r>
      <w:r>
        <w:t>6</w:t>
      </w:r>
      <w:r w:rsidRPr="00483567">
        <w:t xml:space="preserve"> </w:t>
      </w:r>
      <w:r>
        <w:t xml:space="preserve">is divided into plants used in the cut-flower industry (Part 1) and whole plants (Part 2). </w:t>
      </w:r>
    </w:p>
    <w:p w14:paraId="1307925A" w14:textId="77777777" w:rsidR="00CE7AB0" w:rsidRPr="00483567" w:rsidRDefault="00CE7AB0" w:rsidP="00FC388E">
      <w:pPr>
        <w:pStyle w:val="BodyText"/>
      </w:pPr>
      <w:r w:rsidRPr="00483567">
        <w:t xml:space="preserve">Under the </w:t>
      </w:r>
      <w:r>
        <w:rPr>
          <w:lang w:val="en-US"/>
        </w:rPr>
        <w:t>BC</w:t>
      </w:r>
      <w:r w:rsidRPr="00483567">
        <w:rPr>
          <w:lang w:val="en-US"/>
        </w:rPr>
        <w:t xml:space="preserve"> Act</w:t>
      </w:r>
      <w:r w:rsidRPr="00483567">
        <w:t>, there are no restrictions on the commercial use of plants not listed in Schedule</w:t>
      </w:r>
      <w:r>
        <w:t>s 1 or</w:t>
      </w:r>
      <w:r w:rsidRPr="00483567">
        <w:t xml:space="preserve"> </w:t>
      </w:r>
      <w:r>
        <w:t xml:space="preserve">6, or </w:t>
      </w:r>
      <w:r w:rsidRPr="00483567">
        <w:t>on the non-commercial use of plants listed in the schedule</w:t>
      </w:r>
      <w:r>
        <w:t>s</w:t>
      </w:r>
      <w:r w:rsidRPr="00483567">
        <w:t>.</w:t>
      </w:r>
    </w:p>
    <w:p w14:paraId="24863A19" w14:textId="77777777" w:rsidR="00CE7AB0" w:rsidRPr="00483567" w:rsidRDefault="00CE7AB0" w:rsidP="00FC388E">
      <w:pPr>
        <w:pStyle w:val="BodyText"/>
      </w:pPr>
      <w:r w:rsidRPr="00483567">
        <w:t xml:space="preserve">Under </w:t>
      </w:r>
      <w:r>
        <w:t>clause</w:t>
      </w:r>
      <w:r w:rsidRPr="00483567">
        <w:t xml:space="preserve"> </w:t>
      </w:r>
      <w:r>
        <w:t>2.31</w:t>
      </w:r>
      <w:r w:rsidRPr="00483567">
        <w:t xml:space="preserve"> of the </w:t>
      </w:r>
      <w:r>
        <w:rPr>
          <w:lang w:val="en-US"/>
        </w:rPr>
        <w:t>BC Regulation</w:t>
      </w:r>
      <w:r w:rsidRPr="00483567">
        <w:t xml:space="preserve">, OEH may prepare management plans </w:t>
      </w:r>
      <w:r>
        <w:t xml:space="preserve">for </w:t>
      </w:r>
      <w:r w:rsidRPr="00483567">
        <w:t xml:space="preserve">commercial use of protected plants to ensure both their sustainable use and </w:t>
      </w:r>
      <w:r>
        <w:t xml:space="preserve">the </w:t>
      </w:r>
      <w:r w:rsidRPr="00483567">
        <w:t xml:space="preserve">preservation </w:t>
      </w:r>
      <w:r w:rsidRPr="00483567">
        <w:lastRenderedPageBreak/>
        <w:t>of wild populations. When preparing a management plan, the following matters must be taken into consideration:</w:t>
      </w:r>
    </w:p>
    <w:p w14:paraId="4C6F9BC9" w14:textId="77777777" w:rsidR="00CE7AB0" w:rsidRPr="00483567" w:rsidRDefault="00CE7AB0" w:rsidP="0064596B">
      <w:pPr>
        <w:pStyle w:val="ListBullet"/>
      </w:pPr>
      <w:r w:rsidRPr="00483567">
        <w:t>ecology of the species</w:t>
      </w:r>
    </w:p>
    <w:p w14:paraId="70B84B87" w14:textId="77777777" w:rsidR="00CE7AB0" w:rsidRPr="00483567" w:rsidRDefault="00CE7AB0" w:rsidP="0064596B">
      <w:pPr>
        <w:pStyle w:val="ListBullet"/>
      </w:pPr>
      <w:r w:rsidRPr="00483567">
        <w:t>sustainability of the proposed management regime</w:t>
      </w:r>
    </w:p>
    <w:p w14:paraId="69366E41" w14:textId="77777777" w:rsidR="00CE7AB0" w:rsidRPr="00483567" w:rsidRDefault="00CE7AB0" w:rsidP="0064596B">
      <w:pPr>
        <w:pStyle w:val="ListBullet"/>
      </w:pPr>
      <w:r w:rsidRPr="00483567">
        <w:t>Aboriginal cultural practices</w:t>
      </w:r>
      <w:r>
        <w:t xml:space="preserve"> in relation to the species</w:t>
      </w:r>
    </w:p>
    <w:p w14:paraId="6830A953" w14:textId="77777777" w:rsidR="00CE7AB0" w:rsidRPr="00483567" w:rsidRDefault="00CE7AB0" w:rsidP="0064596B">
      <w:pPr>
        <w:pStyle w:val="ListBullet"/>
      </w:pPr>
      <w:r w:rsidRPr="00483567">
        <w:t xml:space="preserve">whether limits need to be </w:t>
      </w:r>
      <w:r>
        <w:t>placed</w:t>
      </w:r>
      <w:r w:rsidRPr="00483567">
        <w:t xml:space="preserve"> on the number of licences that may be </w:t>
      </w:r>
      <w:r>
        <w:t>granted</w:t>
      </w:r>
      <w:r w:rsidRPr="00483567">
        <w:t xml:space="preserve"> for a commercial activity if a licence is required </w:t>
      </w:r>
      <w:r>
        <w:t>for that</w:t>
      </w:r>
      <w:r w:rsidRPr="00483567">
        <w:t xml:space="preserve"> activity</w:t>
      </w:r>
    </w:p>
    <w:p w14:paraId="2DDCBCB4" w14:textId="77777777" w:rsidR="00CE7AB0" w:rsidRPr="00483567" w:rsidRDefault="00CE7AB0" w:rsidP="0064596B">
      <w:pPr>
        <w:pStyle w:val="ListBullet"/>
      </w:pPr>
      <w:r>
        <w:t xml:space="preserve">whether it is necessary to </w:t>
      </w:r>
      <w:r w:rsidRPr="00483567">
        <w:t>monitor the</w:t>
      </w:r>
      <w:r>
        <w:t xml:space="preserve"> commercial</w:t>
      </w:r>
      <w:r w:rsidRPr="00483567">
        <w:t xml:space="preserve"> activity</w:t>
      </w:r>
    </w:p>
    <w:p w14:paraId="08402048" w14:textId="77777777" w:rsidR="00CE7AB0" w:rsidRPr="00483567" w:rsidRDefault="00CE7AB0" w:rsidP="0064596B">
      <w:pPr>
        <w:pStyle w:val="ListBullet"/>
      </w:pPr>
      <w:proofErr w:type="gramStart"/>
      <w:r w:rsidRPr="00483567">
        <w:t>any</w:t>
      </w:r>
      <w:proofErr w:type="gramEnd"/>
      <w:r w:rsidRPr="00483567">
        <w:t xml:space="preserve"> other matters that the</w:t>
      </w:r>
      <w:r>
        <w:t xml:space="preserve"> Environment Agency Head</w:t>
      </w:r>
      <w:r w:rsidRPr="00483567">
        <w:rPr>
          <w:sz w:val="19"/>
          <w:szCs w:val="19"/>
        </w:rPr>
        <w:t xml:space="preserve"> </w:t>
      </w:r>
      <w:r w:rsidRPr="00483567">
        <w:t>considers relevant.</w:t>
      </w:r>
    </w:p>
    <w:bookmarkEnd w:id="73"/>
    <w:bookmarkEnd w:id="74"/>
    <w:bookmarkEnd w:id="75"/>
    <w:bookmarkEnd w:id="76"/>
    <w:bookmarkEnd w:id="77"/>
    <w:bookmarkEnd w:id="78"/>
    <w:bookmarkEnd w:id="79"/>
    <w:bookmarkEnd w:id="80"/>
    <w:bookmarkEnd w:id="81"/>
    <w:bookmarkEnd w:id="82"/>
    <w:bookmarkEnd w:id="83"/>
    <w:p w14:paraId="1F232A4C" w14:textId="77777777" w:rsidR="00CE7AB0" w:rsidRPr="0064596B" w:rsidRDefault="00CE7AB0" w:rsidP="00D53CC6">
      <w:pPr>
        <w:pStyle w:val="Heading3"/>
      </w:pPr>
      <w:r w:rsidRPr="0064596B">
        <w:t>Local Land Service Act 2013</w:t>
      </w:r>
    </w:p>
    <w:p w14:paraId="231A6BAB" w14:textId="77777777" w:rsidR="00CE7AB0" w:rsidRDefault="00CE7AB0" w:rsidP="00FC388E">
      <w:pPr>
        <w:pStyle w:val="BodyText"/>
      </w:pPr>
      <w:r>
        <w:t>Part 5A of t</w:t>
      </w:r>
      <w:r w:rsidRPr="008D313E">
        <w:t xml:space="preserve">he </w:t>
      </w:r>
      <w:r w:rsidR="0064596B" w:rsidRPr="0064596B">
        <w:rPr>
          <w:i/>
        </w:rPr>
        <w:t>Local Land Services Act 2013</w:t>
      </w:r>
      <w:r w:rsidR="0064596B" w:rsidRPr="0064596B">
        <w:t xml:space="preserve"> (LLS Act)</w:t>
      </w:r>
      <w:r w:rsidR="0064596B">
        <w:t xml:space="preserve"> </w:t>
      </w:r>
      <w:r w:rsidRPr="008D313E">
        <w:t>regulates the management of native vegetation in rural lands</w:t>
      </w:r>
      <w:r>
        <w:t xml:space="preserve">.  It commenced on 25 August 2017 and replaced the </w:t>
      </w:r>
      <w:r w:rsidRPr="008D313E">
        <w:rPr>
          <w:i/>
        </w:rPr>
        <w:t>Native Vegetation Act 2003</w:t>
      </w:r>
      <w:r>
        <w:t xml:space="preserve">.  </w:t>
      </w:r>
    </w:p>
    <w:p w14:paraId="47A15297" w14:textId="77777777" w:rsidR="00CE7AB0" w:rsidRDefault="00CE7AB0" w:rsidP="00FC388E">
      <w:pPr>
        <w:pStyle w:val="BodyText"/>
      </w:pPr>
      <w:r>
        <w:t>The LLS Act specifies native vegetation clearing activities that may b</w:t>
      </w:r>
      <w:r w:rsidR="0064596B">
        <w:t>e undertaken without approval (‘allowable activities’</w:t>
      </w:r>
      <w:r>
        <w:t xml:space="preserve">), activities that may be undertaken in accordance with a land management code and activities that require approval.  </w:t>
      </w:r>
    </w:p>
    <w:p w14:paraId="12EA5209" w14:textId="77777777" w:rsidR="00CE7AB0" w:rsidRPr="00937116" w:rsidRDefault="00CE7AB0" w:rsidP="00D53CC6">
      <w:pPr>
        <w:pStyle w:val="Heading3"/>
      </w:pPr>
      <w:bookmarkStart w:id="84" w:name="_Toc268078731"/>
      <w:bookmarkStart w:id="85" w:name="_Toc269105438"/>
      <w:bookmarkStart w:id="86" w:name="_Toc269105508"/>
      <w:bookmarkStart w:id="87" w:name="_Toc269105737"/>
      <w:bookmarkStart w:id="88" w:name="_Toc301869612"/>
      <w:bookmarkStart w:id="89" w:name="_Toc328986815"/>
      <w:bookmarkStart w:id="90" w:name="_Toc328988024"/>
      <w:bookmarkStart w:id="91" w:name="_Toc328988107"/>
      <w:bookmarkStart w:id="92" w:name="_Toc328988188"/>
      <w:bookmarkStart w:id="93" w:name="_Toc328991002"/>
      <w:bookmarkStart w:id="94" w:name="_Toc328991484"/>
      <w:r w:rsidRPr="00937116">
        <w:t>Forestry Act 2012</w:t>
      </w:r>
    </w:p>
    <w:p w14:paraId="4259DB51" w14:textId="77777777" w:rsidR="00CE7AB0" w:rsidRDefault="00CE7AB0" w:rsidP="00FC388E">
      <w:pPr>
        <w:pStyle w:val="BodyText"/>
      </w:pPr>
      <w:r>
        <w:t>This Act pro</w:t>
      </w:r>
      <w:r w:rsidR="0064596B">
        <w:t>vides for timber harvesting on c</w:t>
      </w:r>
      <w:r>
        <w:t xml:space="preserve">rown-timber lands, including state forests and timber reserves, and on private land in accordance with private native forestry property vegetation plans. </w:t>
      </w:r>
    </w:p>
    <w:p w14:paraId="0C3F872C" w14:textId="77777777" w:rsidR="00CE7AB0" w:rsidRDefault="00CE7AB0" w:rsidP="00FC388E">
      <w:pPr>
        <w:pStyle w:val="BodyText"/>
      </w:pPr>
      <w:r>
        <w:t xml:space="preserve">This Management Plan provides for the commercial harvesting of whole protected plants and threatened species in state and private native forests. </w:t>
      </w:r>
    </w:p>
    <w:p w14:paraId="7C31672A" w14:textId="77777777" w:rsidR="00CE7AB0" w:rsidRPr="00707F74" w:rsidRDefault="00CE7AB0" w:rsidP="00D53CC6">
      <w:pPr>
        <w:pStyle w:val="Heading3"/>
      </w:pPr>
      <w:r w:rsidRPr="00707F74">
        <w:t>Plantations and Reafforestation Act 1999</w:t>
      </w:r>
      <w:bookmarkEnd w:id="84"/>
      <w:bookmarkEnd w:id="85"/>
      <w:bookmarkEnd w:id="86"/>
      <w:bookmarkEnd w:id="87"/>
      <w:bookmarkEnd w:id="88"/>
      <w:bookmarkEnd w:id="89"/>
      <w:bookmarkEnd w:id="90"/>
      <w:bookmarkEnd w:id="91"/>
      <w:bookmarkEnd w:id="92"/>
      <w:bookmarkEnd w:id="93"/>
      <w:bookmarkEnd w:id="94"/>
    </w:p>
    <w:p w14:paraId="0E4FC1B4" w14:textId="77777777" w:rsidR="00CE7AB0" w:rsidRDefault="00CE7AB0" w:rsidP="00FC388E">
      <w:pPr>
        <w:pStyle w:val="BodyText"/>
      </w:pPr>
      <w:r w:rsidRPr="00483567">
        <w:t xml:space="preserve">Under the </w:t>
      </w:r>
      <w:r w:rsidR="0064596B" w:rsidRPr="0064596B">
        <w:rPr>
          <w:i/>
        </w:rPr>
        <w:t>Plantations and Reafforestation Act</w:t>
      </w:r>
      <w:r w:rsidR="0064596B" w:rsidRPr="0064596B">
        <w:t xml:space="preserve"> 1999 (P&amp;R Act)</w:t>
      </w:r>
      <w:r w:rsidRPr="00483567">
        <w:t xml:space="preserve">, </w:t>
      </w:r>
      <w:r>
        <w:t>plantations</w:t>
      </w:r>
      <w:r w:rsidRPr="00483567">
        <w:t xml:space="preserve"> with </w:t>
      </w:r>
      <w:r>
        <w:t xml:space="preserve">an </w:t>
      </w:r>
      <w:r w:rsidRPr="00483567">
        <w:t xml:space="preserve">area over 30 </w:t>
      </w:r>
      <w:r w:rsidR="0064596B">
        <w:t>hectares</w:t>
      </w:r>
      <w:r w:rsidRPr="00483567">
        <w:t xml:space="preserve">, or with environmental plantings which exceed the exempted area of 30 </w:t>
      </w:r>
      <w:r w:rsidR="0064596B">
        <w:t>hectares</w:t>
      </w:r>
      <w:r w:rsidRPr="00483567">
        <w:t>, require approval from</w:t>
      </w:r>
      <w:r w:rsidR="00463F2B">
        <w:t xml:space="preserve"> the</w:t>
      </w:r>
      <w:r w:rsidRPr="00483567">
        <w:t xml:space="preserve"> Department of </w:t>
      </w:r>
      <w:r>
        <w:t>Industry</w:t>
      </w:r>
      <w:r w:rsidRPr="00483567">
        <w:t>.</w:t>
      </w:r>
      <w:r w:rsidRPr="00DA1C1E">
        <w:t xml:space="preserve">  </w:t>
      </w:r>
    </w:p>
    <w:p w14:paraId="24C6CB38" w14:textId="77777777" w:rsidR="00CE7AB0" w:rsidRPr="00483567" w:rsidRDefault="00CE7AB0" w:rsidP="00FC388E">
      <w:pPr>
        <w:pStyle w:val="BodyText"/>
      </w:pPr>
      <w:r w:rsidRPr="00483567">
        <w:t xml:space="preserve">The harvest of whole protected plants in </w:t>
      </w:r>
      <w:r>
        <w:t xml:space="preserve">timber plantations </w:t>
      </w:r>
      <w:r w:rsidRPr="00483567">
        <w:t>may be regulated under this plan.</w:t>
      </w:r>
    </w:p>
    <w:p w14:paraId="796ED8FD" w14:textId="77777777" w:rsidR="00CE7AB0" w:rsidRPr="00707F74" w:rsidRDefault="00CE7AB0" w:rsidP="00D53CC6">
      <w:pPr>
        <w:pStyle w:val="Heading3"/>
      </w:pPr>
      <w:bookmarkStart w:id="95" w:name="_Toc268078732"/>
      <w:bookmarkStart w:id="96" w:name="_Toc269105439"/>
      <w:bookmarkStart w:id="97" w:name="_Toc269105509"/>
      <w:bookmarkStart w:id="98" w:name="_Toc269105738"/>
      <w:bookmarkStart w:id="99" w:name="_Toc301869613"/>
      <w:bookmarkStart w:id="100" w:name="_Toc328986816"/>
      <w:bookmarkStart w:id="101" w:name="_Toc328988025"/>
      <w:bookmarkStart w:id="102" w:name="_Toc328988108"/>
      <w:bookmarkStart w:id="103" w:name="_Toc328988189"/>
      <w:bookmarkStart w:id="104" w:name="_Toc328991003"/>
      <w:bookmarkStart w:id="105" w:name="_Toc328991485"/>
      <w:r w:rsidRPr="00707F74">
        <w:t>Environmental Planning and Assessment Act 1979</w:t>
      </w:r>
      <w:bookmarkEnd w:id="95"/>
      <w:bookmarkEnd w:id="96"/>
      <w:bookmarkEnd w:id="97"/>
      <w:bookmarkEnd w:id="98"/>
      <w:bookmarkEnd w:id="99"/>
      <w:bookmarkEnd w:id="100"/>
      <w:bookmarkEnd w:id="101"/>
      <w:bookmarkEnd w:id="102"/>
      <w:bookmarkEnd w:id="103"/>
      <w:bookmarkEnd w:id="104"/>
      <w:bookmarkEnd w:id="105"/>
    </w:p>
    <w:p w14:paraId="2C876436" w14:textId="77777777" w:rsidR="00CE7AB0" w:rsidRPr="00483567" w:rsidRDefault="00CE7AB0" w:rsidP="00FC388E">
      <w:pPr>
        <w:pStyle w:val="BodyText"/>
      </w:pPr>
      <w:r w:rsidRPr="00483567">
        <w:rPr>
          <w:color w:val="000000"/>
        </w:rPr>
        <w:t>Th</w:t>
      </w:r>
      <w:r w:rsidRPr="00483567">
        <w:rPr>
          <w:bCs/>
        </w:rPr>
        <w:t>e</w:t>
      </w:r>
      <w:r w:rsidRPr="00483567">
        <w:rPr>
          <w:color w:val="000000"/>
        </w:rPr>
        <w:t xml:space="preserve"> </w:t>
      </w:r>
      <w:r w:rsidR="0064596B" w:rsidRPr="0064596B">
        <w:rPr>
          <w:i/>
          <w:color w:val="000000"/>
        </w:rPr>
        <w:t>Environmental Planning and Assessment Act 1979</w:t>
      </w:r>
      <w:r w:rsidR="0064596B" w:rsidRPr="0064596B">
        <w:rPr>
          <w:color w:val="000000"/>
        </w:rPr>
        <w:t xml:space="preserve"> (EP&amp;A Act) </w:t>
      </w:r>
      <w:r w:rsidRPr="00483567">
        <w:rPr>
          <w:color w:val="000000"/>
        </w:rPr>
        <w:t xml:space="preserve">regulates planning and development in NSW. </w:t>
      </w:r>
      <w:r w:rsidRPr="00483567">
        <w:t xml:space="preserve">Some local environmental plans prepared under this Act may regulate horticultural activities. Growers need to contact their local council to check what is permissible in their area. </w:t>
      </w:r>
    </w:p>
    <w:p w14:paraId="611C40A9" w14:textId="77777777" w:rsidR="00CE7AB0" w:rsidRPr="00483567" w:rsidRDefault="00CE7AB0" w:rsidP="00FC388E">
      <w:pPr>
        <w:pStyle w:val="BodyText"/>
        <w:rPr>
          <w:color w:val="000000"/>
        </w:rPr>
      </w:pPr>
      <w:r>
        <w:t xml:space="preserve">The State Environmental Planning Policy (Vegetation in non-rural areas) </w:t>
      </w:r>
      <w:r w:rsidRPr="00483567">
        <w:t>provide</w:t>
      </w:r>
      <w:r>
        <w:t>s</w:t>
      </w:r>
      <w:r w:rsidRPr="00483567">
        <w:t xml:space="preserve"> protection for trees in areas where the</w:t>
      </w:r>
      <w:r>
        <w:t xml:space="preserve"> LLS Act </w:t>
      </w:r>
      <w:r w:rsidRPr="00483567">
        <w:t xml:space="preserve">does not apply. </w:t>
      </w:r>
      <w:r>
        <w:t xml:space="preserve"> Under this Policy, councils may authorise the clearing of </w:t>
      </w:r>
      <w:r>
        <w:rPr>
          <w:color w:val="000000"/>
        </w:rPr>
        <w:t>native vegetation in non-rural areas</w:t>
      </w:r>
      <w:r w:rsidRPr="00483567">
        <w:rPr>
          <w:color w:val="000000"/>
        </w:rPr>
        <w:t>.</w:t>
      </w:r>
    </w:p>
    <w:p w14:paraId="13E97375" w14:textId="77777777" w:rsidR="00CE7AB0" w:rsidRPr="00707F74" w:rsidRDefault="00CE7AB0" w:rsidP="00D53CC6">
      <w:pPr>
        <w:pStyle w:val="Heading3"/>
      </w:pPr>
      <w:bookmarkStart w:id="106" w:name="_Toc268078733"/>
      <w:bookmarkStart w:id="107" w:name="_Toc269105440"/>
      <w:bookmarkStart w:id="108" w:name="_Toc269105510"/>
      <w:bookmarkStart w:id="109" w:name="_Toc269105739"/>
      <w:bookmarkStart w:id="110" w:name="_Toc301869614"/>
      <w:bookmarkStart w:id="111" w:name="_Toc328986817"/>
      <w:bookmarkStart w:id="112" w:name="_Toc328988026"/>
      <w:bookmarkStart w:id="113" w:name="_Toc328988109"/>
      <w:bookmarkStart w:id="114" w:name="_Toc328988190"/>
      <w:bookmarkStart w:id="115" w:name="_Toc328991004"/>
      <w:bookmarkStart w:id="116" w:name="_Toc328991486"/>
      <w:r w:rsidRPr="00707F74">
        <w:t>Western Lands Act 1901</w:t>
      </w:r>
      <w:bookmarkEnd w:id="106"/>
      <w:bookmarkEnd w:id="107"/>
      <w:bookmarkEnd w:id="108"/>
      <w:bookmarkEnd w:id="109"/>
      <w:bookmarkEnd w:id="110"/>
      <w:bookmarkEnd w:id="111"/>
      <w:bookmarkEnd w:id="112"/>
      <w:bookmarkEnd w:id="113"/>
      <w:bookmarkEnd w:id="114"/>
      <w:bookmarkEnd w:id="115"/>
      <w:bookmarkEnd w:id="116"/>
    </w:p>
    <w:p w14:paraId="7DFEFDBB" w14:textId="77777777" w:rsidR="00CE7AB0" w:rsidRDefault="00CE7AB0" w:rsidP="00FC388E">
      <w:pPr>
        <w:pStyle w:val="BodyText"/>
      </w:pPr>
      <w:r w:rsidRPr="00483567">
        <w:t xml:space="preserve">Holders of leases under this Act may have additional restrictions placed on growing and/or picking native vegetation on their lands. </w:t>
      </w:r>
    </w:p>
    <w:p w14:paraId="3A58F1E9" w14:textId="77777777" w:rsidR="00CE7AB0" w:rsidRPr="00D40BF1" w:rsidRDefault="00CE7AB0" w:rsidP="00D72936">
      <w:pPr>
        <w:pStyle w:val="Heading2"/>
      </w:pPr>
      <w:bookmarkStart w:id="117" w:name="_Toc273008513"/>
      <w:bookmarkStart w:id="118" w:name="_Toc283984833"/>
      <w:bookmarkStart w:id="119" w:name="_Toc301869693"/>
      <w:bookmarkStart w:id="120" w:name="_Toc328986882"/>
      <w:bookmarkStart w:id="121" w:name="_Toc328988092"/>
      <w:bookmarkStart w:id="122" w:name="_Toc328988174"/>
      <w:bookmarkStart w:id="123" w:name="_Toc328988255"/>
      <w:bookmarkStart w:id="124" w:name="_Toc328991069"/>
      <w:bookmarkStart w:id="125" w:name="_Toc328991551"/>
      <w:bookmarkStart w:id="126" w:name="_Toc492379082"/>
      <w:bookmarkStart w:id="127" w:name="_Toc494449565"/>
      <w:r w:rsidRPr="00D40BF1">
        <w:lastRenderedPageBreak/>
        <w:t>Penalties</w:t>
      </w:r>
      <w:bookmarkEnd w:id="117"/>
      <w:bookmarkEnd w:id="118"/>
      <w:bookmarkEnd w:id="119"/>
      <w:bookmarkEnd w:id="120"/>
      <w:bookmarkEnd w:id="121"/>
      <w:bookmarkEnd w:id="122"/>
      <w:bookmarkEnd w:id="123"/>
      <w:bookmarkEnd w:id="124"/>
      <w:bookmarkEnd w:id="125"/>
      <w:bookmarkEnd w:id="126"/>
      <w:bookmarkEnd w:id="127"/>
    </w:p>
    <w:p w14:paraId="01453E9B" w14:textId="77777777" w:rsidR="00CE7AB0" w:rsidRPr="00483567" w:rsidRDefault="00CE7AB0" w:rsidP="00FC388E">
      <w:pPr>
        <w:pStyle w:val="BodyText"/>
      </w:pPr>
      <w:r>
        <w:t xml:space="preserve">The BC Act has significantly increased penalties for </w:t>
      </w:r>
      <w:r w:rsidRPr="00483567">
        <w:t>offences relating to protected and threatened native plants</w:t>
      </w:r>
      <w:r>
        <w:t>.</w:t>
      </w:r>
      <w:r w:rsidRPr="00483567">
        <w:t xml:space="preserve"> The maximum penalties </w:t>
      </w:r>
      <w:r>
        <w:t xml:space="preserve">for the BC Act offences of picking or selling plants that are threatened species and protected plants </w:t>
      </w:r>
      <w:r w:rsidRPr="00483567">
        <w:t>are:</w:t>
      </w:r>
    </w:p>
    <w:p w14:paraId="587F744F" w14:textId="108F7AF2" w:rsidR="00CE7AB0" w:rsidRPr="00483567" w:rsidRDefault="002B05F9" w:rsidP="002B05F9">
      <w:pPr>
        <w:pStyle w:val="ListBullet"/>
      </w:pPr>
      <w:r>
        <w:t>f</w:t>
      </w:r>
      <w:r w:rsidR="00CE7AB0" w:rsidRPr="00483567">
        <w:t xml:space="preserve">or </w:t>
      </w:r>
      <w:r w:rsidR="00CE7AB0">
        <w:t>threatened species, other than vulnerable species</w:t>
      </w:r>
      <w:r>
        <w:t xml:space="preserve">: </w:t>
      </w:r>
      <w:r w:rsidR="00CE7AB0">
        <w:t xml:space="preserve">$330,000 for individuals, </w:t>
      </w:r>
      <w:r w:rsidR="00CE7AB0" w:rsidRPr="00483567">
        <w:t>$</w:t>
      </w:r>
      <w:r w:rsidR="00CE7AB0">
        <w:t>1,650,000 for corporations</w:t>
      </w:r>
      <w:r w:rsidR="00CE7AB0" w:rsidRPr="00483567">
        <w:t xml:space="preserve"> </w:t>
      </w:r>
      <w:r w:rsidR="0064596B">
        <w:t>and/or imprisonment for two</w:t>
      </w:r>
      <w:r w:rsidR="00CE7AB0">
        <w:t xml:space="preserve"> years</w:t>
      </w:r>
    </w:p>
    <w:p w14:paraId="2C9DD6CA" w14:textId="79E69633" w:rsidR="00CE7AB0" w:rsidRDefault="002B05F9" w:rsidP="002B05F9">
      <w:pPr>
        <w:pStyle w:val="ListBullet"/>
      </w:pPr>
      <w:r>
        <w:t>f</w:t>
      </w:r>
      <w:r w:rsidRPr="00483567">
        <w:t xml:space="preserve">or </w:t>
      </w:r>
      <w:r w:rsidR="00CE7AB0" w:rsidRPr="00483567">
        <w:t>vulnerable species: $</w:t>
      </w:r>
      <w:r w:rsidR="00CE7AB0">
        <w:t xml:space="preserve">88,000 for individuals or </w:t>
      </w:r>
      <w:r w:rsidR="00CE7AB0" w:rsidRPr="00483567">
        <w:t>$</w:t>
      </w:r>
      <w:r w:rsidR="00CE7AB0">
        <w:t>440,0</w:t>
      </w:r>
      <w:r w:rsidR="00CE7AB0" w:rsidRPr="00483567">
        <w:t>00</w:t>
      </w:r>
      <w:r w:rsidR="00CE7AB0">
        <w:t xml:space="preserve"> for corporations</w:t>
      </w:r>
    </w:p>
    <w:p w14:paraId="3E45CB64" w14:textId="5E7F750B" w:rsidR="00CE7AB0" w:rsidRPr="00483567" w:rsidRDefault="002B05F9" w:rsidP="002B05F9">
      <w:pPr>
        <w:pStyle w:val="ListBullet"/>
      </w:pPr>
      <w:proofErr w:type="gramStart"/>
      <w:r>
        <w:t>for</w:t>
      </w:r>
      <w:proofErr w:type="gramEnd"/>
      <w:r>
        <w:t xml:space="preserve"> </w:t>
      </w:r>
      <w:r w:rsidR="00CE7AB0">
        <w:t>protected plants: $22,000 for individuals or $110,000 for corporations.</w:t>
      </w:r>
    </w:p>
    <w:p w14:paraId="16988429" w14:textId="77777777" w:rsidR="00CE7AB0" w:rsidRDefault="00CE7AB0" w:rsidP="00FC388E">
      <w:pPr>
        <w:pStyle w:val="BodyText"/>
      </w:pPr>
      <w:r>
        <w:t>The BC Act also provides that additional penalties may apply to these offences, including;</w:t>
      </w:r>
    </w:p>
    <w:p w14:paraId="7412E1A6" w14:textId="77777777" w:rsidR="00CE7AB0" w:rsidRDefault="00CE7AB0" w:rsidP="002B05F9">
      <w:pPr>
        <w:pStyle w:val="ListBullet"/>
      </w:pPr>
      <w:r>
        <w:t>an additional daily penalty of up to 10% of the maximum penalty for eac</w:t>
      </w:r>
      <w:r w:rsidR="0064596B">
        <w:t>h day the offence continues</w:t>
      </w:r>
    </w:p>
    <w:p w14:paraId="13678575" w14:textId="77777777" w:rsidR="00CE7AB0" w:rsidRDefault="00CE7AB0" w:rsidP="002B05F9">
      <w:pPr>
        <w:pStyle w:val="ListBullet"/>
      </w:pPr>
      <w:proofErr w:type="gramStart"/>
      <w:r>
        <w:t>an</w:t>
      </w:r>
      <w:proofErr w:type="gramEnd"/>
      <w:r>
        <w:t xml:space="preserve"> additional penalty of up to 10% of the maximum penalty for each whole plant to which the offence relates.  </w:t>
      </w:r>
    </w:p>
    <w:p w14:paraId="05779F91" w14:textId="77777777" w:rsidR="00CE7AB0" w:rsidRDefault="00CE7AB0" w:rsidP="00FC388E">
      <w:pPr>
        <w:pStyle w:val="BodyText"/>
      </w:pPr>
      <w:r>
        <w:t xml:space="preserve">These offences may also be dealt with by penalty notices (on-the-spot fines).  </w:t>
      </w:r>
      <w:r w:rsidRPr="00483567">
        <w:t>In addition to</w:t>
      </w:r>
      <w:r>
        <w:t xml:space="preserve"> monetary </w:t>
      </w:r>
      <w:r w:rsidRPr="00483567">
        <w:t>penalt</w:t>
      </w:r>
      <w:r>
        <w:t xml:space="preserve">ies, </w:t>
      </w:r>
      <w:r w:rsidRPr="00483567">
        <w:t xml:space="preserve">offenders may be required </w:t>
      </w:r>
      <w:r>
        <w:t xml:space="preserve">by OEH </w:t>
      </w:r>
      <w:r w:rsidRPr="00483567">
        <w:t xml:space="preserve">to </w:t>
      </w:r>
      <w:r>
        <w:t xml:space="preserve">undertake specified remediation work. </w:t>
      </w:r>
    </w:p>
    <w:p w14:paraId="59312AC8" w14:textId="77777777" w:rsidR="00CE7AB0" w:rsidRDefault="00CE7AB0" w:rsidP="00FC388E">
      <w:pPr>
        <w:pStyle w:val="BodyText"/>
      </w:pPr>
      <w:r>
        <w:t xml:space="preserve">The BC Act also provides that OEH may cancel or suspend licences and enables the licensee to appeal to the Land and Environment Court. </w:t>
      </w:r>
    </w:p>
    <w:p w14:paraId="4E4321D5" w14:textId="77777777" w:rsidR="00CE7AB0" w:rsidRDefault="00CE7AB0" w:rsidP="00FC388E">
      <w:pPr>
        <w:pStyle w:val="BodyText"/>
      </w:pPr>
      <w:r>
        <w:t>The BC Regulation applies penalties for non-compliance with requirements relating to the tagging of protected plants and the keeping or production of records relating to dealing in protected plants.</w:t>
      </w:r>
      <w:r w:rsidR="0064596B">
        <w:t xml:space="preserve">  The maximum penalty is $5</w:t>
      </w:r>
      <w:r>
        <w:t xml:space="preserve">500. </w:t>
      </w:r>
    </w:p>
    <w:p w14:paraId="0075C6CB" w14:textId="77777777" w:rsidR="00CE7AB0" w:rsidRPr="00483567" w:rsidRDefault="00CE7AB0" w:rsidP="00FC388E">
      <w:pPr>
        <w:pStyle w:val="BodyText"/>
      </w:pPr>
    </w:p>
    <w:p w14:paraId="41580821" w14:textId="77777777" w:rsidR="00CE7AB0" w:rsidRPr="00537BD1" w:rsidRDefault="00CE7AB0" w:rsidP="00F7444D">
      <w:pPr>
        <w:pStyle w:val="Heading1"/>
      </w:pPr>
      <w:bookmarkStart w:id="128" w:name="_Toc269105378"/>
      <w:bookmarkStart w:id="129" w:name="_Toc269105448"/>
      <w:bookmarkStart w:id="130" w:name="_Toc269105518"/>
      <w:bookmarkStart w:id="131" w:name="_Toc269105579"/>
      <w:bookmarkStart w:id="132" w:name="_Toc269105747"/>
      <w:bookmarkStart w:id="133" w:name="_Toc269105449"/>
      <w:bookmarkStart w:id="134" w:name="_Toc269105519"/>
      <w:bookmarkStart w:id="135" w:name="_Toc269105748"/>
      <w:bookmarkStart w:id="136" w:name="_Toc273008490"/>
      <w:bookmarkStart w:id="137" w:name="_Toc283984785"/>
      <w:bookmarkEnd w:id="128"/>
      <w:bookmarkEnd w:id="129"/>
      <w:bookmarkEnd w:id="130"/>
      <w:bookmarkEnd w:id="131"/>
      <w:bookmarkEnd w:id="132"/>
      <w:bookmarkEnd w:id="133"/>
      <w:bookmarkEnd w:id="134"/>
      <w:bookmarkEnd w:id="135"/>
      <w:r w:rsidRPr="00483567">
        <w:br w:type="page"/>
      </w:r>
      <w:bookmarkStart w:id="138" w:name="_Toc301869615"/>
      <w:bookmarkStart w:id="139" w:name="_Toc328986818"/>
      <w:bookmarkStart w:id="140" w:name="_Toc328988027"/>
      <w:bookmarkStart w:id="141" w:name="_Toc328988110"/>
      <w:bookmarkStart w:id="142" w:name="_Toc328988191"/>
      <w:bookmarkStart w:id="143" w:name="_Toc328991005"/>
      <w:bookmarkStart w:id="144" w:name="_Toc328991487"/>
      <w:bookmarkStart w:id="145" w:name="_Toc492379083"/>
      <w:bookmarkStart w:id="146" w:name="_Toc494449566"/>
      <w:r w:rsidRPr="00537BD1">
        <w:lastRenderedPageBreak/>
        <w:t xml:space="preserve">Policy and </w:t>
      </w:r>
      <w:r w:rsidRPr="00707F74">
        <w:t xml:space="preserve">administrative </w:t>
      </w:r>
      <w:bookmarkEnd w:id="136"/>
      <w:bookmarkEnd w:id="137"/>
      <w:r w:rsidRPr="00707F74">
        <w:t>framework</w:t>
      </w:r>
      <w:bookmarkEnd w:id="138"/>
      <w:bookmarkEnd w:id="139"/>
      <w:bookmarkEnd w:id="140"/>
      <w:bookmarkEnd w:id="141"/>
      <w:bookmarkEnd w:id="142"/>
      <w:bookmarkEnd w:id="143"/>
      <w:bookmarkEnd w:id="144"/>
      <w:bookmarkEnd w:id="145"/>
      <w:bookmarkEnd w:id="146"/>
    </w:p>
    <w:p w14:paraId="693C9E2C" w14:textId="77777777" w:rsidR="00CE7AB0" w:rsidRPr="00707F74" w:rsidRDefault="00CE7AB0" w:rsidP="00D72936">
      <w:pPr>
        <w:pStyle w:val="Heading2"/>
      </w:pPr>
      <w:bookmarkStart w:id="147" w:name="_Toc283984786"/>
      <w:bookmarkStart w:id="148" w:name="_Toc301869616"/>
      <w:bookmarkStart w:id="149" w:name="_Toc328986819"/>
      <w:bookmarkStart w:id="150" w:name="_Toc328988028"/>
      <w:bookmarkStart w:id="151" w:name="_Toc328988111"/>
      <w:bookmarkStart w:id="152" w:name="_Toc328988192"/>
      <w:bookmarkStart w:id="153" w:name="_Toc328991006"/>
      <w:bookmarkStart w:id="154" w:name="_Toc328991488"/>
      <w:bookmarkStart w:id="155" w:name="_Toc492379084"/>
      <w:bookmarkStart w:id="156" w:name="_Toc494449567"/>
      <w:r w:rsidRPr="002D4279">
        <w:t>Licensing for whole plants</w:t>
      </w:r>
      <w:bookmarkEnd w:id="147"/>
      <w:bookmarkEnd w:id="148"/>
      <w:bookmarkEnd w:id="149"/>
      <w:bookmarkEnd w:id="150"/>
      <w:bookmarkEnd w:id="151"/>
      <w:bookmarkEnd w:id="152"/>
      <w:bookmarkEnd w:id="153"/>
      <w:bookmarkEnd w:id="154"/>
      <w:bookmarkEnd w:id="155"/>
      <w:bookmarkEnd w:id="156"/>
    </w:p>
    <w:p w14:paraId="558CEE87" w14:textId="77777777" w:rsidR="00CE7AB0" w:rsidRPr="005C4457" w:rsidRDefault="00CE7AB0" w:rsidP="00721C28">
      <w:pPr>
        <w:pStyle w:val="BodyText"/>
      </w:pPr>
      <w:r w:rsidRPr="00483567">
        <w:t xml:space="preserve">This plan regulates the commercial </w:t>
      </w:r>
      <w:r>
        <w:t xml:space="preserve">use of </w:t>
      </w:r>
      <w:r w:rsidRPr="00483567">
        <w:t>whole</w:t>
      </w:r>
      <w:r>
        <w:t xml:space="preserve"> protected and threatened </w:t>
      </w:r>
      <w:r w:rsidRPr="00483567">
        <w:t>plant</w:t>
      </w:r>
      <w:r>
        <w:t xml:space="preserve"> species </w:t>
      </w:r>
      <w:r w:rsidRPr="00483567">
        <w:t>under four licence types. Three of</w:t>
      </w:r>
      <w:r>
        <w:t> </w:t>
      </w:r>
      <w:r w:rsidRPr="00483567">
        <w:t xml:space="preserve">these regulate activities that extract plants from the wild. They are referred to as ‘wild harvester’, ‘approved harvester’ and ‘seed harvester’ licences. The fourth licence type relates </w:t>
      </w:r>
      <w:r w:rsidRPr="005C4457">
        <w:t xml:space="preserve">to </w:t>
      </w:r>
      <w:r>
        <w:t xml:space="preserve">artificially </w:t>
      </w:r>
      <w:r w:rsidRPr="005C4457">
        <w:t xml:space="preserve">propagating protected whole plants and is termed a ‘grower’ licence. </w:t>
      </w:r>
    </w:p>
    <w:p w14:paraId="1AA78424" w14:textId="77777777" w:rsidR="00CE7AB0" w:rsidRPr="00483567" w:rsidRDefault="00CE7AB0" w:rsidP="00FC388E">
      <w:pPr>
        <w:pStyle w:val="BodyText"/>
      </w:pPr>
      <w:r w:rsidRPr="00483567">
        <w:t xml:space="preserve">Licensing in this plan only applies to the primary source of plant material. </w:t>
      </w:r>
      <w:r w:rsidR="00721C28">
        <w:t>T</w:t>
      </w:r>
      <w:r w:rsidRPr="00483567">
        <w:t xml:space="preserve">hose persons or businesses that buy and on-sell protected whole plants that have been acquired from a legal source will not be subject to the requirements of this plan. </w:t>
      </w:r>
      <w:r w:rsidR="00721C28">
        <w:t>W</w:t>
      </w:r>
      <w:r w:rsidRPr="00483567">
        <w:t xml:space="preserve">holesalers and retailers should be able to demonstrate that materials are legally obtained and are tagged where required. </w:t>
      </w:r>
    </w:p>
    <w:p w14:paraId="27851D6A" w14:textId="77777777" w:rsidR="00CE7AB0" w:rsidRPr="00721C28" w:rsidRDefault="00CE7AB0" w:rsidP="00D72936">
      <w:pPr>
        <w:pStyle w:val="Heading2"/>
        <w:rPr>
          <w:rStyle w:val="StyleHeading2Italic2Char"/>
          <w:rFonts w:eastAsiaTheme="majorEastAsia" w:cstheme="majorBidi"/>
          <w:b/>
          <w:bCs/>
          <w:i w:val="0"/>
          <w:iCs w:val="0"/>
          <w:snapToGrid/>
          <w:color w:val="3B5731"/>
          <w:kern w:val="0"/>
          <w:sz w:val="32"/>
          <w:szCs w:val="26"/>
        </w:rPr>
      </w:pPr>
      <w:bookmarkStart w:id="157" w:name="_Toc283984787"/>
      <w:bookmarkStart w:id="158" w:name="_Toc492379085"/>
      <w:bookmarkStart w:id="159" w:name="_Toc494449568"/>
      <w:bookmarkStart w:id="160" w:name="_Toc301869617"/>
      <w:bookmarkStart w:id="161" w:name="_Toc328986820"/>
      <w:bookmarkStart w:id="162" w:name="_Toc328988029"/>
      <w:bookmarkStart w:id="163" w:name="_Toc328988112"/>
      <w:bookmarkStart w:id="164" w:name="_Toc328988193"/>
      <w:bookmarkStart w:id="165" w:name="_Toc328991007"/>
      <w:bookmarkStart w:id="166" w:name="_Toc328991489"/>
      <w:r w:rsidRPr="00721C28">
        <w:rPr>
          <w:rStyle w:val="StyleHeading2Italic2Char"/>
          <w:rFonts w:eastAsiaTheme="majorEastAsia" w:cstheme="majorBidi"/>
          <w:b/>
          <w:bCs/>
          <w:i w:val="0"/>
          <w:iCs w:val="0"/>
          <w:snapToGrid/>
          <w:color w:val="3B5731"/>
          <w:kern w:val="0"/>
          <w:sz w:val="32"/>
          <w:szCs w:val="26"/>
        </w:rPr>
        <w:t>Wild harvester licence</w:t>
      </w:r>
      <w:bookmarkEnd w:id="157"/>
      <w:bookmarkEnd w:id="158"/>
      <w:bookmarkEnd w:id="159"/>
      <w:r w:rsidRPr="00721C28">
        <w:rPr>
          <w:rStyle w:val="StyleHeading2Italic2Char"/>
          <w:rFonts w:eastAsiaTheme="majorEastAsia" w:cstheme="majorBidi"/>
          <w:b/>
          <w:bCs/>
          <w:i w:val="0"/>
          <w:iCs w:val="0"/>
          <w:snapToGrid/>
          <w:color w:val="3B5731"/>
          <w:kern w:val="0"/>
          <w:sz w:val="32"/>
          <w:szCs w:val="26"/>
        </w:rPr>
        <w:t xml:space="preserve"> </w:t>
      </w:r>
      <w:bookmarkEnd w:id="160"/>
      <w:bookmarkEnd w:id="161"/>
      <w:bookmarkEnd w:id="162"/>
      <w:bookmarkEnd w:id="163"/>
      <w:bookmarkEnd w:id="164"/>
      <w:bookmarkEnd w:id="165"/>
      <w:bookmarkEnd w:id="166"/>
    </w:p>
    <w:p w14:paraId="38C63829" w14:textId="77777777" w:rsidR="00CE7AB0" w:rsidRPr="00483567" w:rsidRDefault="00CE7AB0" w:rsidP="00FC388E">
      <w:pPr>
        <w:pStyle w:val="BodyText"/>
      </w:pPr>
      <w:r w:rsidRPr="00483567">
        <w:t xml:space="preserve">A wild harvester licence authorises a freehold landowner to undertake sustainable harvest from naturally occurring stands of native plants on their property. Only species in Group 1 of Part 2 of Schedule </w:t>
      </w:r>
      <w:r>
        <w:t>6</w:t>
      </w:r>
      <w:r w:rsidRPr="00483567">
        <w:t xml:space="preserve"> may be taken under this licence type (see section 5.1). Tagging (see section 4.11) and record keeping requirements (see section 4.13) will apply.</w:t>
      </w:r>
    </w:p>
    <w:p w14:paraId="27654FC4" w14:textId="77777777" w:rsidR="00CE7AB0" w:rsidRPr="00483567" w:rsidRDefault="00CE7AB0" w:rsidP="00FC388E">
      <w:pPr>
        <w:pStyle w:val="BodyText"/>
      </w:pPr>
      <w:r w:rsidRPr="00483567">
        <w:t>Licence application requirements and procedures for wild harvester licences are outlined in Appendix B. Harvest site controls must be provided with licence applications as indicated in Appendix D.</w:t>
      </w:r>
    </w:p>
    <w:p w14:paraId="74B1E7FE" w14:textId="77777777" w:rsidR="00CE7AB0" w:rsidRPr="00721C28" w:rsidRDefault="00CE7AB0" w:rsidP="00D72936">
      <w:pPr>
        <w:pStyle w:val="Heading2"/>
        <w:rPr>
          <w:rStyle w:val="StyleHeading2Italic2Char"/>
          <w:rFonts w:eastAsiaTheme="majorEastAsia" w:cstheme="majorBidi"/>
          <w:b/>
          <w:bCs/>
          <w:i w:val="0"/>
          <w:iCs w:val="0"/>
          <w:snapToGrid/>
          <w:color w:val="3B5731"/>
          <w:kern w:val="0"/>
          <w:sz w:val="32"/>
          <w:szCs w:val="26"/>
        </w:rPr>
      </w:pPr>
      <w:bookmarkStart w:id="167" w:name="_Toc283984788"/>
      <w:bookmarkStart w:id="168" w:name="_Toc492379086"/>
      <w:bookmarkStart w:id="169" w:name="_Toc494449569"/>
      <w:bookmarkStart w:id="170" w:name="_Toc301869618"/>
      <w:bookmarkStart w:id="171" w:name="_Toc328986821"/>
      <w:bookmarkStart w:id="172" w:name="_Toc328988030"/>
      <w:bookmarkStart w:id="173" w:name="_Toc328988113"/>
      <w:bookmarkStart w:id="174" w:name="_Toc328988194"/>
      <w:bookmarkStart w:id="175" w:name="_Toc328991008"/>
      <w:bookmarkStart w:id="176" w:name="_Toc328991490"/>
      <w:bookmarkStart w:id="177" w:name="_Toc269105454"/>
      <w:bookmarkStart w:id="178" w:name="_Toc269105524"/>
      <w:bookmarkStart w:id="179" w:name="_Toc269105753"/>
      <w:r w:rsidRPr="00721C28">
        <w:rPr>
          <w:rStyle w:val="StyleHeading2Italic2Char"/>
          <w:rFonts w:eastAsiaTheme="majorEastAsia" w:cstheme="majorBidi"/>
          <w:b/>
          <w:bCs/>
          <w:i w:val="0"/>
          <w:iCs w:val="0"/>
          <w:snapToGrid/>
          <w:color w:val="3B5731"/>
          <w:kern w:val="0"/>
          <w:sz w:val="32"/>
          <w:szCs w:val="26"/>
        </w:rPr>
        <w:t>Approved harvester licence</w:t>
      </w:r>
      <w:bookmarkEnd w:id="167"/>
      <w:bookmarkEnd w:id="168"/>
      <w:bookmarkEnd w:id="169"/>
      <w:r w:rsidRPr="00721C28">
        <w:rPr>
          <w:rStyle w:val="StyleHeading2Italic2Char"/>
          <w:rFonts w:eastAsiaTheme="majorEastAsia" w:cstheme="majorBidi"/>
          <w:b/>
          <w:bCs/>
          <w:i w:val="0"/>
          <w:iCs w:val="0"/>
          <w:snapToGrid/>
          <w:color w:val="3B5731"/>
          <w:kern w:val="0"/>
          <w:sz w:val="32"/>
          <w:szCs w:val="26"/>
        </w:rPr>
        <w:t xml:space="preserve"> </w:t>
      </w:r>
      <w:bookmarkEnd w:id="170"/>
      <w:bookmarkEnd w:id="171"/>
      <w:bookmarkEnd w:id="172"/>
      <w:bookmarkEnd w:id="173"/>
      <w:bookmarkEnd w:id="174"/>
      <w:bookmarkEnd w:id="175"/>
      <w:bookmarkEnd w:id="176"/>
    </w:p>
    <w:p w14:paraId="681DFAA6" w14:textId="77777777" w:rsidR="00CE7AB0" w:rsidRPr="00483567" w:rsidRDefault="00CE7AB0" w:rsidP="00FC388E">
      <w:pPr>
        <w:pStyle w:val="BodyText"/>
      </w:pPr>
      <w:r w:rsidRPr="00483567">
        <w:t>An approved harvester licence permits harvesting from natural</w:t>
      </w:r>
      <w:r>
        <w:t>ly occurring</w:t>
      </w:r>
      <w:r w:rsidRPr="00483567">
        <w:t xml:space="preserve"> stands of native plants on land not owned by the licensee. It falls into two categories − ‘sustainable harvest’ and ‘salvage harvest’.</w:t>
      </w:r>
      <w:r>
        <w:t xml:space="preserve">  </w:t>
      </w:r>
    </w:p>
    <w:p w14:paraId="6125AA6A" w14:textId="40C5E43F" w:rsidR="00CE7AB0" w:rsidRDefault="00CE7AB0" w:rsidP="00FC388E">
      <w:pPr>
        <w:pStyle w:val="BodyText"/>
      </w:pPr>
      <w:r w:rsidRPr="00483567">
        <w:t xml:space="preserve">Applicants for this licence type are required to demonstrate a minimum level of experience, equipment and facilities before a licence will be issued. </w:t>
      </w:r>
      <w:r>
        <w:t xml:space="preserve"> Once an approved harvester licence has been issued, the licensee must apply for separate site approvals for the sites on which harvest is proposed. </w:t>
      </w:r>
      <w:r w:rsidRPr="00483567">
        <w:t xml:space="preserve">A single </w:t>
      </w:r>
      <w:r>
        <w:t xml:space="preserve">approved harvester </w:t>
      </w:r>
      <w:r w:rsidRPr="00483567">
        <w:t xml:space="preserve">licence may cover harvest at multiple sites and under both ‘sustainable’ and ‘salvage’ situations. </w:t>
      </w:r>
    </w:p>
    <w:p w14:paraId="7D0784DD" w14:textId="77777777" w:rsidR="00CE7AB0" w:rsidRPr="00483567" w:rsidRDefault="00CE7AB0" w:rsidP="00FC388E">
      <w:pPr>
        <w:pStyle w:val="BodyText"/>
      </w:pPr>
      <w:r>
        <w:t xml:space="preserve">A land owner may apply for this licence to harvest species in Groups 1, 2 or 3 of Part 2 of Schedule 6. This distinction is required to demonstrate higher levels of experience and expertise necessary to harvest species in these groups.  </w:t>
      </w:r>
    </w:p>
    <w:p w14:paraId="248102C1" w14:textId="77777777" w:rsidR="00CE7AB0" w:rsidRPr="00483567" w:rsidRDefault="00CE7AB0" w:rsidP="00FC388E">
      <w:pPr>
        <w:pStyle w:val="BodyText"/>
      </w:pPr>
      <w:r w:rsidRPr="00483567">
        <w:t>Detailed information on licence application requirements and procedures is provided in Appendix C. Harvest site and stockpile site controls must be provided with licence applications as indicated in Appendi</w:t>
      </w:r>
      <w:r>
        <w:t>ces</w:t>
      </w:r>
      <w:r w:rsidRPr="00483567">
        <w:t xml:space="preserve"> D and E. </w:t>
      </w:r>
      <w:r>
        <w:t xml:space="preserve"> </w:t>
      </w:r>
      <w:r w:rsidRPr="00483567">
        <w:t>Tagging (see section 4.11) and record keeping requirements (see section 4.13) will</w:t>
      </w:r>
      <w:r>
        <w:t> </w:t>
      </w:r>
      <w:r w:rsidRPr="00483567">
        <w:t>apply.</w:t>
      </w:r>
    </w:p>
    <w:p w14:paraId="04537252" w14:textId="77777777" w:rsidR="00CE7AB0" w:rsidRPr="00D53CC6" w:rsidRDefault="00CE7AB0" w:rsidP="00D53CC6">
      <w:pPr>
        <w:pStyle w:val="Heading3"/>
      </w:pPr>
      <w:bookmarkStart w:id="180" w:name="_Toc283984789"/>
      <w:bookmarkStart w:id="181" w:name="_Toc301869619"/>
      <w:bookmarkStart w:id="182" w:name="_Toc328986822"/>
      <w:bookmarkStart w:id="183" w:name="_Toc328988031"/>
      <w:bookmarkStart w:id="184" w:name="_Toc328988114"/>
      <w:bookmarkStart w:id="185" w:name="_Toc328988195"/>
      <w:bookmarkStart w:id="186" w:name="_Toc328991009"/>
      <w:bookmarkStart w:id="187" w:name="_Toc328991491"/>
      <w:r w:rsidRPr="00D53CC6">
        <w:t>Sustainable harvest</w:t>
      </w:r>
      <w:bookmarkEnd w:id="180"/>
      <w:bookmarkEnd w:id="181"/>
      <w:bookmarkEnd w:id="182"/>
      <w:bookmarkEnd w:id="183"/>
      <w:bookmarkEnd w:id="184"/>
      <w:bookmarkEnd w:id="185"/>
      <w:bookmarkEnd w:id="186"/>
      <w:bookmarkEnd w:id="187"/>
    </w:p>
    <w:p w14:paraId="10555CDA" w14:textId="77777777" w:rsidR="00CE7AB0" w:rsidRPr="0066318C" w:rsidRDefault="00CE7AB0" w:rsidP="004806A2">
      <w:pPr>
        <w:pStyle w:val="BodyText"/>
      </w:pPr>
      <w:r w:rsidRPr="0066318C">
        <w:t xml:space="preserve">An approved harvester may sustainably harvest some protected whole plants from stands of native vegetation on private lands. This plan defines sustainable harvest as harvesting at a rate which allows the population of the target species to persist indefinitely. </w:t>
      </w:r>
    </w:p>
    <w:p w14:paraId="35D7DF5A" w14:textId="77777777" w:rsidR="00CE7AB0" w:rsidRPr="00483567" w:rsidRDefault="00CE7AB0" w:rsidP="00FC388E">
      <w:pPr>
        <w:pStyle w:val="BodyText"/>
      </w:pPr>
      <w:r w:rsidRPr="00483567">
        <w:t xml:space="preserve">Sustainable harvest activities act as an incentive for landowners to maintain vegetation on their property and are only permitted when the plant species proposed for extraction are not </w:t>
      </w:r>
      <w:r w:rsidRPr="00483567">
        <w:lastRenderedPageBreak/>
        <w:t>readily replaced by cultivated material and the likely impacts on the harvest site are assessed as acceptable or can be mitigated.</w:t>
      </w:r>
    </w:p>
    <w:p w14:paraId="35A05677" w14:textId="77777777" w:rsidR="00CE7AB0" w:rsidRPr="00483567" w:rsidRDefault="00CE7AB0" w:rsidP="00FC388E">
      <w:pPr>
        <w:pStyle w:val="BodyText"/>
      </w:pPr>
      <w:r w:rsidRPr="00483567">
        <w:t xml:space="preserve">Sustainable harvest is restricted to species in Groups 1 and 2 of Part 2, Schedule </w:t>
      </w:r>
      <w:r>
        <w:t>6</w:t>
      </w:r>
      <w:r w:rsidRPr="00483567">
        <w:t>. As stated, the harvest site, stockpile site and transport controls must be provided with the licence application.</w:t>
      </w:r>
    </w:p>
    <w:p w14:paraId="6321D3BE" w14:textId="77777777" w:rsidR="00CE7AB0" w:rsidRPr="00483567" w:rsidRDefault="00CE7AB0" w:rsidP="00FC388E">
      <w:pPr>
        <w:pStyle w:val="BodyText"/>
      </w:pPr>
      <w:r w:rsidRPr="00483567">
        <w:t xml:space="preserve">Applicants seeking </w:t>
      </w:r>
      <w:r>
        <w:t>a site approval</w:t>
      </w:r>
      <w:r w:rsidRPr="00483567">
        <w:t xml:space="preserve"> to undertake sustainable harvest must demonstrate in their application that the proposed harvest is, or is likely to be, sustainable for each species. This requirement will apply only to the initial application. However, where a licensee reapplies for land under a previous application, OEH may request additional information to aid its assessment process. </w:t>
      </w:r>
    </w:p>
    <w:p w14:paraId="23C508ED" w14:textId="77777777" w:rsidR="00CE7AB0" w:rsidRPr="009B2157" w:rsidRDefault="00CE7AB0" w:rsidP="00D53CC6">
      <w:pPr>
        <w:pStyle w:val="Heading3"/>
      </w:pPr>
      <w:bookmarkStart w:id="188" w:name="_Toc283984790"/>
      <w:bookmarkStart w:id="189" w:name="_Toc301869620"/>
      <w:bookmarkStart w:id="190" w:name="_Toc328986823"/>
      <w:bookmarkStart w:id="191" w:name="_Toc328988032"/>
      <w:bookmarkStart w:id="192" w:name="_Toc328988115"/>
      <w:bookmarkStart w:id="193" w:name="_Toc328988196"/>
      <w:bookmarkStart w:id="194" w:name="_Toc328991010"/>
      <w:bookmarkStart w:id="195" w:name="_Toc328991492"/>
      <w:r w:rsidRPr="009B2157">
        <w:t xml:space="preserve">Salvage </w:t>
      </w:r>
      <w:bookmarkEnd w:id="188"/>
      <w:r w:rsidRPr="009B2157">
        <w:t>harvest</w:t>
      </w:r>
      <w:bookmarkEnd w:id="189"/>
      <w:bookmarkEnd w:id="190"/>
      <w:bookmarkEnd w:id="191"/>
      <w:bookmarkEnd w:id="192"/>
      <w:bookmarkEnd w:id="193"/>
      <w:bookmarkEnd w:id="194"/>
      <w:bookmarkEnd w:id="195"/>
    </w:p>
    <w:p w14:paraId="58F42AF6" w14:textId="77777777" w:rsidR="00CE7AB0" w:rsidRPr="00BC6285" w:rsidRDefault="00CE7AB0" w:rsidP="00FC388E">
      <w:pPr>
        <w:pStyle w:val="BodyText"/>
      </w:pPr>
      <w:r w:rsidRPr="00BC6285">
        <w:t>Approved harvesters may salvage certain protected plants, where construction, mining, forestry or infrastructure development will result in their destruction. The plants of interest to salvage operators in this context are usually those offering a financial return.</w:t>
      </w:r>
    </w:p>
    <w:p w14:paraId="2A21086B" w14:textId="77777777" w:rsidR="00CE7AB0" w:rsidRPr="00665F07" w:rsidRDefault="00CE7AB0" w:rsidP="00FC388E">
      <w:pPr>
        <w:pStyle w:val="BodyText"/>
      </w:pPr>
      <w:r w:rsidRPr="00665F07">
        <w:t xml:space="preserve">Salvage harvest will only apply to an approved development under the </w:t>
      </w:r>
      <w:r w:rsidR="004806A2" w:rsidRPr="004806A2">
        <w:rPr>
          <w:i/>
        </w:rPr>
        <w:t>Environmental Planning and Assessment Act 1979</w:t>
      </w:r>
      <w:r w:rsidR="004806A2" w:rsidRPr="004806A2">
        <w:t xml:space="preserve"> (EP&amp;A Act)</w:t>
      </w:r>
      <w:r w:rsidRPr="00665F07">
        <w:t xml:space="preserve">. </w:t>
      </w:r>
      <w:r>
        <w:t>It</w:t>
      </w:r>
      <w:r w:rsidRPr="00665F07">
        <w:t xml:space="preserve"> will </w:t>
      </w:r>
      <w:r w:rsidRPr="00BC6285">
        <w:t>not be considered for activities that are deemed ‘exempt development’. Salvage harvesting</w:t>
      </w:r>
      <w:r w:rsidRPr="00665F07">
        <w:t xml:space="preserve"> does not limit or mitigate land-clearing impacts. </w:t>
      </w:r>
    </w:p>
    <w:p w14:paraId="504CBDAC" w14:textId="77777777" w:rsidR="00CE7AB0" w:rsidRPr="00483567" w:rsidRDefault="00CE7AB0" w:rsidP="00FC388E">
      <w:pPr>
        <w:pStyle w:val="BodyText"/>
      </w:pPr>
      <w:r>
        <w:t>For forestry operations, salvage will only be permitted from that area of an approved plantation that is currently being harvested (</w:t>
      </w:r>
      <w:r w:rsidRPr="00232D0E">
        <w:t xml:space="preserve">see </w:t>
      </w:r>
      <w:r>
        <w:t>4.8.5).</w:t>
      </w:r>
    </w:p>
    <w:p w14:paraId="2B15504B" w14:textId="77777777" w:rsidR="00CE7AB0" w:rsidRPr="00483567" w:rsidRDefault="00CE7AB0" w:rsidP="00FC388E">
      <w:pPr>
        <w:pStyle w:val="BodyText"/>
      </w:pPr>
      <w:r w:rsidRPr="00483567">
        <w:t xml:space="preserve">Only protected whole plants in Groups 1 to 3 of Part 2, Schedule </w:t>
      </w:r>
      <w:r>
        <w:t>6</w:t>
      </w:r>
      <w:r w:rsidRPr="00483567">
        <w:t xml:space="preserve"> can be the subject of salvage harvest. Also, restrictions apply to the size class of plant that can be harvested (see</w:t>
      </w:r>
      <w:r>
        <w:t> </w:t>
      </w:r>
      <w:r w:rsidRPr="002D4279">
        <w:t>Appendix K</w:t>
      </w:r>
      <w:r>
        <w:t xml:space="preserve"> for further detail</w:t>
      </w:r>
      <w:r w:rsidRPr="00483567">
        <w:t xml:space="preserve">). Unharvested products of an unsuitable size class will either be destroyed or left to decompose on site. Otherwise they may be reused onsite as part of site-specific revegetation works or landscaping where appropriate. These restrictions aim to support a transition to cultivated material by reducing access to cheaper salvaged material where equivalent material is commercially cultivated. </w:t>
      </w:r>
    </w:p>
    <w:p w14:paraId="6BB61ACB" w14:textId="77777777" w:rsidR="00CE7AB0" w:rsidRPr="00C66934" w:rsidRDefault="00CE7AB0" w:rsidP="00FC388E">
      <w:pPr>
        <w:pStyle w:val="BodyText"/>
      </w:pPr>
      <w:r w:rsidRPr="00C66934">
        <w:t xml:space="preserve">Allowable activities under Part 5A of the </w:t>
      </w:r>
      <w:r w:rsidR="004806A2" w:rsidRPr="004806A2">
        <w:rPr>
          <w:i/>
        </w:rPr>
        <w:t>Local Land Services Act 2013</w:t>
      </w:r>
      <w:r w:rsidR="004806A2" w:rsidRPr="004806A2">
        <w:t xml:space="preserve"> (LLS Act) </w:t>
      </w:r>
      <w:r w:rsidRPr="00C66934">
        <w:t xml:space="preserve">do not qualify for salvage harvest. An application to harvest protected plants from areas subject to </w:t>
      </w:r>
      <w:r w:rsidRPr="009922C0">
        <w:t xml:space="preserve">allowable activities </w:t>
      </w:r>
      <w:r w:rsidRPr="00E833D8">
        <w:t>will be con</w:t>
      </w:r>
      <w:r w:rsidRPr="009D7CA2">
        <w:t>sidered as sustainable harvest and all applicable restrictions will apply.</w:t>
      </w:r>
    </w:p>
    <w:p w14:paraId="442EDDE0" w14:textId="77777777" w:rsidR="00CE7AB0" w:rsidRPr="00C66934" w:rsidRDefault="00CE7AB0" w:rsidP="00FC388E">
      <w:pPr>
        <w:pStyle w:val="BodyText"/>
      </w:pPr>
      <w:r w:rsidRPr="00C66934">
        <w:t>The clearing of native vegetation authorised or approved under the LLS Act (</w:t>
      </w:r>
      <w:r>
        <w:t xml:space="preserve">and unexpired </w:t>
      </w:r>
      <w:r w:rsidRPr="00C66934">
        <w:t>property vegetation plan</w:t>
      </w:r>
      <w:r>
        <w:t>s</w:t>
      </w:r>
      <w:r w:rsidRPr="00C66934">
        <w:t xml:space="preserve"> made under the former </w:t>
      </w:r>
      <w:r w:rsidRPr="00C66934">
        <w:rPr>
          <w:i/>
        </w:rPr>
        <w:t>Native Vegetation Act 2003</w:t>
      </w:r>
      <w:r w:rsidRPr="00C66934">
        <w:t xml:space="preserve">) does not provide an explicit defence to selling protected or threatened native plants. </w:t>
      </w:r>
    </w:p>
    <w:p w14:paraId="5502A53A" w14:textId="77777777" w:rsidR="00CE7AB0" w:rsidRPr="00483567" w:rsidRDefault="00CE7AB0" w:rsidP="00FC388E">
      <w:pPr>
        <w:pStyle w:val="BodyText"/>
      </w:pPr>
      <w:r w:rsidRPr="00C66934">
        <w:t xml:space="preserve">Harvesting protected or threatened native plants for sale must therefore be undertaken with a licence issued under the BC Act and only activities authorised under the </w:t>
      </w:r>
      <w:r w:rsidR="004806A2" w:rsidRPr="004806A2">
        <w:rPr>
          <w:i/>
        </w:rPr>
        <w:t>Protected and threatened plants in the cut-flower industry: sustainable management plan</w:t>
      </w:r>
      <w:r w:rsidR="004806A2" w:rsidRPr="004806A2">
        <w:t xml:space="preserve"> (the CFMP)</w:t>
      </w:r>
      <w:r w:rsidRPr="00C66934">
        <w:t xml:space="preserve"> and this plan are permitted.</w:t>
      </w:r>
    </w:p>
    <w:p w14:paraId="61898D84" w14:textId="77777777" w:rsidR="00CE7AB0" w:rsidRPr="00483567" w:rsidRDefault="00CE7AB0" w:rsidP="00142D08">
      <w:pPr>
        <w:pStyle w:val="Bulletlist"/>
        <w:tabs>
          <w:tab w:val="clear" w:pos="357"/>
          <w:tab w:val="num" w:pos="0"/>
        </w:tabs>
        <w:ind w:left="0" w:firstLine="0"/>
      </w:pPr>
      <w:r w:rsidRPr="00483567">
        <w:t xml:space="preserve">OEH encourages consent authorities to incorporate the reuse and salvage of on-site </w:t>
      </w:r>
      <w:r w:rsidRPr="005C4457">
        <w:t>vegetation resources into planning approvals that propose clearing or modifying native</w:t>
      </w:r>
      <w:r w:rsidRPr="00483567">
        <w:t xml:space="preserve"> vegetation. This may include the on-site reuse of protected plants that cannot be utilised </w:t>
      </w:r>
      <w:r w:rsidRPr="005C4457">
        <w:t>commercially under this plan, the re-use of non-protected species or collecting local seed</w:t>
      </w:r>
      <w:r w:rsidRPr="00483567">
        <w:t xml:space="preserve"> and other propagules prior to clearing. </w:t>
      </w:r>
    </w:p>
    <w:p w14:paraId="7506ECEC" w14:textId="77777777" w:rsidR="00CE7AB0" w:rsidRPr="004806A2" w:rsidRDefault="00CE7AB0" w:rsidP="00D72936">
      <w:pPr>
        <w:pStyle w:val="Heading2"/>
      </w:pPr>
      <w:bookmarkStart w:id="196" w:name="_Toc492379087"/>
      <w:bookmarkStart w:id="197" w:name="_Toc494449570"/>
      <w:bookmarkStart w:id="198" w:name="_Toc283984791"/>
      <w:bookmarkStart w:id="199" w:name="_Toc301869621"/>
      <w:bookmarkStart w:id="200" w:name="_Toc328986824"/>
      <w:bookmarkStart w:id="201" w:name="_Toc328988033"/>
      <w:bookmarkStart w:id="202" w:name="_Toc328988116"/>
      <w:bookmarkStart w:id="203" w:name="_Toc328988197"/>
      <w:bookmarkStart w:id="204" w:name="_Toc328991011"/>
      <w:bookmarkStart w:id="205" w:name="_Toc328991493"/>
      <w:r w:rsidRPr="004806A2">
        <w:rPr>
          <w:rStyle w:val="StyleHeading2Italic2Char"/>
          <w:rFonts w:eastAsiaTheme="majorEastAsia" w:cstheme="majorBidi"/>
          <w:b/>
          <w:bCs/>
          <w:i w:val="0"/>
          <w:iCs w:val="0"/>
          <w:snapToGrid/>
          <w:color w:val="3B5731"/>
          <w:kern w:val="0"/>
          <w:sz w:val="32"/>
          <w:szCs w:val="26"/>
        </w:rPr>
        <w:t>Seed harvester licence</w:t>
      </w:r>
      <w:bookmarkEnd w:id="196"/>
      <w:bookmarkEnd w:id="197"/>
      <w:r w:rsidRPr="004806A2">
        <w:t xml:space="preserve"> </w:t>
      </w:r>
      <w:bookmarkEnd w:id="198"/>
      <w:bookmarkEnd w:id="199"/>
      <w:bookmarkEnd w:id="200"/>
      <w:bookmarkEnd w:id="201"/>
      <w:bookmarkEnd w:id="202"/>
      <w:bookmarkEnd w:id="203"/>
      <w:bookmarkEnd w:id="204"/>
      <w:bookmarkEnd w:id="205"/>
    </w:p>
    <w:p w14:paraId="25BC101F" w14:textId="77777777" w:rsidR="00CE7AB0" w:rsidRPr="00483567" w:rsidRDefault="00CE7AB0" w:rsidP="00FC388E">
      <w:pPr>
        <w:pStyle w:val="BodyText"/>
      </w:pPr>
      <w:r w:rsidRPr="00483567">
        <w:t xml:space="preserve">A seed harvester licence is required for </w:t>
      </w:r>
      <w:r>
        <w:t xml:space="preserve">the </w:t>
      </w:r>
      <w:r w:rsidRPr="00483567">
        <w:t xml:space="preserve">harvest </w:t>
      </w:r>
      <w:r>
        <w:t xml:space="preserve">of </w:t>
      </w:r>
      <w:r w:rsidRPr="00483567">
        <w:t xml:space="preserve">seeds from </w:t>
      </w:r>
      <w:r>
        <w:t xml:space="preserve">wild </w:t>
      </w:r>
      <w:r w:rsidRPr="00483567">
        <w:t xml:space="preserve">protected plants for the purpose of selling the seeds. Application requirements for a seed </w:t>
      </w:r>
      <w:r w:rsidRPr="00A951EA">
        <w:t xml:space="preserve">harvester licence are </w:t>
      </w:r>
      <w:r w:rsidRPr="00A951EA">
        <w:lastRenderedPageBreak/>
        <w:t>provided in Appendix F.</w:t>
      </w:r>
      <w:r>
        <w:t xml:space="preserve"> </w:t>
      </w:r>
      <w:r w:rsidRPr="00A951EA">
        <w:t xml:space="preserve">Harvesting seed for sale from material in </w:t>
      </w:r>
      <w:r w:rsidRPr="00C138B8">
        <w:t>cultivation (see 4.8.7)</w:t>
      </w:r>
      <w:r w:rsidRPr="00A951EA">
        <w:t xml:space="preserve"> will be licensed under a grower licence.</w:t>
      </w:r>
    </w:p>
    <w:p w14:paraId="3AC34ECD" w14:textId="77777777" w:rsidR="00CE7AB0" w:rsidRDefault="00CE7AB0" w:rsidP="00FC388E">
      <w:pPr>
        <w:pStyle w:val="BodyText"/>
        <w:rPr>
          <w:rFonts w:cs="Arial"/>
        </w:rPr>
      </w:pPr>
      <w:r w:rsidRPr="00483567">
        <w:t xml:space="preserve">This licence type can be issued for any species in any part of Schedule </w:t>
      </w:r>
      <w:r>
        <w:t>6</w:t>
      </w:r>
      <w:r w:rsidRPr="00483567">
        <w:t xml:space="preserve"> with the exception of individually listed threatened species</w:t>
      </w:r>
      <w:r>
        <w:t>. Harvest from</w:t>
      </w:r>
      <w:r w:rsidRPr="00483567">
        <w:t xml:space="preserve"> </w:t>
      </w:r>
      <w:r>
        <w:t>threatened</w:t>
      </w:r>
      <w:r w:rsidRPr="00483567">
        <w:t xml:space="preserve"> ecological communities or </w:t>
      </w:r>
      <w:r>
        <w:t xml:space="preserve">areas of outstanding biodiversity values </w:t>
      </w:r>
      <w:r w:rsidRPr="009448CF">
        <w:rPr>
          <w:rFonts w:cs="Arial"/>
          <w:color w:val="000000"/>
        </w:rPr>
        <w:t>may only be undertaken in a salvage situation (see Appendix F)</w:t>
      </w:r>
      <w:r w:rsidRPr="009448CF">
        <w:rPr>
          <w:rFonts w:cs="Arial"/>
        </w:rPr>
        <w:t xml:space="preserve">. </w:t>
      </w:r>
    </w:p>
    <w:p w14:paraId="71B2EAA2" w14:textId="77777777" w:rsidR="00CE7AB0" w:rsidRPr="00483567" w:rsidRDefault="00CE7AB0" w:rsidP="00FC388E">
      <w:pPr>
        <w:pStyle w:val="BodyText"/>
      </w:pPr>
      <w:r w:rsidRPr="009448CF">
        <w:rPr>
          <w:rFonts w:cs="Arial"/>
        </w:rPr>
        <w:t>However, individual</w:t>
      </w:r>
      <w:r w:rsidRPr="00483567">
        <w:t xml:space="preserve"> licences may have limits or restrictions imposed on the species and quantities that may be harvested. Collection of vegetative material, e.g. cuttings or plant divisions</w:t>
      </w:r>
      <w:r>
        <w:t>,</w:t>
      </w:r>
      <w:r w:rsidRPr="00483567">
        <w:t xml:space="preserve"> is not permitted under this type of licence as the impacts from these actions are significantly greater than from seed collection. </w:t>
      </w:r>
    </w:p>
    <w:p w14:paraId="77E032B9" w14:textId="77777777" w:rsidR="00CE7AB0" w:rsidRDefault="00CE7AB0" w:rsidP="00D72936">
      <w:pPr>
        <w:pStyle w:val="Heading2"/>
      </w:pPr>
      <w:bookmarkStart w:id="206" w:name="_Toc492379089"/>
      <w:bookmarkStart w:id="207" w:name="_Toc494449571"/>
      <w:bookmarkStart w:id="208" w:name="_Toc283984792"/>
      <w:bookmarkStart w:id="209" w:name="_Toc301869622"/>
      <w:r w:rsidRPr="00483567">
        <w:t>Grower licence</w:t>
      </w:r>
      <w:bookmarkEnd w:id="206"/>
      <w:bookmarkEnd w:id="207"/>
      <w:r w:rsidRPr="00483567">
        <w:t xml:space="preserve"> </w:t>
      </w:r>
      <w:bookmarkEnd w:id="177"/>
      <w:bookmarkEnd w:id="178"/>
      <w:bookmarkEnd w:id="179"/>
      <w:bookmarkEnd w:id="208"/>
      <w:bookmarkEnd w:id="209"/>
    </w:p>
    <w:p w14:paraId="6F06D65F" w14:textId="77777777" w:rsidR="00CE7AB0" w:rsidRPr="00483567" w:rsidRDefault="00CE7AB0" w:rsidP="00FC388E">
      <w:pPr>
        <w:pStyle w:val="BodyText"/>
      </w:pPr>
      <w:r w:rsidRPr="00074C1B">
        <w:t xml:space="preserve">A grower licence is required to grow protected plants for the purpose of sale. Grower licences may permit the propagation and sale of threatened species. </w:t>
      </w:r>
      <w:r w:rsidRPr="00483567">
        <w:t>The application requirements and procedures for a grower licence are explained in Appendix G.</w:t>
      </w:r>
      <w:r>
        <w:t xml:space="preserve"> </w:t>
      </w:r>
      <w:r w:rsidRPr="00074C1B">
        <w:t>Tag</w:t>
      </w:r>
      <w:r w:rsidRPr="00483567">
        <w:t xml:space="preserve"> requirements may apply (see section 4.11). Growers may access propagating material from a number of sources including stock plants or through other licensing provisions under this plan (see sections 4.8 and 4.9).</w:t>
      </w:r>
    </w:p>
    <w:p w14:paraId="745ADB64" w14:textId="77777777" w:rsidR="00CE7AB0" w:rsidRPr="00483567" w:rsidRDefault="00CE7AB0" w:rsidP="00FC388E">
      <w:pPr>
        <w:pStyle w:val="BodyText"/>
      </w:pPr>
      <w:r w:rsidRPr="00483567">
        <w:t>Growers fall into distinct sectors within the industry, such as tube-stock and production nurseries, and societies and species interest groups. The management requirements for each differ slightly to balance the needs of different licensees. A summary of these sectors is described in the following sections.</w:t>
      </w:r>
    </w:p>
    <w:p w14:paraId="5C9F8649" w14:textId="77777777" w:rsidR="00CE7AB0" w:rsidRPr="009B2157" w:rsidRDefault="00CE7AB0" w:rsidP="00D53CC6">
      <w:pPr>
        <w:pStyle w:val="Heading3"/>
      </w:pPr>
      <w:bookmarkStart w:id="210" w:name="_Toc283984793"/>
      <w:bookmarkStart w:id="211" w:name="_Toc301869623"/>
      <w:bookmarkStart w:id="212" w:name="_Toc328986826"/>
      <w:bookmarkStart w:id="213" w:name="_Toc328988035"/>
      <w:bookmarkStart w:id="214" w:name="_Toc328988118"/>
      <w:bookmarkStart w:id="215" w:name="_Toc328988199"/>
      <w:bookmarkStart w:id="216" w:name="_Toc328991013"/>
      <w:bookmarkStart w:id="217" w:name="_Toc328991495"/>
      <w:r w:rsidRPr="009B2157">
        <w:t xml:space="preserve">Tube-stock </w:t>
      </w:r>
      <w:bookmarkEnd w:id="210"/>
      <w:r w:rsidRPr="009B2157">
        <w:t>nurseries</w:t>
      </w:r>
      <w:bookmarkEnd w:id="211"/>
      <w:bookmarkEnd w:id="212"/>
      <w:bookmarkEnd w:id="213"/>
      <w:bookmarkEnd w:id="214"/>
      <w:bookmarkEnd w:id="215"/>
      <w:bookmarkEnd w:id="216"/>
      <w:bookmarkEnd w:id="217"/>
      <w:r w:rsidRPr="009B2157">
        <w:t xml:space="preserve"> </w:t>
      </w:r>
    </w:p>
    <w:p w14:paraId="6EEF7B34" w14:textId="77777777" w:rsidR="00CE7AB0" w:rsidRPr="00483567" w:rsidRDefault="00CE7AB0" w:rsidP="00FC388E">
      <w:pPr>
        <w:pStyle w:val="BodyText"/>
        <w:rPr>
          <w:u w:val="single"/>
        </w:rPr>
      </w:pPr>
      <w:r w:rsidRPr="00483567">
        <w:t>Tube-stock nurseries propagate a range of protected plants with seed obtained from seed merchants or wild stands. Despite some questions about the source of seed material, this sector supports sustainable use of material through low-impact methods. Products are generally sold in tubes or similarly small size classes.</w:t>
      </w:r>
    </w:p>
    <w:p w14:paraId="74566E2D" w14:textId="77777777" w:rsidR="00CE7AB0" w:rsidRPr="00483567" w:rsidRDefault="00CE7AB0" w:rsidP="00D53CC6">
      <w:pPr>
        <w:pStyle w:val="Heading3"/>
      </w:pPr>
      <w:bookmarkStart w:id="218" w:name="_Toc283984794"/>
      <w:bookmarkStart w:id="219" w:name="_Toc301869624"/>
      <w:bookmarkStart w:id="220" w:name="_Toc328986827"/>
      <w:bookmarkStart w:id="221" w:name="_Toc328988036"/>
      <w:bookmarkStart w:id="222" w:name="_Toc328988119"/>
      <w:bookmarkStart w:id="223" w:name="_Toc328988200"/>
      <w:bookmarkStart w:id="224" w:name="_Toc328991014"/>
      <w:bookmarkStart w:id="225" w:name="_Toc328991496"/>
      <w:r w:rsidRPr="00483567">
        <w:t xml:space="preserve">Production </w:t>
      </w:r>
      <w:bookmarkEnd w:id="218"/>
      <w:r w:rsidRPr="00483567">
        <w:t>nurseries</w:t>
      </w:r>
      <w:bookmarkEnd w:id="219"/>
      <w:bookmarkEnd w:id="220"/>
      <w:bookmarkEnd w:id="221"/>
      <w:bookmarkEnd w:id="222"/>
      <w:bookmarkEnd w:id="223"/>
      <w:bookmarkEnd w:id="224"/>
      <w:bookmarkEnd w:id="225"/>
    </w:p>
    <w:p w14:paraId="32CDB0F4" w14:textId="77777777" w:rsidR="00CE7AB0" w:rsidRPr="00483567" w:rsidRDefault="00CE7AB0" w:rsidP="00FC388E">
      <w:pPr>
        <w:pStyle w:val="BodyText"/>
      </w:pPr>
      <w:r w:rsidRPr="00483567">
        <w:t xml:space="preserve">Most plants in production nurseries are propagated but some may ‘grow on’ smaller-sized wild harvested or salvaged material. Nurseries producing protected plants tend to specialise in </w:t>
      </w:r>
      <w:r w:rsidRPr="006E634D">
        <w:t>specific taxa such as orchids, palms, ferns and increasingly</w:t>
      </w:r>
      <w:r>
        <w:t>,</w:t>
      </w:r>
      <w:r w:rsidRPr="006E634D">
        <w:t xml:space="preserve"> high-risk plants such as </w:t>
      </w:r>
      <w:r w:rsidRPr="006E634D">
        <w:rPr>
          <w:i/>
        </w:rPr>
        <w:t xml:space="preserve">Xanthorrhoea </w:t>
      </w:r>
      <w:r w:rsidRPr="006E634D">
        <w:t>species.</w:t>
      </w:r>
      <w:r>
        <w:t xml:space="preserve"> </w:t>
      </w:r>
    </w:p>
    <w:p w14:paraId="180A5D2E" w14:textId="77777777" w:rsidR="00CE7AB0" w:rsidRPr="00483567" w:rsidRDefault="00CE7AB0" w:rsidP="00D53CC6">
      <w:pPr>
        <w:pStyle w:val="Heading3"/>
      </w:pPr>
      <w:bookmarkStart w:id="226" w:name="_Toc283984795"/>
      <w:bookmarkStart w:id="227" w:name="_Toc301869625"/>
      <w:bookmarkStart w:id="228" w:name="_Toc328986828"/>
      <w:bookmarkStart w:id="229" w:name="_Toc328988037"/>
      <w:bookmarkStart w:id="230" w:name="_Toc328988120"/>
      <w:bookmarkStart w:id="231" w:name="_Toc328988201"/>
      <w:bookmarkStart w:id="232" w:name="_Toc328991015"/>
      <w:bookmarkStart w:id="233" w:name="_Toc328991497"/>
      <w:r w:rsidRPr="00483567">
        <w:t>Societies and special interest groups</w:t>
      </w:r>
      <w:bookmarkEnd w:id="226"/>
      <w:bookmarkEnd w:id="227"/>
      <w:bookmarkEnd w:id="228"/>
      <w:bookmarkEnd w:id="229"/>
      <w:bookmarkEnd w:id="230"/>
      <w:bookmarkEnd w:id="231"/>
      <w:bookmarkEnd w:id="232"/>
      <w:bookmarkEnd w:id="233"/>
    </w:p>
    <w:p w14:paraId="60A56DB3" w14:textId="5AB9FF69" w:rsidR="00CE7AB0" w:rsidRPr="00483567" w:rsidRDefault="00CE7AB0" w:rsidP="00FC388E">
      <w:pPr>
        <w:pStyle w:val="BodyText"/>
      </w:pPr>
      <w:r w:rsidRPr="00483567">
        <w:t xml:space="preserve">Possession and trade of protected whole plants by and between hobbyists have specific defences in the </w:t>
      </w:r>
      <w:r>
        <w:rPr>
          <w:lang w:val="en-US"/>
        </w:rPr>
        <w:t>BC</w:t>
      </w:r>
      <w:r w:rsidRPr="00483567">
        <w:rPr>
          <w:lang w:val="en-US"/>
        </w:rPr>
        <w:t xml:space="preserve"> Act</w:t>
      </w:r>
      <w:r w:rsidRPr="00483567">
        <w:t xml:space="preserve"> under Section</w:t>
      </w:r>
      <w:r>
        <w:t xml:space="preserve"> 2.8(l). </w:t>
      </w:r>
      <w:r w:rsidRPr="00483567">
        <w:t xml:space="preserve">There has been some confusion surrounding the extent of this defence and how it applies. </w:t>
      </w:r>
    </w:p>
    <w:p w14:paraId="456E4A83" w14:textId="77777777" w:rsidR="00CE7AB0" w:rsidRPr="00483567" w:rsidRDefault="00CE7AB0" w:rsidP="00FC388E">
      <w:pPr>
        <w:pStyle w:val="BodyText"/>
      </w:pPr>
      <w:r w:rsidRPr="00483567">
        <w:t>Societies and special interest groups may possess and trade protected plants between members and small-scale growers without the requirement for a licence when:</w:t>
      </w:r>
    </w:p>
    <w:p w14:paraId="332D5F4E" w14:textId="77777777" w:rsidR="00CE7AB0" w:rsidRDefault="00CE7AB0" w:rsidP="004806A2">
      <w:pPr>
        <w:pStyle w:val="ListBullet"/>
      </w:pPr>
      <w:r>
        <w:t xml:space="preserve">the </w:t>
      </w:r>
      <w:r w:rsidRPr="00483567">
        <w:t>trade occurs at a society meeting at their nominal meeting venue, or between members of the society at any time</w:t>
      </w:r>
    </w:p>
    <w:p w14:paraId="6EADF366" w14:textId="77777777" w:rsidR="00CE7AB0" w:rsidRPr="00483567" w:rsidRDefault="00CE7AB0" w:rsidP="004806A2">
      <w:pPr>
        <w:pStyle w:val="ListBullet"/>
      </w:pPr>
      <w:proofErr w:type="gramStart"/>
      <w:r w:rsidRPr="00483567">
        <w:t>the</w:t>
      </w:r>
      <w:proofErr w:type="gramEnd"/>
      <w:r w:rsidRPr="00483567">
        <w:t xml:space="preserve"> material has been obtained according to this plan or is lawfully in the possession of the person supplying it (see section 4.9).</w:t>
      </w:r>
    </w:p>
    <w:p w14:paraId="225F7582" w14:textId="77777777" w:rsidR="00CE7AB0" w:rsidRPr="00483567" w:rsidRDefault="00CE7AB0" w:rsidP="00FC388E">
      <w:pPr>
        <w:pStyle w:val="BodyText"/>
      </w:pPr>
      <w:r w:rsidRPr="00483567">
        <w:t xml:space="preserve">Societies and special interest groups will require a grower licence to sell to the general public where the material has not been sourced under this plan. They may apply for a </w:t>
      </w:r>
      <w:r w:rsidRPr="00483567">
        <w:lastRenderedPageBreak/>
        <w:t>licence to sell plants donated by members for sale at shows and other events. A society may produce a grower tag</w:t>
      </w:r>
      <w:r>
        <w:t xml:space="preserve"> (</w:t>
      </w:r>
      <w:r w:rsidRPr="00483567">
        <w:t xml:space="preserve">see </w:t>
      </w:r>
      <w:r>
        <w:t xml:space="preserve">section </w:t>
      </w:r>
      <w:r w:rsidRPr="00483567">
        <w:t>4.11</w:t>
      </w:r>
      <w:r>
        <w:t>)</w:t>
      </w:r>
      <w:r w:rsidRPr="00483567">
        <w:t xml:space="preserve"> and must record the source of all donated material. Where the material is purchased from licensed growers for sale at society events, it should already be tagged. </w:t>
      </w:r>
    </w:p>
    <w:p w14:paraId="432BD3F8" w14:textId="77777777" w:rsidR="00CE7AB0" w:rsidRPr="00E21BC9" w:rsidRDefault="00CE7AB0" w:rsidP="00D53CC6">
      <w:pPr>
        <w:pStyle w:val="Heading3"/>
      </w:pPr>
      <w:bookmarkStart w:id="234" w:name="_Toc283984796"/>
      <w:bookmarkStart w:id="235" w:name="_Toc301869626"/>
      <w:bookmarkStart w:id="236" w:name="_Toc328986829"/>
      <w:bookmarkStart w:id="237" w:name="_Toc328988038"/>
      <w:bookmarkStart w:id="238" w:name="_Toc328988121"/>
      <w:bookmarkStart w:id="239" w:name="_Toc328988202"/>
      <w:bookmarkStart w:id="240" w:name="_Toc328991016"/>
      <w:bookmarkStart w:id="241" w:name="_Toc328991498"/>
      <w:r w:rsidRPr="00E21BC9">
        <w:t>Small-scale and hobby growers</w:t>
      </w:r>
      <w:bookmarkEnd w:id="234"/>
      <w:bookmarkEnd w:id="235"/>
      <w:bookmarkEnd w:id="236"/>
      <w:bookmarkEnd w:id="237"/>
      <w:bookmarkEnd w:id="238"/>
      <w:bookmarkEnd w:id="239"/>
      <w:bookmarkEnd w:id="240"/>
      <w:bookmarkEnd w:id="241"/>
    </w:p>
    <w:p w14:paraId="036F9F79" w14:textId="77777777" w:rsidR="00CE7AB0" w:rsidRPr="00483567" w:rsidRDefault="00CE7AB0" w:rsidP="00FC388E">
      <w:pPr>
        <w:pStyle w:val="BodyText"/>
      </w:pPr>
      <w:r w:rsidRPr="00483567">
        <w:t>Without limiting the application of sections 4.5.1 to 4.5.3, individuals who propagate and sell protected native plants to the general public</w:t>
      </w:r>
      <w:r>
        <w:t>,</w:t>
      </w:r>
      <w:r w:rsidRPr="00483567">
        <w:t xml:space="preserve"> or to wholesalers or retail outlets require a grower licence. </w:t>
      </w:r>
    </w:p>
    <w:p w14:paraId="6C459848" w14:textId="77777777" w:rsidR="00CE7AB0" w:rsidRPr="00483567" w:rsidRDefault="00CE7AB0" w:rsidP="00FC388E">
      <w:pPr>
        <w:pStyle w:val="BodyText"/>
      </w:pPr>
      <w:r w:rsidRPr="00483567">
        <w:t>The plan recognises that some businesses may overlap between these sectors. Only a single grower licence will be required where the business undertakes growing activities across more than one of the above</w:t>
      </w:r>
      <w:r w:rsidRPr="00483567" w:rsidDel="003C31D9">
        <w:t xml:space="preserve"> </w:t>
      </w:r>
      <w:r w:rsidRPr="00483567">
        <w:t xml:space="preserve">sectors. </w:t>
      </w:r>
    </w:p>
    <w:p w14:paraId="44EFEC41" w14:textId="77777777" w:rsidR="00CE7AB0" w:rsidRPr="003261BC" w:rsidRDefault="00CE7AB0" w:rsidP="00D72936">
      <w:pPr>
        <w:pStyle w:val="Heading2"/>
      </w:pPr>
      <w:bookmarkStart w:id="242" w:name="_Toc283984797"/>
      <w:bookmarkStart w:id="243" w:name="_Toc301869627"/>
      <w:bookmarkStart w:id="244" w:name="_Toc328986830"/>
      <w:bookmarkStart w:id="245" w:name="_Toc328988039"/>
      <w:bookmarkStart w:id="246" w:name="_Toc328988122"/>
      <w:bookmarkStart w:id="247" w:name="_Toc328988203"/>
      <w:bookmarkStart w:id="248" w:name="_Toc328991017"/>
      <w:bookmarkStart w:id="249" w:name="_Toc328991499"/>
      <w:bookmarkStart w:id="250" w:name="_Toc492379090"/>
      <w:bookmarkStart w:id="251" w:name="_Toc494449572"/>
      <w:r w:rsidRPr="00707F74">
        <w:t>Traditional use of whole protected plants</w:t>
      </w:r>
      <w:bookmarkEnd w:id="242"/>
      <w:bookmarkEnd w:id="243"/>
      <w:bookmarkEnd w:id="244"/>
      <w:bookmarkEnd w:id="245"/>
      <w:bookmarkEnd w:id="246"/>
      <w:bookmarkEnd w:id="247"/>
      <w:bookmarkEnd w:id="248"/>
      <w:bookmarkEnd w:id="249"/>
      <w:bookmarkEnd w:id="250"/>
      <w:bookmarkEnd w:id="251"/>
    </w:p>
    <w:p w14:paraId="43475B3F" w14:textId="77777777" w:rsidR="00CE7AB0" w:rsidRPr="00483567" w:rsidRDefault="00CE7AB0" w:rsidP="00FC388E">
      <w:pPr>
        <w:pStyle w:val="BodyText"/>
      </w:pPr>
      <w:r w:rsidRPr="00483567">
        <w:t>Australia</w:t>
      </w:r>
      <w:r>
        <w:t>’s</w:t>
      </w:r>
      <w:r w:rsidRPr="00483567">
        <w:t xml:space="preserve"> Aboriginal people possess significant knowledge of native flora which extends to the specific use and broad management of wild native plants. Land management and nursery practices may be informed and improved through cooperation with traditional owners and by applying traditional knowledge.</w:t>
      </w:r>
    </w:p>
    <w:p w14:paraId="23844D5D" w14:textId="77777777" w:rsidR="00CE7AB0" w:rsidRPr="00483567" w:rsidRDefault="00CE7AB0" w:rsidP="00FC388E">
      <w:pPr>
        <w:pStyle w:val="BodyText"/>
      </w:pPr>
      <w:r>
        <w:t>Section 2.8(k) of the BC Act</w:t>
      </w:r>
      <w:r w:rsidRPr="00483567">
        <w:t xml:space="preserve"> provides an exemption so that Aboriginal people and their dependants may gather or harvest from certain lands and have in their possession the fruit, flowers or other parts of protected native plants for domestic purposes. </w:t>
      </w:r>
    </w:p>
    <w:p w14:paraId="2598BB95" w14:textId="77777777" w:rsidR="00CE7AB0" w:rsidRPr="00E21BC9" w:rsidRDefault="00CE7AB0" w:rsidP="00FC388E">
      <w:pPr>
        <w:pStyle w:val="BodyText"/>
      </w:pPr>
      <w:r w:rsidRPr="00E21BC9">
        <w:t>This exemption does not extend to the commercial use of protected whole plants or plant parts.</w:t>
      </w:r>
    </w:p>
    <w:p w14:paraId="6F6111F3" w14:textId="77777777" w:rsidR="00CE7AB0" w:rsidRPr="00E21BC9" w:rsidRDefault="00CE7AB0" w:rsidP="00D72936">
      <w:pPr>
        <w:pStyle w:val="Heading2"/>
      </w:pPr>
      <w:bookmarkStart w:id="252" w:name="_Toc283984798"/>
      <w:bookmarkStart w:id="253" w:name="_Toc301869628"/>
      <w:bookmarkStart w:id="254" w:name="_Toc328986831"/>
      <w:bookmarkStart w:id="255" w:name="_Toc328988040"/>
      <w:bookmarkStart w:id="256" w:name="_Toc328988123"/>
      <w:bookmarkStart w:id="257" w:name="_Toc328988204"/>
      <w:bookmarkStart w:id="258" w:name="_Toc328991018"/>
      <w:bookmarkStart w:id="259" w:name="_Toc328991500"/>
      <w:bookmarkStart w:id="260" w:name="_Toc492379091"/>
      <w:bookmarkStart w:id="261" w:name="_Toc494449573"/>
      <w:bookmarkStart w:id="262" w:name="_Toc273008492"/>
      <w:r w:rsidRPr="00E21BC9">
        <w:t>Commercial harvest for bush tucker and other purposes</w:t>
      </w:r>
      <w:bookmarkEnd w:id="252"/>
      <w:bookmarkEnd w:id="253"/>
      <w:bookmarkEnd w:id="254"/>
      <w:bookmarkEnd w:id="255"/>
      <w:bookmarkEnd w:id="256"/>
      <w:bookmarkEnd w:id="257"/>
      <w:bookmarkEnd w:id="258"/>
      <w:bookmarkEnd w:id="259"/>
      <w:bookmarkEnd w:id="260"/>
      <w:bookmarkEnd w:id="261"/>
    </w:p>
    <w:p w14:paraId="79FA9AC6" w14:textId="77777777" w:rsidR="00CE7AB0" w:rsidRPr="00483567" w:rsidRDefault="00CE7AB0" w:rsidP="00FC388E">
      <w:pPr>
        <w:pStyle w:val="BodyText"/>
      </w:pPr>
      <w:r w:rsidRPr="00483567">
        <w:t xml:space="preserve">There are many circumstances other than those included in this plan and the CFMP that utilise protected native plants for commercial purposes such as bush tucker production and paperbark harvesting. To ensure the long-term sustainability of these industries, OEH encourages establishing plantations of these materials. </w:t>
      </w:r>
    </w:p>
    <w:p w14:paraId="1E1095BE" w14:textId="77777777" w:rsidR="00CE7AB0" w:rsidRPr="00483567" w:rsidRDefault="00CE7AB0" w:rsidP="00FC388E">
      <w:pPr>
        <w:pStyle w:val="BodyText"/>
      </w:pPr>
      <w:r w:rsidRPr="00483567">
        <w:t xml:space="preserve">These industries are not regulated by this plan except where the intention is to collect seed material from protected native plants from the wild to either: </w:t>
      </w:r>
    </w:p>
    <w:p w14:paraId="7D4D5E94" w14:textId="77777777" w:rsidR="00CE7AB0" w:rsidRPr="00483567" w:rsidRDefault="00CE7AB0" w:rsidP="004806A2">
      <w:pPr>
        <w:pStyle w:val="ListBullet"/>
      </w:pPr>
      <w:r w:rsidRPr="00483567">
        <w:t>establish a bush-tucker crop in cultivation</w:t>
      </w:r>
    </w:p>
    <w:p w14:paraId="1C325BB0" w14:textId="77777777" w:rsidR="00CE7AB0" w:rsidRPr="00483567" w:rsidRDefault="00CE7AB0" w:rsidP="004806A2">
      <w:pPr>
        <w:pStyle w:val="ListBullet"/>
      </w:pPr>
      <w:proofErr w:type="gramStart"/>
      <w:r w:rsidRPr="00483567">
        <w:t>supplement</w:t>
      </w:r>
      <w:proofErr w:type="gramEnd"/>
      <w:r w:rsidRPr="00483567">
        <w:t xml:space="preserve"> an existing crop by collecting material for propagation. </w:t>
      </w:r>
    </w:p>
    <w:p w14:paraId="52F43598" w14:textId="77777777" w:rsidR="00CE7AB0" w:rsidRPr="00483567" w:rsidRDefault="00CE7AB0" w:rsidP="00FC388E">
      <w:pPr>
        <w:pStyle w:val="BodyText"/>
      </w:pPr>
      <w:bookmarkStart w:id="263" w:name="_Toc283984799"/>
      <w:bookmarkStart w:id="264" w:name="_Toc301869629"/>
      <w:r>
        <w:t>Further details can be found in section 4.9.</w:t>
      </w:r>
    </w:p>
    <w:p w14:paraId="7DB8ED12" w14:textId="77777777" w:rsidR="00CE7AB0" w:rsidRPr="003261BC" w:rsidRDefault="00CE7AB0" w:rsidP="00D72936">
      <w:pPr>
        <w:pStyle w:val="Heading2"/>
      </w:pPr>
      <w:bookmarkStart w:id="265" w:name="_Toc328986832"/>
      <w:bookmarkStart w:id="266" w:name="_Toc328988041"/>
      <w:bookmarkStart w:id="267" w:name="_Toc328988124"/>
      <w:bookmarkStart w:id="268" w:name="_Toc328988205"/>
      <w:bookmarkStart w:id="269" w:name="_Toc328991019"/>
      <w:bookmarkStart w:id="270" w:name="_Toc328991501"/>
      <w:bookmarkStart w:id="271" w:name="_Toc492379092"/>
      <w:bookmarkStart w:id="272" w:name="_Toc494449574"/>
      <w:r w:rsidRPr="00707F74">
        <w:t>Location of h</w:t>
      </w:r>
      <w:bookmarkStart w:id="273" w:name="_Toc273008493"/>
      <w:bookmarkEnd w:id="262"/>
      <w:r w:rsidRPr="003261BC">
        <w:t>arvest</w:t>
      </w:r>
      <w:bookmarkEnd w:id="263"/>
      <w:bookmarkEnd w:id="264"/>
      <w:bookmarkEnd w:id="265"/>
      <w:bookmarkEnd w:id="266"/>
      <w:bookmarkEnd w:id="267"/>
      <w:bookmarkEnd w:id="268"/>
      <w:bookmarkEnd w:id="269"/>
      <w:bookmarkEnd w:id="270"/>
      <w:bookmarkEnd w:id="271"/>
      <w:bookmarkEnd w:id="273"/>
      <w:bookmarkEnd w:id="272"/>
    </w:p>
    <w:p w14:paraId="3A6BB81C" w14:textId="77777777" w:rsidR="00CE7AB0" w:rsidRPr="00483567" w:rsidRDefault="00CE7AB0" w:rsidP="00FC388E">
      <w:pPr>
        <w:pStyle w:val="BodyText"/>
      </w:pPr>
      <w:bookmarkStart w:id="274" w:name="_Toc269105456"/>
      <w:bookmarkStart w:id="275" w:name="_Toc269105526"/>
      <w:bookmarkStart w:id="276" w:name="_Toc269105755"/>
      <w:r w:rsidRPr="00483567">
        <w:t>The extraction of whole protected plants for commercial purposes is permissible from a range of land tenures. However, specific limitations on harvesting may apply to each of these tenures and in locations where species or habitat of high-conservation significance are known to occur.</w:t>
      </w:r>
    </w:p>
    <w:p w14:paraId="5182EBA7" w14:textId="77777777" w:rsidR="00CE7AB0" w:rsidRPr="00E21BC9" w:rsidRDefault="00CE7AB0" w:rsidP="00D53CC6">
      <w:pPr>
        <w:pStyle w:val="Heading3"/>
      </w:pPr>
      <w:bookmarkStart w:id="277" w:name="_Toc301869630"/>
      <w:bookmarkStart w:id="278" w:name="_Toc328986833"/>
      <w:bookmarkStart w:id="279" w:name="_Toc328988042"/>
      <w:bookmarkStart w:id="280" w:name="_Toc328988125"/>
      <w:bookmarkStart w:id="281" w:name="_Toc328988206"/>
      <w:bookmarkStart w:id="282" w:name="_Toc328991020"/>
      <w:bookmarkStart w:id="283" w:name="_Toc328991502"/>
      <w:r w:rsidRPr="00E21BC9">
        <w:lastRenderedPageBreak/>
        <w:t>Private land</w:t>
      </w:r>
      <w:bookmarkEnd w:id="277"/>
      <w:bookmarkEnd w:id="278"/>
      <w:bookmarkEnd w:id="279"/>
      <w:bookmarkEnd w:id="280"/>
      <w:bookmarkEnd w:id="281"/>
      <w:bookmarkEnd w:id="282"/>
      <w:bookmarkEnd w:id="283"/>
    </w:p>
    <w:p w14:paraId="26974B93" w14:textId="77777777" w:rsidR="00CE7AB0" w:rsidRPr="00483567" w:rsidRDefault="00CE7AB0" w:rsidP="00FC388E">
      <w:pPr>
        <w:pStyle w:val="BodyText"/>
      </w:pPr>
      <w:r w:rsidRPr="00483567">
        <w:t>Most plant material is sourced from private land. Applicants must obtain written permission from the landowner to access the land and its plants before lodging a licence application.</w:t>
      </w:r>
    </w:p>
    <w:p w14:paraId="153AFB14" w14:textId="77777777" w:rsidR="00CE7AB0" w:rsidRPr="00E21BC9" w:rsidRDefault="00CE7AB0" w:rsidP="00D53CC6">
      <w:pPr>
        <w:pStyle w:val="Heading3"/>
      </w:pPr>
      <w:bookmarkStart w:id="284" w:name="_Toc301869631"/>
      <w:bookmarkStart w:id="285" w:name="_Toc328986834"/>
      <w:bookmarkStart w:id="286" w:name="_Toc328988043"/>
      <w:bookmarkStart w:id="287" w:name="_Toc328988126"/>
      <w:bookmarkStart w:id="288" w:name="_Toc328988207"/>
      <w:bookmarkStart w:id="289" w:name="_Toc328991021"/>
      <w:bookmarkStart w:id="290" w:name="_Toc328991503"/>
      <w:r w:rsidRPr="00E21BC9">
        <w:t>Land held under the National Parks and Wildlife Act 1974</w:t>
      </w:r>
      <w:bookmarkEnd w:id="284"/>
      <w:bookmarkEnd w:id="285"/>
      <w:bookmarkEnd w:id="286"/>
      <w:bookmarkEnd w:id="287"/>
      <w:bookmarkEnd w:id="288"/>
      <w:bookmarkEnd w:id="289"/>
      <w:bookmarkEnd w:id="290"/>
      <w:r w:rsidRPr="00E21BC9">
        <w:tab/>
      </w:r>
    </w:p>
    <w:p w14:paraId="12BEFC58" w14:textId="77777777" w:rsidR="00CE7AB0" w:rsidRPr="00483567" w:rsidRDefault="00CE7AB0" w:rsidP="00FC388E">
      <w:pPr>
        <w:pStyle w:val="BodyText"/>
      </w:pPr>
      <w:r w:rsidRPr="00483567">
        <w:t>Wild harvester, approved harvester or seed harvester licences will not be issued to harvest from any lands managed under the NPW Act</w:t>
      </w:r>
      <w:r>
        <w:t xml:space="preserve"> (the NPWS estate)</w:t>
      </w:r>
      <w:r w:rsidRPr="00483567">
        <w:t xml:space="preserve">. However, a </w:t>
      </w:r>
      <w:r>
        <w:t xml:space="preserve">scientific </w:t>
      </w:r>
      <w:r w:rsidRPr="00483567">
        <w:t xml:space="preserve">licence under </w:t>
      </w:r>
      <w:r>
        <w:t xml:space="preserve">the BC Act </w:t>
      </w:r>
      <w:r w:rsidRPr="00483567">
        <w:t xml:space="preserve">may be issued under certain circumstances for the harvest of seed or other propagation material from these areas </w:t>
      </w:r>
      <w:r>
        <w:t>for scientific or conservation purposes</w:t>
      </w:r>
      <w:r w:rsidRPr="00483567">
        <w:t xml:space="preserve"> (see section 4.9). </w:t>
      </w:r>
    </w:p>
    <w:p w14:paraId="43E379C9" w14:textId="77777777" w:rsidR="00CE7AB0" w:rsidRPr="00E21BC9" w:rsidRDefault="00CE7AB0" w:rsidP="00D53CC6">
      <w:pPr>
        <w:pStyle w:val="Heading3"/>
      </w:pPr>
      <w:bookmarkStart w:id="291" w:name="_Toc301869632"/>
      <w:bookmarkStart w:id="292" w:name="_Toc328986835"/>
      <w:bookmarkStart w:id="293" w:name="_Toc328988044"/>
      <w:bookmarkStart w:id="294" w:name="_Toc328988127"/>
      <w:bookmarkStart w:id="295" w:name="_Toc328988208"/>
      <w:bookmarkStart w:id="296" w:name="_Toc328991022"/>
      <w:bookmarkStart w:id="297" w:name="_Toc328991504"/>
      <w:r w:rsidRPr="00E21BC9">
        <w:t>State forests</w:t>
      </w:r>
      <w:bookmarkEnd w:id="291"/>
      <w:bookmarkEnd w:id="292"/>
      <w:bookmarkEnd w:id="293"/>
      <w:bookmarkEnd w:id="294"/>
      <w:bookmarkEnd w:id="295"/>
      <w:bookmarkEnd w:id="296"/>
      <w:bookmarkEnd w:id="297"/>
    </w:p>
    <w:p w14:paraId="08C3E83E" w14:textId="77777777" w:rsidR="00CE7AB0" w:rsidRDefault="00CE7AB0" w:rsidP="00FC388E">
      <w:pPr>
        <w:pStyle w:val="BodyText"/>
      </w:pPr>
      <w:r w:rsidRPr="00483567">
        <w:t xml:space="preserve">Harvest of plants from state forests requires an approved harvester licence from OEH and a forest products licence from </w:t>
      </w:r>
      <w:r>
        <w:t>Forestry Corporation of NSW</w:t>
      </w:r>
      <w:r w:rsidRPr="00483567">
        <w:t xml:space="preserve">. </w:t>
      </w:r>
    </w:p>
    <w:p w14:paraId="5EB14C4B" w14:textId="77777777" w:rsidR="00CE7AB0" w:rsidRDefault="00CE7AB0" w:rsidP="00FC388E">
      <w:pPr>
        <w:pStyle w:val="BodyText"/>
      </w:pPr>
      <w:r w:rsidRPr="00483567">
        <w:t xml:space="preserve">An approved harvester licence will only be issued on receipt of written approval of the proposed harvest by </w:t>
      </w:r>
      <w:r>
        <w:t>Forestry Corporation of NSW</w:t>
      </w:r>
      <w:r w:rsidRPr="00483567">
        <w:t xml:space="preserve">. It must state the harvest location, target species and quantities and include a statement that </w:t>
      </w:r>
      <w:r>
        <w:t>Forestry Corporation of NSW</w:t>
      </w:r>
      <w:r w:rsidRPr="00483567">
        <w:t xml:space="preserve"> believes the proposal is sustainable. The harvest level endorsed by </w:t>
      </w:r>
      <w:r>
        <w:t>Forestry Corporation of NSW</w:t>
      </w:r>
      <w:r w:rsidRPr="00483567">
        <w:t xml:space="preserve"> may be further limited by OEH. </w:t>
      </w:r>
    </w:p>
    <w:p w14:paraId="52C8B4CF" w14:textId="77777777" w:rsidR="00CE7AB0" w:rsidRDefault="00CE7AB0" w:rsidP="00FC388E">
      <w:pPr>
        <w:pStyle w:val="BodyText"/>
      </w:pPr>
      <w:r w:rsidRPr="00483567">
        <w:t xml:space="preserve">Seed may also be harvested from state forests under a seed-harvester licence. </w:t>
      </w:r>
    </w:p>
    <w:p w14:paraId="78CD41B0" w14:textId="77777777" w:rsidR="00CE7AB0" w:rsidRPr="00483567" w:rsidRDefault="00CE7AB0" w:rsidP="00FC388E">
      <w:pPr>
        <w:pStyle w:val="BodyText"/>
      </w:pPr>
      <w:r w:rsidRPr="00483567">
        <w:t xml:space="preserve">Should </w:t>
      </w:r>
      <w:r>
        <w:t>Forestry Corporation of NSW</w:t>
      </w:r>
      <w:r w:rsidRPr="00483567">
        <w:t xml:space="preserve"> require harvested material to be tagged with </w:t>
      </w:r>
      <w:r>
        <w:t>Forestry Corporation of NSW</w:t>
      </w:r>
      <w:r w:rsidRPr="00E21BC9">
        <w:t xml:space="preserve"> tags, these must be applied in addition to any other tagging requirements specified under this plan.</w:t>
      </w:r>
      <w:r w:rsidRPr="00483567">
        <w:t xml:space="preserve"> </w:t>
      </w:r>
    </w:p>
    <w:p w14:paraId="755DEAA1" w14:textId="77777777" w:rsidR="00CE7AB0" w:rsidRPr="00E21BC9" w:rsidRDefault="00CE7AB0" w:rsidP="00D53CC6">
      <w:pPr>
        <w:pStyle w:val="Heading3"/>
      </w:pPr>
      <w:bookmarkStart w:id="298" w:name="_Toc301869633"/>
      <w:bookmarkStart w:id="299" w:name="_Toc328986836"/>
      <w:bookmarkStart w:id="300" w:name="_Toc328988045"/>
      <w:bookmarkStart w:id="301" w:name="_Toc328988128"/>
      <w:bookmarkStart w:id="302" w:name="_Toc328988209"/>
      <w:bookmarkStart w:id="303" w:name="_Toc328991023"/>
      <w:bookmarkStart w:id="304" w:name="_Toc328991505"/>
      <w:r w:rsidRPr="00E21BC9">
        <w:t>Other public land</w:t>
      </w:r>
      <w:bookmarkEnd w:id="298"/>
      <w:bookmarkEnd w:id="299"/>
      <w:bookmarkEnd w:id="300"/>
      <w:bookmarkEnd w:id="301"/>
      <w:bookmarkEnd w:id="302"/>
      <w:bookmarkEnd w:id="303"/>
      <w:bookmarkEnd w:id="304"/>
    </w:p>
    <w:p w14:paraId="2EFF1FB2" w14:textId="77777777" w:rsidR="00CE7AB0" w:rsidRPr="00483567" w:rsidRDefault="00CE7AB0" w:rsidP="00FC388E">
      <w:pPr>
        <w:pStyle w:val="BodyText"/>
      </w:pPr>
      <w:r w:rsidRPr="00483567">
        <w:t>For leased public land, applicants must obtain written permission from the lessee before applying for a licence. For unleased land, applicants must obtain permission from the authority responsible for the land. Authorities may impose access restrictions or limit the use of native plants on land that they manage.</w:t>
      </w:r>
    </w:p>
    <w:p w14:paraId="0C6FB739" w14:textId="77777777" w:rsidR="00CE7AB0" w:rsidRPr="00483567" w:rsidRDefault="00CE7AB0" w:rsidP="00D53CC6">
      <w:pPr>
        <w:pStyle w:val="Heading3"/>
      </w:pPr>
      <w:bookmarkStart w:id="305" w:name="_Toc301869634"/>
      <w:bookmarkStart w:id="306" w:name="_Toc328986837"/>
      <w:bookmarkStart w:id="307" w:name="_Toc328988046"/>
      <w:bookmarkStart w:id="308" w:name="_Toc328988129"/>
      <w:bookmarkStart w:id="309" w:name="_Toc328988210"/>
      <w:bookmarkStart w:id="310" w:name="_Toc328991024"/>
      <w:bookmarkStart w:id="311" w:name="_Toc328991506"/>
      <w:r w:rsidRPr="00483567">
        <w:t>Private forestry operations</w:t>
      </w:r>
      <w:bookmarkEnd w:id="305"/>
      <w:bookmarkEnd w:id="306"/>
      <w:bookmarkEnd w:id="307"/>
      <w:bookmarkEnd w:id="308"/>
      <w:bookmarkEnd w:id="309"/>
      <w:bookmarkEnd w:id="310"/>
      <w:bookmarkEnd w:id="311"/>
    </w:p>
    <w:p w14:paraId="34D4CB17" w14:textId="77777777" w:rsidR="00CE7AB0" w:rsidRPr="00483567" w:rsidRDefault="00CE7AB0" w:rsidP="00FC388E">
      <w:pPr>
        <w:pStyle w:val="BodyText"/>
      </w:pPr>
      <w:r w:rsidRPr="00483567">
        <w:t xml:space="preserve">Where protected native plants colonise an approved plantation, harvesting of the plants will be licensed according to this plan. OEH will set harvest rates for approved plantations except during salvage operations. Harvest will not be permitted from buffer zones or specified exclusion areas, such as habitat areas, drainage lines or streams as described in the </w:t>
      </w:r>
      <w:r w:rsidRPr="00483567">
        <w:rPr>
          <w:i/>
        </w:rPr>
        <w:t xml:space="preserve">Plantations and Reafforestation Act 1999. </w:t>
      </w:r>
      <w:r w:rsidRPr="00483567">
        <w:t xml:space="preserve">During selective logging only those plants directly impacted will be available for harvest. </w:t>
      </w:r>
    </w:p>
    <w:p w14:paraId="628012D6" w14:textId="77777777" w:rsidR="00CE7AB0" w:rsidRPr="00483567" w:rsidRDefault="00CE7AB0" w:rsidP="00D53CC6">
      <w:pPr>
        <w:pStyle w:val="Heading3"/>
      </w:pPr>
      <w:bookmarkStart w:id="312" w:name="_Toc301869635"/>
      <w:bookmarkStart w:id="313" w:name="_Toc328986838"/>
      <w:bookmarkStart w:id="314" w:name="_Toc328988047"/>
      <w:bookmarkStart w:id="315" w:name="_Toc328988130"/>
      <w:bookmarkStart w:id="316" w:name="_Toc328988211"/>
      <w:bookmarkStart w:id="317" w:name="_Toc328991025"/>
      <w:bookmarkStart w:id="318" w:name="_Toc328991507"/>
      <w:r w:rsidRPr="00483567">
        <w:t>Fruit orchards or precious timber production</w:t>
      </w:r>
      <w:bookmarkEnd w:id="312"/>
      <w:bookmarkEnd w:id="313"/>
      <w:bookmarkEnd w:id="314"/>
      <w:bookmarkEnd w:id="315"/>
      <w:bookmarkEnd w:id="316"/>
      <w:bookmarkEnd w:id="317"/>
      <w:bookmarkEnd w:id="318"/>
    </w:p>
    <w:p w14:paraId="665F81A5" w14:textId="77777777" w:rsidR="00CE7AB0" w:rsidRPr="00483567" w:rsidRDefault="00CE7AB0" w:rsidP="00FC388E">
      <w:pPr>
        <w:pStyle w:val="BodyText"/>
      </w:pPr>
      <w:r w:rsidRPr="00483567">
        <w:t xml:space="preserve">Protected </w:t>
      </w:r>
      <w:r>
        <w:t xml:space="preserve">and threatened </w:t>
      </w:r>
      <w:r w:rsidRPr="00483567">
        <w:t>plant</w:t>
      </w:r>
      <w:r>
        <w:t xml:space="preserve"> species</w:t>
      </w:r>
      <w:r w:rsidRPr="00483567">
        <w:t xml:space="preserve">, predominantly epiphytes, can colonise trees in some agricultural production settings such as macadamia and avocado orchards. Where such colonisation has occurred on crop or timber trees and, where the species may be harvested under either a wild harvest or approved harvest licence, OEH may issue a licence. In such cases OEH may choose not to impose harvest limits. </w:t>
      </w:r>
    </w:p>
    <w:p w14:paraId="78FD71FA" w14:textId="77777777" w:rsidR="00CE7AB0" w:rsidRPr="00DC669B" w:rsidRDefault="00CE7AB0" w:rsidP="00D53CC6">
      <w:pPr>
        <w:pStyle w:val="Heading3"/>
      </w:pPr>
      <w:bookmarkStart w:id="319" w:name="_Toc328986839"/>
      <w:bookmarkStart w:id="320" w:name="_Toc328988048"/>
      <w:bookmarkStart w:id="321" w:name="_Toc328988131"/>
      <w:bookmarkStart w:id="322" w:name="_Toc328988212"/>
      <w:bookmarkStart w:id="323" w:name="_Toc328991026"/>
      <w:bookmarkStart w:id="324" w:name="_Toc328991508"/>
      <w:bookmarkStart w:id="325" w:name="_Toc301869636"/>
      <w:r w:rsidRPr="00DC669B">
        <w:lastRenderedPageBreak/>
        <w:t xml:space="preserve">Seed </w:t>
      </w:r>
      <w:r>
        <w:t>o</w:t>
      </w:r>
      <w:r w:rsidRPr="00DC669B">
        <w:t>rchards</w:t>
      </w:r>
      <w:bookmarkEnd w:id="319"/>
      <w:bookmarkEnd w:id="320"/>
      <w:bookmarkEnd w:id="321"/>
      <w:bookmarkEnd w:id="322"/>
      <w:bookmarkEnd w:id="323"/>
      <w:bookmarkEnd w:id="324"/>
    </w:p>
    <w:p w14:paraId="2E0A7843" w14:textId="77777777" w:rsidR="00CE7AB0" w:rsidRDefault="00CE7AB0" w:rsidP="00FC388E">
      <w:pPr>
        <w:pStyle w:val="BodyText"/>
      </w:pPr>
      <w:r>
        <w:t xml:space="preserve">The term ‘seed orchard’ refers to the cultivation of plant material to produce seed for a specified purpose. This practice is well established in the forestry industry and is becoming more widespread to produce seed for revegetation and rehabilitation projects. </w:t>
      </w:r>
    </w:p>
    <w:p w14:paraId="62B4604E" w14:textId="2C8845DF" w:rsidR="00CE7AB0" w:rsidRPr="00483567" w:rsidRDefault="00CE7AB0" w:rsidP="00FC388E">
      <w:pPr>
        <w:pStyle w:val="BodyText"/>
      </w:pPr>
      <w:r>
        <w:t xml:space="preserve">The material to establish a seed orchard must be lawfully sourced as described in sections 4.2 to 4.4 or </w:t>
      </w:r>
      <w:r w:rsidRPr="003A7BA2">
        <w:t>section</w:t>
      </w:r>
      <w:r>
        <w:t xml:space="preserve"> 4.9.  As the species used in seed orchards may be derived from threatened species, </w:t>
      </w:r>
      <w:r w:rsidR="00F736F5">
        <w:t>areas of outstanding biodiversity value</w:t>
      </w:r>
      <w:r>
        <w:t xml:space="preserve"> or threatened ecological communities, seed orchards, once established, will be licensed under the g</w:t>
      </w:r>
      <w:r w:rsidRPr="003A7BA2">
        <w:t>rower</w:t>
      </w:r>
      <w:r>
        <w:t xml:space="preserve"> provisions in this plan. </w:t>
      </w:r>
    </w:p>
    <w:p w14:paraId="3CDF727E" w14:textId="77777777" w:rsidR="00CE7AB0" w:rsidRPr="00937116" w:rsidRDefault="00CE7AB0" w:rsidP="00D53CC6">
      <w:pPr>
        <w:pStyle w:val="Heading3"/>
      </w:pPr>
      <w:bookmarkStart w:id="326" w:name="_Toc328986840"/>
      <w:bookmarkStart w:id="327" w:name="_Toc328988049"/>
      <w:bookmarkStart w:id="328" w:name="_Toc328988132"/>
      <w:bookmarkStart w:id="329" w:name="_Toc328988213"/>
      <w:bookmarkStart w:id="330" w:name="_Toc328991027"/>
      <w:bookmarkStart w:id="331" w:name="_Toc328991509"/>
      <w:r w:rsidRPr="00707F74">
        <w:t xml:space="preserve">Areas of outstanding biodiversity diversity values and </w:t>
      </w:r>
      <w:r w:rsidRPr="003261BC">
        <w:t>t</w:t>
      </w:r>
      <w:r w:rsidRPr="00937116">
        <w:t>hreatened ecological communities</w:t>
      </w:r>
      <w:bookmarkEnd w:id="325"/>
      <w:bookmarkEnd w:id="326"/>
      <w:bookmarkEnd w:id="327"/>
      <w:bookmarkEnd w:id="328"/>
      <w:bookmarkEnd w:id="329"/>
      <w:bookmarkEnd w:id="330"/>
      <w:bookmarkEnd w:id="331"/>
    </w:p>
    <w:p w14:paraId="633823AA" w14:textId="02ED56FB" w:rsidR="00CE7AB0" w:rsidRDefault="00CE7AB0" w:rsidP="00FC388E">
      <w:pPr>
        <w:pStyle w:val="BodyText"/>
      </w:pPr>
      <w:r w:rsidRPr="00483567">
        <w:t xml:space="preserve">Harvest is prohibited from </w:t>
      </w:r>
      <w:r>
        <w:t>areas of outstanding biodiversity diversity</w:t>
      </w:r>
      <w:r w:rsidRPr="00483567">
        <w:t xml:space="preserve"> </w:t>
      </w:r>
      <w:r>
        <w:t xml:space="preserve">value declared under the BC Act (formerly known as </w:t>
      </w:r>
      <w:r w:rsidRPr="00483567">
        <w:t>critical habitat</w:t>
      </w:r>
      <w:r>
        <w:t xml:space="preserve">s under the TSC Act) </w:t>
      </w:r>
      <w:r w:rsidRPr="00483567">
        <w:t>or the habitat of threatened species</w:t>
      </w:r>
      <w:r>
        <w:t xml:space="preserve">.  </w:t>
      </w:r>
    </w:p>
    <w:p w14:paraId="7BBD0D11" w14:textId="00C13283" w:rsidR="00CE7AB0" w:rsidRPr="00483567" w:rsidRDefault="00CE7AB0" w:rsidP="00FC388E">
      <w:pPr>
        <w:pStyle w:val="BodyText"/>
      </w:pPr>
      <w:r>
        <w:t>Harvest from threatened</w:t>
      </w:r>
      <w:r w:rsidRPr="00483567">
        <w:t xml:space="preserve"> ecological communit</w:t>
      </w:r>
      <w:r>
        <w:t>ies</w:t>
      </w:r>
      <w:r w:rsidRPr="00483567">
        <w:t xml:space="preserve"> </w:t>
      </w:r>
      <w:r w:rsidR="002B05F9">
        <w:t xml:space="preserve">is </w:t>
      </w:r>
      <w:r>
        <w:t xml:space="preserve">only permitted if </w:t>
      </w:r>
      <w:r w:rsidRPr="00483567">
        <w:t>the proposed harvest is a salvage operation.</w:t>
      </w:r>
      <w:r>
        <w:t xml:space="preserve"> </w:t>
      </w:r>
    </w:p>
    <w:p w14:paraId="1EAB3CFD" w14:textId="77777777" w:rsidR="00CE7AB0" w:rsidRPr="003261BC" w:rsidRDefault="00CE7AB0" w:rsidP="00D53CC6">
      <w:pPr>
        <w:pStyle w:val="Heading3"/>
      </w:pPr>
      <w:bookmarkStart w:id="332" w:name="_Toc301869637"/>
      <w:bookmarkStart w:id="333" w:name="_Toc328986841"/>
      <w:bookmarkStart w:id="334" w:name="_Toc328988050"/>
      <w:bookmarkStart w:id="335" w:name="_Toc328988133"/>
      <w:bookmarkStart w:id="336" w:name="_Toc328988214"/>
      <w:bookmarkStart w:id="337" w:name="_Toc328991028"/>
      <w:bookmarkStart w:id="338" w:name="_Toc328991510"/>
      <w:bookmarkEnd w:id="274"/>
      <w:bookmarkEnd w:id="275"/>
      <w:bookmarkEnd w:id="276"/>
      <w:r>
        <w:t>Threatened species</w:t>
      </w:r>
      <w:bookmarkEnd w:id="332"/>
      <w:bookmarkEnd w:id="333"/>
      <w:bookmarkEnd w:id="334"/>
      <w:bookmarkEnd w:id="335"/>
      <w:bookmarkEnd w:id="336"/>
      <w:bookmarkEnd w:id="337"/>
      <w:bookmarkEnd w:id="338"/>
    </w:p>
    <w:p w14:paraId="2A4F7A79" w14:textId="77777777" w:rsidR="00CE7AB0" w:rsidRPr="00483567" w:rsidRDefault="00CE7AB0" w:rsidP="00FC388E">
      <w:pPr>
        <w:pStyle w:val="BodyText"/>
      </w:pPr>
      <w:r w:rsidRPr="00483567">
        <w:t xml:space="preserve">Applicants are responsible for determining the presence or likely presence of threatened species at the proposed site. </w:t>
      </w:r>
    </w:p>
    <w:p w14:paraId="461A2F26" w14:textId="77777777" w:rsidR="00CE7AB0" w:rsidRPr="00C76E3B" w:rsidRDefault="00CE7AB0" w:rsidP="00FC388E">
      <w:pPr>
        <w:pStyle w:val="BodyText"/>
        <w:rPr>
          <w:rFonts w:cs="Arial"/>
        </w:rPr>
      </w:pPr>
      <w:r w:rsidRPr="00472451">
        <w:t>This plan does not permit the commercial harvest of threatened species from the wild</w:t>
      </w:r>
      <w:r>
        <w:t>, unless individually listed in Schedule 6 of the BC Act</w:t>
      </w:r>
      <w:r w:rsidRPr="00472451">
        <w:t>.</w:t>
      </w:r>
      <w:r w:rsidRPr="000C6944">
        <w:t xml:space="preserve"> </w:t>
      </w:r>
      <w:r w:rsidRPr="00483567">
        <w:rPr>
          <w:rFonts w:cs="Arial"/>
        </w:rPr>
        <w:t xml:space="preserve">Threatened species may only be picked from the wild to establish artificial propagation </w:t>
      </w:r>
      <w:r w:rsidRPr="00C76E3B">
        <w:rPr>
          <w:rFonts w:cs="Arial"/>
          <w:spacing w:val="-2"/>
        </w:rPr>
        <w:t xml:space="preserve">programs and only if the applicant meets the licence requirements for a </w:t>
      </w:r>
      <w:r>
        <w:rPr>
          <w:rFonts w:cs="Arial"/>
          <w:spacing w:val="-2"/>
        </w:rPr>
        <w:t xml:space="preserve">threatened species </w:t>
      </w:r>
      <w:r w:rsidRPr="00C76E3B">
        <w:rPr>
          <w:rFonts w:cs="Arial"/>
          <w:spacing w:val="-2"/>
        </w:rPr>
        <w:t xml:space="preserve">licence </w:t>
      </w:r>
      <w:r w:rsidRPr="00C76E3B">
        <w:rPr>
          <w:rFonts w:cs="Arial"/>
        </w:rPr>
        <w:t xml:space="preserve">or a scientific licence under the </w:t>
      </w:r>
      <w:r>
        <w:rPr>
          <w:rFonts w:cs="Arial"/>
          <w:lang w:val="en-US"/>
        </w:rPr>
        <w:t>BC</w:t>
      </w:r>
      <w:r w:rsidRPr="00C76E3B">
        <w:rPr>
          <w:rFonts w:cs="Arial"/>
          <w:lang w:val="en-US"/>
        </w:rPr>
        <w:t xml:space="preserve"> Act</w:t>
      </w:r>
      <w:r w:rsidRPr="00C76E3B">
        <w:rPr>
          <w:rFonts w:cs="Arial"/>
        </w:rPr>
        <w:t>. See also section 4.9</w:t>
      </w:r>
      <w:r>
        <w:rPr>
          <w:rFonts w:cs="Arial"/>
        </w:rPr>
        <w:t xml:space="preserve"> and section 5.1.6</w:t>
      </w:r>
      <w:r w:rsidRPr="00C76E3B">
        <w:rPr>
          <w:rFonts w:cs="Arial"/>
        </w:rPr>
        <w:t xml:space="preserve">. </w:t>
      </w:r>
    </w:p>
    <w:p w14:paraId="758FB1AC" w14:textId="77777777" w:rsidR="00CE7AB0" w:rsidRDefault="00CE7AB0" w:rsidP="00D72936">
      <w:pPr>
        <w:pStyle w:val="Heading2"/>
      </w:pPr>
      <w:bookmarkStart w:id="339" w:name="_Toc492379093"/>
      <w:bookmarkStart w:id="340" w:name="_Toc494449575"/>
      <w:r>
        <w:t>Sourcing seeds and other propagating material</w:t>
      </w:r>
      <w:bookmarkEnd w:id="339"/>
      <w:bookmarkEnd w:id="340"/>
    </w:p>
    <w:p w14:paraId="24A010C4" w14:textId="77777777" w:rsidR="00CE7AB0" w:rsidRPr="001934C1" w:rsidRDefault="00CE7AB0" w:rsidP="00F142F2">
      <w:pPr>
        <w:pStyle w:val="BodyText"/>
      </w:pPr>
      <w:r w:rsidRPr="001934C1">
        <w:t>This management plan permits sourcing seeds and other propagating material from various land tenures. Restrictions or exclusions may apply in some situations.</w:t>
      </w:r>
    </w:p>
    <w:p w14:paraId="2BAFFDA8" w14:textId="77777777" w:rsidR="00CE7AB0" w:rsidRPr="00472451" w:rsidRDefault="00CE7AB0" w:rsidP="00FC388E">
      <w:pPr>
        <w:pStyle w:val="BodyText"/>
      </w:pPr>
      <w:r w:rsidRPr="00483567">
        <w:t xml:space="preserve">On land other than </w:t>
      </w:r>
      <w:r>
        <w:t xml:space="preserve">the </w:t>
      </w:r>
      <w:r w:rsidRPr="00483567">
        <w:t xml:space="preserve">NPWS estate, a seed harvester licence can be issued for species </w:t>
      </w:r>
      <w:r w:rsidRPr="009448CF">
        <w:rPr>
          <w:rFonts w:cs="Arial"/>
        </w:rPr>
        <w:t xml:space="preserve">in </w:t>
      </w:r>
      <w:r>
        <w:rPr>
          <w:rFonts w:cs="Arial"/>
        </w:rPr>
        <w:t>both</w:t>
      </w:r>
      <w:r w:rsidRPr="009448CF">
        <w:rPr>
          <w:rFonts w:cs="Arial"/>
        </w:rPr>
        <w:t xml:space="preserve"> Part 1</w:t>
      </w:r>
      <w:r>
        <w:rPr>
          <w:rFonts w:cs="Arial"/>
        </w:rPr>
        <w:t xml:space="preserve"> and </w:t>
      </w:r>
      <w:r w:rsidRPr="009448CF">
        <w:rPr>
          <w:rFonts w:cs="Arial"/>
        </w:rPr>
        <w:t xml:space="preserve">Part 2 of Schedule </w:t>
      </w:r>
      <w:r>
        <w:rPr>
          <w:rFonts w:cs="Arial"/>
        </w:rPr>
        <w:t>6</w:t>
      </w:r>
      <w:r w:rsidRPr="009448CF">
        <w:rPr>
          <w:rFonts w:cs="Arial"/>
        </w:rPr>
        <w:t xml:space="preserve">, excluding </w:t>
      </w:r>
      <w:r>
        <w:rPr>
          <w:rFonts w:cs="Arial"/>
        </w:rPr>
        <w:t xml:space="preserve">threatened </w:t>
      </w:r>
      <w:r w:rsidRPr="009448CF">
        <w:rPr>
          <w:rFonts w:cs="Arial"/>
        </w:rPr>
        <w:t>species</w:t>
      </w:r>
      <w:r w:rsidRPr="009448CF">
        <w:rPr>
          <w:rFonts w:cs="Arial"/>
          <w:color w:val="000000"/>
        </w:rPr>
        <w:t xml:space="preserve"> </w:t>
      </w:r>
      <w:r w:rsidRPr="00472451">
        <w:t xml:space="preserve">as identified earlier in section 4.4. </w:t>
      </w:r>
    </w:p>
    <w:p w14:paraId="19A2D054" w14:textId="77777777" w:rsidR="00CE7AB0" w:rsidRPr="00483567" w:rsidRDefault="00CE7AB0" w:rsidP="00FC388E">
      <w:pPr>
        <w:pStyle w:val="BodyText"/>
      </w:pPr>
      <w:r w:rsidRPr="007428AD">
        <w:t>A seed harvester licence will not be issued for seed harvesting from land managed</w:t>
      </w:r>
      <w:r w:rsidRPr="00483567">
        <w:t xml:space="preserve"> under the NPW Act. </w:t>
      </w:r>
      <w:r>
        <w:t xml:space="preserve"> </w:t>
      </w:r>
      <w:r w:rsidRPr="00483567">
        <w:t xml:space="preserve">Harvest of seed material from </w:t>
      </w:r>
      <w:r>
        <w:t>the</w:t>
      </w:r>
      <w:r w:rsidRPr="00483567">
        <w:t xml:space="preserve"> NPWS estate may be considered for authorisation under a scientific licence</w:t>
      </w:r>
      <w:r>
        <w:t>,</w:t>
      </w:r>
      <w:r w:rsidRPr="00483567">
        <w:t xml:space="preserve"> with the concurrent approval of the relevant NPWS area manager, and in situations where:</w:t>
      </w:r>
    </w:p>
    <w:p w14:paraId="161EE622" w14:textId="77777777" w:rsidR="00CE7AB0" w:rsidRPr="008C516E" w:rsidRDefault="00CE7AB0" w:rsidP="00514E4A">
      <w:pPr>
        <w:pStyle w:val="ListBullet"/>
      </w:pPr>
      <w:r w:rsidRPr="00F0639C">
        <w:t>it assists in establishing a commercial crop, or identified variants of existing crops, and where propagules are not available, or are very limited from other sources, and where the establishment of a cultivated population contribute to the conservation of the species</w:t>
      </w:r>
    </w:p>
    <w:p w14:paraId="3A6F61FF" w14:textId="77777777" w:rsidR="00CE7AB0" w:rsidRPr="00483567" w:rsidRDefault="00CE7AB0" w:rsidP="00514E4A">
      <w:pPr>
        <w:pStyle w:val="ListBullet"/>
      </w:pPr>
      <w:r w:rsidRPr="00483567">
        <w:t>the NPWS estate is the only, or most appropriate, source of seed material and the seed is to be used for planting activities in, surrounding or adjacent to the NPWS estate</w:t>
      </w:r>
    </w:p>
    <w:p w14:paraId="5E0F3D97" w14:textId="77777777" w:rsidR="00CE7AB0" w:rsidRPr="00483567" w:rsidRDefault="00CE7AB0" w:rsidP="00514E4A">
      <w:pPr>
        <w:pStyle w:val="ListBullet"/>
      </w:pPr>
      <w:proofErr w:type="gramStart"/>
      <w:r w:rsidRPr="00483567">
        <w:t>the</w:t>
      </w:r>
      <w:proofErr w:type="gramEnd"/>
      <w:r w:rsidRPr="00483567">
        <w:t xml:space="preserve"> collection is for legitimate research purposes.</w:t>
      </w:r>
    </w:p>
    <w:p w14:paraId="09BAAE6A" w14:textId="77777777" w:rsidR="00CE7AB0" w:rsidRPr="00937116" w:rsidRDefault="00CE7AB0" w:rsidP="00D72936">
      <w:pPr>
        <w:pStyle w:val="Heading2"/>
      </w:pPr>
      <w:bookmarkStart w:id="341" w:name="_Toc273008496"/>
      <w:bookmarkStart w:id="342" w:name="_Toc283984801"/>
      <w:bookmarkStart w:id="343" w:name="_Toc301869639"/>
      <w:bookmarkStart w:id="344" w:name="_Toc328986843"/>
      <w:bookmarkStart w:id="345" w:name="_Toc328988052"/>
      <w:bookmarkStart w:id="346" w:name="_Toc328988135"/>
      <w:bookmarkStart w:id="347" w:name="_Toc328988216"/>
      <w:bookmarkStart w:id="348" w:name="_Toc328991030"/>
      <w:bookmarkStart w:id="349" w:name="_Toc328991512"/>
      <w:bookmarkStart w:id="350" w:name="_Toc492379094"/>
      <w:bookmarkStart w:id="351" w:name="_Toc494449576"/>
      <w:bookmarkStart w:id="352" w:name="_Toc269105462"/>
      <w:bookmarkStart w:id="353" w:name="_Toc269105532"/>
      <w:bookmarkStart w:id="354" w:name="_Toc269105761"/>
      <w:r w:rsidRPr="00707F74">
        <w:lastRenderedPageBreak/>
        <w:t xml:space="preserve">Managing harvest </w:t>
      </w:r>
      <w:r w:rsidRPr="003261BC">
        <w:t>impact</w:t>
      </w:r>
      <w:r w:rsidRPr="00937116">
        <w:t>s</w:t>
      </w:r>
      <w:bookmarkEnd w:id="341"/>
      <w:bookmarkEnd w:id="342"/>
      <w:bookmarkEnd w:id="343"/>
      <w:bookmarkEnd w:id="344"/>
      <w:bookmarkEnd w:id="345"/>
      <w:bookmarkEnd w:id="346"/>
      <w:bookmarkEnd w:id="347"/>
      <w:bookmarkEnd w:id="348"/>
      <w:bookmarkEnd w:id="349"/>
      <w:bookmarkEnd w:id="350"/>
      <w:bookmarkEnd w:id="351"/>
    </w:p>
    <w:p w14:paraId="59C1C2D7" w14:textId="77777777" w:rsidR="00CE7AB0" w:rsidRPr="00483567" w:rsidRDefault="00CE7AB0" w:rsidP="00FC388E">
      <w:pPr>
        <w:pStyle w:val="BodyText"/>
      </w:pPr>
      <w:r w:rsidRPr="00483567">
        <w:t xml:space="preserve">The harvest of whole protected native plants from the wild can impose some risk to the harvest site and local populations of target and non-target species. Licensees need to be aware of these risks and set up management practices that reduce the potential impacts. Key elements of a damage mitigation strategy are described below. </w:t>
      </w:r>
    </w:p>
    <w:p w14:paraId="795CA3FE" w14:textId="77777777" w:rsidR="00CE7AB0" w:rsidRPr="000C154E" w:rsidRDefault="00CE7AB0" w:rsidP="00D53CC6">
      <w:pPr>
        <w:pStyle w:val="Heading3"/>
      </w:pPr>
      <w:bookmarkStart w:id="355" w:name="_Toc301869640"/>
      <w:bookmarkStart w:id="356" w:name="_Toc328986844"/>
      <w:bookmarkStart w:id="357" w:name="_Toc328988053"/>
      <w:bookmarkStart w:id="358" w:name="_Toc328988136"/>
      <w:bookmarkStart w:id="359" w:name="_Toc328988217"/>
      <w:bookmarkStart w:id="360" w:name="_Toc328991031"/>
      <w:bookmarkStart w:id="361" w:name="_Toc328991513"/>
      <w:r w:rsidRPr="000C154E">
        <w:t>Maximising survivorship</w:t>
      </w:r>
      <w:bookmarkEnd w:id="355"/>
      <w:bookmarkEnd w:id="356"/>
      <w:bookmarkEnd w:id="357"/>
      <w:bookmarkEnd w:id="358"/>
      <w:bookmarkEnd w:id="359"/>
      <w:bookmarkEnd w:id="360"/>
      <w:bookmarkEnd w:id="361"/>
    </w:p>
    <w:p w14:paraId="720C4B12" w14:textId="77777777" w:rsidR="00CE7AB0" w:rsidRPr="00483567" w:rsidRDefault="00CE7AB0" w:rsidP="00FC388E">
      <w:pPr>
        <w:pStyle w:val="BodyText"/>
      </w:pPr>
      <w:r w:rsidRPr="00483567">
        <w:t xml:space="preserve">Plants which are harvested incorrectly often die. Digging up or otherwise harvesting a plant places it under considerable stress by potentially damaging the root system, trunk and/or foliage. Changes to watering and fertilising regimes, altered drainage and soil conditions can also affect the plant. </w:t>
      </w:r>
    </w:p>
    <w:p w14:paraId="5CA8DEDC" w14:textId="77777777" w:rsidR="00CE7AB0" w:rsidRPr="00483567" w:rsidRDefault="00CE7AB0" w:rsidP="00FC388E">
      <w:pPr>
        <w:pStyle w:val="BodyText"/>
      </w:pPr>
      <w:r w:rsidRPr="00483567">
        <w:t xml:space="preserve">This plan </w:t>
      </w:r>
      <w:r>
        <w:t>specifies</w:t>
      </w:r>
      <w:r w:rsidRPr="00483567">
        <w:t xml:space="preserve"> minimum holding periods for some harvested materials. In addition, harvest and stockpile site requirements and product specifications may apply to maximise </w:t>
      </w:r>
      <w:r w:rsidRPr="00F5541F">
        <w:t>post-harvest survival. See Appendices D and E for more information.</w:t>
      </w:r>
    </w:p>
    <w:bookmarkEnd w:id="352"/>
    <w:bookmarkEnd w:id="353"/>
    <w:bookmarkEnd w:id="354"/>
    <w:p w14:paraId="557A785C" w14:textId="77777777" w:rsidR="00CE7AB0" w:rsidRPr="000C154E" w:rsidRDefault="00CE7AB0" w:rsidP="00D53CC6">
      <w:pPr>
        <w:pStyle w:val="Heading3"/>
      </w:pPr>
      <w:r w:rsidRPr="000C154E">
        <w:t xml:space="preserve">Population estimates </w:t>
      </w:r>
    </w:p>
    <w:p w14:paraId="5668447A" w14:textId="77777777" w:rsidR="00CE7AB0" w:rsidRPr="00483567" w:rsidRDefault="00CE7AB0" w:rsidP="00FC388E">
      <w:pPr>
        <w:pStyle w:val="BodyText"/>
      </w:pPr>
      <w:r w:rsidRPr="00483567">
        <w:t>These will be required to help assess harvest sustainability for all extractive licences.</w:t>
      </w:r>
      <w:r>
        <w:t xml:space="preserve"> </w:t>
      </w:r>
      <w:r w:rsidRPr="009B5943">
        <w:t>For example, applications for a wild harvester licence or an approved harvester site approval,</w:t>
      </w:r>
      <w:r w:rsidRPr="00483567">
        <w:t xml:space="preserve"> must include an estimate of the target species population at each proposed harvest site. Also, a harvest plan must be included with the application. It must describe the condition of the site, including access points, and the capacity of the population to recover from harvesting.</w:t>
      </w:r>
    </w:p>
    <w:p w14:paraId="7917DB1A" w14:textId="77777777" w:rsidR="00CE7AB0" w:rsidRPr="00483567" w:rsidRDefault="00CE7AB0" w:rsidP="00FC388E">
      <w:pPr>
        <w:pStyle w:val="BodyText"/>
      </w:pPr>
      <w:r w:rsidRPr="00483567">
        <w:t xml:space="preserve">Wild harvester and approved harvester (sustainable harvest) licensees must also maintain a map of the area identifying each harvest event to help manage harvest effort and intensity over time. Further information is provided in Appendix </w:t>
      </w:r>
      <w:r>
        <w:t>J</w:t>
      </w:r>
      <w:r w:rsidRPr="00483567">
        <w:t>.</w:t>
      </w:r>
    </w:p>
    <w:p w14:paraId="233D6C08" w14:textId="77777777" w:rsidR="00CE7AB0" w:rsidRPr="000C154E" w:rsidRDefault="00CE7AB0" w:rsidP="00D53CC6">
      <w:pPr>
        <w:pStyle w:val="Heading3"/>
      </w:pPr>
      <w:bookmarkStart w:id="362" w:name="_Toc269105393"/>
      <w:bookmarkStart w:id="363" w:name="_Toc269105463"/>
      <w:bookmarkStart w:id="364" w:name="_Toc269105533"/>
      <w:bookmarkStart w:id="365" w:name="_Toc269105585"/>
      <w:bookmarkStart w:id="366" w:name="_Toc269105762"/>
      <w:bookmarkStart w:id="367" w:name="_Toc301869642"/>
      <w:bookmarkStart w:id="368" w:name="_Toc328986846"/>
      <w:bookmarkStart w:id="369" w:name="_Toc328988055"/>
      <w:bookmarkStart w:id="370" w:name="_Toc328988138"/>
      <w:bookmarkStart w:id="371" w:name="_Toc328988219"/>
      <w:bookmarkStart w:id="372" w:name="_Toc328991033"/>
      <w:bookmarkStart w:id="373" w:name="_Toc328991515"/>
      <w:bookmarkEnd w:id="362"/>
      <w:bookmarkEnd w:id="363"/>
      <w:bookmarkEnd w:id="364"/>
      <w:bookmarkEnd w:id="365"/>
      <w:bookmarkEnd w:id="366"/>
      <w:r w:rsidRPr="000C154E">
        <w:t>Setting harvest levels</w:t>
      </w:r>
      <w:bookmarkEnd w:id="367"/>
      <w:bookmarkEnd w:id="368"/>
      <w:bookmarkEnd w:id="369"/>
      <w:bookmarkEnd w:id="370"/>
      <w:bookmarkEnd w:id="371"/>
      <w:bookmarkEnd w:id="372"/>
      <w:bookmarkEnd w:id="373"/>
    </w:p>
    <w:p w14:paraId="066644DA" w14:textId="77777777" w:rsidR="00CE7AB0" w:rsidRPr="00483567" w:rsidRDefault="00CE7AB0" w:rsidP="00FC388E">
      <w:pPr>
        <w:pStyle w:val="BodyText"/>
      </w:pPr>
      <w:r w:rsidRPr="00483567">
        <w:t>Restricting the number of plants that can be harvested limits the impact of harvesting and helps ensure the sustainability of the harvest activities.</w:t>
      </w:r>
    </w:p>
    <w:p w14:paraId="1C6C1FC9" w14:textId="77777777" w:rsidR="00CE7AB0" w:rsidRPr="00483567" w:rsidRDefault="00CE7AB0" w:rsidP="00FC388E">
      <w:pPr>
        <w:pStyle w:val="BodyText"/>
      </w:pPr>
      <w:r w:rsidRPr="001B0DD6">
        <w:t xml:space="preserve">OEH may restrict the number of plants </w:t>
      </w:r>
      <w:r w:rsidRPr="00C9194F">
        <w:t xml:space="preserve">that </w:t>
      </w:r>
      <w:r>
        <w:t>can</w:t>
      </w:r>
      <w:r w:rsidRPr="00C9194F">
        <w:t xml:space="preserve"> be harvested</w:t>
      </w:r>
      <w:r w:rsidRPr="00DB1E8F">
        <w:t xml:space="preserve">. </w:t>
      </w:r>
      <w:r>
        <w:t xml:space="preserve">This may include </w:t>
      </w:r>
      <w:r w:rsidRPr="001B0DD6">
        <w:t>impos</w:t>
      </w:r>
      <w:r>
        <w:t>ing</w:t>
      </w:r>
      <w:r w:rsidRPr="001B0DD6">
        <w:t xml:space="preserve"> quota</w:t>
      </w:r>
      <w:r>
        <w:t>s or setting</w:t>
      </w:r>
      <w:r w:rsidRPr="001B0DD6">
        <w:t xml:space="preserve"> licence conditions</w:t>
      </w:r>
      <w:r>
        <w:t xml:space="preserve">. </w:t>
      </w:r>
      <w:r w:rsidRPr="00DB1E8F">
        <w:t>Restrictions may be varied according to criteria such as</w:t>
      </w:r>
      <w:r w:rsidRPr="00483567">
        <w:t xml:space="preserve"> rainfall, effects of fire, impacts on non-target species and on the overall ecosystem and/or other land use considerations. OEH may also set a lower rate of harvest for new licensees. In some circumstances, there may be a ban on harvesting a species for a specified period or </w:t>
      </w:r>
      <w:r>
        <w:t xml:space="preserve">from a specified </w:t>
      </w:r>
      <w:r w:rsidRPr="00483567">
        <w:t>area.</w:t>
      </w:r>
    </w:p>
    <w:p w14:paraId="7B0C2B85" w14:textId="77777777" w:rsidR="00CE7AB0" w:rsidRPr="00483567" w:rsidRDefault="00CE7AB0" w:rsidP="00FC388E">
      <w:pPr>
        <w:pStyle w:val="BodyText"/>
      </w:pPr>
      <w:r w:rsidRPr="00483567">
        <w:t xml:space="preserve">Minimum population thresholds apply for wild harvesting, particularly where there is doubt about the </w:t>
      </w:r>
      <w:r>
        <w:t>sustainability</w:t>
      </w:r>
      <w:r w:rsidRPr="00483567">
        <w:t xml:space="preserve"> of harvesting or the proposed level of harvest. The following criteria may be used for guidance when setting harvest levels: </w:t>
      </w:r>
    </w:p>
    <w:p w14:paraId="1CEE94CA" w14:textId="77777777" w:rsidR="00CE7AB0" w:rsidRPr="00483567" w:rsidRDefault="00CE7AB0" w:rsidP="00CE6A34">
      <w:pPr>
        <w:pStyle w:val="ListBullet"/>
      </w:pPr>
      <w:r w:rsidRPr="00483567">
        <w:t xml:space="preserve">harvest no more than </w:t>
      </w:r>
      <w:r>
        <w:t xml:space="preserve">ten per cent (10%) </w:t>
      </w:r>
      <w:r w:rsidRPr="00483567">
        <w:t>of the available population of approved size classes for Group</w:t>
      </w:r>
      <w:r>
        <w:t> </w:t>
      </w:r>
      <w:r w:rsidRPr="00483567">
        <w:t>1 species</w:t>
      </w:r>
    </w:p>
    <w:p w14:paraId="07CECC73" w14:textId="77777777" w:rsidR="00CE7AB0" w:rsidRPr="001410F2" w:rsidRDefault="00CE7AB0" w:rsidP="00CE6A34">
      <w:pPr>
        <w:pStyle w:val="ListBullet"/>
      </w:pPr>
      <w:r w:rsidRPr="001410F2">
        <w:t xml:space="preserve">where available and appropriate, national harvest guidelines will apply </w:t>
      </w:r>
    </w:p>
    <w:p w14:paraId="2385FAB2" w14:textId="77777777" w:rsidR="00CE7AB0" w:rsidRPr="00483567" w:rsidRDefault="00CE7AB0" w:rsidP="00CE6A34">
      <w:pPr>
        <w:pStyle w:val="ListBullet"/>
      </w:pPr>
      <w:r w:rsidRPr="00483567">
        <w:t xml:space="preserve">harvest no more than </w:t>
      </w:r>
      <w:r>
        <w:t>one per cent</w:t>
      </w:r>
      <w:r w:rsidRPr="00483567">
        <w:t xml:space="preserve"> </w:t>
      </w:r>
      <w:r>
        <w:t xml:space="preserve">(1%) </w:t>
      </w:r>
      <w:r w:rsidRPr="00483567">
        <w:t xml:space="preserve">of the available population of an approved size class (see Appendix </w:t>
      </w:r>
      <w:r>
        <w:t>K</w:t>
      </w:r>
      <w:r w:rsidRPr="00483567">
        <w:t>) for Group 2 species</w:t>
      </w:r>
    </w:p>
    <w:p w14:paraId="65EF4ADD" w14:textId="77777777" w:rsidR="00CE7AB0" w:rsidRPr="00483567" w:rsidRDefault="00CE7AB0" w:rsidP="00CE6A34">
      <w:pPr>
        <w:pStyle w:val="ListBullet"/>
      </w:pPr>
      <w:proofErr w:type="gramStart"/>
      <w:r w:rsidRPr="00483567">
        <w:t>all</w:t>
      </w:r>
      <w:proofErr w:type="gramEnd"/>
      <w:r w:rsidRPr="00483567">
        <w:t xml:space="preserve"> individuals of an approved size class for species in Groups 1, 2 or 3 may be available for salvage harvesting (see Appendix </w:t>
      </w:r>
      <w:r>
        <w:t>K</w:t>
      </w:r>
      <w:r w:rsidRPr="00483567">
        <w:t>).</w:t>
      </w:r>
    </w:p>
    <w:p w14:paraId="2817F613" w14:textId="77777777" w:rsidR="00CE7AB0" w:rsidRPr="00483567" w:rsidRDefault="00CE7AB0" w:rsidP="00FC388E">
      <w:r w:rsidRPr="00483567">
        <w:lastRenderedPageBreak/>
        <w:t xml:space="preserve">OEH may further restrict harvest rates where the current rates </w:t>
      </w:r>
      <w:r>
        <w:t>impact</w:t>
      </w:r>
      <w:r w:rsidRPr="00483567">
        <w:t xml:space="preserve"> or are likely to impact on the sustainability of the target product. </w:t>
      </w:r>
    </w:p>
    <w:p w14:paraId="3A47FF0F" w14:textId="77777777" w:rsidR="00CE7AB0" w:rsidRPr="00707F74" w:rsidRDefault="00CE7AB0" w:rsidP="00D53CC6">
      <w:pPr>
        <w:pStyle w:val="Heading3"/>
      </w:pPr>
      <w:bookmarkStart w:id="374" w:name="_Toc301869643"/>
      <w:bookmarkStart w:id="375" w:name="_Toc328986847"/>
      <w:bookmarkStart w:id="376" w:name="_Toc328988056"/>
      <w:bookmarkStart w:id="377" w:name="_Toc328988139"/>
      <w:bookmarkStart w:id="378" w:name="_Toc328988220"/>
      <w:bookmarkStart w:id="379" w:name="_Toc328991034"/>
      <w:bookmarkStart w:id="380" w:name="_Toc328991516"/>
      <w:r w:rsidRPr="00707F74">
        <w:t xml:space="preserve">No multiple licences per </w:t>
      </w:r>
      <w:r w:rsidRPr="003261BC">
        <w:t>site</w:t>
      </w:r>
      <w:bookmarkEnd w:id="374"/>
      <w:bookmarkEnd w:id="375"/>
      <w:bookmarkEnd w:id="376"/>
      <w:bookmarkEnd w:id="377"/>
      <w:bookmarkEnd w:id="378"/>
      <w:bookmarkEnd w:id="379"/>
      <w:bookmarkEnd w:id="380"/>
    </w:p>
    <w:p w14:paraId="7710B937" w14:textId="58FDD34B" w:rsidR="00CE7AB0" w:rsidRPr="00483567" w:rsidRDefault="00CE7AB0" w:rsidP="00FC388E">
      <w:pPr>
        <w:pStyle w:val="BodyText"/>
      </w:pPr>
      <w:r w:rsidRPr="00483567">
        <w:t xml:space="preserve">This plan seeks to manage the intensity of </w:t>
      </w:r>
      <w:r>
        <w:t xml:space="preserve">wild </w:t>
      </w:r>
      <w:r w:rsidRPr="00483567">
        <w:t xml:space="preserve">harvesting at a site. To this effect, only a single wild harvester </w:t>
      </w:r>
      <w:r>
        <w:t xml:space="preserve">licence </w:t>
      </w:r>
      <w:r w:rsidRPr="00483567">
        <w:t>or approved harvester (sustainable harvest)</w:t>
      </w:r>
      <w:r>
        <w:t xml:space="preserve"> site approval </w:t>
      </w:r>
      <w:r w:rsidRPr="00483567">
        <w:t xml:space="preserve">per species will be issued for a specified harvest site within any five-year period. This does not limit the renewal of an existing licence but precludes additional licences being issued, other than a grower licence. </w:t>
      </w:r>
    </w:p>
    <w:p w14:paraId="579E59DB" w14:textId="3799C02C" w:rsidR="00CE7AB0" w:rsidRDefault="00CE7AB0" w:rsidP="00FC388E">
      <w:pPr>
        <w:pStyle w:val="BodyText"/>
      </w:pPr>
      <w:r w:rsidRPr="00483567">
        <w:t xml:space="preserve">For example, if a wild harvester licence has been issued for a species in Part 2 Group 1, an approved harvester licence (sustainable harvest) </w:t>
      </w:r>
      <w:r>
        <w:t xml:space="preserve">site approval </w:t>
      </w:r>
      <w:r w:rsidRPr="00483567">
        <w:t>will not be issued for the same site and species</w:t>
      </w:r>
      <w:r>
        <w:t xml:space="preserve"> within five years. In addition, only one site approval will be granted to an approved harvester fo</w:t>
      </w:r>
      <w:r w:rsidRPr="00483567">
        <w:t xml:space="preserve">r </w:t>
      </w:r>
      <w:r>
        <w:t xml:space="preserve">the sustainable harvest of a species at </w:t>
      </w:r>
      <w:r w:rsidRPr="00483567">
        <w:t>a specified harvest site</w:t>
      </w:r>
      <w:r>
        <w:t xml:space="preserve"> in any five-year period, unless the quota for the site approval was below the sustainable harvest level or was not filled. In these cases, additional site approvals may be granted to allow the harvest of the remainder of the quota.</w:t>
      </w:r>
    </w:p>
    <w:p w14:paraId="70EA0F88" w14:textId="3EFB9781" w:rsidR="00CE7AB0" w:rsidRPr="00483567" w:rsidRDefault="00CE7AB0" w:rsidP="00FC388E">
      <w:pPr>
        <w:pStyle w:val="BodyText"/>
      </w:pPr>
      <w:r w:rsidRPr="00483567">
        <w:t xml:space="preserve">Should a site subject to licensing </w:t>
      </w:r>
      <w:r w:rsidR="0060494E">
        <w:t>–</w:t>
      </w:r>
      <w:r w:rsidRPr="00483567">
        <w:t xml:space="preserve"> under either a wild harvester or approved harvester (sustainable harvest) licence </w:t>
      </w:r>
      <w:r w:rsidR="0060494E">
        <w:t>–</w:t>
      </w:r>
      <w:r w:rsidRPr="00483567">
        <w:t xml:space="preserve"> be approved for salvage harvest, the wild harvester or approved harvester licence will cease to have effect over th</w:t>
      </w:r>
      <w:r>
        <w:t xml:space="preserve">at section of </w:t>
      </w:r>
      <w:r w:rsidRPr="00483567">
        <w:t>the site</w:t>
      </w:r>
      <w:r>
        <w:t xml:space="preserve"> subject to the clearing works</w:t>
      </w:r>
      <w:r w:rsidRPr="00483567">
        <w:t xml:space="preserve">. The salvage </w:t>
      </w:r>
      <w:r w:rsidR="005B0FCA">
        <w:t xml:space="preserve">harvest </w:t>
      </w:r>
      <w:r w:rsidRPr="00483567">
        <w:t xml:space="preserve">will be subject to the size class limitations in </w:t>
      </w:r>
      <w:r>
        <w:t>A</w:t>
      </w:r>
      <w:r w:rsidRPr="00483567">
        <w:t xml:space="preserve">ppendix </w:t>
      </w:r>
      <w:r>
        <w:t>K</w:t>
      </w:r>
      <w:r w:rsidRPr="00483567">
        <w:t xml:space="preserve">. </w:t>
      </w:r>
    </w:p>
    <w:p w14:paraId="5E62C09A" w14:textId="77777777" w:rsidR="00CE7AB0" w:rsidRDefault="00CE7AB0" w:rsidP="00FC388E">
      <w:pPr>
        <w:pStyle w:val="BodyText"/>
      </w:pPr>
      <w:r>
        <w:t xml:space="preserve">Should a site subject to licensing be sold, the licence is not transferable. Should the new </w:t>
      </w:r>
      <w:r w:rsidRPr="00AE46FA">
        <w:t xml:space="preserve">owners wish to harvest or grow protected plants, a new </w:t>
      </w:r>
      <w:r>
        <w:t xml:space="preserve">licence </w:t>
      </w:r>
      <w:r w:rsidRPr="00AE46FA">
        <w:t>application will be required and it will</w:t>
      </w:r>
      <w:r>
        <w:t xml:space="preserve"> be assessed on its merits. Any new licences issued will be limited to the same or lesser activities as permitted under the previous licence. </w:t>
      </w:r>
    </w:p>
    <w:p w14:paraId="0D83B8E1" w14:textId="77777777" w:rsidR="00CE7AB0" w:rsidRPr="00483567" w:rsidRDefault="00CE7AB0" w:rsidP="00FC388E">
      <w:pPr>
        <w:pStyle w:val="BodyText"/>
      </w:pPr>
      <w:r>
        <w:t xml:space="preserve">Where a site that is subject to harvest by an approved harvester is sold, harvesting must cease until the approved harvester can demonstrate written permission from the new owner. Where this is done within six months of the date of sale, no new site approval fees will apply. Any notifications outside this period will be subject to a new site approval application and associated fees. </w:t>
      </w:r>
    </w:p>
    <w:p w14:paraId="1158368E" w14:textId="77777777" w:rsidR="00CE7AB0" w:rsidRPr="00483567" w:rsidRDefault="00CE7AB0" w:rsidP="00FC388E">
      <w:pPr>
        <w:pStyle w:val="BodyText"/>
      </w:pPr>
      <w:r w:rsidRPr="00483567">
        <w:t xml:space="preserve">A grower licence may be issued in conjunction with any wild harvest or approved harvester licence on the same property. </w:t>
      </w:r>
    </w:p>
    <w:p w14:paraId="00319C83" w14:textId="77777777" w:rsidR="00CE7AB0" w:rsidRPr="000C154E" w:rsidRDefault="00CE7AB0" w:rsidP="00D53CC6">
      <w:pPr>
        <w:pStyle w:val="Heading3"/>
      </w:pPr>
      <w:bookmarkStart w:id="381" w:name="_Toc301869644"/>
      <w:bookmarkStart w:id="382" w:name="_Toc328986848"/>
      <w:bookmarkStart w:id="383" w:name="_Toc328988057"/>
      <w:bookmarkStart w:id="384" w:name="_Toc328988140"/>
      <w:bookmarkStart w:id="385" w:name="_Toc328988221"/>
      <w:bookmarkStart w:id="386" w:name="_Toc328991035"/>
      <w:bookmarkStart w:id="387" w:name="_Toc328991517"/>
      <w:r w:rsidRPr="000C154E">
        <w:t>Hygiene management</w:t>
      </w:r>
      <w:bookmarkEnd w:id="381"/>
      <w:bookmarkEnd w:id="382"/>
      <w:bookmarkEnd w:id="383"/>
      <w:bookmarkEnd w:id="384"/>
      <w:bookmarkEnd w:id="385"/>
      <w:bookmarkEnd w:id="386"/>
      <w:bookmarkEnd w:id="387"/>
    </w:p>
    <w:p w14:paraId="0A4E068A" w14:textId="77777777" w:rsidR="00CE7AB0" w:rsidRPr="00483567" w:rsidRDefault="00CE7AB0" w:rsidP="00FC388E">
      <w:pPr>
        <w:pStyle w:val="BodyText"/>
      </w:pPr>
      <w:r w:rsidRPr="00483567">
        <w:t>The wild harvest of plants may facilitate the transfer of weeds or pathogens between localities. For example, some taxa such as grass trees (</w:t>
      </w:r>
      <w:r w:rsidRPr="00356331">
        <w:rPr>
          <w:i/>
        </w:rPr>
        <w:t>Xanthorrhoea</w:t>
      </w:r>
      <w:r w:rsidRPr="00483567">
        <w:t xml:space="preserve"> species) are susceptible to </w:t>
      </w:r>
      <w:r w:rsidRPr="00356331">
        <w:rPr>
          <w:i/>
        </w:rPr>
        <w:t>Phytophthora</w:t>
      </w:r>
      <w:r w:rsidRPr="00483567">
        <w:t>, a contagious and damaging soil-borne infection. The sustainability of harvesting will be jeopardised should a site become infected and landowners and licensees should report all possible outbreaks.</w:t>
      </w:r>
    </w:p>
    <w:p w14:paraId="6E5D9168" w14:textId="77777777" w:rsidR="00CE7AB0" w:rsidRPr="00483567" w:rsidRDefault="00CE7AB0" w:rsidP="00FC388E">
      <w:pPr>
        <w:pStyle w:val="BodyText"/>
      </w:pPr>
      <w:r w:rsidRPr="00483567">
        <w:t xml:space="preserve">Precautions such as cleaning tools and washing shoes between visits to different sites must be taken, particularly for approved harvesters who often work and travel between different areas. </w:t>
      </w:r>
    </w:p>
    <w:p w14:paraId="16A0309F" w14:textId="77777777" w:rsidR="00CE7AB0" w:rsidRPr="00483567" w:rsidRDefault="00CE7AB0" w:rsidP="00FC388E">
      <w:pPr>
        <w:pStyle w:val="BodyText"/>
      </w:pPr>
      <w:r w:rsidRPr="00483567">
        <w:t xml:space="preserve">OEH will not issue a licence, and may cancel existing licences, for sites affected by pathogens or weeds where such invasions are likely to have significant conservation impacts. Further information on hygiene procedures is provided in Appendix D. </w:t>
      </w:r>
    </w:p>
    <w:p w14:paraId="1A75F30B" w14:textId="77777777" w:rsidR="00CE7AB0" w:rsidRPr="00937116" w:rsidRDefault="00CE7AB0" w:rsidP="00D72936">
      <w:pPr>
        <w:pStyle w:val="Heading2"/>
      </w:pPr>
      <w:bookmarkStart w:id="388" w:name="_Toc273008497"/>
      <w:bookmarkStart w:id="389" w:name="_Toc283984802"/>
      <w:bookmarkStart w:id="390" w:name="_Toc301869645"/>
      <w:bookmarkStart w:id="391" w:name="_Toc328986849"/>
      <w:bookmarkStart w:id="392" w:name="_Toc328988058"/>
      <w:bookmarkStart w:id="393" w:name="_Toc328988141"/>
      <w:bookmarkStart w:id="394" w:name="_Toc328988222"/>
      <w:bookmarkStart w:id="395" w:name="_Toc328991036"/>
      <w:bookmarkStart w:id="396" w:name="_Toc328991518"/>
      <w:bookmarkStart w:id="397" w:name="_Toc492379095"/>
      <w:bookmarkStart w:id="398" w:name="_Toc494449577"/>
      <w:r w:rsidRPr="00707F74">
        <w:lastRenderedPageBreak/>
        <w:t>Whole plant tagging</w:t>
      </w:r>
      <w:bookmarkEnd w:id="388"/>
      <w:r w:rsidRPr="003261BC">
        <w:t xml:space="preserve"> requirements</w:t>
      </w:r>
      <w:bookmarkEnd w:id="389"/>
      <w:bookmarkEnd w:id="390"/>
      <w:bookmarkEnd w:id="391"/>
      <w:bookmarkEnd w:id="392"/>
      <w:bookmarkEnd w:id="393"/>
      <w:bookmarkEnd w:id="394"/>
      <w:bookmarkEnd w:id="395"/>
      <w:bookmarkEnd w:id="396"/>
      <w:bookmarkEnd w:id="397"/>
      <w:bookmarkEnd w:id="398"/>
      <w:r w:rsidRPr="00937116">
        <w:t xml:space="preserve"> </w:t>
      </w:r>
    </w:p>
    <w:p w14:paraId="39F9B813" w14:textId="77777777" w:rsidR="00CE7AB0" w:rsidRDefault="00CE7AB0" w:rsidP="00FC388E">
      <w:pPr>
        <w:pStyle w:val="BodyText"/>
      </w:pPr>
      <w:r>
        <w:t xml:space="preserve">Under the BC Regulation it is an offence to contravene a requirement of a licence to affix tags to a protected plant.  </w:t>
      </w:r>
    </w:p>
    <w:p w14:paraId="3C178AE4" w14:textId="77777777" w:rsidR="00CE7AB0" w:rsidRPr="00483567" w:rsidRDefault="00CE7AB0" w:rsidP="00FC388E">
      <w:pPr>
        <w:pStyle w:val="BodyText"/>
      </w:pPr>
      <w:r w:rsidRPr="00483567">
        <w:t>This plan requires plant species at high conservation risk, in high demand or at significant risk of illegal harvest</w:t>
      </w:r>
      <w:r>
        <w:t>,</w:t>
      </w:r>
      <w:r w:rsidRPr="00483567">
        <w:t xml:space="preserve"> to have tags attached. </w:t>
      </w:r>
    </w:p>
    <w:p w14:paraId="6E382C6F" w14:textId="77777777" w:rsidR="00CE7AB0" w:rsidRPr="00483567" w:rsidRDefault="00CE7AB0" w:rsidP="00FC388E">
      <w:pPr>
        <w:pStyle w:val="BodyText"/>
      </w:pPr>
      <w:r w:rsidRPr="00483567">
        <w:t xml:space="preserve">Tagging is a useful way to ensure continuity of lawful possession throughout the supply chain, from harvest site to end user, particularly when they are on-sold many times. The use of tags eliminates the need for all parties in the supply chain to be licensed. Tags also identify legally sourced plants, making it easier for consumers to preferentially select cultivated specimens. </w:t>
      </w:r>
    </w:p>
    <w:p w14:paraId="7C0D95D5" w14:textId="77777777" w:rsidR="00CE7AB0" w:rsidRPr="00483567" w:rsidRDefault="00CE7AB0" w:rsidP="00FC388E">
      <w:pPr>
        <w:pStyle w:val="BodyText"/>
      </w:pPr>
      <w:r>
        <w:t>T</w:t>
      </w:r>
      <w:r w:rsidRPr="00483567">
        <w:t xml:space="preserve">ags attached legally to protected plants from interstate are recognised under this plan. </w:t>
      </w:r>
    </w:p>
    <w:p w14:paraId="303A01CB" w14:textId="77777777" w:rsidR="00CE7AB0" w:rsidRPr="00483567" w:rsidRDefault="00CE7AB0" w:rsidP="00FC388E">
      <w:pPr>
        <w:pStyle w:val="BodyText"/>
      </w:pPr>
      <w:r w:rsidRPr="00483567">
        <w:t>Sellers should ensure that suppliers (whether in NSW or elsewhere) are appropriately licensed and that products comply with the tagging requirements set down in a relevant flora management plan.</w:t>
      </w:r>
    </w:p>
    <w:p w14:paraId="3C639480" w14:textId="77777777" w:rsidR="00CE7AB0" w:rsidRPr="00483567" w:rsidRDefault="00CE7AB0" w:rsidP="00FC388E">
      <w:pPr>
        <w:pStyle w:val="BodyText"/>
      </w:pPr>
      <w:r w:rsidRPr="00483567">
        <w:t>Two types of tags referred to as ‘NPWS tags’ and ‘grower tags’ are specified in this plan and their use will vary according to licence type and species.</w:t>
      </w:r>
    </w:p>
    <w:p w14:paraId="5344BE7A" w14:textId="77777777" w:rsidR="00CE7AB0" w:rsidRPr="00707F74" w:rsidRDefault="00CE7AB0" w:rsidP="00D53CC6">
      <w:pPr>
        <w:pStyle w:val="Heading3"/>
      </w:pPr>
      <w:bookmarkStart w:id="399" w:name="_Toc283984803"/>
      <w:bookmarkStart w:id="400" w:name="_Toc301869646"/>
      <w:bookmarkStart w:id="401" w:name="_Toc328986850"/>
      <w:bookmarkStart w:id="402" w:name="_Toc328988059"/>
      <w:bookmarkStart w:id="403" w:name="_Toc328988142"/>
      <w:bookmarkStart w:id="404" w:name="_Toc328988223"/>
      <w:bookmarkStart w:id="405" w:name="_Toc328991037"/>
      <w:bookmarkStart w:id="406" w:name="_Toc328991519"/>
      <w:r w:rsidRPr="00707F74">
        <w:t>NPWS tags</w:t>
      </w:r>
      <w:bookmarkEnd w:id="399"/>
      <w:bookmarkEnd w:id="400"/>
      <w:bookmarkEnd w:id="401"/>
      <w:bookmarkEnd w:id="402"/>
      <w:bookmarkEnd w:id="403"/>
      <w:bookmarkEnd w:id="404"/>
      <w:bookmarkEnd w:id="405"/>
      <w:bookmarkEnd w:id="406"/>
    </w:p>
    <w:p w14:paraId="0F4C2F35" w14:textId="77777777" w:rsidR="00CE7AB0" w:rsidRPr="00483567" w:rsidRDefault="00CE7AB0" w:rsidP="00FC388E">
      <w:pPr>
        <w:pStyle w:val="BodyText"/>
      </w:pPr>
      <w:r w:rsidRPr="00483567">
        <w:t>These are prefixed and numbered tags produced by OEH that enable the origin of plants to be traced to both a specific licence and harvest site. Each NPWS tag will include the NPWS logo and a brief description of plant origin or species.</w:t>
      </w:r>
    </w:p>
    <w:p w14:paraId="78BBB268" w14:textId="77777777" w:rsidR="00CE7AB0" w:rsidRPr="00483567" w:rsidRDefault="00CE7AB0" w:rsidP="00FC388E">
      <w:pPr>
        <w:pStyle w:val="BodyText"/>
      </w:pPr>
      <w:r w:rsidRPr="00483567">
        <w:t xml:space="preserve">NPWS tags will be required for all plants acquired from extractive sources under wild harvester and approved harvester licences. Persons with a grower licence may require an NPWS tag for some plants such as </w:t>
      </w:r>
      <w:r w:rsidRPr="00356331">
        <w:rPr>
          <w:i/>
        </w:rPr>
        <w:t>Xanthorrhoea</w:t>
      </w:r>
      <w:r w:rsidRPr="00483567">
        <w:t>, however, this will not apply to all size classes of plant (see Appendix </w:t>
      </w:r>
      <w:r>
        <w:t>K</w:t>
      </w:r>
      <w:r w:rsidRPr="00483567">
        <w:t>).</w:t>
      </w:r>
      <w:r>
        <w:t xml:space="preserve"> A grower licensee may choose to use NPWS tags for their products, including those species and size classes where it is not mandatory. These tags will be produced on request and will be charged at cost recovery rates. NPWS tags must be used in addition to grower tags in this case. </w:t>
      </w:r>
    </w:p>
    <w:p w14:paraId="53B83BC9" w14:textId="54F00F9F" w:rsidR="00CE7AB0" w:rsidRPr="00483567" w:rsidRDefault="00CE7AB0" w:rsidP="00FC388E">
      <w:pPr>
        <w:pStyle w:val="BodyText"/>
      </w:pPr>
      <w:r w:rsidRPr="00483567">
        <w:t xml:space="preserve">Tags will be issued for the number of plants approved </w:t>
      </w:r>
      <w:r w:rsidR="0060494E">
        <w:t>–</w:t>
      </w:r>
      <w:r w:rsidRPr="00483567">
        <w:t xml:space="preserve"> either in bulk on licence approval and payment, or periodically on request throughout the licence period. Tags will be issued from local area offices directly to licensees or an approved nominee. These must be signed for on receipt by the licensee. Alternatively, tags may be sent to licensees via registered mail. The licensee will be responsible for postage costs should tags be delivered via registered post.</w:t>
      </w:r>
    </w:p>
    <w:p w14:paraId="5DDA7F89" w14:textId="77777777" w:rsidR="00CE7AB0" w:rsidRPr="003350F9" w:rsidRDefault="00CE7AB0" w:rsidP="00FC388E">
      <w:pPr>
        <w:pStyle w:val="BodyText"/>
      </w:pPr>
      <w:r w:rsidRPr="00483567">
        <w:t>NPWS tags are single use and must be attached to individual plants at the harvest site</w:t>
      </w:r>
      <w:r>
        <w:t xml:space="preserve"> or managed in such a way that tags are immediately allocated to harvested plants</w:t>
      </w:r>
      <w:r w:rsidRPr="00483567">
        <w:t xml:space="preserve">. Transporting harvested plants </w:t>
      </w:r>
      <w:r>
        <w:t>that are not appropriately</w:t>
      </w:r>
      <w:r w:rsidRPr="00483567">
        <w:t xml:space="preserve"> tagged is a breach of licence conditions (Appendix D). </w:t>
      </w:r>
      <w:r>
        <w:t xml:space="preserve">NPWS tags must not be cut down or modified. They must be permanently </w:t>
      </w:r>
      <w:r w:rsidRPr="00C2245F">
        <w:t>attached, as issued, in a manner appropriate for the product. This might be done using staples, nails or string. Alternatively, if the tag design allows it, loop the tag around the product.</w:t>
      </w:r>
      <w:r w:rsidRPr="00472451">
        <w:t xml:space="preserve"> </w:t>
      </w:r>
    </w:p>
    <w:p w14:paraId="225B8BBB" w14:textId="77777777" w:rsidR="00CE7AB0" w:rsidRPr="00483567" w:rsidRDefault="00CE7AB0" w:rsidP="00FC388E">
      <w:pPr>
        <w:pStyle w:val="BodyText"/>
      </w:pPr>
      <w:r w:rsidRPr="00483567">
        <w:t xml:space="preserve">If plants that are tagged are lost or die at any time prior to sale, the tags must not be reused on replacement plants. Lost or damaged tags may be replaced if OEH is provided with both </w:t>
      </w:r>
      <w:r w:rsidRPr="00356331">
        <w:rPr>
          <w:spacing w:val="-2"/>
        </w:rPr>
        <w:t>satisfactory evidence for their replacement and any damaged ones that remain.</w:t>
      </w:r>
      <w:r w:rsidRPr="009B3E34">
        <w:rPr>
          <w:spacing w:val="-2"/>
        </w:rPr>
        <w:t xml:space="preserve"> Replacement</w:t>
      </w:r>
      <w:r w:rsidRPr="00483567">
        <w:t xml:space="preserve"> tags must be paid for by the licensee. </w:t>
      </w:r>
    </w:p>
    <w:p w14:paraId="2D0C3A0F" w14:textId="189425D9" w:rsidR="00CE7AB0" w:rsidRPr="00483567" w:rsidRDefault="00CE7AB0" w:rsidP="00FC388E">
      <w:pPr>
        <w:pStyle w:val="BodyText"/>
      </w:pPr>
      <w:r w:rsidRPr="00483567">
        <w:t>OEH will charge a fee for each tag. NPWS tags for most products will be charged at cost-recovery rates only. The current fee is approximately 20</w:t>
      </w:r>
      <w:r w:rsidR="0060494E">
        <w:t xml:space="preserve"> cents</w:t>
      </w:r>
      <w:r w:rsidRPr="00483567">
        <w:t xml:space="preserve"> per tag. These fees are current at the time of publication but may alter in the future. </w:t>
      </w:r>
    </w:p>
    <w:p w14:paraId="491C22F9" w14:textId="7C79C0E0" w:rsidR="00CE7AB0" w:rsidRPr="00483567" w:rsidRDefault="00CE7AB0" w:rsidP="00FC388E">
      <w:pPr>
        <w:pStyle w:val="BodyText"/>
      </w:pPr>
      <w:r w:rsidRPr="00483567">
        <w:lastRenderedPageBreak/>
        <w:t xml:space="preserve">For medium- to high-risk plants, such as those species listed in Schedule </w:t>
      </w:r>
      <w:r>
        <w:t>6</w:t>
      </w:r>
      <w:r w:rsidRPr="00483567">
        <w:t xml:space="preserve">, Part 2 Groups 2 to 3 (see sections 5.1.2 </w:t>
      </w:r>
      <w:r>
        <w:t>and</w:t>
      </w:r>
      <w:r w:rsidRPr="00483567">
        <w:t xml:space="preserve"> 5.1.3), a premium fee on tags may be charged. This is to provide additional incentive to reduce levels of wild harvest and to encourage the use of material grown from cultivated sources. The proposed tag fee for these premium species is likely to be set at $3 to $5 per plant. </w:t>
      </w:r>
    </w:p>
    <w:p w14:paraId="577675E9" w14:textId="77777777" w:rsidR="00CE7AB0" w:rsidRPr="001B187E" w:rsidRDefault="00CE7AB0" w:rsidP="00FC388E">
      <w:pPr>
        <w:pStyle w:val="BodyText"/>
      </w:pPr>
      <w:r w:rsidRPr="00483567">
        <w:t>Funds from tag fees over and above cost recovery will be used to support compliance and research activities.</w:t>
      </w:r>
      <w:r w:rsidRPr="00356331">
        <w:rPr>
          <w:i/>
        </w:rPr>
        <w:t xml:space="preserve"> </w:t>
      </w:r>
    </w:p>
    <w:p w14:paraId="7696421C" w14:textId="77777777" w:rsidR="00CE7AB0" w:rsidRPr="00483567" w:rsidRDefault="00CE7AB0" w:rsidP="00FC388E">
      <w:pPr>
        <w:pStyle w:val="BodyText"/>
      </w:pPr>
      <w:r w:rsidRPr="00483567">
        <w:t>Tags are only issued for the term of a licence. If tags are not used within the term of the licence they must either be returned to OEH or destroyed, and a record of the tag numbers noted.</w:t>
      </w:r>
    </w:p>
    <w:p w14:paraId="7D731D89" w14:textId="77777777" w:rsidR="00CE7AB0" w:rsidRPr="00483567" w:rsidRDefault="00CE7AB0" w:rsidP="00FC388E">
      <w:pPr>
        <w:pStyle w:val="BodyText"/>
      </w:pPr>
      <w:r w:rsidRPr="00483567">
        <w:t>Unused tags from an expired licence may be reallocated by OEH on renewal of the licence. OEH may charge a fee to cover costs of tag production but will not charge an additional processing fee.</w:t>
      </w:r>
    </w:p>
    <w:p w14:paraId="44410A3A" w14:textId="77777777" w:rsidR="00CE7AB0" w:rsidRPr="001410F2" w:rsidRDefault="00CE7AB0" w:rsidP="00FC388E">
      <w:pPr>
        <w:pStyle w:val="BodyText"/>
      </w:pPr>
      <w:r w:rsidRPr="001410F2">
        <w:t>Licensees must report which tags were used and the survivorship status of the harvested plants to OEH.</w:t>
      </w:r>
    </w:p>
    <w:p w14:paraId="0E323DD9" w14:textId="77777777" w:rsidR="00CE7AB0" w:rsidRPr="003261BC" w:rsidRDefault="00CE7AB0" w:rsidP="00D53CC6">
      <w:pPr>
        <w:pStyle w:val="Heading3"/>
      </w:pPr>
      <w:bookmarkStart w:id="407" w:name="_Toc283984804"/>
      <w:bookmarkStart w:id="408" w:name="_Toc301869647"/>
      <w:bookmarkStart w:id="409" w:name="_Toc328986851"/>
      <w:bookmarkStart w:id="410" w:name="_Toc328988060"/>
      <w:bookmarkStart w:id="411" w:name="_Toc328988143"/>
      <w:bookmarkStart w:id="412" w:name="_Toc328988224"/>
      <w:bookmarkStart w:id="413" w:name="_Toc328991038"/>
      <w:bookmarkStart w:id="414" w:name="_Toc328991520"/>
      <w:r w:rsidRPr="00707F74">
        <w:t>Grower tags</w:t>
      </w:r>
      <w:bookmarkEnd w:id="407"/>
      <w:bookmarkEnd w:id="408"/>
      <w:bookmarkEnd w:id="409"/>
      <w:bookmarkEnd w:id="410"/>
      <w:bookmarkEnd w:id="411"/>
      <w:bookmarkEnd w:id="412"/>
      <w:bookmarkEnd w:id="413"/>
      <w:bookmarkEnd w:id="414"/>
    </w:p>
    <w:p w14:paraId="387B5B17" w14:textId="77777777" w:rsidR="00CE7AB0" w:rsidRPr="00483567" w:rsidRDefault="00CE7AB0" w:rsidP="00FC388E">
      <w:pPr>
        <w:pStyle w:val="BodyText"/>
      </w:pPr>
      <w:r w:rsidRPr="00483567">
        <w:t xml:space="preserve">All growers will be required to attach a grower tag to any plant they produce under their licence. In certain circumstances, such as described above for </w:t>
      </w:r>
      <w:r w:rsidRPr="00356331">
        <w:rPr>
          <w:i/>
        </w:rPr>
        <w:t>Xanthorrhoea</w:t>
      </w:r>
      <w:r w:rsidRPr="00483567">
        <w:t xml:space="preserve"> species, an NPWS tag will also be required.</w:t>
      </w:r>
    </w:p>
    <w:p w14:paraId="6F62501A" w14:textId="77777777" w:rsidR="00CE7AB0" w:rsidRPr="009814F5" w:rsidRDefault="00CE7AB0" w:rsidP="00FC388E">
      <w:pPr>
        <w:pStyle w:val="BodyText"/>
      </w:pPr>
      <w:r w:rsidRPr="00483567">
        <w:t xml:space="preserve">Grower tags may take the form of a sticker, label or sleeve and must be attached to the plant </w:t>
      </w:r>
      <w:r w:rsidRPr="009814F5">
        <w:t xml:space="preserve">or container directly. </w:t>
      </w:r>
      <w:r>
        <w:t xml:space="preserve">They </w:t>
      </w:r>
      <w:r w:rsidRPr="009814F5">
        <w:t>must have sufficient information to trace the product to its origin, for example</w:t>
      </w:r>
      <w:r>
        <w:t>,</w:t>
      </w:r>
      <w:r w:rsidRPr="009814F5">
        <w:t xml:space="preserve"> the species’ </w:t>
      </w:r>
      <w:r>
        <w:t xml:space="preserve">scientific </w:t>
      </w:r>
      <w:r w:rsidRPr="009814F5">
        <w:t>name with the term ‘plantation grown’ and the supplier’s name.</w:t>
      </w:r>
    </w:p>
    <w:p w14:paraId="29A7F1FA" w14:textId="77777777" w:rsidR="00CE7AB0" w:rsidRDefault="00CE7AB0" w:rsidP="00FC388E">
      <w:pPr>
        <w:pStyle w:val="BodyText"/>
        <w:rPr>
          <w:kern w:val="22"/>
        </w:rPr>
      </w:pPr>
      <w:r w:rsidRPr="009814F5">
        <w:t xml:space="preserve">If possible, it is recommended that grower tags comply with the </w:t>
      </w:r>
      <w:hyperlink r:id="rId26" w:history="1">
        <w:r w:rsidRPr="009814F5">
          <w:rPr>
            <w:rStyle w:val="Hyperlink"/>
          </w:rPr>
          <w:t>National Plant Labelling Guidelines</w:t>
        </w:r>
      </w:hyperlink>
      <w:r w:rsidRPr="009814F5">
        <w:t xml:space="preserve"> produced by the Nursery and Garden Industry </w:t>
      </w:r>
      <w:r w:rsidRPr="009814F5">
        <w:rPr>
          <w:kern w:val="22"/>
        </w:rPr>
        <w:t>Australia</w:t>
      </w:r>
      <w:r>
        <w:rPr>
          <w:kern w:val="22"/>
        </w:rPr>
        <w:t>,</w:t>
      </w:r>
      <w:r w:rsidRPr="009814F5">
        <w:rPr>
          <w:kern w:val="22"/>
        </w:rPr>
        <w:t xml:space="preserve"> but </w:t>
      </w:r>
      <w:r>
        <w:rPr>
          <w:kern w:val="22"/>
        </w:rPr>
        <w:t xml:space="preserve">they </w:t>
      </w:r>
      <w:r w:rsidRPr="009814F5">
        <w:rPr>
          <w:kern w:val="22"/>
        </w:rPr>
        <w:t>may be attached separately if required.</w:t>
      </w:r>
      <w:r>
        <w:rPr>
          <w:kern w:val="22"/>
        </w:rPr>
        <w:t xml:space="preserve"> </w:t>
      </w:r>
    </w:p>
    <w:p w14:paraId="2AFAD977" w14:textId="77777777" w:rsidR="00CE7AB0" w:rsidRPr="00483567" w:rsidRDefault="00CE7AB0" w:rsidP="00FC388E">
      <w:pPr>
        <w:pStyle w:val="BodyText"/>
      </w:pPr>
      <w:r w:rsidRPr="00483567">
        <w:t xml:space="preserve">Grower tags must not be placed on a plant harvested under an approved harvester or wild harvester licence. </w:t>
      </w:r>
    </w:p>
    <w:p w14:paraId="7475754E" w14:textId="77777777" w:rsidR="00CE7AB0" w:rsidRPr="00483567" w:rsidRDefault="00CE7AB0" w:rsidP="00FC388E">
      <w:pPr>
        <w:pStyle w:val="BodyText"/>
      </w:pPr>
      <w:r w:rsidRPr="00483567">
        <w:t xml:space="preserve">Where a person purchases juvenile plants </w:t>
      </w:r>
      <w:r>
        <w:t>(including orchids in flasks)</w:t>
      </w:r>
      <w:r w:rsidRPr="00483567">
        <w:t xml:space="preserve"> from a licensed grower with the intent of dividing and growing the material to a saleable size, they must ensure each new plant is appropriately tagged</w:t>
      </w:r>
      <w:r>
        <w:t xml:space="preserve"> prior to sale</w:t>
      </w:r>
      <w:r w:rsidRPr="00483567">
        <w:t>. This may be done by:</w:t>
      </w:r>
    </w:p>
    <w:p w14:paraId="592231B0" w14:textId="77777777" w:rsidR="00CE7AB0" w:rsidRPr="00483567" w:rsidRDefault="00CE7AB0" w:rsidP="00CE6A34">
      <w:pPr>
        <w:pStyle w:val="ListBullet"/>
      </w:pPr>
      <w:r w:rsidRPr="00483567">
        <w:t>sourcing additional grower tags for each individual plant from the primary grower</w:t>
      </w:r>
    </w:p>
    <w:p w14:paraId="0FD90CA0" w14:textId="067CBC91" w:rsidR="00CE7AB0" w:rsidRDefault="00CE7AB0" w:rsidP="00CE6A34">
      <w:pPr>
        <w:pStyle w:val="ListBullet"/>
      </w:pPr>
      <w:r w:rsidRPr="00483567">
        <w:t>producing tags with the details of the primary grower and the on-seller</w:t>
      </w:r>
    </w:p>
    <w:p w14:paraId="14C607E1" w14:textId="77777777" w:rsidR="00CE7AB0" w:rsidRPr="00483567" w:rsidRDefault="00CE7AB0" w:rsidP="00CE6A34">
      <w:pPr>
        <w:pStyle w:val="ListBullet"/>
      </w:pPr>
      <w:proofErr w:type="gramStart"/>
      <w:r w:rsidRPr="00483567">
        <w:t>producing</w:t>
      </w:r>
      <w:proofErr w:type="gramEnd"/>
      <w:r w:rsidRPr="00483567">
        <w:t xml:space="preserve"> tags with the details of the on-seller and keeping records o</w:t>
      </w:r>
      <w:r>
        <w:t>f</w:t>
      </w:r>
      <w:r w:rsidRPr="00483567">
        <w:t xml:space="preserve"> the purchase of the primary product sufficient to prove legal ownership. </w:t>
      </w:r>
    </w:p>
    <w:p w14:paraId="0C290D98" w14:textId="77777777" w:rsidR="00CE7AB0" w:rsidRPr="009B3E34" w:rsidRDefault="00CE7AB0" w:rsidP="00D53CC6">
      <w:pPr>
        <w:pStyle w:val="Heading3"/>
      </w:pPr>
      <w:bookmarkStart w:id="415" w:name="_Toc283984806"/>
      <w:bookmarkStart w:id="416" w:name="_Toc301869649"/>
      <w:bookmarkStart w:id="417" w:name="_Toc328986853"/>
      <w:bookmarkStart w:id="418" w:name="_Toc328988062"/>
      <w:bookmarkStart w:id="419" w:name="_Toc328988145"/>
      <w:bookmarkStart w:id="420" w:name="_Toc328988226"/>
      <w:bookmarkStart w:id="421" w:name="_Toc328991040"/>
      <w:bookmarkStart w:id="422" w:name="_Toc328991522"/>
      <w:r w:rsidRPr="009B3E34">
        <w:t>Tags for plant hybrids</w:t>
      </w:r>
      <w:bookmarkEnd w:id="415"/>
      <w:bookmarkEnd w:id="416"/>
      <w:bookmarkEnd w:id="417"/>
      <w:bookmarkEnd w:id="418"/>
      <w:bookmarkEnd w:id="419"/>
      <w:bookmarkEnd w:id="420"/>
      <w:bookmarkEnd w:id="421"/>
      <w:bookmarkEnd w:id="422"/>
    </w:p>
    <w:p w14:paraId="1DFB454E" w14:textId="77777777" w:rsidR="00CE7AB0" w:rsidRPr="00483567" w:rsidRDefault="00CE7AB0" w:rsidP="00FC388E">
      <w:pPr>
        <w:pStyle w:val="BodyText"/>
      </w:pPr>
      <w:r w:rsidRPr="001410F2">
        <w:t>Because plant species have been intentionally hybridised, many recognised varieties and</w:t>
      </w:r>
      <w:r w:rsidRPr="008554FD">
        <w:t xml:space="preserve"> cultivars have been developed that are now registered under the </w:t>
      </w:r>
      <w:r w:rsidR="00257A9A" w:rsidRPr="00257A9A">
        <w:rPr>
          <w:i/>
        </w:rPr>
        <w:t>Plant Breeders Rights Act 1994</w:t>
      </w:r>
      <w:r w:rsidR="00257A9A" w:rsidRPr="00257A9A">
        <w:t xml:space="preserve"> (PBR Act)</w:t>
      </w:r>
      <w:r w:rsidRPr="008554FD">
        <w:t>.</w:t>
      </w:r>
      <w:r w:rsidRPr="00483567">
        <w:t xml:space="preserve"> Many hybrids cannot be readily distinguished from the parent stock until flowering occurs, making identification of hybrids very difficult without flowering parts. </w:t>
      </w:r>
    </w:p>
    <w:p w14:paraId="4B9E86F2" w14:textId="77777777" w:rsidR="00CE7AB0" w:rsidRPr="00483567" w:rsidRDefault="00CE7AB0" w:rsidP="00FC388E">
      <w:pPr>
        <w:pStyle w:val="BodyText"/>
      </w:pPr>
      <w:r w:rsidRPr="00483567">
        <w:t xml:space="preserve">Tags for plant hybrids produced under a grower licence must include the word ‘hybrid’ and </w:t>
      </w:r>
      <w:r w:rsidRPr="00AE46FA">
        <w:t xml:space="preserve">identify the parent material. However, material that has been accepted under the PBR Act will not be subject to tagging or licensing requirements under the </w:t>
      </w:r>
      <w:r w:rsidRPr="00AE46FA">
        <w:rPr>
          <w:lang w:val="en-US"/>
        </w:rPr>
        <w:t xml:space="preserve">NPW </w:t>
      </w:r>
      <w:r>
        <w:rPr>
          <w:lang w:val="en-US"/>
        </w:rPr>
        <w:t>BC</w:t>
      </w:r>
      <w:r w:rsidRPr="00AE46FA">
        <w:rPr>
          <w:lang w:val="en-US"/>
        </w:rPr>
        <w:t xml:space="preserve"> Act</w:t>
      </w:r>
      <w:r>
        <w:rPr>
          <w:lang w:val="en-US"/>
        </w:rPr>
        <w:t>.</w:t>
      </w:r>
      <w:r w:rsidRPr="00AE46FA">
        <w:rPr>
          <w:kern w:val="22"/>
          <w:vertAlign w:val="superscript"/>
        </w:rPr>
        <w:t xml:space="preserve"> </w:t>
      </w:r>
      <w:r w:rsidRPr="00483567">
        <w:t xml:space="preserve">It is the licensee’s responsibility to demonstrate the status of varieties under the PBR Act, should an exemption be required. </w:t>
      </w:r>
    </w:p>
    <w:p w14:paraId="1BABC1F1" w14:textId="77777777" w:rsidR="00CE7AB0" w:rsidRPr="00707F74" w:rsidRDefault="00CE7AB0" w:rsidP="00D72936">
      <w:pPr>
        <w:pStyle w:val="Heading2"/>
      </w:pPr>
      <w:bookmarkStart w:id="423" w:name="_Toc492379096"/>
      <w:bookmarkStart w:id="424" w:name="_Toc494449578"/>
      <w:bookmarkStart w:id="425" w:name="_Toc283984807"/>
      <w:bookmarkStart w:id="426" w:name="_Toc301869650"/>
      <w:bookmarkStart w:id="427" w:name="_Toc328986854"/>
      <w:bookmarkStart w:id="428" w:name="_Toc328988063"/>
      <w:bookmarkStart w:id="429" w:name="_Toc328988146"/>
      <w:bookmarkStart w:id="430" w:name="_Toc328988227"/>
      <w:bookmarkStart w:id="431" w:name="_Toc328991041"/>
      <w:bookmarkStart w:id="432" w:name="_Toc328991523"/>
      <w:r w:rsidRPr="00707F74">
        <w:lastRenderedPageBreak/>
        <w:t>Monitoring requirements for wild harvesters and approved </w:t>
      </w:r>
      <w:r w:rsidRPr="00D72936">
        <w:t>harvesters</w:t>
      </w:r>
      <w:bookmarkEnd w:id="423"/>
      <w:bookmarkEnd w:id="424"/>
    </w:p>
    <w:bookmarkEnd w:id="425"/>
    <w:bookmarkEnd w:id="426"/>
    <w:bookmarkEnd w:id="427"/>
    <w:bookmarkEnd w:id="428"/>
    <w:bookmarkEnd w:id="429"/>
    <w:bookmarkEnd w:id="430"/>
    <w:bookmarkEnd w:id="431"/>
    <w:bookmarkEnd w:id="432"/>
    <w:p w14:paraId="273BEDBB" w14:textId="77777777" w:rsidR="00CE7AB0" w:rsidRPr="00483567" w:rsidRDefault="00CE7AB0" w:rsidP="00FC388E">
      <w:pPr>
        <w:pStyle w:val="BodyText"/>
      </w:pPr>
      <w:r w:rsidRPr="00483567">
        <w:t>Wild harvesters and approved harvesters (excluding salvage sites) must establish monitoring plots to help them monitor harvest sustainability. All licensees, excluding growers, must provide harvest data to OEH, which can be analysed to monitor harvesting levels. Specific requirements are provided in Appendices D and E.</w:t>
      </w:r>
    </w:p>
    <w:p w14:paraId="411BD4BB" w14:textId="77777777" w:rsidR="00CE7AB0" w:rsidRPr="00483567" w:rsidRDefault="00CE7AB0" w:rsidP="00FC388E">
      <w:pPr>
        <w:pStyle w:val="BodyText"/>
        <w:rPr>
          <w:sz w:val="12"/>
          <w:szCs w:val="12"/>
        </w:rPr>
      </w:pPr>
      <w:r w:rsidRPr="00483567">
        <w:t>Licensees must clearly identify the locations where harvest is undertaken. This may be achieved by either:</w:t>
      </w:r>
    </w:p>
    <w:p w14:paraId="63BCF3CE" w14:textId="77777777" w:rsidR="00CE7AB0" w:rsidRDefault="00CE7AB0" w:rsidP="00FC388E">
      <w:pPr>
        <w:pStyle w:val="ListParagraph"/>
        <w:numPr>
          <w:ilvl w:val="0"/>
          <w:numId w:val="17"/>
        </w:numPr>
      </w:pPr>
      <w:r w:rsidRPr="00483567">
        <w:t>Establishing a clearly defined photographic monitoring point at wild harvest and approved harvest sites (excluding salvage harvest sites). The photo point must be permanently marked with the licence number and clearly identified on the site plan submitted with the licence application</w:t>
      </w:r>
      <w:r>
        <w:t>.</w:t>
      </w:r>
    </w:p>
    <w:p w14:paraId="62E218ED" w14:textId="77777777" w:rsidR="00CE7AB0" w:rsidRPr="00483567" w:rsidRDefault="00CE7AB0" w:rsidP="00FC388E">
      <w:pPr>
        <w:pStyle w:val="ListParagraph"/>
        <w:numPr>
          <w:ilvl w:val="0"/>
          <w:numId w:val="17"/>
        </w:numPr>
      </w:pPr>
      <w:r w:rsidRPr="00483567">
        <w:t xml:space="preserve">Providing accurate (+/– 10 m) geographical coordinates of harvest sites. The boundaries of harvest sites must also be mapped and provided to OEH when harvest return sheets are submitted. </w:t>
      </w:r>
    </w:p>
    <w:p w14:paraId="16E315F1" w14:textId="77777777" w:rsidR="00CE7AB0" w:rsidRPr="00937116" w:rsidRDefault="00CE7AB0" w:rsidP="00D72936">
      <w:pPr>
        <w:pStyle w:val="Heading2"/>
      </w:pPr>
      <w:bookmarkStart w:id="433" w:name="_Toc273008499"/>
      <w:bookmarkStart w:id="434" w:name="_Toc283984808"/>
      <w:bookmarkStart w:id="435" w:name="_Toc301869651"/>
      <w:bookmarkStart w:id="436" w:name="_Toc328986855"/>
      <w:bookmarkStart w:id="437" w:name="_Toc328988064"/>
      <w:bookmarkStart w:id="438" w:name="_Toc328988147"/>
      <w:bookmarkStart w:id="439" w:name="_Toc328988228"/>
      <w:bookmarkStart w:id="440" w:name="_Toc328991042"/>
      <w:bookmarkStart w:id="441" w:name="_Toc328991524"/>
      <w:bookmarkStart w:id="442" w:name="_Toc492379097"/>
      <w:bookmarkStart w:id="443" w:name="_Toc494449579"/>
      <w:r w:rsidRPr="003261BC">
        <w:t>Record</w:t>
      </w:r>
      <w:r w:rsidRPr="00937116">
        <w:t>-keeping requirements</w:t>
      </w:r>
      <w:bookmarkEnd w:id="433"/>
      <w:bookmarkEnd w:id="434"/>
      <w:bookmarkEnd w:id="435"/>
      <w:bookmarkEnd w:id="436"/>
      <w:bookmarkEnd w:id="437"/>
      <w:bookmarkEnd w:id="438"/>
      <w:bookmarkEnd w:id="439"/>
      <w:bookmarkEnd w:id="440"/>
      <w:bookmarkEnd w:id="441"/>
      <w:bookmarkEnd w:id="442"/>
      <w:bookmarkEnd w:id="443"/>
    </w:p>
    <w:p w14:paraId="20CD69DD" w14:textId="77777777" w:rsidR="00CE7AB0" w:rsidRPr="00483567" w:rsidRDefault="00CE7AB0" w:rsidP="00FC388E">
      <w:pPr>
        <w:pStyle w:val="BodyText"/>
      </w:pPr>
      <w:r w:rsidRPr="00483567">
        <w:t>Record keeping assists in monitoring harvest rates and supports consumer confidence in legally harvested products. It also provides clear, accurate data on where, when, what and how much is being harvested.</w:t>
      </w:r>
    </w:p>
    <w:p w14:paraId="0362F651" w14:textId="77777777" w:rsidR="00CE7AB0" w:rsidRPr="00483567" w:rsidRDefault="00CE7AB0" w:rsidP="00FC388E">
      <w:pPr>
        <w:pStyle w:val="BodyText"/>
      </w:pPr>
      <w:r w:rsidRPr="00483567">
        <w:t>This plan requires records to be maintained by all licensees. For example:</w:t>
      </w:r>
    </w:p>
    <w:p w14:paraId="0690294B" w14:textId="77777777" w:rsidR="00CE7AB0" w:rsidRPr="00483567" w:rsidRDefault="00CE7AB0" w:rsidP="00FC388E">
      <w:pPr>
        <w:pStyle w:val="ListParagraph"/>
        <w:numPr>
          <w:ilvl w:val="0"/>
          <w:numId w:val="21"/>
        </w:numPr>
      </w:pPr>
      <w:r w:rsidRPr="00763BD7">
        <w:t>Wild harvester and approved harvester</w:t>
      </w:r>
      <w:r w:rsidRPr="00FC388E">
        <w:rPr>
          <w:i/>
        </w:rPr>
        <w:t xml:space="preserve"> </w:t>
      </w:r>
      <w:r w:rsidRPr="001604B5">
        <w:t xml:space="preserve">licensees must complete </w:t>
      </w:r>
      <w:r w:rsidRPr="00702DE5">
        <w:t xml:space="preserve">both a harvest site condition </w:t>
      </w:r>
      <w:r w:rsidRPr="00C2065A">
        <w:t>sheet</w:t>
      </w:r>
      <w:r w:rsidRPr="007E6DA0">
        <w:t xml:space="preserve"> and </w:t>
      </w:r>
      <w:r w:rsidRPr="00792E19">
        <w:t xml:space="preserve">a harvest return sheet. </w:t>
      </w:r>
      <w:r w:rsidRPr="00DA1C1E">
        <w:t>A harvest site condition sheet must be completed for each harvest site as defined in this plan. A harvest return sheet must be completed for each day of harvest.</w:t>
      </w:r>
      <w:r w:rsidRPr="00761CB6">
        <w:t xml:space="preserve"> </w:t>
      </w:r>
      <w:r w:rsidRPr="003F0555">
        <w:t xml:space="preserve">Minimum requirements include the botanical name of the species harvested, the date of harvest and the quantity harvested. </w:t>
      </w:r>
      <w:r w:rsidRPr="00483567">
        <w:t>Copies of these forms will be available on the OEH website.</w:t>
      </w:r>
    </w:p>
    <w:p w14:paraId="638CC7A2" w14:textId="77777777" w:rsidR="00CE7AB0" w:rsidRPr="00792E19" w:rsidRDefault="00CE7AB0" w:rsidP="00FC388E">
      <w:pPr>
        <w:pStyle w:val="ListParagraph"/>
        <w:numPr>
          <w:ilvl w:val="0"/>
          <w:numId w:val="21"/>
        </w:numPr>
      </w:pPr>
      <w:r w:rsidRPr="00763BD7">
        <w:t>Approved harvesters must also maintain reco</w:t>
      </w:r>
      <w:r w:rsidRPr="001604B5">
        <w:t>rds for each plant at the stock</w:t>
      </w:r>
      <w:r w:rsidRPr="00702DE5">
        <w:t>pile site which detail</w:t>
      </w:r>
      <w:r w:rsidRPr="00C2065A">
        <w:t xml:space="preserve"> the location of harvest and the </w:t>
      </w:r>
      <w:r w:rsidRPr="007E6DA0">
        <w:t>time since harvest</w:t>
      </w:r>
      <w:r w:rsidRPr="00792E19">
        <w:t xml:space="preserve">. </w:t>
      </w:r>
    </w:p>
    <w:p w14:paraId="2AD38432" w14:textId="77777777" w:rsidR="00CE7AB0" w:rsidRPr="00483567" w:rsidRDefault="00CE7AB0" w:rsidP="00FC388E">
      <w:pPr>
        <w:pStyle w:val="ListParagraph"/>
        <w:numPr>
          <w:ilvl w:val="0"/>
          <w:numId w:val="21"/>
        </w:numPr>
      </w:pPr>
      <w:r w:rsidRPr="00483567">
        <w:t xml:space="preserve">Details of NPWS tags used or lost must also be forwarded to </w:t>
      </w:r>
      <w:r>
        <w:t>OEH annually or as requested by an authorised officer</w:t>
      </w:r>
      <w:r w:rsidRPr="00483567">
        <w:t>.</w:t>
      </w:r>
    </w:p>
    <w:p w14:paraId="0F832CB0" w14:textId="77777777" w:rsidR="00CE7AB0" w:rsidRPr="00483567" w:rsidRDefault="00CE7AB0" w:rsidP="00FC388E">
      <w:pPr>
        <w:pStyle w:val="ListParagraph"/>
        <w:numPr>
          <w:ilvl w:val="0"/>
          <w:numId w:val="21"/>
        </w:numPr>
      </w:pPr>
      <w:r w:rsidRPr="00483567">
        <w:t xml:space="preserve">Grower licensees must </w:t>
      </w:r>
      <w:r w:rsidRPr="001604B5">
        <w:t xml:space="preserve">complete </w:t>
      </w:r>
      <w:r w:rsidRPr="00792E19">
        <w:t>a harvest return sheet</w:t>
      </w:r>
      <w:r w:rsidRPr="00483567">
        <w:t xml:space="preserve"> </w:t>
      </w:r>
      <w:r>
        <w:t xml:space="preserve">and </w:t>
      </w:r>
      <w:r w:rsidRPr="00483567">
        <w:t>maintain records of the source of all propagating material.</w:t>
      </w:r>
    </w:p>
    <w:p w14:paraId="36560A18" w14:textId="77777777" w:rsidR="00CE7AB0" w:rsidRPr="00483567" w:rsidRDefault="00CE7AB0" w:rsidP="00FC388E">
      <w:pPr>
        <w:pStyle w:val="BodyText"/>
      </w:pPr>
      <w:r w:rsidRPr="00483567">
        <w:t xml:space="preserve">OEH will maintain a database of all licences and tags issued, as well as including details of plant species, harvest activities, numbers picked and grown. This information will be used to report to </w:t>
      </w:r>
      <w:proofErr w:type="spellStart"/>
      <w:r>
        <w:t>DoEE</w:t>
      </w:r>
      <w:proofErr w:type="spellEnd"/>
      <w:r w:rsidRPr="00483567">
        <w:t xml:space="preserve"> on how this management plan is implemented and will also help to inform future management decisions. </w:t>
      </w:r>
    </w:p>
    <w:p w14:paraId="1DCE105D" w14:textId="77777777" w:rsidR="00CE7AB0" w:rsidRPr="00483567" w:rsidRDefault="00CE7AB0" w:rsidP="00FC388E">
      <w:pPr>
        <w:pStyle w:val="BodyText"/>
      </w:pPr>
      <w:r w:rsidRPr="00483567">
        <w:t>Records provided to OEH by licensees will remain confidential. However, aggregated data will be made publicly available. Records may also be analysed to monitor overall harvesting levels.</w:t>
      </w:r>
    </w:p>
    <w:p w14:paraId="05568ADE" w14:textId="77777777" w:rsidR="00CE7AB0" w:rsidRDefault="00CE7AB0" w:rsidP="00D72936">
      <w:pPr>
        <w:pStyle w:val="Heading2"/>
      </w:pPr>
      <w:bookmarkStart w:id="444" w:name="_Toc492379098"/>
      <w:bookmarkStart w:id="445" w:name="_Toc494449580"/>
      <w:r>
        <w:t>Licence fees</w:t>
      </w:r>
      <w:bookmarkEnd w:id="444"/>
      <w:bookmarkEnd w:id="445"/>
    </w:p>
    <w:p w14:paraId="641A1A46" w14:textId="77777777" w:rsidR="00CE7AB0" w:rsidRPr="00C2245F" w:rsidRDefault="00CE7AB0" w:rsidP="00FC388E">
      <w:pPr>
        <w:pStyle w:val="BodyText"/>
      </w:pPr>
      <w:r w:rsidRPr="00483567">
        <w:t xml:space="preserve">Licence fees vary depending on the cost incurred by OEH to assess, regulate and monitor the various licensed activities. </w:t>
      </w:r>
      <w:r>
        <w:t>A schedule of</w:t>
      </w:r>
      <w:r w:rsidRPr="00483567">
        <w:t xml:space="preserve"> fees </w:t>
      </w:r>
      <w:r>
        <w:t xml:space="preserve">is published on the OEH website. </w:t>
      </w:r>
      <w:r w:rsidRPr="00C2245F">
        <w:t xml:space="preserve">People seeking licences to undertake multiple activities at the same location will pay a single licence </w:t>
      </w:r>
      <w:r w:rsidRPr="00C2245F">
        <w:lastRenderedPageBreak/>
        <w:t>fee, which is based on the activity with the highest fee. The term will be that of the shortest licence.</w:t>
      </w:r>
    </w:p>
    <w:p w14:paraId="586ECF09" w14:textId="77777777" w:rsidR="00CE7AB0" w:rsidRPr="00DF6D36" w:rsidRDefault="00CE7AB0" w:rsidP="00D72936">
      <w:pPr>
        <w:pStyle w:val="Heading2"/>
      </w:pPr>
      <w:bookmarkStart w:id="446" w:name="_Toc273008500"/>
      <w:bookmarkStart w:id="447" w:name="_Toc283984810"/>
      <w:bookmarkStart w:id="448" w:name="_Toc301869653"/>
      <w:bookmarkStart w:id="449" w:name="_Toc328986857"/>
      <w:bookmarkStart w:id="450" w:name="_Toc328988066"/>
      <w:bookmarkStart w:id="451" w:name="_Toc328988149"/>
      <w:bookmarkStart w:id="452" w:name="_Toc328988230"/>
      <w:bookmarkStart w:id="453" w:name="_Toc328991044"/>
      <w:bookmarkStart w:id="454" w:name="_Toc328991526"/>
      <w:bookmarkStart w:id="455" w:name="_Toc492379099"/>
      <w:bookmarkStart w:id="456" w:name="_Toc494449581"/>
      <w:r w:rsidRPr="00DF6D36">
        <w:t>Public listing</w:t>
      </w:r>
      <w:bookmarkEnd w:id="446"/>
      <w:r w:rsidRPr="00DF6D36">
        <w:t xml:space="preserve"> of licensees on the OEH website</w:t>
      </w:r>
      <w:bookmarkEnd w:id="447"/>
      <w:bookmarkEnd w:id="448"/>
      <w:bookmarkEnd w:id="449"/>
      <w:bookmarkEnd w:id="450"/>
      <w:bookmarkEnd w:id="451"/>
      <w:bookmarkEnd w:id="452"/>
      <w:bookmarkEnd w:id="453"/>
      <w:bookmarkEnd w:id="454"/>
      <w:bookmarkEnd w:id="455"/>
      <w:bookmarkEnd w:id="456"/>
    </w:p>
    <w:p w14:paraId="2E0983C8" w14:textId="7A5ACC22" w:rsidR="00CE7AB0" w:rsidRPr="00483567" w:rsidRDefault="00CE7AB0" w:rsidP="00FC388E">
      <w:pPr>
        <w:pStyle w:val="BodyText"/>
      </w:pPr>
      <w:r>
        <w:t>The BC Act requires that a public register of all biodiversity conservation licences issued under the Act will be published on the OEH website. This register will not include any personal information or information about the location of harvesting activities.</w:t>
      </w:r>
    </w:p>
    <w:p w14:paraId="3E115EA2" w14:textId="77777777" w:rsidR="00CE7AB0" w:rsidRDefault="00CE7AB0" w:rsidP="00FC388E">
      <w:pPr>
        <w:pStyle w:val="BodyText"/>
      </w:pPr>
      <w:r w:rsidRPr="00483567">
        <w:t xml:space="preserve">To assist the public and nurseries in sourcing legally harvested </w:t>
      </w:r>
      <w:r>
        <w:t>and grown</w:t>
      </w:r>
      <w:r w:rsidRPr="00483567">
        <w:t xml:space="preserve"> protected plants, licensees may </w:t>
      </w:r>
      <w:r>
        <w:t>request their details</w:t>
      </w:r>
      <w:r w:rsidRPr="00483567">
        <w:t xml:space="preserve"> be included </w:t>
      </w:r>
      <w:r>
        <w:t>i</w:t>
      </w:r>
      <w:r w:rsidRPr="00483567">
        <w:t xml:space="preserve">n </w:t>
      </w:r>
      <w:r>
        <w:t>a listing on the OEH website</w:t>
      </w:r>
      <w:r w:rsidRPr="00483567">
        <w:t xml:space="preserve">. </w:t>
      </w:r>
    </w:p>
    <w:p w14:paraId="3B683190" w14:textId="77777777" w:rsidR="00CE7AB0" w:rsidRPr="00483567" w:rsidRDefault="00CE7AB0" w:rsidP="00D72936">
      <w:pPr>
        <w:pStyle w:val="Heading2"/>
      </w:pPr>
      <w:bookmarkStart w:id="457" w:name="_Toc273008501"/>
      <w:bookmarkStart w:id="458" w:name="_Toc283984811"/>
      <w:bookmarkStart w:id="459" w:name="_Toc301869654"/>
      <w:bookmarkStart w:id="460" w:name="_Toc328986858"/>
      <w:bookmarkStart w:id="461" w:name="_Toc328988067"/>
      <w:bookmarkStart w:id="462" w:name="_Toc328988150"/>
      <w:bookmarkStart w:id="463" w:name="_Toc328988231"/>
      <w:bookmarkStart w:id="464" w:name="_Toc328991045"/>
      <w:bookmarkStart w:id="465" w:name="_Toc328991527"/>
      <w:bookmarkStart w:id="466" w:name="_Toc492379100"/>
      <w:bookmarkStart w:id="467" w:name="_Toc494449582"/>
      <w:r w:rsidRPr="00483567">
        <w:t>Importing and exporting protected plants</w:t>
      </w:r>
      <w:bookmarkEnd w:id="457"/>
      <w:bookmarkEnd w:id="458"/>
      <w:bookmarkEnd w:id="459"/>
      <w:bookmarkEnd w:id="460"/>
      <w:bookmarkEnd w:id="461"/>
      <w:bookmarkEnd w:id="462"/>
      <w:bookmarkEnd w:id="463"/>
      <w:bookmarkEnd w:id="464"/>
      <w:bookmarkEnd w:id="465"/>
      <w:bookmarkEnd w:id="466"/>
      <w:bookmarkEnd w:id="467"/>
      <w:r w:rsidRPr="00483567">
        <w:t xml:space="preserve"> </w:t>
      </w:r>
    </w:p>
    <w:p w14:paraId="27422A72" w14:textId="77777777" w:rsidR="00CE7AB0" w:rsidRDefault="00CE7AB0" w:rsidP="00FC388E">
      <w:pPr>
        <w:pStyle w:val="BodyText"/>
      </w:pPr>
      <w:r w:rsidRPr="00483567">
        <w:t xml:space="preserve">OEH is not directly involved in approving the international trade of plant products. However, as this plan meets the requirements of the </w:t>
      </w:r>
      <w:r w:rsidRPr="00483567">
        <w:rPr>
          <w:i/>
        </w:rPr>
        <w:t xml:space="preserve">Environment Protection and Biodiversity Conservation Act 1999 </w:t>
      </w:r>
      <w:r w:rsidRPr="00483567">
        <w:t xml:space="preserve">as both </w:t>
      </w:r>
      <w:r w:rsidR="00257A9A" w:rsidRPr="00257A9A">
        <w:t>wildlife trade management plan (WTMP)</w:t>
      </w:r>
      <w:r w:rsidRPr="00483567">
        <w:t xml:space="preserve"> and AP programs, the materials produced under NSW licences may be eligible for international trade.</w:t>
      </w:r>
    </w:p>
    <w:p w14:paraId="306315AE" w14:textId="77777777" w:rsidR="00CE7AB0" w:rsidRDefault="00CE7AB0" w:rsidP="00FC388E">
      <w:pPr>
        <w:pStyle w:val="BodyText"/>
      </w:pPr>
      <w:r>
        <w:t>Under the BC Regulation (clause 2.19), the interstate import and export of protected plants does not require a licence, as long as the plants comply with any applicable tagging requirements.</w:t>
      </w:r>
    </w:p>
    <w:p w14:paraId="64438BE0" w14:textId="77777777" w:rsidR="00CE7AB0" w:rsidRPr="00937116" w:rsidRDefault="00CE7AB0" w:rsidP="00F7444D">
      <w:pPr>
        <w:pStyle w:val="Heading1"/>
      </w:pPr>
      <w:bookmarkStart w:id="468" w:name="_Toc492378614"/>
      <w:bookmarkStart w:id="469" w:name="_Toc492378662"/>
      <w:bookmarkStart w:id="470" w:name="_Toc492379008"/>
      <w:bookmarkStart w:id="471" w:name="_Toc492379101"/>
      <w:bookmarkStart w:id="472" w:name="_Toc492378615"/>
      <w:bookmarkStart w:id="473" w:name="_Toc492378663"/>
      <w:bookmarkStart w:id="474" w:name="_Toc492379009"/>
      <w:bookmarkStart w:id="475" w:name="_Toc492379102"/>
      <w:bookmarkEnd w:id="468"/>
      <w:bookmarkEnd w:id="469"/>
      <w:bookmarkEnd w:id="470"/>
      <w:bookmarkEnd w:id="471"/>
      <w:bookmarkEnd w:id="472"/>
      <w:bookmarkEnd w:id="473"/>
      <w:bookmarkEnd w:id="474"/>
      <w:bookmarkEnd w:id="475"/>
      <w:r>
        <w:br w:type="page"/>
      </w:r>
      <w:bookmarkStart w:id="476" w:name="_Toc269105406"/>
      <w:bookmarkStart w:id="477" w:name="_Toc269105476"/>
      <w:bookmarkStart w:id="478" w:name="_Toc269105546"/>
      <w:bookmarkStart w:id="479" w:name="_Toc269105595"/>
      <w:bookmarkStart w:id="480" w:name="_Toc269105775"/>
      <w:bookmarkStart w:id="481" w:name="_Toc269105408"/>
      <w:bookmarkStart w:id="482" w:name="_Toc269105478"/>
      <w:bookmarkStart w:id="483" w:name="_Toc269105548"/>
      <w:bookmarkStart w:id="484" w:name="_Toc269105597"/>
      <w:bookmarkStart w:id="485" w:name="_Toc269105777"/>
      <w:bookmarkStart w:id="486" w:name="_Toc268078756"/>
      <w:bookmarkStart w:id="487" w:name="_Toc269105479"/>
      <w:bookmarkStart w:id="488" w:name="_Toc269105549"/>
      <w:bookmarkStart w:id="489" w:name="_Toc269105778"/>
      <w:bookmarkStart w:id="490" w:name="_Toc273008502"/>
      <w:bookmarkStart w:id="491" w:name="_Toc283984813"/>
      <w:bookmarkStart w:id="492" w:name="_Toc301869655"/>
      <w:bookmarkStart w:id="493" w:name="_Toc328986859"/>
      <w:bookmarkStart w:id="494" w:name="_Toc328988068"/>
      <w:bookmarkStart w:id="495" w:name="_Toc328988151"/>
      <w:bookmarkStart w:id="496" w:name="_Toc328988232"/>
      <w:bookmarkStart w:id="497" w:name="_Toc328991046"/>
      <w:bookmarkStart w:id="498" w:name="_Toc328991528"/>
      <w:bookmarkStart w:id="499" w:name="_Toc492379103"/>
      <w:bookmarkStart w:id="500" w:name="_Toc494449583"/>
      <w:bookmarkEnd w:id="476"/>
      <w:bookmarkEnd w:id="477"/>
      <w:bookmarkEnd w:id="478"/>
      <w:bookmarkEnd w:id="479"/>
      <w:bookmarkEnd w:id="480"/>
      <w:bookmarkEnd w:id="481"/>
      <w:bookmarkEnd w:id="482"/>
      <w:bookmarkEnd w:id="483"/>
      <w:bookmarkEnd w:id="484"/>
      <w:bookmarkEnd w:id="485"/>
      <w:r w:rsidRPr="003261BC">
        <w:lastRenderedPageBreak/>
        <w:t xml:space="preserve">Management </w:t>
      </w:r>
      <w:bookmarkEnd w:id="486"/>
      <w:bookmarkEnd w:id="487"/>
      <w:bookmarkEnd w:id="488"/>
      <w:bookmarkEnd w:id="489"/>
      <w:bookmarkEnd w:id="490"/>
      <w:bookmarkEnd w:id="491"/>
      <w:r w:rsidRPr="00937116">
        <w:t>protocols</w:t>
      </w:r>
      <w:bookmarkEnd w:id="492"/>
      <w:bookmarkEnd w:id="493"/>
      <w:bookmarkEnd w:id="494"/>
      <w:bookmarkEnd w:id="495"/>
      <w:bookmarkEnd w:id="496"/>
      <w:bookmarkEnd w:id="497"/>
      <w:bookmarkEnd w:id="498"/>
      <w:bookmarkEnd w:id="499"/>
      <w:bookmarkEnd w:id="500"/>
    </w:p>
    <w:p w14:paraId="0E59FE26" w14:textId="77777777" w:rsidR="00CE7AB0" w:rsidRPr="00937116" w:rsidRDefault="00CE7AB0" w:rsidP="00D72936">
      <w:pPr>
        <w:pStyle w:val="Heading2"/>
      </w:pPr>
      <w:bookmarkStart w:id="501" w:name="_Toc283984814"/>
      <w:bookmarkStart w:id="502" w:name="_Toc273008503"/>
      <w:bookmarkStart w:id="503" w:name="_Toc301869656"/>
      <w:bookmarkStart w:id="504" w:name="_Toc328986860"/>
      <w:bookmarkStart w:id="505" w:name="_Toc328988069"/>
      <w:bookmarkStart w:id="506" w:name="_Toc328988152"/>
      <w:bookmarkStart w:id="507" w:name="_Toc328988233"/>
      <w:bookmarkStart w:id="508" w:name="_Toc328991047"/>
      <w:bookmarkStart w:id="509" w:name="_Toc328991529"/>
      <w:bookmarkStart w:id="510" w:name="_Toc492379104"/>
      <w:bookmarkStart w:id="511" w:name="_Toc494449584"/>
      <w:r w:rsidRPr="00937116">
        <w:t xml:space="preserve">Managing risk through </w:t>
      </w:r>
      <w:r w:rsidRPr="009D185E">
        <w:t xml:space="preserve">plant </w:t>
      </w:r>
      <w:r w:rsidRPr="00707F74">
        <w:t>group</w:t>
      </w:r>
      <w:r w:rsidRPr="003261BC">
        <w:t>ing</w:t>
      </w:r>
      <w:r w:rsidRPr="00937116">
        <w:t>s</w:t>
      </w:r>
      <w:bookmarkEnd w:id="501"/>
      <w:bookmarkEnd w:id="502"/>
      <w:r w:rsidRPr="00937116">
        <w:t xml:space="preserve"> in Schedule 6 Part 2</w:t>
      </w:r>
      <w:bookmarkEnd w:id="503"/>
      <w:bookmarkEnd w:id="504"/>
      <w:bookmarkEnd w:id="505"/>
      <w:bookmarkEnd w:id="506"/>
      <w:bookmarkEnd w:id="507"/>
      <w:bookmarkEnd w:id="508"/>
      <w:bookmarkEnd w:id="509"/>
      <w:bookmarkEnd w:id="510"/>
      <w:bookmarkEnd w:id="511"/>
    </w:p>
    <w:p w14:paraId="2D77AF41" w14:textId="77777777" w:rsidR="00CE7AB0" w:rsidRPr="00483567" w:rsidRDefault="00CE7AB0" w:rsidP="00FC388E">
      <w:pPr>
        <w:pStyle w:val="BodyText"/>
      </w:pPr>
      <w:r w:rsidRPr="00483567">
        <w:t xml:space="preserve">Under the </w:t>
      </w:r>
      <w:r>
        <w:t>BC</w:t>
      </w:r>
      <w:r w:rsidRPr="00483567">
        <w:t xml:space="preserve"> Act, </w:t>
      </w:r>
      <w:r>
        <w:t>Part 2 of Schedule 6</w:t>
      </w:r>
      <w:r w:rsidRPr="00483567">
        <w:t xml:space="preserve"> comprises five separate groups of whole plants. These plants/groups are subject to different regulatory requirements depending on their risk from unsustainable harvest practices. </w:t>
      </w:r>
    </w:p>
    <w:p w14:paraId="638B13F9" w14:textId="77777777" w:rsidR="00CE7AB0" w:rsidRPr="00483567" w:rsidRDefault="00CE7AB0" w:rsidP="00FC388E">
      <w:pPr>
        <w:pStyle w:val="BodyText"/>
      </w:pPr>
      <w:r w:rsidRPr="00483567">
        <w:t>The schedule and groupings are dynamic. Over time species may be included or removed, or existing species moved between groups. This plan proposes to remove and/or rearrange some species in the schedule, which will act to reduce the licensing requirements for a range of species.</w:t>
      </w:r>
    </w:p>
    <w:p w14:paraId="698A1C9C" w14:textId="77777777" w:rsidR="00CE7AB0" w:rsidRPr="00483567" w:rsidRDefault="00CE7AB0" w:rsidP="00FC388E">
      <w:pPr>
        <w:pStyle w:val="BodyText"/>
      </w:pPr>
      <w:r w:rsidRPr="00483567">
        <w:t xml:space="preserve">Plants in higher numbered groups are considered to be at greater risk of illegal harvest or of greater conservation concern. The strategy of grouping plants according to risk enables OEH to better direct compliance and regulation activities to those species where illegal harvest operations may impact on the conservation of these species in the wild. </w:t>
      </w:r>
    </w:p>
    <w:p w14:paraId="72786EC0" w14:textId="77777777" w:rsidR="00CE7AB0" w:rsidRPr="00483567" w:rsidRDefault="00CE7AB0" w:rsidP="00FC388E">
      <w:pPr>
        <w:pStyle w:val="BodyText"/>
      </w:pPr>
      <w:r w:rsidRPr="00483567">
        <w:t>A description of each group on the schedule and the requirements for commercially harvesting component species is described in the following sections.</w:t>
      </w:r>
    </w:p>
    <w:p w14:paraId="113DB30A" w14:textId="77777777" w:rsidR="00CE7AB0" w:rsidRPr="00543CFE" w:rsidRDefault="00CE7AB0" w:rsidP="00D53CC6">
      <w:pPr>
        <w:pStyle w:val="Heading3"/>
      </w:pPr>
      <w:bookmarkStart w:id="512" w:name="_Toc269105482"/>
      <w:bookmarkStart w:id="513" w:name="_Toc269105552"/>
      <w:bookmarkStart w:id="514" w:name="_Toc269105781"/>
      <w:bookmarkStart w:id="515" w:name="_Toc283984815"/>
      <w:bookmarkStart w:id="516" w:name="_Toc301869657"/>
      <w:bookmarkStart w:id="517" w:name="_Toc328986861"/>
      <w:bookmarkStart w:id="518" w:name="_Toc328988070"/>
      <w:bookmarkStart w:id="519" w:name="_Toc328988153"/>
      <w:bookmarkStart w:id="520" w:name="_Toc328988234"/>
      <w:bookmarkStart w:id="521" w:name="_Toc328991048"/>
      <w:bookmarkStart w:id="522" w:name="_Toc328991530"/>
      <w:r w:rsidRPr="00543CFE">
        <w:t>Part 2 Group 1</w:t>
      </w:r>
      <w:bookmarkEnd w:id="512"/>
      <w:bookmarkEnd w:id="513"/>
      <w:bookmarkEnd w:id="514"/>
      <w:bookmarkEnd w:id="515"/>
      <w:bookmarkEnd w:id="516"/>
      <w:bookmarkEnd w:id="517"/>
      <w:bookmarkEnd w:id="518"/>
      <w:bookmarkEnd w:id="519"/>
      <w:bookmarkEnd w:id="520"/>
      <w:bookmarkEnd w:id="521"/>
      <w:bookmarkEnd w:id="522"/>
    </w:p>
    <w:p w14:paraId="070A40B5" w14:textId="77777777" w:rsidR="00CE7AB0" w:rsidRPr="00483567" w:rsidRDefault="00CE7AB0" w:rsidP="00FC388E">
      <w:pPr>
        <w:pStyle w:val="BodyText"/>
      </w:pPr>
      <w:r w:rsidRPr="00483567">
        <w:t>Plants in this group are those known to be harvested from the wild to support current market demand, are relatively fast growing and commercial sales are, in part, supplemented by cultivated material.</w:t>
      </w:r>
    </w:p>
    <w:p w14:paraId="2F610A77" w14:textId="77777777" w:rsidR="00CE7AB0" w:rsidRPr="00483567" w:rsidRDefault="00CE7AB0" w:rsidP="00FC388E">
      <w:pPr>
        <w:pStyle w:val="BodyText"/>
      </w:pPr>
      <w:r w:rsidRPr="00483567">
        <w:t>Harvesting and post-harvest management of these species is considered to be relatively simple and survivorship of harvested material is reported to be high. Overall, these species are considered to be at low to moderate risk from unsustainable management practices. However, harvesting should be monitored to ensure that it is sustainable.</w:t>
      </w:r>
    </w:p>
    <w:p w14:paraId="38DB3F3D" w14:textId="77777777" w:rsidR="00CE7AB0" w:rsidRPr="00483567" w:rsidRDefault="00CE7AB0" w:rsidP="00FC388E">
      <w:pPr>
        <w:pStyle w:val="BodyText"/>
      </w:pPr>
      <w:r w:rsidRPr="00483567">
        <w:t xml:space="preserve">Plants currently listed in this group include various fern, </w:t>
      </w:r>
      <w:proofErr w:type="spellStart"/>
      <w:proofErr w:type="gramStart"/>
      <w:r w:rsidRPr="00483567">
        <w:t>elkhorn</w:t>
      </w:r>
      <w:proofErr w:type="spellEnd"/>
      <w:proofErr w:type="gramEnd"/>
      <w:r w:rsidRPr="00483567">
        <w:t xml:space="preserve"> and staghorn species.</w:t>
      </w:r>
    </w:p>
    <w:p w14:paraId="4E15CFFD" w14:textId="77777777" w:rsidR="00CE7AB0" w:rsidRPr="00483567" w:rsidRDefault="00CE7AB0" w:rsidP="00FC388E">
      <w:pPr>
        <w:pStyle w:val="BodyText"/>
      </w:pPr>
      <w:r w:rsidRPr="00483567">
        <w:t>In summary, the requirements to commercially harvest or grow any species in Part 2, Group</w:t>
      </w:r>
      <w:r>
        <w:t> </w:t>
      </w:r>
      <w:r w:rsidRPr="00483567">
        <w:t>1 are:</w:t>
      </w:r>
    </w:p>
    <w:p w14:paraId="35D90C08" w14:textId="77777777" w:rsidR="00CE7AB0" w:rsidRPr="00483567" w:rsidRDefault="00CE7AB0" w:rsidP="00E84B7A">
      <w:pPr>
        <w:pStyle w:val="ListBullet"/>
      </w:pPr>
      <w:r w:rsidRPr="00483567">
        <w:t>a wild harvester, approved harvester or grower licence will be required</w:t>
      </w:r>
    </w:p>
    <w:p w14:paraId="62AF50B1" w14:textId="77777777" w:rsidR="00CE7AB0" w:rsidRPr="00D14258" w:rsidRDefault="00CE7AB0" w:rsidP="00E84B7A">
      <w:pPr>
        <w:pStyle w:val="ListBullet"/>
      </w:pPr>
      <w:r w:rsidRPr="00483567">
        <w:t xml:space="preserve">harvest site protocols apply for wild harvester and approved harvester licensees </w:t>
      </w:r>
      <w:r w:rsidRPr="00D14258">
        <w:t>(see Appendi</w:t>
      </w:r>
      <w:r>
        <w:t xml:space="preserve">x </w:t>
      </w:r>
      <w:r w:rsidRPr="00D14258">
        <w:t>D)</w:t>
      </w:r>
    </w:p>
    <w:p w14:paraId="7AB78292" w14:textId="77777777" w:rsidR="00CE7AB0" w:rsidRPr="00483567" w:rsidRDefault="00CE7AB0" w:rsidP="00E84B7A">
      <w:pPr>
        <w:pStyle w:val="ListBullet"/>
      </w:pPr>
      <w:r w:rsidRPr="00483567">
        <w:t>OEH may impose restrictions on the quantities that can be harvested, except for material produced under a grower licence</w:t>
      </w:r>
    </w:p>
    <w:p w14:paraId="6D1906EF" w14:textId="77777777" w:rsidR="00CE7AB0" w:rsidRPr="00483567" w:rsidRDefault="00CE7AB0" w:rsidP="00E84B7A">
      <w:pPr>
        <w:pStyle w:val="ListBullet"/>
      </w:pPr>
      <w:r>
        <w:t>NPWS</w:t>
      </w:r>
      <w:r w:rsidRPr="00483567">
        <w:t xml:space="preserve"> tags must be applied to wild harvester and approved harvester products</w:t>
      </w:r>
    </w:p>
    <w:p w14:paraId="742BEE3D" w14:textId="77777777" w:rsidR="00CE7AB0" w:rsidRPr="00483567" w:rsidRDefault="00CE7AB0" w:rsidP="00E84B7A">
      <w:pPr>
        <w:pStyle w:val="ListBullet"/>
      </w:pPr>
      <w:r w:rsidRPr="00483567">
        <w:t>grower tags must be applied to grower products</w:t>
      </w:r>
    </w:p>
    <w:p w14:paraId="545F9E42" w14:textId="65E9504D" w:rsidR="00CE7AB0" w:rsidRPr="00483567" w:rsidRDefault="00CE7AB0" w:rsidP="00E84B7A">
      <w:pPr>
        <w:pStyle w:val="ListBullet"/>
      </w:pPr>
      <w:proofErr w:type="gramStart"/>
      <w:r w:rsidRPr="00483567">
        <w:t>a</w:t>
      </w:r>
      <w:proofErr w:type="gramEnd"/>
      <w:r w:rsidRPr="00483567">
        <w:t xml:space="preserve"> </w:t>
      </w:r>
      <w:proofErr w:type="spellStart"/>
      <w:r>
        <w:t>DoEE</w:t>
      </w:r>
      <w:proofErr w:type="spellEnd"/>
      <w:r>
        <w:t xml:space="preserve"> </w:t>
      </w:r>
      <w:r w:rsidRPr="00483567">
        <w:t xml:space="preserve">export permit will be required (unless the species is in </w:t>
      </w:r>
      <w:bookmarkStart w:id="523" w:name="OLE_LINK3"/>
      <w:bookmarkStart w:id="524" w:name="OLE_LINK4"/>
      <w:r w:rsidR="001E605D">
        <w:t xml:space="preserve">the </w:t>
      </w:r>
      <w:proofErr w:type="spellStart"/>
      <w:r>
        <w:t>DoEE</w:t>
      </w:r>
      <w:proofErr w:type="spellEnd"/>
      <w:r>
        <w:t xml:space="preserve"> </w:t>
      </w:r>
      <w:r w:rsidRPr="00483567">
        <w:t>list of exempt native species).</w:t>
      </w:r>
    </w:p>
    <w:p w14:paraId="73472CCE" w14:textId="77777777" w:rsidR="00CE7AB0" w:rsidRPr="00543CFE" w:rsidRDefault="00CE7AB0" w:rsidP="00D53CC6">
      <w:pPr>
        <w:pStyle w:val="Heading3"/>
      </w:pPr>
      <w:bookmarkStart w:id="525" w:name="_Toc269105483"/>
      <w:bookmarkStart w:id="526" w:name="_Toc269105553"/>
      <w:bookmarkStart w:id="527" w:name="_Toc269105782"/>
      <w:bookmarkStart w:id="528" w:name="_Toc283984816"/>
      <w:bookmarkStart w:id="529" w:name="_Toc301869658"/>
      <w:bookmarkStart w:id="530" w:name="_Toc328986862"/>
      <w:bookmarkStart w:id="531" w:name="_Toc328988071"/>
      <w:bookmarkStart w:id="532" w:name="_Toc328988154"/>
      <w:bookmarkStart w:id="533" w:name="_Toc328988235"/>
      <w:bookmarkStart w:id="534" w:name="_Toc328991049"/>
      <w:bookmarkStart w:id="535" w:name="_Toc328991531"/>
      <w:bookmarkEnd w:id="523"/>
      <w:bookmarkEnd w:id="524"/>
      <w:r w:rsidRPr="00543CFE">
        <w:tab/>
        <w:t>Part 2 Group 2</w:t>
      </w:r>
      <w:bookmarkEnd w:id="525"/>
      <w:bookmarkEnd w:id="526"/>
      <w:bookmarkEnd w:id="527"/>
      <w:bookmarkEnd w:id="528"/>
      <w:bookmarkEnd w:id="529"/>
      <w:bookmarkEnd w:id="530"/>
      <w:bookmarkEnd w:id="531"/>
      <w:bookmarkEnd w:id="532"/>
      <w:bookmarkEnd w:id="533"/>
      <w:bookmarkEnd w:id="534"/>
      <w:bookmarkEnd w:id="535"/>
    </w:p>
    <w:p w14:paraId="0C8ECB15" w14:textId="77777777" w:rsidR="00CE7AB0" w:rsidRDefault="00CE7AB0" w:rsidP="00FC388E">
      <w:pPr>
        <w:pStyle w:val="BodyText"/>
      </w:pPr>
      <w:r w:rsidRPr="00483567">
        <w:t xml:space="preserve">Plants in this group are known to be harvested from the wild to support current market demand. They are slow growing and are only just beginning to be supplemented by cultivated material. Harvesting and post-harvest management can be difficult. Survivorship of harvested material can be low when not undertaken by experienced harvesters. These </w:t>
      </w:r>
      <w:r w:rsidRPr="00483567">
        <w:lastRenderedPageBreak/>
        <w:t xml:space="preserve">species are considered to be at risk from overharvesting. Strict harvest limits will be imposed for extractive licences. </w:t>
      </w:r>
    </w:p>
    <w:p w14:paraId="5D119C00" w14:textId="77777777" w:rsidR="00CE7AB0" w:rsidRPr="00483567" w:rsidRDefault="00CE7AB0" w:rsidP="00FC388E">
      <w:pPr>
        <w:pStyle w:val="BodyText"/>
      </w:pPr>
      <w:r w:rsidRPr="00483567">
        <w:t>Plants currently listed in this group are grass trees (</w:t>
      </w:r>
      <w:r w:rsidRPr="00483567">
        <w:rPr>
          <w:i/>
        </w:rPr>
        <w:t xml:space="preserve">Xanthorrhoea </w:t>
      </w:r>
      <w:r w:rsidRPr="00483567">
        <w:t>species)</w:t>
      </w:r>
      <w:r>
        <w:t xml:space="preserve"> and </w:t>
      </w:r>
      <w:r w:rsidRPr="00483567">
        <w:t>cycads</w:t>
      </w:r>
      <w:r>
        <w:t>.</w:t>
      </w:r>
    </w:p>
    <w:p w14:paraId="079A8EC2" w14:textId="77777777" w:rsidR="00CE7AB0" w:rsidRPr="00483567" w:rsidRDefault="00CE7AB0" w:rsidP="00FC388E">
      <w:pPr>
        <w:pStyle w:val="BodyText"/>
      </w:pPr>
      <w:r w:rsidRPr="00483567">
        <w:t>In summary, the requirements to commercially harvest or grow any species in Part 2, Group</w:t>
      </w:r>
      <w:r>
        <w:t> </w:t>
      </w:r>
      <w:r w:rsidRPr="00483567">
        <w:t>2 are:</w:t>
      </w:r>
    </w:p>
    <w:p w14:paraId="4F636B63" w14:textId="77777777" w:rsidR="00CE7AB0" w:rsidRPr="00483567" w:rsidRDefault="00CE7AB0" w:rsidP="00E84B7A">
      <w:pPr>
        <w:pStyle w:val="ListBullet"/>
      </w:pPr>
      <w:r w:rsidRPr="00483567">
        <w:t xml:space="preserve">only approved harvester or grower licences will be issued for species in this group to ensure product quality and survivorship (see Appendices </w:t>
      </w:r>
      <w:r>
        <w:t>C</w:t>
      </w:r>
      <w:r w:rsidRPr="00483567">
        <w:t xml:space="preserve"> and G)</w:t>
      </w:r>
    </w:p>
    <w:p w14:paraId="341B96AC" w14:textId="77777777" w:rsidR="00CE7AB0" w:rsidRPr="00483567" w:rsidRDefault="00CE7AB0" w:rsidP="00E84B7A">
      <w:pPr>
        <w:pStyle w:val="ListBullet"/>
      </w:pPr>
      <w:r w:rsidRPr="00483567">
        <w:t>harvest site and stockpile site requirements must be complied with for approved harvester licensees (see Appendices D and E)</w:t>
      </w:r>
    </w:p>
    <w:p w14:paraId="217018EE" w14:textId="77777777" w:rsidR="00CE7AB0" w:rsidRPr="00483567" w:rsidRDefault="00CE7AB0" w:rsidP="00E84B7A">
      <w:pPr>
        <w:pStyle w:val="ListBullet"/>
      </w:pPr>
      <w:r w:rsidRPr="00483567">
        <w:t>OEH may impose restrictions on the quantities that can be harvested, except for material produced under a grower licence (see Appendices H and K)</w:t>
      </w:r>
    </w:p>
    <w:p w14:paraId="64793122" w14:textId="77777777" w:rsidR="00CE7AB0" w:rsidRPr="00483567" w:rsidRDefault="00CE7AB0" w:rsidP="00E84B7A">
      <w:pPr>
        <w:pStyle w:val="ListBullet"/>
      </w:pPr>
      <w:r>
        <w:t>NPWS</w:t>
      </w:r>
      <w:r w:rsidRPr="00483567">
        <w:t xml:space="preserve"> tags are required for approved harvester products</w:t>
      </w:r>
    </w:p>
    <w:p w14:paraId="185EDAEB" w14:textId="77777777" w:rsidR="00CE7AB0" w:rsidRPr="00483567" w:rsidRDefault="00CE7AB0" w:rsidP="00E84B7A">
      <w:pPr>
        <w:pStyle w:val="ListBullet"/>
      </w:pPr>
      <w:r w:rsidRPr="00483567">
        <w:t>grower tags must be used for grower products</w:t>
      </w:r>
    </w:p>
    <w:p w14:paraId="0A011CA0" w14:textId="683402E2" w:rsidR="00CE7AB0" w:rsidRPr="00483567" w:rsidRDefault="00CE7AB0" w:rsidP="00E84B7A">
      <w:pPr>
        <w:pStyle w:val="ListBullet"/>
      </w:pPr>
      <w:proofErr w:type="gramStart"/>
      <w:r w:rsidRPr="00483567">
        <w:t>a</w:t>
      </w:r>
      <w:proofErr w:type="gramEnd"/>
      <w:r w:rsidRPr="00483567">
        <w:t xml:space="preserve"> </w:t>
      </w:r>
      <w:proofErr w:type="spellStart"/>
      <w:r>
        <w:t>DoEE</w:t>
      </w:r>
      <w:proofErr w:type="spellEnd"/>
      <w:r w:rsidRPr="00483567">
        <w:t xml:space="preserve"> export permit will be required (unless the species is in </w:t>
      </w:r>
      <w:r w:rsidR="001E605D">
        <w:t xml:space="preserve">the </w:t>
      </w:r>
      <w:proofErr w:type="spellStart"/>
      <w:r>
        <w:t>DoEE</w:t>
      </w:r>
      <w:proofErr w:type="spellEnd"/>
      <w:r w:rsidRPr="00483567">
        <w:t xml:space="preserve"> list of exempt native species).</w:t>
      </w:r>
    </w:p>
    <w:p w14:paraId="67B3E2E4" w14:textId="77777777" w:rsidR="00CE7AB0" w:rsidRPr="00543CFE" w:rsidRDefault="00CE7AB0" w:rsidP="00D53CC6">
      <w:pPr>
        <w:pStyle w:val="Heading3"/>
      </w:pPr>
      <w:bookmarkStart w:id="536" w:name="_Toc269105484"/>
      <w:bookmarkStart w:id="537" w:name="_Toc269105554"/>
      <w:bookmarkStart w:id="538" w:name="_Toc269105783"/>
      <w:bookmarkStart w:id="539" w:name="_Toc283984817"/>
      <w:bookmarkStart w:id="540" w:name="_Toc301869659"/>
      <w:bookmarkStart w:id="541" w:name="_Toc328986863"/>
      <w:bookmarkStart w:id="542" w:name="_Toc328988072"/>
      <w:bookmarkStart w:id="543" w:name="_Toc328988155"/>
      <w:bookmarkStart w:id="544" w:name="_Toc328988236"/>
      <w:bookmarkStart w:id="545" w:name="_Toc328991050"/>
      <w:bookmarkStart w:id="546" w:name="_Toc328991532"/>
      <w:r w:rsidRPr="00543CFE">
        <w:t>Part 2 Group 3</w:t>
      </w:r>
      <w:bookmarkEnd w:id="536"/>
      <w:bookmarkEnd w:id="537"/>
      <w:bookmarkEnd w:id="538"/>
      <w:bookmarkEnd w:id="539"/>
      <w:bookmarkEnd w:id="540"/>
      <w:bookmarkEnd w:id="541"/>
      <w:bookmarkEnd w:id="542"/>
      <w:bookmarkEnd w:id="543"/>
      <w:bookmarkEnd w:id="544"/>
      <w:bookmarkEnd w:id="545"/>
      <w:bookmarkEnd w:id="546"/>
    </w:p>
    <w:p w14:paraId="7B142A94" w14:textId="77777777" w:rsidR="00CE7AB0" w:rsidRPr="00483567" w:rsidRDefault="00CE7AB0" w:rsidP="00FC388E">
      <w:pPr>
        <w:pStyle w:val="BodyText"/>
      </w:pPr>
      <w:r w:rsidRPr="00483567">
        <w:t>Plants in this group are known to be harvested from the wild to support current market demand. These products are slow growing and they are unlikely to be directly supplemented by cultivated material. Harvesting and post-harvest management can be difficult, and survivorship of harvested material can be low when not undertaken by experienced harvesters.</w:t>
      </w:r>
    </w:p>
    <w:p w14:paraId="4FB2633B" w14:textId="77777777" w:rsidR="00CE7AB0" w:rsidRPr="00DD33FF" w:rsidRDefault="00CE7AB0" w:rsidP="00FC388E">
      <w:pPr>
        <w:pStyle w:val="BodyText"/>
      </w:pPr>
      <w:r w:rsidRPr="00DD33FF">
        <w:t>Part 2, Group 3 currently includes palms (</w:t>
      </w:r>
      <w:proofErr w:type="spellStart"/>
      <w:r w:rsidRPr="00DD33FF">
        <w:t>Arecaceae</w:t>
      </w:r>
      <w:proofErr w:type="spellEnd"/>
      <w:r w:rsidRPr="00DD33FF">
        <w:t xml:space="preserve"> family), all species of </w:t>
      </w:r>
      <w:proofErr w:type="spellStart"/>
      <w:r w:rsidRPr="005C4F3D">
        <w:rPr>
          <w:i/>
        </w:rPr>
        <w:t>pandanus</w:t>
      </w:r>
      <w:proofErr w:type="spellEnd"/>
      <w:r>
        <w:t>,</w:t>
      </w:r>
      <w:r w:rsidRPr="00DD33FF">
        <w:t xml:space="preserve"> the king fern and some orchid species. </w:t>
      </w:r>
    </w:p>
    <w:p w14:paraId="0995A4D4" w14:textId="77777777" w:rsidR="00CE7AB0" w:rsidRPr="00483567" w:rsidRDefault="00CE7AB0" w:rsidP="00FC388E">
      <w:pPr>
        <w:pStyle w:val="BodyText"/>
      </w:pPr>
      <w:r w:rsidRPr="00483567">
        <w:t>In summary, the requirements to commercially harvest or grow any species in Part 2, Group</w:t>
      </w:r>
      <w:r>
        <w:t> </w:t>
      </w:r>
      <w:r w:rsidRPr="00483567">
        <w:t>3 are:</w:t>
      </w:r>
    </w:p>
    <w:p w14:paraId="4CE11D0D" w14:textId="77777777" w:rsidR="00CE7AB0" w:rsidRPr="00483567" w:rsidRDefault="00CE7AB0" w:rsidP="00E84B7A">
      <w:pPr>
        <w:pStyle w:val="ListBullet"/>
      </w:pPr>
      <w:r w:rsidRPr="00483567">
        <w:t>only approved harvest (salvage only) or grower licences will be issued for species in this group</w:t>
      </w:r>
    </w:p>
    <w:p w14:paraId="732452DD" w14:textId="77777777" w:rsidR="00CE7AB0" w:rsidRPr="00483567" w:rsidRDefault="00CE7AB0" w:rsidP="00E84B7A">
      <w:pPr>
        <w:pStyle w:val="ListBullet"/>
      </w:pPr>
      <w:r w:rsidRPr="00483567">
        <w:t>harvest site and stockpile site requirements must be complied with for approved harvester licensees (see Appendices D and E)</w:t>
      </w:r>
    </w:p>
    <w:p w14:paraId="538BCBA4" w14:textId="77777777" w:rsidR="00CE7AB0" w:rsidRPr="00483567" w:rsidRDefault="00CE7AB0" w:rsidP="00E84B7A">
      <w:pPr>
        <w:pStyle w:val="ListBullet"/>
      </w:pPr>
      <w:r w:rsidRPr="00483567">
        <w:t>OEH may impose restrictions on the quantities that can be harvested, except for material produced under a grower licence</w:t>
      </w:r>
    </w:p>
    <w:p w14:paraId="35102706" w14:textId="77777777" w:rsidR="00CE7AB0" w:rsidRPr="00483567" w:rsidRDefault="00CE7AB0" w:rsidP="00E84B7A">
      <w:pPr>
        <w:pStyle w:val="ListBullet"/>
      </w:pPr>
      <w:r>
        <w:t>NPWS</w:t>
      </w:r>
      <w:r w:rsidRPr="00483567">
        <w:t xml:space="preserve"> tags are required for approved harvester (salvage-only) products</w:t>
      </w:r>
    </w:p>
    <w:p w14:paraId="47B5DFDB" w14:textId="77777777" w:rsidR="00CE7AB0" w:rsidRPr="00483567" w:rsidRDefault="00CE7AB0" w:rsidP="00E84B7A">
      <w:pPr>
        <w:pStyle w:val="ListBullet"/>
      </w:pPr>
      <w:r w:rsidRPr="00483567">
        <w:t>grower tags to be used for grower products</w:t>
      </w:r>
    </w:p>
    <w:p w14:paraId="2759A3C2" w14:textId="2E5F8F2A" w:rsidR="00CE7AB0" w:rsidRPr="00483567" w:rsidRDefault="00CE7AB0" w:rsidP="00E84B7A">
      <w:pPr>
        <w:pStyle w:val="ListBullet"/>
      </w:pPr>
      <w:proofErr w:type="gramStart"/>
      <w:r w:rsidRPr="00483567">
        <w:t>a</w:t>
      </w:r>
      <w:proofErr w:type="gramEnd"/>
      <w:r w:rsidRPr="00483567">
        <w:t xml:space="preserve"> </w:t>
      </w:r>
      <w:proofErr w:type="spellStart"/>
      <w:r>
        <w:t>DoEE</w:t>
      </w:r>
      <w:proofErr w:type="spellEnd"/>
      <w:r w:rsidRPr="00483567">
        <w:t xml:space="preserve"> export permit will be required (unless the species is in </w:t>
      </w:r>
      <w:r w:rsidR="001E605D">
        <w:t xml:space="preserve">the </w:t>
      </w:r>
      <w:proofErr w:type="spellStart"/>
      <w:r>
        <w:t>DoEE</w:t>
      </w:r>
      <w:proofErr w:type="spellEnd"/>
      <w:r w:rsidRPr="00483567">
        <w:t xml:space="preserve"> list of exempt native species).</w:t>
      </w:r>
    </w:p>
    <w:p w14:paraId="34EC2318" w14:textId="77777777" w:rsidR="00CE7AB0" w:rsidRPr="00543CFE" w:rsidRDefault="00CE7AB0" w:rsidP="00D53CC6">
      <w:pPr>
        <w:pStyle w:val="Heading3"/>
      </w:pPr>
      <w:bookmarkStart w:id="547" w:name="_Toc269105485"/>
      <w:bookmarkStart w:id="548" w:name="_Toc269105555"/>
      <w:bookmarkStart w:id="549" w:name="_Toc269105784"/>
      <w:bookmarkStart w:id="550" w:name="_Toc283984818"/>
      <w:bookmarkStart w:id="551" w:name="_Toc301869660"/>
      <w:bookmarkStart w:id="552" w:name="_Toc328986864"/>
      <w:bookmarkStart w:id="553" w:name="_Toc328988073"/>
      <w:bookmarkStart w:id="554" w:name="_Toc328988156"/>
      <w:bookmarkStart w:id="555" w:name="_Toc328988237"/>
      <w:bookmarkStart w:id="556" w:name="_Toc328991051"/>
      <w:bookmarkStart w:id="557" w:name="_Toc328991533"/>
      <w:r w:rsidRPr="00543CFE">
        <w:t>Part 2 Group 4</w:t>
      </w:r>
      <w:bookmarkEnd w:id="547"/>
      <w:bookmarkEnd w:id="548"/>
      <w:bookmarkEnd w:id="549"/>
      <w:bookmarkEnd w:id="550"/>
      <w:bookmarkEnd w:id="551"/>
      <w:bookmarkEnd w:id="552"/>
      <w:bookmarkEnd w:id="553"/>
      <w:bookmarkEnd w:id="554"/>
      <w:bookmarkEnd w:id="555"/>
      <w:bookmarkEnd w:id="556"/>
      <w:bookmarkEnd w:id="557"/>
    </w:p>
    <w:p w14:paraId="620B0C7C" w14:textId="77777777" w:rsidR="00CE7AB0" w:rsidRPr="00833F60" w:rsidRDefault="00CE7AB0" w:rsidP="00FC388E">
      <w:pPr>
        <w:pStyle w:val="BodyText"/>
        <w:rPr>
          <w:sz w:val="20"/>
        </w:rPr>
      </w:pPr>
      <w:r w:rsidRPr="00483567">
        <w:t xml:space="preserve">Plants </w:t>
      </w:r>
      <w:r>
        <w:t>in this group are t</w:t>
      </w:r>
      <w:r w:rsidRPr="00483567">
        <w:t>hose species that are well established in cultivation but where the cultivated material is not readily discern</w:t>
      </w:r>
      <w:r>
        <w:t>i</w:t>
      </w:r>
      <w:r w:rsidRPr="00483567">
        <w:t xml:space="preserve">ble from wild harvested material and </w:t>
      </w:r>
      <w:r>
        <w:t xml:space="preserve">the species </w:t>
      </w:r>
      <w:r w:rsidRPr="00483567">
        <w:t>maybe subject to illegal wild harvest. This currently includes NSW endemic orchids (</w:t>
      </w:r>
      <w:proofErr w:type="spellStart"/>
      <w:r w:rsidRPr="00483567">
        <w:t>Orchidaceae</w:t>
      </w:r>
      <w:proofErr w:type="spellEnd"/>
      <w:r w:rsidRPr="00483567">
        <w:t>)</w:t>
      </w:r>
      <w:r>
        <w:t xml:space="preserve"> other than those individually listed in Part 2, Group 3</w:t>
      </w:r>
      <w:r w:rsidRPr="00483567">
        <w:t>.</w:t>
      </w:r>
    </w:p>
    <w:p w14:paraId="5CEAD6CC" w14:textId="77777777" w:rsidR="00CE7AB0" w:rsidRPr="00483567" w:rsidRDefault="00CE7AB0" w:rsidP="00FC388E">
      <w:pPr>
        <w:pStyle w:val="BodyText"/>
      </w:pPr>
      <w:r>
        <w:br w:type="page"/>
      </w:r>
      <w:r w:rsidRPr="00483567">
        <w:lastRenderedPageBreak/>
        <w:t>The requirements to cultivate any species in Part 2, Group 4 are provided in Appendi</w:t>
      </w:r>
      <w:r>
        <w:t>x</w:t>
      </w:r>
      <w:r w:rsidRPr="00483567">
        <w:t xml:space="preserve"> I and summarised here:</w:t>
      </w:r>
    </w:p>
    <w:p w14:paraId="383F4393" w14:textId="77777777" w:rsidR="00CE7AB0" w:rsidRPr="00483567" w:rsidRDefault="00CE7AB0" w:rsidP="00076544">
      <w:pPr>
        <w:pStyle w:val="ListBullet"/>
      </w:pPr>
      <w:r w:rsidRPr="00483567">
        <w:t>only a grower licence will be issued for species in this group</w:t>
      </w:r>
    </w:p>
    <w:p w14:paraId="6E1034B8" w14:textId="77777777" w:rsidR="00CE7AB0" w:rsidRPr="00483567" w:rsidRDefault="00CE7AB0" w:rsidP="00076544">
      <w:pPr>
        <w:pStyle w:val="ListBullet"/>
      </w:pPr>
      <w:r w:rsidRPr="00483567">
        <w:t>no production limits will be imposed</w:t>
      </w:r>
    </w:p>
    <w:p w14:paraId="7EC35A45" w14:textId="77777777" w:rsidR="00CE7AB0" w:rsidRDefault="00CE7AB0" w:rsidP="00076544">
      <w:pPr>
        <w:pStyle w:val="ListBullet"/>
      </w:pPr>
      <w:r w:rsidRPr="00483567">
        <w:t xml:space="preserve">grower tags are to be used for this group </w:t>
      </w:r>
    </w:p>
    <w:p w14:paraId="276B0AC5" w14:textId="230409CA" w:rsidR="00CE7AB0" w:rsidRPr="00483567" w:rsidRDefault="00CE7AB0" w:rsidP="00076544">
      <w:pPr>
        <w:pStyle w:val="ListBullet"/>
      </w:pPr>
      <w:proofErr w:type="gramStart"/>
      <w:r w:rsidRPr="00483567">
        <w:t>a</w:t>
      </w:r>
      <w:proofErr w:type="gramEnd"/>
      <w:r w:rsidRPr="00483567">
        <w:t xml:space="preserve"> </w:t>
      </w:r>
      <w:proofErr w:type="spellStart"/>
      <w:r>
        <w:t>DoEE</w:t>
      </w:r>
      <w:proofErr w:type="spellEnd"/>
      <w:r w:rsidRPr="00483567">
        <w:t xml:space="preserve"> export permit will be required (unless the species is in</w:t>
      </w:r>
      <w:r w:rsidR="001E605D">
        <w:t xml:space="preserve"> the</w:t>
      </w:r>
      <w:r w:rsidRPr="00483567">
        <w:t xml:space="preserve"> </w:t>
      </w:r>
      <w:proofErr w:type="spellStart"/>
      <w:r>
        <w:t>DoEE</w:t>
      </w:r>
      <w:proofErr w:type="spellEnd"/>
      <w:r w:rsidRPr="00483567">
        <w:t xml:space="preserve"> list of exempt native species). </w:t>
      </w:r>
    </w:p>
    <w:p w14:paraId="5088EB3A" w14:textId="77777777" w:rsidR="00CE7AB0" w:rsidRPr="00543CFE" w:rsidRDefault="00CE7AB0" w:rsidP="00D53CC6">
      <w:pPr>
        <w:pStyle w:val="Heading3"/>
      </w:pPr>
      <w:bookmarkStart w:id="558" w:name="_Toc283984819"/>
      <w:bookmarkStart w:id="559" w:name="_Toc301869661"/>
      <w:bookmarkStart w:id="560" w:name="_Toc328986865"/>
      <w:bookmarkStart w:id="561" w:name="_Toc328988074"/>
      <w:bookmarkStart w:id="562" w:name="_Toc328988157"/>
      <w:bookmarkStart w:id="563" w:name="_Toc328988238"/>
      <w:bookmarkStart w:id="564" w:name="_Toc328991052"/>
      <w:bookmarkStart w:id="565" w:name="_Toc328991534"/>
      <w:r w:rsidRPr="00543CFE">
        <w:t>Part 2 Group 5</w:t>
      </w:r>
      <w:bookmarkEnd w:id="558"/>
      <w:bookmarkEnd w:id="559"/>
      <w:bookmarkEnd w:id="560"/>
      <w:bookmarkEnd w:id="561"/>
      <w:bookmarkEnd w:id="562"/>
      <w:bookmarkEnd w:id="563"/>
      <w:bookmarkEnd w:id="564"/>
      <w:bookmarkEnd w:id="565"/>
    </w:p>
    <w:p w14:paraId="2FB4EABC" w14:textId="77777777" w:rsidR="00CE7AB0" w:rsidRPr="00483567" w:rsidRDefault="00CE7AB0" w:rsidP="00FC388E">
      <w:pPr>
        <w:pStyle w:val="BodyText"/>
      </w:pPr>
      <w:r w:rsidRPr="00483567">
        <w:t>Plants in this group include those that are identified as having special requirements. The group currently has only one species, the Wollemi pine (</w:t>
      </w:r>
      <w:proofErr w:type="spellStart"/>
      <w:r w:rsidRPr="00483567">
        <w:rPr>
          <w:bCs/>
          <w:i/>
        </w:rPr>
        <w:t>Wollemia</w:t>
      </w:r>
      <w:proofErr w:type="spellEnd"/>
      <w:r w:rsidRPr="00483567">
        <w:rPr>
          <w:bCs/>
          <w:i/>
        </w:rPr>
        <w:t xml:space="preserve"> </w:t>
      </w:r>
      <w:proofErr w:type="spellStart"/>
      <w:r w:rsidRPr="00483567">
        <w:rPr>
          <w:bCs/>
          <w:i/>
        </w:rPr>
        <w:t>nobilis</w:t>
      </w:r>
      <w:proofErr w:type="spellEnd"/>
      <w:r w:rsidRPr="00483567">
        <w:rPr>
          <w:bCs/>
        </w:rPr>
        <w:t>)</w:t>
      </w:r>
      <w:r w:rsidRPr="00483567">
        <w:t>, but in future may include other listed threatened species or other species that are of particular concern to other jurisdictions.</w:t>
      </w:r>
    </w:p>
    <w:p w14:paraId="4A9DFFE5" w14:textId="77777777" w:rsidR="00CE7AB0" w:rsidRPr="00483567" w:rsidRDefault="00CE7AB0" w:rsidP="00FC388E">
      <w:pPr>
        <w:pStyle w:val="BodyText"/>
      </w:pPr>
      <w:r w:rsidRPr="00483567">
        <w:t>To support the conservation of species within this group, OEH may impose specific restrictions or tagging requirements on these products, such as these:</w:t>
      </w:r>
    </w:p>
    <w:p w14:paraId="2A6EC69D" w14:textId="77777777" w:rsidR="00CE7AB0" w:rsidRPr="00483567" w:rsidRDefault="00CE7AB0" w:rsidP="00076544">
      <w:pPr>
        <w:pStyle w:val="ListBullet"/>
      </w:pPr>
      <w:r w:rsidRPr="00483567">
        <w:t>only a grower licence will be issued for species in this group</w:t>
      </w:r>
    </w:p>
    <w:p w14:paraId="76C64761" w14:textId="77777777" w:rsidR="00CE7AB0" w:rsidRDefault="00CE7AB0" w:rsidP="00076544">
      <w:pPr>
        <w:pStyle w:val="ListBullet"/>
      </w:pPr>
      <w:r w:rsidRPr="00483567">
        <w:t xml:space="preserve">grower tags are to be used for this group </w:t>
      </w:r>
    </w:p>
    <w:p w14:paraId="2FAD45FB" w14:textId="77777777" w:rsidR="00CE7AB0" w:rsidRPr="00483567" w:rsidRDefault="00CE7AB0" w:rsidP="00076544">
      <w:pPr>
        <w:pStyle w:val="ListBullet"/>
      </w:pPr>
      <w:r w:rsidRPr="00483567">
        <w:t>no production limits will be imposed</w:t>
      </w:r>
    </w:p>
    <w:p w14:paraId="25627DD6" w14:textId="6CF84174" w:rsidR="00CE7AB0" w:rsidRDefault="00CE7AB0" w:rsidP="00076544">
      <w:pPr>
        <w:pStyle w:val="ListBullet"/>
      </w:pPr>
      <w:proofErr w:type="gramStart"/>
      <w:r w:rsidRPr="00483567">
        <w:t>a</w:t>
      </w:r>
      <w:proofErr w:type="gramEnd"/>
      <w:r w:rsidRPr="00483567">
        <w:t xml:space="preserve"> </w:t>
      </w:r>
      <w:proofErr w:type="spellStart"/>
      <w:r>
        <w:t>DoEE</w:t>
      </w:r>
      <w:proofErr w:type="spellEnd"/>
      <w:r w:rsidRPr="00483567">
        <w:t xml:space="preserve"> export permit will be required (unless the species is in </w:t>
      </w:r>
      <w:r w:rsidR="001E605D">
        <w:t xml:space="preserve">the </w:t>
      </w:r>
      <w:proofErr w:type="spellStart"/>
      <w:r>
        <w:t>DoEE</w:t>
      </w:r>
      <w:proofErr w:type="spellEnd"/>
      <w:r w:rsidRPr="00483567">
        <w:t xml:space="preserve"> list of exempt native species). </w:t>
      </w:r>
    </w:p>
    <w:p w14:paraId="4E823170" w14:textId="77777777" w:rsidR="00CE7AB0" w:rsidRPr="00483567" w:rsidRDefault="00CE7AB0" w:rsidP="00D72936">
      <w:pPr>
        <w:pStyle w:val="Heading2"/>
      </w:pPr>
      <w:bookmarkStart w:id="566" w:name="_Toc283984820"/>
      <w:bookmarkStart w:id="567" w:name="_Toc301869662"/>
      <w:bookmarkStart w:id="568" w:name="_Toc328986866"/>
      <w:bookmarkStart w:id="569" w:name="_Toc328988075"/>
      <w:bookmarkStart w:id="570" w:name="_Toc328988158"/>
      <w:bookmarkStart w:id="571" w:name="_Toc328988239"/>
      <w:bookmarkStart w:id="572" w:name="_Toc328991053"/>
      <w:bookmarkStart w:id="573" w:name="_Toc328991535"/>
      <w:bookmarkStart w:id="574" w:name="_Toc492379105"/>
      <w:bookmarkStart w:id="575" w:name="_Toc494449585"/>
      <w:bookmarkStart w:id="576" w:name="_Toc268078759"/>
      <w:bookmarkStart w:id="577" w:name="_Toc269105488"/>
      <w:bookmarkStart w:id="578" w:name="_Toc269105558"/>
      <w:bookmarkStart w:id="579" w:name="_Toc269105787"/>
      <w:r w:rsidRPr="00483567">
        <w:t>Education</w:t>
      </w:r>
      <w:bookmarkEnd w:id="566"/>
      <w:bookmarkEnd w:id="567"/>
      <w:bookmarkEnd w:id="568"/>
      <w:bookmarkEnd w:id="569"/>
      <w:bookmarkEnd w:id="570"/>
      <w:bookmarkEnd w:id="571"/>
      <w:bookmarkEnd w:id="572"/>
      <w:bookmarkEnd w:id="573"/>
      <w:bookmarkEnd w:id="574"/>
      <w:bookmarkEnd w:id="575"/>
    </w:p>
    <w:p w14:paraId="73AF8674" w14:textId="77777777" w:rsidR="00CE7AB0" w:rsidRPr="00483567" w:rsidRDefault="00CE7AB0" w:rsidP="00FC388E">
      <w:pPr>
        <w:pStyle w:val="BodyText"/>
      </w:pPr>
      <w:r w:rsidRPr="00483567">
        <w:t>All relevant forms, procedures and fact sheets supporting the plan’s implementation will be available via the OEH website.</w:t>
      </w:r>
    </w:p>
    <w:p w14:paraId="2FC5F824" w14:textId="77777777" w:rsidR="00CE7AB0" w:rsidRPr="00483567" w:rsidRDefault="00CE7AB0" w:rsidP="00FC388E">
      <w:pPr>
        <w:pStyle w:val="BodyText"/>
      </w:pPr>
      <w:r w:rsidRPr="00483567">
        <w:t>A targeted education strategy will be prepared in consultation with stakeholders to deliver information to those involved in the whole plant</w:t>
      </w:r>
      <w:r w:rsidRPr="00483567">
        <w:rPr>
          <w:b/>
        </w:rPr>
        <w:t xml:space="preserve"> </w:t>
      </w:r>
      <w:r w:rsidRPr="00483567">
        <w:t>industry. This includes government agencies, harvesters, growers, wholesalers, retailers and the broader community. It will raise awareness of the legislative and management requirements outlined in this plan, reinforce the impacts of illegal harvesting and identify species at high risk of exploitation.</w:t>
      </w:r>
    </w:p>
    <w:p w14:paraId="58CD5B69" w14:textId="77777777" w:rsidR="00CE7AB0" w:rsidRPr="00483567" w:rsidRDefault="00CE7AB0" w:rsidP="00FC388E">
      <w:pPr>
        <w:pStyle w:val="BodyText"/>
      </w:pPr>
      <w:r w:rsidRPr="00483567">
        <w:t xml:space="preserve">Information will be delivered via direct contact, presentations at conferences or meetings and fact sheets. </w:t>
      </w:r>
      <w:r>
        <w:t>OEH</w:t>
      </w:r>
      <w:r w:rsidRPr="00483567">
        <w:t xml:space="preserve"> will </w:t>
      </w:r>
      <w:r>
        <w:t>engage</w:t>
      </w:r>
      <w:r w:rsidRPr="00483567">
        <w:t xml:space="preserve"> with the industry</w:t>
      </w:r>
      <w:r>
        <w:t xml:space="preserve"> to help develop </w:t>
      </w:r>
      <w:r w:rsidRPr="00483567">
        <w:t>code</w:t>
      </w:r>
      <w:r>
        <w:t>s</w:t>
      </w:r>
      <w:r w:rsidRPr="00483567">
        <w:t xml:space="preserve"> of practice</w:t>
      </w:r>
      <w:r>
        <w:t xml:space="preserve"> where they </w:t>
      </w:r>
      <w:r w:rsidRPr="00616491">
        <w:t xml:space="preserve">can assist with industry compliance. OEH will work with industry associations to help them </w:t>
      </w:r>
      <w:proofErr w:type="gramStart"/>
      <w:r w:rsidRPr="00616491">
        <w:t>advise</w:t>
      </w:r>
      <w:proofErr w:type="gramEnd"/>
      <w:r w:rsidRPr="00483567">
        <w:t xml:space="preserve"> their respective industry sectors of the changes and likely impacts.</w:t>
      </w:r>
    </w:p>
    <w:p w14:paraId="5938BF48" w14:textId="77777777" w:rsidR="00CE7AB0" w:rsidRPr="00F50203" w:rsidRDefault="00CE7AB0" w:rsidP="00D53CC6">
      <w:pPr>
        <w:pStyle w:val="Heading3"/>
      </w:pPr>
      <w:bookmarkStart w:id="580" w:name="_Toc301869663"/>
      <w:bookmarkStart w:id="581" w:name="_Toc328986867"/>
      <w:bookmarkStart w:id="582" w:name="_Toc328988076"/>
      <w:bookmarkStart w:id="583" w:name="_Toc328988159"/>
      <w:bookmarkStart w:id="584" w:name="_Toc328988240"/>
      <w:bookmarkStart w:id="585" w:name="_Toc328991054"/>
      <w:bookmarkStart w:id="586" w:name="_Toc328991536"/>
      <w:r w:rsidRPr="00F50203">
        <w:t>Foster cooperation</w:t>
      </w:r>
      <w:bookmarkEnd w:id="580"/>
      <w:bookmarkEnd w:id="581"/>
      <w:bookmarkEnd w:id="582"/>
      <w:bookmarkEnd w:id="583"/>
      <w:bookmarkEnd w:id="584"/>
      <w:bookmarkEnd w:id="585"/>
      <w:bookmarkEnd w:id="586"/>
    </w:p>
    <w:p w14:paraId="710F1BD3" w14:textId="77777777" w:rsidR="00CE7AB0" w:rsidRPr="00483567" w:rsidRDefault="00CE7AB0" w:rsidP="00FC388E">
      <w:pPr>
        <w:pStyle w:val="BodyText"/>
      </w:pPr>
      <w:r w:rsidRPr="00483567">
        <w:t>OEH encourages the whole-plant industry to be self-sustaining and self-regulating through improved awareness of biodiversity and ecological sustainability. To this effect, OEH will encourage and develop partnerships with the industry to promote the use of cultivated or sustainably harvested products. Members of the public and the industry at large will be encouraged to report suspected illegal plant sale</w:t>
      </w:r>
      <w:r>
        <w:t>s</w:t>
      </w:r>
      <w:r w:rsidRPr="00483567">
        <w:t xml:space="preserve"> to OEH.</w:t>
      </w:r>
    </w:p>
    <w:p w14:paraId="6BAB525B" w14:textId="77777777" w:rsidR="00CE7AB0" w:rsidRPr="00483567" w:rsidRDefault="00CE7AB0" w:rsidP="00D72936">
      <w:pPr>
        <w:pStyle w:val="Heading2"/>
      </w:pPr>
      <w:bookmarkStart w:id="587" w:name="_Toc283984821"/>
      <w:bookmarkStart w:id="588" w:name="_Toc301869664"/>
      <w:bookmarkStart w:id="589" w:name="_Toc328986868"/>
      <w:bookmarkStart w:id="590" w:name="_Toc328988077"/>
      <w:bookmarkStart w:id="591" w:name="_Toc328988160"/>
      <w:bookmarkStart w:id="592" w:name="_Toc328988241"/>
      <w:bookmarkStart w:id="593" w:name="_Toc328991055"/>
      <w:bookmarkStart w:id="594" w:name="_Toc328991537"/>
      <w:bookmarkStart w:id="595" w:name="_Toc492379106"/>
      <w:bookmarkStart w:id="596" w:name="_Toc494449586"/>
      <w:r w:rsidRPr="00483567">
        <w:t>Compliance</w:t>
      </w:r>
      <w:bookmarkEnd w:id="576"/>
      <w:bookmarkEnd w:id="577"/>
      <w:bookmarkEnd w:id="578"/>
      <w:bookmarkEnd w:id="579"/>
      <w:bookmarkEnd w:id="587"/>
      <w:bookmarkEnd w:id="588"/>
      <w:bookmarkEnd w:id="589"/>
      <w:bookmarkEnd w:id="590"/>
      <w:bookmarkEnd w:id="591"/>
      <w:bookmarkEnd w:id="592"/>
      <w:bookmarkEnd w:id="593"/>
      <w:bookmarkEnd w:id="594"/>
      <w:bookmarkEnd w:id="595"/>
      <w:bookmarkEnd w:id="596"/>
    </w:p>
    <w:p w14:paraId="26834BB2" w14:textId="77777777" w:rsidR="00CE7AB0" w:rsidRPr="00483567" w:rsidRDefault="00CE7AB0" w:rsidP="00FC388E">
      <w:pPr>
        <w:pStyle w:val="BodyText"/>
      </w:pPr>
      <w:r w:rsidRPr="00483567">
        <w:t xml:space="preserve">Compliance is essential to preserve wild plant populations, promote the use of cultivated and sustainably harvested material and support legitimate operators. Compliance is enhanced by </w:t>
      </w:r>
      <w:r w:rsidRPr="00483567">
        <w:lastRenderedPageBreak/>
        <w:t>fostering industry collaboration through regular communication and encouraging the cooperation of industry stakeholders and the public in reporting suspected unlawful activities.</w:t>
      </w:r>
    </w:p>
    <w:p w14:paraId="15FBAF07" w14:textId="77777777" w:rsidR="00CE7AB0" w:rsidRPr="00483567" w:rsidRDefault="00CE7AB0" w:rsidP="00FC388E">
      <w:pPr>
        <w:pStyle w:val="BodyText"/>
      </w:pPr>
      <w:r w:rsidRPr="00483567">
        <w:t>There is a close link between education, effective licensing and compliance in controlling commercial harvesting. Monitoring and regulation is designed to ensure legislative compliance, and investigations are necessary to prevent illegally produced plants entering commercial sectors.</w:t>
      </w:r>
    </w:p>
    <w:p w14:paraId="73765E54" w14:textId="77777777" w:rsidR="00CE7AB0" w:rsidRPr="00483567" w:rsidRDefault="00CE7AB0" w:rsidP="00FC388E">
      <w:pPr>
        <w:pStyle w:val="BodyText"/>
      </w:pPr>
      <w:r w:rsidRPr="00483567">
        <w:t>Industry-developed and supported best practice is an important strategy alongside government regulation. OEH encourages the industry to be self-sustaining and self-regulating through improved awareness of biodiversity and ecological sustainability. OEH will</w:t>
      </w:r>
      <w:r>
        <w:t> </w:t>
      </w:r>
      <w:r w:rsidRPr="00483567">
        <w:t>encourage and develop partnerships with the industry to promote the use of cultivated or sustainably harvested products.</w:t>
      </w:r>
    </w:p>
    <w:p w14:paraId="1F0DC4F6" w14:textId="77777777" w:rsidR="00CE7AB0" w:rsidRPr="00483567" w:rsidRDefault="00CE7AB0" w:rsidP="00FC388E">
      <w:pPr>
        <w:pStyle w:val="BodyText"/>
      </w:pPr>
      <w:r w:rsidRPr="00483567">
        <w:t>OEH will implement the following compliance actions as par</w:t>
      </w:r>
      <w:r>
        <w:t>t of the implementation of this </w:t>
      </w:r>
      <w:r w:rsidRPr="00483567">
        <w:t>plan.</w:t>
      </w:r>
    </w:p>
    <w:p w14:paraId="6E49E25D" w14:textId="77777777" w:rsidR="00CE7AB0" w:rsidRPr="00483567" w:rsidRDefault="00CE7AB0" w:rsidP="00FC388E">
      <w:pPr>
        <w:pStyle w:val="BodyText"/>
      </w:pPr>
      <w:r w:rsidRPr="00483567">
        <w:t xml:space="preserve">Penalties for offences relating to protected native plants are described in </w:t>
      </w:r>
      <w:r>
        <w:t>Section 3.3.</w:t>
      </w:r>
    </w:p>
    <w:p w14:paraId="237DF130" w14:textId="77777777" w:rsidR="00CE7AB0" w:rsidRPr="00F50203" w:rsidRDefault="00CE7AB0" w:rsidP="00D53CC6">
      <w:pPr>
        <w:pStyle w:val="Heading3"/>
      </w:pPr>
      <w:bookmarkStart w:id="597" w:name="_Toc301869665"/>
      <w:bookmarkStart w:id="598" w:name="_Toc328986869"/>
      <w:bookmarkStart w:id="599" w:name="_Toc328988078"/>
      <w:bookmarkStart w:id="600" w:name="_Toc328988161"/>
      <w:bookmarkStart w:id="601" w:name="_Toc328988242"/>
      <w:bookmarkStart w:id="602" w:name="_Toc328991056"/>
      <w:bookmarkStart w:id="603" w:name="_Toc328991538"/>
      <w:r w:rsidRPr="00F50203">
        <w:t>Property inspections</w:t>
      </w:r>
      <w:bookmarkEnd w:id="597"/>
      <w:bookmarkEnd w:id="598"/>
      <w:bookmarkEnd w:id="599"/>
      <w:bookmarkEnd w:id="600"/>
      <w:bookmarkEnd w:id="601"/>
      <w:bookmarkEnd w:id="602"/>
      <w:bookmarkEnd w:id="603"/>
    </w:p>
    <w:p w14:paraId="319A8B64" w14:textId="77777777" w:rsidR="00CE7AB0" w:rsidRPr="00483567" w:rsidRDefault="00CE7AB0" w:rsidP="00FC388E">
      <w:pPr>
        <w:pStyle w:val="BodyText"/>
      </w:pPr>
      <w:r w:rsidRPr="00483567">
        <w:t>OEH will inspect properties that are subject to wild harvester and approved harvester licence applications to verify the availability of species. There will also be random inspections of properties for which licences have been granted to ensure harvesting complies with this management plan and licence conditions. Records maintained by licensees may also be inspected.</w:t>
      </w:r>
    </w:p>
    <w:p w14:paraId="10E243B6" w14:textId="77777777" w:rsidR="00CE7AB0" w:rsidRPr="00483567" w:rsidRDefault="00CE7AB0" w:rsidP="00FC388E">
      <w:pPr>
        <w:pStyle w:val="BodyText"/>
      </w:pPr>
      <w:r w:rsidRPr="00483567">
        <w:t xml:space="preserve">OEH officers will report on random inspections of wholesale and retail outlets, and any investigations of tagged and untagged plants. A summary of all inspections will be provided by each local area office to </w:t>
      </w:r>
      <w:r>
        <w:t xml:space="preserve">OEH </w:t>
      </w:r>
      <w:r w:rsidRPr="00483567">
        <w:t xml:space="preserve">and included in </w:t>
      </w:r>
      <w:r>
        <w:t>an</w:t>
      </w:r>
      <w:r w:rsidRPr="00483567">
        <w:t xml:space="preserve"> annual report.</w:t>
      </w:r>
    </w:p>
    <w:p w14:paraId="534C626D" w14:textId="77777777" w:rsidR="00CE7AB0" w:rsidRPr="00F50203" w:rsidRDefault="00CE7AB0" w:rsidP="00D53CC6">
      <w:pPr>
        <w:pStyle w:val="Heading3"/>
      </w:pPr>
      <w:bookmarkStart w:id="604" w:name="_Toc301869666"/>
      <w:bookmarkStart w:id="605" w:name="_Toc328986870"/>
      <w:bookmarkStart w:id="606" w:name="_Toc328988079"/>
      <w:bookmarkStart w:id="607" w:name="_Toc328988162"/>
      <w:bookmarkStart w:id="608" w:name="_Toc328988243"/>
      <w:bookmarkStart w:id="609" w:name="_Toc328991057"/>
      <w:bookmarkStart w:id="610" w:name="_Toc328991539"/>
      <w:r w:rsidRPr="00F50203">
        <w:t>Monitoring tag use</w:t>
      </w:r>
      <w:bookmarkEnd w:id="604"/>
      <w:bookmarkEnd w:id="605"/>
      <w:bookmarkEnd w:id="606"/>
      <w:bookmarkEnd w:id="607"/>
      <w:bookmarkEnd w:id="608"/>
      <w:bookmarkEnd w:id="609"/>
      <w:bookmarkEnd w:id="610"/>
    </w:p>
    <w:p w14:paraId="3468CA1D" w14:textId="77777777" w:rsidR="00CE7AB0" w:rsidRPr="00483567" w:rsidRDefault="00CE7AB0" w:rsidP="00FC388E">
      <w:pPr>
        <w:pStyle w:val="BodyText"/>
      </w:pPr>
      <w:r w:rsidRPr="00483567">
        <w:t>OEH will monitor the use of tags and follow up reports of protected plant species offered for sale without the appropriate tags attached. Breaches of the legislation, licence conditions or the requirements of this management plan will be investigated.</w:t>
      </w:r>
    </w:p>
    <w:p w14:paraId="331E7E32" w14:textId="77777777" w:rsidR="00CE7AB0" w:rsidRPr="00483567" w:rsidRDefault="00CE7AB0" w:rsidP="00D72936">
      <w:pPr>
        <w:pStyle w:val="Heading2"/>
      </w:pPr>
      <w:bookmarkStart w:id="611" w:name="_Toc273008504"/>
      <w:bookmarkStart w:id="612" w:name="_Toc283984822"/>
      <w:bookmarkStart w:id="613" w:name="_Toc301869667"/>
      <w:bookmarkStart w:id="614" w:name="_Toc328986871"/>
      <w:bookmarkStart w:id="615" w:name="_Toc328988080"/>
      <w:bookmarkStart w:id="616" w:name="_Toc328988163"/>
      <w:bookmarkStart w:id="617" w:name="_Toc328988244"/>
      <w:bookmarkStart w:id="618" w:name="_Toc328991058"/>
      <w:bookmarkStart w:id="619" w:name="_Toc328991540"/>
      <w:bookmarkStart w:id="620" w:name="_Toc492379107"/>
      <w:bookmarkStart w:id="621" w:name="_Toc494449587"/>
      <w:r w:rsidRPr="00483567">
        <w:t>Research</w:t>
      </w:r>
      <w:bookmarkEnd w:id="611"/>
      <w:bookmarkEnd w:id="612"/>
      <w:bookmarkEnd w:id="613"/>
      <w:bookmarkEnd w:id="614"/>
      <w:bookmarkEnd w:id="615"/>
      <w:bookmarkEnd w:id="616"/>
      <w:bookmarkEnd w:id="617"/>
      <w:bookmarkEnd w:id="618"/>
      <w:bookmarkEnd w:id="619"/>
      <w:bookmarkEnd w:id="620"/>
      <w:bookmarkEnd w:id="621"/>
    </w:p>
    <w:p w14:paraId="33DC1ED4" w14:textId="77777777" w:rsidR="00CE7AB0" w:rsidRPr="00BA33A8" w:rsidRDefault="00CE7AB0" w:rsidP="00FC388E">
      <w:pPr>
        <w:pStyle w:val="BodyText"/>
      </w:pPr>
      <w:r w:rsidRPr="00BA33A8">
        <w:t>OEH will seek to foster research that:</w:t>
      </w:r>
    </w:p>
    <w:p w14:paraId="1E977C9D" w14:textId="77777777" w:rsidR="00CE7AB0" w:rsidRPr="00BA33A8" w:rsidRDefault="00CE7AB0" w:rsidP="00076544">
      <w:pPr>
        <w:pStyle w:val="ListBullet"/>
      </w:pPr>
      <w:r w:rsidRPr="00BA33A8">
        <w:t>monitors long-term impacts on populations of target taxa</w:t>
      </w:r>
    </w:p>
    <w:p w14:paraId="34946575" w14:textId="77777777" w:rsidR="00CE7AB0" w:rsidRPr="00BA33A8" w:rsidRDefault="00CE7AB0" w:rsidP="00076544">
      <w:pPr>
        <w:pStyle w:val="ListBullet"/>
      </w:pPr>
      <w:r w:rsidRPr="00BA33A8">
        <w:t>identifies species and community changes associated with harvesting</w:t>
      </w:r>
    </w:p>
    <w:p w14:paraId="3C050BDA" w14:textId="77777777" w:rsidR="00CE7AB0" w:rsidRPr="00BA33A8" w:rsidRDefault="00CE7AB0" w:rsidP="00076544">
      <w:pPr>
        <w:pStyle w:val="ListBullet"/>
      </w:pPr>
      <w:proofErr w:type="gramStart"/>
      <w:r w:rsidRPr="00BA33A8">
        <w:t>investigates</w:t>
      </w:r>
      <w:proofErr w:type="gramEnd"/>
      <w:r w:rsidRPr="00BA33A8">
        <w:t xml:space="preserve"> strategies for improving post-harvest survival by modifying harvest practices, post-harvest handling and consumer education.</w:t>
      </w:r>
    </w:p>
    <w:p w14:paraId="28A47593" w14:textId="77777777" w:rsidR="00CE7AB0" w:rsidRPr="00BA33A8" w:rsidRDefault="00CE7AB0" w:rsidP="00FC388E">
      <w:pPr>
        <w:pStyle w:val="BodyText"/>
      </w:pPr>
      <w:r w:rsidRPr="00BA33A8">
        <w:t xml:space="preserve">OEH will also encourage the whole-plant industry to introduce programs that monitor post-harvest survival of target taxa through to the consumer and invest in </w:t>
      </w:r>
      <w:r w:rsidRPr="00076544">
        <w:t>ex-situ</w:t>
      </w:r>
      <w:r w:rsidRPr="00BA33A8">
        <w:t xml:space="preserve"> propagation to encourage a shift from harvesting wild plants to grower cultivation.</w:t>
      </w:r>
    </w:p>
    <w:p w14:paraId="483F57E7" w14:textId="77777777" w:rsidR="00CE7AB0" w:rsidRPr="00BA33A8" w:rsidRDefault="00CE7AB0" w:rsidP="00FC388E">
      <w:pPr>
        <w:pStyle w:val="BodyText"/>
      </w:pPr>
      <w:r w:rsidRPr="00BA33A8">
        <w:t>The proposed research will be used to inform OEH management strategies and future revisions of this plan.</w:t>
      </w:r>
    </w:p>
    <w:p w14:paraId="411C080B" w14:textId="77777777" w:rsidR="00CE7AB0" w:rsidRPr="00483567" w:rsidRDefault="00CE7AB0" w:rsidP="00D72936">
      <w:pPr>
        <w:pStyle w:val="Heading2"/>
      </w:pPr>
      <w:bookmarkStart w:id="622" w:name="_Toc301869668"/>
      <w:bookmarkStart w:id="623" w:name="_Toc328986872"/>
      <w:bookmarkStart w:id="624" w:name="_Toc328988081"/>
      <w:bookmarkStart w:id="625" w:name="_Toc328988164"/>
      <w:bookmarkStart w:id="626" w:name="_Toc328988245"/>
      <w:bookmarkStart w:id="627" w:name="_Toc328991059"/>
      <w:bookmarkStart w:id="628" w:name="_Toc328991541"/>
      <w:bookmarkStart w:id="629" w:name="_Toc492379108"/>
      <w:bookmarkStart w:id="630" w:name="_Toc494449588"/>
      <w:bookmarkStart w:id="631" w:name="_Toc283984823"/>
      <w:r w:rsidRPr="00483567">
        <w:t>Review of plan</w:t>
      </w:r>
      <w:bookmarkEnd w:id="622"/>
      <w:bookmarkEnd w:id="623"/>
      <w:bookmarkEnd w:id="624"/>
      <w:bookmarkEnd w:id="625"/>
      <w:bookmarkEnd w:id="626"/>
      <w:bookmarkEnd w:id="627"/>
      <w:bookmarkEnd w:id="628"/>
      <w:bookmarkEnd w:id="629"/>
      <w:bookmarkEnd w:id="630"/>
    </w:p>
    <w:p w14:paraId="6B6D60A4" w14:textId="77777777" w:rsidR="00CE7AB0" w:rsidRPr="00483567" w:rsidRDefault="00CE7AB0" w:rsidP="00FC388E">
      <w:pPr>
        <w:pStyle w:val="BodyText"/>
      </w:pPr>
      <w:r w:rsidRPr="00483567">
        <w:t xml:space="preserve">This plan will be reviewed at least every four years in line with </w:t>
      </w:r>
      <w:r w:rsidR="00076544" w:rsidRPr="00076544">
        <w:rPr>
          <w:i/>
        </w:rPr>
        <w:t>Environment Protection and Biodiversity Conservation Act 1999</w:t>
      </w:r>
      <w:r w:rsidR="00076544" w:rsidRPr="00076544">
        <w:t xml:space="preserve"> (EPBC Act)</w:t>
      </w:r>
      <w:r w:rsidRPr="00483567">
        <w:t xml:space="preserve"> requirements or as directed by the Chief </w:t>
      </w:r>
      <w:r w:rsidRPr="00483567">
        <w:lastRenderedPageBreak/>
        <w:t>Executive</w:t>
      </w:r>
      <w:r w:rsidRPr="00483567">
        <w:rPr>
          <w:sz w:val="19"/>
          <w:szCs w:val="19"/>
        </w:rPr>
        <w:t xml:space="preserve"> </w:t>
      </w:r>
      <w:r w:rsidRPr="00483567">
        <w:t>should significant changes be identified in the industry. To facilitate consistency with other Australian states and territories, national codes or guidelines will be incorporated into the review where required.</w:t>
      </w:r>
    </w:p>
    <w:p w14:paraId="5E215AD4" w14:textId="77777777" w:rsidR="00CE7AB0" w:rsidRPr="00483567" w:rsidRDefault="00CE7AB0" w:rsidP="00FC388E">
      <w:pPr>
        <w:pStyle w:val="BodyText"/>
      </w:pPr>
      <w:r w:rsidRPr="00483567">
        <w:t xml:space="preserve">The </w:t>
      </w:r>
      <w:r>
        <w:t>next</w:t>
      </w:r>
      <w:r w:rsidRPr="00483567">
        <w:t xml:space="preserve"> scheduled review is in </w:t>
      </w:r>
      <w:r>
        <w:t>2022</w:t>
      </w:r>
      <w:r w:rsidRPr="00483567">
        <w:t>.</w:t>
      </w:r>
      <w:r>
        <w:t xml:space="preserve"> </w:t>
      </w:r>
    </w:p>
    <w:p w14:paraId="40A65C8B" w14:textId="77777777" w:rsidR="00CE7AB0" w:rsidRPr="00483567" w:rsidRDefault="00CE7AB0" w:rsidP="00F7444D">
      <w:pPr>
        <w:pStyle w:val="Heading1"/>
      </w:pPr>
      <w:r w:rsidRPr="00483567">
        <w:br w:type="page"/>
      </w:r>
      <w:bookmarkStart w:id="632" w:name="_Toc301869669"/>
      <w:bookmarkStart w:id="633" w:name="_Toc328986873"/>
      <w:bookmarkStart w:id="634" w:name="_Toc328988082"/>
      <w:bookmarkStart w:id="635" w:name="_Toc328988165"/>
      <w:bookmarkStart w:id="636" w:name="_Toc328988246"/>
      <w:bookmarkStart w:id="637" w:name="_Toc328991060"/>
      <w:bookmarkStart w:id="638" w:name="_Toc328991542"/>
      <w:bookmarkStart w:id="639" w:name="_Toc492379109"/>
      <w:bookmarkStart w:id="640" w:name="_Toc494449589"/>
      <w:r w:rsidRPr="00483567">
        <w:lastRenderedPageBreak/>
        <w:t>References</w:t>
      </w:r>
      <w:bookmarkEnd w:id="631"/>
      <w:bookmarkEnd w:id="632"/>
      <w:bookmarkEnd w:id="633"/>
      <w:bookmarkEnd w:id="634"/>
      <w:bookmarkEnd w:id="635"/>
      <w:bookmarkEnd w:id="636"/>
      <w:bookmarkEnd w:id="637"/>
      <w:bookmarkEnd w:id="638"/>
      <w:bookmarkEnd w:id="639"/>
      <w:bookmarkEnd w:id="640"/>
    </w:p>
    <w:p w14:paraId="49391F0E" w14:textId="77777777" w:rsidR="00CE7AB0" w:rsidRPr="00720B09" w:rsidRDefault="00CE7AB0" w:rsidP="00FC388E">
      <w:pPr>
        <w:pStyle w:val="BodyText"/>
        <w:rPr>
          <w:color w:val="3366FF"/>
        </w:rPr>
      </w:pPr>
      <w:proofErr w:type="spellStart"/>
      <w:r w:rsidRPr="00720B09">
        <w:t>Borsboom</w:t>
      </w:r>
      <w:proofErr w:type="spellEnd"/>
      <w:r w:rsidRPr="00720B09">
        <w:t xml:space="preserve"> A 2005, </w:t>
      </w:r>
      <w:r w:rsidRPr="00303C91">
        <w:t>Xanthorrhoea</w:t>
      </w:r>
      <w:r w:rsidRPr="00303C91">
        <w:rPr>
          <w:i/>
        </w:rPr>
        <w:t xml:space="preserve">: A review of current knowledge with a focus on </w:t>
      </w:r>
      <w:r w:rsidRPr="00303C91">
        <w:t>X. </w:t>
      </w:r>
      <w:proofErr w:type="spellStart"/>
      <w:r w:rsidRPr="00303C91">
        <w:t>johnsonii</w:t>
      </w:r>
      <w:proofErr w:type="spellEnd"/>
      <w:r w:rsidRPr="00303C91">
        <w:t xml:space="preserve"> </w:t>
      </w:r>
      <w:r w:rsidRPr="00303C91">
        <w:rPr>
          <w:i/>
        </w:rPr>
        <w:t>and</w:t>
      </w:r>
      <w:r w:rsidRPr="00303C91">
        <w:t xml:space="preserve"> X. </w:t>
      </w:r>
      <w:proofErr w:type="spellStart"/>
      <w:r w:rsidRPr="00303C91">
        <w:t>latifolia</w:t>
      </w:r>
      <w:proofErr w:type="spellEnd"/>
      <w:r w:rsidRPr="00303C91">
        <w:rPr>
          <w:i/>
        </w:rPr>
        <w:t>, two Queensland protected plants-in-trade</w:t>
      </w:r>
      <w:r w:rsidRPr="00720B09">
        <w:t xml:space="preserve">, Environment Protection Agency (Queensland), Brisbane. </w:t>
      </w:r>
    </w:p>
    <w:p w14:paraId="2F693EC5" w14:textId="77777777" w:rsidR="00076544" w:rsidRDefault="00CE7AB0" w:rsidP="00FC388E">
      <w:pPr>
        <w:pStyle w:val="BodyText"/>
      </w:pPr>
      <w:bookmarkStart w:id="641" w:name="_Toc346618991"/>
      <w:r>
        <w:t xml:space="preserve">Lamont BB &amp; </w:t>
      </w:r>
      <w:proofErr w:type="spellStart"/>
      <w:r w:rsidRPr="00720B09">
        <w:t>Downes</w:t>
      </w:r>
      <w:proofErr w:type="spellEnd"/>
      <w:r w:rsidRPr="00720B09">
        <w:t xml:space="preserve"> S</w:t>
      </w:r>
      <w:r>
        <w:t xml:space="preserve"> </w:t>
      </w:r>
      <w:r w:rsidRPr="00720B09">
        <w:t>1979</w:t>
      </w:r>
      <w:r>
        <w:t>,</w:t>
      </w:r>
      <w:r w:rsidRPr="00720B09">
        <w:t xml:space="preserve"> </w:t>
      </w:r>
      <w:r>
        <w:t>‘</w:t>
      </w:r>
      <w:r w:rsidRPr="00720B09">
        <w:t xml:space="preserve">The longevity, flowering and fire history of the grasstrees </w:t>
      </w:r>
      <w:r w:rsidRPr="00720B09">
        <w:rPr>
          <w:i/>
          <w:iCs/>
        </w:rPr>
        <w:t xml:space="preserve">Xanthorrhoea </w:t>
      </w:r>
      <w:proofErr w:type="spellStart"/>
      <w:r w:rsidRPr="00720B09">
        <w:rPr>
          <w:i/>
          <w:iCs/>
        </w:rPr>
        <w:t>preissii</w:t>
      </w:r>
      <w:proofErr w:type="spellEnd"/>
      <w:r w:rsidRPr="00720B09">
        <w:rPr>
          <w:iCs/>
        </w:rPr>
        <w:t xml:space="preserve"> </w:t>
      </w:r>
      <w:r w:rsidRPr="00720B09">
        <w:t xml:space="preserve">and </w:t>
      </w:r>
      <w:proofErr w:type="spellStart"/>
      <w:r w:rsidRPr="00720B09">
        <w:rPr>
          <w:i/>
          <w:iCs/>
        </w:rPr>
        <w:t>Kingia</w:t>
      </w:r>
      <w:proofErr w:type="spellEnd"/>
      <w:r w:rsidRPr="00720B09">
        <w:rPr>
          <w:i/>
          <w:iCs/>
        </w:rPr>
        <w:t xml:space="preserve"> </w:t>
      </w:r>
      <w:proofErr w:type="spellStart"/>
      <w:r w:rsidRPr="00720B09">
        <w:rPr>
          <w:i/>
          <w:iCs/>
        </w:rPr>
        <w:t>australis</w:t>
      </w:r>
      <w:proofErr w:type="spellEnd"/>
      <w:r>
        <w:rPr>
          <w:i/>
          <w:iCs/>
        </w:rPr>
        <w:t>’</w:t>
      </w:r>
      <w:r w:rsidRPr="00720B09">
        <w:rPr>
          <w:iCs/>
        </w:rPr>
        <w:t>,</w:t>
      </w:r>
      <w:r w:rsidRPr="00720B09">
        <w:t xml:space="preserve"> </w:t>
      </w:r>
      <w:r w:rsidRPr="00720B09">
        <w:rPr>
          <w:i/>
          <w:iCs/>
        </w:rPr>
        <w:t>Journal of Applied Ecology</w:t>
      </w:r>
      <w:r>
        <w:rPr>
          <w:i/>
          <w:iCs/>
        </w:rPr>
        <w:t xml:space="preserve">, </w:t>
      </w:r>
      <w:r w:rsidRPr="00720B09">
        <w:rPr>
          <w:iCs/>
        </w:rPr>
        <w:t>vol</w:t>
      </w:r>
      <w:r>
        <w:rPr>
          <w:i/>
          <w:iCs/>
        </w:rPr>
        <w:t>.</w:t>
      </w:r>
      <w:r w:rsidRPr="00720B09">
        <w:rPr>
          <w:iCs/>
        </w:rPr>
        <w:t xml:space="preserve"> </w:t>
      </w:r>
      <w:r w:rsidRPr="00720B09">
        <w:rPr>
          <w:bCs/>
        </w:rPr>
        <w:t>16</w:t>
      </w:r>
      <w:r>
        <w:t>, pp.</w:t>
      </w:r>
      <w:r w:rsidRPr="00720B09">
        <w:t xml:space="preserve"> 893</w:t>
      </w:r>
      <w:r>
        <w:t>−</w:t>
      </w:r>
      <w:r w:rsidRPr="00720B09">
        <w:t>99.</w:t>
      </w:r>
    </w:p>
    <w:p w14:paraId="7399C782" w14:textId="77777777" w:rsidR="00076544" w:rsidRDefault="00076544" w:rsidP="00076544">
      <w:r>
        <w:br w:type="page"/>
      </w:r>
    </w:p>
    <w:p w14:paraId="6D87AC0D" w14:textId="77777777" w:rsidR="00CE7AB0" w:rsidRPr="001C34FA" w:rsidRDefault="008D159E" w:rsidP="00076544">
      <w:pPr>
        <w:pStyle w:val="Heading1"/>
        <w:numPr>
          <w:ilvl w:val="0"/>
          <w:numId w:val="0"/>
        </w:numPr>
        <w:ind w:left="432" w:hanging="432"/>
      </w:pPr>
      <w:bookmarkStart w:id="642" w:name="_Toc492378623"/>
      <w:bookmarkStart w:id="643" w:name="_Toc492378671"/>
      <w:bookmarkStart w:id="644" w:name="_Toc492379017"/>
      <w:bookmarkStart w:id="645" w:name="_Toc492379110"/>
      <w:bookmarkStart w:id="646" w:name="_Toc268078760"/>
      <w:bookmarkStart w:id="647" w:name="_Toc269105489"/>
      <w:bookmarkStart w:id="648" w:name="_Toc269105559"/>
      <w:bookmarkStart w:id="649" w:name="_Toc269105788"/>
      <w:bookmarkStart w:id="650" w:name="_Toc273008505"/>
      <w:bookmarkStart w:id="651" w:name="_Toc283984824"/>
      <w:bookmarkStart w:id="652" w:name="_Toc301869670"/>
      <w:bookmarkStart w:id="653" w:name="_Toc328988083"/>
      <w:bookmarkStart w:id="654" w:name="_Toc328988166"/>
      <w:bookmarkStart w:id="655" w:name="_Toc328988247"/>
      <w:bookmarkStart w:id="656" w:name="_Toc328991061"/>
      <w:bookmarkStart w:id="657" w:name="_Toc328991543"/>
      <w:bookmarkStart w:id="658" w:name="_Toc492379111"/>
      <w:bookmarkStart w:id="659" w:name="_Toc494449590"/>
      <w:bookmarkEnd w:id="642"/>
      <w:bookmarkEnd w:id="643"/>
      <w:bookmarkEnd w:id="644"/>
      <w:bookmarkEnd w:id="645"/>
      <w:r>
        <w:lastRenderedPageBreak/>
        <w:t xml:space="preserve">Appendix A: </w:t>
      </w:r>
      <w:r w:rsidR="00CE7AB0">
        <w:t>Schedule of P</w:t>
      </w:r>
      <w:r w:rsidR="00CE7AB0" w:rsidRPr="00C978C4">
        <w:t>rotected plants</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rsidR="00CE7AB0" w:rsidRPr="001C34FA">
        <w:t xml:space="preserve"> </w:t>
      </w:r>
      <w:bookmarkEnd w:id="641"/>
    </w:p>
    <w:p w14:paraId="08E0693C" w14:textId="77777777" w:rsidR="00CE7AB0" w:rsidRPr="0066349C" w:rsidRDefault="00CE7AB0" w:rsidP="00FC388E">
      <w:bookmarkStart w:id="660" w:name="_Toc301869671"/>
      <w:bookmarkStart w:id="661" w:name="_Toc328986874"/>
      <w:bookmarkStart w:id="662" w:name="_Toc328988084"/>
      <w:r w:rsidRPr="0066349C">
        <w:t xml:space="preserve">(Note: Subject to consultation and approval of this draft plan, Schedule 6 Part 2 </w:t>
      </w:r>
      <w:r>
        <w:t xml:space="preserve">of the BC Act will </w:t>
      </w:r>
      <w:r w:rsidRPr="0066349C">
        <w:t xml:space="preserve">be </w:t>
      </w:r>
      <w:r>
        <w:t>amended to align with the schedule set out below)</w:t>
      </w:r>
      <w:r w:rsidRPr="0066349C">
        <w:t xml:space="preserve"> </w:t>
      </w:r>
    </w:p>
    <w:p w14:paraId="2431D5AD" w14:textId="77777777" w:rsidR="00CE7AB0" w:rsidRPr="007873BA" w:rsidRDefault="00CE7AB0" w:rsidP="00076544">
      <w:pPr>
        <w:pStyle w:val="Heading2"/>
        <w:numPr>
          <w:ilvl w:val="0"/>
          <w:numId w:val="0"/>
        </w:numPr>
        <w:ind w:left="794" w:hanging="794"/>
      </w:pPr>
      <w:bookmarkStart w:id="663" w:name="_Toc494449591"/>
      <w:r w:rsidRPr="007873BA">
        <w:t>Part 2:</w:t>
      </w:r>
      <w:r>
        <w:t xml:space="preserve"> </w:t>
      </w:r>
      <w:r w:rsidRPr="007873BA">
        <w:t>Whole plants</w:t>
      </w:r>
      <w:bookmarkEnd w:id="660"/>
      <w:bookmarkEnd w:id="661"/>
      <w:bookmarkEnd w:id="662"/>
      <w:bookmarkEnd w:id="663"/>
      <w:r w:rsidRPr="007873BA">
        <w:t xml:space="preserve"> </w:t>
      </w:r>
    </w:p>
    <w:tbl>
      <w:tblPr>
        <w:tblW w:w="5064"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30" w:type="dxa"/>
          <w:left w:w="30" w:type="dxa"/>
          <w:bottom w:w="30" w:type="dxa"/>
          <w:right w:w="30" w:type="dxa"/>
        </w:tblCellMar>
        <w:tblLook w:val="0000" w:firstRow="0" w:lastRow="0" w:firstColumn="0" w:lastColumn="0" w:noHBand="0" w:noVBand="0"/>
      </w:tblPr>
      <w:tblGrid>
        <w:gridCol w:w="3554"/>
        <w:gridCol w:w="5578"/>
      </w:tblGrid>
      <w:tr w:rsidR="00076544" w:rsidRPr="00076544" w14:paraId="43DC9958" w14:textId="77777777" w:rsidTr="00076544">
        <w:tc>
          <w:tcPr>
            <w:tcW w:w="1946" w:type="pct"/>
            <w:shd w:val="clear" w:color="auto" w:fill="4C6D41"/>
            <w:tcMar>
              <w:top w:w="27" w:type="dxa"/>
              <w:left w:w="27" w:type="dxa"/>
              <w:bottom w:w="27" w:type="dxa"/>
              <w:right w:w="27" w:type="dxa"/>
            </w:tcMar>
          </w:tcPr>
          <w:p w14:paraId="26DF0E23" w14:textId="77777777" w:rsidR="00CE7AB0" w:rsidRPr="00076544" w:rsidRDefault="00CE7AB0" w:rsidP="00FC388E">
            <w:pPr>
              <w:rPr>
                <w:b/>
                <w:color w:val="FFFFFF" w:themeColor="background1"/>
              </w:rPr>
            </w:pPr>
            <w:r w:rsidRPr="00076544">
              <w:rPr>
                <w:b/>
                <w:color w:val="FFFFFF" w:themeColor="background1"/>
              </w:rPr>
              <w:t>Scientific name</w:t>
            </w:r>
          </w:p>
        </w:tc>
        <w:tc>
          <w:tcPr>
            <w:tcW w:w="3054" w:type="pct"/>
            <w:shd w:val="clear" w:color="auto" w:fill="4C6D41"/>
            <w:tcMar>
              <w:top w:w="27" w:type="dxa"/>
              <w:left w:w="27" w:type="dxa"/>
              <w:bottom w:w="27" w:type="dxa"/>
              <w:right w:w="27" w:type="dxa"/>
            </w:tcMar>
          </w:tcPr>
          <w:p w14:paraId="562E28B5" w14:textId="77777777" w:rsidR="00CE7AB0" w:rsidRPr="00076544" w:rsidRDefault="00CE7AB0" w:rsidP="00FC388E">
            <w:pPr>
              <w:rPr>
                <w:b/>
                <w:color w:val="FFFFFF" w:themeColor="background1"/>
              </w:rPr>
            </w:pPr>
            <w:r w:rsidRPr="00076544">
              <w:rPr>
                <w:b/>
                <w:color w:val="FFFFFF" w:themeColor="background1"/>
              </w:rPr>
              <w:t>Common name(s)</w:t>
            </w:r>
          </w:p>
        </w:tc>
      </w:tr>
      <w:tr w:rsidR="00CE7AB0" w:rsidRPr="00483567" w14:paraId="7481D3D8" w14:textId="77777777" w:rsidTr="006E51BB">
        <w:tc>
          <w:tcPr>
            <w:tcW w:w="1946" w:type="pct"/>
            <w:shd w:val="clear" w:color="auto" w:fill="D9D9D9"/>
            <w:tcMar>
              <w:top w:w="27" w:type="dxa"/>
              <w:left w:w="27" w:type="dxa"/>
              <w:bottom w:w="27" w:type="dxa"/>
              <w:right w:w="27" w:type="dxa"/>
            </w:tcMar>
          </w:tcPr>
          <w:p w14:paraId="00F3ACE6" w14:textId="77777777" w:rsidR="00CE7AB0" w:rsidRPr="00483567" w:rsidRDefault="00CE7AB0" w:rsidP="00FC388E">
            <w:r w:rsidRPr="00483567">
              <w:t>Group 1</w:t>
            </w:r>
          </w:p>
        </w:tc>
        <w:tc>
          <w:tcPr>
            <w:tcW w:w="3054" w:type="pct"/>
            <w:shd w:val="clear" w:color="auto" w:fill="D9D9D9"/>
            <w:tcMar>
              <w:top w:w="27" w:type="dxa"/>
              <w:left w:w="27" w:type="dxa"/>
              <w:bottom w:w="27" w:type="dxa"/>
              <w:right w:w="27" w:type="dxa"/>
            </w:tcMar>
          </w:tcPr>
          <w:p w14:paraId="1F3CA48F" w14:textId="77777777" w:rsidR="00CE7AB0" w:rsidRPr="00483567" w:rsidRDefault="00CE7AB0" w:rsidP="00FC388E">
            <w:r w:rsidRPr="00483567">
              <w:t>Wild harvester</w:t>
            </w:r>
            <w:r>
              <w:t>, Approved harvester &amp; grower</w:t>
            </w:r>
            <w:r w:rsidRPr="00483567">
              <w:t xml:space="preserve"> licence</w:t>
            </w:r>
          </w:p>
        </w:tc>
      </w:tr>
      <w:tr w:rsidR="00CE7AB0" w:rsidRPr="004950D7" w14:paraId="718B0F34" w14:textId="77777777" w:rsidTr="006E51BB">
        <w:tc>
          <w:tcPr>
            <w:tcW w:w="1946" w:type="pct"/>
            <w:tcMar>
              <w:top w:w="27" w:type="dxa"/>
              <w:left w:w="27" w:type="dxa"/>
              <w:bottom w:w="27" w:type="dxa"/>
              <w:right w:w="27" w:type="dxa"/>
            </w:tcMar>
          </w:tcPr>
          <w:p w14:paraId="33A8FF44" w14:textId="77777777" w:rsidR="00CE7AB0" w:rsidRPr="00076544" w:rsidRDefault="00CE7AB0" w:rsidP="00FC388E">
            <w:pPr>
              <w:rPr>
                <w:i/>
              </w:rPr>
            </w:pPr>
            <w:proofErr w:type="spellStart"/>
            <w:r w:rsidRPr="00076544">
              <w:rPr>
                <w:i/>
              </w:rPr>
              <w:t>Asplenium</w:t>
            </w:r>
            <w:proofErr w:type="spellEnd"/>
            <w:r w:rsidRPr="00076544">
              <w:rPr>
                <w:i/>
              </w:rPr>
              <w:t xml:space="preserve"> </w:t>
            </w:r>
            <w:proofErr w:type="spellStart"/>
            <w:r w:rsidRPr="00076544">
              <w:rPr>
                <w:i/>
              </w:rPr>
              <w:t>australasicum</w:t>
            </w:r>
            <w:proofErr w:type="spellEnd"/>
          </w:p>
        </w:tc>
        <w:tc>
          <w:tcPr>
            <w:tcW w:w="3054" w:type="pct"/>
            <w:tcMar>
              <w:top w:w="27" w:type="dxa"/>
              <w:left w:w="27" w:type="dxa"/>
              <w:bottom w:w="27" w:type="dxa"/>
              <w:right w:w="27" w:type="dxa"/>
            </w:tcMar>
          </w:tcPr>
          <w:p w14:paraId="7555A440" w14:textId="77777777" w:rsidR="00CE7AB0" w:rsidRPr="004950D7" w:rsidRDefault="00CE7AB0" w:rsidP="00FC388E">
            <w:r w:rsidRPr="004950D7">
              <w:t>Bird’s-nest fern</w:t>
            </w:r>
          </w:p>
        </w:tc>
      </w:tr>
      <w:tr w:rsidR="00CE7AB0" w:rsidRPr="004950D7" w14:paraId="09A14C27" w14:textId="77777777" w:rsidTr="006E51BB">
        <w:tc>
          <w:tcPr>
            <w:tcW w:w="1946" w:type="pct"/>
            <w:tcMar>
              <w:top w:w="27" w:type="dxa"/>
              <w:left w:w="27" w:type="dxa"/>
              <w:bottom w:w="27" w:type="dxa"/>
              <w:right w:w="27" w:type="dxa"/>
            </w:tcMar>
          </w:tcPr>
          <w:p w14:paraId="7ED323B7" w14:textId="77777777" w:rsidR="00CE7AB0" w:rsidRPr="00076544" w:rsidRDefault="00CE7AB0" w:rsidP="00FC388E">
            <w:pPr>
              <w:rPr>
                <w:i/>
              </w:rPr>
            </w:pPr>
            <w:proofErr w:type="spellStart"/>
            <w:r w:rsidRPr="00076544">
              <w:rPr>
                <w:i/>
              </w:rPr>
              <w:t>Asplenium</w:t>
            </w:r>
            <w:proofErr w:type="spellEnd"/>
            <w:r w:rsidRPr="00076544">
              <w:rPr>
                <w:i/>
              </w:rPr>
              <w:t xml:space="preserve"> </w:t>
            </w:r>
            <w:proofErr w:type="spellStart"/>
            <w:r w:rsidRPr="00076544">
              <w:rPr>
                <w:i/>
              </w:rPr>
              <w:t>polyodon</w:t>
            </w:r>
            <w:proofErr w:type="spellEnd"/>
          </w:p>
        </w:tc>
        <w:tc>
          <w:tcPr>
            <w:tcW w:w="3054" w:type="pct"/>
            <w:tcMar>
              <w:top w:w="27" w:type="dxa"/>
              <w:left w:w="27" w:type="dxa"/>
              <w:bottom w:w="27" w:type="dxa"/>
              <w:right w:w="27" w:type="dxa"/>
            </w:tcMar>
          </w:tcPr>
          <w:p w14:paraId="050E1DFE" w14:textId="77777777" w:rsidR="00CE7AB0" w:rsidRPr="004950D7" w:rsidRDefault="00CE7AB0" w:rsidP="00FC388E">
            <w:r w:rsidRPr="004950D7">
              <w:t>Sickle spleenwort, mare's tail fern</w:t>
            </w:r>
          </w:p>
        </w:tc>
      </w:tr>
      <w:tr w:rsidR="00CE7AB0" w:rsidRPr="004950D7" w14:paraId="322739BB" w14:textId="77777777" w:rsidTr="006E51BB">
        <w:tc>
          <w:tcPr>
            <w:tcW w:w="1946" w:type="pct"/>
            <w:tcMar>
              <w:top w:w="27" w:type="dxa"/>
              <w:left w:w="27" w:type="dxa"/>
              <w:bottom w:w="27" w:type="dxa"/>
              <w:right w:w="27" w:type="dxa"/>
            </w:tcMar>
          </w:tcPr>
          <w:p w14:paraId="0BF33476" w14:textId="77777777" w:rsidR="00CE7AB0" w:rsidRPr="00076544" w:rsidRDefault="00CE7AB0" w:rsidP="00FC388E">
            <w:pPr>
              <w:rPr>
                <w:i/>
              </w:rPr>
            </w:pPr>
            <w:proofErr w:type="spellStart"/>
            <w:r w:rsidRPr="00076544">
              <w:rPr>
                <w:i/>
              </w:rPr>
              <w:t>Asplenium</w:t>
            </w:r>
            <w:proofErr w:type="spellEnd"/>
            <w:r w:rsidRPr="00076544">
              <w:rPr>
                <w:i/>
              </w:rPr>
              <w:t xml:space="preserve"> </w:t>
            </w:r>
            <w:proofErr w:type="spellStart"/>
            <w:r w:rsidRPr="00076544">
              <w:rPr>
                <w:i/>
              </w:rPr>
              <w:t>harmanii</w:t>
            </w:r>
            <w:proofErr w:type="spellEnd"/>
          </w:p>
        </w:tc>
        <w:tc>
          <w:tcPr>
            <w:tcW w:w="3054" w:type="pct"/>
            <w:tcMar>
              <w:top w:w="27" w:type="dxa"/>
              <w:left w:w="27" w:type="dxa"/>
              <w:bottom w:w="27" w:type="dxa"/>
              <w:right w:w="27" w:type="dxa"/>
            </w:tcMar>
          </w:tcPr>
          <w:p w14:paraId="0C304081" w14:textId="77777777" w:rsidR="00CE7AB0" w:rsidRPr="004950D7" w:rsidRDefault="00CE7AB0" w:rsidP="00FC388E">
            <w:r w:rsidRPr="004950D7">
              <w:t>Fern</w:t>
            </w:r>
          </w:p>
        </w:tc>
      </w:tr>
      <w:tr w:rsidR="00CE7AB0" w:rsidRPr="004950D7" w14:paraId="320985C3" w14:textId="77777777" w:rsidTr="006E51BB">
        <w:tc>
          <w:tcPr>
            <w:tcW w:w="1946" w:type="pct"/>
            <w:tcMar>
              <w:top w:w="27" w:type="dxa"/>
              <w:left w:w="27" w:type="dxa"/>
              <w:bottom w:w="27" w:type="dxa"/>
              <w:right w:w="27" w:type="dxa"/>
            </w:tcMar>
          </w:tcPr>
          <w:p w14:paraId="25DE7C7F" w14:textId="77777777" w:rsidR="00CE7AB0" w:rsidRPr="004950D7" w:rsidRDefault="00CE7AB0" w:rsidP="00FC388E">
            <w:proofErr w:type="spellStart"/>
            <w:r w:rsidRPr="004950D7">
              <w:rPr>
                <w:i/>
                <w:iCs/>
              </w:rPr>
              <w:t>Cyathea</w:t>
            </w:r>
            <w:proofErr w:type="spellEnd"/>
            <w:r w:rsidRPr="004950D7">
              <w:t xml:space="preserve"> species</w:t>
            </w:r>
          </w:p>
        </w:tc>
        <w:tc>
          <w:tcPr>
            <w:tcW w:w="3054" w:type="pct"/>
            <w:tcMar>
              <w:top w:w="27" w:type="dxa"/>
              <w:left w:w="27" w:type="dxa"/>
              <w:bottom w:w="27" w:type="dxa"/>
              <w:right w:w="27" w:type="dxa"/>
            </w:tcMar>
          </w:tcPr>
          <w:p w14:paraId="635AEB80" w14:textId="77777777" w:rsidR="00CE7AB0" w:rsidRPr="004950D7" w:rsidRDefault="00CE7AB0" w:rsidP="00FC388E">
            <w:proofErr w:type="spellStart"/>
            <w:r w:rsidRPr="004950D7">
              <w:t>Treeferns</w:t>
            </w:r>
            <w:proofErr w:type="spellEnd"/>
          </w:p>
        </w:tc>
      </w:tr>
      <w:tr w:rsidR="00CE7AB0" w:rsidRPr="004950D7" w14:paraId="24D46AA0" w14:textId="77777777" w:rsidTr="006E51BB">
        <w:tc>
          <w:tcPr>
            <w:tcW w:w="1946" w:type="pct"/>
            <w:tcMar>
              <w:top w:w="27" w:type="dxa"/>
              <w:left w:w="27" w:type="dxa"/>
              <w:bottom w:w="27" w:type="dxa"/>
              <w:right w:w="27" w:type="dxa"/>
            </w:tcMar>
          </w:tcPr>
          <w:p w14:paraId="325D51C6" w14:textId="77777777" w:rsidR="00CE7AB0" w:rsidRPr="004950D7" w:rsidRDefault="00CE7AB0" w:rsidP="00FC388E">
            <w:proofErr w:type="spellStart"/>
            <w:r w:rsidRPr="00076544">
              <w:rPr>
                <w:i/>
              </w:rPr>
              <w:t>Dicksonia</w:t>
            </w:r>
            <w:proofErr w:type="spellEnd"/>
            <w:r w:rsidRPr="004950D7">
              <w:t xml:space="preserve"> species</w:t>
            </w:r>
          </w:p>
        </w:tc>
        <w:tc>
          <w:tcPr>
            <w:tcW w:w="3054" w:type="pct"/>
            <w:tcMar>
              <w:top w:w="27" w:type="dxa"/>
              <w:left w:w="27" w:type="dxa"/>
              <w:bottom w:w="27" w:type="dxa"/>
              <w:right w:w="27" w:type="dxa"/>
            </w:tcMar>
          </w:tcPr>
          <w:p w14:paraId="4116DACB" w14:textId="77777777" w:rsidR="00CE7AB0" w:rsidRPr="004950D7" w:rsidRDefault="00CE7AB0" w:rsidP="00FC388E">
            <w:proofErr w:type="spellStart"/>
            <w:r w:rsidRPr="004950D7">
              <w:t>Treeferns</w:t>
            </w:r>
            <w:proofErr w:type="spellEnd"/>
          </w:p>
        </w:tc>
      </w:tr>
      <w:tr w:rsidR="00CE7AB0" w:rsidRPr="004950D7" w14:paraId="69D08E73" w14:textId="77777777" w:rsidTr="006E51BB">
        <w:tc>
          <w:tcPr>
            <w:tcW w:w="1946" w:type="pct"/>
            <w:tcMar>
              <w:top w:w="27" w:type="dxa"/>
              <w:left w:w="27" w:type="dxa"/>
              <w:bottom w:w="27" w:type="dxa"/>
              <w:right w:w="27" w:type="dxa"/>
            </w:tcMar>
          </w:tcPr>
          <w:p w14:paraId="040B3D8B" w14:textId="77777777" w:rsidR="00CE7AB0" w:rsidRPr="004950D7" w:rsidRDefault="00CE7AB0" w:rsidP="00FC388E">
            <w:proofErr w:type="spellStart"/>
            <w:r w:rsidRPr="004950D7">
              <w:rPr>
                <w:i/>
              </w:rPr>
              <w:t>Platycerium</w:t>
            </w:r>
            <w:proofErr w:type="spellEnd"/>
            <w:r w:rsidRPr="004950D7">
              <w:rPr>
                <w:i/>
              </w:rPr>
              <w:t xml:space="preserve"> </w:t>
            </w:r>
            <w:r w:rsidRPr="004950D7">
              <w:t>species native to NSW</w:t>
            </w:r>
          </w:p>
        </w:tc>
        <w:tc>
          <w:tcPr>
            <w:tcW w:w="3054" w:type="pct"/>
            <w:tcMar>
              <w:top w:w="27" w:type="dxa"/>
              <w:left w:w="27" w:type="dxa"/>
              <w:bottom w:w="27" w:type="dxa"/>
              <w:right w:w="27" w:type="dxa"/>
            </w:tcMar>
          </w:tcPr>
          <w:p w14:paraId="3E44A090" w14:textId="77777777" w:rsidR="00CE7AB0" w:rsidRPr="004950D7" w:rsidRDefault="00CE7AB0" w:rsidP="00FC388E">
            <w:r w:rsidRPr="004950D7">
              <w:t>Elkhorn and staghorn ferns</w:t>
            </w:r>
          </w:p>
        </w:tc>
      </w:tr>
      <w:tr w:rsidR="00CE7AB0" w:rsidRPr="00483567" w14:paraId="61A4BB2C" w14:textId="77777777" w:rsidTr="006E51BB">
        <w:trPr>
          <w:trHeight w:val="355"/>
        </w:trPr>
        <w:tc>
          <w:tcPr>
            <w:tcW w:w="1946" w:type="pct"/>
            <w:tcBorders>
              <w:bottom w:val="single" w:sz="4" w:space="0" w:color="C0C0C0"/>
            </w:tcBorders>
            <w:shd w:val="clear" w:color="auto" w:fill="D9D9D9"/>
            <w:tcMar>
              <w:top w:w="27" w:type="dxa"/>
              <w:left w:w="27" w:type="dxa"/>
              <w:bottom w:w="27" w:type="dxa"/>
              <w:right w:w="27" w:type="dxa"/>
            </w:tcMar>
          </w:tcPr>
          <w:p w14:paraId="00F5BF54" w14:textId="77777777" w:rsidR="00CE7AB0" w:rsidRPr="00483567" w:rsidRDefault="00CE7AB0" w:rsidP="00FC388E">
            <w:r w:rsidRPr="00483567">
              <w:t>Group 2</w:t>
            </w:r>
          </w:p>
        </w:tc>
        <w:tc>
          <w:tcPr>
            <w:tcW w:w="3054" w:type="pct"/>
            <w:tcBorders>
              <w:bottom w:val="single" w:sz="4" w:space="0" w:color="C0C0C0"/>
            </w:tcBorders>
            <w:shd w:val="clear" w:color="auto" w:fill="D9D9D9"/>
            <w:tcMar>
              <w:top w:w="27" w:type="dxa"/>
              <w:left w:w="27" w:type="dxa"/>
              <w:bottom w:w="27" w:type="dxa"/>
              <w:right w:w="27" w:type="dxa"/>
            </w:tcMar>
          </w:tcPr>
          <w:p w14:paraId="6EB99C0E" w14:textId="77777777" w:rsidR="00CE7AB0" w:rsidRPr="00483567" w:rsidRDefault="00CE7AB0" w:rsidP="00FC388E">
            <w:r w:rsidRPr="00483567">
              <w:t>Approved harvester</w:t>
            </w:r>
            <w:r>
              <w:t xml:space="preserve"> and grower licence</w:t>
            </w:r>
          </w:p>
        </w:tc>
      </w:tr>
      <w:tr w:rsidR="00CE7AB0" w:rsidRPr="004950D7" w14:paraId="25A24DD6" w14:textId="77777777" w:rsidTr="006E51BB">
        <w:tc>
          <w:tcPr>
            <w:tcW w:w="1946" w:type="pct"/>
            <w:tcMar>
              <w:top w:w="27" w:type="dxa"/>
              <w:left w:w="27" w:type="dxa"/>
              <w:bottom w:w="27" w:type="dxa"/>
              <w:right w:w="27" w:type="dxa"/>
            </w:tcMar>
          </w:tcPr>
          <w:p w14:paraId="07AD768E" w14:textId="77777777" w:rsidR="00CE7AB0" w:rsidRPr="004950D7" w:rsidRDefault="00CE7AB0" w:rsidP="00FC388E">
            <w:pPr>
              <w:rPr>
                <w:b/>
                <w:bCs/>
              </w:rPr>
            </w:pPr>
            <w:r w:rsidRPr="00076544">
              <w:rPr>
                <w:i/>
              </w:rPr>
              <w:t>Xanthorrhoea</w:t>
            </w:r>
            <w:r w:rsidRPr="004950D7">
              <w:t xml:space="preserve"> species</w:t>
            </w:r>
          </w:p>
        </w:tc>
        <w:tc>
          <w:tcPr>
            <w:tcW w:w="3054" w:type="pct"/>
            <w:tcMar>
              <w:top w:w="27" w:type="dxa"/>
              <w:left w:w="27" w:type="dxa"/>
              <w:bottom w:w="27" w:type="dxa"/>
              <w:right w:w="27" w:type="dxa"/>
            </w:tcMar>
          </w:tcPr>
          <w:p w14:paraId="24A9EAD2" w14:textId="77777777" w:rsidR="00CE7AB0" w:rsidRPr="004950D7" w:rsidRDefault="00CE7AB0" w:rsidP="00FC388E">
            <w:r w:rsidRPr="004950D7">
              <w:t>Grass trees</w:t>
            </w:r>
          </w:p>
        </w:tc>
      </w:tr>
      <w:tr w:rsidR="00CE7AB0" w:rsidRPr="004950D7" w14:paraId="323B5737" w14:textId="77777777" w:rsidTr="006E51BB">
        <w:tc>
          <w:tcPr>
            <w:tcW w:w="1946" w:type="pct"/>
            <w:tcMar>
              <w:top w:w="27" w:type="dxa"/>
              <w:left w:w="27" w:type="dxa"/>
              <w:bottom w:w="27" w:type="dxa"/>
              <w:right w:w="27" w:type="dxa"/>
            </w:tcMar>
          </w:tcPr>
          <w:p w14:paraId="5E90D286" w14:textId="77777777" w:rsidR="00CE7AB0" w:rsidRPr="004950D7" w:rsidRDefault="00CE7AB0" w:rsidP="00FC388E">
            <w:proofErr w:type="spellStart"/>
            <w:r w:rsidRPr="004950D7">
              <w:t>Zamiaceae</w:t>
            </w:r>
            <w:proofErr w:type="spellEnd"/>
            <w:r w:rsidRPr="004950D7">
              <w:t xml:space="preserve"> native to NSW</w:t>
            </w:r>
          </w:p>
        </w:tc>
        <w:tc>
          <w:tcPr>
            <w:tcW w:w="3054" w:type="pct"/>
            <w:tcMar>
              <w:top w:w="27" w:type="dxa"/>
              <w:left w:w="27" w:type="dxa"/>
              <w:bottom w:w="27" w:type="dxa"/>
              <w:right w:w="27" w:type="dxa"/>
            </w:tcMar>
          </w:tcPr>
          <w:p w14:paraId="74E938F7" w14:textId="77777777" w:rsidR="00CE7AB0" w:rsidRPr="004950D7" w:rsidRDefault="00CE7AB0" w:rsidP="00FC388E">
            <w:r w:rsidRPr="004950D7">
              <w:t>Cycads</w:t>
            </w:r>
          </w:p>
        </w:tc>
      </w:tr>
      <w:tr w:rsidR="00CE7AB0" w:rsidRPr="00483567" w14:paraId="5B5E027E" w14:textId="77777777" w:rsidTr="006E51BB">
        <w:tc>
          <w:tcPr>
            <w:tcW w:w="1946" w:type="pct"/>
            <w:shd w:val="clear" w:color="auto" w:fill="D9D9D9"/>
            <w:tcMar>
              <w:top w:w="27" w:type="dxa"/>
              <w:left w:w="27" w:type="dxa"/>
              <w:bottom w:w="27" w:type="dxa"/>
              <w:right w:w="27" w:type="dxa"/>
            </w:tcMar>
          </w:tcPr>
          <w:p w14:paraId="298D99A5" w14:textId="77777777" w:rsidR="00CE7AB0" w:rsidRPr="00483567" w:rsidRDefault="00CE7AB0" w:rsidP="00FC388E">
            <w:r w:rsidRPr="00483567">
              <w:t>Group 3</w:t>
            </w:r>
          </w:p>
        </w:tc>
        <w:tc>
          <w:tcPr>
            <w:tcW w:w="3054" w:type="pct"/>
            <w:shd w:val="clear" w:color="auto" w:fill="D9D9D9"/>
            <w:tcMar>
              <w:top w:w="27" w:type="dxa"/>
              <w:left w:w="27" w:type="dxa"/>
              <w:bottom w:w="27" w:type="dxa"/>
              <w:right w:w="27" w:type="dxa"/>
            </w:tcMar>
          </w:tcPr>
          <w:p w14:paraId="384C1F6A" w14:textId="77777777" w:rsidR="00CE7AB0" w:rsidRPr="00483567" w:rsidRDefault="00CE7AB0" w:rsidP="00FC388E">
            <w:r w:rsidRPr="00483567">
              <w:t>Approved harvester (salvage only)</w:t>
            </w:r>
            <w:r>
              <w:t xml:space="preserve"> &amp; grower licence</w:t>
            </w:r>
          </w:p>
        </w:tc>
      </w:tr>
      <w:tr w:rsidR="00CE7AB0" w:rsidRPr="004950D7" w14:paraId="3B60E8DB" w14:textId="77777777" w:rsidTr="006E51BB">
        <w:tc>
          <w:tcPr>
            <w:tcW w:w="1946" w:type="pct"/>
            <w:tcMar>
              <w:top w:w="27" w:type="dxa"/>
              <w:left w:w="27" w:type="dxa"/>
              <w:bottom w:w="27" w:type="dxa"/>
              <w:right w:w="27" w:type="dxa"/>
            </w:tcMar>
          </w:tcPr>
          <w:p w14:paraId="40928593" w14:textId="77777777" w:rsidR="00CE7AB0" w:rsidRPr="004950D7" w:rsidRDefault="00CE7AB0" w:rsidP="00FC388E">
            <w:proofErr w:type="spellStart"/>
            <w:r w:rsidRPr="004950D7">
              <w:t>Arecaceae</w:t>
            </w:r>
            <w:proofErr w:type="spellEnd"/>
            <w:r w:rsidRPr="004950D7">
              <w:t xml:space="preserve"> native to NSW</w:t>
            </w:r>
          </w:p>
        </w:tc>
        <w:tc>
          <w:tcPr>
            <w:tcW w:w="3054" w:type="pct"/>
            <w:tcMar>
              <w:top w:w="27" w:type="dxa"/>
              <w:left w:w="27" w:type="dxa"/>
              <w:bottom w:w="27" w:type="dxa"/>
              <w:right w:w="27" w:type="dxa"/>
            </w:tcMar>
          </w:tcPr>
          <w:p w14:paraId="501B1E29" w14:textId="77777777" w:rsidR="00CE7AB0" w:rsidRPr="004950D7" w:rsidRDefault="00CE7AB0" w:rsidP="00FC388E">
            <w:r w:rsidRPr="004950D7">
              <w:t>Palms</w:t>
            </w:r>
          </w:p>
        </w:tc>
      </w:tr>
      <w:tr w:rsidR="00CE7AB0" w:rsidRPr="004950D7" w14:paraId="3E1DCE6D" w14:textId="77777777" w:rsidTr="006E51BB">
        <w:tc>
          <w:tcPr>
            <w:tcW w:w="1946" w:type="pct"/>
            <w:tcMar>
              <w:top w:w="27" w:type="dxa"/>
              <w:left w:w="27" w:type="dxa"/>
              <w:bottom w:w="27" w:type="dxa"/>
              <w:right w:w="27" w:type="dxa"/>
            </w:tcMar>
          </w:tcPr>
          <w:p w14:paraId="0FD1EADC" w14:textId="77777777" w:rsidR="00CE7AB0" w:rsidRPr="00076544" w:rsidRDefault="00CE7AB0" w:rsidP="00FC388E">
            <w:pPr>
              <w:rPr>
                <w:i/>
              </w:rPr>
            </w:pPr>
            <w:r w:rsidRPr="00076544">
              <w:rPr>
                <w:i/>
              </w:rPr>
              <w:t>Cymbidium suave</w:t>
            </w:r>
          </w:p>
        </w:tc>
        <w:tc>
          <w:tcPr>
            <w:tcW w:w="3054" w:type="pct"/>
            <w:tcMar>
              <w:top w:w="27" w:type="dxa"/>
              <w:left w:w="27" w:type="dxa"/>
              <w:bottom w:w="27" w:type="dxa"/>
              <w:right w:w="27" w:type="dxa"/>
            </w:tcMar>
          </w:tcPr>
          <w:p w14:paraId="032BB079" w14:textId="77777777" w:rsidR="00CE7AB0" w:rsidRPr="004950D7" w:rsidRDefault="00CE7AB0" w:rsidP="00FC388E">
            <w:r w:rsidRPr="004950D7">
              <w:t>Snake orchid</w:t>
            </w:r>
          </w:p>
        </w:tc>
      </w:tr>
      <w:tr w:rsidR="00CE7AB0" w:rsidRPr="004950D7" w14:paraId="4CB5DF66" w14:textId="77777777" w:rsidTr="006E51BB">
        <w:tc>
          <w:tcPr>
            <w:tcW w:w="1946" w:type="pct"/>
            <w:tcMar>
              <w:top w:w="27" w:type="dxa"/>
              <w:left w:w="27" w:type="dxa"/>
              <w:bottom w:w="27" w:type="dxa"/>
              <w:right w:w="27" w:type="dxa"/>
            </w:tcMar>
          </w:tcPr>
          <w:p w14:paraId="1884F57B" w14:textId="77777777" w:rsidR="00CE7AB0" w:rsidRPr="00076544" w:rsidRDefault="00CE7AB0" w:rsidP="00FC388E">
            <w:pPr>
              <w:rPr>
                <w:i/>
              </w:rPr>
            </w:pPr>
            <w:r w:rsidRPr="00076544">
              <w:rPr>
                <w:i/>
              </w:rPr>
              <w:t xml:space="preserve">Dendrobium </w:t>
            </w:r>
            <w:proofErr w:type="spellStart"/>
            <w:r w:rsidRPr="00076544">
              <w:rPr>
                <w:i/>
              </w:rPr>
              <w:t>aemulum</w:t>
            </w:r>
            <w:proofErr w:type="spellEnd"/>
          </w:p>
        </w:tc>
        <w:tc>
          <w:tcPr>
            <w:tcW w:w="3054" w:type="pct"/>
            <w:tcMar>
              <w:top w:w="27" w:type="dxa"/>
              <w:left w:w="27" w:type="dxa"/>
              <w:bottom w:w="27" w:type="dxa"/>
              <w:right w:w="27" w:type="dxa"/>
            </w:tcMar>
          </w:tcPr>
          <w:p w14:paraId="3FCA3DE9" w14:textId="77777777" w:rsidR="00CE7AB0" w:rsidRPr="004950D7" w:rsidRDefault="00CE7AB0" w:rsidP="00FC388E">
            <w:pPr>
              <w:rPr>
                <w:rFonts w:cs="Arial"/>
              </w:rPr>
            </w:pPr>
            <w:r w:rsidRPr="004950D7">
              <w:t xml:space="preserve">Ironbark orchid, White feather orchid </w:t>
            </w:r>
          </w:p>
        </w:tc>
      </w:tr>
      <w:tr w:rsidR="00CE7AB0" w:rsidRPr="004950D7" w14:paraId="186CD8FB" w14:textId="77777777" w:rsidTr="006E51BB">
        <w:tc>
          <w:tcPr>
            <w:tcW w:w="1946" w:type="pct"/>
            <w:tcMar>
              <w:top w:w="27" w:type="dxa"/>
              <w:left w:w="27" w:type="dxa"/>
              <w:bottom w:w="27" w:type="dxa"/>
              <w:right w:w="27" w:type="dxa"/>
            </w:tcMar>
          </w:tcPr>
          <w:p w14:paraId="78481807" w14:textId="77777777" w:rsidR="00CE7AB0" w:rsidRPr="00076544" w:rsidRDefault="00CE7AB0" w:rsidP="00FC388E">
            <w:pPr>
              <w:rPr>
                <w:i/>
              </w:rPr>
            </w:pPr>
            <w:r w:rsidRPr="00076544">
              <w:rPr>
                <w:i/>
              </w:rPr>
              <w:t xml:space="preserve">Dendrobium </w:t>
            </w:r>
            <w:proofErr w:type="spellStart"/>
            <w:r w:rsidRPr="00076544">
              <w:rPr>
                <w:i/>
              </w:rPr>
              <w:t>gracilicaule</w:t>
            </w:r>
            <w:proofErr w:type="spellEnd"/>
          </w:p>
        </w:tc>
        <w:tc>
          <w:tcPr>
            <w:tcW w:w="3054" w:type="pct"/>
            <w:tcMar>
              <w:top w:w="27" w:type="dxa"/>
              <w:left w:w="27" w:type="dxa"/>
              <w:bottom w:w="27" w:type="dxa"/>
              <w:right w:w="27" w:type="dxa"/>
            </w:tcMar>
          </w:tcPr>
          <w:p w14:paraId="00CECBCB" w14:textId="77777777" w:rsidR="00CE7AB0" w:rsidRPr="004950D7" w:rsidRDefault="00CE7AB0" w:rsidP="00FC388E"/>
        </w:tc>
      </w:tr>
      <w:tr w:rsidR="00CE7AB0" w:rsidRPr="004950D7" w14:paraId="4DC068AB" w14:textId="77777777" w:rsidTr="006E51BB">
        <w:tc>
          <w:tcPr>
            <w:tcW w:w="1946" w:type="pct"/>
            <w:tcMar>
              <w:top w:w="27" w:type="dxa"/>
              <w:left w:w="27" w:type="dxa"/>
              <w:bottom w:w="27" w:type="dxa"/>
              <w:right w:w="27" w:type="dxa"/>
            </w:tcMar>
          </w:tcPr>
          <w:p w14:paraId="22CCCB6F" w14:textId="77777777" w:rsidR="00CE7AB0" w:rsidRPr="00076544" w:rsidRDefault="00CE7AB0" w:rsidP="00FC388E">
            <w:pPr>
              <w:rPr>
                <w:i/>
              </w:rPr>
            </w:pPr>
            <w:r w:rsidRPr="00076544">
              <w:rPr>
                <w:i/>
              </w:rPr>
              <w:t xml:space="preserve">Dendrobium </w:t>
            </w:r>
            <w:proofErr w:type="spellStart"/>
            <w:r w:rsidRPr="00076544">
              <w:rPr>
                <w:i/>
              </w:rPr>
              <w:t>linguforme</w:t>
            </w:r>
            <w:proofErr w:type="spellEnd"/>
          </w:p>
        </w:tc>
        <w:tc>
          <w:tcPr>
            <w:tcW w:w="3054" w:type="pct"/>
            <w:tcMar>
              <w:top w:w="27" w:type="dxa"/>
              <w:left w:w="27" w:type="dxa"/>
              <w:bottom w:w="27" w:type="dxa"/>
              <w:right w:w="27" w:type="dxa"/>
            </w:tcMar>
          </w:tcPr>
          <w:p w14:paraId="25A533C9" w14:textId="77777777" w:rsidR="00CE7AB0" w:rsidRPr="004950D7" w:rsidRDefault="00CE7AB0" w:rsidP="00FC388E">
            <w:pPr>
              <w:rPr>
                <w:rFonts w:cs="Arial"/>
              </w:rPr>
            </w:pPr>
            <w:r w:rsidRPr="004950D7">
              <w:t xml:space="preserve">Tongue orchid </w:t>
            </w:r>
          </w:p>
        </w:tc>
      </w:tr>
      <w:tr w:rsidR="00CE7AB0" w:rsidRPr="004950D7" w14:paraId="34661414" w14:textId="77777777" w:rsidTr="006E51BB">
        <w:tc>
          <w:tcPr>
            <w:tcW w:w="1946" w:type="pct"/>
            <w:tcMar>
              <w:top w:w="27" w:type="dxa"/>
              <w:left w:w="27" w:type="dxa"/>
              <w:bottom w:w="27" w:type="dxa"/>
              <w:right w:w="27" w:type="dxa"/>
            </w:tcMar>
          </w:tcPr>
          <w:p w14:paraId="697C449E" w14:textId="77777777" w:rsidR="00CE7AB0" w:rsidRPr="00076544" w:rsidRDefault="00CE7AB0" w:rsidP="00FC388E">
            <w:pPr>
              <w:rPr>
                <w:i/>
              </w:rPr>
            </w:pPr>
            <w:r w:rsidRPr="00076544">
              <w:rPr>
                <w:i/>
              </w:rPr>
              <w:t xml:space="preserve">Dendrobium </w:t>
            </w:r>
            <w:proofErr w:type="spellStart"/>
            <w:r w:rsidRPr="00076544">
              <w:rPr>
                <w:i/>
              </w:rPr>
              <w:t>speciosum</w:t>
            </w:r>
            <w:proofErr w:type="spellEnd"/>
            <w:r w:rsidRPr="00076544">
              <w:rPr>
                <w:i/>
              </w:rPr>
              <w:t xml:space="preserve"> </w:t>
            </w:r>
            <w:proofErr w:type="spellStart"/>
            <w:r w:rsidRPr="00076544">
              <w:rPr>
                <w:i/>
              </w:rPr>
              <w:t>var</w:t>
            </w:r>
            <w:proofErr w:type="spellEnd"/>
            <w:r w:rsidRPr="00076544">
              <w:rPr>
                <w:i/>
              </w:rPr>
              <w:t xml:space="preserve"> </w:t>
            </w:r>
            <w:proofErr w:type="spellStart"/>
            <w:r w:rsidRPr="00076544">
              <w:rPr>
                <w:i/>
              </w:rPr>
              <w:t>hillii</w:t>
            </w:r>
            <w:proofErr w:type="spellEnd"/>
          </w:p>
        </w:tc>
        <w:tc>
          <w:tcPr>
            <w:tcW w:w="3054" w:type="pct"/>
            <w:tcMar>
              <w:top w:w="27" w:type="dxa"/>
              <w:left w:w="27" w:type="dxa"/>
              <w:bottom w:w="27" w:type="dxa"/>
              <w:right w:w="27" w:type="dxa"/>
            </w:tcMar>
          </w:tcPr>
          <w:p w14:paraId="5F61577C" w14:textId="77777777" w:rsidR="00CE7AB0" w:rsidRPr="004950D7" w:rsidRDefault="00CE7AB0" w:rsidP="00FC388E">
            <w:pPr>
              <w:rPr>
                <w:rFonts w:cs="Arial"/>
              </w:rPr>
            </w:pPr>
            <w:r w:rsidRPr="004950D7">
              <w:t>King orchid, rock lily, tar-</w:t>
            </w:r>
            <w:proofErr w:type="spellStart"/>
            <w:r w:rsidRPr="004950D7">
              <w:t>beri</w:t>
            </w:r>
            <w:proofErr w:type="spellEnd"/>
            <w:r w:rsidRPr="004950D7">
              <w:t xml:space="preserve"> </w:t>
            </w:r>
          </w:p>
        </w:tc>
      </w:tr>
      <w:tr w:rsidR="00CE7AB0" w:rsidRPr="004950D7" w14:paraId="1E88609D" w14:textId="77777777" w:rsidTr="006E51BB">
        <w:tc>
          <w:tcPr>
            <w:tcW w:w="1946" w:type="pct"/>
            <w:tcMar>
              <w:top w:w="27" w:type="dxa"/>
              <w:left w:w="27" w:type="dxa"/>
              <w:bottom w:w="27" w:type="dxa"/>
              <w:right w:w="27" w:type="dxa"/>
            </w:tcMar>
          </w:tcPr>
          <w:p w14:paraId="4B1D098C" w14:textId="77777777" w:rsidR="00CE7AB0" w:rsidRPr="00076544" w:rsidRDefault="00CE7AB0" w:rsidP="00FC388E">
            <w:pPr>
              <w:rPr>
                <w:i/>
              </w:rPr>
            </w:pPr>
            <w:proofErr w:type="spellStart"/>
            <w:r w:rsidRPr="00076544">
              <w:rPr>
                <w:i/>
              </w:rPr>
              <w:t>Oberonia</w:t>
            </w:r>
            <w:proofErr w:type="spellEnd"/>
            <w:r w:rsidRPr="00076544">
              <w:rPr>
                <w:i/>
              </w:rPr>
              <w:t xml:space="preserve"> </w:t>
            </w:r>
            <w:proofErr w:type="spellStart"/>
            <w:r w:rsidRPr="00076544">
              <w:rPr>
                <w:i/>
              </w:rPr>
              <w:t>complanata</w:t>
            </w:r>
            <w:proofErr w:type="spellEnd"/>
          </w:p>
        </w:tc>
        <w:tc>
          <w:tcPr>
            <w:tcW w:w="3054" w:type="pct"/>
            <w:tcMar>
              <w:top w:w="27" w:type="dxa"/>
              <w:left w:w="27" w:type="dxa"/>
              <w:bottom w:w="27" w:type="dxa"/>
              <w:right w:w="27" w:type="dxa"/>
            </w:tcMar>
          </w:tcPr>
          <w:p w14:paraId="3404283C" w14:textId="77777777" w:rsidR="00CE7AB0" w:rsidRPr="004950D7" w:rsidRDefault="00CE7AB0" w:rsidP="00FC388E"/>
        </w:tc>
      </w:tr>
      <w:tr w:rsidR="00CE7AB0" w:rsidRPr="004950D7" w14:paraId="1BC78492" w14:textId="77777777" w:rsidTr="006E51BB">
        <w:tc>
          <w:tcPr>
            <w:tcW w:w="1946" w:type="pct"/>
            <w:tcMar>
              <w:top w:w="27" w:type="dxa"/>
              <w:left w:w="27" w:type="dxa"/>
              <w:bottom w:w="27" w:type="dxa"/>
              <w:right w:w="27" w:type="dxa"/>
            </w:tcMar>
          </w:tcPr>
          <w:p w14:paraId="70EF2034" w14:textId="77777777" w:rsidR="00CE7AB0" w:rsidRPr="00076544" w:rsidRDefault="00CE7AB0" w:rsidP="00FC388E">
            <w:pPr>
              <w:rPr>
                <w:i/>
              </w:rPr>
            </w:pPr>
            <w:proofErr w:type="spellStart"/>
            <w:r w:rsidRPr="00076544">
              <w:rPr>
                <w:i/>
              </w:rPr>
              <w:t>Oberonia</w:t>
            </w:r>
            <w:proofErr w:type="spellEnd"/>
            <w:r w:rsidRPr="00076544">
              <w:rPr>
                <w:i/>
              </w:rPr>
              <w:t xml:space="preserve"> titania</w:t>
            </w:r>
          </w:p>
        </w:tc>
        <w:tc>
          <w:tcPr>
            <w:tcW w:w="3054" w:type="pct"/>
            <w:tcMar>
              <w:top w:w="27" w:type="dxa"/>
              <w:left w:w="27" w:type="dxa"/>
              <w:bottom w:w="27" w:type="dxa"/>
              <w:right w:w="27" w:type="dxa"/>
            </w:tcMar>
          </w:tcPr>
          <w:p w14:paraId="20B35B6F" w14:textId="77777777" w:rsidR="00CE7AB0" w:rsidRPr="004950D7" w:rsidRDefault="00CE7AB0" w:rsidP="00FC388E"/>
        </w:tc>
      </w:tr>
      <w:tr w:rsidR="00CE7AB0" w:rsidRPr="004950D7" w14:paraId="4F2E3194" w14:textId="77777777" w:rsidTr="006E51BB">
        <w:tc>
          <w:tcPr>
            <w:tcW w:w="1946" w:type="pct"/>
            <w:tcMar>
              <w:top w:w="27" w:type="dxa"/>
              <w:left w:w="27" w:type="dxa"/>
              <w:bottom w:w="27" w:type="dxa"/>
              <w:right w:w="27" w:type="dxa"/>
            </w:tcMar>
          </w:tcPr>
          <w:p w14:paraId="5035A74F" w14:textId="77777777" w:rsidR="00CE7AB0" w:rsidRPr="004950D7" w:rsidRDefault="00CE7AB0" w:rsidP="00FC388E">
            <w:r w:rsidRPr="004950D7">
              <w:rPr>
                <w:i/>
                <w:iCs/>
              </w:rPr>
              <w:t>Pandanus</w:t>
            </w:r>
            <w:r w:rsidRPr="004950D7">
              <w:t xml:space="preserve"> species native to NSW</w:t>
            </w:r>
          </w:p>
        </w:tc>
        <w:tc>
          <w:tcPr>
            <w:tcW w:w="3054" w:type="pct"/>
            <w:tcMar>
              <w:top w:w="27" w:type="dxa"/>
              <w:left w:w="27" w:type="dxa"/>
              <w:bottom w:w="27" w:type="dxa"/>
              <w:right w:w="27" w:type="dxa"/>
            </w:tcMar>
          </w:tcPr>
          <w:p w14:paraId="35606C79" w14:textId="77777777" w:rsidR="00CE7AB0" w:rsidRPr="004950D7" w:rsidRDefault="00CE7AB0" w:rsidP="00FC388E">
            <w:r w:rsidRPr="004950D7">
              <w:t>Pandanus</w:t>
            </w:r>
          </w:p>
        </w:tc>
      </w:tr>
      <w:tr w:rsidR="00CE7AB0" w:rsidRPr="004950D7" w14:paraId="7911B1C0" w14:textId="77777777" w:rsidTr="006E51BB">
        <w:tc>
          <w:tcPr>
            <w:tcW w:w="1946" w:type="pct"/>
            <w:tcMar>
              <w:top w:w="27" w:type="dxa"/>
              <w:left w:w="27" w:type="dxa"/>
              <w:bottom w:w="27" w:type="dxa"/>
              <w:right w:w="27" w:type="dxa"/>
            </w:tcMar>
          </w:tcPr>
          <w:p w14:paraId="3A30C984" w14:textId="77777777" w:rsidR="00CE7AB0" w:rsidRPr="005C4F3D" w:rsidRDefault="00CE7AB0" w:rsidP="00FC388E">
            <w:pPr>
              <w:rPr>
                <w:i/>
              </w:rPr>
            </w:pPr>
            <w:proofErr w:type="spellStart"/>
            <w:r w:rsidRPr="005C4F3D">
              <w:rPr>
                <w:i/>
              </w:rPr>
              <w:lastRenderedPageBreak/>
              <w:t>Taeniophyllum</w:t>
            </w:r>
            <w:proofErr w:type="spellEnd"/>
            <w:r w:rsidRPr="005C4F3D">
              <w:rPr>
                <w:i/>
              </w:rPr>
              <w:t xml:space="preserve"> </w:t>
            </w:r>
            <w:proofErr w:type="spellStart"/>
            <w:r w:rsidRPr="005C4F3D">
              <w:rPr>
                <w:i/>
              </w:rPr>
              <w:t>muelleri</w:t>
            </w:r>
            <w:proofErr w:type="spellEnd"/>
          </w:p>
        </w:tc>
        <w:tc>
          <w:tcPr>
            <w:tcW w:w="3054" w:type="pct"/>
            <w:tcMar>
              <w:top w:w="27" w:type="dxa"/>
              <w:left w:w="27" w:type="dxa"/>
              <w:bottom w:w="27" w:type="dxa"/>
              <w:right w:w="27" w:type="dxa"/>
            </w:tcMar>
          </w:tcPr>
          <w:p w14:paraId="7CAFA31E" w14:textId="77777777" w:rsidR="00CE7AB0" w:rsidRPr="004950D7" w:rsidRDefault="00CE7AB0" w:rsidP="00FC388E"/>
        </w:tc>
      </w:tr>
      <w:tr w:rsidR="00CE7AB0" w:rsidRPr="004950D7" w14:paraId="0837381D" w14:textId="77777777" w:rsidTr="006E51BB">
        <w:tc>
          <w:tcPr>
            <w:tcW w:w="1946" w:type="pct"/>
            <w:tcMar>
              <w:top w:w="27" w:type="dxa"/>
              <w:left w:w="27" w:type="dxa"/>
              <w:bottom w:w="27" w:type="dxa"/>
              <w:right w:w="27" w:type="dxa"/>
            </w:tcMar>
          </w:tcPr>
          <w:p w14:paraId="36DD1CB2" w14:textId="77777777" w:rsidR="00CE7AB0" w:rsidRPr="005C4F3D" w:rsidRDefault="00CE7AB0" w:rsidP="00FC388E">
            <w:pPr>
              <w:rPr>
                <w:i/>
              </w:rPr>
            </w:pPr>
            <w:proofErr w:type="spellStart"/>
            <w:r w:rsidRPr="005C4F3D">
              <w:rPr>
                <w:i/>
              </w:rPr>
              <w:t>Todea</w:t>
            </w:r>
            <w:proofErr w:type="spellEnd"/>
            <w:r w:rsidRPr="005C4F3D">
              <w:rPr>
                <w:i/>
              </w:rPr>
              <w:t xml:space="preserve"> </w:t>
            </w:r>
            <w:proofErr w:type="spellStart"/>
            <w:r w:rsidRPr="005C4F3D">
              <w:rPr>
                <w:i/>
              </w:rPr>
              <w:t>barbara</w:t>
            </w:r>
            <w:proofErr w:type="spellEnd"/>
          </w:p>
        </w:tc>
        <w:tc>
          <w:tcPr>
            <w:tcW w:w="3054" w:type="pct"/>
            <w:tcMar>
              <w:top w:w="27" w:type="dxa"/>
              <w:left w:w="27" w:type="dxa"/>
              <w:bottom w:w="27" w:type="dxa"/>
              <w:right w:w="27" w:type="dxa"/>
            </w:tcMar>
          </w:tcPr>
          <w:p w14:paraId="5BA29B93" w14:textId="77777777" w:rsidR="00CE7AB0" w:rsidRPr="004950D7" w:rsidRDefault="00CE7AB0" w:rsidP="00FC388E">
            <w:r w:rsidRPr="004950D7">
              <w:t>King fern</w:t>
            </w:r>
          </w:p>
        </w:tc>
      </w:tr>
      <w:tr w:rsidR="00CE7AB0" w:rsidRPr="00483567" w14:paraId="2258821B" w14:textId="77777777" w:rsidTr="006E51BB">
        <w:tc>
          <w:tcPr>
            <w:tcW w:w="1946" w:type="pct"/>
            <w:shd w:val="clear" w:color="auto" w:fill="D9D9D9"/>
            <w:tcMar>
              <w:top w:w="27" w:type="dxa"/>
              <w:left w:w="27" w:type="dxa"/>
              <w:bottom w:w="27" w:type="dxa"/>
              <w:right w:w="27" w:type="dxa"/>
            </w:tcMar>
          </w:tcPr>
          <w:p w14:paraId="49705E9E" w14:textId="77777777" w:rsidR="00CE7AB0" w:rsidRPr="00483567" w:rsidRDefault="00CE7AB0" w:rsidP="00FC388E">
            <w:r w:rsidRPr="00483567">
              <w:t>Group 4</w:t>
            </w:r>
          </w:p>
        </w:tc>
        <w:tc>
          <w:tcPr>
            <w:tcW w:w="3054" w:type="pct"/>
            <w:shd w:val="clear" w:color="auto" w:fill="D9D9D9"/>
            <w:tcMar>
              <w:top w:w="27" w:type="dxa"/>
              <w:left w:w="27" w:type="dxa"/>
              <w:bottom w:w="27" w:type="dxa"/>
              <w:right w:w="27" w:type="dxa"/>
            </w:tcMar>
          </w:tcPr>
          <w:p w14:paraId="76EAA212" w14:textId="77777777" w:rsidR="00CE7AB0" w:rsidRPr="00483567" w:rsidRDefault="00CE7AB0" w:rsidP="00FC388E">
            <w:r w:rsidRPr="00483567">
              <w:t xml:space="preserve">Grower </w:t>
            </w:r>
            <w:r>
              <w:t xml:space="preserve">licence </w:t>
            </w:r>
            <w:r w:rsidRPr="00483567">
              <w:t>only</w:t>
            </w:r>
          </w:p>
        </w:tc>
      </w:tr>
      <w:tr w:rsidR="00CE7AB0" w:rsidRPr="004950D7" w14:paraId="32685869" w14:textId="77777777" w:rsidTr="006E51BB">
        <w:tc>
          <w:tcPr>
            <w:tcW w:w="1946" w:type="pct"/>
            <w:tcMar>
              <w:top w:w="27" w:type="dxa"/>
              <w:left w:w="27" w:type="dxa"/>
              <w:bottom w:w="27" w:type="dxa"/>
              <w:right w:w="27" w:type="dxa"/>
            </w:tcMar>
          </w:tcPr>
          <w:p w14:paraId="3883F923" w14:textId="77777777" w:rsidR="00CE7AB0" w:rsidRPr="004950D7" w:rsidRDefault="00CE7AB0" w:rsidP="00FC388E">
            <w:proofErr w:type="spellStart"/>
            <w:r w:rsidRPr="004950D7">
              <w:t>Orchidaceae</w:t>
            </w:r>
            <w:proofErr w:type="spellEnd"/>
            <w:r w:rsidRPr="004950D7">
              <w:t xml:space="preserve"> native to NSW</w:t>
            </w:r>
          </w:p>
        </w:tc>
        <w:tc>
          <w:tcPr>
            <w:tcW w:w="3054" w:type="pct"/>
            <w:tcMar>
              <w:top w:w="27" w:type="dxa"/>
              <w:left w:w="27" w:type="dxa"/>
              <w:bottom w:w="27" w:type="dxa"/>
              <w:right w:w="27" w:type="dxa"/>
            </w:tcMar>
          </w:tcPr>
          <w:p w14:paraId="39F97773" w14:textId="77777777" w:rsidR="00CE7AB0" w:rsidRPr="004950D7" w:rsidRDefault="00CE7AB0" w:rsidP="00FC388E">
            <w:r w:rsidRPr="004950D7">
              <w:t xml:space="preserve">Orchids </w:t>
            </w:r>
            <w:r w:rsidRPr="004950D7">
              <w:rPr>
                <w:shd w:val="clear" w:color="auto" w:fill="FFFFFF"/>
              </w:rPr>
              <w:t>unless otherwise listed</w:t>
            </w:r>
          </w:p>
        </w:tc>
      </w:tr>
      <w:tr w:rsidR="00CE7AB0" w:rsidRPr="00483567" w14:paraId="026CD3C7" w14:textId="77777777" w:rsidTr="006E51BB">
        <w:tc>
          <w:tcPr>
            <w:tcW w:w="1946" w:type="pct"/>
            <w:shd w:val="clear" w:color="auto" w:fill="D9D9D9"/>
            <w:tcMar>
              <w:top w:w="27" w:type="dxa"/>
              <w:left w:w="27" w:type="dxa"/>
              <w:bottom w:w="27" w:type="dxa"/>
              <w:right w:w="27" w:type="dxa"/>
            </w:tcMar>
          </w:tcPr>
          <w:p w14:paraId="6814819E" w14:textId="77777777" w:rsidR="00CE7AB0" w:rsidRPr="00483567" w:rsidRDefault="00CE7AB0" w:rsidP="00FC388E">
            <w:r w:rsidRPr="00483567">
              <w:t>Group 5</w:t>
            </w:r>
          </w:p>
        </w:tc>
        <w:tc>
          <w:tcPr>
            <w:tcW w:w="3054" w:type="pct"/>
            <w:shd w:val="clear" w:color="auto" w:fill="D9D9D9"/>
            <w:tcMar>
              <w:top w:w="27" w:type="dxa"/>
              <w:left w:w="27" w:type="dxa"/>
              <w:bottom w:w="27" w:type="dxa"/>
              <w:right w:w="27" w:type="dxa"/>
            </w:tcMar>
          </w:tcPr>
          <w:p w14:paraId="75BD838E" w14:textId="77777777" w:rsidR="00CE7AB0" w:rsidRPr="00483567" w:rsidRDefault="00CE7AB0" w:rsidP="00FC388E">
            <w:r>
              <w:t>Grower licence only - s</w:t>
            </w:r>
            <w:r w:rsidRPr="00483567">
              <w:t>pecial requirements</w:t>
            </w:r>
          </w:p>
        </w:tc>
      </w:tr>
      <w:tr w:rsidR="00CE7AB0" w:rsidRPr="004950D7" w14:paraId="24076EBE" w14:textId="77777777" w:rsidTr="006E51BB">
        <w:trPr>
          <w:trHeight w:val="314"/>
        </w:trPr>
        <w:tc>
          <w:tcPr>
            <w:tcW w:w="1946" w:type="pct"/>
            <w:tcMar>
              <w:top w:w="27" w:type="dxa"/>
              <w:left w:w="27" w:type="dxa"/>
              <w:bottom w:w="27" w:type="dxa"/>
              <w:right w:w="27" w:type="dxa"/>
            </w:tcMar>
          </w:tcPr>
          <w:p w14:paraId="24053011" w14:textId="77777777" w:rsidR="00CE7AB0" w:rsidRPr="005C4F3D" w:rsidRDefault="00CE7AB0" w:rsidP="00FC388E">
            <w:pPr>
              <w:rPr>
                <w:i/>
              </w:rPr>
            </w:pPr>
            <w:proofErr w:type="spellStart"/>
            <w:r w:rsidRPr="005C4F3D">
              <w:rPr>
                <w:i/>
              </w:rPr>
              <w:t>Wollemia</w:t>
            </w:r>
            <w:proofErr w:type="spellEnd"/>
            <w:r w:rsidRPr="005C4F3D">
              <w:rPr>
                <w:i/>
              </w:rPr>
              <w:t xml:space="preserve"> </w:t>
            </w:r>
            <w:proofErr w:type="spellStart"/>
            <w:r w:rsidRPr="005C4F3D">
              <w:rPr>
                <w:i/>
              </w:rPr>
              <w:t>nobilis</w:t>
            </w:r>
            <w:proofErr w:type="spellEnd"/>
          </w:p>
        </w:tc>
        <w:tc>
          <w:tcPr>
            <w:tcW w:w="3054" w:type="pct"/>
            <w:tcMar>
              <w:top w:w="27" w:type="dxa"/>
              <w:left w:w="27" w:type="dxa"/>
              <w:bottom w:w="27" w:type="dxa"/>
              <w:right w:w="27" w:type="dxa"/>
            </w:tcMar>
          </w:tcPr>
          <w:p w14:paraId="7611CD8C" w14:textId="77777777" w:rsidR="00CE7AB0" w:rsidRPr="004950D7" w:rsidRDefault="00CE7AB0" w:rsidP="00FC388E">
            <w:r w:rsidRPr="004950D7">
              <w:t>Wollemi pine</w:t>
            </w:r>
          </w:p>
        </w:tc>
      </w:tr>
    </w:tbl>
    <w:p w14:paraId="4C3044AB" w14:textId="340C34DD" w:rsidR="00CE7AB0" w:rsidRDefault="00CE7AB0" w:rsidP="00FC388E">
      <w:pPr>
        <w:pStyle w:val="BodyText"/>
      </w:pPr>
      <w:bookmarkStart w:id="664" w:name="sch.13-pt.2"/>
      <w:bookmarkEnd w:id="664"/>
      <w:r w:rsidRPr="00483567">
        <w:t xml:space="preserve">With the exception of seed harvester licences, Part 1 of Schedule </w:t>
      </w:r>
      <w:r>
        <w:t>6</w:t>
      </w:r>
      <w:r w:rsidRPr="00483567">
        <w:t xml:space="preserve"> of the </w:t>
      </w:r>
      <w:r>
        <w:t xml:space="preserve">BC Act </w:t>
      </w:r>
      <w:r w:rsidRPr="00483567">
        <w:t>is not relevant to the whole-plant</w:t>
      </w:r>
      <w:r w:rsidRPr="00483567">
        <w:rPr>
          <w:b/>
        </w:rPr>
        <w:t xml:space="preserve"> </w:t>
      </w:r>
      <w:r w:rsidRPr="00483567">
        <w:t xml:space="preserve">industry so it is not reproduced in this plan. For guidance for harvest of cut-flowers please refer to the </w:t>
      </w:r>
      <w:r w:rsidR="002B05F9">
        <w:rPr>
          <w:i/>
        </w:rPr>
        <w:t xml:space="preserve">Cut-flower Sustainable Management Plan 2018-22 </w:t>
      </w:r>
      <w:r w:rsidR="005C4F3D" w:rsidRPr="005C4F3D">
        <w:t>(CFMP)</w:t>
      </w:r>
      <w:r w:rsidRPr="00483567">
        <w:t xml:space="preserve">. </w:t>
      </w:r>
    </w:p>
    <w:p w14:paraId="72C71F32" w14:textId="77777777" w:rsidR="00CE7AB0" w:rsidRPr="00483567" w:rsidRDefault="00CE7AB0" w:rsidP="00FC388E">
      <w:pPr>
        <w:pStyle w:val="BodyText"/>
      </w:pPr>
    </w:p>
    <w:p w14:paraId="5C04C184" w14:textId="77777777" w:rsidR="00CE7AB0" w:rsidRPr="00937116" w:rsidRDefault="00CE7AB0" w:rsidP="00C74D50">
      <w:pPr>
        <w:pStyle w:val="Heading1"/>
        <w:numPr>
          <w:ilvl w:val="0"/>
          <w:numId w:val="0"/>
        </w:numPr>
      </w:pPr>
      <w:bookmarkStart w:id="665" w:name="_Toc271274295"/>
      <w:bookmarkStart w:id="666" w:name="_Toc283984825"/>
      <w:bookmarkStart w:id="667" w:name="_Toc301869672"/>
      <w:bookmarkStart w:id="668" w:name="_Toc328986875"/>
      <w:bookmarkStart w:id="669" w:name="_Toc328988085"/>
      <w:bookmarkStart w:id="670" w:name="_Toc328988167"/>
      <w:bookmarkStart w:id="671" w:name="_Toc328988248"/>
      <w:bookmarkStart w:id="672" w:name="_Toc328991062"/>
      <w:bookmarkStart w:id="673" w:name="_Toc328991544"/>
      <w:r>
        <w:br w:type="page"/>
      </w:r>
      <w:bookmarkStart w:id="674" w:name="_Toc492379112"/>
      <w:bookmarkStart w:id="675" w:name="_Toc494449592"/>
      <w:r w:rsidRPr="00707F74">
        <w:lastRenderedPageBreak/>
        <w:t xml:space="preserve">Appendix </w:t>
      </w:r>
      <w:r w:rsidRPr="003261BC">
        <w:t>B</w:t>
      </w:r>
      <w:r w:rsidRPr="00937116">
        <w:t>:</w:t>
      </w:r>
      <w:r w:rsidR="00C74D50">
        <w:t xml:space="preserve"> </w:t>
      </w:r>
      <w:r w:rsidRPr="00937116">
        <w:t>Wild harvester licence application requirements</w:t>
      </w:r>
      <w:bookmarkEnd w:id="665"/>
      <w:bookmarkEnd w:id="666"/>
      <w:bookmarkEnd w:id="667"/>
      <w:bookmarkEnd w:id="668"/>
      <w:bookmarkEnd w:id="669"/>
      <w:bookmarkEnd w:id="670"/>
      <w:bookmarkEnd w:id="671"/>
      <w:bookmarkEnd w:id="672"/>
      <w:bookmarkEnd w:id="673"/>
      <w:bookmarkEnd w:id="674"/>
      <w:bookmarkEnd w:id="675"/>
    </w:p>
    <w:p w14:paraId="3D80C4A3" w14:textId="77777777" w:rsidR="00CE7AB0" w:rsidRPr="00483567" w:rsidRDefault="00CE7AB0" w:rsidP="00FC388E">
      <w:pPr>
        <w:pStyle w:val="BodyText"/>
      </w:pPr>
      <w:r w:rsidRPr="00483567">
        <w:t>A wild harvester licence may be issued under</w:t>
      </w:r>
      <w:r>
        <w:t xml:space="preserve"> Section 2.11 of</w:t>
      </w:r>
      <w:r w:rsidRPr="00483567">
        <w:t xml:space="preserve"> the </w:t>
      </w:r>
      <w:r w:rsidR="002655A8" w:rsidRPr="008D159E">
        <w:rPr>
          <w:i/>
          <w:lang w:val="en-US"/>
        </w:rPr>
        <w:t>Biodiversity Conservation Act 2016</w:t>
      </w:r>
      <w:r w:rsidR="002655A8" w:rsidRPr="002655A8">
        <w:rPr>
          <w:lang w:val="en-US"/>
        </w:rPr>
        <w:t xml:space="preserve"> (BC Act) </w:t>
      </w:r>
      <w:r w:rsidRPr="00483567">
        <w:t>to the freehold owner of a property to harvest from naturally occurring stands of native plants on their property.</w:t>
      </w:r>
    </w:p>
    <w:p w14:paraId="10047955" w14:textId="0AF3EC64" w:rsidR="00CE7AB0" w:rsidRPr="00483567" w:rsidRDefault="00CE7AB0" w:rsidP="00FC388E">
      <w:pPr>
        <w:pStyle w:val="BodyText"/>
      </w:pPr>
      <w:r w:rsidRPr="00483567">
        <w:t xml:space="preserve">The licence may permit the harvest of species listed in Part 2, Group 1 of Schedule </w:t>
      </w:r>
      <w:r>
        <w:t>6</w:t>
      </w:r>
      <w:r w:rsidRPr="00483567">
        <w:t xml:space="preserve"> only. No </w:t>
      </w:r>
      <w:r>
        <w:t>threatened</w:t>
      </w:r>
      <w:r w:rsidRPr="00483567">
        <w:t xml:space="preserve"> species </w:t>
      </w:r>
      <w:r>
        <w:t>(species</w:t>
      </w:r>
      <w:r w:rsidRPr="00483567">
        <w:t xml:space="preserve"> listed under </w:t>
      </w:r>
      <w:r>
        <w:t>Schedule 1 of the BC Act)</w:t>
      </w:r>
      <w:r w:rsidRPr="00483567">
        <w:t xml:space="preserve"> may be taken under a wild harvest licence and no harvest is permitted from </w:t>
      </w:r>
      <w:r w:rsidR="00F736F5">
        <w:t>areas of outstanding biodiversity value</w:t>
      </w:r>
      <w:r w:rsidRPr="00483567">
        <w:t xml:space="preserve"> or </w:t>
      </w:r>
      <w:r>
        <w:t>threatened</w:t>
      </w:r>
      <w:r w:rsidRPr="00483567">
        <w:t xml:space="preserve"> ecological communities.</w:t>
      </w:r>
    </w:p>
    <w:p w14:paraId="16AF7CBC" w14:textId="77777777" w:rsidR="00CE7AB0" w:rsidRPr="00483567" w:rsidRDefault="00CE7AB0" w:rsidP="00FC388E">
      <w:pPr>
        <w:pStyle w:val="BodyText"/>
      </w:pPr>
      <w:r w:rsidRPr="00483567">
        <w:t>Applications must be lodged through the local area office that oversees the proposed harvest location. Applicants for a wild harvester licence must provide or be able to demonstrate the following at the time of application:</w:t>
      </w:r>
    </w:p>
    <w:p w14:paraId="6550FD61" w14:textId="77777777" w:rsidR="00CE7AB0" w:rsidRPr="00483567" w:rsidRDefault="00CE7AB0" w:rsidP="00FC388E">
      <w:pPr>
        <w:pStyle w:val="ListParagraph"/>
        <w:numPr>
          <w:ilvl w:val="0"/>
          <w:numId w:val="22"/>
        </w:numPr>
      </w:pPr>
      <w:r w:rsidRPr="00483567">
        <w:t>Confirmation of the applicant’s status as the land owner.</w:t>
      </w:r>
    </w:p>
    <w:p w14:paraId="6F155E35" w14:textId="77777777" w:rsidR="00CE7AB0" w:rsidRPr="00483567" w:rsidRDefault="00CE7AB0" w:rsidP="00FC388E">
      <w:pPr>
        <w:pStyle w:val="ListParagraph"/>
        <w:numPr>
          <w:ilvl w:val="0"/>
          <w:numId w:val="22"/>
        </w:numPr>
      </w:pPr>
      <w:r w:rsidRPr="00483567">
        <w:t>Documentation of procedures identified in the harvest site controls (Appendix D).</w:t>
      </w:r>
    </w:p>
    <w:p w14:paraId="21CC0DA5" w14:textId="77777777" w:rsidR="00CE7AB0" w:rsidRPr="00483567" w:rsidRDefault="00CE7AB0" w:rsidP="00FC388E">
      <w:pPr>
        <w:pStyle w:val="ListParagraph"/>
        <w:numPr>
          <w:ilvl w:val="0"/>
          <w:numId w:val="22"/>
        </w:numPr>
      </w:pPr>
      <w:r w:rsidRPr="00483567">
        <w:t>Maps identifying the general and specific location of the proposed harvest site and identifying discrete harvest blocks on the land.</w:t>
      </w:r>
    </w:p>
    <w:p w14:paraId="2C34261E" w14:textId="77777777" w:rsidR="00CE7AB0" w:rsidRPr="00483567" w:rsidRDefault="00CE7AB0" w:rsidP="00FC388E">
      <w:pPr>
        <w:pStyle w:val="ListParagraph"/>
        <w:numPr>
          <w:ilvl w:val="0"/>
          <w:numId w:val="22"/>
        </w:numPr>
      </w:pPr>
      <w:r w:rsidRPr="00483567">
        <w:t>Ability to identify the target material to species level.</w:t>
      </w:r>
    </w:p>
    <w:p w14:paraId="67A7290F" w14:textId="77777777" w:rsidR="00CE7AB0" w:rsidRPr="00483567" w:rsidRDefault="00CE7AB0" w:rsidP="00FC388E">
      <w:pPr>
        <w:pStyle w:val="ListParagraph"/>
        <w:numPr>
          <w:ilvl w:val="0"/>
          <w:numId w:val="22"/>
        </w:numPr>
      </w:pPr>
      <w:r w:rsidRPr="00483567">
        <w:t xml:space="preserve">Capacity to undertake population assessments (Appendix </w:t>
      </w:r>
      <w:r>
        <w:t>J</w:t>
      </w:r>
      <w:r w:rsidRPr="00483567">
        <w:t>).</w:t>
      </w:r>
    </w:p>
    <w:p w14:paraId="12DF0E53" w14:textId="77777777" w:rsidR="00CE7AB0" w:rsidRPr="00483567" w:rsidRDefault="00CE7AB0" w:rsidP="00FC388E">
      <w:pPr>
        <w:pStyle w:val="ListParagraph"/>
        <w:numPr>
          <w:ilvl w:val="0"/>
          <w:numId w:val="22"/>
        </w:numPr>
      </w:pPr>
      <w:r w:rsidRPr="00483567">
        <w:t>A count of the target species (and size classes where required) present within each harvest block.</w:t>
      </w:r>
    </w:p>
    <w:p w14:paraId="123552E2" w14:textId="77777777" w:rsidR="00CE7AB0" w:rsidRPr="00483567" w:rsidRDefault="00CE7AB0" w:rsidP="00FC388E">
      <w:pPr>
        <w:pStyle w:val="ListParagraph"/>
        <w:numPr>
          <w:ilvl w:val="0"/>
          <w:numId w:val="22"/>
        </w:numPr>
      </w:pPr>
      <w:r w:rsidRPr="00483567">
        <w:t>A description of the habitat from which the harvest will be undertaken.</w:t>
      </w:r>
    </w:p>
    <w:p w14:paraId="22B95B94" w14:textId="77777777" w:rsidR="00CE7AB0" w:rsidRPr="00483567" w:rsidRDefault="00CE7AB0" w:rsidP="00FC388E">
      <w:pPr>
        <w:pStyle w:val="ListParagraph"/>
        <w:numPr>
          <w:ilvl w:val="0"/>
          <w:numId w:val="22"/>
        </w:numPr>
      </w:pPr>
      <w:r w:rsidRPr="00483567">
        <w:t>A list of any threatened species that may occur in the harvest area.</w:t>
      </w:r>
    </w:p>
    <w:p w14:paraId="3BFB0E70" w14:textId="4AC06582" w:rsidR="00CE7AB0" w:rsidRPr="00483567" w:rsidRDefault="00CE7AB0" w:rsidP="00FC388E">
      <w:pPr>
        <w:pStyle w:val="ListParagraph"/>
        <w:numPr>
          <w:ilvl w:val="0"/>
          <w:numId w:val="22"/>
        </w:numPr>
      </w:pPr>
      <w:r w:rsidRPr="00483567">
        <w:t xml:space="preserve">A declaration that the proposed harvest site is neither </w:t>
      </w:r>
      <w:r w:rsidR="00F736F5">
        <w:t>an area of outstanding biodiversity value</w:t>
      </w:r>
      <w:r w:rsidRPr="00483567">
        <w:t xml:space="preserve"> nor a currently listed </w:t>
      </w:r>
      <w:r>
        <w:t>threatened</w:t>
      </w:r>
      <w:r w:rsidRPr="00483567">
        <w:t xml:space="preserve"> ecological community.</w:t>
      </w:r>
    </w:p>
    <w:p w14:paraId="2965B814" w14:textId="77777777" w:rsidR="00CE7AB0" w:rsidRPr="00483567" w:rsidRDefault="00CE7AB0" w:rsidP="00FC388E">
      <w:pPr>
        <w:pStyle w:val="ListParagraph"/>
        <w:numPr>
          <w:ilvl w:val="0"/>
          <w:numId w:val="22"/>
        </w:numPr>
      </w:pPr>
      <w:r w:rsidRPr="00483567">
        <w:t>All other information requested on the application form.</w:t>
      </w:r>
    </w:p>
    <w:p w14:paraId="3E53A57E" w14:textId="77777777" w:rsidR="00CE7AB0" w:rsidRPr="00483567" w:rsidRDefault="00CE7AB0" w:rsidP="00FC388E">
      <w:pPr>
        <w:pStyle w:val="ListParagraph"/>
        <w:numPr>
          <w:ilvl w:val="0"/>
          <w:numId w:val="22"/>
        </w:numPr>
      </w:pPr>
      <w:r w:rsidRPr="00483567">
        <w:t>The relevant fee for the application.</w:t>
      </w:r>
    </w:p>
    <w:p w14:paraId="2A009E87" w14:textId="77777777" w:rsidR="00CE7AB0" w:rsidRPr="00483567" w:rsidRDefault="00CE7AB0" w:rsidP="00FC388E">
      <w:pPr>
        <w:pStyle w:val="BodyText"/>
      </w:pPr>
      <w:r w:rsidRPr="00483567">
        <w:t>Where plants are sold directly to the public, OEH recommends providing purchasers with post-planting care sheets.</w:t>
      </w:r>
    </w:p>
    <w:p w14:paraId="74CE6D04" w14:textId="77777777" w:rsidR="00CE7AB0" w:rsidRPr="00483567" w:rsidRDefault="00CE7AB0" w:rsidP="00FC388E">
      <w:pPr>
        <w:pStyle w:val="BodyText"/>
        <w:rPr>
          <w:i/>
          <w:color w:val="000000"/>
        </w:rPr>
      </w:pPr>
      <w:r w:rsidRPr="00483567">
        <w:t>Where available, applicants may be directed to relevant guidelines or similar material.</w:t>
      </w:r>
    </w:p>
    <w:p w14:paraId="2E3939B3" w14:textId="77777777" w:rsidR="00CE7AB0" w:rsidRPr="00483567" w:rsidRDefault="00CE7AB0" w:rsidP="008D159E">
      <w:pPr>
        <w:pStyle w:val="Heading1"/>
        <w:numPr>
          <w:ilvl w:val="0"/>
          <w:numId w:val="0"/>
        </w:numPr>
      </w:pPr>
      <w:r w:rsidRPr="00483567">
        <w:br w:type="page"/>
      </w:r>
      <w:bookmarkStart w:id="676" w:name="_Toc271274296"/>
      <w:bookmarkStart w:id="677" w:name="_Toc283984826"/>
      <w:bookmarkStart w:id="678" w:name="_Toc301869673"/>
      <w:bookmarkStart w:id="679" w:name="_Toc328986876"/>
      <w:bookmarkStart w:id="680" w:name="_Toc328988086"/>
      <w:bookmarkStart w:id="681" w:name="_Toc328988168"/>
      <w:bookmarkStart w:id="682" w:name="_Toc328988249"/>
      <w:bookmarkStart w:id="683" w:name="_Toc328991063"/>
      <w:bookmarkStart w:id="684" w:name="_Toc328991545"/>
      <w:bookmarkStart w:id="685" w:name="_Toc492379113"/>
      <w:bookmarkStart w:id="686" w:name="_Toc494449593"/>
      <w:r w:rsidR="008D159E">
        <w:lastRenderedPageBreak/>
        <w:t xml:space="preserve">Appendix C: </w:t>
      </w:r>
      <w:r w:rsidRPr="00483567">
        <w:t>Approved harvester licence application requirements</w:t>
      </w:r>
      <w:bookmarkEnd w:id="676"/>
      <w:bookmarkEnd w:id="677"/>
      <w:bookmarkEnd w:id="678"/>
      <w:bookmarkEnd w:id="679"/>
      <w:bookmarkEnd w:id="680"/>
      <w:bookmarkEnd w:id="681"/>
      <w:bookmarkEnd w:id="682"/>
      <w:bookmarkEnd w:id="683"/>
      <w:bookmarkEnd w:id="684"/>
      <w:bookmarkEnd w:id="685"/>
      <w:bookmarkEnd w:id="686"/>
    </w:p>
    <w:p w14:paraId="64675C9F" w14:textId="77777777" w:rsidR="00CE7AB0" w:rsidRPr="00483567" w:rsidRDefault="00CE7AB0" w:rsidP="00FC388E">
      <w:pPr>
        <w:pStyle w:val="BodyText"/>
      </w:pPr>
      <w:r w:rsidRPr="00483567">
        <w:t xml:space="preserve">An approved harvester licence may be issued under Section </w:t>
      </w:r>
      <w:r>
        <w:t>2.11</w:t>
      </w:r>
      <w:r w:rsidRPr="00483567">
        <w:t xml:space="preserve"> of the </w:t>
      </w:r>
      <w:r w:rsidR="008D159E" w:rsidRPr="008D159E">
        <w:rPr>
          <w:i/>
          <w:lang w:val="en-US"/>
        </w:rPr>
        <w:t>Biodiversity Conservation Act 2016</w:t>
      </w:r>
      <w:r w:rsidR="008D159E" w:rsidRPr="008D159E">
        <w:rPr>
          <w:lang w:val="en-US"/>
        </w:rPr>
        <w:t xml:space="preserve"> (BC Act) </w:t>
      </w:r>
      <w:r w:rsidRPr="00483567">
        <w:t>where the applicant intends to harvest plant material from natural stands of native plants on land not owned by the applicant, and where a minimum level of experience, infrastructure and equipment, and holding facilities can be demonstrated.</w:t>
      </w:r>
    </w:p>
    <w:p w14:paraId="6C591C5F" w14:textId="77777777" w:rsidR="00CE7AB0" w:rsidRPr="00483567" w:rsidRDefault="00CE7AB0" w:rsidP="00FC388E">
      <w:pPr>
        <w:pStyle w:val="BodyText"/>
      </w:pPr>
      <w:r w:rsidRPr="00483567">
        <w:t xml:space="preserve">Once authorised, approved harvester licensees are required to seek individual site approvals for each salvage or sustainable harvest location. </w:t>
      </w:r>
      <w:r>
        <w:t>Site approvals may</w:t>
      </w:r>
      <w:r w:rsidRPr="00483567">
        <w:t xml:space="preserve"> be issued either for sustainable harvest or salvage harvest (but not both from a single </w:t>
      </w:r>
      <w:r>
        <w:t>location</w:t>
      </w:r>
      <w:r w:rsidRPr="00483567">
        <w:t xml:space="preserve">). Written permission is required from the landowner before an approved harvester </w:t>
      </w:r>
      <w:r>
        <w:t>site approval</w:t>
      </w:r>
      <w:r w:rsidRPr="00483567">
        <w:t xml:space="preserve"> can be issued.</w:t>
      </w:r>
    </w:p>
    <w:p w14:paraId="31A255D5" w14:textId="77777777" w:rsidR="00CE7AB0" w:rsidRPr="00483567" w:rsidRDefault="00CE7AB0" w:rsidP="00FC388E">
      <w:pPr>
        <w:pStyle w:val="BodyText"/>
      </w:pPr>
      <w:r w:rsidRPr="00FC5810">
        <w:t>Sustainable harvesting is restricted to those species listed in Part 2 Groups 1 and 2 of</w:t>
      </w:r>
      <w:r w:rsidRPr="00483567">
        <w:t xml:space="preserve"> </w:t>
      </w:r>
      <w:r w:rsidRPr="00C977FC">
        <w:t xml:space="preserve">Schedule </w:t>
      </w:r>
      <w:r>
        <w:t>6</w:t>
      </w:r>
      <w:r w:rsidRPr="00C977FC">
        <w:t xml:space="preserve"> (see Appendix A). Harvesting plants listed in Part 2 Group 3 may be approved</w:t>
      </w:r>
      <w:r w:rsidRPr="00483567">
        <w:t xml:space="preserve"> as a salvage operation.</w:t>
      </w:r>
    </w:p>
    <w:p w14:paraId="3BC3A6D1" w14:textId="77777777" w:rsidR="00CE7AB0" w:rsidRPr="00483567" w:rsidRDefault="00CE7AB0" w:rsidP="00FC388E">
      <w:pPr>
        <w:pStyle w:val="BodyText"/>
      </w:pPr>
      <w:r w:rsidRPr="005466D5">
        <w:t xml:space="preserve">Picking species listed in Groups 4 or 5 of Schedule </w:t>
      </w:r>
      <w:r>
        <w:t>6</w:t>
      </w:r>
      <w:r w:rsidRPr="005466D5">
        <w:t xml:space="preserve"> is not permitted. No </w:t>
      </w:r>
      <w:r>
        <w:t xml:space="preserve">threatened </w:t>
      </w:r>
      <w:r w:rsidRPr="005466D5">
        <w:t>species listed</w:t>
      </w:r>
      <w:r w:rsidRPr="00483567">
        <w:t xml:space="preserve"> under </w:t>
      </w:r>
      <w:r>
        <w:t>Schedule 1 of the BC Act</w:t>
      </w:r>
      <w:r w:rsidRPr="00483567">
        <w:t xml:space="preserve"> may be taken under an approved harvester licence</w:t>
      </w:r>
      <w:r>
        <w:t xml:space="preserve"> unless individually listed in Groups 1 – 3, within Schedule 6</w:t>
      </w:r>
      <w:r w:rsidRPr="00483567">
        <w:t>. Harvest is not permitted from</w:t>
      </w:r>
      <w:r>
        <w:t xml:space="preserve"> areas of outstanding biodiversity value </w:t>
      </w:r>
      <w:r w:rsidRPr="00483567">
        <w:t xml:space="preserve">or </w:t>
      </w:r>
      <w:r>
        <w:t>threatened</w:t>
      </w:r>
      <w:r w:rsidRPr="00483567">
        <w:t xml:space="preserve"> ecological communities unless approved in a salvage situation.</w:t>
      </w:r>
    </w:p>
    <w:p w14:paraId="5BE382FB" w14:textId="77777777" w:rsidR="00CE7AB0" w:rsidRPr="00483567" w:rsidRDefault="00CE7AB0" w:rsidP="00FC388E">
      <w:pPr>
        <w:pStyle w:val="BodyText"/>
      </w:pPr>
      <w:r w:rsidRPr="00483567">
        <w:t>Applicants for an approved harvester licence must demonstrate or supply the following requirements at the time of application:</w:t>
      </w:r>
    </w:p>
    <w:p w14:paraId="4224B5F8" w14:textId="77777777" w:rsidR="00CE7AB0" w:rsidRPr="00483567" w:rsidRDefault="00CE7AB0" w:rsidP="00FC388E">
      <w:pPr>
        <w:pStyle w:val="ListParagraph"/>
        <w:numPr>
          <w:ilvl w:val="0"/>
          <w:numId w:val="23"/>
        </w:numPr>
      </w:pPr>
      <w:r w:rsidRPr="00483567">
        <w:t>A current Australian Business Number (ABN).</w:t>
      </w:r>
    </w:p>
    <w:p w14:paraId="1565BC52" w14:textId="77777777" w:rsidR="00CE7AB0" w:rsidRPr="00483567" w:rsidRDefault="00CE7AB0" w:rsidP="00FC388E">
      <w:pPr>
        <w:pStyle w:val="ListParagraph"/>
        <w:numPr>
          <w:ilvl w:val="0"/>
          <w:numId w:val="23"/>
        </w:numPr>
      </w:pPr>
      <w:r w:rsidRPr="00483567">
        <w:t>Summary of experience and expertise in the harvest of the target taxon and any relevant qualifications.</w:t>
      </w:r>
    </w:p>
    <w:p w14:paraId="7AF6455E" w14:textId="77777777" w:rsidR="00CE7AB0" w:rsidRPr="00483567" w:rsidRDefault="00CE7AB0" w:rsidP="00FC388E">
      <w:pPr>
        <w:pStyle w:val="ListParagraph"/>
        <w:numPr>
          <w:ilvl w:val="0"/>
          <w:numId w:val="23"/>
        </w:numPr>
      </w:pPr>
      <w:r w:rsidRPr="00483567">
        <w:t>Demonstrated ability to identify the target material to species level.</w:t>
      </w:r>
    </w:p>
    <w:p w14:paraId="54D00E19" w14:textId="77777777" w:rsidR="00CE7AB0" w:rsidRPr="00483567" w:rsidRDefault="00CE7AB0" w:rsidP="00FC388E">
      <w:pPr>
        <w:pStyle w:val="ListParagraph"/>
        <w:numPr>
          <w:ilvl w:val="0"/>
          <w:numId w:val="23"/>
        </w:numPr>
      </w:pPr>
      <w:r w:rsidRPr="00483567">
        <w:t xml:space="preserve">Demonstrated capacity to undertake population assessments (Appendix </w:t>
      </w:r>
      <w:r>
        <w:t>J</w:t>
      </w:r>
      <w:r w:rsidRPr="00483567">
        <w:t>).</w:t>
      </w:r>
    </w:p>
    <w:p w14:paraId="4CB9C519" w14:textId="77777777" w:rsidR="00CE7AB0" w:rsidRPr="00483567" w:rsidRDefault="00CE7AB0" w:rsidP="00FC388E">
      <w:pPr>
        <w:pStyle w:val="ListParagraph"/>
        <w:numPr>
          <w:ilvl w:val="0"/>
          <w:numId w:val="23"/>
        </w:numPr>
      </w:pPr>
      <w:r w:rsidRPr="00483567">
        <w:t>Identify the stockpile site as an address or location on a map.</w:t>
      </w:r>
    </w:p>
    <w:p w14:paraId="0DCB3F21" w14:textId="77777777" w:rsidR="00CE7AB0" w:rsidRPr="00483567" w:rsidRDefault="00CE7AB0" w:rsidP="00FC388E">
      <w:pPr>
        <w:pStyle w:val="ListParagraph"/>
        <w:numPr>
          <w:ilvl w:val="0"/>
          <w:numId w:val="23"/>
        </w:numPr>
      </w:pPr>
      <w:r w:rsidRPr="00483567">
        <w:t>Document</w:t>
      </w:r>
      <w:r>
        <w:t xml:space="preserve">ed </w:t>
      </w:r>
      <w:r w:rsidRPr="00483567">
        <w:t>procedures identified in the harvest site controls (Appendix D) and stockpile site controls (Appendix E).</w:t>
      </w:r>
    </w:p>
    <w:p w14:paraId="49418FCF" w14:textId="77777777" w:rsidR="00CE7AB0" w:rsidRPr="00483567" w:rsidRDefault="00CE7AB0" w:rsidP="00FC388E">
      <w:pPr>
        <w:pStyle w:val="ListParagraph"/>
        <w:numPr>
          <w:ilvl w:val="0"/>
          <w:numId w:val="23"/>
        </w:numPr>
      </w:pPr>
      <w:r w:rsidRPr="00483567">
        <w:t>Documented quality assurance procedures to maximise survival of harvested material.</w:t>
      </w:r>
    </w:p>
    <w:p w14:paraId="7336C23A" w14:textId="77777777" w:rsidR="00CE7AB0" w:rsidRPr="003261BC" w:rsidRDefault="00CE7AB0" w:rsidP="008D159E">
      <w:pPr>
        <w:pStyle w:val="Heading2"/>
        <w:numPr>
          <w:ilvl w:val="0"/>
          <w:numId w:val="0"/>
        </w:numPr>
        <w:ind w:left="794" w:hanging="794"/>
      </w:pPr>
      <w:bookmarkStart w:id="687" w:name="_Toc301869674"/>
      <w:bookmarkStart w:id="688" w:name="_Toc346618995"/>
      <w:bookmarkStart w:id="689" w:name="_Toc494449594"/>
      <w:r w:rsidRPr="00707F74">
        <w:t>Sustainable</w:t>
      </w:r>
      <w:r w:rsidRPr="003261BC">
        <w:t xml:space="preserve"> harvest</w:t>
      </w:r>
      <w:bookmarkEnd w:id="687"/>
      <w:bookmarkEnd w:id="688"/>
      <w:bookmarkEnd w:id="689"/>
    </w:p>
    <w:p w14:paraId="16C61698" w14:textId="77777777" w:rsidR="00CE7AB0" w:rsidRPr="00483567" w:rsidRDefault="00CE7AB0" w:rsidP="00FC388E">
      <w:pPr>
        <w:pStyle w:val="BodyText"/>
      </w:pPr>
      <w:r w:rsidRPr="00483567">
        <w:t xml:space="preserve">The following additional information must be supplied to the local area office </w:t>
      </w:r>
      <w:r>
        <w:t>to consider</w:t>
      </w:r>
      <w:r w:rsidRPr="00483567">
        <w:t xml:space="preserve"> each sustainable harvest site approval proposed by the approved harvester:</w:t>
      </w:r>
    </w:p>
    <w:p w14:paraId="485D91DF" w14:textId="77777777" w:rsidR="00CE7AB0" w:rsidRPr="00483567" w:rsidRDefault="00CE7AB0" w:rsidP="008D159E">
      <w:pPr>
        <w:pStyle w:val="ListBullet"/>
      </w:pPr>
      <w:r w:rsidRPr="00483567">
        <w:t>contact details for the land owner/manager</w:t>
      </w:r>
    </w:p>
    <w:p w14:paraId="48B1EAE2" w14:textId="77777777" w:rsidR="00CE7AB0" w:rsidRPr="00483567" w:rsidRDefault="00CE7AB0" w:rsidP="008D159E">
      <w:pPr>
        <w:pStyle w:val="ListBullet"/>
      </w:pPr>
      <w:r w:rsidRPr="00483567">
        <w:t>written confirmation from the land owner agreeing to the harvest, and proof of ownership of the land</w:t>
      </w:r>
    </w:p>
    <w:p w14:paraId="6C8CB5E4" w14:textId="77777777" w:rsidR="00CE7AB0" w:rsidRPr="00483567" w:rsidRDefault="00CE7AB0" w:rsidP="008D159E">
      <w:pPr>
        <w:pStyle w:val="ListBullet"/>
      </w:pPr>
      <w:r w:rsidRPr="00483567">
        <w:t>a map or maps identifying the general and specific location of the proposed harvest site</w:t>
      </w:r>
    </w:p>
    <w:p w14:paraId="6D2AEB34" w14:textId="77777777" w:rsidR="00CE7AB0" w:rsidRPr="00483567" w:rsidRDefault="00CE7AB0" w:rsidP="008D159E">
      <w:pPr>
        <w:pStyle w:val="ListBullet"/>
      </w:pPr>
      <w:r w:rsidRPr="00483567">
        <w:t>a map identifying discrete harvest blocks on the land</w:t>
      </w:r>
    </w:p>
    <w:p w14:paraId="228E2201" w14:textId="77777777" w:rsidR="00CE7AB0" w:rsidRPr="00483567" w:rsidRDefault="00CE7AB0" w:rsidP="008D159E">
      <w:pPr>
        <w:pStyle w:val="ListBullet"/>
      </w:pPr>
      <w:r w:rsidRPr="00483567">
        <w:t>other required information as identified in the harvest site protocols (Appendix D)</w:t>
      </w:r>
    </w:p>
    <w:p w14:paraId="41BB3A6F" w14:textId="77777777" w:rsidR="00CE7AB0" w:rsidRPr="00483567" w:rsidRDefault="00CE7AB0" w:rsidP="008D159E">
      <w:pPr>
        <w:pStyle w:val="ListBullet"/>
      </w:pPr>
      <w:r w:rsidRPr="00483567">
        <w:t>a count of the species (and size classes where required) present within each harvest block</w:t>
      </w:r>
    </w:p>
    <w:p w14:paraId="46BD8566" w14:textId="77777777" w:rsidR="00CE7AB0" w:rsidRPr="00483567" w:rsidRDefault="00CE7AB0" w:rsidP="008D159E">
      <w:pPr>
        <w:pStyle w:val="ListBullet"/>
      </w:pPr>
      <w:r w:rsidRPr="00483567">
        <w:t>a list of any threatened species that may occur in the harvest area</w:t>
      </w:r>
    </w:p>
    <w:p w14:paraId="6FB3620F" w14:textId="52031A5F" w:rsidR="00CE7AB0" w:rsidRPr="00483567" w:rsidRDefault="00CE7AB0" w:rsidP="008D159E">
      <w:pPr>
        <w:pStyle w:val="ListBullet"/>
      </w:pPr>
      <w:r w:rsidRPr="00483567">
        <w:lastRenderedPageBreak/>
        <w:t xml:space="preserve">a declaration that the proposed harvest site is neither </w:t>
      </w:r>
      <w:r w:rsidR="00F736F5">
        <w:t>an</w:t>
      </w:r>
      <w:r w:rsidR="007658B3">
        <w:t xml:space="preserve"> area of </w:t>
      </w:r>
      <w:r w:rsidR="001658E4">
        <w:t>outstanding biodiversity value</w:t>
      </w:r>
      <w:r w:rsidRPr="00483567">
        <w:t xml:space="preserve"> nor a currently listed </w:t>
      </w:r>
      <w:r>
        <w:t>threatened</w:t>
      </w:r>
      <w:r w:rsidRPr="00483567">
        <w:t xml:space="preserve"> ecological community</w:t>
      </w:r>
    </w:p>
    <w:p w14:paraId="4FC5C8A4" w14:textId="77777777" w:rsidR="00CE7AB0" w:rsidRPr="00483567" w:rsidRDefault="00CE7AB0" w:rsidP="008D159E">
      <w:pPr>
        <w:pStyle w:val="ListBullet"/>
      </w:pPr>
      <w:r w:rsidRPr="00483567">
        <w:t>the relevant fee for the application</w:t>
      </w:r>
    </w:p>
    <w:p w14:paraId="71AF2AB2" w14:textId="77777777" w:rsidR="00CE7AB0" w:rsidRPr="00483567" w:rsidRDefault="00CE7AB0" w:rsidP="008D159E">
      <w:pPr>
        <w:pStyle w:val="ListBullet"/>
      </w:pPr>
      <w:proofErr w:type="gramStart"/>
      <w:r w:rsidRPr="00483567">
        <w:t>fees</w:t>
      </w:r>
      <w:proofErr w:type="gramEnd"/>
      <w:r w:rsidRPr="00483567">
        <w:t xml:space="preserve"> for any tags required</w:t>
      </w:r>
      <w:r>
        <w:t xml:space="preserve"> (these</w:t>
      </w:r>
      <w:r w:rsidRPr="00483567">
        <w:t xml:space="preserve"> must be paid prior to tags being issued</w:t>
      </w:r>
      <w:r>
        <w:t>)</w:t>
      </w:r>
      <w:r w:rsidRPr="00483567">
        <w:t>.</w:t>
      </w:r>
    </w:p>
    <w:p w14:paraId="6805D6D0" w14:textId="77777777" w:rsidR="00CE7AB0" w:rsidRPr="00791D51" w:rsidRDefault="00CE7AB0" w:rsidP="008D159E">
      <w:pPr>
        <w:pStyle w:val="Heading2"/>
        <w:numPr>
          <w:ilvl w:val="0"/>
          <w:numId w:val="0"/>
        </w:numPr>
        <w:ind w:left="794" w:hanging="794"/>
      </w:pPr>
      <w:bookmarkStart w:id="690" w:name="_Toc301869675"/>
      <w:bookmarkStart w:id="691" w:name="_Toc346618996"/>
      <w:bookmarkStart w:id="692" w:name="_Toc494449595"/>
      <w:r w:rsidRPr="00791D51">
        <w:t>Salvage harvest</w:t>
      </w:r>
      <w:bookmarkEnd w:id="690"/>
      <w:bookmarkEnd w:id="691"/>
      <w:bookmarkEnd w:id="692"/>
    </w:p>
    <w:p w14:paraId="430ED5FC" w14:textId="77777777" w:rsidR="00CE7AB0" w:rsidRPr="00483567" w:rsidRDefault="00CE7AB0" w:rsidP="00FC388E">
      <w:r w:rsidRPr="00483567">
        <w:t xml:space="preserve">The following additional information must be supplied to the local area office for consideration of each salvage operation proposed by the approved harvester: </w:t>
      </w:r>
    </w:p>
    <w:p w14:paraId="2B33F805" w14:textId="77777777" w:rsidR="00CE7AB0" w:rsidRPr="00483567" w:rsidRDefault="00CE7AB0" w:rsidP="008D159E">
      <w:pPr>
        <w:pStyle w:val="ListBullet"/>
      </w:pPr>
      <w:r w:rsidRPr="00483567">
        <w:t>contact details for the land owner/manager</w:t>
      </w:r>
    </w:p>
    <w:p w14:paraId="03BE98A2" w14:textId="77777777" w:rsidR="00CE7AB0" w:rsidRPr="00483567" w:rsidRDefault="00CE7AB0" w:rsidP="008D159E">
      <w:pPr>
        <w:pStyle w:val="ListBullet"/>
      </w:pPr>
      <w:r w:rsidRPr="00483567">
        <w:t>written confirmation from the land owner and where necessary, the consent authority, approving the salvage operation</w:t>
      </w:r>
    </w:p>
    <w:p w14:paraId="41F236E6" w14:textId="77777777" w:rsidR="00CE7AB0" w:rsidRPr="00483567" w:rsidRDefault="00CE7AB0" w:rsidP="008D159E">
      <w:pPr>
        <w:pStyle w:val="ListBullet"/>
      </w:pPr>
      <w:r w:rsidRPr="00483567">
        <w:t>a copy of the final/approved development application or other consent for the land-clearing operation</w:t>
      </w:r>
    </w:p>
    <w:p w14:paraId="0430EA4D" w14:textId="77777777" w:rsidR="00CE7AB0" w:rsidRPr="00483567" w:rsidRDefault="00CE7AB0" w:rsidP="008D159E">
      <w:pPr>
        <w:pStyle w:val="ListBullet"/>
      </w:pPr>
      <w:r w:rsidRPr="00483567">
        <w:t>a map or maps identifying the general location and footprint/extent of the land-clearing operation</w:t>
      </w:r>
    </w:p>
    <w:p w14:paraId="63995028" w14:textId="77777777" w:rsidR="00CE7AB0" w:rsidRPr="00483567" w:rsidRDefault="00CE7AB0" w:rsidP="008D159E">
      <w:pPr>
        <w:pStyle w:val="ListBullet"/>
      </w:pPr>
      <w:r w:rsidRPr="00483567">
        <w:t>the total number and size classes of species targeted by the salvage operation</w:t>
      </w:r>
    </w:p>
    <w:p w14:paraId="0BA4F39D" w14:textId="77777777" w:rsidR="00CE7AB0" w:rsidRPr="00483567" w:rsidRDefault="00CE7AB0" w:rsidP="008D159E">
      <w:pPr>
        <w:pStyle w:val="ListBullet"/>
      </w:pPr>
      <w:r w:rsidRPr="00483567">
        <w:t>other required information as identified in the harvest site controls (Appendix D)</w:t>
      </w:r>
    </w:p>
    <w:p w14:paraId="522282C9" w14:textId="77777777" w:rsidR="00CE7AB0" w:rsidRPr="00483567" w:rsidRDefault="00CE7AB0" w:rsidP="008D159E">
      <w:pPr>
        <w:pStyle w:val="ListBullet"/>
      </w:pPr>
      <w:r w:rsidRPr="00483567">
        <w:t>the relevant fee for the application</w:t>
      </w:r>
    </w:p>
    <w:p w14:paraId="11002E11" w14:textId="77777777" w:rsidR="00CE7AB0" w:rsidRPr="00483567" w:rsidRDefault="00CE7AB0" w:rsidP="008D159E">
      <w:pPr>
        <w:pStyle w:val="ListBullet"/>
      </w:pPr>
      <w:proofErr w:type="gramStart"/>
      <w:r w:rsidRPr="00483567">
        <w:t>fees</w:t>
      </w:r>
      <w:proofErr w:type="gramEnd"/>
      <w:r w:rsidRPr="00483567">
        <w:t xml:space="preserve"> for any tags required must be paid prior to tags being issued.</w:t>
      </w:r>
    </w:p>
    <w:p w14:paraId="4EF3FBDF" w14:textId="77777777" w:rsidR="00CE7AB0" w:rsidRPr="00483567" w:rsidRDefault="00CE7AB0" w:rsidP="00FC388E">
      <w:pPr>
        <w:pStyle w:val="BodyText"/>
      </w:pPr>
      <w:r w:rsidRPr="00483567">
        <w:t xml:space="preserve">Granting of specific site approvals will be at the discretion of the local area office which may also approve, refuse or otherwise limit the number of plants that may be taken from any sustainable harvest or salvage area. </w:t>
      </w:r>
    </w:p>
    <w:p w14:paraId="01126E9C" w14:textId="77777777" w:rsidR="00CE7AB0" w:rsidRPr="00483567" w:rsidRDefault="00CE7AB0" w:rsidP="00FC388E">
      <w:pPr>
        <w:pStyle w:val="BodyText"/>
      </w:pPr>
      <w:r w:rsidRPr="00483567">
        <w:t>Where plants are sold directly to the public, OEH recommends providing purchasers with post-planting care sheets.</w:t>
      </w:r>
    </w:p>
    <w:p w14:paraId="3B2A0CEC" w14:textId="77777777" w:rsidR="00CE7AB0" w:rsidRPr="004E1E06" w:rsidRDefault="00CE7AB0" w:rsidP="00FC388E">
      <w:pPr>
        <w:pStyle w:val="BodyText"/>
      </w:pPr>
      <w:r w:rsidRPr="004E1E06">
        <w:t>Approved harvester licensees must produce a copy of their licence at the request of an authorised officer.</w:t>
      </w:r>
      <w:r>
        <w:t xml:space="preserve"> </w:t>
      </w:r>
    </w:p>
    <w:p w14:paraId="573E80B1" w14:textId="77777777" w:rsidR="00CE7AB0" w:rsidRPr="00483567" w:rsidRDefault="00CE7AB0" w:rsidP="008D159E">
      <w:pPr>
        <w:pStyle w:val="Heading1"/>
        <w:numPr>
          <w:ilvl w:val="0"/>
          <w:numId w:val="0"/>
        </w:numPr>
      </w:pPr>
      <w:r w:rsidRPr="00483567">
        <w:br w:type="page"/>
      </w:r>
      <w:bookmarkStart w:id="693" w:name="_Toc283984827"/>
      <w:bookmarkStart w:id="694" w:name="_Toc301869676"/>
      <w:bookmarkStart w:id="695" w:name="_Toc328986877"/>
      <w:bookmarkStart w:id="696" w:name="_Toc328988087"/>
      <w:bookmarkStart w:id="697" w:name="_Toc328988169"/>
      <w:bookmarkStart w:id="698" w:name="_Toc328988250"/>
      <w:bookmarkStart w:id="699" w:name="_Toc328991064"/>
      <w:bookmarkStart w:id="700" w:name="_Toc328991546"/>
      <w:bookmarkStart w:id="701" w:name="_Toc492379114"/>
      <w:bookmarkStart w:id="702" w:name="_Toc494449596"/>
      <w:r w:rsidR="008D159E">
        <w:lastRenderedPageBreak/>
        <w:t xml:space="preserve">Appendix D: </w:t>
      </w:r>
      <w:r w:rsidRPr="00483567">
        <w:t>Harvest site controls</w:t>
      </w:r>
      <w:bookmarkEnd w:id="693"/>
      <w:bookmarkEnd w:id="694"/>
      <w:bookmarkEnd w:id="695"/>
      <w:bookmarkEnd w:id="696"/>
      <w:bookmarkEnd w:id="697"/>
      <w:bookmarkEnd w:id="698"/>
      <w:bookmarkEnd w:id="699"/>
      <w:bookmarkEnd w:id="700"/>
      <w:bookmarkEnd w:id="701"/>
      <w:bookmarkEnd w:id="702"/>
    </w:p>
    <w:p w14:paraId="13DBEC22" w14:textId="77777777" w:rsidR="00CE7AB0" w:rsidRPr="00483567" w:rsidRDefault="00CE7AB0" w:rsidP="00FC388E">
      <w:pPr>
        <w:pStyle w:val="BodyText"/>
      </w:pPr>
      <w:r w:rsidRPr="00483567">
        <w:t>All applicants for wild harvester and approved harvester licences must develop and implement a series of controls, which may be subject to inspection and approval by an authorised officer. It is the licensee’s responsibility to ensure that any named parties operating under the licence are aware of, and comply with, these requirements. These controls are described below.</w:t>
      </w:r>
    </w:p>
    <w:p w14:paraId="76FE820E" w14:textId="77777777" w:rsidR="00CE7AB0" w:rsidRPr="00791D51" w:rsidRDefault="00CE7AB0" w:rsidP="008D159E">
      <w:pPr>
        <w:pStyle w:val="Heading2"/>
        <w:numPr>
          <w:ilvl w:val="0"/>
          <w:numId w:val="0"/>
        </w:numPr>
        <w:ind w:left="794" w:hanging="794"/>
      </w:pPr>
      <w:bookmarkStart w:id="703" w:name="_Toc301869677"/>
      <w:bookmarkStart w:id="704" w:name="_Toc346618998"/>
      <w:bookmarkStart w:id="705" w:name="_Toc494449597"/>
      <w:r w:rsidRPr="00791D51">
        <w:t>Hygiene</w:t>
      </w:r>
      <w:bookmarkEnd w:id="703"/>
      <w:bookmarkEnd w:id="704"/>
      <w:bookmarkEnd w:id="705"/>
    </w:p>
    <w:p w14:paraId="1CD04BA6" w14:textId="77777777" w:rsidR="00CE7AB0" w:rsidRPr="00483567" w:rsidRDefault="00CE7AB0" w:rsidP="00FC388E">
      <w:pPr>
        <w:pStyle w:val="ListParagraph"/>
        <w:numPr>
          <w:ilvl w:val="0"/>
          <w:numId w:val="24"/>
        </w:numPr>
      </w:pPr>
      <w:r w:rsidRPr="00483567">
        <w:t>Hygiene procedures must be developed and documented for all equipment, machinery, tools and personnel involved. A copy of the hygiene procedures must be submitted with any harvest licence application.</w:t>
      </w:r>
    </w:p>
    <w:p w14:paraId="7DF2DCD1" w14:textId="77777777" w:rsidR="00CE7AB0" w:rsidRPr="00483567" w:rsidRDefault="00CE7AB0" w:rsidP="00FC388E">
      <w:pPr>
        <w:pStyle w:val="ListParagraph"/>
        <w:numPr>
          <w:ilvl w:val="0"/>
          <w:numId w:val="24"/>
        </w:numPr>
      </w:pPr>
      <w:r w:rsidRPr="00483567">
        <w:t>Hygiene procedures must include but not be limited to:</w:t>
      </w:r>
    </w:p>
    <w:p w14:paraId="690E42FF" w14:textId="77777777" w:rsidR="00CE7AB0" w:rsidRPr="008D159E" w:rsidRDefault="00CE7AB0" w:rsidP="008D159E">
      <w:pPr>
        <w:pStyle w:val="ListBullet"/>
        <w:numPr>
          <w:ilvl w:val="1"/>
          <w:numId w:val="36"/>
        </w:numPr>
      </w:pPr>
      <w:r w:rsidRPr="008D159E">
        <w:t>vehicle and machinery cleaning</w:t>
      </w:r>
    </w:p>
    <w:p w14:paraId="632D2141" w14:textId="77777777" w:rsidR="00CE7AB0" w:rsidRPr="008D159E" w:rsidRDefault="00CE7AB0" w:rsidP="008D159E">
      <w:pPr>
        <w:pStyle w:val="ListBullet"/>
        <w:numPr>
          <w:ilvl w:val="1"/>
          <w:numId w:val="36"/>
        </w:numPr>
      </w:pPr>
      <w:r w:rsidRPr="008D159E">
        <w:t>cleaning hand tools and other equipment that comes into contact with in situ material</w:t>
      </w:r>
    </w:p>
    <w:p w14:paraId="556194AD" w14:textId="77777777" w:rsidR="00CE7AB0" w:rsidRPr="008D159E" w:rsidRDefault="00CE7AB0" w:rsidP="008D159E">
      <w:pPr>
        <w:pStyle w:val="ListBullet"/>
        <w:numPr>
          <w:ilvl w:val="1"/>
          <w:numId w:val="36"/>
        </w:numPr>
      </w:pPr>
      <w:r w:rsidRPr="008D159E">
        <w:t>personal equipment management (clothing, footwear)</w:t>
      </w:r>
    </w:p>
    <w:p w14:paraId="1B91976D" w14:textId="77777777" w:rsidR="00CE7AB0" w:rsidRPr="008D159E" w:rsidRDefault="00CE7AB0" w:rsidP="008D159E">
      <w:pPr>
        <w:pStyle w:val="ListBullet"/>
        <w:numPr>
          <w:ilvl w:val="1"/>
          <w:numId w:val="36"/>
        </w:numPr>
      </w:pPr>
      <w:r w:rsidRPr="008D159E">
        <w:t>nominated wash-down sites (commercial or otherwise)</w:t>
      </w:r>
    </w:p>
    <w:p w14:paraId="3B6AFDA0" w14:textId="77777777" w:rsidR="00CE7AB0" w:rsidRPr="008D159E" w:rsidRDefault="00CE7AB0" w:rsidP="008D159E">
      <w:pPr>
        <w:pStyle w:val="ListBullet"/>
        <w:numPr>
          <w:ilvl w:val="1"/>
          <w:numId w:val="36"/>
        </w:numPr>
      </w:pPr>
      <w:r w:rsidRPr="008D159E">
        <w:t>a record sheet for recording cleaning/hygiene activities</w:t>
      </w:r>
    </w:p>
    <w:p w14:paraId="1290B27A" w14:textId="77777777" w:rsidR="00CE7AB0" w:rsidRPr="008D159E" w:rsidRDefault="00CE7AB0" w:rsidP="008D159E">
      <w:pPr>
        <w:pStyle w:val="ListBullet"/>
        <w:numPr>
          <w:ilvl w:val="1"/>
          <w:numId w:val="36"/>
        </w:numPr>
      </w:pPr>
      <w:proofErr w:type="gramStart"/>
      <w:r w:rsidRPr="008D159E">
        <w:t>any</w:t>
      </w:r>
      <w:proofErr w:type="gramEnd"/>
      <w:r w:rsidRPr="008D159E">
        <w:t xml:space="preserve"> other factors the applicant considers relevant.</w:t>
      </w:r>
    </w:p>
    <w:p w14:paraId="541BB382" w14:textId="77777777" w:rsidR="00CE7AB0" w:rsidRPr="00483567" w:rsidRDefault="00CE7AB0" w:rsidP="00FC388E">
      <w:pPr>
        <w:pStyle w:val="ListParagraph"/>
        <w:numPr>
          <w:ilvl w:val="0"/>
          <w:numId w:val="24"/>
        </w:numPr>
      </w:pPr>
      <w:r w:rsidRPr="00483567">
        <w:t>Documented hygiene procedures must be carried by</w:t>
      </w:r>
      <w:r>
        <w:t>,</w:t>
      </w:r>
      <w:r w:rsidRPr="00483567">
        <w:t xml:space="preserve"> or be available to</w:t>
      </w:r>
      <w:r>
        <w:t>,</w:t>
      </w:r>
      <w:r w:rsidRPr="00483567">
        <w:t xml:space="preserve"> all parties authorised under the licence at all harvest sites, and must be made available to any land owner on whose property harvest activities may be undertaken.</w:t>
      </w:r>
    </w:p>
    <w:p w14:paraId="45C25D1D" w14:textId="77777777" w:rsidR="00CE7AB0" w:rsidRPr="00483567" w:rsidRDefault="00CE7AB0" w:rsidP="00FC388E">
      <w:pPr>
        <w:pStyle w:val="ListParagraph"/>
        <w:numPr>
          <w:ilvl w:val="0"/>
          <w:numId w:val="24"/>
        </w:numPr>
      </w:pPr>
      <w:r w:rsidRPr="00483567">
        <w:t>Documented hygiene procedures must be made available to an authorised officer on request.</w:t>
      </w:r>
    </w:p>
    <w:p w14:paraId="4C7B0809" w14:textId="77777777" w:rsidR="00CE7AB0" w:rsidRPr="00483567" w:rsidRDefault="00CE7AB0" w:rsidP="00FC388E">
      <w:pPr>
        <w:pStyle w:val="ListParagraph"/>
        <w:numPr>
          <w:ilvl w:val="0"/>
          <w:numId w:val="24"/>
        </w:numPr>
      </w:pPr>
      <w:r w:rsidRPr="00483567">
        <w:t>All contact tools and equipment must be cleaned prior to accessing and leaving the harvest site.</w:t>
      </w:r>
    </w:p>
    <w:p w14:paraId="26F02DB1" w14:textId="77777777" w:rsidR="00CE7AB0" w:rsidRPr="00483567" w:rsidRDefault="00CE7AB0" w:rsidP="00FC388E">
      <w:pPr>
        <w:pStyle w:val="ListParagraph"/>
        <w:numPr>
          <w:ilvl w:val="0"/>
          <w:numId w:val="24"/>
        </w:numPr>
      </w:pPr>
      <w:r w:rsidRPr="00483567">
        <w:t xml:space="preserve">Records of cleaning and hygiene activities must be </w:t>
      </w:r>
      <w:r>
        <w:t>kept</w:t>
      </w:r>
      <w:r w:rsidRPr="00483567">
        <w:t xml:space="preserve"> and made available on request to an authorised officer.</w:t>
      </w:r>
      <w:r>
        <w:t xml:space="preserve"> (This requirement does not apply to</w:t>
      </w:r>
      <w:r w:rsidRPr="00483567">
        <w:t xml:space="preserve"> wild harvester licensees</w:t>
      </w:r>
      <w:r>
        <w:t xml:space="preserve"> unless third parties are assisting with the harvest activity.)</w:t>
      </w:r>
    </w:p>
    <w:p w14:paraId="6715B2C5" w14:textId="77777777" w:rsidR="00CE7AB0" w:rsidRPr="00483567" w:rsidRDefault="00CE7AB0" w:rsidP="00FC388E">
      <w:pPr>
        <w:pStyle w:val="ListParagraph"/>
        <w:numPr>
          <w:ilvl w:val="0"/>
          <w:numId w:val="24"/>
        </w:numPr>
      </w:pPr>
      <w:r>
        <w:t>Approved harvester licensees</w:t>
      </w:r>
      <w:r w:rsidRPr="00483567">
        <w:t xml:space="preserve"> must nominate a dedicated site (nominally the stockpile site) where suitable cleaning and wash-down facilities are available. </w:t>
      </w:r>
    </w:p>
    <w:p w14:paraId="467816BE" w14:textId="77777777" w:rsidR="00CE7AB0" w:rsidRPr="00791D51" w:rsidRDefault="00CE7AB0" w:rsidP="008D159E">
      <w:pPr>
        <w:pStyle w:val="Heading2"/>
        <w:numPr>
          <w:ilvl w:val="0"/>
          <w:numId w:val="0"/>
        </w:numPr>
        <w:ind w:left="794" w:hanging="794"/>
      </w:pPr>
      <w:bookmarkStart w:id="706" w:name="_Toc301869678"/>
      <w:bookmarkStart w:id="707" w:name="_Toc346618999"/>
      <w:bookmarkStart w:id="708" w:name="_Toc494449598"/>
      <w:r w:rsidRPr="00791D51">
        <w:t>Harvest, handling and transport</w:t>
      </w:r>
      <w:bookmarkEnd w:id="706"/>
      <w:bookmarkEnd w:id="707"/>
      <w:bookmarkEnd w:id="708"/>
    </w:p>
    <w:p w14:paraId="080D5570" w14:textId="77777777" w:rsidR="00CE7AB0" w:rsidRPr="0074160E" w:rsidRDefault="00CE7AB0" w:rsidP="00FC388E">
      <w:pPr>
        <w:pStyle w:val="ListParagraph"/>
        <w:numPr>
          <w:ilvl w:val="0"/>
          <w:numId w:val="24"/>
        </w:numPr>
      </w:pPr>
      <w:r w:rsidRPr="0074160E">
        <w:t>Documented procedures must be prepared which detail the methods of harvest site selection, harvest and transport for each of the proposed harvest species. These procedures must be submitted with the application form and include, but not be limited to:</w:t>
      </w:r>
    </w:p>
    <w:p w14:paraId="02935812" w14:textId="77777777" w:rsidR="00CE7AB0" w:rsidRPr="00483567" w:rsidRDefault="00CE7AB0" w:rsidP="00A82ED5">
      <w:pPr>
        <w:pStyle w:val="ListBullet"/>
        <w:numPr>
          <w:ilvl w:val="1"/>
          <w:numId w:val="36"/>
        </w:numPr>
      </w:pPr>
      <w:proofErr w:type="gramStart"/>
      <w:r w:rsidRPr="00483567">
        <w:t>harvest</w:t>
      </w:r>
      <w:proofErr w:type="gramEnd"/>
      <w:r w:rsidRPr="00483567">
        <w:t xml:space="preserve"> site selection (site access, abundance of target species</w:t>
      </w:r>
      <w:r>
        <w:t xml:space="preserve"> and</w:t>
      </w:r>
      <w:r w:rsidRPr="00483567">
        <w:t xml:space="preserve"> other factors such as weed invasion or fire in the harvest site etc</w:t>
      </w:r>
      <w:r>
        <w:t>.</w:t>
      </w:r>
      <w:r w:rsidRPr="00483567">
        <w:t>)</w:t>
      </w:r>
    </w:p>
    <w:p w14:paraId="69A66EB9" w14:textId="77777777" w:rsidR="00CE7AB0" w:rsidRPr="00483567" w:rsidRDefault="00CE7AB0" w:rsidP="00A82ED5">
      <w:pPr>
        <w:pStyle w:val="ListBullet"/>
        <w:numPr>
          <w:ilvl w:val="1"/>
          <w:numId w:val="36"/>
        </w:numPr>
      </w:pPr>
      <w:r w:rsidRPr="00483567">
        <w:t>method for determining appropriate harvest rate to ensure compliance with the plan</w:t>
      </w:r>
      <w:r>
        <w:t xml:space="preserve"> (see 4.10.3 and the relevant appendices)</w:t>
      </w:r>
    </w:p>
    <w:p w14:paraId="30F2944A" w14:textId="77777777" w:rsidR="00CE7AB0" w:rsidRPr="00483567" w:rsidRDefault="00CE7AB0" w:rsidP="00A82ED5">
      <w:pPr>
        <w:pStyle w:val="ListBullet"/>
        <w:numPr>
          <w:ilvl w:val="1"/>
          <w:numId w:val="36"/>
        </w:numPr>
      </w:pPr>
      <w:proofErr w:type="gramStart"/>
      <w:r w:rsidRPr="00483567">
        <w:t>harvest</w:t>
      </w:r>
      <w:proofErr w:type="gramEnd"/>
      <w:r w:rsidRPr="00483567">
        <w:t xml:space="preserve"> target selection (size class, health etc</w:t>
      </w:r>
      <w:r>
        <w:t>.</w:t>
      </w:r>
      <w:r w:rsidRPr="00483567">
        <w:t>)</w:t>
      </w:r>
    </w:p>
    <w:p w14:paraId="652FA6A2" w14:textId="77777777" w:rsidR="00CE7AB0" w:rsidRPr="00483567" w:rsidRDefault="00CE7AB0" w:rsidP="00A82ED5">
      <w:pPr>
        <w:pStyle w:val="ListBullet"/>
        <w:numPr>
          <w:ilvl w:val="1"/>
          <w:numId w:val="36"/>
        </w:numPr>
      </w:pPr>
      <w:r w:rsidRPr="00483567">
        <w:t>pre-harvest treatment (foliage removal, site preparation)</w:t>
      </w:r>
    </w:p>
    <w:p w14:paraId="70188731" w14:textId="77777777" w:rsidR="00CE7AB0" w:rsidRPr="00483567" w:rsidRDefault="00CE7AB0" w:rsidP="00A82ED5">
      <w:pPr>
        <w:pStyle w:val="ListBullet"/>
        <w:numPr>
          <w:ilvl w:val="1"/>
          <w:numId w:val="36"/>
        </w:numPr>
      </w:pPr>
      <w:r w:rsidRPr="00483567">
        <w:t>extraction procedures</w:t>
      </w:r>
    </w:p>
    <w:p w14:paraId="780743AE" w14:textId="77777777" w:rsidR="00CE7AB0" w:rsidRPr="00483567" w:rsidRDefault="00CE7AB0" w:rsidP="00A82ED5">
      <w:pPr>
        <w:pStyle w:val="ListBullet"/>
        <w:numPr>
          <w:ilvl w:val="1"/>
          <w:numId w:val="36"/>
        </w:numPr>
      </w:pPr>
      <w:r w:rsidRPr="00483567">
        <w:t>strategies for reducing incidental site damage</w:t>
      </w:r>
    </w:p>
    <w:p w14:paraId="49BC652B" w14:textId="77777777" w:rsidR="00CE7AB0" w:rsidRPr="00483567" w:rsidRDefault="00CE7AB0" w:rsidP="00A82ED5">
      <w:pPr>
        <w:pStyle w:val="ListBullet"/>
        <w:numPr>
          <w:ilvl w:val="1"/>
          <w:numId w:val="36"/>
        </w:numPr>
      </w:pPr>
      <w:r w:rsidRPr="00483567">
        <w:lastRenderedPageBreak/>
        <w:t>preparation for and transport of the harvested material</w:t>
      </w:r>
    </w:p>
    <w:p w14:paraId="5B81FF4E" w14:textId="77777777" w:rsidR="00CE7AB0" w:rsidRPr="00483567" w:rsidRDefault="00CE7AB0" w:rsidP="00A82ED5">
      <w:pPr>
        <w:pStyle w:val="ListBullet"/>
        <w:numPr>
          <w:ilvl w:val="1"/>
          <w:numId w:val="36"/>
        </w:numPr>
      </w:pPr>
      <w:r w:rsidRPr="00483567">
        <w:t>quality control systems</w:t>
      </w:r>
    </w:p>
    <w:p w14:paraId="252C47A0" w14:textId="77777777" w:rsidR="00CE7AB0" w:rsidRPr="00483567" w:rsidRDefault="00CE7AB0" w:rsidP="00A82ED5">
      <w:pPr>
        <w:pStyle w:val="ListBullet"/>
        <w:numPr>
          <w:ilvl w:val="1"/>
          <w:numId w:val="36"/>
        </w:numPr>
      </w:pPr>
      <w:r w:rsidRPr="00483567">
        <w:t>a site map identifying the location of the handling and loading areas and proposed access trails</w:t>
      </w:r>
    </w:p>
    <w:p w14:paraId="2EC49B5E" w14:textId="77777777" w:rsidR="00CE7AB0" w:rsidRPr="00483567" w:rsidRDefault="00CE7AB0" w:rsidP="00A82ED5">
      <w:pPr>
        <w:pStyle w:val="ListBullet"/>
        <w:numPr>
          <w:ilvl w:val="1"/>
          <w:numId w:val="36"/>
        </w:numPr>
      </w:pPr>
      <w:proofErr w:type="gramStart"/>
      <w:r w:rsidRPr="00483567">
        <w:t>any</w:t>
      </w:r>
      <w:proofErr w:type="gramEnd"/>
      <w:r w:rsidRPr="00483567">
        <w:t xml:space="preserve"> other factors which the applicant considers relevant.</w:t>
      </w:r>
    </w:p>
    <w:p w14:paraId="4789419C" w14:textId="77777777" w:rsidR="00CE7AB0" w:rsidRPr="00483567" w:rsidRDefault="00CE7AB0" w:rsidP="00FC388E">
      <w:pPr>
        <w:pStyle w:val="ListParagraph"/>
        <w:numPr>
          <w:ilvl w:val="0"/>
          <w:numId w:val="24"/>
        </w:numPr>
      </w:pPr>
      <w:r w:rsidRPr="00483567">
        <w:t xml:space="preserve">All efforts must be made to minimise disturbance to the harvest site. </w:t>
      </w:r>
    </w:p>
    <w:p w14:paraId="77A6DD0D" w14:textId="77777777" w:rsidR="00CE7AB0" w:rsidRPr="00483567" w:rsidRDefault="00CE7AB0" w:rsidP="00FC388E">
      <w:pPr>
        <w:pStyle w:val="ListParagraph"/>
        <w:numPr>
          <w:ilvl w:val="0"/>
          <w:numId w:val="24"/>
        </w:numPr>
      </w:pPr>
      <w:r w:rsidRPr="00483567">
        <w:t>Clearing vegetation to construct trails or roads must not be undertaken to support harvest activities without permission from the property owner. Note that material damaged through such activities can only be harvested under a salvage approval (see Appendix C).</w:t>
      </w:r>
    </w:p>
    <w:p w14:paraId="577B44B1" w14:textId="77777777" w:rsidR="00CE7AB0" w:rsidRPr="00483567" w:rsidRDefault="00CE7AB0" w:rsidP="00FC388E">
      <w:pPr>
        <w:pStyle w:val="ListParagraph"/>
        <w:numPr>
          <w:ilvl w:val="0"/>
          <w:numId w:val="24"/>
        </w:numPr>
      </w:pPr>
      <w:r w:rsidRPr="00483567">
        <w:t xml:space="preserve">At harvest the minimum necessary volume of soil and root material must be removed to ensure plant survival. </w:t>
      </w:r>
    </w:p>
    <w:p w14:paraId="2F0715A4" w14:textId="77777777" w:rsidR="00CE7AB0" w:rsidRPr="00483567" w:rsidRDefault="00CE7AB0" w:rsidP="00FC388E">
      <w:pPr>
        <w:pStyle w:val="ListParagraph"/>
        <w:numPr>
          <w:ilvl w:val="0"/>
          <w:numId w:val="24"/>
        </w:numPr>
      </w:pPr>
      <w:r w:rsidRPr="00483567">
        <w:t>Harvested material must not be potted with soil from the harvest site. Plants must be transported ‘bare rooted’ but should be covered in suitable materials to minimise transpiration.</w:t>
      </w:r>
    </w:p>
    <w:p w14:paraId="3DD5F82A" w14:textId="77777777" w:rsidR="00CE7AB0" w:rsidRPr="00483567" w:rsidRDefault="00CE7AB0" w:rsidP="00FC388E">
      <w:pPr>
        <w:pStyle w:val="ListParagraph"/>
        <w:numPr>
          <w:ilvl w:val="0"/>
          <w:numId w:val="24"/>
        </w:numPr>
      </w:pPr>
      <w:r w:rsidRPr="00483567">
        <w:t>All harvested material must be tagged before transporting it from the harvest site. Where tagging at the</w:t>
      </w:r>
      <w:r>
        <w:t xml:space="preserve"> harvest</w:t>
      </w:r>
      <w:r w:rsidRPr="00483567">
        <w:t xml:space="preserve"> site </w:t>
      </w:r>
      <w:r w:rsidRPr="00D05DD9">
        <w:t xml:space="preserve">is </w:t>
      </w:r>
      <w:proofErr w:type="gramStart"/>
      <w:r w:rsidRPr="00D05DD9">
        <w:t>neither possible or</w:t>
      </w:r>
      <w:proofErr w:type="gramEnd"/>
      <w:r w:rsidRPr="00D05DD9">
        <w:t xml:space="preserve"> practical, tags must be allocated to harvested material and a record-keeping system must support this. Any record-keeping system must be documented and submitted at the time of application.</w:t>
      </w:r>
      <w:r w:rsidRPr="00483567">
        <w:t xml:space="preserve"> </w:t>
      </w:r>
    </w:p>
    <w:p w14:paraId="549E36F4" w14:textId="77777777" w:rsidR="00CE7AB0" w:rsidRPr="00483567" w:rsidRDefault="00CE7AB0" w:rsidP="00FC388E">
      <w:pPr>
        <w:pStyle w:val="ListParagraph"/>
        <w:numPr>
          <w:ilvl w:val="0"/>
          <w:numId w:val="24"/>
        </w:numPr>
      </w:pPr>
      <w:r w:rsidRPr="00483567">
        <w:t xml:space="preserve">Tags must be attached directly to the plant for all species except epiphytes, where tags must be attached to the board or substrate. For tag details see </w:t>
      </w:r>
      <w:r>
        <w:t xml:space="preserve">section </w:t>
      </w:r>
      <w:r w:rsidRPr="00483567">
        <w:t>4.11.</w:t>
      </w:r>
    </w:p>
    <w:p w14:paraId="54AF045C" w14:textId="77777777" w:rsidR="00CE7AB0" w:rsidRPr="00791D51" w:rsidRDefault="00CE7AB0" w:rsidP="00C55EDB">
      <w:pPr>
        <w:pStyle w:val="Heading2"/>
        <w:numPr>
          <w:ilvl w:val="0"/>
          <w:numId w:val="0"/>
        </w:numPr>
        <w:ind w:left="794" w:hanging="794"/>
      </w:pPr>
      <w:bookmarkStart w:id="709" w:name="_Toc301869679"/>
      <w:bookmarkStart w:id="710" w:name="_Toc346619000"/>
      <w:bookmarkStart w:id="711" w:name="_Toc494449599"/>
      <w:r w:rsidRPr="00791D51">
        <w:t>Record keeping</w:t>
      </w:r>
      <w:bookmarkEnd w:id="709"/>
      <w:bookmarkEnd w:id="710"/>
      <w:bookmarkEnd w:id="711"/>
    </w:p>
    <w:p w14:paraId="59470F78" w14:textId="77777777" w:rsidR="00CE7AB0" w:rsidRPr="00483567" w:rsidRDefault="00CE7AB0" w:rsidP="00FC388E">
      <w:pPr>
        <w:pStyle w:val="ListParagraph"/>
        <w:numPr>
          <w:ilvl w:val="0"/>
          <w:numId w:val="24"/>
        </w:numPr>
      </w:pPr>
      <w:r w:rsidRPr="00483567">
        <w:t xml:space="preserve">A harvest-site conditions sheet must be completed once for each site and returned to </w:t>
      </w:r>
      <w:r>
        <w:t>OEH. This sheet</w:t>
      </w:r>
      <w:r w:rsidRPr="00483567">
        <w:t xml:space="preserve"> includes information on biophysical factors such as slope, aspect, soil type and </w:t>
      </w:r>
      <w:r>
        <w:t xml:space="preserve">the amount of </w:t>
      </w:r>
      <w:r w:rsidRPr="00483567">
        <w:t xml:space="preserve">time </w:t>
      </w:r>
      <w:r>
        <w:t xml:space="preserve">that has elapsed </w:t>
      </w:r>
      <w:r w:rsidRPr="00483567">
        <w:t>since</w:t>
      </w:r>
      <w:r>
        <w:t xml:space="preserve"> the last</w:t>
      </w:r>
      <w:r w:rsidRPr="00483567">
        <w:t xml:space="preserve"> fire</w:t>
      </w:r>
      <w:r>
        <w:t xml:space="preserve">. </w:t>
      </w:r>
    </w:p>
    <w:p w14:paraId="16294477" w14:textId="77777777" w:rsidR="00CE7AB0" w:rsidRPr="00483567" w:rsidRDefault="00CE7AB0" w:rsidP="00FC388E">
      <w:pPr>
        <w:pStyle w:val="ListParagraph"/>
        <w:numPr>
          <w:ilvl w:val="0"/>
          <w:numId w:val="24"/>
        </w:numPr>
      </w:pPr>
      <w:r w:rsidRPr="00483567">
        <w:t>A harvest return sheet must be completed for each day of harvesting. It must include:</w:t>
      </w:r>
    </w:p>
    <w:p w14:paraId="483442DA" w14:textId="77777777" w:rsidR="00CE7AB0" w:rsidRPr="00483567" w:rsidRDefault="00CE7AB0" w:rsidP="00B57007">
      <w:pPr>
        <w:pStyle w:val="ListBullet"/>
        <w:numPr>
          <w:ilvl w:val="1"/>
          <w:numId w:val="36"/>
        </w:numPr>
      </w:pPr>
      <w:r w:rsidRPr="00483567">
        <w:t>the date and site of the harvest, including the time spent on site</w:t>
      </w:r>
    </w:p>
    <w:p w14:paraId="17F572D3" w14:textId="77777777" w:rsidR="00CE7AB0" w:rsidRPr="00483567" w:rsidRDefault="00CE7AB0" w:rsidP="00B57007">
      <w:pPr>
        <w:pStyle w:val="ListBullet"/>
        <w:numPr>
          <w:ilvl w:val="1"/>
          <w:numId w:val="36"/>
        </w:numPr>
      </w:pPr>
      <w:r w:rsidRPr="00483567">
        <w:t>a list of all parties involved in the harvest</w:t>
      </w:r>
    </w:p>
    <w:p w14:paraId="3E42C306" w14:textId="77777777" w:rsidR="00CE7AB0" w:rsidRPr="00483567" w:rsidRDefault="00CE7AB0" w:rsidP="00B57007">
      <w:pPr>
        <w:pStyle w:val="ListBullet"/>
        <w:numPr>
          <w:ilvl w:val="1"/>
          <w:numId w:val="36"/>
        </w:numPr>
      </w:pPr>
      <w:r w:rsidRPr="00483567">
        <w:t>the number of plants harvested (and their relevant size classes, if appropriate)</w:t>
      </w:r>
    </w:p>
    <w:p w14:paraId="224083C4" w14:textId="77777777" w:rsidR="00CE7AB0" w:rsidRPr="00483567" w:rsidRDefault="00CE7AB0" w:rsidP="00B57007">
      <w:pPr>
        <w:pStyle w:val="ListBullet"/>
        <w:numPr>
          <w:ilvl w:val="1"/>
          <w:numId w:val="36"/>
        </w:numPr>
      </w:pPr>
      <w:r w:rsidRPr="00483567">
        <w:t>the tag numbers allocated to the plants from the site</w:t>
      </w:r>
    </w:p>
    <w:p w14:paraId="200BADBA" w14:textId="77777777" w:rsidR="00CE7AB0" w:rsidRPr="00483567" w:rsidRDefault="00CE7AB0" w:rsidP="00B57007">
      <w:pPr>
        <w:pStyle w:val="ListBullet"/>
        <w:numPr>
          <w:ilvl w:val="1"/>
          <w:numId w:val="36"/>
        </w:numPr>
      </w:pPr>
      <w:proofErr w:type="gramStart"/>
      <w:r w:rsidRPr="00483567">
        <w:t>any</w:t>
      </w:r>
      <w:proofErr w:type="gramEnd"/>
      <w:r w:rsidRPr="00483567">
        <w:t xml:space="preserve"> other relevant comments, including product-specific requirements.</w:t>
      </w:r>
    </w:p>
    <w:p w14:paraId="7B1482E5" w14:textId="77777777" w:rsidR="00CE7AB0" w:rsidRPr="00483567" w:rsidRDefault="00CE7AB0" w:rsidP="00FC388E">
      <w:pPr>
        <w:pStyle w:val="ListParagraph"/>
        <w:numPr>
          <w:ilvl w:val="0"/>
          <w:numId w:val="24"/>
        </w:numPr>
      </w:pPr>
      <w:r w:rsidRPr="00483567">
        <w:t xml:space="preserve">Harvest return sheets must be made available for inspection on request and must be sent </w:t>
      </w:r>
      <w:r>
        <w:t>annually</w:t>
      </w:r>
      <w:r w:rsidRPr="00483567">
        <w:t xml:space="preserve"> to</w:t>
      </w:r>
      <w:r>
        <w:t xml:space="preserve"> OEH</w:t>
      </w:r>
      <w:r w:rsidRPr="00483567">
        <w:t xml:space="preserve"> in an electronic format. No new licences or site approvals will be granted until all documentation is returned.</w:t>
      </w:r>
    </w:p>
    <w:p w14:paraId="5CEE9296" w14:textId="77777777" w:rsidR="00CE7AB0" w:rsidRPr="00D9766D" w:rsidRDefault="00CE7AB0" w:rsidP="00FC388E">
      <w:pPr>
        <w:pStyle w:val="BodyText"/>
      </w:pPr>
    </w:p>
    <w:p w14:paraId="477A6706" w14:textId="77777777" w:rsidR="00CE7AB0" w:rsidRPr="00483567" w:rsidRDefault="00CE7AB0" w:rsidP="00C56779">
      <w:pPr>
        <w:pStyle w:val="Heading1"/>
        <w:numPr>
          <w:ilvl w:val="0"/>
          <w:numId w:val="0"/>
        </w:numPr>
        <w:ind w:left="432" w:hanging="432"/>
      </w:pPr>
      <w:r w:rsidRPr="00483567">
        <w:br w:type="page"/>
      </w:r>
      <w:bookmarkStart w:id="712" w:name="_Toc283984828"/>
      <w:bookmarkStart w:id="713" w:name="_Toc301869680"/>
      <w:bookmarkStart w:id="714" w:name="_Toc328986878"/>
      <w:bookmarkStart w:id="715" w:name="_Toc328988088"/>
      <w:bookmarkStart w:id="716" w:name="_Toc328988170"/>
      <w:bookmarkStart w:id="717" w:name="_Toc328988251"/>
      <w:bookmarkStart w:id="718" w:name="_Toc328991065"/>
      <w:bookmarkStart w:id="719" w:name="_Toc328991547"/>
      <w:bookmarkStart w:id="720" w:name="_Toc492379115"/>
      <w:bookmarkStart w:id="721" w:name="_Toc494449600"/>
      <w:r w:rsidR="00C56779">
        <w:lastRenderedPageBreak/>
        <w:t xml:space="preserve">Appendix E: </w:t>
      </w:r>
      <w:r w:rsidRPr="00483567">
        <w:t>Stockpile site controls</w:t>
      </w:r>
      <w:bookmarkEnd w:id="712"/>
      <w:bookmarkEnd w:id="713"/>
      <w:bookmarkEnd w:id="714"/>
      <w:bookmarkEnd w:id="715"/>
      <w:bookmarkEnd w:id="716"/>
      <w:bookmarkEnd w:id="717"/>
      <w:bookmarkEnd w:id="718"/>
      <w:bookmarkEnd w:id="719"/>
      <w:bookmarkEnd w:id="720"/>
      <w:bookmarkEnd w:id="721"/>
    </w:p>
    <w:p w14:paraId="3DCF258D" w14:textId="77777777" w:rsidR="00CE7AB0" w:rsidRPr="00483567" w:rsidRDefault="00CE7AB0" w:rsidP="00FC388E">
      <w:pPr>
        <w:pStyle w:val="BodyText"/>
      </w:pPr>
      <w:r w:rsidRPr="00483567">
        <w:t xml:space="preserve">Poor post-harvest management can lead to low plant survivorship when </w:t>
      </w:r>
      <w:r>
        <w:t>plants</w:t>
      </w:r>
      <w:r w:rsidRPr="00483567">
        <w:t xml:space="preserve"> are on-sold. This increases the demand for additional plants and undermines consumer confidence. </w:t>
      </w:r>
    </w:p>
    <w:p w14:paraId="4EE059EE" w14:textId="77777777" w:rsidR="00CE7AB0" w:rsidRPr="004C5C9A" w:rsidRDefault="00CE7AB0" w:rsidP="00FC388E">
      <w:pPr>
        <w:pStyle w:val="BodyText"/>
      </w:pPr>
      <w:r w:rsidRPr="004C5C9A">
        <w:t>Licensees must therefore implement stockpile site controls to meet the particular post-harvest requirements of p</w:t>
      </w:r>
      <w:r>
        <w:t>lants</w:t>
      </w:r>
      <w:r w:rsidRPr="004C5C9A">
        <w:t xml:space="preserve"> harvested under this management plan. It is the licensee’s responsibility to ensure any named parties operating under the licence are aware of, and comply with, these requirements. Stockpile sites may be subject to inspection by OEH officers. </w:t>
      </w:r>
    </w:p>
    <w:p w14:paraId="0FE6D2C9" w14:textId="77777777" w:rsidR="00CE7AB0" w:rsidRPr="00791D51" w:rsidRDefault="00CE7AB0" w:rsidP="00C56779">
      <w:pPr>
        <w:pStyle w:val="Heading2"/>
        <w:numPr>
          <w:ilvl w:val="0"/>
          <w:numId w:val="0"/>
        </w:numPr>
        <w:ind w:left="794" w:hanging="794"/>
      </w:pPr>
      <w:bookmarkStart w:id="722" w:name="_Toc301869681"/>
      <w:bookmarkStart w:id="723" w:name="_Toc346619002"/>
      <w:bookmarkStart w:id="724" w:name="_Toc494449601"/>
      <w:r w:rsidRPr="00791D51">
        <w:t>Stockpile site requirements</w:t>
      </w:r>
      <w:bookmarkEnd w:id="722"/>
      <w:bookmarkEnd w:id="723"/>
      <w:bookmarkEnd w:id="724"/>
    </w:p>
    <w:p w14:paraId="25311BE6" w14:textId="77777777" w:rsidR="00CE7AB0" w:rsidRPr="00483567" w:rsidRDefault="00CE7AB0" w:rsidP="00FC388E">
      <w:pPr>
        <w:pStyle w:val="ListParagraph"/>
        <w:numPr>
          <w:ilvl w:val="0"/>
          <w:numId w:val="25"/>
        </w:numPr>
      </w:pPr>
      <w:r w:rsidRPr="00483567">
        <w:t xml:space="preserve">All licensees harvesting </w:t>
      </w:r>
      <w:r>
        <w:t>plants</w:t>
      </w:r>
      <w:r w:rsidRPr="00483567">
        <w:t xml:space="preserve"> under an approved harvester licence must transport products to a designated stockpile site for post-harvest care.</w:t>
      </w:r>
    </w:p>
    <w:p w14:paraId="680806D7" w14:textId="77777777" w:rsidR="00CE7AB0" w:rsidRPr="00483567" w:rsidRDefault="00CE7AB0" w:rsidP="00FC388E">
      <w:pPr>
        <w:pStyle w:val="ListParagraph"/>
        <w:numPr>
          <w:ilvl w:val="0"/>
          <w:numId w:val="25"/>
        </w:numPr>
      </w:pPr>
      <w:r w:rsidRPr="00483567">
        <w:t>All stockpile facilities and care procedures must be documented and submitted as part of an approved harvester application.</w:t>
      </w:r>
    </w:p>
    <w:p w14:paraId="16FB6077" w14:textId="77777777" w:rsidR="00CE7AB0" w:rsidRPr="00483567" w:rsidRDefault="00CE7AB0" w:rsidP="00FC388E">
      <w:pPr>
        <w:pStyle w:val="ListParagraph"/>
        <w:numPr>
          <w:ilvl w:val="0"/>
          <w:numId w:val="25"/>
        </w:numPr>
      </w:pPr>
      <w:r w:rsidRPr="00483567">
        <w:t>Plants must be maintained at the stockpile site for a period of not less than 30 days, or as specified under individual species requirements.</w:t>
      </w:r>
    </w:p>
    <w:p w14:paraId="44B08075" w14:textId="77777777" w:rsidR="00CE7AB0" w:rsidRPr="00483567" w:rsidRDefault="00CE7AB0" w:rsidP="00FC388E">
      <w:pPr>
        <w:pStyle w:val="ListParagraph"/>
        <w:numPr>
          <w:ilvl w:val="0"/>
          <w:numId w:val="25"/>
        </w:numPr>
      </w:pPr>
      <w:r w:rsidRPr="00483567">
        <w:t>The stockpile site must meet the minimum requirements for maintaining the products in care until plants are eligible for sale. This may include pest control, irrigation, shade or other protection structures.</w:t>
      </w:r>
    </w:p>
    <w:p w14:paraId="423CF06E" w14:textId="77777777" w:rsidR="00CE7AB0" w:rsidRPr="00FC5810" w:rsidRDefault="00CE7AB0" w:rsidP="00FC388E">
      <w:pPr>
        <w:pStyle w:val="ListParagraph"/>
        <w:numPr>
          <w:ilvl w:val="0"/>
          <w:numId w:val="25"/>
        </w:numPr>
      </w:pPr>
      <w:r w:rsidRPr="00FC5810">
        <w:t>A stockpile site must be made available on request for inspection and auditing by authorised officers.</w:t>
      </w:r>
    </w:p>
    <w:p w14:paraId="36E08354" w14:textId="77777777" w:rsidR="00CE7AB0" w:rsidRPr="00FC5810" w:rsidRDefault="00CE7AB0" w:rsidP="00FC388E">
      <w:pPr>
        <w:pStyle w:val="ListParagraph"/>
        <w:numPr>
          <w:ilvl w:val="0"/>
          <w:numId w:val="25"/>
        </w:numPr>
      </w:pPr>
      <w:r w:rsidRPr="00FC5810">
        <w:t>Harvested plants in Groups 2 and 3 must be sorted and stored in groups according to the site they were harvested from until eligible for sale.</w:t>
      </w:r>
    </w:p>
    <w:p w14:paraId="5E1AFF69" w14:textId="77777777" w:rsidR="00CE7AB0" w:rsidRPr="00FC5810" w:rsidRDefault="00CE7AB0" w:rsidP="00FC388E">
      <w:pPr>
        <w:pStyle w:val="ListParagraph"/>
        <w:numPr>
          <w:ilvl w:val="0"/>
          <w:numId w:val="25"/>
        </w:numPr>
      </w:pPr>
      <w:r w:rsidRPr="00FC5810">
        <w:t>For harvested plants in Groups 2 or 3, signage or labelling must be installed at the stockpile site, identifying the harvest site from which the stockpiled plants were harvested.</w:t>
      </w:r>
    </w:p>
    <w:p w14:paraId="4CC54D70" w14:textId="77777777" w:rsidR="00CE7AB0" w:rsidRPr="00483567" w:rsidRDefault="00CE7AB0" w:rsidP="00FC388E">
      <w:pPr>
        <w:pStyle w:val="ListParagraph"/>
        <w:numPr>
          <w:ilvl w:val="0"/>
          <w:numId w:val="25"/>
        </w:numPr>
      </w:pPr>
      <w:r>
        <w:t>NPWS</w:t>
      </w:r>
      <w:r w:rsidRPr="00483567">
        <w:t xml:space="preserve"> tags cannot be reused (see 4.11.1).</w:t>
      </w:r>
    </w:p>
    <w:p w14:paraId="4838A9EA" w14:textId="77777777" w:rsidR="00CE7AB0" w:rsidRPr="004C5C9A" w:rsidRDefault="00CE7AB0" w:rsidP="00FC388E">
      <w:pPr>
        <w:pStyle w:val="ListParagraph"/>
        <w:numPr>
          <w:ilvl w:val="0"/>
          <w:numId w:val="25"/>
        </w:numPr>
      </w:pPr>
      <w:r w:rsidRPr="004C5C9A">
        <w:t xml:space="preserve">Unused tags and tags attached to plants that subsequently died must be </w:t>
      </w:r>
      <w:r>
        <w:t xml:space="preserve">destroyed or </w:t>
      </w:r>
      <w:r w:rsidRPr="004C5C9A">
        <w:t>returned to OEH.</w:t>
      </w:r>
    </w:p>
    <w:p w14:paraId="40DB42E2" w14:textId="77777777" w:rsidR="00CE7AB0" w:rsidRPr="00791D51" w:rsidRDefault="00CE7AB0" w:rsidP="00C56779">
      <w:pPr>
        <w:pStyle w:val="Heading2"/>
        <w:numPr>
          <w:ilvl w:val="0"/>
          <w:numId w:val="0"/>
        </w:numPr>
        <w:ind w:left="794" w:hanging="794"/>
      </w:pPr>
      <w:bookmarkStart w:id="725" w:name="_Toc301869682"/>
      <w:bookmarkStart w:id="726" w:name="_Toc346619003"/>
      <w:bookmarkStart w:id="727" w:name="_Toc494449602"/>
      <w:r w:rsidRPr="00791D51">
        <w:t>Documentation and reporting requirements</w:t>
      </w:r>
      <w:bookmarkEnd w:id="725"/>
      <w:bookmarkEnd w:id="726"/>
      <w:bookmarkEnd w:id="727"/>
    </w:p>
    <w:p w14:paraId="36A1BFE1" w14:textId="77777777" w:rsidR="00CE7AB0" w:rsidRPr="00483567" w:rsidRDefault="00CE7AB0" w:rsidP="00FC388E">
      <w:pPr>
        <w:pStyle w:val="ListParagraph"/>
        <w:numPr>
          <w:ilvl w:val="0"/>
          <w:numId w:val="25"/>
        </w:numPr>
      </w:pPr>
      <w:r w:rsidRPr="00483567">
        <w:t>An applicant for an approved harvester licence must supply documented evidence with their application of stockpile site facilities including but not limited to:</w:t>
      </w:r>
    </w:p>
    <w:p w14:paraId="764AE42A" w14:textId="77777777" w:rsidR="00CE7AB0" w:rsidRPr="00483567" w:rsidRDefault="00CE7AB0" w:rsidP="00C56779">
      <w:pPr>
        <w:pStyle w:val="ListBullet"/>
        <w:numPr>
          <w:ilvl w:val="1"/>
          <w:numId w:val="36"/>
        </w:numPr>
      </w:pPr>
      <w:r w:rsidRPr="00483567">
        <w:t>the location and size of the stockpile site</w:t>
      </w:r>
    </w:p>
    <w:p w14:paraId="32201FC3" w14:textId="77777777" w:rsidR="00CE7AB0" w:rsidRPr="00483567" w:rsidRDefault="00CE7AB0" w:rsidP="00C56779">
      <w:pPr>
        <w:pStyle w:val="ListBullet"/>
        <w:numPr>
          <w:ilvl w:val="1"/>
          <w:numId w:val="36"/>
        </w:numPr>
      </w:pPr>
      <w:r w:rsidRPr="00483567">
        <w:t>water and irrigation infrastructure</w:t>
      </w:r>
    </w:p>
    <w:p w14:paraId="156F4319" w14:textId="77777777" w:rsidR="00CE7AB0" w:rsidRPr="00483567" w:rsidRDefault="00CE7AB0" w:rsidP="00C56779">
      <w:pPr>
        <w:pStyle w:val="ListBullet"/>
        <w:numPr>
          <w:ilvl w:val="1"/>
          <w:numId w:val="36"/>
        </w:numPr>
      </w:pPr>
      <w:proofErr w:type="gramStart"/>
      <w:r w:rsidRPr="00483567">
        <w:t>potting</w:t>
      </w:r>
      <w:proofErr w:type="gramEnd"/>
      <w:r w:rsidRPr="00483567">
        <w:t xml:space="preserve"> and other facilities available at the stockpile site to adequately support the</w:t>
      </w:r>
      <w:r>
        <w:t xml:space="preserve"> </w:t>
      </w:r>
      <w:r w:rsidRPr="00483567">
        <w:t>harvested plants.</w:t>
      </w:r>
    </w:p>
    <w:p w14:paraId="686DE5F4" w14:textId="77777777" w:rsidR="00CE7AB0" w:rsidRPr="00483567" w:rsidRDefault="00CE7AB0" w:rsidP="00FC388E">
      <w:pPr>
        <w:pStyle w:val="ListParagraph"/>
        <w:numPr>
          <w:ilvl w:val="0"/>
          <w:numId w:val="25"/>
        </w:numPr>
      </w:pPr>
      <w:r w:rsidRPr="00483567">
        <w:t>An authorised officer may inspect the nominated stockpile site prior to any licence being issued.</w:t>
      </w:r>
    </w:p>
    <w:p w14:paraId="5B1BB39B" w14:textId="77777777" w:rsidR="00CE7AB0" w:rsidRPr="00483567" w:rsidRDefault="00CE7AB0" w:rsidP="00FC388E">
      <w:pPr>
        <w:pStyle w:val="ListParagraph"/>
        <w:numPr>
          <w:ilvl w:val="0"/>
          <w:numId w:val="25"/>
        </w:numPr>
      </w:pPr>
      <w:r w:rsidRPr="00483567">
        <w:t>An applicant for an approved harvester licence must document and submit with their application the procedures for post-harvest management of harvested material. These procedures must include but are not limited to:</w:t>
      </w:r>
    </w:p>
    <w:p w14:paraId="50C625B6" w14:textId="77777777" w:rsidR="00CE7AB0" w:rsidRPr="00483567" w:rsidRDefault="00CE7AB0" w:rsidP="00C56779">
      <w:pPr>
        <w:pStyle w:val="ListBullet"/>
        <w:numPr>
          <w:ilvl w:val="1"/>
          <w:numId w:val="36"/>
        </w:numPr>
      </w:pPr>
      <w:r w:rsidRPr="00483567">
        <w:t>potting procedures, including attachment of epiphytes to substrates where applicable</w:t>
      </w:r>
    </w:p>
    <w:p w14:paraId="5CA1A03D" w14:textId="77777777" w:rsidR="00CE7AB0" w:rsidRPr="00483567" w:rsidRDefault="00CE7AB0" w:rsidP="00C56779">
      <w:pPr>
        <w:pStyle w:val="ListBullet"/>
        <w:numPr>
          <w:ilvl w:val="1"/>
          <w:numId w:val="36"/>
        </w:numPr>
      </w:pPr>
      <w:r w:rsidRPr="00483567">
        <w:t>irrigation regimes</w:t>
      </w:r>
    </w:p>
    <w:p w14:paraId="3F8D3E4B" w14:textId="77777777" w:rsidR="00CE7AB0" w:rsidRPr="00483567" w:rsidRDefault="00CE7AB0" w:rsidP="00C56779">
      <w:pPr>
        <w:pStyle w:val="ListBullet"/>
        <w:numPr>
          <w:ilvl w:val="1"/>
          <w:numId w:val="36"/>
        </w:numPr>
      </w:pPr>
      <w:r w:rsidRPr="00483567">
        <w:lastRenderedPageBreak/>
        <w:t>fertiliser regimes</w:t>
      </w:r>
    </w:p>
    <w:p w14:paraId="289B9FEF" w14:textId="77777777" w:rsidR="00CE7AB0" w:rsidRPr="00483567" w:rsidRDefault="00CE7AB0" w:rsidP="00C56779">
      <w:pPr>
        <w:pStyle w:val="ListBullet"/>
        <w:numPr>
          <w:ilvl w:val="1"/>
          <w:numId w:val="36"/>
        </w:numPr>
      </w:pPr>
      <w:r w:rsidRPr="00483567">
        <w:t xml:space="preserve">procedures to manage weeds and soil-borne pathogens such as </w:t>
      </w:r>
      <w:r w:rsidRPr="00C56779">
        <w:t>Phytophthora</w:t>
      </w:r>
    </w:p>
    <w:p w14:paraId="755361BF" w14:textId="77777777" w:rsidR="00CE7AB0" w:rsidRPr="00483567" w:rsidRDefault="00CE7AB0" w:rsidP="00C56779">
      <w:pPr>
        <w:pStyle w:val="ListBullet"/>
        <w:numPr>
          <w:ilvl w:val="1"/>
          <w:numId w:val="36"/>
        </w:numPr>
      </w:pPr>
      <w:proofErr w:type="gramStart"/>
      <w:r w:rsidRPr="00483567">
        <w:t>survivorship</w:t>
      </w:r>
      <w:proofErr w:type="gramEnd"/>
      <w:r w:rsidRPr="00483567">
        <w:t xml:space="preserve"> monitoring procedures.</w:t>
      </w:r>
    </w:p>
    <w:p w14:paraId="1AD9D8FF" w14:textId="77777777" w:rsidR="00CE7AB0" w:rsidRPr="00483567" w:rsidRDefault="00CE7AB0" w:rsidP="00FC388E">
      <w:pPr>
        <w:pStyle w:val="ListParagraph"/>
        <w:numPr>
          <w:ilvl w:val="0"/>
          <w:numId w:val="25"/>
        </w:numPr>
      </w:pPr>
      <w:r w:rsidRPr="00483567">
        <w:t>A</w:t>
      </w:r>
      <w:r>
        <w:t>n</w:t>
      </w:r>
      <w:r w:rsidRPr="00483567">
        <w:t xml:space="preserve"> </w:t>
      </w:r>
      <w:r>
        <w:t>annual</w:t>
      </w:r>
      <w:r w:rsidRPr="00483567">
        <w:t xml:space="preserve"> report must be provided to </w:t>
      </w:r>
      <w:r>
        <w:t>OEH</w:t>
      </w:r>
      <w:r w:rsidRPr="00483567">
        <w:t xml:space="preserve"> indicating the tag numbers used and the survivorship status of the harvested plants.</w:t>
      </w:r>
    </w:p>
    <w:p w14:paraId="326664D0" w14:textId="77777777" w:rsidR="00CE7AB0" w:rsidRPr="00483567" w:rsidRDefault="00CE7AB0" w:rsidP="00C57FF5">
      <w:pPr>
        <w:pStyle w:val="Heading1"/>
        <w:numPr>
          <w:ilvl w:val="0"/>
          <w:numId w:val="0"/>
        </w:numPr>
      </w:pPr>
      <w:r w:rsidRPr="00483567">
        <w:br w:type="page"/>
      </w:r>
      <w:bookmarkStart w:id="728" w:name="_Toc283984829"/>
      <w:bookmarkStart w:id="729" w:name="_Toc492379116"/>
      <w:bookmarkStart w:id="730" w:name="_Toc494449603"/>
      <w:bookmarkStart w:id="731" w:name="_Toc271274297"/>
      <w:r w:rsidR="00C57FF5">
        <w:lastRenderedPageBreak/>
        <w:t xml:space="preserve">Appendix F: </w:t>
      </w:r>
      <w:r w:rsidRPr="00483567">
        <w:t>Seed harvester licence application requirements</w:t>
      </w:r>
      <w:bookmarkEnd w:id="728"/>
      <w:bookmarkEnd w:id="729"/>
      <w:bookmarkEnd w:id="730"/>
    </w:p>
    <w:p w14:paraId="1D363F8E" w14:textId="5C1788CD" w:rsidR="00CE7AB0" w:rsidRPr="00483567" w:rsidRDefault="00CE7AB0" w:rsidP="00FC388E">
      <w:pPr>
        <w:pStyle w:val="BodyText"/>
      </w:pPr>
      <w:r w:rsidRPr="00B42614">
        <w:t xml:space="preserve">A seed harvester licence may be issued under Section </w:t>
      </w:r>
      <w:r>
        <w:t>2.11</w:t>
      </w:r>
      <w:r w:rsidRPr="00B42614">
        <w:t xml:space="preserve"> of the </w:t>
      </w:r>
      <w:r w:rsidR="00C57FF5" w:rsidRPr="00C57FF5">
        <w:rPr>
          <w:i/>
          <w:lang w:val="en-US"/>
        </w:rPr>
        <w:t>Biodiversity Conservation Act 2016</w:t>
      </w:r>
      <w:r w:rsidR="00C57FF5" w:rsidRPr="00C57FF5">
        <w:rPr>
          <w:lang w:val="en-US"/>
        </w:rPr>
        <w:t xml:space="preserve"> (BC Act) </w:t>
      </w:r>
      <w:r w:rsidRPr="00B42614">
        <w:t>to pick and sell</w:t>
      </w:r>
      <w:r w:rsidRPr="00483567">
        <w:t xml:space="preserve"> seeds or spores of any species in Part 1 or Part 2 of Schedule </w:t>
      </w:r>
      <w:r>
        <w:t>6</w:t>
      </w:r>
      <w:r w:rsidRPr="00483567">
        <w:t>, excluding</w:t>
      </w:r>
      <w:r>
        <w:t xml:space="preserve"> threatened</w:t>
      </w:r>
      <w:r w:rsidRPr="00483567">
        <w:t xml:space="preserve"> species </w:t>
      </w:r>
      <w:r>
        <w:t>(</w:t>
      </w:r>
      <w:r w:rsidRPr="00483567">
        <w:t xml:space="preserve">listed under </w:t>
      </w:r>
      <w:r>
        <w:t>Schedule 1 of the BC Act)</w:t>
      </w:r>
      <w:r w:rsidRPr="00483567">
        <w:t xml:space="preserve">. Harvest is not permitted from </w:t>
      </w:r>
      <w:r w:rsidR="00F736F5">
        <w:t>declared areas of outstanding biodiversity value</w:t>
      </w:r>
      <w:r w:rsidRPr="00483567">
        <w:t xml:space="preserve"> or </w:t>
      </w:r>
      <w:r>
        <w:t>threatened</w:t>
      </w:r>
      <w:r w:rsidRPr="00483567">
        <w:t xml:space="preserve"> ecological communities unless approved in a salvage situation.</w:t>
      </w:r>
    </w:p>
    <w:p w14:paraId="4530E2B5" w14:textId="77777777" w:rsidR="00CE7AB0" w:rsidRPr="00483567" w:rsidRDefault="00CE7AB0" w:rsidP="00FC388E">
      <w:pPr>
        <w:pStyle w:val="BodyText"/>
      </w:pPr>
      <w:r>
        <w:t xml:space="preserve">Applications for a seed harvester licence </w:t>
      </w:r>
      <w:r w:rsidRPr="00C3647F">
        <w:t>must include or</w:t>
      </w:r>
      <w:r w:rsidRPr="00483567">
        <w:t xml:space="preserve"> demonstrate the following:</w:t>
      </w:r>
    </w:p>
    <w:p w14:paraId="7F761576" w14:textId="77777777" w:rsidR="00CE7AB0" w:rsidRPr="00483567" w:rsidRDefault="00CE7AB0" w:rsidP="00FC388E">
      <w:pPr>
        <w:pStyle w:val="ListParagraph"/>
        <w:numPr>
          <w:ilvl w:val="0"/>
          <w:numId w:val="26"/>
        </w:numPr>
      </w:pPr>
      <w:r w:rsidRPr="00483567">
        <w:t>Written confirmation from the land owner agreeing to the harvest, and proof of ownership of the land.</w:t>
      </w:r>
    </w:p>
    <w:p w14:paraId="70225CA8" w14:textId="77777777" w:rsidR="00CE7AB0" w:rsidRPr="00483567" w:rsidRDefault="00CE7AB0" w:rsidP="00FC388E">
      <w:pPr>
        <w:pStyle w:val="ListParagraph"/>
        <w:numPr>
          <w:ilvl w:val="0"/>
          <w:numId w:val="26"/>
        </w:numPr>
      </w:pPr>
      <w:r w:rsidRPr="00483567">
        <w:t>Ability to identify the target material to species level.</w:t>
      </w:r>
    </w:p>
    <w:p w14:paraId="71497E8E" w14:textId="77777777" w:rsidR="00CE7AB0" w:rsidRPr="00483567" w:rsidRDefault="00CE7AB0" w:rsidP="00FC388E">
      <w:pPr>
        <w:pStyle w:val="ListParagraph"/>
        <w:numPr>
          <w:ilvl w:val="0"/>
          <w:numId w:val="26"/>
        </w:numPr>
      </w:pPr>
      <w:r w:rsidRPr="00483567">
        <w:t>A map or maps identifying the general and specific location</w:t>
      </w:r>
      <w:r>
        <w:t>(s)</w:t>
      </w:r>
      <w:r w:rsidRPr="00483567">
        <w:t xml:space="preserve"> of the proposed harvest site</w:t>
      </w:r>
      <w:r>
        <w:t>(s)</w:t>
      </w:r>
      <w:r w:rsidRPr="00483567">
        <w:t>.</w:t>
      </w:r>
    </w:p>
    <w:p w14:paraId="2B891296" w14:textId="77777777" w:rsidR="00CE7AB0" w:rsidRPr="00483567" w:rsidRDefault="00CE7AB0" w:rsidP="00FC388E">
      <w:pPr>
        <w:pStyle w:val="ListParagraph"/>
        <w:numPr>
          <w:ilvl w:val="0"/>
          <w:numId w:val="26"/>
        </w:numPr>
      </w:pPr>
      <w:r w:rsidRPr="00483567">
        <w:t>The species and proposed quantities of seeds of protected plants to be harvested.</w:t>
      </w:r>
    </w:p>
    <w:p w14:paraId="449AC7DA" w14:textId="77777777" w:rsidR="00CE7AB0" w:rsidRPr="00483567" w:rsidRDefault="00CE7AB0" w:rsidP="00FC388E">
      <w:pPr>
        <w:pStyle w:val="ListParagraph"/>
        <w:numPr>
          <w:ilvl w:val="0"/>
          <w:numId w:val="26"/>
        </w:numPr>
      </w:pPr>
      <w:r w:rsidRPr="00483567">
        <w:t>A list of any threatened species that may occur in the harvest area.</w:t>
      </w:r>
    </w:p>
    <w:p w14:paraId="00F1DB5A" w14:textId="0DE7F598" w:rsidR="00CE7AB0" w:rsidRPr="00483567" w:rsidRDefault="00CE7AB0" w:rsidP="00FC388E">
      <w:pPr>
        <w:pStyle w:val="ListParagraph"/>
        <w:numPr>
          <w:ilvl w:val="0"/>
          <w:numId w:val="26"/>
        </w:numPr>
      </w:pPr>
      <w:r w:rsidRPr="00483567">
        <w:t xml:space="preserve">A declaration that the proposed harvest site is neither </w:t>
      </w:r>
      <w:r w:rsidR="00F736F5">
        <w:t>an area of outstanding biodiversity value</w:t>
      </w:r>
      <w:r w:rsidRPr="00483567">
        <w:t xml:space="preserve"> nor a currently listed </w:t>
      </w:r>
      <w:r>
        <w:t>threatened</w:t>
      </w:r>
      <w:r w:rsidRPr="00483567">
        <w:t xml:space="preserve"> ecological community.</w:t>
      </w:r>
    </w:p>
    <w:p w14:paraId="5978C769" w14:textId="77777777" w:rsidR="00CE7AB0" w:rsidRPr="00483567" w:rsidRDefault="00CE7AB0" w:rsidP="00FC388E">
      <w:pPr>
        <w:pStyle w:val="ListParagraph"/>
        <w:numPr>
          <w:ilvl w:val="0"/>
          <w:numId w:val="26"/>
        </w:numPr>
      </w:pPr>
      <w:r w:rsidRPr="00483567">
        <w:t>All other information requested on the application form.</w:t>
      </w:r>
    </w:p>
    <w:p w14:paraId="0986FE6F" w14:textId="77777777" w:rsidR="00CE7AB0" w:rsidRPr="00483567" w:rsidRDefault="00CE7AB0" w:rsidP="00FC388E">
      <w:pPr>
        <w:pStyle w:val="ListParagraph"/>
        <w:numPr>
          <w:ilvl w:val="0"/>
          <w:numId w:val="26"/>
        </w:numPr>
      </w:pPr>
      <w:r w:rsidRPr="00483567">
        <w:t>The relevant fee for the application.</w:t>
      </w:r>
    </w:p>
    <w:p w14:paraId="1ADBADDC" w14:textId="77777777" w:rsidR="00CE7AB0" w:rsidRPr="00483567" w:rsidRDefault="00CE7AB0" w:rsidP="00FC388E">
      <w:r w:rsidRPr="00483567">
        <w:t>Applicants seeking to harvest seed from salvage situations must provide the following additional information to the local area office for consideration:</w:t>
      </w:r>
    </w:p>
    <w:p w14:paraId="78A999F9" w14:textId="77777777" w:rsidR="00CE7AB0" w:rsidRPr="00483567" w:rsidRDefault="00CE7AB0" w:rsidP="00FC388E">
      <w:pPr>
        <w:pStyle w:val="ListParagraph"/>
        <w:numPr>
          <w:ilvl w:val="0"/>
          <w:numId w:val="26"/>
        </w:numPr>
      </w:pPr>
      <w:r w:rsidRPr="00483567">
        <w:t>Contact details for the land owner/manager.</w:t>
      </w:r>
    </w:p>
    <w:p w14:paraId="1D84E97C" w14:textId="77777777" w:rsidR="00CE7AB0" w:rsidRPr="00483567" w:rsidRDefault="00CE7AB0" w:rsidP="00FC388E">
      <w:pPr>
        <w:pStyle w:val="ListParagraph"/>
        <w:numPr>
          <w:ilvl w:val="0"/>
          <w:numId w:val="26"/>
        </w:numPr>
      </w:pPr>
      <w:r w:rsidRPr="00483567">
        <w:t>Written confirmation from the land owner and where necessary the consent authority, approving the salvage operation.</w:t>
      </w:r>
    </w:p>
    <w:p w14:paraId="0EFDEFA0" w14:textId="77777777" w:rsidR="00CE7AB0" w:rsidRPr="00483567" w:rsidRDefault="00CE7AB0" w:rsidP="00FC388E">
      <w:pPr>
        <w:pStyle w:val="ListParagraph"/>
        <w:numPr>
          <w:ilvl w:val="0"/>
          <w:numId w:val="26"/>
        </w:numPr>
      </w:pPr>
      <w:r w:rsidRPr="00483567">
        <w:t>A copy of the final/approved development application or other consent for the land-clearing operation.</w:t>
      </w:r>
    </w:p>
    <w:p w14:paraId="3EDE7BBB" w14:textId="77777777" w:rsidR="00CE7AB0" w:rsidRPr="00483567" w:rsidRDefault="00CE7AB0" w:rsidP="00FC388E">
      <w:pPr>
        <w:pStyle w:val="BodyText"/>
      </w:pPr>
      <w:r>
        <w:t xml:space="preserve">OEH </w:t>
      </w:r>
      <w:r w:rsidRPr="00483567">
        <w:t>may restrict or limit the species and quantities that may be harvested under the licence.</w:t>
      </w:r>
    </w:p>
    <w:bookmarkEnd w:id="731"/>
    <w:p w14:paraId="783D8E05" w14:textId="08561CCE" w:rsidR="00CE7AB0" w:rsidRPr="00483567" w:rsidRDefault="00CE7AB0" w:rsidP="00FC388E">
      <w:pPr>
        <w:pStyle w:val="BodyText"/>
      </w:pPr>
      <w:r w:rsidRPr="00C3647F">
        <w:t xml:space="preserve">During the licence term, a seed harvester licensee may request additional sites be included under the licence. </w:t>
      </w:r>
      <w:r>
        <w:t xml:space="preserve">The information outlined above will be required for each additional site.  </w:t>
      </w:r>
    </w:p>
    <w:p w14:paraId="6C7E54E4" w14:textId="77777777" w:rsidR="00CE7AB0" w:rsidRPr="00483567" w:rsidRDefault="00CE7AB0" w:rsidP="00C57FF5">
      <w:pPr>
        <w:pStyle w:val="Heading1"/>
        <w:numPr>
          <w:ilvl w:val="0"/>
          <w:numId w:val="0"/>
        </w:numPr>
      </w:pPr>
      <w:r w:rsidRPr="00483567">
        <w:br w:type="page"/>
      </w:r>
      <w:bookmarkStart w:id="732" w:name="_Toc328988089"/>
      <w:bookmarkStart w:id="733" w:name="_Toc328988171"/>
      <w:bookmarkStart w:id="734" w:name="_Toc328988252"/>
      <w:bookmarkStart w:id="735" w:name="_Toc328991066"/>
      <w:bookmarkStart w:id="736" w:name="_Toc328991548"/>
      <w:bookmarkStart w:id="737" w:name="_Toc494449604"/>
      <w:bookmarkStart w:id="738" w:name="_Toc283984830"/>
      <w:bookmarkStart w:id="739" w:name="_Toc301869683"/>
      <w:bookmarkStart w:id="740" w:name="_Toc328986879"/>
      <w:r w:rsidR="00C57FF5">
        <w:lastRenderedPageBreak/>
        <w:t xml:space="preserve">Appendix G: </w:t>
      </w:r>
      <w:r w:rsidRPr="00483567">
        <w:t>Grower licence application requirements</w:t>
      </w:r>
      <w:bookmarkEnd w:id="732"/>
      <w:bookmarkEnd w:id="733"/>
      <w:bookmarkEnd w:id="734"/>
      <w:bookmarkEnd w:id="735"/>
      <w:bookmarkEnd w:id="736"/>
      <w:bookmarkEnd w:id="737"/>
      <w:r w:rsidRPr="00483567">
        <w:t xml:space="preserve"> </w:t>
      </w:r>
      <w:bookmarkEnd w:id="738"/>
      <w:bookmarkEnd w:id="739"/>
      <w:bookmarkEnd w:id="740"/>
    </w:p>
    <w:p w14:paraId="458BB16E" w14:textId="77777777" w:rsidR="00CE7AB0" w:rsidRPr="00B42614" w:rsidRDefault="00CE7AB0" w:rsidP="00FC388E">
      <w:pPr>
        <w:pStyle w:val="BodyText"/>
      </w:pPr>
      <w:r w:rsidRPr="00B42614">
        <w:t xml:space="preserve">A grower licence may be issued under Section </w:t>
      </w:r>
      <w:r>
        <w:t>2.11</w:t>
      </w:r>
      <w:r w:rsidRPr="00B42614">
        <w:t xml:space="preserve"> of the </w:t>
      </w:r>
      <w:r w:rsidR="00C57FF5" w:rsidRPr="00C57FF5">
        <w:rPr>
          <w:i/>
          <w:lang w:val="en-US"/>
        </w:rPr>
        <w:t>Biodiversity Conservation Act 2016</w:t>
      </w:r>
      <w:r w:rsidR="00C57FF5" w:rsidRPr="00C57FF5">
        <w:rPr>
          <w:lang w:val="en-US"/>
        </w:rPr>
        <w:t xml:space="preserve"> (BC Act) </w:t>
      </w:r>
      <w:r w:rsidRPr="00B42614">
        <w:t xml:space="preserve">for propagating and selling artificially cultivated species listed in all groups of Part 2 of Schedule </w:t>
      </w:r>
      <w:r>
        <w:t>6</w:t>
      </w:r>
      <w:r w:rsidRPr="00B42614">
        <w:t xml:space="preserve">, which includes both protected and threatened species. </w:t>
      </w:r>
    </w:p>
    <w:p w14:paraId="1B229384" w14:textId="77777777" w:rsidR="00CE7AB0" w:rsidRPr="00483567" w:rsidRDefault="00CE7AB0" w:rsidP="00FC388E">
      <w:pPr>
        <w:pStyle w:val="BodyText"/>
      </w:pPr>
      <w:r w:rsidRPr="00483567">
        <w:t>In some cases, non-threatened species are restricted to grower licences to facilitate a move away from wild harvest where evidence suggests there are impacts on wild populations.</w:t>
      </w:r>
    </w:p>
    <w:p w14:paraId="1881FE88" w14:textId="77777777" w:rsidR="00CE7AB0" w:rsidRPr="00483567" w:rsidRDefault="00CE7AB0" w:rsidP="00FC388E">
      <w:pPr>
        <w:pStyle w:val="BodyText"/>
      </w:pPr>
      <w:r w:rsidRPr="00483567">
        <w:t>Applicants for a grower licence must provide or demonstrate the following at the time of application:</w:t>
      </w:r>
    </w:p>
    <w:p w14:paraId="4E0E5723" w14:textId="77777777" w:rsidR="00CE7AB0" w:rsidRPr="00FC388E" w:rsidRDefault="00CE7AB0" w:rsidP="00FC388E">
      <w:pPr>
        <w:pStyle w:val="ListParagraph"/>
        <w:numPr>
          <w:ilvl w:val="0"/>
          <w:numId w:val="27"/>
        </w:numPr>
        <w:rPr>
          <w:spacing w:val="-2"/>
        </w:rPr>
      </w:pPr>
      <w:r w:rsidRPr="00483567">
        <w:t>The legal source of the propagating material.</w:t>
      </w:r>
    </w:p>
    <w:p w14:paraId="1731A83E" w14:textId="77777777" w:rsidR="00CE7AB0" w:rsidRPr="00FC388E" w:rsidRDefault="00CE7AB0" w:rsidP="00FC388E">
      <w:pPr>
        <w:pStyle w:val="ListParagraph"/>
        <w:numPr>
          <w:ilvl w:val="0"/>
          <w:numId w:val="27"/>
        </w:numPr>
        <w:rPr>
          <w:spacing w:val="-2"/>
        </w:rPr>
      </w:pPr>
      <w:r w:rsidRPr="00483567">
        <w:t>The species and proposed quantities of the protected plants to be grown. Note that no harvest levels will be set for grower licences.</w:t>
      </w:r>
    </w:p>
    <w:p w14:paraId="671013C9" w14:textId="77777777" w:rsidR="00CE7AB0" w:rsidRPr="00FC388E" w:rsidRDefault="00CE7AB0" w:rsidP="00FC388E">
      <w:pPr>
        <w:pStyle w:val="ListParagraph"/>
        <w:numPr>
          <w:ilvl w:val="0"/>
          <w:numId w:val="27"/>
        </w:numPr>
        <w:rPr>
          <w:spacing w:val="-2"/>
        </w:rPr>
      </w:pPr>
      <w:r w:rsidRPr="00483567">
        <w:t>A copy of the ‘grower tag’ or details of the tagging method to be used (see 4.11.2).</w:t>
      </w:r>
    </w:p>
    <w:p w14:paraId="6ED3E7E0" w14:textId="77777777" w:rsidR="00CE7AB0" w:rsidRPr="00FC388E" w:rsidRDefault="00CE7AB0" w:rsidP="00FC388E">
      <w:pPr>
        <w:pStyle w:val="ListParagraph"/>
        <w:numPr>
          <w:ilvl w:val="0"/>
          <w:numId w:val="27"/>
        </w:numPr>
        <w:rPr>
          <w:spacing w:val="-2"/>
        </w:rPr>
      </w:pPr>
      <w:r w:rsidRPr="00483567">
        <w:t>Growers of</w:t>
      </w:r>
      <w:r w:rsidRPr="00FC388E">
        <w:rPr>
          <w:i/>
        </w:rPr>
        <w:t xml:space="preserve"> Xanthorrhoea </w:t>
      </w:r>
      <w:r w:rsidRPr="00483567">
        <w:t>species</w:t>
      </w:r>
      <w:r w:rsidRPr="00FC388E">
        <w:rPr>
          <w:i/>
        </w:rPr>
        <w:t xml:space="preserve"> </w:t>
      </w:r>
      <w:r w:rsidRPr="00483567">
        <w:t xml:space="preserve">must be able to demonstrate compliance with the </w:t>
      </w:r>
      <w:r w:rsidRPr="00B42614">
        <w:t>requirements of this management plan that relate to growing grass trees (Appendix H).</w:t>
      </w:r>
    </w:p>
    <w:p w14:paraId="52735EC1" w14:textId="77777777" w:rsidR="00CE7AB0" w:rsidRPr="00FC388E" w:rsidRDefault="00CE7AB0" w:rsidP="00FC388E">
      <w:pPr>
        <w:pStyle w:val="ListParagraph"/>
        <w:numPr>
          <w:ilvl w:val="0"/>
          <w:numId w:val="27"/>
        </w:numPr>
        <w:rPr>
          <w:spacing w:val="-2"/>
        </w:rPr>
      </w:pPr>
      <w:r w:rsidRPr="00483567">
        <w:t>Orchid growers must be able to demonstrate compliance with the requirements of this management plan that relate to orchid growing (Appendix I).</w:t>
      </w:r>
    </w:p>
    <w:p w14:paraId="2F06FEFC" w14:textId="77777777" w:rsidR="00CE7AB0" w:rsidRPr="00FC388E" w:rsidRDefault="00CE7AB0" w:rsidP="00FC388E">
      <w:pPr>
        <w:pStyle w:val="ListParagraph"/>
        <w:numPr>
          <w:ilvl w:val="0"/>
          <w:numId w:val="27"/>
        </w:numPr>
        <w:rPr>
          <w:spacing w:val="-2"/>
        </w:rPr>
      </w:pPr>
      <w:r w:rsidRPr="00483567">
        <w:t>All other information requested on the application form.</w:t>
      </w:r>
    </w:p>
    <w:p w14:paraId="3A70E077" w14:textId="77777777" w:rsidR="00CE7AB0" w:rsidRPr="00FC388E" w:rsidRDefault="00CE7AB0" w:rsidP="00FC388E">
      <w:pPr>
        <w:pStyle w:val="ListParagraph"/>
        <w:numPr>
          <w:ilvl w:val="0"/>
          <w:numId w:val="27"/>
        </w:numPr>
        <w:rPr>
          <w:spacing w:val="-2"/>
        </w:rPr>
      </w:pPr>
      <w:r w:rsidRPr="00483567">
        <w:t>The relevant fee for the application.</w:t>
      </w:r>
    </w:p>
    <w:p w14:paraId="176003AF" w14:textId="77777777" w:rsidR="00CE7AB0" w:rsidRPr="00483567" w:rsidRDefault="00CE7AB0" w:rsidP="00FC388E">
      <w:pPr>
        <w:pStyle w:val="BodyText"/>
      </w:pPr>
      <w:r w:rsidRPr="00483567">
        <w:t>Growers must keep a copy of their licence at the property where the plants are grown.</w:t>
      </w:r>
    </w:p>
    <w:p w14:paraId="597A0ADE" w14:textId="77777777" w:rsidR="00CE7AB0" w:rsidRDefault="00CE7AB0" w:rsidP="00FC388E">
      <w:pPr>
        <w:pStyle w:val="BodyText"/>
        <w:rPr>
          <w:bCs/>
        </w:rPr>
      </w:pPr>
      <w:r w:rsidRPr="00B42614">
        <w:t>Where the grower licensee has a retail or wholesale outlet, a copy of the licence must be available on request by an authorised officer. OEH recommends that the licence be displayed at the point of sale.</w:t>
      </w:r>
      <w:r w:rsidRPr="00B42614" w:rsidDel="00CD2256">
        <w:rPr>
          <w:bCs/>
        </w:rPr>
        <w:t xml:space="preserve"> </w:t>
      </w:r>
    </w:p>
    <w:p w14:paraId="39FFCCA0" w14:textId="77777777" w:rsidR="00CE7AB0" w:rsidRPr="00F93B90" w:rsidRDefault="00CE7AB0" w:rsidP="00FC388E">
      <w:r w:rsidRPr="009814F5">
        <w:t>Upon expiry of a Grower licence, OEH will endeavour to issue licence renewal notices, however, the onus lies with the licensee to ensure licences are renewed.</w:t>
      </w:r>
      <w:r>
        <w:t xml:space="preserve"> </w:t>
      </w:r>
    </w:p>
    <w:p w14:paraId="2559F822" w14:textId="77777777" w:rsidR="00CE7AB0" w:rsidRPr="00B42614" w:rsidRDefault="00CE7AB0" w:rsidP="00FC388E">
      <w:pPr>
        <w:pStyle w:val="BodyText"/>
      </w:pPr>
    </w:p>
    <w:p w14:paraId="0790FA4F" w14:textId="77777777" w:rsidR="00CE7AB0" w:rsidRPr="00483567" w:rsidRDefault="00CE7AB0" w:rsidP="00C57FF5">
      <w:pPr>
        <w:pStyle w:val="Heading1"/>
        <w:numPr>
          <w:ilvl w:val="0"/>
          <w:numId w:val="0"/>
        </w:numPr>
        <w:ind w:left="432" w:hanging="432"/>
      </w:pPr>
      <w:r w:rsidRPr="00483567">
        <w:br w:type="page"/>
      </w:r>
      <w:bookmarkStart w:id="741" w:name="_Toc273008511"/>
      <w:bookmarkStart w:id="742" w:name="_Toc283984831"/>
      <w:bookmarkStart w:id="743" w:name="_Toc301869684"/>
      <w:bookmarkStart w:id="744" w:name="_Toc328986880"/>
      <w:bookmarkStart w:id="745" w:name="_Toc328988090"/>
      <w:bookmarkStart w:id="746" w:name="_Toc328988172"/>
      <w:bookmarkStart w:id="747" w:name="_Toc328988253"/>
      <w:bookmarkStart w:id="748" w:name="_Toc328991067"/>
      <w:bookmarkStart w:id="749" w:name="_Toc328991549"/>
      <w:bookmarkStart w:id="750" w:name="_Toc492379117"/>
      <w:bookmarkStart w:id="751" w:name="_Toc494449605"/>
      <w:r w:rsidR="00C57FF5">
        <w:lastRenderedPageBreak/>
        <w:t xml:space="preserve">Appendix H: </w:t>
      </w:r>
      <w:r w:rsidRPr="00483567">
        <w:t>G</w:t>
      </w:r>
      <w:bookmarkStart w:id="752" w:name="_Toc273008512"/>
      <w:bookmarkEnd w:id="741"/>
      <w:r w:rsidRPr="00483567">
        <w:t xml:space="preserve">enus </w:t>
      </w:r>
      <w:r w:rsidRPr="00C57FF5">
        <w:rPr>
          <w:i/>
        </w:rPr>
        <w:t>Xanthorrhoea</w:t>
      </w:r>
      <w:bookmarkEnd w:id="742"/>
      <w:bookmarkEnd w:id="743"/>
      <w:bookmarkEnd w:id="744"/>
      <w:bookmarkEnd w:id="745"/>
      <w:bookmarkEnd w:id="746"/>
      <w:bookmarkEnd w:id="747"/>
      <w:bookmarkEnd w:id="748"/>
      <w:bookmarkEnd w:id="749"/>
      <w:bookmarkEnd w:id="750"/>
      <w:bookmarkEnd w:id="752"/>
      <w:bookmarkEnd w:id="751"/>
    </w:p>
    <w:p w14:paraId="5FDF66E3" w14:textId="77777777" w:rsidR="00CE7AB0" w:rsidRPr="00483567" w:rsidRDefault="00CE7AB0" w:rsidP="00FC388E">
      <w:pPr>
        <w:pStyle w:val="BodyText"/>
      </w:pPr>
      <w:r w:rsidRPr="00483567">
        <w:t xml:space="preserve">The grass tree family </w:t>
      </w:r>
      <w:proofErr w:type="spellStart"/>
      <w:r w:rsidRPr="00483567">
        <w:t>Xanthorrhoeaceae</w:t>
      </w:r>
      <w:proofErr w:type="spellEnd"/>
      <w:r w:rsidRPr="00483567">
        <w:t xml:space="preserve"> is endemic to Australia. It contains a single genus, </w:t>
      </w:r>
      <w:r w:rsidRPr="00483567">
        <w:rPr>
          <w:i/>
        </w:rPr>
        <w:t>Xanthorrhoea,</w:t>
      </w:r>
      <w:r w:rsidRPr="00483567">
        <w:t xml:space="preserve"> comprising 28 species with 13 occurring in NSW. The main species harvested in NSW are </w:t>
      </w:r>
      <w:r w:rsidRPr="00483567">
        <w:rPr>
          <w:i/>
        </w:rPr>
        <w:t xml:space="preserve">X. </w:t>
      </w:r>
      <w:proofErr w:type="spellStart"/>
      <w:r w:rsidRPr="00483567">
        <w:rPr>
          <w:i/>
        </w:rPr>
        <w:t>australis</w:t>
      </w:r>
      <w:proofErr w:type="spellEnd"/>
      <w:r w:rsidRPr="00483567">
        <w:rPr>
          <w:i/>
        </w:rPr>
        <w:t xml:space="preserve">, X. </w:t>
      </w:r>
      <w:proofErr w:type="spellStart"/>
      <w:r w:rsidRPr="00483567">
        <w:rPr>
          <w:i/>
        </w:rPr>
        <w:t>glauca</w:t>
      </w:r>
      <w:proofErr w:type="spellEnd"/>
      <w:r w:rsidRPr="00483567">
        <w:t xml:space="preserve">, </w:t>
      </w:r>
      <w:r w:rsidRPr="00483567">
        <w:rPr>
          <w:i/>
        </w:rPr>
        <w:t xml:space="preserve">X. </w:t>
      </w:r>
      <w:proofErr w:type="spellStart"/>
      <w:r w:rsidRPr="00483567">
        <w:rPr>
          <w:i/>
        </w:rPr>
        <w:t>johnsonii</w:t>
      </w:r>
      <w:proofErr w:type="spellEnd"/>
      <w:r w:rsidRPr="00483567">
        <w:t xml:space="preserve"> and </w:t>
      </w:r>
      <w:r w:rsidRPr="00483567">
        <w:rPr>
          <w:i/>
        </w:rPr>
        <w:t xml:space="preserve">X. </w:t>
      </w:r>
      <w:proofErr w:type="spellStart"/>
      <w:r w:rsidRPr="00483567">
        <w:rPr>
          <w:i/>
        </w:rPr>
        <w:t>resinifera</w:t>
      </w:r>
      <w:proofErr w:type="spellEnd"/>
      <w:r w:rsidRPr="00483567">
        <w:t>. Other species are likely to be harvested from time</w:t>
      </w:r>
      <w:r>
        <w:t xml:space="preserve"> </w:t>
      </w:r>
      <w:r w:rsidRPr="00483567">
        <w:t>to</w:t>
      </w:r>
      <w:r>
        <w:t xml:space="preserve"> </w:t>
      </w:r>
      <w:r w:rsidRPr="00483567">
        <w:t>time due to misidentification.</w:t>
      </w:r>
    </w:p>
    <w:p w14:paraId="187B0987" w14:textId="77777777" w:rsidR="00CE7AB0" w:rsidRPr="00483567" w:rsidRDefault="00CE7AB0" w:rsidP="00FC388E">
      <w:pPr>
        <w:pStyle w:val="BodyText"/>
      </w:pPr>
      <w:r w:rsidRPr="00DB20FF">
        <w:t xml:space="preserve">No species are currently listed under </w:t>
      </w:r>
      <w:r>
        <w:t xml:space="preserve">Schedule 1 of the </w:t>
      </w:r>
      <w:r w:rsidR="00C57FF5" w:rsidRPr="00C57FF5">
        <w:rPr>
          <w:i/>
        </w:rPr>
        <w:t>Biodiversity Conservation Act 2016</w:t>
      </w:r>
      <w:r w:rsidR="00C57FF5" w:rsidRPr="00C57FF5">
        <w:t xml:space="preserve"> (BC Act)</w:t>
      </w:r>
      <w:r w:rsidRPr="00DB20FF">
        <w:t>. However, grass trees form part of 12 threatened ecological communities (TECs) in NSW. Harvesting whole plants from TECs</w:t>
      </w:r>
      <w:r>
        <w:t xml:space="preserve"> </w:t>
      </w:r>
      <w:r w:rsidRPr="00DB20FF">
        <w:t xml:space="preserve">is not permitted under this plan. There are two species listed under the Commonwealth </w:t>
      </w:r>
      <w:r w:rsidRPr="00DB20FF">
        <w:rPr>
          <w:i/>
        </w:rPr>
        <w:t xml:space="preserve">Environment Protection and Biodiversity Conservation Act 1999, </w:t>
      </w:r>
      <w:r w:rsidRPr="00DB20FF">
        <w:t>neither of which naturally occurs in NSW.</w:t>
      </w:r>
      <w:r>
        <w:t xml:space="preserve"> </w:t>
      </w:r>
    </w:p>
    <w:p w14:paraId="43294B92" w14:textId="77777777" w:rsidR="00CE7AB0" w:rsidRPr="00483567" w:rsidRDefault="00CE7AB0" w:rsidP="00FC388E">
      <w:pPr>
        <w:pStyle w:val="BodyText"/>
      </w:pPr>
      <w:r w:rsidRPr="00483567">
        <w:t xml:space="preserve">Grass trees are renowned for their slow growth, and plant height for arborescent species </w:t>
      </w:r>
      <w:r w:rsidRPr="00C2245F">
        <w:t>has a direct correlation to plant age (</w:t>
      </w:r>
      <w:proofErr w:type="spellStart"/>
      <w:r w:rsidRPr="00C2245F">
        <w:t>Borsboom</w:t>
      </w:r>
      <w:proofErr w:type="spellEnd"/>
      <w:r w:rsidRPr="00C2245F">
        <w:t xml:space="preserve"> A 2005). Published growth rates vary</w:t>
      </w:r>
      <w:r w:rsidRPr="00483567">
        <w:t xml:space="preserve"> considerably between species and the most commonly harvested individuals (trunk heights between 50</w:t>
      </w:r>
      <w:r>
        <w:t xml:space="preserve"> </w:t>
      </w:r>
      <w:r w:rsidR="00C57FF5">
        <w:t>centimetres</w:t>
      </w:r>
      <w:r w:rsidRPr="00483567">
        <w:t xml:space="preserve"> and 100</w:t>
      </w:r>
      <w:r>
        <w:t xml:space="preserve"> </w:t>
      </w:r>
      <w:r w:rsidR="00C57FF5">
        <w:t>centimetres</w:t>
      </w:r>
      <w:r w:rsidRPr="00483567">
        <w:t>) are likely to be at least 56</w:t>
      </w:r>
      <w:r>
        <w:t> </w:t>
      </w:r>
      <w:r w:rsidRPr="00483567">
        <w:t xml:space="preserve">years </w:t>
      </w:r>
      <w:r>
        <w:t>old, ranging up to at least 113 </w:t>
      </w:r>
      <w:r w:rsidRPr="00483567">
        <w:t>years old for the larger plants based on an average growth rate of 8.8 </w:t>
      </w:r>
      <w:r w:rsidR="00C57FF5">
        <w:t>millimetres</w:t>
      </w:r>
      <w:r w:rsidRPr="00483567">
        <w:t xml:space="preserve"> per annum (</w:t>
      </w:r>
      <w:proofErr w:type="spellStart"/>
      <w:r w:rsidRPr="00483567">
        <w:t>Borsboom</w:t>
      </w:r>
      <w:proofErr w:type="spellEnd"/>
      <w:r w:rsidRPr="00483567">
        <w:t xml:space="preserve"> A 2005).</w:t>
      </w:r>
    </w:p>
    <w:p w14:paraId="2244FD7A" w14:textId="77777777" w:rsidR="00CE7AB0" w:rsidRPr="00483567" w:rsidRDefault="00CE7AB0" w:rsidP="00FC388E">
      <w:pPr>
        <w:pStyle w:val="BodyText"/>
      </w:pPr>
      <w:r w:rsidRPr="00483567">
        <w:t>For the purposes of this management plan, calculations of plant age for arborescent species are made at 8.8 </w:t>
      </w:r>
      <w:r w:rsidR="00C57FF5">
        <w:t>millimetres</w:t>
      </w:r>
      <w:r w:rsidRPr="00483567">
        <w:t xml:space="preserve"> per annum.</w:t>
      </w:r>
    </w:p>
    <w:p w14:paraId="4BBCF834" w14:textId="77777777" w:rsidR="00CE7AB0" w:rsidRDefault="00CE7AB0" w:rsidP="00C57FF5">
      <w:pPr>
        <w:pStyle w:val="Heading2"/>
        <w:numPr>
          <w:ilvl w:val="0"/>
          <w:numId w:val="0"/>
        </w:numPr>
        <w:ind w:left="794" w:hanging="794"/>
      </w:pPr>
      <w:bookmarkStart w:id="753" w:name="_Toc301869685"/>
      <w:bookmarkStart w:id="754" w:name="_Toc346619006"/>
      <w:bookmarkStart w:id="755" w:name="_Toc494449606"/>
      <w:r w:rsidRPr="00791D51">
        <w:t>General requirements</w:t>
      </w:r>
      <w:bookmarkEnd w:id="753"/>
      <w:bookmarkEnd w:id="754"/>
      <w:bookmarkEnd w:id="755"/>
    </w:p>
    <w:p w14:paraId="2B8AB64A" w14:textId="77777777" w:rsidR="00CE7AB0" w:rsidRPr="00483567" w:rsidRDefault="00CE7AB0" w:rsidP="00FC388E">
      <w:pPr>
        <w:pStyle w:val="BodyText"/>
      </w:pPr>
      <w:r w:rsidRPr="00483567">
        <w:t xml:space="preserve">The requirements for harvesting and growing </w:t>
      </w:r>
      <w:r w:rsidRPr="00483567">
        <w:rPr>
          <w:i/>
        </w:rPr>
        <w:t>Xanthorrhoea</w:t>
      </w:r>
      <w:r w:rsidRPr="00483567">
        <w:t xml:space="preserve"> species are</w:t>
      </w:r>
      <w:r>
        <w:t xml:space="preserve"> as follows.</w:t>
      </w:r>
    </w:p>
    <w:p w14:paraId="037FEEBB" w14:textId="77777777" w:rsidR="00CE7AB0" w:rsidRPr="00FC388E" w:rsidRDefault="00CE7AB0" w:rsidP="00FC388E">
      <w:pPr>
        <w:pStyle w:val="ListParagraph"/>
        <w:numPr>
          <w:ilvl w:val="0"/>
          <w:numId w:val="28"/>
        </w:numPr>
        <w:rPr>
          <w:spacing w:val="-2"/>
        </w:rPr>
      </w:pPr>
      <w:r w:rsidRPr="00483567">
        <w:t xml:space="preserve">All whole-plant harvesting of </w:t>
      </w:r>
      <w:r w:rsidRPr="00FC388E">
        <w:rPr>
          <w:i/>
        </w:rPr>
        <w:t xml:space="preserve">Xanthorrhoea </w:t>
      </w:r>
      <w:r w:rsidRPr="00483567">
        <w:t>species under this plan must be undertaken by an approved harvester.</w:t>
      </w:r>
    </w:p>
    <w:p w14:paraId="5DF63819" w14:textId="77777777" w:rsidR="00CE7AB0" w:rsidRPr="00FC388E" w:rsidRDefault="00CE7AB0" w:rsidP="00FC388E">
      <w:pPr>
        <w:pStyle w:val="ListParagraph"/>
        <w:numPr>
          <w:ilvl w:val="0"/>
          <w:numId w:val="28"/>
        </w:numPr>
        <w:rPr>
          <w:spacing w:val="-2"/>
        </w:rPr>
      </w:pPr>
      <w:r w:rsidRPr="00F84B28">
        <w:t xml:space="preserve">Identify the target plants to at least species level </w:t>
      </w:r>
      <w:r>
        <w:t>(</w:t>
      </w:r>
      <w:r w:rsidRPr="00F84B28">
        <w:t>or subspecies level</w:t>
      </w:r>
      <w:r>
        <w:t>,</w:t>
      </w:r>
      <w:r w:rsidRPr="00F84B28">
        <w:t xml:space="preserve"> where appropriate</w:t>
      </w:r>
      <w:r>
        <w:t>)</w:t>
      </w:r>
      <w:r w:rsidRPr="00F84B28">
        <w:t>.</w:t>
      </w:r>
    </w:p>
    <w:p w14:paraId="49D311D0" w14:textId="77777777" w:rsidR="00CE7AB0" w:rsidRPr="00FC388E" w:rsidRDefault="00CE7AB0" w:rsidP="00FC388E">
      <w:pPr>
        <w:pStyle w:val="ListParagraph"/>
        <w:numPr>
          <w:ilvl w:val="0"/>
          <w:numId w:val="28"/>
        </w:numPr>
        <w:rPr>
          <w:spacing w:val="-2"/>
        </w:rPr>
      </w:pPr>
      <w:r w:rsidRPr="00483567">
        <w:t>Population assessments for harvest estimates must count individuals within the following size classes for arborescent species:</w:t>
      </w:r>
    </w:p>
    <w:p w14:paraId="415F46A2" w14:textId="77777777" w:rsidR="00CE7AB0" w:rsidRPr="009D4DC0" w:rsidRDefault="00CE7AB0" w:rsidP="005B0FCA">
      <w:pPr>
        <w:pStyle w:val="Bulletlist"/>
        <w:numPr>
          <w:ilvl w:val="0"/>
          <w:numId w:val="42"/>
        </w:numPr>
      </w:pPr>
      <w:r w:rsidRPr="009D4DC0">
        <w:t>non-trunked plant with less than 40 leaves (class 1)</w:t>
      </w:r>
    </w:p>
    <w:p w14:paraId="7F25882B" w14:textId="77777777" w:rsidR="00CE7AB0" w:rsidRPr="009D4DC0" w:rsidRDefault="00CE7AB0" w:rsidP="005B0FCA">
      <w:pPr>
        <w:pStyle w:val="Bulletlist"/>
        <w:numPr>
          <w:ilvl w:val="0"/>
          <w:numId w:val="42"/>
        </w:numPr>
      </w:pPr>
      <w:r w:rsidRPr="009D4DC0">
        <w:t>plants with a trunk</w:t>
      </w:r>
      <w:r>
        <w:t xml:space="preserve"> height or length </w:t>
      </w:r>
      <w:r w:rsidRPr="009D4DC0">
        <w:t>less than 30 </w:t>
      </w:r>
      <w:r w:rsidR="006B7F6B">
        <w:t>centimetres</w:t>
      </w:r>
      <w:r w:rsidRPr="009D4DC0">
        <w:t xml:space="preserve"> (class 2)</w:t>
      </w:r>
    </w:p>
    <w:p w14:paraId="5DE5D939" w14:textId="77777777" w:rsidR="00CE7AB0" w:rsidRPr="009D4DC0" w:rsidRDefault="00CE7AB0" w:rsidP="005B0FCA">
      <w:pPr>
        <w:pStyle w:val="Bulletlist"/>
        <w:numPr>
          <w:ilvl w:val="0"/>
          <w:numId w:val="42"/>
        </w:numPr>
      </w:pPr>
      <w:r w:rsidRPr="009D4DC0">
        <w:t xml:space="preserve">plants with a trunk </w:t>
      </w:r>
      <w:r>
        <w:t xml:space="preserve">height or length </w:t>
      </w:r>
      <w:r w:rsidRPr="009D4DC0">
        <w:t>between 30 and 100 </w:t>
      </w:r>
      <w:r w:rsidR="006B7F6B">
        <w:t>centimetres</w:t>
      </w:r>
      <w:r w:rsidRPr="009D4DC0">
        <w:t xml:space="preserve"> (class </w:t>
      </w:r>
      <w:r>
        <w:t>3</w:t>
      </w:r>
      <w:r w:rsidRPr="009D4DC0">
        <w:t>)</w:t>
      </w:r>
    </w:p>
    <w:p w14:paraId="55CB466F" w14:textId="77777777" w:rsidR="00CE7AB0" w:rsidRDefault="00CE7AB0" w:rsidP="005B0FCA">
      <w:pPr>
        <w:pStyle w:val="Bulletlist"/>
        <w:numPr>
          <w:ilvl w:val="0"/>
          <w:numId w:val="42"/>
        </w:numPr>
      </w:pPr>
      <w:r w:rsidRPr="009D4DC0">
        <w:t xml:space="preserve">plants with a trunk </w:t>
      </w:r>
      <w:r>
        <w:t>height or length between</w:t>
      </w:r>
      <w:r w:rsidRPr="009D4DC0">
        <w:t xml:space="preserve"> 100 </w:t>
      </w:r>
      <w:r>
        <w:t>and 200 </w:t>
      </w:r>
      <w:r w:rsidR="006B7F6B">
        <w:t>centimetres</w:t>
      </w:r>
      <w:r w:rsidRPr="009D4DC0">
        <w:t xml:space="preserve"> (class </w:t>
      </w:r>
      <w:r>
        <w:t>4</w:t>
      </w:r>
      <w:r w:rsidRPr="009D4DC0">
        <w:t>)</w:t>
      </w:r>
    </w:p>
    <w:p w14:paraId="7259EB49" w14:textId="77777777" w:rsidR="00CE7AB0" w:rsidRPr="009D4DC0" w:rsidRDefault="00CE7AB0" w:rsidP="005B0FCA">
      <w:pPr>
        <w:pStyle w:val="Bulletlist"/>
        <w:numPr>
          <w:ilvl w:val="0"/>
          <w:numId w:val="42"/>
        </w:numPr>
      </w:pPr>
      <w:r>
        <w:t>plants with a trunk height or length greater than 200 </w:t>
      </w:r>
      <w:r w:rsidR="006B7F6B">
        <w:t>centimetres</w:t>
      </w:r>
      <w:r>
        <w:t xml:space="preserve"> (class 5)</w:t>
      </w:r>
    </w:p>
    <w:p w14:paraId="7EA43CFC" w14:textId="77777777" w:rsidR="00CE7AB0" w:rsidRPr="00FC388E" w:rsidRDefault="00CE7AB0" w:rsidP="00FC388E">
      <w:pPr>
        <w:pStyle w:val="ListParagraph"/>
        <w:numPr>
          <w:ilvl w:val="0"/>
          <w:numId w:val="28"/>
        </w:numPr>
        <w:rPr>
          <w:spacing w:val="-2"/>
        </w:rPr>
      </w:pPr>
      <w:r w:rsidRPr="00483567">
        <w:t xml:space="preserve">Plants are to be measured from the top of the root ball to the </w:t>
      </w:r>
      <w:r>
        <w:t>‘</w:t>
      </w:r>
      <w:r w:rsidRPr="00483567">
        <w:t>flat’ of the crown.</w:t>
      </w:r>
    </w:p>
    <w:p w14:paraId="7DC49E48" w14:textId="77777777" w:rsidR="00CE7AB0" w:rsidRPr="00FC388E" w:rsidRDefault="00CE7AB0" w:rsidP="00FC388E">
      <w:pPr>
        <w:pStyle w:val="ListParagraph"/>
        <w:numPr>
          <w:ilvl w:val="0"/>
          <w:numId w:val="28"/>
        </w:numPr>
        <w:rPr>
          <w:spacing w:val="-2"/>
        </w:rPr>
      </w:pPr>
      <w:r w:rsidRPr="00483567">
        <w:t>All harvested material must have the foliage removed at the harvest site. Foliage must be cut to a length not greater than 150 </w:t>
      </w:r>
      <w:r w:rsidR="006B7F6B">
        <w:t>millimetres</w:t>
      </w:r>
      <w:r w:rsidRPr="00483567">
        <w:t>. Cut foliage must be left at the harvest site.</w:t>
      </w:r>
    </w:p>
    <w:p w14:paraId="7AF93167" w14:textId="77777777" w:rsidR="00CE7AB0" w:rsidRPr="00FC388E" w:rsidRDefault="00CE7AB0" w:rsidP="00FC388E">
      <w:pPr>
        <w:pStyle w:val="ListParagraph"/>
        <w:numPr>
          <w:ilvl w:val="0"/>
          <w:numId w:val="28"/>
        </w:numPr>
        <w:rPr>
          <w:spacing w:val="-2"/>
        </w:rPr>
      </w:pPr>
      <w:r w:rsidRPr="00483567">
        <w:t>Plants must be maintained at the stockpile site for a minimum period of 120 days.</w:t>
      </w:r>
    </w:p>
    <w:p w14:paraId="44E9495C" w14:textId="77777777" w:rsidR="00CE7AB0" w:rsidRPr="00FC388E" w:rsidRDefault="00CE7AB0" w:rsidP="00FC388E">
      <w:pPr>
        <w:pStyle w:val="ListParagraph"/>
        <w:numPr>
          <w:ilvl w:val="0"/>
          <w:numId w:val="28"/>
        </w:numPr>
        <w:rPr>
          <w:spacing w:val="-2"/>
        </w:rPr>
      </w:pPr>
      <w:r w:rsidRPr="00483567">
        <w:t>Plants cannot be removed from the stockpile site ‘bare rooted’.</w:t>
      </w:r>
    </w:p>
    <w:p w14:paraId="44B01B86" w14:textId="77777777" w:rsidR="00CE7AB0" w:rsidRPr="00FC388E" w:rsidRDefault="00CE7AB0" w:rsidP="00FC388E">
      <w:pPr>
        <w:pStyle w:val="ListParagraph"/>
        <w:numPr>
          <w:ilvl w:val="0"/>
          <w:numId w:val="28"/>
        </w:numPr>
        <w:rPr>
          <w:spacing w:val="-2"/>
        </w:rPr>
      </w:pPr>
      <w:r w:rsidRPr="00483567">
        <w:t>Plants cannot be moved from the stockpile site or sold</w:t>
      </w:r>
      <w:r>
        <w:t>,</w:t>
      </w:r>
      <w:r w:rsidRPr="00483567">
        <w:t xml:space="preserve"> until foliage regrowth of 500 </w:t>
      </w:r>
      <w:r w:rsidR="006B7F6B">
        <w:t>millimetres</w:t>
      </w:r>
      <w:r w:rsidRPr="00483567">
        <w:t xml:space="preserve"> has occurred</w:t>
      </w:r>
      <w:r>
        <w:t xml:space="preserve"> (over and above the minimum holding period of 120 days)</w:t>
      </w:r>
      <w:r w:rsidRPr="00483567">
        <w:t xml:space="preserve">. </w:t>
      </w:r>
    </w:p>
    <w:p w14:paraId="331CBA00" w14:textId="77777777" w:rsidR="00CE7AB0" w:rsidRPr="00FC388E" w:rsidRDefault="00CE7AB0" w:rsidP="00FC388E">
      <w:pPr>
        <w:pStyle w:val="ListParagraph"/>
        <w:numPr>
          <w:ilvl w:val="0"/>
          <w:numId w:val="28"/>
        </w:numPr>
        <w:rPr>
          <w:spacing w:val="-2"/>
        </w:rPr>
      </w:pPr>
      <w:r w:rsidRPr="00483567">
        <w:t>For wild harvest and salva</w:t>
      </w:r>
      <w:r w:rsidR="006B7F6B">
        <w:t xml:space="preserve">ge, a minimum survivorship of </w:t>
      </w:r>
      <w:r>
        <w:t xml:space="preserve">85% </w:t>
      </w:r>
      <w:r w:rsidRPr="00483567">
        <w:t>at the stockpile site must be demonstrated. Failure to meet this benchmark will be sufficient grounds for cancellation or non-renewal of a licence.</w:t>
      </w:r>
    </w:p>
    <w:p w14:paraId="70184F10" w14:textId="77777777" w:rsidR="00CE7AB0" w:rsidRPr="00FC388E" w:rsidRDefault="00CE7AB0" w:rsidP="00FC388E">
      <w:pPr>
        <w:pStyle w:val="ListParagraph"/>
        <w:numPr>
          <w:ilvl w:val="0"/>
          <w:numId w:val="28"/>
        </w:numPr>
        <w:rPr>
          <w:spacing w:val="-2"/>
        </w:rPr>
      </w:pPr>
      <w:r w:rsidRPr="00B42614">
        <w:t>All material harvested from the wild must be tagged with NPWS tags.</w:t>
      </w:r>
    </w:p>
    <w:p w14:paraId="6F9E1A70" w14:textId="77777777" w:rsidR="00CE7AB0" w:rsidRPr="00FC388E" w:rsidRDefault="00CE7AB0" w:rsidP="00FC388E">
      <w:pPr>
        <w:pStyle w:val="ListParagraph"/>
        <w:numPr>
          <w:ilvl w:val="0"/>
          <w:numId w:val="28"/>
        </w:numPr>
        <w:rPr>
          <w:spacing w:val="-2"/>
        </w:rPr>
      </w:pPr>
      <w:r w:rsidRPr="00B42614">
        <w:t xml:space="preserve">All </w:t>
      </w:r>
      <w:r w:rsidRPr="00FC388E">
        <w:rPr>
          <w:i/>
        </w:rPr>
        <w:t xml:space="preserve">Xanthorrhoea </w:t>
      </w:r>
      <w:r w:rsidRPr="00B42614">
        <w:t>species whole plants must be sold in a pot including growing media.</w:t>
      </w:r>
    </w:p>
    <w:p w14:paraId="1F691DD2" w14:textId="77777777" w:rsidR="00CE7AB0" w:rsidRPr="00FC388E" w:rsidRDefault="00CE7AB0" w:rsidP="00FC388E">
      <w:pPr>
        <w:pStyle w:val="ListParagraph"/>
        <w:numPr>
          <w:ilvl w:val="0"/>
          <w:numId w:val="28"/>
        </w:numPr>
        <w:rPr>
          <w:spacing w:val="-2"/>
        </w:rPr>
      </w:pPr>
      <w:r w:rsidRPr="009814F5">
        <w:lastRenderedPageBreak/>
        <w:t>All plant material which has a trunk and is produced under any licence, including a</w:t>
      </w:r>
      <w:r w:rsidRPr="00B42614">
        <w:t xml:space="preserve"> grower licence, must have NPWS tags.</w:t>
      </w:r>
    </w:p>
    <w:p w14:paraId="1EA9C0C1" w14:textId="77777777" w:rsidR="00CE7AB0" w:rsidRPr="00791D51" w:rsidRDefault="00CE7AB0" w:rsidP="006B7F6B">
      <w:pPr>
        <w:pStyle w:val="Heading2"/>
        <w:numPr>
          <w:ilvl w:val="0"/>
          <w:numId w:val="0"/>
        </w:numPr>
        <w:ind w:left="794" w:hanging="794"/>
      </w:pPr>
      <w:bookmarkStart w:id="756" w:name="_Toc301869686"/>
      <w:bookmarkStart w:id="757" w:name="_Toc346619007"/>
      <w:bookmarkStart w:id="758" w:name="_Toc494449607"/>
      <w:r w:rsidRPr="00791D51">
        <w:t>Sustainable harvest</w:t>
      </w:r>
      <w:bookmarkEnd w:id="756"/>
      <w:bookmarkEnd w:id="757"/>
      <w:bookmarkEnd w:id="758"/>
    </w:p>
    <w:p w14:paraId="7154802E" w14:textId="77777777" w:rsidR="00CE7AB0" w:rsidRPr="00B42614" w:rsidRDefault="00CE7AB0" w:rsidP="00FC388E">
      <w:pPr>
        <w:pStyle w:val="BodyText"/>
      </w:pPr>
      <w:r w:rsidRPr="00B42614">
        <w:t xml:space="preserve">The following specific requirements apply to sustainably harvesting </w:t>
      </w:r>
      <w:r w:rsidRPr="00B42614">
        <w:rPr>
          <w:i/>
        </w:rPr>
        <w:t>Xanthorrhoea</w:t>
      </w:r>
      <w:r w:rsidRPr="00B42614">
        <w:t xml:space="preserve"> species.</w:t>
      </w:r>
    </w:p>
    <w:p w14:paraId="51C65D45" w14:textId="77777777" w:rsidR="00CE7AB0" w:rsidRPr="00483567" w:rsidRDefault="00CE7AB0" w:rsidP="00FC388E">
      <w:pPr>
        <w:pStyle w:val="ListParagraph"/>
        <w:numPr>
          <w:ilvl w:val="0"/>
          <w:numId w:val="28"/>
        </w:numPr>
      </w:pPr>
      <w:r w:rsidRPr="00483567">
        <w:t>Must demonstrate a minimum population of 10,000 plants on the property to undertake any harvest.</w:t>
      </w:r>
    </w:p>
    <w:p w14:paraId="41F503F2" w14:textId="77777777" w:rsidR="00CE7AB0" w:rsidRPr="00483567" w:rsidRDefault="00CE7AB0" w:rsidP="00FC388E">
      <w:pPr>
        <w:pStyle w:val="ListParagraph"/>
        <w:numPr>
          <w:ilvl w:val="0"/>
          <w:numId w:val="28"/>
        </w:numPr>
      </w:pPr>
      <w:r w:rsidRPr="00483567">
        <w:t>Must demonstrate recruitment of plants is occurring to undertake harvest.</w:t>
      </w:r>
    </w:p>
    <w:p w14:paraId="6FA5399F" w14:textId="77777777" w:rsidR="00CE7AB0" w:rsidRPr="00483567" w:rsidRDefault="00CE7AB0" w:rsidP="00FC388E">
      <w:pPr>
        <w:pStyle w:val="ListParagraph"/>
        <w:numPr>
          <w:ilvl w:val="0"/>
          <w:numId w:val="28"/>
        </w:numPr>
      </w:pPr>
      <w:r w:rsidRPr="00483567">
        <w:t>Must provide count of individuals in size classes to support the recruitment statement.</w:t>
      </w:r>
    </w:p>
    <w:p w14:paraId="30A07961" w14:textId="77777777" w:rsidR="00CE7AB0" w:rsidRDefault="00CE7AB0" w:rsidP="00FC388E">
      <w:pPr>
        <w:pStyle w:val="ListParagraph"/>
        <w:numPr>
          <w:ilvl w:val="0"/>
          <w:numId w:val="28"/>
        </w:numPr>
      </w:pPr>
      <w:r>
        <w:t>Sustainable h</w:t>
      </w:r>
      <w:r w:rsidRPr="00483567">
        <w:t>arvest is only permitted for plants in size classes 3 and 4.</w:t>
      </w:r>
    </w:p>
    <w:p w14:paraId="175D5861" w14:textId="77777777" w:rsidR="00CE7AB0" w:rsidRPr="00483567" w:rsidRDefault="00CE7AB0" w:rsidP="00FC388E">
      <w:pPr>
        <w:pStyle w:val="ListParagraph"/>
        <w:numPr>
          <w:ilvl w:val="0"/>
          <w:numId w:val="28"/>
        </w:numPr>
      </w:pPr>
      <w:r>
        <w:t>NPWS tag premium will be charged for plants in size class 4.</w:t>
      </w:r>
    </w:p>
    <w:p w14:paraId="7314486B" w14:textId="77777777" w:rsidR="00CE7AB0" w:rsidRPr="00856B2B" w:rsidRDefault="00CE7AB0" w:rsidP="00FC388E">
      <w:pPr>
        <w:pStyle w:val="ListParagraph"/>
        <w:numPr>
          <w:ilvl w:val="0"/>
          <w:numId w:val="28"/>
        </w:numPr>
      </w:pPr>
      <w:r w:rsidRPr="00856B2B">
        <w:t>Harvest rates will be set according to section 4.10.3</w:t>
      </w:r>
    </w:p>
    <w:p w14:paraId="6C2B2023" w14:textId="77777777" w:rsidR="00CE7AB0" w:rsidRPr="00483567" w:rsidRDefault="00CE7AB0" w:rsidP="00FC388E">
      <w:pPr>
        <w:pStyle w:val="ListParagraph"/>
        <w:numPr>
          <w:ilvl w:val="0"/>
          <w:numId w:val="28"/>
        </w:numPr>
      </w:pPr>
      <w:r w:rsidRPr="00483567">
        <w:t>Harvesting is not permitted from rocky terrain as survivorship of material harvested from these situations has been shown to be poor.</w:t>
      </w:r>
      <w:r>
        <w:t xml:space="preserve">  However, plants within rocky terrain may be included within the overall population and site assessment to establish sustainable harvest rates. </w:t>
      </w:r>
    </w:p>
    <w:p w14:paraId="4D7CD4E0" w14:textId="77777777" w:rsidR="00CE7AB0" w:rsidRPr="00483567" w:rsidRDefault="00CE7AB0" w:rsidP="00FC388E">
      <w:pPr>
        <w:pStyle w:val="ListParagraph"/>
        <w:numPr>
          <w:ilvl w:val="0"/>
          <w:numId w:val="28"/>
        </w:numPr>
      </w:pPr>
      <w:r w:rsidRPr="00483567">
        <w:t>The applicant is responsible for ensuring that any other approvals are obtained.</w:t>
      </w:r>
    </w:p>
    <w:p w14:paraId="48FF8073" w14:textId="77777777" w:rsidR="00CE7AB0" w:rsidRPr="00791D51" w:rsidRDefault="00CE7AB0" w:rsidP="006B7F6B">
      <w:pPr>
        <w:pStyle w:val="Heading2"/>
        <w:numPr>
          <w:ilvl w:val="0"/>
          <w:numId w:val="0"/>
        </w:numPr>
        <w:ind w:left="794" w:hanging="794"/>
      </w:pPr>
      <w:bookmarkStart w:id="759" w:name="_Toc301869687"/>
      <w:bookmarkStart w:id="760" w:name="_Toc346619008"/>
      <w:bookmarkStart w:id="761" w:name="_Toc494449608"/>
      <w:r w:rsidRPr="00791D51">
        <w:t>Salvage harvest</w:t>
      </w:r>
      <w:bookmarkEnd w:id="759"/>
      <w:bookmarkEnd w:id="760"/>
      <w:bookmarkEnd w:id="761"/>
    </w:p>
    <w:p w14:paraId="0CEF84E9" w14:textId="77777777" w:rsidR="00CE7AB0" w:rsidRPr="00483567" w:rsidRDefault="00CE7AB0" w:rsidP="00FC388E">
      <w:pPr>
        <w:pStyle w:val="BodyText"/>
      </w:pPr>
      <w:r w:rsidRPr="00483567">
        <w:t xml:space="preserve">The following specific requirements apply to </w:t>
      </w:r>
      <w:r w:rsidRPr="00483567">
        <w:rPr>
          <w:i/>
        </w:rPr>
        <w:t xml:space="preserve">Xanthorrhoea </w:t>
      </w:r>
      <w:r w:rsidRPr="00483567">
        <w:t>species harvested under a salvage licence:</w:t>
      </w:r>
    </w:p>
    <w:p w14:paraId="5BCA9CE9" w14:textId="77777777" w:rsidR="00CE7AB0" w:rsidRPr="00483567" w:rsidRDefault="00CE7AB0" w:rsidP="00FC388E">
      <w:pPr>
        <w:pStyle w:val="ListParagraph"/>
        <w:numPr>
          <w:ilvl w:val="0"/>
          <w:numId w:val="28"/>
        </w:numPr>
      </w:pPr>
      <w:r w:rsidRPr="00483567">
        <w:t>OEH may require salvage plants to be specifically identifiable</w:t>
      </w:r>
      <w:r>
        <w:t xml:space="preserve"> through the use of salvage-specific tags or similar methods</w:t>
      </w:r>
      <w:r w:rsidRPr="00483567">
        <w:t>.</w:t>
      </w:r>
    </w:p>
    <w:p w14:paraId="06F26E50" w14:textId="77777777" w:rsidR="00CE7AB0" w:rsidRDefault="00CE7AB0" w:rsidP="00FC388E">
      <w:pPr>
        <w:pStyle w:val="ListParagraph"/>
        <w:numPr>
          <w:ilvl w:val="0"/>
          <w:numId w:val="28"/>
        </w:numPr>
      </w:pPr>
      <w:r w:rsidRPr="00483567">
        <w:t xml:space="preserve">For salvage harvest, only plants in size classes </w:t>
      </w:r>
      <w:r>
        <w:t xml:space="preserve">3 to </w:t>
      </w:r>
      <w:r w:rsidRPr="00483567">
        <w:t>5 may be harvested.</w:t>
      </w:r>
    </w:p>
    <w:p w14:paraId="1D7EBA79" w14:textId="77777777" w:rsidR="00CE7AB0" w:rsidRPr="00247ACC" w:rsidRDefault="00CE7AB0" w:rsidP="00FC388E">
      <w:pPr>
        <w:pStyle w:val="ListParagraph"/>
        <w:numPr>
          <w:ilvl w:val="0"/>
          <w:numId w:val="28"/>
        </w:numPr>
      </w:pPr>
      <w:r w:rsidRPr="00A07EC2">
        <w:t xml:space="preserve">NPWS tag premium </w:t>
      </w:r>
      <w:r w:rsidRPr="00011D5E">
        <w:t xml:space="preserve">will be charged for plants in size class </w:t>
      </w:r>
      <w:r w:rsidR="006B7F6B">
        <w:t>4 and 5 (plants over one</w:t>
      </w:r>
      <w:r>
        <w:t> m</w:t>
      </w:r>
      <w:r w:rsidR="006B7F6B">
        <w:t>etre</w:t>
      </w:r>
      <w:r>
        <w:t>)</w:t>
      </w:r>
      <w:r w:rsidRPr="00011D5E">
        <w:t>.</w:t>
      </w:r>
    </w:p>
    <w:p w14:paraId="21C46B68" w14:textId="77777777" w:rsidR="00CE7AB0" w:rsidRPr="00791D51" w:rsidRDefault="00CE7AB0" w:rsidP="006B7F6B">
      <w:pPr>
        <w:pStyle w:val="Heading2"/>
        <w:numPr>
          <w:ilvl w:val="0"/>
          <w:numId w:val="0"/>
        </w:numPr>
        <w:ind w:left="794" w:hanging="794"/>
      </w:pPr>
      <w:bookmarkStart w:id="762" w:name="_Toc301869688"/>
      <w:bookmarkStart w:id="763" w:name="_Toc346619009"/>
      <w:bookmarkStart w:id="764" w:name="_Toc494449609"/>
      <w:r w:rsidRPr="00791D51">
        <w:t>Grower production</w:t>
      </w:r>
      <w:bookmarkEnd w:id="762"/>
      <w:bookmarkEnd w:id="763"/>
      <w:bookmarkEnd w:id="764"/>
    </w:p>
    <w:p w14:paraId="07593825" w14:textId="77777777" w:rsidR="00CE7AB0" w:rsidRPr="00483567" w:rsidRDefault="00CE7AB0" w:rsidP="00FC388E">
      <w:r w:rsidRPr="00483567">
        <w:t xml:space="preserve">The following specific requirements apply to </w:t>
      </w:r>
      <w:r w:rsidRPr="00483567">
        <w:rPr>
          <w:i/>
        </w:rPr>
        <w:t>Xanthorrhoea</w:t>
      </w:r>
      <w:r w:rsidRPr="00483567">
        <w:t xml:space="preserve"> species grown in artificial cultivation:</w:t>
      </w:r>
    </w:p>
    <w:p w14:paraId="04CBA23C" w14:textId="77777777" w:rsidR="00CE7AB0" w:rsidRPr="00483567" w:rsidRDefault="00CE7AB0" w:rsidP="00FC388E">
      <w:pPr>
        <w:pStyle w:val="ListParagraph"/>
        <w:numPr>
          <w:ilvl w:val="0"/>
          <w:numId w:val="28"/>
        </w:numPr>
      </w:pPr>
      <w:r w:rsidRPr="00483567">
        <w:t>Grower licensees may produce plants in all size classes. As sales are most likely in size classes 1</w:t>
      </w:r>
      <w:r>
        <w:t xml:space="preserve"> to </w:t>
      </w:r>
      <w:r w:rsidRPr="00483567">
        <w:t>2, material in size classes larger than these should be carefully examined due to the possibility that wild harvested material may be passed off as ‘grown’.</w:t>
      </w:r>
    </w:p>
    <w:p w14:paraId="131B9385" w14:textId="77777777" w:rsidR="00CE7AB0" w:rsidRPr="00483567" w:rsidRDefault="00CE7AB0" w:rsidP="00FC388E">
      <w:pPr>
        <w:pStyle w:val="ListParagraph"/>
        <w:numPr>
          <w:ilvl w:val="0"/>
          <w:numId w:val="28"/>
        </w:numPr>
      </w:pPr>
      <w:r w:rsidRPr="00483567">
        <w:t>Foliage length requirements do not apply to products produced under a grower licence.</w:t>
      </w:r>
    </w:p>
    <w:p w14:paraId="23F6FFE1" w14:textId="77777777" w:rsidR="00CE7AB0" w:rsidRPr="00483567" w:rsidRDefault="00CE7AB0" w:rsidP="00FC388E">
      <w:pPr>
        <w:pStyle w:val="ListParagraph"/>
        <w:numPr>
          <w:ilvl w:val="0"/>
          <w:numId w:val="28"/>
        </w:numPr>
      </w:pPr>
      <w:r w:rsidRPr="00483567">
        <w:t>All material produced under a grower licence must have a grower tag that meets the requirement set out in 4.11.2.</w:t>
      </w:r>
    </w:p>
    <w:p w14:paraId="55C314CF" w14:textId="77777777" w:rsidR="00CE7AB0" w:rsidRPr="00483567" w:rsidRDefault="00CE7AB0" w:rsidP="00FC388E">
      <w:pPr>
        <w:pStyle w:val="ListParagraph"/>
        <w:numPr>
          <w:ilvl w:val="0"/>
          <w:numId w:val="28"/>
        </w:numPr>
      </w:pPr>
      <w:r w:rsidRPr="00483567">
        <w:t xml:space="preserve">All material with a </w:t>
      </w:r>
      <w:r w:rsidRPr="009814F5">
        <w:t>trunk</w:t>
      </w:r>
      <w:r w:rsidRPr="00483567">
        <w:t xml:space="preserve"> produced under a grower licence must also have an </w:t>
      </w:r>
      <w:r>
        <w:t>NPWS</w:t>
      </w:r>
      <w:r w:rsidRPr="00483567">
        <w:t xml:space="preserve"> tag in addition to a grower tag.</w:t>
      </w:r>
      <w:r w:rsidRPr="00483567" w:rsidDel="002E1FB3">
        <w:t xml:space="preserve"> </w:t>
      </w:r>
    </w:p>
    <w:p w14:paraId="38021A46" w14:textId="77777777" w:rsidR="00CE7AB0" w:rsidRPr="00483567" w:rsidRDefault="00CE7AB0" w:rsidP="006B7F6B">
      <w:pPr>
        <w:pStyle w:val="Heading1"/>
        <w:numPr>
          <w:ilvl w:val="0"/>
          <w:numId w:val="0"/>
        </w:numPr>
        <w:ind w:left="432" w:hanging="432"/>
      </w:pPr>
      <w:r w:rsidRPr="00642570">
        <w:rPr>
          <w:color w:val="FF00FF"/>
          <w:szCs w:val="40"/>
        </w:rPr>
        <w:br w:type="page"/>
      </w:r>
      <w:bookmarkStart w:id="765" w:name="_Toc283984832"/>
      <w:bookmarkStart w:id="766" w:name="_Toc301869689"/>
      <w:bookmarkStart w:id="767" w:name="_Toc328986881"/>
      <w:bookmarkStart w:id="768" w:name="_Toc328988091"/>
      <w:bookmarkStart w:id="769" w:name="_Toc328988173"/>
      <w:bookmarkStart w:id="770" w:name="_Toc328988254"/>
      <w:bookmarkStart w:id="771" w:name="_Toc328991068"/>
      <w:bookmarkStart w:id="772" w:name="_Toc328991550"/>
      <w:bookmarkStart w:id="773" w:name="_Toc492379118"/>
      <w:bookmarkStart w:id="774" w:name="_Toc494449610"/>
      <w:r w:rsidR="006B7F6B">
        <w:lastRenderedPageBreak/>
        <w:t xml:space="preserve">Appendix I: </w:t>
      </w:r>
      <w:r w:rsidRPr="00483567">
        <w:t xml:space="preserve">Family </w:t>
      </w:r>
      <w:proofErr w:type="spellStart"/>
      <w:r w:rsidRPr="00483567">
        <w:t>Orchidaceae</w:t>
      </w:r>
      <w:bookmarkEnd w:id="765"/>
      <w:bookmarkEnd w:id="766"/>
      <w:bookmarkEnd w:id="767"/>
      <w:bookmarkEnd w:id="768"/>
      <w:bookmarkEnd w:id="769"/>
      <w:bookmarkEnd w:id="770"/>
      <w:bookmarkEnd w:id="771"/>
      <w:bookmarkEnd w:id="772"/>
      <w:bookmarkEnd w:id="773"/>
      <w:bookmarkEnd w:id="774"/>
      <w:proofErr w:type="spellEnd"/>
    </w:p>
    <w:p w14:paraId="43B6B770" w14:textId="77777777" w:rsidR="00CE7AB0" w:rsidRPr="00483567" w:rsidRDefault="00CE7AB0" w:rsidP="00FC388E">
      <w:pPr>
        <w:pStyle w:val="BodyText"/>
      </w:pPr>
      <w:proofErr w:type="spellStart"/>
      <w:r w:rsidRPr="00483567">
        <w:t>Orchidaceae</w:t>
      </w:r>
      <w:proofErr w:type="spellEnd"/>
      <w:r w:rsidRPr="00483567">
        <w:t xml:space="preserve"> is one of the largest known plant families, with up to 35,000 species recognised worldwide. There are over 600 recognised species in Australia and over 450 in NSW, including naturally occurring hybrids.</w:t>
      </w:r>
    </w:p>
    <w:p w14:paraId="53A80C84" w14:textId="77777777" w:rsidR="00CE7AB0" w:rsidRPr="00483567" w:rsidRDefault="00CE7AB0" w:rsidP="00FC388E">
      <w:pPr>
        <w:pStyle w:val="BodyText"/>
      </w:pPr>
      <w:r w:rsidRPr="00483567">
        <w:t xml:space="preserve">Orchids can generally be divided into two broad groups: epiphytes (those that grow on trees, rocks or in tree hollows, including climbing species) and terrestrials (those that grow on or in the ground). There are approximately 74 species of epiphyte and 390 species of terrestrial orchid in NSW. Many have very restricted geographical ranges </w:t>
      </w:r>
      <w:r>
        <w:t xml:space="preserve">and 60 species are listed as threatened under Schedule 1 of the </w:t>
      </w:r>
      <w:r w:rsidR="006B7F6B" w:rsidRPr="006B7F6B">
        <w:rPr>
          <w:i/>
        </w:rPr>
        <w:t>Biodiversity Conservation Act 2016</w:t>
      </w:r>
      <w:r w:rsidR="006B7F6B" w:rsidRPr="006B7F6B">
        <w:t xml:space="preserve"> (BC Act)</w:t>
      </w:r>
      <w:r w:rsidRPr="00483567">
        <w:t xml:space="preserve">. </w:t>
      </w:r>
    </w:p>
    <w:p w14:paraId="70F51312" w14:textId="77777777" w:rsidR="00CE7AB0" w:rsidRPr="00483567" w:rsidRDefault="00CE7AB0" w:rsidP="00FC388E">
      <w:pPr>
        <w:pStyle w:val="BodyText"/>
      </w:pPr>
      <w:r w:rsidRPr="00483567">
        <w:t>Harvesting and propagating orchids is an established part of the whole-plant industry. The vast majority of trade focuses on the epiphytes which are renowned for their beautiful flowers. Terrestrial orchids are seldom seen in trade outside of specialist orchid clubs and societies.</w:t>
      </w:r>
    </w:p>
    <w:p w14:paraId="04E981B1" w14:textId="77777777" w:rsidR="00CE7AB0" w:rsidRPr="00483567" w:rsidRDefault="00CE7AB0" w:rsidP="00FC388E">
      <w:pPr>
        <w:pStyle w:val="BodyText"/>
      </w:pPr>
      <w:r w:rsidRPr="00483567">
        <w:t>While cultivation techniques exist for most orchids, effort is</w:t>
      </w:r>
      <w:r>
        <w:t xml:space="preserve"> mainly</w:t>
      </w:r>
      <w:r w:rsidRPr="00483567">
        <w:t xml:space="preserve"> focused on epiphytes with the largest flowers or best perfume. Other species have primarily been supplied through wild harvest, and there is strong anecdotal evidence of significantly reduced populations and local extinctions. Since many of these species can be readily propagated there is little justification for continuing wild harvest.</w:t>
      </w:r>
    </w:p>
    <w:p w14:paraId="0D21295D" w14:textId="77777777" w:rsidR="00CE7AB0" w:rsidRPr="00483567" w:rsidRDefault="00CE7AB0" w:rsidP="00FC388E">
      <w:pPr>
        <w:pStyle w:val="BodyText"/>
      </w:pPr>
      <w:r w:rsidRPr="00483567">
        <w:t xml:space="preserve">OEH supports a transition to propagated material through ending wild harvest for all orchids that can be cultivated. All species are restricted to grower licences with the exception of </w:t>
      </w:r>
      <w:r w:rsidRPr="00FC5810">
        <w:t>those few epiphytes listed in Part 2 Group 3 (see details below).</w:t>
      </w:r>
    </w:p>
    <w:p w14:paraId="4C3C81E4" w14:textId="77777777" w:rsidR="00CE7AB0" w:rsidRPr="00483567" w:rsidRDefault="00CE7AB0" w:rsidP="00FC388E">
      <w:pPr>
        <w:pStyle w:val="BodyText"/>
      </w:pPr>
      <w:r w:rsidRPr="00483567">
        <w:t>The requirements for harvesting and/or growing orchids are described below.</w:t>
      </w:r>
    </w:p>
    <w:p w14:paraId="484FEF01" w14:textId="77777777" w:rsidR="00CE7AB0" w:rsidRPr="00791D51" w:rsidRDefault="00CE7AB0" w:rsidP="006B7F6B">
      <w:pPr>
        <w:pStyle w:val="Heading2"/>
        <w:numPr>
          <w:ilvl w:val="0"/>
          <w:numId w:val="0"/>
        </w:numPr>
        <w:ind w:left="794" w:hanging="794"/>
      </w:pPr>
      <w:bookmarkStart w:id="775" w:name="_Toc346619011"/>
      <w:bookmarkStart w:id="776" w:name="_Toc494449611"/>
      <w:bookmarkStart w:id="777" w:name="_Toc301869690"/>
      <w:r w:rsidRPr="00791D51">
        <w:t>Sustainable harvest</w:t>
      </w:r>
      <w:bookmarkEnd w:id="775"/>
      <w:bookmarkEnd w:id="776"/>
    </w:p>
    <w:p w14:paraId="3D90D7C6" w14:textId="77777777" w:rsidR="00CE7AB0" w:rsidRPr="00DB20FF" w:rsidRDefault="00CE7AB0" w:rsidP="00FC388E">
      <w:pPr>
        <w:pStyle w:val="ListParagraph"/>
        <w:numPr>
          <w:ilvl w:val="0"/>
          <w:numId w:val="29"/>
        </w:numPr>
      </w:pPr>
      <w:r w:rsidRPr="00DB20FF">
        <w:t>Approved harvesters must ensure that the population assessment is sufficient to cover the harvest proposed.</w:t>
      </w:r>
    </w:p>
    <w:p w14:paraId="78B29BAC" w14:textId="77777777" w:rsidR="00CE7AB0" w:rsidRPr="00DB20FF" w:rsidRDefault="00CE7AB0" w:rsidP="00FC388E">
      <w:pPr>
        <w:pStyle w:val="ListParagraph"/>
        <w:numPr>
          <w:ilvl w:val="0"/>
          <w:numId w:val="29"/>
        </w:numPr>
      </w:pPr>
      <w:r w:rsidRPr="00DB20FF">
        <w:t>Harvest rates will be set according to section 4.10.3</w:t>
      </w:r>
    </w:p>
    <w:p w14:paraId="770B0008" w14:textId="77777777" w:rsidR="00CE7AB0" w:rsidRPr="00DB20FF" w:rsidRDefault="00CE7AB0" w:rsidP="00FC388E">
      <w:pPr>
        <w:pStyle w:val="ListParagraph"/>
        <w:numPr>
          <w:ilvl w:val="0"/>
          <w:numId w:val="29"/>
        </w:numPr>
      </w:pPr>
      <w:r w:rsidRPr="00DB20FF">
        <w:t>All products must be tagged with NPWS tags. Harvested material cannot be divided and must be tagged as harvested</w:t>
      </w:r>
      <w:r>
        <w:t>;</w:t>
      </w:r>
      <w:r w:rsidRPr="00DB20FF">
        <w:t xml:space="preserve"> OEH will not support the subsequent division of material</w:t>
      </w:r>
      <w:r w:rsidRPr="00FC388E">
        <w:rPr>
          <w:color w:val="3366FF"/>
        </w:rPr>
        <w:t>.</w:t>
      </w:r>
      <w:r w:rsidRPr="00DB20FF">
        <w:t xml:space="preserve"> </w:t>
      </w:r>
    </w:p>
    <w:p w14:paraId="7C0D1822" w14:textId="77777777" w:rsidR="00CE7AB0" w:rsidRPr="00DB20FF" w:rsidRDefault="00CE7AB0" w:rsidP="00FC388E">
      <w:pPr>
        <w:pStyle w:val="ListParagraph"/>
        <w:numPr>
          <w:ilvl w:val="0"/>
          <w:numId w:val="29"/>
        </w:numPr>
      </w:pPr>
      <w:r w:rsidRPr="00DB20FF">
        <w:t>Plants cannot be offered for sale without being established on a growing media. Specifically, plants cannot be offered for sale in a ‘bare root’ form.</w:t>
      </w:r>
    </w:p>
    <w:p w14:paraId="1D63B97A" w14:textId="77777777" w:rsidR="00CE7AB0" w:rsidRPr="00833F60" w:rsidRDefault="00CE7AB0" w:rsidP="00FC388E">
      <w:pPr>
        <w:pStyle w:val="ListParagraph"/>
        <w:numPr>
          <w:ilvl w:val="0"/>
          <w:numId w:val="29"/>
        </w:numPr>
      </w:pPr>
      <w:r w:rsidRPr="00833F60">
        <w:t xml:space="preserve">Plants cannot be offered for sale attached to the ‘endemic’ growing media from which they were harvested. </w:t>
      </w:r>
    </w:p>
    <w:p w14:paraId="15CF512B" w14:textId="77777777" w:rsidR="00CE7AB0" w:rsidRPr="00833F60" w:rsidRDefault="00CE7AB0" w:rsidP="00FC388E">
      <w:pPr>
        <w:pStyle w:val="ListParagraph"/>
        <w:numPr>
          <w:ilvl w:val="0"/>
          <w:numId w:val="29"/>
        </w:numPr>
      </w:pPr>
      <w:r w:rsidRPr="00833F60">
        <w:t xml:space="preserve">For the purposes of a population assessment and tagging requirements for </w:t>
      </w:r>
      <w:r w:rsidRPr="00FC388E">
        <w:rPr>
          <w:i/>
        </w:rPr>
        <w:t xml:space="preserve">Dendrobium </w:t>
      </w:r>
      <w:proofErr w:type="spellStart"/>
      <w:r w:rsidRPr="00FC388E">
        <w:rPr>
          <w:i/>
        </w:rPr>
        <w:t>aemulum</w:t>
      </w:r>
      <w:proofErr w:type="spellEnd"/>
      <w:r w:rsidRPr="00833F60">
        <w:t xml:space="preserve">, </w:t>
      </w:r>
      <w:r w:rsidRPr="00FC388E">
        <w:rPr>
          <w:i/>
        </w:rPr>
        <w:t xml:space="preserve">D. </w:t>
      </w:r>
      <w:proofErr w:type="spellStart"/>
      <w:r w:rsidRPr="00FC388E">
        <w:rPr>
          <w:i/>
        </w:rPr>
        <w:t>gracilicaule</w:t>
      </w:r>
      <w:proofErr w:type="spellEnd"/>
      <w:r w:rsidRPr="00833F60">
        <w:t xml:space="preserve"> and </w:t>
      </w:r>
      <w:r w:rsidRPr="00FC388E">
        <w:rPr>
          <w:i/>
        </w:rPr>
        <w:t xml:space="preserve">D. </w:t>
      </w:r>
      <w:proofErr w:type="spellStart"/>
      <w:r w:rsidRPr="00FC388E">
        <w:rPr>
          <w:i/>
        </w:rPr>
        <w:t>speciosum</w:t>
      </w:r>
      <w:proofErr w:type="spellEnd"/>
      <w:r w:rsidRPr="00833F60">
        <w:t xml:space="preserve"> </w:t>
      </w:r>
      <w:proofErr w:type="spellStart"/>
      <w:r w:rsidRPr="00833F60">
        <w:t>var</w:t>
      </w:r>
      <w:proofErr w:type="spellEnd"/>
      <w:r w:rsidRPr="00833F60">
        <w:t xml:space="preserve"> </w:t>
      </w:r>
      <w:proofErr w:type="spellStart"/>
      <w:r w:rsidRPr="00FC388E">
        <w:rPr>
          <w:i/>
        </w:rPr>
        <w:t>hillii</w:t>
      </w:r>
      <w:proofErr w:type="spellEnd"/>
      <w:r w:rsidRPr="00833F60">
        <w:t xml:space="preserve">, a ‘plant’ </w:t>
      </w:r>
      <w:r w:rsidRPr="00BB3FB5">
        <w:t>is</w:t>
      </w:r>
      <w:r w:rsidRPr="00833F60">
        <w:t xml:space="preserve"> considered to be a cluster of not more than 10 </w:t>
      </w:r>
      <w:proofErr w:type="spellStart"/>
      <w:r w:rsidRPr="00833F60">
        <w:t>pseudobulb</w:t>
      </w:r>
      <w:r>
        <w:t>s</w:t>
      </w:r>
      <w:proofErr w:type="spellEnd"/>
      <w:r w:rsidRPr="00833F60">
        <w:t xml:space="preserve">. </w:t>
      </w:r>
    </w:p>
    <w:p w14:paraId="4D699BE9" w14:textId="77777777" w:rsidR="00CE7AB0" w:rsidRPr="00833F60" w:rsidRDefault="00CE7AB0" w:rsidP="00FC388E">
      <w:pPr>
        <w:pStyle w:val="ListParagraph"/>
        <w:numPr>
          <w:ilvl w:val="0"/>
          <w:numId w:val="29"/>
        </w:numPr>
      </w:pPr>
      <w:r w:rsidRPr="00833F60">
        <w:t>For the purposes of a population assessment and tagging requirements</w:t>
      </w:r>
      <w:r>
        <w:t xml:space="preserve"> for</w:t>
      </w:r>
      <w:r w:rsidRPr="00833F60">
        <w:t xml:space="preserve"> </w:t>
      </w:r>
      <w:r w:rsidRPr="00FC388E">
        <w:rPr>
          <w:i/>
        </w:rPr>
        <w:t xml:space="preserve">Dendrobium </w:t>
      </w:r>
      <w:proofErr w:type="spellStart"/>
      <w:r w:rsidRPr="00FC388E">
        <w:rPr>
          <w:i/>
        </w:rPr>
        <w:t>linguforme</w:t>
      </w:r>
      <w:proofErr w:type="spellEnd"/>
      <w:r w:rsidRPr="00FC388E">
        <w:rPr>
          <w:i/>
        </w:rPr>
        <w:t xml:space="preserve">, </w:t>
      </w:r>
      <w:r w:rsidRPr="00833F60">
        <w:t xml:space="preserve">a ‘plant’ </w:t>
      </w:r>
      <w:r w:rsidRPr="009920E2">
        <w:t xml:space="preserve">is </w:t>
      </w:r>
      <w:r w:rsidRPr="00833F60">
        <w:t>considered to be a cluster of not more tha</w:t>
      </w:r>
      <w:r>
        <w:t>n</w:t>
      </w:r>
      <w:r w:rsidRPr="00833F60">
        <w:t xml:space="preserve"> </w:t>
      </w:r>
      <w:r>
        <w:t>three</w:t>
      </w:r>
      <w:r w:rsidRPr="00833F60">
        <w:t xml:space="preserve"> leads.</w:t>
      </w:r>
    </w:p>
    <w:p w14:paraId="678F29CF" w14:textId="77777777" w:rsidR="00CE7AB0" w:rsidRPr="009920E2" w:rsidRDefault="00CE7AB0" w:rsidP="00FC388E">
      <w:pPr>
        <w:pStyle w:val="ListParagraph"/>
        <w:numPr>
          <w:ilvl w:val="0"/>
          <w:numId w:val="29"/>
        </w:numPr>
      </w:pPr>
      <w:r w:rsidRPr="009920E2">
        <w:t>Stockpile site requirements apply and plants may not be on-sold for 120 days following harvest.</w:t>
      </w:r>
    </w:p>
    <w:p w14:paraId="7A43E72D" w14:textId="77777777" w:rsidR="00CE7AB0" w:rsidRPr="00833F60" w:rsidRDefault="00CE7AB0" w:rsidP="00FC388E">
      <w:pPr>
        <w:pStyle w:val="ListParagraph"/>
        <w:numPr>
          <w:ilvl w:val="0"/>
          <w:numId w:val="29"/>
        </w:numPr>
      </w:pPr>
      <w:r w:rsidRPr="00833F60">
        <w:t>The applicant is responsible for ensuring that any other approvals are obtained</w:t>
      </w:r>
      <w:r>
        <w:t>,</w:t>
      </w:r>
      <w:r w:rsidRPr="00833F60">
        <w:t xml:space="preserve"> such as </w:t>
      </w:r>
      <w:r>
        <w:t xml:space="preserve">the </w:t>
      </w:r>
      <w:r w:rsidRPr="00833F60">
        <w:t>land owner</w:t>
      </w:r>
      <w:r>
        <w:t>’s</w:t>
      </w:r>
      <w:r w:rsidRPr="00833F60">
        <w:t xml:space="preserve"> permission.</w:t>
      </w:r>
    </w:p>
    <w:p w14:paraId="1A08A8A7" w14:textId="77777777" w:rsidR="00CE7AB0" w:rsidRPr="00791D51" w:rsidRDefault="00CE7AB0" w:rsidP="006B7F6B">
      <w:pPr>
        <w:pStyle w:val="Heading2"/>
        <w:numPr>
          <w:ilvl w:val="0"/>
          <w:numId w:val="0"/>
        </w:numPr>
        <w:ind w:left="794" w:hanging="794"/>
      </w:pPr>
      <w:r>
        <w:br w:type="page"/>
      </w:r>
      <w:bookmarkStart w:id="778" w:name="_Toc346619012"/>
      <w:bookmarkStart w:id="779" w:name="_Toc494449612"/>
      <w:r w:rsidRPr="00791D51">
        <w:lastRenderedPageBreak/>
        <w:t>Salvage harvest</w:t>
      </w:r>
      <w:bookmarkEnd w:id="777"/>
      <w:bookmarkEnd w:id="778"/>
      <w:bookmarkEnd w:id="779"/>
    </w:p>
    <w:p w14:paraId="593AD985" w14:textId="77777777" w:rsidR="00CE7AB0" w:rsidRPr="00833F60" w:rsidRDefault="00CE7AB0" w:rsidP="00FC388E">
      <w:pPr>
        <w:pStyle w:val="ListParagraph"/>
        <w:numPr>
          <w:ilvl w:val="0"/>
          <w:numId w:val="30"/>
        </w:numPr>
      </w:pPr>
      <w:r w:rsidRPr="00833F60">
        <w:t>Orchid species listed in Part 2, Group 3 may be harvested from the wild by approved harvesters in salvage situations only.</w:t>
      </w:r>
    </w:p>
    <w:p w14:paraId="41B7AEC4" w14:textId="77777777" w:rsidR="00CE7AB0" w:rsidRPr="00833F60" w:rsidRDefault="00CE7AB0" w:rsidP="00FC388E">
      <w:pPr>
        <w:pStyle w:val="ListParagraph"/>
        <w:numPr>
          <w:ilvl w:val="0"/>
          <w:numId w:val="30"/>
        </w:numPr>
      </w:pPr>
      <w:r w:rsidRPr="00833F60">
        <w:t>Approved harvesters must ensure the assessment of the population is sufficient to cover the harvest proposed.</w:t>
      </w:r>
    </w:p>
    <w:p w14:paraId="3EB85AD0" w14:textId="77777777" w:rsidR="00CE7AB0" w:rsidRPr="009920E2" w:rsidRDefault="00CE7AB0" w:rsidP="00FC388E">
      <w:pPr>
        <w:pStyle w:val="ListParagraph"/>
        <w:numPr>
          <w:ilvl w:val="0"/>
          <w:numId w:val="30"/>
        </w:numPr>
      </w:pPr>
      <w:r w:rsidRPr="009920E2">
        <w:t>All products must be tagged with NPWS tags. OEH will not support the subsequent division of material.</w:t>
      </w:r>
    </w:p>
    <w:p w14:paraId="4180AD96" w14:textId="77777777" w:rsidR="00CE7AB0" w:rsidRPr="00833F60" w:rsidRDefault="00CE7AB0" w:rsidP="00FC388E">
      <w:pPr>
        <w:pStyle w:val="ListParagraph"/>
        <w:numPr>
          <w:ilvl w:val="0"/>
          <w:numId w:val="30"/>
        </w:numPr>
      </w:pPr>
      <w:r w:rsidRPr="00833F60">
        <w:t>Plants cannot be offered for sale without being established on a growing media. That is</w:t>
      </w:r>
      <w:r>
        <w:t>,</w:t>
      </w:r>
      <w:r w:rsidRPr="00833F60">
        <w:t xml:space="preserve"> plants cannot be offered for sale in a ‘bare root’ form.</w:t>
      </w:r>
    </w:p>
    <w:p w14:paraId="00902D09" w14:textId="77777777" w:rsidR="00CE7AB0" w:rsidRPr="00833F60" w:rsidRDefault="00CE7AB0" w:rsidP="00FC388E">
      <w:pPr>
        <w:pStyle w:val="ListParagraph"/>
        <w:numPr>
          <w:ilvl w:val="0"/>
          <w:numId w:val="30"/>
        </w:numPr>
      </w:pPr>
      <w:r w:rsidRPr="009920E2">
        <w:t>Plants must be sold with a tag attached to each item as harvested; e.g. per stump or log</w:t>
      </w:r>
      <w:r w:rsidRPr="00833F60">
        <w:t xml:space="preserve"> for </w:t>
      </w:r>
      <w:r w:rsidRPr="00FC388E">
        <w:rPr>
          <w:i/>
        </w:rPr>
        <w:t>Cymbidium suave</w:t>
      </w:r>
      <w:r w:rsidRPr="00833F60">
        <w:t>.</w:t>
      </w:r>
    </w:p>
    <w:p w14:paraId="361C6812" w14:textId="77777777" w:rsidR="00CE7AB0" w:rsidRPr="00833F60" w:rsidRDefault="00CE7AB0" w:rsidP="00FC388E">
      <w:pPr>
        <w:pStyle w:val="ListParagraph"/>
        <w:numPr>
          <w:ilvl w:val="0"/>
          <w:numId w:val="30"/>
        </w:numPr>
      </w:pPr>
      <w:r w:rsidRPr="00833F60">
        <w:t xml:space="preserve">For other species, a ‘plant’ will be considered to be a single plant or cluster of not more than 20 </w:t>
      </w:r>
      <w:proofErr w:type="spellStart"/>
      <w:r w:rsidRPr="00833F60">
        <w:t>pseudobulbs</w:t>
      </w:r>
      <w:proofErr w:type="spellEnd"/>
      <w:r w:rsidRPr="00833F60">
        <w:t>.</w:t>
      </w:r>
    </w:p>
    <w:p w14:paraId="7AD13E0C" w14:textId="77777777" w:rsidR="00CE7AB0" w:rsidRPr="00833F60" w:rsidRDefault="00CE7AB0" w:rsidP="00FC388E">
      <w:pPr>
        <w:pStyle w:val="ListParagraph"/>
        <w:numPr>
          <w:ilvl w:val="0"/>
          <w:numId w:val="30"/>
        </w:numPr>
      </w:pPr>
      <w:r w:rsidRPr="00833F60">
        <w:t>Stockpile site requirements apply and plants may not be on-sold for 120 days following harvest.</w:t>
      </w:r>
    </w:p>
    <w:p w14:paraId="484650EA" w14:textId="77777777" w:rsidR="00CE7AB0" w:rsidRPr="00791D51" w:rsidRDefault="00CE7AB0" w:rsidP="006B7F6B">
      <w:pPr>
        <w:pStyle w:val="Heading2"/>
        <w:numPr>
          <w:ilvl w:val="0"/>
          <w:numId w:val="0"/>
        </w:numPr>
        <w:ind w:left="794" w:hanging="794"/>
      </w:pPr>
      <w:bookmarkStart w:id="780" w:name="_Toc301869691"/>
      <w:bookmarkStart w:id="781" w:name="_Toc346619013"/>
      <w:bookmarkStart w:id="782" w:name="_Toc494449613"/>
      <w:r w:rsidRPr="00791D51">
        <w:t>Grower production</w:t>
      </w:r>
      <w:bookmarkEnd w:id="780"/>
      <w:bookmarkEnd w:id="781"/>
      <w:bookmarkEnd w:id="782"/>
    </w:p>
    <w:p w14:paraId="4C9AF2E7" w14:textId="77777777" w:rsidR="00CE7AB0" w:rsidRPr="00833F60" w:rsidRDefault="00CE7AB0" w:rsidP="00FC388E">
      <w:pPr>
        <w:pStyle w:val="ListParagraph"/>
        <w:numPr>
          <w:ilvl w:val="0"/>
          <w:numId w:val="30"/>
        </w:numPr>
      </w:pPr>
      <w:r w:rsidRPr="00833F60">
        <w:t>Growers producing orchids (in any group) must be able to demonstrate that the species is being cultivated.</w:t>
      </w:r>
    </w:p>
    <w:p w14:paraId="6F657636" w14:textId="77777777" w:rsidR="00CE7AB0" w:rsidRPr="00833F60" w:rsidRDefault="00CE7AB0" w:rsidP="00FC388E">
      <w:pPr>
        <w:pStyle w:val="ListParagraph"/>
        <w:numPr>
          <w:ilvl w:val="0"/>
          <w:numId w:val="30"/>
        </w:numPr>
      </w:pPr>
      <w:r w:rsidRPr="00833F60">
        <w:t>Vegetative division is acceptable, but divided plants must meet the following requirements:</w:t>
      </w:r>
    </w:p>
    <w:p w14:paraId="2274DDD8" w14:textId="77777777" w:rsidR="00CE7AB0" w:rsidRPr="00483567" w:rsidRDefault="00CE7AB0" w:rsidP="00142D08">
      <w:pPr>
        <w:pStyle w:val="ListBullet2"/>
        <w:numPr>
          <w:ilvl w:val="1"/>
          <w:numId w:val="41"/>
        </w:numPr>
      </w:pPr>
      <w:r w:rsidRPr="00483567">
        <w:t>plants cannot be offered for sale without being established on a growing media; that is, plants cannot be offered for sale in a ‘bare root’ form (this does not apply to material sold in flasks</w:t>
      </w:r>
      <w:r>
        <w:t xml:space="preserve"> or similar containers</w:t>
      </w:r>
      <w:r w:rsidRPr="00483567">
        <w:t>)</w:t>
      </w:r>
    </w:p>
    <w:p w14:paraId="786F746B" w14:textId="77777777" w:rsidR="00CE7AB0" w:rsidRPr="00483567" w:rsidRDefault="00CE7AB0" w:rsidP="00142D08">
      <w:pPr>
        <w:pStyle w:val="ListBullet2"/>
        <w:numPr>
          <w:ilvl w:val="1"/>
          <w:numId w:val="41"/>
        </w:numPr>
      </w:pPr>
      <w:proofErr w:type="gramStart"/>
      <w:r w:rsidRPr="009920E2">
        <w:t>plants</w:t>
      </w:r>
      <w:proofErr w:type="gramEnd"/>
      <w:r w:rsidRPr="009920E2">
        <w:t xml:space="preserve"> cannot be offered for sale attached to an ‘endemic’ growing media. Selling</w:t>
      </w:r>
      <w:r w:rsidRPr="00483567">
        <w:t xml:space="preserve"> plants on lengths of branch or other substrate which can clearly be identified as collected from the wild is prohibited.</w:t>
      </w:r>
    </w:p>
    <w:p w14:paraId="66D21B9D" w14:textId="77777777" w:rsidR="00CE7AB0" w:rsidRPr="00791D51" w:rsidRDefault="00CE7AB0" w:rsidP="006B7F6B">
      <w:pPr>
        <w:pStyle w:val="Heading2"/>
        <w:numPr>
          <w:ilvl w:val="0"/>
          <w:numId w:val="0"/>
        </w:numPr>
        <w:ind w:left="794" w:hanging="794"/>
      </w:pPr>
      <w:bookmarkStart w:id="783" w:name="_Toc301869692"/>
      <w:bookmarkStart w:id="784" w:name="_Toc346619014"/>
      <w:bookmarkStart w:id="785" w:name="_Toc494449614"/>
      <w:r w:rsidRPr="00791D51">
        <w:t>Societies and special interest groups</w:t>
      </w:r>
      <w:bookmarkEnd w:id="783"/>
      <w:bookmarkEnd w:id="784"/>
      <w:bookmarkEnd w:id="785"/>
      <w:r w:rsidRPr="00791D51">
        <w:t xml:space="preserve"> </w:t>
      </w:r>
    </w:p>
    <w:p w14:paraId="257A41DC" w14:textId="77777777" w:rsidR="00CE7AB0" w:rsidRPr="00483567" w:rsidRDefault="00CE7AB0" w:rsidP="00FC388E">
      <w:pPr>
        <w:pStyle w:val="BodyText"/>
      </w:pPr>
      <w:r w:rsidRPr="009920E2">
        <w:t>Societies require a licence to sell plant material to the general public. Societies may apply for</w:t>
      </w:r>
      <w:r w:rsidRPr="00483567">
        <w:t xml:space="preserve"> a single licence to cover material donated by their members for sale to the general public at shows and other events. Where this is the case, the society may produce a ‘grower tag’. It </w:t>
      </w:r>
      <w:r w:rsidRPr="0086581D">
        <w:t>will also be necessary for the society to maintain record</w:t>
      </w:r>
      <w:r>
        <w:t>s</w:t>
      </w:r>
      <w:r w:rsidRPr="0086581D">
        <w:t xml:space="preserve"> of the source of all donated material.</w:t>
      </w:r>
      <w:r w:rsidRPr="00483567">
        <w:t xml:space="preserve"> </w:t>
      </w:r>
    </w:p>
    <w:p w14:paraId="5E3D5702" w14:textId="77777777" w:rsidR="00CE7AB0" w:rsidRPr="00483567" w:rsidRDefault="00CE7AB0" w:rsidP="00FC388E">
      <w:pPr>
        <w:pStyle w:val="BodyText"/>
      </w:pPr>
      <w:r w:rsidRPr="00483567">
        <w:t>Where the material is purchased from other licensed growers for sale at club events</w:t>
      </w:r>
      <w:r>
        <w:t>,</w:t>
      </w:r>
      <w:r w:rsidRPr="00483567">
        <w:t xml:space="preserve"> the material should already be tagged according to this plan. Where sales are directed to the general public and/or not at the nominal club venue, the material must be produced under a </w:t>
      </w:r>
      <w:r w:rsidRPr="00856B2B">
        <w:t>grower licence and tagged according to this plan.</w:t>
      </w:r>
      <w:r w:rsidRPr="00483567">
        <w:t xml:space="preserve"> </w:t>
      </w:r>
    </w:p>
    <w:p w14:paraId="723FC981" w14:textId="77777777" w:rsidR="00CE7AB0" w:rsidRPr="00483567" w:rsidRDefault="00CE7AB0" w:rsidP="00BF6480">
      <w:pPr>
        <w:pStyle w:val="Heading1"/>
        <w:numPr>
          <w:ilvl w:val="0"/>
          <w:numId w:val="0"/>
        </w:numPr>
      </w:pPr>
      <w:r w:rsidRPr="00483567">
        <w:br w:type="page"/>
      </w:r>
      <w:bookmarkStart w:id="786" w:name="_Toc179796517"/>
      <w:bookmarkStart w:id="787" w:name="_Toc273008514"/>
      <w:bookmarkStart w:id="788" w:name="_Toc283984834"/>
      <w:bookmarkStart w:id="789" w:name="_Toc301869694"/>
      <w:bookmarkStart w:id="790" w:name="_Toc328986883"/>
      <w:bookmarkStart w:id="791" w:name="_Toc328988093"/>
      <w:bookmarkStart w:id="792" w:name="_Toc328988175"/>
      <w:bookmarkStart w:id="793" w:name="_Toc328988256"/>
      <w:bookmarkStart w:id="794" w:name="_Toc328991070"/>
      <w:bookmarkStart w:id="795" w:name="_Toc328991552"/>
      <w:bookmarkStart w:id="796" w:name="_Toc492379119"/>
      <w:bookmarkStart w:id="797" w:name="_Toc494449615"/>
      <w:r w:rsidRPr="00483567">
        <w:lastRenderedPageBreak/>
        <w:t xml:space="preserve">Appendix </w:t>
      </w:r>
      <w:r>
        <w:t>J</w:t>
      </w:r>
      <w:r w:rsidR="00BF6480">
        <w:t xml:space="preserve">: </w:t>
      </w:r>
      <w:r w:rsidRPr="00483567">
        <w:t>Tools for assessing population and harvest numbers</w:t>
      </w:r>
      <w:bookmarkEnd w:id="786"/>
      <w:bookmarkEnd w:id="787"/>
      <w:bookmarkEnd w:id="788"/>
      <w:bookmarkEnd w:id="789"/>
      <w:bookmarkEnd w:id="790"/>
      <w:bookmarkEnd w:id="791"/>
      <w:bookmarkEnd w:id="792"/>
      <w:bookmarkEnd w:id="793"/>
      <w:bookmarkEnd w:id="794"/>
      <w:bookmarkEnd w:id="795"/>
      <w:bookmarkEnd w:id="796"/>
      <w:bookmarkEnd w:id="797"/>
    </w:p>
    <w:p w14:paraId="14225BA4" w14:textId="77777777" w:rsidR="00CE7AB0" w:rsidRPr="00483567" w:rsidRDefault="00CE7AB0" w:rsidP="00FC388E">
      <w:pPr>
        <w:pStyle w:val="BodyText"/>
      </w:pPr>
      <w:r w:rsidRPr="00483567">
        <w:t>Effective data collection provides a basis for monitoring populations and adapting management practices to ensure harvesting whole native plants is sustainable.</w:t>
      </w:r>
    </w:p>
    <w:p w14:paraId="05226D23" w14:textId="77777777" w:rsidR="00CE7AB0" w:rsidRPr="00483567" w:rsidRDefault="00CE7AB0" w:rsidP="00FC388E">
      <w:pPr>
        <w:pStyle w:val="BodyText"/>
      </w:pPr>
      <w:r w:rsidRPr="00483567">
        <w:t>Determining a sustainable rate of harvest requires reliable data on factors such as fecundity and growth rate. A method for assessment is described next.</w:t>
      </w:r>
    </w:p>
    <w:p w14:paraId="14C180EE" w14:textId="77777777" w:rsidR="00CE7AB0" w:rsidRDefault="00CE7AB0" w:rsidP="00BF6480">
      <w:pPr>
        <w:pStyle w:val="Heading2"/>
        <w:numPr>
          <w:ilvl w:val="0"/>
          <w:numId w:val="0"/>
        </w:numPr>
        <w:ind w:left="794" w:hanging="794"/>
      </w:pPr>
      <w:bookmarkStart w:id="798" w:name="_Toc301869695"/>
      <w:bookmarkStart w:id="799" w:name="_Toc346619017"/>
      <w:bookmarkStart w:id="800" w:name="_Toc494449616"/>
      <w:r w:rsidRPr="00791D51">
        <w:t>Determining the number of plants per acre or hectare</w:t>
      </w:r>
      <w:bookmarkEnd w:id="798"/>
      <w:bookmarkEnd w:id="799"/>
      <w:bookmarkEnd w:id="800"/>
    </w:p>
    <w:p w14:paraId="5E7BDA30" w14:textId="77777777" w:rsidR="00CE7AB0" w:rsidRPr="00BF6480" w:rsidRDefault="00CE7AB0" w:rsidP="00FC388E">
      <w:pPr>
        <w:rPr>
          <w:b/>
        </w:rPr>
      </w:pPr>
      <w:bookmarkStart w:id="801" w:name="_Toc301869696"/>
      <w:bookmarkStart w:id="802" w:name="_Toc328986884"/>
      <w:bookmarkStart w:id="803" w:name="_Toc346619018"/>
      <w:r w:rsidRPr="00BF6480">
        <w:rPr>
          <w:b/>
        </w:rPr>
        <w:t xml:space="preserve">Step 1: </w:t>
      </w:r>
      <w:r w:rsidRPr="00BF6480">
        <w:rPr>
          <w:b/>
        </w:rPr>
        <w:tab/>
        <w:t>Determine the harvest area</w:t>
      </w:r>
      <w:bookmarkEnd w:id="801"/>
      <w:bookmarkEnd w:id="802"/>
      <w:bookmarkEnd w:id="803"/>
    </w:p>
    <w:p w14:paraId="506E5853" w14:textId="77777777" w:rsidR="00CE7AB0" w:rsidRPr="00483567" w:rsidRDefault="00CE7AB0" w:rsidP="00FC388E">
      <w:pPr>
        <w:pStyle w:val="BodyText"/>
      </w:pPr>
      <w:r w:rsidRPr="00483567">
        <w:t>Use a map to determine the total harvesting area.</w:t>
      </w:r>
    </w:p>
    <w:p w14:paraId="343F4FC7" w14:textId="77777777" w:rsidR="00CE7AB0" w:rsidRPr="00BF6480" w:rsidRDefault="00CE7AB0" w:rsidP="00FC388E">
      <w:pPr>
        <w:rPr>
          <w:b/>
        </w:rPr>
      </w:pPr>
      <w:bookmarkStart w:id="804" w:name="_Toc301869697"/>
      <w:bookmarkStart w:id="805" w:name="_Toc328986885"/>
      <w:bookmarkStart w:id="806" w:name="_Toc346619019"/>
      <w:r w:rsidRPr="00BF6480">
        <w:rPr>
          <w:b/>
        </w:rPr>
        <w:t xml:space="preserve">Step 2: </w:t>
      </w:r>
      <w:r w:rsidRPr="00BF6480">
        <w:rPr>
          <w:b/>
        </w:rPr>
        <w:tab/>
        <w:t>Establish at least four plots</w:t>
      </w:r>
      <w:bookmarkEnd w:id="804"/>
      <w:bookmarkEnd w:id="805"/>
      <w:bookmarkEnd w:id="806"/>
    </w:p>
    <w:p w14:paraId="7BE46725" w14:textId="77777777" w:rsidR="00CE7AB0" w:rsidRPr="00483567" w:rsidRDefault="00CE7AB0" w:rsidP="00FC388E">
      <w:pPr>
        <w:pStyle w:val="BodyText"/>
      </w:pPr>
      <w:r w:rsidRPr="009920E2">
        <w:t>OEH recommends choosing four 20 m × 20 m (400 m</w:t>
      </w:r>
      <w:r w:rsidRPr="009920E2">
        <w:rPr>
          <w:vertAlign w:val="superscript"/>
        </w:rPr>
        <w:t>2</w:t>
      </w:r>
      <w:r w:rsidRPr="009920E2">
        <w:t>) plots to represent the proposed</w:t>
      </w:r>
      <w:r w:rsidRPr="00483567">
        <w:t xml:space="preserve"> harvest area. Mark each plot using tent pegs and tape or similar means. </w:t>
      </w:r>
    </w:p>
    <w:p w14:paraId="0455FF31" w14:textId="77777777" w:rsidR="00CE7AB0" w:rsidRPr="00BF6480" w:rsidRDefault="00CE7AB0" w:rsidP="00FC388E">
      <w:pPr>
        <w:rPr>
          <w:b/>
        </w:rPr>
      </w:pPr>
      <w:bookmarkStart w:id="807" w:name="_Toc301869698"/>
      <w:bookmarkStart w:id="808" w:name="_Toc328986886"/>
      <w:bookmarkStart w:id="809" w:name="_Toc346619020"/>
      <w:r w:rsidRPr="00BF6480">
        <w:rPr>
          <w:b/>
        </w:rPr>
        <w:t xml:space="preserve">Step 3: </w:t>
      </w:r>
      <w:r w:rsidRPr="00BF6480">
        <w:rPr>
          <w:b/>
        </w:rPr>
        <w:tab/>
        <w:t>Establish the number of plants per hectare or acre</w:t>
      </w:r>
      <w:bookmarkEnd w:id="807"/>
      <w:bookmarkEnd w:id="808"/>
      <w:bookmarkEnd w:id="809"/>
    </w:p>
    <w:p w14:paraId="722B9AF1" w14:textId="77777777" w:rsidR="00CE7AB0" w:rsidRPr="00483567" w:rsidRDefault="00CE7AB0" w:rsidP="00FC388E">
      <w:pPr>
        <w:pStyle w:val="BodyText"/>
      </w:pPr>
      <w:r w:rsidRPr="00483567">
        <w:t>In each 20 m × 20 m plot (column 1 below), record the number of plants proposed for harvest (column 2).</w:t>
      </w:r>
    </w:p>
    <w:p w14:paraId="0DE40CD6" w14:textId="77777777" w:rsidR="00CE7AB0" w:rsidRPr="00483567" w:rsidRDefault="00CE7AB0" w:rsidP="00FC388E">
      <w:pPr>
        <w:pStyle w:val="BodyText"/>
      </w:pPr>
      <w:r w:rsidRPr="00483567">
        <w:t>To determine the number of plants per hectare (10,000 m</w:t>
      </w:r>
      <w:r w:rsidRPr="00483567">
        <w:rPr>
          <w:vertAlign w:val="superscript"/>
        </w:rPr>
        <w:t>2</w:t>
      </w:r>
      <w:r w:rsidRPr="00483567">
        <w:t>), multiply the number of plants in each plot by 25 (column 3), or to determine the number of plants per acre (one hectare is 2.47 acres), multiply the number of plants per plot by 10.1.</w:t>
      </w:r>
    </w:p>
    <w:p w14:paraId="00CD15D5" w14:textId="77777777" w:rsidR="00CE7AB0" w:rsidRPr="00483567" w:rsidRDefault="00CE7AB0" w:rsidP="00BF6480">
      <w:pPr>
        <w:pStyle w:val="Tablecaption"/>
      </w:pPr>
      <w:r w:rsidRPr="00483567">
        <w:t>Table 2</w:t>
      </w:r>
      <w:r w:rsidRPr="00483567">
        <w:tab/>
      </w:r>
      <w:r w:rsidRPr="00850A9B">
        <w:t xml:space="preserve">Example </w:t>
      </w:r>
      <w:r>
        <w:t>r</w:t>
      </w:r>
      <w:r w:rsidRPr="00483567">
        <w:t>ecord of plants in the harvest area</w:t>
      </w:r>
    </w:p>
    <w:tbl>
      <w:tblPr>
        <w:tblW w:w="8834"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127"/>
        <w:gridCol w:w="1984"/>
        <w:gridCol w:w="1843"/>
        <w:gridCol w:w="2880"/>
      </w:tblGrid>
      <w:tr w:rsidR="00CE7AB0" w:rsidRPr="00483567" w14:paraId="30D63A4C" w14:textId="77777777" w:rsidTr="00BF6480">
        <w:tc>
          <w:tcPr>
            <w:tcW w:w="2127" w:type="dxa"/>
            <w:shd w:val="clear" w:color="auto" w:fill="4C6D41"/>
          </w:tcPr>
          <w:p w14:paraId="56CB46AC" w14:textId="77777777" w:rsidR="00CE7AB0" w:rsidRPr="00BF6480" w:rsidRDefault="00CE7AB0" w:rsidP="00FC388E">
            <w:pPr>
              <w:rPr>
                <w:b/>
                <w:color w:val="FFFFFF" w:themeColor="background1"/>
              </w:rPr>
            </w:pPr>
            <w:r w:rsidRPr="00BF6480">
              <w:rPr>
                <w:b/>
                <w:color w:val="FFFFFF" w:themeColor="background1"/>
              </w:rPr>
              <w:t>Plot #</w:t>
            </w:r>
            <w:r w:rsidRPr="00BF6480">
              <w:rPr>
                <w:b/>
                <w:color w:val="FFFFFF" w:themeColor="background1"/>
              </w:rPr>
              <w:br/>
              <w:t>(20 m × 20 m)</w:t>
            </w:r>
          </w:p>
        </w:tc>
        <w:tc>
          <w:tcPr>
            <w:tcW w:w="1984" w:type="dxa"/>
            <w:shd w:val="clear" w:color="auto" w:fill="4C6D41"/>
          </w:tcPr>
          <w:p w14:paraId="4F631A76" w14:textId="77777777" w:rsidR="00CE7AB0" w:rsidRPr="00BF6480" w:rsidRDefault="00CE7AB0" w:rsidP="00FC388E">
            <w:pPr>
              <w:rPr>
                <w:b/>
                <w:color w:val="FFFFFF" w:themeColor="background1"/>
              </w:rPr>
            </w:pPr>
            <w:r w:rsidRPr="00BF6480">
              <w:rPr>
                <w:b/>
                <w:color w:val="FFFFFF" w:themeColor="background1"/>
              </w:rPr>
              <w:t>Plants per plot</w:t>
            </w:r>
          </w:p>
          <w:p w14:paraId="27FB0E57" w14:textId="77777777" w:rsidR="00CE7AB0" w:rsidRPr="00BF6480" w:rsidRDefault="00CE7AB0" w:rsidP="00FC388E">
            <w:pPr>
              <w:rPr>
                <w:b/>
                <w:color w:val="FFFFFF" w:themeColor="background1"/>
              </w:rPr>
            </w:pPr>
            <w:r w:rsidRPr="00BF6480">
              <w:rPr>
                <w:b/>
                <w:color w:val="FFFFFF" w:themeColor="background1"/>
              </w:rPr>
              <w:t>(N)</w:t>
            </w:r>
          </w:p>
        </w:tc>
        <w:tc>
          <w:tcPr>
            <w:tcW w:w="1843" w:type="dxa"/>
            <w:shd w:val="clear" w:color="auto" w:fill="4C6D41"/>
          </w:tcPr>
          <w:p w14:paraId="6561E18A" w14:textId="77777777" w:rsidR="00CE7AB0" w:rsidRPr="00BF6480" w:rsidRDefault="00CE7AB0" w:rsidP="00FC388E">
            <w:pPr>
              <w:rPr>
                <w:b/>
                <w:color w:val="FFFFFF" w:themeColor="background1"/>
              </w:rPr>
            </w:pPr>
            <w:r w:rsidRPr="00BF6480">
              <w:rPr>
                <w:b/>
                <w:color w:val="FFFFFF" w:themeColor="background1"/>
              </w:rPr>
              <w:t>Plants per hectare</w:t>
            </w:r>
          </w:p>
          <w:p w14:paraId="77166556" w14:textId="77777777" w:rsidR="00CE7AB0" w:rsidRPr="00BF6480" w:rsidRDefault="00CE7AB0" w:rsidP="00FC388E">
            <w:pPr>
              <w:rPr>
                <w:b/>
                <w:color w:val="FFFFFF" w:themeColor="background1"/>
              </w:rPr>
            </w:pPr>
            <w:r w:rsidRPr="00BF6480">
              <w:rPr>
                <w:b/>
                <w:color w:val="FFFFFF" w:themeColor="background1"/>
              </w:rPr>
              <w:t>(N × 25)</w:t>
            </w:r>
          </w:p>
        </w:tc>
        <w:tc>
          <w:tcPr>
            <w:tcW w:w="2880" w:type="dxa"/>
            <w:shd w:val="clear" w:color="auto" w:fill="4C6D41"/>
            <w:vAlign w:val="center"/>
          </w:tcPr>
          <w:p w14:paraId="313A9E43" w14:textId="77777777" w:rsidR="00CE7AB0" w:rsidRPr="00BF6480" w:rsidRDefault="00CE7AB0" w:rsidP="00FC388E">
            <w:pPr>
              <w:rPr>
                <w:b/>
                <w:color w:val="FFFFFF" w:themeColor="background1"/>
              </w:rPr>
            </w:pPr>
            <w:r w:rsidRPr="00BF6480">
              <w:rPr>
                <w:b/>
                <w:color w:val="FFFFFF" w:themeColor="background1"/>
              </w:rPr>
              <w:t>Comments</w:t>
            </w:r>
          </w:p>
        </w:tc>
      </w:tr>
      <w:tr w:rsidR="00CE7AB0" w:rsidRPr="00483567" w14:paraId="16CD016E" w14:textId="77777777" w:rsidTr="006E51BB">
        <w:tc>
          <w:tcPr>
            <w:tcW w:w="2127" w:type="dxa"/>
          </w:tcPr>
          <w:p w14:paraId="258733CD" w14:textId="77777777" w:rsidR="00CE7AB0" w:rsidRPr="00483567" w:rsidRDefault="00CE7AB0" w:rsidP="00BF6480">
            <w:pPr>
              <w:pStyle w:val="Tabletext"/>
            </w:pPr>
            <w:r w:rsidRPr="00483567">
              <w:t>1</w:t>
            </w:r>
          </w:p>
        </w:tc>
        <w:tc>
          <w:tcPr>
            <w:tcW w:w="1984" w:type="dxa"/>
          </w:tcPr>
          <w:p w14:paraId="4EDB102B" w14:textId="77777777" w:rsidR="00CE7AB0" w:rsidRPr="00483567" w:rsidRDefault="00CE7AB0" w:rsidP="00BF6480">
            <w:pPr>
              <w:pStyle w:val="Tabletext"/>
            </w:pPr>
            <w:r w:rsidRPr="00483567">
              <w:t>11</w:t>
            </w:r>
          </w:p>
        </w:tc>
        <w:tc>
          <w:tcPr>
            <w:tcW w:w="1843" w:type="dxa"/>
          </w:tcPr>
          <w:p w14:paraId="45083383" w14:textId="77777777" w:rsidR="00CE7AB0" w:rsidRPr="00483567" w:rsidRDefault="00CE7AB0" w:rsidP="00BF6480">
            <w:pPr>
              <w:pStyle w:val="Tabletext"/>
            </w:pPr>
            <w:r w:rsidRPr="00483567">
              <w:t>275</w:t>
            </w:r>
          </w:p>
        </w:tc>
        <w:tc>
          <w:tcPr>
            <w:tcW w:w="2880" w:type="dxa"/>
          </w:tcPr>
          <w:p w14:paraId="66AD0606" w14:textId="77777777" w:rsidR="00CE7AB0" w:rsidRPr="00483567" w:rsidRDefault="00CE7AB0" w:rsidP="00BF6480">
            <w:pPr>
              <w:pStyle w:val="Tabletext"/>
            </w:pPr>
          </w:p>
        </w:tc>
      </w:tr>
      <w:tr w:rsidR="00CE7AB0" w:rsidRPr="00483567" w14:paraId="43BBAC67" w14:textId="77777777" w:rsidTr="006E51BB">
        <w:tc>
          <w:tcPr>
            <w:tcW w:w="2127" w:type="dxa"/>
          </w:tcPr>
          <w:p w14:paraId="51BC85FE" w14:textId="77777777" w:rsidR="00CE7AB0" w:rsidRPr="00483567" w:rsidRDefault="00CE7AB0" w:rsidP="00BF6480">
            <w:pPr>
              <w:pStyle w:val="Tabletext"/>
            </w:pPr>
            <w:r w:rsidRPr="00483567">
              <w:t>2</w:t>
            </w:r>
          </w:p>
        </w:tc>
        <w:tc>
          <w:tcPr>
            <w:tcW w:w="1984" w:type="dxa"/>
          </w:tcPr>
          <w:p w14:paraId="486D417B" w14:textId="77777777" w:rsidR="00CE7AB0" w:rsidRPr="00483567" w:rsidRDefault="00CE7AB0" w:rsidP="00BF6480">
            <w:pPr>
              <w:pStyle w:val="Tabletext"/>
            </w:pPr>
            <w:r w:rsidRPr="00483567">
              <w:t>14</w:t>
            </w:r>
          </w:p>
        </w:tc>
        <w:tc>
          <w:tcPr>
            <w:tcW w:w="1843" w:type="dxa"/>
          </w:tcPr>
          <w:p w14:paraId="2275EE37" w14:textId="77777777" w:rsidR="00CE7AB0" w:rsidRPr="00483567" w:rsidRDefault="00CE7AB0" w:rsidP="00BF6480">
            <w:pPr>
              <w:pStyle w:val="Tabletext"/>
            </w:pPr>
            <w:r w:rsidRPr="00483567">
              <w:t>350</w:t>
            </w:r>
          </w:p>
        </w:tc>
        <w:tc>
          <w:tcPr>
            <w:tcW w:w="2880" w:type="dxa"/>
          </w:tcPr>
          <w:p w14:paraId="2140885A" w14:textId="77777777" w:rsidR="00CE7AB0" w:rsidRPr="00483567" w:rsidRDefault="00CE7AB0" w:rsidP="00BF6480">
            <w:pPr>
              <w:pStyle w:val="Tabletext"/>
            </w:pPr>
          </w:p>
        </w:tc>
      </w:tr>
      <w:tr w:rsidR="00CE7AB0" w:rsidRPr="00483567" w14:paraId="4B8AB67A" w14:textId="77777777" w:rsidTr="006E51BB">
        <w:tc>
          <w:tcPr>
            <w:tcW w:w="2127" w:type="dxa"/>
          </w:tcPr>
          <w:p w14:paraId="11D1BEBE" w14:textId="77777777" w:rsidR="00CE7AB0" w:rsidRPr="00483567" w:rsidRDefault="00CE7AB0" w:rsidP="00BF6480">
            <w:pPr>
              <w:pStyle w:val="Tabletext"/>
            </w:pPr>
            <w:r w:rsidRPr="00483567">
              <w:t>3</w:t>
            </w:r>
          </w:p>
        </w:tc>
        <w:tc>
          <w:tcPr>
            <w:tcW w:w="1984" w:type="dxa"/>
          </w:tcPr>
          <w:p w14:paraId="368F31E7" w14:textId="77777777" w:rsidR="00CE7AB0" w:rsidRPr="00483567" w:rsidRDefault="00CE7AB0" w:rsidP="00BF6480">
            <w:pPr>
              <w:pStyle w:val="Tabletext"/>
            </w:pPr>
            <w:r w:rsidRPr="00483567">
              <w:t>6</w:t>
            </w:r>
          </w:p>
        </w:tc>
        <w:tc>
          <w:tcPr>
            <w:tcW w:w="1843" w:type="dxa"/>
          </w:tcPr>
          <w:p w14:paraId="2E7A2B35" w14:textId="77777777" w:rsidR="00CE7AB0" w:rsidRPr="00483567" w:rsidRDefault="00CE7AB0" w:rsidP="00BF6480">
            <w:pPr>
              <w:pStyle w:val="Tabletext"/>
            </w:pPr>
            <w:r w:rsidRPr="00483567">
              <w:t>150</w:t>
            </w:r>
          </w:p>
        </w:tc>
        <w:tc>
          <w:tcPr>
            <w:tcW w:w="2880" w:type="dxa"/>
          </w:tcPr>
          <w:p w14:paraId="1FD86440" w14:textId="77777777" w:rsidR="00CE7AB0" w:rsidRPr="00483567" w:rsidRDefault="00CE7AB0" w:rsidP="00BF6480">
            <w:pPr>
              <w:pStyle w:val="Tabletext"/>
            </w:pPr>
            <w:r w:rsidRPr="00483567">
              <w:t>Mostly young plants</w:t>
            </w:r>
          </w:p>
        </w:tc>
      </w:tr>
      <w:tr w:rsidR="00CE7AB0" w:rsidRPr="00483567" w14:paraId="5C4E588A" w14:textId="77777777" w:rsidTr="006E51BB">
        <w:tc>
          <w:tcPr>
            <w:tcW w:w="2127" w:type="dxa"/>
          </w:tcPr>
          <w:p w14:paraId="23874E3F" w14:textId="77777777" w:rsidR="00CE7AB0" w:rsidRPr="00483567" w:rsidRDefault="00CE7AB0" w:rsidP="00BF6480">
            <w:pPr>
              <w:pStyle w:val="Tabletext"/>
            </w:pPr>
            <w:r w:rsidRPr="00483567">
              <w:t>4</w:t>
            </w:r>
          </w:p>
        </w:tc>
        <w:tc>
          <w:tcPr>
            <w:tcW w:w="1984" w:type="dxa"/>
          </w:tcPr>
          <w:p w14:paraId="18D19E41" w14:textId="77777777" w:rsidR="00CE7AB0" w:rsidRPr="00483567" w:rsidRDefault="00CE7AB0" w:rsidP="00BF6480">
            <w:pPr>
              <w:pStyle w:val="Tabletext"/>
            </w:pPr>
            <w:r w:rsidRPr="00483567">
              <w:t>12</w:t>
            </w:r>
          </w:p>
        </w:tc>
        <w:tc>
          <w:tcPr>
            <w:tcW w:w="1843" w:type="dxa"/>
          </w:tcPr>
          <w:p w14:paraId="3CB0F583" w14:textId="77777777" w:rsidR="00CE7AB0" w:rsidRPr="00483567" w:rsidRDefault="00CE7AB0" w:rsidP="00BF6480">
            <w:pPr>
              <w:pStyle w:val="Tabletext"/>
            </w:pPr>
            <w:r w:rsidRPr="00483567">
              <w:t>300</w:t>
            </w:r>
          </w:p>
        </w:tc>
        <w:tc>
          <w:tcPr>
            <w:tcW w:w="2880" w:type="dxa"/>
          </w:tcPr>
          <w:p w14:paraId="6BC76A85" w14:textId="77777777" w:rsidR="00CE7AB0" w:rsidRPr="00483567" w:rsidRDefault="00CE7AB0" w:rsidP="00BF6480">
            <w:pPr>
              <w:pStyle w:val="Tabletext"/>
            </w:pPr>
          </w:p>
        </w:tc>
      </w:tr>
      <w:tr w:rsidR="00CE7AB0" w:rsidRPr="00483567" w14:paraId="32D1E150" w14:textId="77777777" w:rsidTr="006E51BB">
        <w:tc>
          <w:tcPr>
            <w:tcW w:w="2127" w:type="dxa"/>
            <w:shd w:val="clear" w:color="auto" w:fill="D9D9D9"/>
          </w:tcPr>
          <w:p w14:paraId="44A79973" w14:textId="77777777" w:rsidR="00CE7AB0" w:rsidRPr="00483567" w:rsidRDefault="00CE7AB0" w:rsidP="00BF6480">
            <w:pPr>
              <w:pStyle w:val="Tabletext"/>
            </w:pPr>
            <w:r w:rsidRPr="00483567">
              <w:t>Total</w:t>
            </w:r>
          </w:p>
        </w:tc>
        <w:tc>
          <w:tcPr>
            <w:tcW w:w="1984" w:type="dxa"/>
            <w:shd w:val="clear" w:color="auto" w:fill="D9D9D9"/>
          </w:tcPr>
          <w:p w14:paraId="6CB69928" w14:textId="77777777" w:rsidR="00CE7AB0" w:rsidRPr="00483567" w:rsidRDefault="00CE7AB0" w:rsidP="00BF6480">
            <w:pPr>
              <w:pStyle w:val="Tabletext"/>
            </w:pPr>
            <w:r w:rsidRPr="00483567">
              <w:t>43</w:t>
            </w:r>
          </w:p>
        </w:tc>
        <w:tc>
          <w:tcPr>
            <w:tcW w:w="1843" w:type="dxa"/>
            <w:shd w:val="clear" w:color="auto" w:fill="D9D9D9"/>
          </w:tcPr>
          <w:p w14:paraId="341E7F34" w14:textId="77777777" w:rsidR="00CE7AB0" w:rsidRPr="00483567" w:rsidRDefault="00CE7AB0" w:rsidP="00BF6480">
            <w:pPr>
              <w:pStyle w:val="Tabletext"/>
            </w:pPr>
            <w:r w:rsidRPr="00483567">
              <w:t>1,075 (in 4 ha)</w:t>
            </w:r>
          </w:p>
        </w:tc>
        <w:tc>
          <w:tcPr>
            <w:tcW w:w="2880" w:type="dxa"/>
            <w:shd w:val="clear" w:color="auto" w:fill="D9D9D9"/>
          </w:tcPr>
          <w:p w14:paraId="1102C87B" w14:textId="77777777" w:rsidR="00CE7AB0" w:rsidRPr="00483567" w:rsidRDefault="00CE7AB0" w:rsidP="00BF6480">
            <w:pPr>
              <w:pStyle w:val="Tabletext"/>
            </w:pPr>
            <w:r w:rsidRPr="00483567">
              <w:t>268 plants per ha</w:t>
            </w:r>
          </w:p>
        </w:tc>
      </w:tr>
    </w:tbl>
    <w:p w14:paraId="38BD909B" w14:textId="77777777" w:rsidR="00CE7AB0" w:rsidRPr="00BF0099" w:rsidRDefault="00CE7AB0" w:rsidP="00FC388E">
      <w:pPr>
        <w:pStyle w:val="BodyText"/>
      </w:pPr>
      <w:r w:rsidRPr="00BF0099">
        <w:t>NB: figures have been rounded to whole numbers.</w:t>
      </w:r>
    </w:p>
    <w:p w14:paraId="5B615C47" w14:textId="77777777" w:rsidR="00CE7AB0" w:rsidRPr="00483567" w:rsidRDefault="00CE7AB0" w:rsidP="00FC388E">
      <w:pPr>
        <w:pStyle w:val="BodyText"/>
      </w:pPr>
      <w:r w:rsidRPr="00483567">
        <w:t>In th</w:t>
      </w:r>
      <w:r>
        <w:t>is</w:t>
      </w:r>
      <w:r w:rsidRPr="00483567">
        <w:t xml:space="preserve"> </w:t>
      </w:r>
      <w:r>
        <w:t xml:space="preserve">example </w:t>
      </w:r>
      <w:r w:rsidRPr="00483567">
        <w:t>table, the applicant proposes to harvest from an area of 4.8 ha, giving a population available for harves</w:t>
      </w:r>
      <w:r w:rsidR="00BF6480">
        <w:t>t of 1</w:t>
      </w:r>
      <w:r w:rsidRPr="00483567">
        <w:t>286 plants (268 plants per ha × 4.8 ha).</w:t>
      </w:r>
    </w:p>
    <w:p w14:paraId="411E050E" w14:textId="77777777" w:rsidR="00CE7AB0" w:rsidRPr="00BF6480" w:rsidRDefault="00CE7AB0" w:rsidP="00FC388E">
      <w:pPr>
        <w:rPr>
          <w:b/>
        </w:rPr>
      </w:pPr>
      <w:r w:rsidRPr="00BF6480">
        <w:rPr>
          <w:b/>
        </w:rPr>
        <w:t xml:space="preserve">Step 4: </w:t>
      </w:r>
      <w:r w:rsidRPr="00BF6480">
        <w:rPr>
          <w:b/>
        </w:rPr>
        <w:tab/>
        <w:t>Calculate the average number of plants per hectare or area</w:t>
      </w:r>
    </w:p>
    <w:p w14:paraId="37B4CE31" w14:textId="77777777" w:rsidR="00CE7AB0" w:rsidRDefault="00CE7AB0" w:rsidP="00FC388E">
      <w:r>
        <w:t xml:space="preserve">Add the number of plants per hectare for each plot together (275 + 350 + 150 +300 = 1075) and divide this by the total number of plots (1,075 </w:t>
      </w:r>
      <w:r>
        <w:rPr>
          <w:rFonts w:ascii="Courier New" w:hAnsi="Courier New" w:cs="Courier New"/>
        </w:rPr>
        <w:t>÷</w:t>
      </w:r>
      <w:r>
        <w:t xml:space="preserve"> 4 = 268 plants per ha).</w:t>
      </w:r>
    </w:p>
    <w:p w14:paraId="2E56FB0E" w14:textId="77777777" w:rsidR="00CE7AB0" w:rsidRPr="00BF6480" w:rsidRDefault="00BF6480" w:rsidP="00BF6480">
      <w:pPr>
        <w:ind w:left="720" w:hanging="720"/>
        <w:rPr>
          <w:b/>
        </w:rPr>
      </w:pPr>
      <w:r>
        <w:rPr>
          <w:b/>
        </w:rPr>
        <w:t xml:space="preserve">Step 5: </w:t>
      </w:r>
      <w:r>
        <w:rPr>
          <w:b/>
        </w:rPr>
        <w:tab/>
      </w:r>
      <w:r w:rsidR="00CE7AB0" w:rsidRPr="00BF6480">
        <w:rPr>
          <w:b/>
        </w:rPr>
        <w:t>Calculate the total number of plants available for harvest from the site</w:t>
      </w:r>
    </w:p>
    <w:p w14:paraId="59EA05FA" w14:textId="77777777" w:rsidR="00CE7AB0" w:rsidRPr="009D7CA2" w:rsidRDefault="00CE7AB0" w:rsidP="00FC388E">
      <w:r w:rsidRPr="009D7CA2">
        <w:t>Multiply the average number of plants per hectare by the known harvest area to estimate the total plant population available for harvest (268 plants/ha X 4.8 ha).</w:t>
      </w:r>
    </w:p>
    <w:p w14:paraId="01F42303" w14:textId="77777777" w:rsidR="00CE7AB0" w:rsidRPr="00791D51" w:rsidRDefault="00CE7AB0" w:rsidP="00090D15">
      <w:pPr>
        <w:pStyle w:val="Heading2"/>
        <w:numPr>
          <w:ilvl w:val="0"/>
          <w:numId w:val="0"/>
        </w:numPr>
        <w:ind w:left="794" w:hanging="794"/>
      </w:pPr>
      <w:r w:rsidRPr="00483567">
        <w:br w:type="page"/>
      </w:r>
      <w:bookmarkStart w:id="810" w:name="_Toc301869699"/>
      <w:bookmarkStart w:id="811" w:name="_Toc346619021"/>
      <w:bookmarkStart w:id="812" w:name="_Toc494449617"/>
      <w:r w:rsidRPr="00791D51">
        <w:lastRenderedPageBreak/>
        <w:t>Conversions</w:t>
      </w:r>
      <w:bookmarkEnd w:id="810"/>
      <w:bookmarkEnd w:id="811"/>
      <w:bookmarkEnd w:id="812"/>
    </w:p>
    <w:p w14:paraId="0DEFDFBE" w14:textId="77777777" w:rsidR="00CE7AB0" w:rsidRPr="00483567" w:rsidRDefault="00CE7AB0" w:rsidP="00FC388E">
      <w:pPr>
        <w:pStyle w:val="BodyText"/>
      </w:pPr>
      <w:r w:rsidRPr="00483567">
        <w:t xml:space="preserve">Use the </w:t>
      </w:r>
      <w:r>
        <w:t>next</w:t>
      </w:r>
      <w:r w:rsidRPr="00483567">
        <w:t xml:space="preserve"> table to calculate the number of plants per acre or hectare. For a 20</w:t>
      </w:r>
      <w:r>
        <w:t> </w:t>
      </w:r>
      <w:r w:rsidRPr="00483567">
        <w:t>m</w:t>
      </w:r>
      <w:r>
        <w:t> </w:t>
      </w:r>
      <w:r w:rsidRPr="00483567">
        <w:t>×</w:t>
      </w:r>
      <w:r>
        <w:t> </w:t>
      </w:r>
      <w:r w:rsidRPr="00483567">
        <w:t>20</w:t>
      </w:r>
      <w:r>
        <w:t> </w:t>
      </w:r>
      <w:r w:rsidRPr="00483567">
        <w:t>m (400 m</w:t>
      </w:r>
      <w:r w:rsidRPr="00483567">
        <w:rPr>
          <w:vertAlign w:val="superscript"/>
        </w:rPr>
        <w:t>2</w:t>
      </w:r>
      <w:r w:rsidRPr="00483567">
        <w:t>) plot, multiply the number of plants by the number correspond</w:t>
      </w:r>
      <w:r>
        <w:t>ing</w:t>
      </w:r>
      <w:r w:rsidRPr="00483567">
        <w:t xml:space="preserve"> to the harvest area.</w:t>
      </w:r>
    </w:p>
    <w:p w14:paraId="46673199" w14:textId="77777777" w:rsidR="00CE7AB0" w:rsidRPr="00BF0099" w:rsidRDefault="00CE7AB0" w:rsidP="00090D15">
      <w:pPr>
        <w:pStyle w:val="Tablecaption"/>
      </w:pPr>
      <w:r w:rsidRPr="00BF0099">
        <w:t>Table 3</w:t>
      </w:r>
      <w:r w:rsidRPr="00BF0099">
        <w:tab/>
        <w:t>Conversion values</w:t>
      </w:r>
      <w:r w:rsidRPr="00BF0099">
        <w:tab/>
      </w:r>
    </w:p>
    <w:tbl>
      <w:tblPr>
        <w:tblW w:w="0" w:type="auto"/>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354"/>
        <w:gridCol w:w="5817"/>
      </w:tblGrid>
      <w:tr w:rsidR="00090D15" w:rsidRPr="00090D15" w14:paraId="1496EB37" w14:textId="77777777" w:rsidTr="00090D15">
        <w:trPr>
          <w:cantSplit/>
          <w:trHeight w:hRule="exact" w:val="597"/>
          <w:jc w:val="center"/>
        </w:trPr>
        <w:tc>
          <w:tcPr>
            <w:tcW w:w="3354" w:type="dxa"/>
            <w:shd w:val="clear" w:color="auto" w:fill="4C6D41"/>
            <w:vAlign w:val="center"/>
          </w:tcPr>
          <w:p w14:paraId="7FE6A68D" w14:textId="77777777" w:rsidR="00CE7AB0" w:rsidRPr="00090D15" w:rsidRDefault="00CE7AB0" w:rsidP="00FC388E">
            <w:pPr>
              <w:rPr>
                <w:b/>
                <w:color w:val="FFFFFF" w:themeColor="background1"/>
              </w:rPr>
            </w:pPr>
            <w:r w:rsidRPr="00090D15">
              <w:rPr>
                <w:b/>
                <w:color w:val="FFFFFF" w:themeColor="background1"/>
              </w:rPr>
              <w:t>Harvest area (acres)</w:t>
            </w:r>
          </w:p>
        </w:tc>
        <w:tc>
          <w:tcPr>
            <w:tcW w:w="5817" w:type="dxa"/>
            <w:shd w:val="clear" w:color="auto" w:fill="4C6D41"/>
            <w:vAlign w:val="center"/>
          </w:tcPr>
          <w:p w14:paraId="4E90659C" w14:textId="77777777" w:rsidR="00CE7AB0" w:rsidRPr="00090D15" w:rsidRDefault="00CE7AB0" w:rsidP="00FC388E">
            <w:pPr>
              <w:rPr>
                <w:b/>
                <w:color w:val="FFFFFF" w:themeColor="background1"/>
              </w:rPr>
            </w:pPr>
            <w:r w:rsidRPr="00090D15">
              <w:rPr>
                <w:b/>
                <w:color w:val="FFFFFF" w:themeColor="background1"/>
              </w:rPr>
              <w:t>Multiply the number of plants in 400 m</w:t>
            </w:r>
            <w:r w:rsidRPr="00090D15">
              <w:rPr>
                <w:b/>
                <w:color w:val="FFFFFF" w:themeColor="background1"/>
                <w:vertAlign w:val="superscript"/>
              </w:rPr>
              <w:t>2</w:t>
            </w:r>
            <w:r w:rsidRPr="00090D15">
              <w:rPr>
                <w:b/>
                <w:color w:val="FFFFFF" w:themeColor="background1"/>
              </w:rPr>
              <w:t xml:space="preserve"> plots by</w:t>
            </w:r>
          </w:p>
        </w:tc>
      </w:tr>
      <w:tr w:rsidR="00CE7AB0" w:rsidRPr="00483567" w14:paraId="58E5EC6C" w14:textId="77777777" w:rsidTr="006E51BB">
        <w:trPr>
          <w:cantSplit/>
          <w:jc w:val="center"/>
        </w:trPr>
        <w:tc>
          <w:tcPr>
            <w:tcW w:w="3354" w:type="dxa"/>
            <w:vAlign w:val="center"/>
          </w:tcPr>
          <w:p w14:paraId="7CCA52C7" w14:textId="77777777" w:rsidR="00CE7AB0" w:rsidRPr="00483567" w:rsidRDefault="00CE7AB0" w:rsidP="00090D15">
            <w:pPr>
              <w:pStyle w:val="Tabletext"/>
            </w:pPr>
            <w:r w:rsidRPr="00483567">
              <w:t>1</w:t>
            </w:r>
            <w:r>
              <w:t>.0</w:t>
            </w:r>
          </w:p>
        </w:tc>
        <w:tc>
          <w:tcPr>
            <w:tcW w:w="5817" w:type="dxa"/>
            <w:vAlign w:val="center"/>
          </w:tcPr>
          <w:p w14:paraId="78D6862A" w14:textId="77777777" w:rsidR="00CE7AB0" w:rsidRPr="00483567" w:rsidRDefault="00CE7AB0" w:rsidP="00090D15">
            <w:pPr>
              <w:pStyle w:val="Tabletext"/>
            </w:pPr>
            <w:r w:rsidRPr="00483567">
              <w:t>10.1</w:t>
            </w:r>
          </w:p>
        </w:tc>
      </w:tr>
      <w:tr w:rsidR="00CE7AB0" w:rsidRPr="00483567" w14:paraId="12393184" w14:textId="77777777" w:rsidTr="006E51BB">
        <w:trPr>
          <w:cantSplit/>
          <w:jc w:val="center"/>
        </w:trPr>
        <w:tc>
          <w:tcPr>
            <w:tcW w:w="3354" w:type="dxa"/>
            <w:vAlign w:val="center"/>
          </w:tcPr>
          <w:p w14:paraId="07ABCC1F" w14:textId="77777777" w:rsidR="00CE7AB0" w:rsidRPr="00483567" w:rsidRDefault="00CE7AB0" w:rsidP="00090D15">
            <w:pPr>
              <w:pStyle w:val="Tabletext"/>
            </w:pPr>
            <w:r w:rsidRPr="00483567">
              <w:t>0.5</w:t>
            </w:r>
          </w:p>
        </w:tc>
        <w:tc>
          <w:tcPr>
            <w:tcW w:w="5817" w:type="dxa"/>
            <w:vAlign w:val="center"/>
          </w:tcPr>
          <w:p w14:paraId="64C26F6A" w14:textId="77777777" w:rsidR="00CE7AB0" w:rsidRPr="00483567" w:rsidRDefault="00CE7AB0" w:rsidP="00090D15">
            <w:pPr>
              <w:pStyle w:val="Tabletext"/>
            </w:pPr>
            <w:r w:rsidRPr="00483567">
              <w:t>5.1</w:t>
            </w:r>
          </w:p>
        </w:tc>
      </w:tr>
      <w:tr w:rsidR="00CE7AB0" w:rsidRPr="00483567" w14:paraId="7791ECCC" w14:textId="77777777" w:rsidTr="006E51BB">
        <w:trPr>
          <w:cantSplit/>
          <w:jc w:val="center"/>
        </w:trPr>
        <w:tc>
          <w:tcPr>
            <w:tcW w:w="3354" w:type="dxa"/>
            <w:vAlign w:val="center"/>
          </w:tcPr>
          <w:p w14:paraId="372D6008" w14:textId="77777777" w:rsidR="00CE7AB0" w:rsidRPr="00483567" w:rsidRDefault="00CE7AB0" w:rsidP="00090D15">
            <w:pPr>
              <w:pStyle w:val="Tabletext"/>
            </w:pPr>
            <w:r w:rsidRPr="00483567">
              <w:t>0.25</w:t>
            </w:r>
          </w:p>
        </w:tc>
        <w:tc>
          <w:tcPr>
            <w:tcW w:w="5817" w:type="dxa"/>
            <w:vAlign w:val="center"/>
          </w:tcPr>
          <w:p w14:paraId="62C9ECE5" w14:textId="77777777" w:rsidR="00CE7AB0" w:rsidRPr="00483567" w:rsidRDefault="00CE7AB0" w:rsidP="00090D15">
            <w:pPr>
              <w:pStyle w:val="Tabletext"/>
            </w:pPr>
            <w:r w:rsidRPr="00483567">
              <w:t>2.5</w:t>
            </w:r>
          </w:p>
        </w:tc>
      </w:tr>
      <w:tr w:rsidR="00CE7AB0" w:rsidRPr="00483567" w14:paraId="7213FE3D" w14:textId="77777777" w:rsidTr="006E51BB">
        <w:trPr>
          <w:cantSplit/>
          <w:jc w:val="center"/>
        </w:trPr>
        <w:tc>
          <w:tcPr>
            <w:tcW w:w="3354" w:type="dxa"/>
            <w:vAlign w:val="center"/>
          </w:tcPr>
          <w:p w14:paraId="3436459F" w14:textId="77777777" w:rsidR="00CE7AB0" w:rsidRPr="00483567" w:rsidRDefault="00CE7AB0" w:rsidP="00090D15">
            <w:pPr>
              <w:pStyle w:val="Tabletext"/>
            </w:pPr>
            <w:r w:rsidRPr="00483567">
              <w:t>0.125</w:t>
            </w:r>
          </w:p>
        </w:tc>
        <w:tc>
          <w:tcPr>
            <w:tcW w:w="5817" w:type="dxa"/>
            <w:vAlign w:val="center"/>
          </w:tcPr>
          <w:p w14:paraId="2119B3D0" w14:textId="77777777" w:rsidR="00CE7AB0" w:rsidRPr="00483567" w:rsidRDefault="00CE7AB0" w:rsidP="00090D15">
            <w:pPr>
              <w:pStyle w:val="Tabletext"/>
            </w:pPr>
            <w:r w:rsidRPr="00483567">
              <w:t>1.3</w:t>
            </w:r>
          </w:p>
        </w:tc>
      </w:tr>
      <w:tr w:rsidR="00090D15" w:rsidRPr="00090D15" w14:paraId="57D29B29" w14:textId="77777777" w:rsidTr="00090D15">
        <w:trPr>
          <w:cantSplit/>
          <w:trHeight w:hRule="exact" w:val="549"/>
          <w:jc w:val="center"/>
        </w:trPr>
        <w:tc>
          <w:tcPr>
            <w:tcW w:w="3354" w:type="dxa"/>
            <w:shd w:val="clear" w:color="auto" w:fill="4C6D41"/>
            <w:vAlign w:val="center"/>
          </w:tcPr>
          <w:p w14:paraId="040D5589" w14:textId="77777777" w:rsidR="00CE7AB0" w:rsidRPr="00090D15" w:rsidRDefault="00CE7AB0" w:rsidP="00FC388E">
            <w:pPr>
              <w:rPr>
                <w:b/>
                <w:color w:val="FFFFFF" w:themeColor="background1"/>
              </w:rPr>
            </w:pPr>
            <w:r w:rsidRPr="00090D15">
              <w:rPr>
                <w:b/>
                <w:color w:val="FFFFFF" w:themeColor="background1"/>
              </w:rPr>
              <w:t>Harvest area (hectares)</w:t>
            </w:r>
          </w:p>
        </w:tc>
        <w:tc>
          <w:tcPr>
            <w:tcW w:w="5817" w:type="dxa"/>
            <w:shd w:val="clear" w:color="auto" w:fill="4C6D41"/>
            <w:vAlign w:val="center"/>
          </w:tcPr>
          <w:p w14:paraId="0E97277D" w14:textId="77777777" w:rsidR="00CE7AB0" w:rsidRPr="00090D15" w:rsidRDefault="00CE7AB0" w:rsidP="00FC388E">
            <w:pPr>
              <w:rPr>
                <w:b/>
                <w:color w:val="FFFFFF" w:themeColor="background1"/>
              </w:rPr>
            </w:pPr>
            <w:r w:rsidRPr="00090D15">
              <w:rPr>
                <w:b/>
                <w:color w:val="FFFFFF" w:themeColor="background1"/>
              </w:rPr>
              <w:t>Multiply the number of plants in 400 m</w:t>
            </w:r>
            <w:r w:rsidRPr="00090D15">
              <w:rPr>
                <w:b/>
                <w:color w:val="FFFFFF" w:themeColor="background1"/>
                <w:vertAlign w:val="superscript"/>
              </w:rPr>
              <w:t>2</w:t>
            </w:r>
            <w:r w:rsidRPr="00090D15">
              <w:rPr>
                <w:b/>
                <w:color w:val="FFFFFF" w:themeColor="background1"/>
              </w:rPr>
              <w:t xml:space="preserve"> plots by</w:t>
            </w:r>
          </w:p>
        </w:tc>
      </w:tr>
      <w:tr w:rsidR="00CE7AB0" w:rsidRPr="00483567" w14:paraId="47ADE87B" w14:textId="77777777" w:rsidTr="006E51BB">
        <w:trPr>
          <w:cantSplit/>
          <w:jc w:val="center"/>
        </w:trPr>
        <w:tc>
          <w:tcPr>
            <w:tcW w:w="3354" w:type="dxa"/>
            <w:vAlign w:val="center"/>
          </w:tcPr>
          <w:p w14:paraId="459748F0" w14:textId="77777777" w:rsidR="00CE7AB0" w:rsidRPr="00483567" w:rsidRDefault="00CE7AB0" w:rsidP="00090D15">
            <w:pPr>
              <w:pStyle w:val="Tabletext"/>
            </w:pPr>
            <w:r w:rsidRPr="00483567">
              <w:t>1</w:t>
            </w:r>
            <w:r>
              <w:t>.0</w:t>
            </w:r>
          </w:p>
        </w:tc>
        <w:tc>
          <w:tcPr>
            <w:tcW w:w="5817" w:type="dxa"/>
            <w:vAlign w:val="center"/>
          </w:tcPr>
          <w:p w14:paraId="57D5FF3F" w14:textId="77777777" w:rsidR="00CE7AB0" w:rsidRPr="00483567" w:rsidRDefault="00CE7AB0" w:rsidP="00090D15">
            <w:pPr>
              <w:pStyle w:val="Tabletext"/>
            </w:pPr>
            <w:r w:rsidRPr="00483567">
              <w:t>25</w:t>
            </w:r>
            <w:r>
              <w:t>.0</w:t>
            </w:r>
          </w:p>
        </w:tc>
      </w:tr>
      <w:tr w:rsidR="00CE7AB0" w:rsidRPr="00483567" w14:paraId="5FBC421D" w14:textId="77777777" w:rsidTr="006E51BB">
        <w:trPr>
          <w:cantSplit/>
          <w:jc w:val="center"/>
        </w:trPr>
        <w:tc>
          <w:tcPr>
            <w:tcW w:w="3354" w:type="dxa"/>
            <w:vAlign w:val="center"/>
          </w:tcPr>
          <w:p w14:paraId="75BC934B" w14:textId="77777777" w:rsidR="00CE7AB0" w:rsidRPr="00483567" w:rsidRDefault="00CE7AB0" w:rsidP="00090D15">
            <w:pPr>
              <w:pStyle w:val="Tabletext"/>
            </w:pPr>
            <w:r w:rsidRPr="00483567">
              <w:t>0.5</w:t>
            </w:r>
          </w:p>
        </w:tc>
        <w:tc>
          <w:tcPr>
            <w:tcW w:w="5817" w:type="dxa"/>
            <w:vAlign w:val="center"/>
          </w:tcPr>
          <w:p w14:paraId="5E6B9191" w14:textId="77777777" w:rsidR="00CE7AB0" w:rsidRPr="00483567" w:rsidRDefault="00CE7AB0" w:rsidP="00090D15">
            <w:pPr>
              <w:pStyle w:val="Tabletext"/>
            </w:pPr>
            <w:r w:rsidRPr="00483567">
              <w:t>12.5</w:t>
            </w:r>
          </w:p>
        </w:tc>
      </w:tr>
      <w:tr w:rsidR="00CE7AB0" w:rsidRPr="00483567" w14:paraId="123824CE" w14:textId="77777777" w:rsidTr="006E51BB">
        <w:trPr>
          <w:cantSplit/>
          <w:jc w:val="center"/>
        </w:trPr>
        <w:tc>
          <w:tcPr>
            <w:tcW w:w="3354" w:type="dxa"/>
            <w:vAlign w:val="center"/>
          </w:tcPr>
          <w:p w14:paraId="54413597" w14:textId="77777777" w:rsidR="00CE7AB0" w:rsidRPr="00483567" w:rsidRDefault="00CE7AB0" w:rsidP="00090D15">
            <w:pPr>
              <w:pStyle w:val="Tabletext"/>
            </w:pPr>
            <w:r w:rsidRPr="00483567">
              <w:t>0.25</w:t>
            </w:r>
          </w:p>
        </w:tc>
        <w:tc>
          <w:tcPr>
            <w:tcW w:w="5817" w:type="dxa"/>
            <w:vAlign w:val="center"/>
          </w:tcPr>
          <w:p w14:paraId="64B1C0A3" w14:textId="77777777" w:rsidR="00CE7AB0" w:rsidRPr="00483567" w:rsidRDefault="00CE7AB0" w:rsidP="00090D15">
            <w:pPr>
              <w:pStyle w:val="Tabletext"/>
            </w:pPr>
            <w:r w:rsidRPr="00483567">
              <w:t>6.25</w:t>
            </w:r>
          </w:p>
        </w:tc>
      </w:tr>
      <w:tr w:rsidR="00CE7AB0" w:rsidRPr="00483567" w14:paraId="0CAAAF60" w14:textId="77777777" w:rsidTr="006E51BB">
        <w:trPr>
          <w:cantSplit/>
          <w:jc w:val="center"/>
        </w:trPr>
        <w:tc>
          <w:tcPr>
            <w:tcW w:w="3354" w:type="dxa"/>
            <w:vAlign w:val="center"/>
          </w:tcPr>
          <w:p w14:paraId="0EE8A26B" w14:textId="77777777" w:rsidR="00CE7AB0" w:rsidRPr="00483567" w:rsidRDefault="00CE7AB0" w:rsidP="00090D15">
            <w:pPr>
              <w:pStyle w:val="Tabletext"/>
            </w:pPr>
            <w:r w:rsidRPr="00483567">
              <w:t>0.125</w:t>
            </w:r>
          </w:p>
        </w:tc>
        <w:tc>
          <w:tcPr>
            <w:tcW w:w="5817" w:type="dxa"/>
            <w:vAlign w:val="center"/>
          </w:tcPr>
          <w:p w14:paraId="0DABA376" w14:textId="77777777" w:rsidR="00CE7AB0" w:rsidRPr="00483567" w:rsidRDefault="00CE7AB0" w:rsidP="00090D15">
            <w:pPr>
              <w:pStyle w:val="Tabletext"/>
            </w:pPr>
            <w:r w:rsidRPr="00483567">
              <w:t>3.125</w:t>
            </w:r>
          </w:p>
        </w:tc>
      </w:tr>
    </w:tbl>
    <w:p w14:paraId="0B16B09F" w14:textId="77777777" w:rsidR="00CE7AB0" w:rsidRPr="00791D51" w:rsidRDefault="00CE7AB0" w:rsidP="00090D15">
      <w:pPr>
        <w:pStyle w:val="Heading2"/>
        <w:numPr>
          <w:ilvl w:val="0"/>
          <w:numId w:val="0"/>
        </w:numPr>
        <w:ind w:left="794" w:hanging="794"/>
      </w:pPr>
      <w:bookmarkStart w:id="813" w:name="_Toc301869700"/>
      <w:bookmarkStart w:id="814" w:name="_Toc346619022"/>
      <w:bookmarkStart w:id="815" w:name="_Toc494449618"/>
      <w:r w:rsidRPr="00791D51">
        <w:t>Rotational harvesting</w:t>
      </w:r>
      <w:bookmarkEnd w:id="813"/>
      <w:bookmarkEnd w:id="814"/>
      <w:bookmarkEnd w:id="815"/>
    </w:p>
    <w:p w14:paraId="008286D4" w14:textId="77777777" w:rsidR="00CE7AB0" w:rsidRPr="00E133B5" w:rsidRDefault="00CE7AB0" w:rsidP="00FC388E">
      <w:pPr>
        <w:pStyle w:val="BodyText"/>
      </w:pPr>
      <w:r w:rsidRPr="00E133B5">
        <w:t xml:space="preserve">Rotational harvesting is recommended to assist in minimising harvest impacts and improving ecological sustainability. By dividing the harvest area into smaller harvest blocks, a finer scale of population estimate can be achieved. Do this by repeating steps 1 to 5 above for each harvest area. This will help account for plant density across a property. </w:t>
      </w:r>
    </w:p>
    <w:p w14:paraId="2A7B15EF" w14:textId="77777777" w:rsidR="00CE7AB0" w:rsidRPr="00E133B5" w:rsidRDefault="00CE7AB0" w:rsidP="00FC388E">
      <w:pPr>
        <w:pStyle w:val="BodyText"/>
      </w:pPr>
      <w:r w:rsidRPr="00E133B5">
        <w:t>Also, incorporating rotational harvesting will allow areas surrounding harvest locations to recover and improve the long-term sustainability of harvest operations. Harvest rates will be set for each block based on the population estimate per block. Harvest will only be permitted from one block per year.</w:t>
      </w:r>
    </w:p>
    <w:p w14:paraId="4F053E07" w14:textId="77777777" w:rsidR="00CE7AB0" w:rsidRPr="00E133B5" w:rsidRDefault="00CE7AB0" w:rsidP="00FC388E">
      <w:pPr>
        <w:pStyle w:val="BodyText"/>
      </w:pPr>
      <w:r w:rsidRPr="00E133B5">
        <w:t xml:space="preserve">Dividing the harvest site into five defined areas, harvesting from only one of the five areas each year and rotating the harvested area annually ensures flowering and seed production can occur and reduces harvest impacts. </w:t>
      </w:r>
    </w:p>
    <w:p w14:paraId="17296D79" w14:textId="77777777" w:rsidR="00CE7AB0" w:rsidRPr="00483567" w:rsidRDefault="00CE7AB0" w:rsidP="00090D15">
      <w:pPr>
        <w:pStyle w:val="Tablecaption"/>
      </w:pPr>
      <w:r w:rsidRPr="00483567">
        <w:t>Table 4</w:t>
      </w:r>
      <w:r w:rsidRPr="00483567">
        <w:tab/>
        <w:t>Rotational harvesting: area divided into five management areas</w:t>
      </w:r>
    </w:p>
    <w:tbl>
      <w:tblPr>
        <w:tblW w:w="4891" w:type="pct"/>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8" w:type="dxa"/>
          <w:bottom w:w="108" w:type="dxa"/>
        </w:tblCellMar>
        <w:tblLook w:val="01E0" w:firstRow="1" w:lastRow="1" w:firstColumn="1" w:lastColumn="1" w:noHBand="0" w:noVBand="0"/>
      </w:tblPr>
      <w:tblGrid>
        <w:gridCol w:w="1608"/>
        <w:gridCol w:w="1803"/>
        <w:gridCol w:w="1803"/>
        <w:gridCol w:w="1803"/>
        <w:gridCol w:w="1803"/>
      </w:tblGrid>
      <w:tr w:rsidR="00090D15" w:rsidRPr="00090D15" w14:paraId="5251FE9A" w14:textId="77777777" w:rsidTr="00090D15">
        <w:trPr>
          <w:trHeight w:val="336"/>
        </w:trPr>
        <w:tc>
          <w:tcPr>
            <w:tcW w:w="911" w:type="pct"/>
            <w:shd w:val="clear" w:color="auto" w:fill="4C6D41"/>
          </w:tcPr>
          <w:p w14:paraId="2B596B5D" w14:textId="77777777" w:rsidR="00CE7AB0" w:rsidRPr="00090D15" w:rsidRDefault="00CE7AB0" w:rsidP="00FC388E">
            <w:pPr>
              <w:rPr>
                <w:b/>
                <w:color w:val="FFFFFF" w:themeColor="background1"/>
              </w:rPr>
            </w:pPr>
            <w:r w:rsidRPr="00090D15">
              <w:rPr>
                <w:b/>
                <w:color w:val="FFFFFF" w:themeColor="background1"/>
              </w:rPr>
              <w:t>Area 1</w:t>
            </w:r>
          </w:p>
        </w:tc>
        <w:tc>
          <w:tcPr>
            <w:tcW w:w="1022" w:type="pct"/>
            <w:shd w:val="clear" w:color="auto" w:fill="4C6D41"/>
          </w:tcPr>
          <w:p w14:paraId="20788F4D" w14:textId="77777777" w:rsidR="00CE7AB0" w:rsidRPr="00090D15" w:rsidRDefault="00CE7AB0" w:rsidP="00FC388E">
            <w:pPr>
              <w:rPr>
                <w:b/>
                <w:color w:val="FFFFFF" w:themeColor="background1"/>
              </w:rPr>
            </w:pPr>
            <w:r w:rsidRPr="00090D15">
              <w:rPr>
                <w:b/>
                <w:color w:val="FFFFFF" w:themeColor="background1"/>
              </w:rPr>
              <w:t>Area 2</w:t>
            </w:r>
          </w:p>
        </w:tc>
        <w:tc>
          <w:tcPr>
            <w:tcW w:w="1022" w:type="pct"/>
            <w:shd w:val="clear" w:color="auto" w:fill="4C6D41"/>
          </w:tcPr>
          <w:p w14:paraId="4C1E3F82" w14:textId="77777777" w:rsidR="00CE7AB0" w:rsidRPr="00090D15" w:rsidRDefault="00CE7AB0" w:rsidP="00FC388E">
            <w:pPr>
              <w:rPr>
                <w:b/>
                <w:color w:val="FFFFFF" w:themeColor="background1"/>
              </w:rPr>
            </w:pPr>
            <w:r w:rsidRPr="00090D15">
              <w:rPr>
                <w:b/>
                <w:color w:val="FFFFFF" w:themeColor="background1"/>
              </w:rPr>
              <w:t>Area 3</w:t>
            </w:r>
          </w:p>
        </w:tc>
        <w:tc>
          <w:tcPr>
            <w:tcW w:w="1022" w:type="pct"/>
            <w:shd w:val="clear" w:color="auto" w:fill="4C6D41"/>
          </w:tcPr>
          <w:p w14:paraId="3F774374" w14:textId="77777777" w:rsidR="00CE7AB0" w:rsidRPr="00090D15" w:rsidRDefault="00CE7AB0" w:rsidP="00FC388E">
            <w:pPr>
              <w:rPr>
                <w:b/>
                <w:color w:val="FFFFFF" w:themeColor="background1"/>
              </w:rPr>
            </w:pPr>
            <w:r w:rsidRPr="00090D15">
              <w:rPr>
                <w:b/>
                <w:color w:val="FFFFFF" w:themeColor="background1"/>
              </w:rPr>
              <w:t>Area 4</w:t>
            </w:r>
          </w:p>
        </w:tc>
        <w:tc>
          <w:tcPr>
            <w:tcW w:w="1022" w:type="pct"/>
            <w:shd w:val="clear" w:color="auto" w:fill="4C6D41"/>
          </w:tcPr>
          <w:p w14:paraId="5D63A230" w14:textId="77777777" w:rsidR="00CE7AB0" w:rsidRPr="00090D15" w:rsidRDefault="00CE7AB0" w:rsidP="00FC388E">
            <w:pPr>
              <w:rPr>
                <w:b/>
                <w:color w:val="FFFFFF" w:themeColor="background1"/>
              </w:rPr>
            </w:pPr>
            <w:r w:rsidRPr="00090D15">
              <w:rPr>
                <w:b/>
                <w:color w:val="FFFFFF" w:themeColor="background1"/>
              </w:rPr>
              <w:t>Area 5</w:t>
            </w:r>
          </w:p>
        </w:tc>
      </w:tr>
      <w:tr w:rsidR="00CE7AB0" w:rsidRPr="00483567" w14:paraId="4FF1A451" w14:textId="77777777" w:rsidTr="006E51BB">
        <w:tc>
          <w:tcPr>
            <w:tcW w:w="911" w:type="pct"/>
            <w:shd w:val="clear" w:color="auto" w:fill="auto"/>
          </w:tcPr>
          <w:p w14:paraId="2EA13AC1" w14:textId="77777777" w:rsidR="00CE7AB0" w:rsidRPr="00483567" w:rsidRDefault="00CE7AB0" w:rsidP="00090D15">
            <w:pPr>
              <w:pStyle w:val="Tabletext"/>
              <w:rPr>
                <w:b/>
              </w:rPr>
            </w:pPr>
            <w:r w:rsidRPr="00483567">
              <w:t xml:space="preserve">Area harvested in </w:t>
            </w:r>
            <w:r w:rsidRPr="00483567">
              <w:rPr>
                <w:b/>
                <w:iCs/>
              </w:rPr>
              <w:t xml:space="preserve">first </w:t>
            </w:r>
            <w:r w:rsidRPr="00483567">
              <w:t>harvest year</w:t>
            </w:r>
          </w:p>
        </w:tc>
        <w:tc>
          <w:tcPr>
            <w:tcW w:w="1022" w:type="pct"/>
            <w:shd w:val="clear" w:color="auto" w:fill="auto"/>
          </w:tcPr>
          <w:p w14:paraId="7A57CBA9" w14:textId="77777777" w:rsidR="00CE7AB0" w:rsidRPr="00483567" w:rsidRDefault="00CE7AB0" w:rsidP="00090D15">
            <w:pPr>
              <w:pStyle w:val="Tabletext"/>
              <w:rPr>
                <w:b/>
              </w:rPr>
            </w:pPr>
            <w:r w:rsidRPr="00483567">
              <w:t xml:space="preserve">Area harvested in </w:t>
            </w:r>
            <w:r w:rsidRPr="00483567">
              <w:rPr>
                <w:b/>
                <w:iCs/>
              </w:rPr>
              <w:t>second</w:t>
            </w:r>
            <w:r w:rsidRPr="00483567">
              <w:t xml:space="preserve"> harvest year</w:t>
            </w:r>
          </w:p>
        </w:tc>
        <w:tc>
          <w:tcPr>
            <w:tcW w:w="1022" w:type="pct"/>
            <w:shd w:val="clear" w:color="auto" w:fill="auto"/>
          </w:tcPr>
          <w:p w14:paraId="152D1286" w14:textId="77777777" w:rsidR="00CE7AB0" w:rsidRPr="00483567" w:rsidRDefault="00CE7AB0" w:rsidP="00090D15">
            <w:pPr>
              <w:pStyle w:val="Tabletext"/>
              <w:rPr>
                <w:b/>
              </w:rPr>
            </w:pPr>
            <w:r w:rsidRPr="00483567">
              <w:t xml:space="preserve">Area harvested in </w:t>
            </w:r>
            <w:r w:rsidRPr="00483567">
              <w:rPr>
                <w:b/>
                <w:iCs/>
              </w:rPr>
              <w:t>third</w:t>
            </w:r>
            <w:r w:rsidRPr="00483567">
              <w:t xml:space="preserve"> harvest year</w:t>
            </w:r>
          </w:p>
        </w:tc>
        <w:tc>
          <w:tcPr>
            <w:tcW w:w="1022" w:type="pct"/>
            <w:shd w:val="clear" w:color="auto" w:fill="auto"/>
          </w:tcPr>
          <w:p w14:paraId="7D2C6988" w14:textId="77777777" w:rsidR="00CE7AB0" w:rsidRPr="00483567" w:rsidRDefault="00CE7AB0" w:rsidP="00090D15">
            <w:pPr>
              <w:pStyle w:val="Tabletext"/>
              <w:rPr>
                <w:b/>
              </w:rPr>
            </w:pPr>
            <w:r w:rsidRPr="00483567">
              <w:t xml:space="preserve">Area harvested in </w:t>
            </w:r>
            <w:r w:rsidRPr="00483567">
              <w:rPr>
                <w:b/>
                <w:iCs/>
              </w:rPr>
              <w:t>fourth</w:t>
            </w:r>
            <w:r w:rsidRPr="00483567">
              <w:rPr>
                <w:i/>
              </w:rPr>
              <w:t xml:space="preserve"> </w:t>
            </w:r>
            <w:r w:rsidRPr="00483567">
              <w:t>harvest year</w:t>
            </w:r>
          </w:p>
        </w:tc>
        <w:tc>
          <w:tcPr>
            <w:tcW w:w="1022" w:type="pct"/>
            <w:shd w:val="clear" w:color="auto" w:fill="auto"/>
          </w:tcPr>
          <w:p w14:paraId="2BD971DB" w14:textId="77777777" w:rsidR="00CE7AB0" w:rsidRPr="00483567" w:rsidRDefault="00CE7AB0" w:rsidP="00090D15">
            <w:pPr>
              <w:pStyle w:val="Tabletext"/>
              <w:rPr>
                <w:b/>
              </w:rPr>
            </w:pPr>
            <w:r w:rsidRPr="00483567">
              <w:t xml:space="preserve">Area harvested in </w:t>
            </w:r>
            <w:r w:rsidRPr="00483567">
              <w:rPr>
                <w:b/>
                <w:iCs/>
              </w:rPr>
              <w:t xml:space="preserve">fifth </w:t>
            </w:r>
            <w:r w:rsidRPr="00483567">
              <w:t>harvest year</w:t>
            </w:r>
          </w:p>
        </w:tc>
      </w:tr>
    </w:tbl>
    <w:p w14:paraId="04399564" w14:textId="77777777" w:rsidR="00CE7AB0" w:rsidRPr="00483567" w:rsidRDefault="00CE7AB0" w:rsidP="00FC388E"/>
    <w:p w14:paraId="3024C843" w14:textId="77777777" w:rsidR="00CE7AB0" w:rsidRPr="005D3C89" w:rsidRDefault="00CE7AB0" w:rsidP="007148FB">
      <w:pPr>
        <w:pStyle w:val="Heading1"/>
        <w:numPr>
          <w:ilvl w:val="0"/>
          <w:numId w:val="0"/>
        </w:numPr>
      </w:pPr>
      <w:r w:rsidRPr="00483567">
        <w:br w:type="page"/>
      </w:r>
      <w:bookmarkStart w:id="816" w:name="_Toc283984835"/>
      <w:bookmarkStart w:id="817" w:name="_Toc301869701"/>
      <w:bookmarkStart w:id="818" w:name="_Toc328986887"/>
      <w:bookmarkStart w:id="819" w:name="_Toc328988094"/>
      <w:bookmarkStart w:id="820" w:name="_Toc328988176"/>
      <w:bookmarkStart w:id="821" w:name="_Toc328988257"/>
      <w:bookmarkStart w:id="822" w:name="_Toc328991071"/>
      <w:bookmarkStart w:id="823" w:name="_Toc328991553"/>
      <w:bookmarkStart w:id="824" w:name="_Toc492379120"/>
      <w:bookmarkStart w:id="825" w:name="_Toc494449619"/>
      <w:r w:rsidRPr="005D3C89">
        <w:lastRenderedPageBreak/>
        <w:t xml:space="preserve">Appendix </w:t>
      </w:r>
      <w:r>
        <w:t>K</w:t>
      </w:r>
      <w:r w:rsidR="007148FB">
        <w:t xml:space="preserve">: </w:t>
      </w:r>
      <w:r w:rsidRPr="005D3C89">
        <w:t>Plant size classes relevant to the whole-plant industry</w:t>
      </w:r>
      <w:bookmarkEnd w:id="816"/>
      <w:bookmarkEnd w:id="817"/>
      <w:bookmarkEnd w:id="818"/>
      <w:bookmarkEnd w:id="819"/>
      <w:bookmarkEnd w:id="820"/>
      <w:bookmarkEnd w:id="821"/>
      <w:bookmarkEnd w:id="822"/>
      <w:bookmarkEnd w:id="823"/>
      <w:bookmarkEnd w:id="824"/>
      <w:bookmarkEnd w:id="825"/>
    </w:p>
    <w:p w14:paraId="0E238F41" w14:textId="77777777" w:rsidR="00CE7AB0" w:rsidRPr="00483567" w:rsidRDefault="00CE7AB0" w:rsidP="00FC388E">
      <w:pPr>
        <w:pStyle w:val="BodyText"/>
      </w:pPr>
      <w:bookmarkStart w:id="826" w:name="_Toc274745067"/>
      <w:r w:rsidRPr="00483567">
        <w:t xml:space="preserve">Material produced under a grower licence must be tagged with a grower tag. Where this material may be confused with material sourced under an extractive licence, growers must also attach an </w:t>
      </w:r>
      <w:r>
        <w:t>NPWS</w:t>
      </w:r>
      <w:r w:rsidRPr="00483567">
        <w:t xml:space="preserve"> tag to their products. Material produced under a grower licence will require both an </w:t>
      </w:r>
      <w:r>
        <w:t>NPWS</w:t>
      </w:r>
      <w:r w:rsidRPr="00483567">
        <w:t xml:space="preserve"> tag and a grower tag when sold in sizes larger than those specified below.</w:t>
      </w:r>
    </w:p>
    <w:p w14:paraId="053B6D16" w14:textId="77777777" w:rsidR="00CE7AB0" w:rsidRPr="00483567" w:rsidRDefault="00CE7AB0" w:rsidP="007148FB">
      <w:pPr>
        <w:pStyle w:val="Tablecaption"/>
      </w:pPr>
      <w:r w:rsidRPr="00483567">
        <w:t>Table 5</w:t>
      </w:r>
      <w:r w:rsidRPr="00483567">
        <w:tab/>
        <w:t xml:space="preserve">Grower-produced material that requires both an </w:t>
      </w:r>
      <w:r>
        <w:t>NPWS</w:t>
      </w:r>
      <w:r w:rsidRPr="00483567">
        <w:t xml:space="preserve"> tag and a grower tag</w:t>
      </w:r>
    </w:p>
    <w:tbl>
      <w:tblPr>
        <w:tblW w:w="5003"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30" w:type="dxa"/>
          <w:left w:w="30" w:type="dxa"/>
          <w:bottom w:w="30" w:type="dxa"/>
          <w:right w:w="30" w:type="dxa"/>
        </w:tblCellMar>
        <w:tblLook w:val="0000" w:firstRow="0" w:lastRow="0" w:firstColumn="0" w:lastColumn="0" w:noHBand="0" w:noVBand="0"/>
      </w:tblPr>
      <w:tblGrid>
        <w:gridCol w:w="2990"/>
        <w:gridCol w:w="2465"/>
        <w:gridCol w:w="3567"/>
      </w:tblGrid>
      <w:tr w:rsidR="00CE7AB0" w:rsidRPr="00483567" w14:paraId="1CDB3AC2" w14:textId="77777777" w:rsidTr="007148FB">
        <w:trPr>
          <w:trHeight w:val="499"/>
        </w:trPr>
        <w:tc>
          <w:tcPr>
            <w:tcW w:w="1657" w:type="pct"/>
            <w:shd w:val="clear" w:color="auto" w:fill="4C6D41"/>
            <w:tcMar>
              <w:top w:w="27" w:type="dxa"/>
              <w:left w:w="27" w:type="dxa"/>
              <w:bottom w:w="27" w:type="dxa"/>
              <w:right w:w="27" w:type="dxa"/>
            </w:tcMar>
          </w:tcPr>
          <w:p w14:paraId="53D48882" w14:textId="77777777" w:rsidR="00CE7AB0" w:rsidRPr="007148FB" w:rsidRDefault="00CE7AB0" w:rsidP="00FC388E">
            <w:pPr>
              <w:rPr>
                <w:b/>
                <w:color w:val="FFFFFF" w:themeColor="background1"/>
              </w:rPr>
            </w:pPr>
            <w:r w:rsidRPr="007148FB">
              <w:rPr>
                <w:b/>
                <w:color w:val="FFFFFF" w:themeColor="background1"/>
              </w:rPr>
              <w:t>Scientific name</w:t>
            </w:r>
          </w:p>
        </w:tc>
        <w:tc>
          <w:tcPr>
            <w:tcW w:w="1366" w:type="pct"/>
            <w:shd w:val="clear" w:color="auto" w:fill="4C6D41"/>
            <w:tcMar>
              <w:top w:w="27" w:type="dxa"/>
              <w:left w:w="27" w:type="dxa"/>
              <w:bottom w:w="27" w:type="dxa"/>
              <w:right w:w="27" w:type="dxa"/>
            </w:tcMar>
          </w:tcPr>
          <w:p w14:paraId="1B85C0D1" w14:textId="77777777" w:rsidR="00CE7AB0" w:rsidRPr="007148FB" w:rsidRDefault="00CE7AB0" w:rsidP="00FC388E">
            <w:pPr>
              <w:rPr>
                <w:b/>
                <w:color w:val="FFFFFF" w:themeColor="background1"/>
              </w:rPr>
            </w:pPr>
            <w:r w:rsidRPr="007148FB">
              <w:rPr>
                <w:b/>
                <w:color w:val="FFFFFF" w:themeColor="background1"/>
              </w:rPr>
              <w:t>Common name</w:t>
            </w:r>
          </w:p>
        </w:tc>
        <w:tc>
          <w:tcPr>
            <w:tcW w:w="1977" w:type="pct"/>
            <w:shd w:val="clear" w:color="auto" w:fill="4C6D41"/>
          </w:tcPr>
          <w:p w14:paraId="7542C061" w14:textId="77777777" w:rsidR="00CE7AB0" w:rsidRPr="007148FB" w:rsidRDefault="00CE7AB0" w:rsidP="00FC388E">
            <w:pPr>
              <w:rPr>
                <w:b/>
                <w:color w:val="FFFFFF" w:themeColor="background1"/>
              </w:rPr>
            </w:pPr>
            <w:r w:rsidRPr="007148FB">
              <w:rPr>
                <w:b/>
                <w:color w:val="FFFFFF" w:themeColor="background1"/>
              </w:rPr>
              <w:t xml:space="preserve">Maximum size for </w:t>
            </w:r>
            <w:r w:rsidRPr="007148FB">
              <w:rPr>
                <w:b/>
                <w:color w:val="FFFFFF" w:themeColor="background1"/>
              </w:rPr>
              <w:br/>
              <w:t>grower-only tags</w:t>
            </w:r>
          </w:p>
        </w:tc>
      </w:tr>
      <w:tr w:rsidR="00CE7AB0" w:rsidRPr="00483567" w14:paraId="58AF26E8" w14:textId="77777777" w:rsidTr="006E51BB">
        <w:tc>
          <w:tcPr>
            <w:tcW w:w="1657" w:type="pct"/>
            <w:tcMar>
              <w:top w:w="27" w:type="dxa"/>
              <w:left w:w="27" w:type="dxa"/>
              <w:bottom w:w="27" w:type="dxa"/>
              <w:right w:w="27" w:type="dxa"/>
            </w:tcMar>
          </w:tcPr>
          <w:p w14:paraId="2169DF26" w14:textId="77777777" w:rsidR="00CE7AB0" w:rsidRPr="00483567" w:rsidRDefault="00CE7AB0" w:rsidP="007148FB">
            <w:pPr>
              <w:pStyle w:val="Tabletext"/>
              <w:rPr>
                <w:i/>
                <w:iCs/>
              </w:rPr>
            </w:pPr>
            <w:proofErr w:type="spellStart"/>
            <w:r w:rsidRPr="00483567">
              <w:t>Arecaceae</w:t>
            </w:r>
            <w:proofErr w:type="spellEnd"/>
            <w:r w:rsidRPr="00483567">
              <w:t xml:space="preserve"> native to NSW</w:t>
            </w:r>
          </w:p>
        </w:tc>
        <w:tc>
          <w:tcPr>
            <w:tcW w:w="1366" w:type="pct"/>
            <w:tcMar>
              <w:top w:w="27" w:type="dxa"/>
              <w:left w:w="27" w:type="dxa"/>
              <w:bottom w:w="27" w:type="dxa"/>
              <w:right w:w="27" w:type="dxa"/>
            </w:tcMar>
          </w:tcPr>
          <w:p w14:paraId="75A270E5" w14:textId="77777777" w:rsidR="00CE7AB0" w:rsidRPr="00483567" w:rsidRDefault="00CE7AB0" w:rsidP="007148FB">
            <w:pPr>
              <w:pStyle w:val="Tabletext"/>
            </w:pPr>
            <w:r w:rsidRPr="00483567">
              <w:t>Palms</w:t>
            </w:r>
          </w:p>
        </w:tc>
        <w:tc>
          <w:tcPr>
            <w:tcW w:w="1977" w:type="pct"/>
          </w:tcPr>
          <w:p w14:paraId="73D1F4F4" w14:textId="77777777" w:rsidR="00CE7AB0" w:rsidRPr="00483567" w:rsidRDefault="00CE7AB0" w:rsidP="007148FB">
            <w:pPr>
              <w:pStyle w:val="Tabletext"/>
            </w:pPr>
            <w:r w:rsidRPr="00483567">
              <w:t>200 mm pot</w:t>
            </w:r>
          </w:p>
        </w:tc>
      </w:tr>
      <w:tr w:rsidR="00CE7AB0" w:rsidRPr="00483567" w14:paraId="7F11309C" w14:textId="77777777" w:rsidTr="006E51BB">
        <w:tc>
          <w:tcPr>
            <w:tcW w:w="1657" w:type="pct"/>
            <w:tcMar>
              <w:top w:w="27" w:type="dxa"/>
              <w:left w:w="27" w:type="dxa"/>
              <w:bottom w:w="27" w:type="dxa"/>
              <w:right w:w="27" w:type="dxa"/>
            </w:tcMar>
          </w:tcPr>
          <w:p w14:paraId="52746C45" w14:textId="77777777" w:rsidR="00CE7AB0" w:rsidRPr="007148FB" w:rsidRDefault="00CE7AB0" w:rsidP="007148FB">
            <w:pPr>
              <w:pStyle w:val="Tabletext"/>
              <w:rPr>
                <w:i/>
              </w:rPr>
            </w:pPr>
            <w:proofErr w:type="spellStart"/>
            <w:r w:rsidRPr="007148FB">
              <w:rPr>
                <w:i/>
              </w:rPr>
              <w:t>Asplenium</w:t>
            </w:r>
            <w:proofErr w:type="spellEnd"/>
            <w:r w:rsidRPr="007148FB">
              <w:rPr>
                <w:i/>
              </w:rPr>
              <w:t xml:space="preserve"> </w:t>
            </w:r>
            <w:proofErr w:type="spellStart"/>
            <w:r w:rsidRPr="007148FB">
              <w:rPr>
                <w:i/>
              </w:rPr>
              <w:t>australasicum</w:t>
            </w:r>
            <w:proofErr w:type="spellEnd"/>
          </w:p>
        </w:tc>
        <w:tc>
          <w:tcPr>
            <w:tcW w:w="1366" w:type="pct"/>
            <w:tcMar>
              <w:top w:w="27" w:type="dxa"/>
              <w:left w:w="27" w:type="dxa"/>
              <w:bottom w:w="27" w:type="dxa"/>
              <w:right w:w="27" w:type="dxa"/>
            </w:tcMar>
          </w:tcPr>
          <w:p w14:paraId="576A72AC" w14:textId="77777777" w:rsidR="00CE7AB0" w:rsidRPr="00483567" w:rsidRDefault="00CE7AB0" w:rsidP="007148FB">
            <w:pPr>
              <w:pStyle w:val="Tabletext"/>
            </w:pPr>
            <w:r w:rsidRPr="00483567">
              <w:t>Bird’s-nest fern</w:t>
            </w:r>
          </w:p>
        </w:tc>
        <w:tc>
          <w:tcPr>
            <w:tcW w:w="1977" w:type="pct"/>
          </w:tcPr>
          <w:p w14:paraId="29BE27FF" w14:textId="77777777" w:rsidR="00CE7AB0" w:rsidRPr="00483567" w:rsidRDefault="00CE7AB0" w:rsidP="007148FB">
            <w:pPr>
              <w:pStyle w:val="Tabletext"/>
            </w:pPr>
            <w:r w:rsidRPr="00483567">
              <w:t>200 mm pot</w:t>
            </w:r>
          </w:p>
        </w:tc>
      </w:tr>
      <w:tr w:rsidR="00CE7AB0" w:rsidRPr="00483567" w14:paraId="15C060B0" w14:textId="77777777" w:rsidTr="006E51BB">
        <w:tc>
          <w:tcPr>
            <w:tcW w:w="1657" w:type="pct"/>
            <w:tcMar>
              <w:top w:w="27" w:type="dxa"/>
              <w:left w:w="27" w:type="dxa"/>
              <w:bottom w:w="27" w:type="dxa"/>
              <w:right w:w="27" w:type="dxa"/>
            </w:tcMar>
          </w:tcPr>
          <w:p w14:paraId="5182BBBE" w14:textId="77777777" w:rsidR="00CE7AB0" w:rsidRPr="007148FB" w:rsidRDefault="00CE7AB0" w:rsidP="007148FB">
            <w:pPr>
              <w:pStyle w:val="Tabletext"/>
              <w:rPr>
                <w:i/>
              </w:rPr>
            </w:pPr>
            <w:proofErr w:type="spellStart"/>
            <w:r w:rsidRPr="007148FB">
              <w:rPr>
                <w:i/>
              </w:rPr>
              <w:t>Asplenium</w:t>
            </w:r>
            <w:proofErr w:type="spellEnd"/>
            <w:r w:rsidRPr="007148FB">
              <w:rPr>
                <w:i/>
              </w:rPr>
              <w:t xml:space="preserve"> </w:t>
            </w:r>
            <w:proofErr w:type="spellStart"/>
            <w:r w:rsidRPr="007148FB">
              <w:rPr>
                <w:i/>
              </w:rPr>
              <w:t>harmanii</w:t>
            </w:r>
            <w:proofErr w:type="spellEnd"/>
          </w:p>
        </w:tc>
        <w:tc>
          <w:tcPr>
            <w:tcW w:w="1366" w:type="pct"/>
            <w:tcMar>
              <w:top w:w="27" w:type="dxa"/>
              <w:left w:w="27" w:type="dxa"/>
              <w:bottom w:w="27" w:type="dxa"/>
              <w:right w:w="27" w:type="dxa"/>
            </w:tcMar>
          </w:tcPr>
          <w:p w14:paraId="1F695798" w14:textId="77777777" w:rsidR="00CE7AB0" w:rsidRPr="00483567" w:rsidRDefault="00CE7AB0" w:rsidP="007148FB">
            <w:pPr>
              <w:pStyle w:val="Tabletext"/>
            </w:pPr>
            <w:r w:rsidRPr="00483567">
              <w:t>Fern</w:t>
            </w:r>
          </w:p>
        </w:tc>
        <w:tc>
          <w:tcPr>
            <w:tcW w:w="1977" w:type="pct"/>
          </w:tcPr>
          <w:p w14:paraId="27522774" w14:textId="77777777" w:rsidR="00CE7AB0" w:rsidRPr="00483567" w:rsidRDefault="00CE7AB0" w:rsidP="007148FB">
            <w:pPr>
              <w:pStyle w:val="Tabletext"/>
            </w:pPr>
            <w:r w:rsidRPr="00483567">
              <w:t>200 mm pot</w:t>
            </w:r>
          </w:p>
        </w:tc>
      </w:tr>
      <w:tr w:rsidR="00CE7AB0" w:rsidRPr="00483567" w14:paraId="03F0B3A0" w14:textId="77777777" w:rsidTr="006E51BB">
        <w:tc>
          <w:tcPr>
            <w:tcW w:w="1657" w:type="pct"/>
            <w:tcMar>
              <w:top w:w="27" w:type="dxa"/>
              <w:left w:w="27" w:type="dxa"/>
              <w:bottom w:w="27" w:type="dxa"/>
              <w:right w:w="27" w:type="dxa"/>
            </w:tcMar>
          </w:tcPr>
          <w:p w14:paraId="104A07B9" w14:textId="77777777" w:rsidR="00CE7AB0" w:rsidRPr="007148FB" w:rsidRDefault="00CE7AB0" w:rsidP="007148FB">
            <w:pPr>
              <w:pStyle w:val="Tabletext"/>
              <w:rPr>
                <w:i/>
              </w:rPr>
            </w:pPr>
            <w:proofErr w:type="spellStart"/>
            <w:r w:rsidRPr="007148FB">
              <w:rPr>
                <w:i/>
              </w:rPr>
              <w:t>Asplenium</w:t>
            </w:r>
            <w:proofErr w:type="spellEnd"/>
            <w:r w:rsidRPr="007148FB">
              <w:rPr>
                <w:i/>
              </w:rPr>
              <w:t xml:space="preserve"> </w:t>
            </w:r>
            <w:proofErr w:type="spellStart"/>
            <w:r w:rsidRPr="007148FB">
              <w:rPr>
                <w:i/>
              </w:rPr>
              <w:t>polyodon</w:t>
            </w:r>
            <w:proofErr w:type="spellEnd"/>
          </w:p>
        </w:tc>
        <w:tc>
          <w:tcPr>
            <w:tcW w:w="1366" w:type="pct"/>
            <w:tcMar>
              <w:top w:w="27" w:type="dxa"/>
              <w:left w:w="27" w:type="dxa"/>
              <w:bottom w:w="27" w:type="dxa"/>
              <w:right w:w="27" w:type="dxa"/>
            </w:tcMar>
          </w:tcPr>
          <w:p w14:paraId="0316F823" w14:textId="77777777" w:rsidR="00CE7AB0" w:rsidRPr="00483567" w:rsidRDefault="00CE7AB0" w:rsidP="007148FB">
            <w:pPr>
              <w:pStyle w:val="Tabletext"/>
            </w:pPr>
            <w:r w:rsidRPr="00483567">
              <w:t>Fern</w:t>
            </w:r>
          </w:p>
        </w:tc>
        <w:tc>
          <w:tcPr>
            <w:tcW w:w="1977" w:type="pct"/>
          </w:tcPr>
          <w:p w14:paraId="233A0579" w14:textId="77777777" w:rsidR="00CE7AB0" w:rsidRPr="00483567" w:rsidRDefault="00CE7AB0" w:rsidP="007148FB">
            <w:pPr>
              <w:pStyle w:val="Tabletext"/>
            </w:pPr>
            <w:r w:rsidRPr="00483567">
              <w:t>200 mm pot</w:t>
            </w:r>
          </w:p>
        </w:tc>
      </w:tr>
      <w:tr w:rsidR="00CE7AB0" w:rsidRPr="00483567" w14:paraId="1B3B1784" w14:textId="77777777" w:rsidTr="006E51BB">
        <w:tc>
          <w:tcPr>
            <w:tcW w:w="1657" w:type="pct"/>
            <w:tcMar>
              <w:top w:w="27" w:type="dxa"/>
              <w:left w:w="27" w:type="dxa"/>
              <w:bottom w:w="27" w:type="dxa"/>
              <w:right w:w="27" w:type="dxa"/>
            </w:tcMar>
          </w:tcPr>
          <w:p w14:paraId="4427C23D" w14:textId="77777777" w:rsidR="00CE7AB0" w:rsidRPr="00483567" w:rsidRDefault="00CE7AB0" w:rsidP="007148FB">
            <w:pPr>
              <w:pStyle w:val="Tabletext"/>
            </w:pPr>
            <w:proofErr w:type="spellStart"/>
            <w:r w:rsidRPr="00483567">
              <w:rPr>
                <w:i/>
                <w:iCs/>
              </w:rPr>
              <w:t>Cyathea</w:t>
            </w:r>
            <w:proofErr w:type="spellEnd"/>
            <w:r w:rsidRPr="00483567">
              <w:t xml:space="preserve"> species</w:t>
            </w:r>
          </w:p>
        </w:tc>
        <w:tc>
          <w:tcPr>
            <w:tcW w:w="1366" w:type="pct"/>
            <w:tcMar>
              <w:top w:w="27" w:type="dxa"/>
              <w:left w:w="27" w:type="dxa"/>
              <w:bottom w:w="27" w:type="dxa"/>
              <w:right w:w="27" w:type="dxa"/>
            </w:tcMar>
          </w:tcPr>
          <w:p w14:paraId="44537214" w14:textId="77777777" w:rsidR="00CE7AB0" w:rsidRPr="00483567" w:rsidRDefault="00CE7AB0" w:rsidP="007148FB">
            <w:pPr>
              <w:pStyle w:val="Tabletext"/>
            </w:pPr>
            <w:r w:rsidRPr="00483567">
              <w:t>Tree ferns</w:t>
            </w:r>
          </w:p>
        </w:tc>
        <w:tc>
          <w:tcPr>
            <w:tcW w:w="1977" w:type="pct"/>
          </w:tcPr>
          <w:p w14:paraId="504C53E3" w14:textId="77777777" w:rsidR="00CE7AB0" w:rsidRPr="00483567" w:rsidRDefault="00CE7AB0" w:rsidP="007148FB">
            <w:pPr>
              <w:pStyle w:val="Tabletext"/>
            </w:pPr>
            <w:r w:rsidRPr="00483567">
              <w:t>300 mm trunk</w:t>
            </w:r>
          </w:p>
        </w:tc>
      </w:tr>
      <w:tr w:rsidR="00CE7AB0" w:rsidRPr="00483567" w14:paraId="0612741F" w14:textId="77777777" w:rsidTr="006E51BB">
        <w:tc>
          <w:tcPr>
            <w:tcW w:w="1657" w:type="pct"/>
            <w:tcMar>
              <w:top w:w="27" w:type="dxa"/>
              <w:left w:w="27" w:type="dxa"/>
              <w:bottom w:w="27" w:type="dxa"/>
              <w:right w:w="27" w:type="dxa"/>
            </w:tcMar>
          </w:tcPr>
          <w:p w14:paraId="4501D395" w14:textId="77777777" w:rsidR="00CE7AB0" w:rsidRPr="00483567" w:rsidRDefault="00CE7AB0" w:rsidP="007148FB">
            <w:pPr>
              <w:pStyle w:val="Tabletext"/>
            </w:pPr>
            <w:proofErr w:type="spellStart"/>
            <w:r w:rsidRPr="007148FB">
              <w:rPr>
                <w:i/>
              </w:rPr>
              <w:t>Dicksonia</w:t>
            </w:r>
            <w:proofErr w:type="spellEnd"/>
            <w:r w:rsidRPr="00483567">
              <w:t xml:space="preserve"> species</w:t>
            </w:r>
          </w:p>
        </w:tc>
        <w:tc>
          <w:tcPr>
            <w:tcW w:w="1366" w:type="pct"/>
            <w:tcMar>
              <w:top w:w="27" w:type="dxa"/>
              <w:left w:w="27" w:type="dxa"/>
              <w:bottom w:w="27" w:type="dxa"/>
              <w:right w:w="27" w:type="dxa"/>
            </w:tcMar>
          </w:tcPr>
          <w:p w14:paraId="721ED08B" w14:textId="77777777" w:rsidR="00CE7AB0" w:rsidRPr="00483567" w:rsidRDefault="00CE7AB0" w:rsidP="007148FB">
            <w:pPr>
              <w:pStyle w:val="Tabletext"/>
            </w:pPr>
            <w:r w:rsidRPr="00483567">
              <w:t>Tree ferns</w:t>
            </w:r>
          </w:p>
        </w:tc>
        <w:tc>
          <w:tcPr>
            <w:tcW w:w="1977" w:type="pct"/>
          </w:tcPr>
          <w:p w14:paraId="23336766" w14:textId="77777777" w:rsidR="00CE7AB0" w:rsidRPr="00483567" w:rsidRDefault="00CE7AB0" w:rsidP="007148FB">
            <w:pPr>
              <w:pStyle w:val="Tabletext"/>
            </w:pPr>
            <w:r w:rsidRPr="00483567">
              <w:t>300 mm trunk</w:t>
            </w:r>
          </w:p>
        </w:tc>
      </w:tr>
      <w:tr w:rsidR="00CE7AB0" w:rsidRPr="00483567" w14:paraId="4B8FE2B8" w14:textId="77777777" w:rsidTr="006E51BB">
        <w:tc>
          <w:tcPr>
            <w:tcW w:w="1657" w:type="pct"/>
            <w:tcMar>
              <w:top w:w="27" w:type="dxa"/>
              <w:left w:w="27" w:type="dxa"/>
              <w:bottom w:w="27" w:type="dxa"/>
              <w:right w:w="27" w:type="dxa"/>
            </w:tcMar>
          </w:tcPr>
          <w:p w14:paraId="0CFD885B" w14:textId="77777777" w:rsidR="00CE7AB0" w:rsidRPr="007148FB" w:rsidRDefault="00CE7AB0" w:rsidP="007148FB">
            <w:pPr>
              <w:pStyle w:val="Tabletext"/>
              <w:rPr>
                <w:i/>
              </w:rPr>
            </w:pPr>
            <w:proofErr w:type="spellStart"/>
            <w:r w:rsidRPr="007148FB">
              <w:rPr>
                <w:i/>
              </w:rPr>
              <w:t>Livistona</w:t>
            </w:r>
            <w:proofErr w:type="spellEnd"/>
            <w:r w:rsidRPr="007148FB">
              <w:rPr>
                <w:i/>
              </w:rPr>
              <w:t xml:space="preserve"> </w:t>
            </w:r>
            <w:proofErr w:type="spellStart"/>
            <w:r w:rsidRPr="007148FB">
              <w:rPr>
                <w:i/>
              </w:rPr>
              <w:t>australis</w:t>
            </w:r>
            <w:proofErr w:type="spellEnd"/>
          </w:p>
        </w:tc>
        <w:tc>
          <w:tcPr>
            <w:tcW w:w="1366" w:type="pct"/>
            <w:tcMar>
              <w:top w:w="27" w:type="dxa"/>
              <w:left w:w="27" w:type="dxa"/>
              <w:bottom w:w="27" w:type="dxa"/>
              <w:right w:w="27" w:type="dxa"/>
            </w:tcMar>
          </w:tcPr>
          <w:p w14:paraId="7564BC49" w14:textId="77777777" w:rsidR="00CE7AB0" w:rsidRPr="00483567" w:rsidRDefault="00CE7AB0" w:rsidP="007148FB">
            <w:pPr>
              <w:pStyle w:val="Tabletext"/>
            </w:pPr>
            <w:r w:rsidRPr="00483567">
              <w:t>Cabbage tree palm</w:t>
            </w:r>
          </w:p>
        </w:tc>
        <w:tc>
          <w:tcPr>
            <w:tcW w:w="1977" w:type="pct"/>
          </w:tcPr>
          <w:p w14:paraId="34982352" w14:textId="77777777" w:rsidR="00CE7AB0" w:rsidRPr="00483567" w:rsidRDefault="00CE7AB0" w:rsidP="007148FB">
            <w:pPr>
              <w:pStyle w:val="Tabletext"/>
            </w:pPr>
            <w:r w:rsidRPr="00483567">
              <w:t>300 mm pot</w:t>
            </w:r>
          </w:p>
        </w:tc>
      </w:tr>
      <w:tr w:rsidR="00CE7AB0" w:rsidRPr="00483567" w14:paraId="3A376EFE" w14:textId="77777777" w:rsidTr="006E51BB">
        <w:tc>
          <w:tcPr>
            <w:tcW w:w="1657" w:type="pct"/>
            <w:tcMar>
              <w:top w:w="27" w:type="dxa"/>
              <w:left w:w="27" w:type="dxa"/>
              <w:bottom w:w="27" w:type="dxa"/>
              <w:right w:w="27" w:type="dxa"/>
            </w:tcMar>
          </w:tcPr>
          <w:p w14:paraId="69F99631" w14:textId="77777777" w:rsidR="00CE7AB0" w:rsidRPr="00483567" w:rsidRDefault="00CE7AB0" w:rsidP="007148FB">
            <w:pPr>
              <w:pStyle w:val="Tabletext"/>
            </w:pPr>
            <w:proofErr w:type="spellStart"/>
            <w:r w:rsidRPr="00483567">
              <w:rPr>
                <w:i/>
              </w:rPr>
              <w:t>Platycerium</w:t>
            </w:r>
            <w:proofErr w:type="spellEnd"/>
            <w:r w:rsidRPr="00483567">
              <w:rPr>
                <w:i/>
              </w:rPr>
              <w:t xml:space="preserve"> </w:t>
            </w:r>
            <w:r w:rsidRPr="00483567">
              <w:t>species native</w:t>
            </w:r>
            <w:r>
              <w:t> </w:t>
            </w:r>
            <w:r w:rsidRPr="00483567">
              <w:t>to NSW</w:t>
            </w:r>
          </w:p>
        </w:tc>
        <w:tc>
          <w:tcPr>
            <w:tcW w:w="1366" w:type="pct"/>
            <w:tcMar>
              <w:top w:w="27" w:type="dxa"/>
              <w:left w:w="27" w:type="dxa"/>
              <w:bottom w:w="27" w:type="dxa"/>
              <w:right w:w="27" w:type="dxa"/>
            </w:tcMar>
          </w:tcPr>
          <w:p w14:paraId="2703BE7A" w14:textId="77777777" w:rsidR="00CE7AB0" w:rsidRPr="00483567" w:rsidRDefault="00CE7AB0" w:rsidP="007148FB">
            <w:pPr>
              <w:pStyle w:val="Tabletext"/>
            </w:pPr>
            <w:r w:rsidRPr="00483567">
              <w:t>Elkhorn and staghorn</w:t>
            </w:r>
          </w:p>
        </w:tc>
        <w:tc>
          <w:tcPr>
            <w:tcW w:w="1977" w:type="pct"/>
          </w:tcPr>
          <w:p w14:paraId="55AF1EA4" w14:textId="77777777" w:rsidR="00CE7AB0" w:rsidRPr="00483567" w:rsidRDefault="00CE7AB0" w:rsidP="007148FB">
            <w:pPr>
              <w:pStyle w:val="Tabletext"/>
            </w:pPr>
            <w:r w:rsidRPr="00483567" w:rsidDel="00C835F5">
              <w:t>300</w:t>
            </w:r>
            <w:r w:rsidRPr="00483567">
              <w:t>−400 mm shield</w:t>
            </w:r>
            <w:r>
              <w:t>/root ball</w:t>
            </w:r>
          </w:p>
        </w:tc>
      </w:tr>
      <w:tr w:rsidR="00CE7AB0" w:rsidRPr="00483567" w14:paraId="42D75A86" w14:textId="77777777" w:rsidTr="006E51BB">
        <w:tc>
          <w:tcPr>
            <w:tcW w:w="1657" w:type="pct"/>
            <w:tcMar>
              <w:top w:w="27" w:type="dxa"/>
              <w:left w:w="27" w:type="dxa"/>
              <w:bottom w:w="27" w:type="dxa"/>
              <w:right w:w="27" w:type="dxa"/>
            </w:tcMar>
          </w:tcPr>
          <w:p w14:paraId="7BA9D1F3" w14:textId="77777777" w:rsidR="00CE7AB0" w:rsidRPr="00483567" w:rsidRDefault="00CE7AB0" w:rsidP="007148FB">
            <w:pPr>
              <w:pStyle w:val="Tabletext"/>
              <w:rPr>
                <w:b/>
                <w:bCs/>
              </w:rPr>
            </w:pPr>
            <w:r w:rsidRPr="007148FB">
              <w:rPr>
                <w:i/>
              </w:rPr>
              <w:t>Xanthorrhoea</w:t>
            </w:r>
            <w:r w:rsidRPr="00483567">
              <w:t xml:space="preserve"> species</w:t>
            </w:r>
          </w:p>
        </w:tc>
        <w:tc>
          <w:tcPr>
            <w:tcW w:w="1366" w:type="pct"/>
            <w:tcMar>
              <w:top w:w="27" w:type="dxa"/>
              <w:left w:w="27" w:type="dxa"/>
              <w:bottom w:w="27" w:type="dxa"/>
              <w:right w:w="27" w:type="dxa"/>
            </w:tcMar>
          </w:tcPr>
          <w:p w14:paraId="3CE842A6" w14:textId="77777777" w:rsidR="00CE7AB0" w:rsidRPr="00483567" w:rsidRDefault="00CE7AB0" w:rsidP="007148FB">
            <w:pPr>
              <w:pStyle w:val="Tabletext"/>
            </w:pPr>
            <w:r w:rsidRPr="00483567">
              <w:t>Grass trees</w:t>
            </w:r>
          </w:p>
        </w:tc>
        <w:tc>
          <w:tcPr>
            <w:tcW w:w="1977" w:type="pct"/>
          </w:tcPr>
          <w:p w14:paraId="3551BF62" w14:textId="77777777" w:rsidR="00CE7AB0" w:rsidRPr="009814F5" w:rsidRDefault="00CE7AB0" w:rsidP="007148FB">
            <w:pPr>
              <w:pStyle w:val="Tabletext"/>
            </w:pPr>
            <w:r w:rsidRPr="009814F5">
              <w:t>20</w:t>
            </w:r>
            <w:r w:rsidRPr="009814F5" w:rsidDel="00C835F5">
              <w:t>0</w:t>
            </w:r>
            <w:r w:rsidRPr="009814F5">
              <w:t> </w:t>
            </w:r>
            <w:r w:rsidRPr="009814F5" w:rsidDel="00C835F5">
              <w:t>mm pot</w:t>
            </w:r>
            <w:r w:rsidRPr="009814F5">
              <w:t xml:space="preserve"> </w:t>
            </w:r>
          </w:p>
          <w:p w14:paraId="1C27EDB8" w14:textId="77777777" w:rsidR="00CE7AB0" w:rsidRPr="00483567" w:rsidRDefault="00CE7AB0" w:rsidP="007148FB">
            <w:pPr>
              <w:pStyle w:val="Tabletext"/>
            </w:pPr>
            <w:r w:rsidRPr="009814F5">
              <w:t>Any material with a trunk.</w:t>
            </w:r>
          </w:p>
        </w:tc>
      </w:tr>
      <w:tr w:rsidR="00CE7AB0" w:rsidRPr="00483567" w14:paraId="748D4706" w14:textId="77777777" w:rsidTr="006E51BB">
        <w:tc>
          <w:tcPr>
            <w:tcW w:w="1657" w:type="pct"/>
            <w:tcMar>
              <w:top w:w="27" w:type="dxa"/>
              <w:left w:w="27" w:type="dxa"/>
              <w:bottom w:w="27" w:type="dxa"/>
              <w:right w:w="27" w:type="dxa"/>
            </w:tcMar>
          </w:tcPr>
          <w:p w14:paraId="5AB8A6BD" w14:textId="77777777" w:rsidR="00CE7AB0" w:rsidRPr="00483567" w:rsidRDefault="00CE7AB0" w:rsidP="007148FB">
            <w:pPr>
              <w:pStyle w:val="Tabletext"/>
            </w:pPr>
            <w:proofErr w:type="spellStart"/>
            <w:r w:rsidRPr="00483567">
              <w:t>Zamiaceae</w:t>
            </w:r>
            <w:proofErr w:type="spellEnd"/>
            <w:r w:rsidRPr="00483567">
              <w:t xml:space="preserve"> native to NSW</w:t>
            </w:r>
          </w:p>
        </w:tc>
        <w:tc>
          <w:tcPr>
            <w:tcW w:w="1366" w:type="pct"/>
            <w:tcMar>
              <w:top w:w="27" w:type="dxa"/>
              <w:left w:w="27" w:type="dxa"/>
              <w:bottom w:w="27" w:type="dxa"/>
              <w:right w:w="27" w:type="dxa"/>
            </w:tcMar>
          </w:tcPr>
          <w:p w14:paraId="78E17540" w14:textId="77777777" w:rsidR="00CE7AB0" w:rsidRPr="00483567" w:rsidRDefault="00CE7AB0" w:rsidP="007148FB">
            <w:pPr>
              <w:pStyle w:val="Tabletext"/>
            </w:pPr>
            <w:r w:rsidRPr="00483567">
              <w:t>Cycads</w:t>
            </w:r>
          </w:p>
        </w:tc>
        <w:tc>
          <w:tcPr>
            <w:tcW w:w="1977" w:type="pct"/>
          </w:tcPr>
          <w:p w14:paraId="7C5C1B39" w14:textId="77777777" w:rsidR="00CE7AB0" w:rsidRPr="00483567" w:rsidRDefault="00CE7AB0" w:rsidP="007148FB">
            <w:pPr>
              <w:pStyle w:val="Tabletext"/>
            </w:pPr>
            <w:r w:rsidRPr="00483567">
              <w:t>140 mm pot</w:t>
            </w:r>
          </w:p>
        </w:tc>
      </w:tr>
    </w:tbl>
    <w:p w14:paraId="6AEAB1FB" w14:textId="77777777" w:rsidR="00CE7AB0" w:rsidRPr="005D3C89" w:rsidRDefault="00CE7AB0" w:rsidP="007148FB">
      <w:pPr>
        <w:pStyle w:val="Heading2"/>
        <w:numPr>
          <w:ilvl w:val="0"/>
          <w:numId w:val="0"/>
        </w:numPr>
        <w:ind w:left="794" w:hanging="794"/>
      </w:pPr>
      <w:bookmarkStart w:id="827" w:name="_Toc301869702"/>
      <w:bookmarkStart w:id="828" w:name="_Toc346619024"/>
      <w:bookmarkStart w:id="829" w:name="_Toc494449620"/>
      <w:r w:rsidRPr="005D3C89">
        <w:t>Size classes for inclusion in population assessments</w:t>
      </w:r>
      <w:bookmarkEnd w:id="827"/>
      <w:bookmarkEnd w:id="828"/>
      <w:bookmarkEnd w:id="829"/>
    </w:p>
    <w:p w14:paraId="48BACD50" w14:textId="77777777" w:rsidR="00CE7AB0" w:rsidRPr="00483567" w:rsidRDefault="00CE7AB0" w:rsidP="00FC388E">
      <w:pPr>
        <w:pStyle w:val="BodyText"/>
      </w:pPr>
      <w:r w:rsidRPr="00483567">
        <w:t>When an applicant for a wild harvester or approved harvester licence is undertaking a population assessment, the following size classes must be used to determine the population size and size distribution.</w:t>
      </w:r>
    </w:p>
    <w:p w14:paraId="41635BE4" w14:textId="77777777" w:rsidR="00CE7AB0" w:rsidRPr="00850A9B" w:rsidRDefault="00CE7AB0" w:rsidP="007148FB">
      <w:pPr>
        <w:pStyle w:val="Heading3"/>
        <w:numPr>
          <w:ilvl w:val="0"/>
          <w:numId w:val="0"/>
        </w:numPr>
        <w:ind w:left="861" w:hanging="720"/>
      </w:pPr>
      <w:bookmarkStart w:id="830" w:name="_Toc301869703"/>
      <w:bookmarkStart w:id="831" w:name="_Toc346619025"/>
      <w:proofErr w:type="spellStart"/>
      <w:r w:rsidRPr="007148FB">
        <w:rPr>
          <w:i/>
        </w:rPr>
        <w:t>Dicksonia</w:t>
      </w:r>
      <w:proofErr w:type="spellEnd"/>
      <w:r w:rsidRPr="00850A9B">
        <w:t xml:space="preserve"> and </w:t>
      </w:r>
      <w:proofErr w:type="spellStart"/>
      <w:r w:rsidRPr="007148FB">
        <w:rPr>
          <w:i/>
        </w:rPr>
        <w:t>Cyathea</w:t>
      </w:r>
      <w:proofErr w:type="spellEnd"/>
      <w:r w:rsidRPr="00850A9B">
        <w:t xml:space="preserve"> species</w:t>
      </w:r>
      <w:bookmarkEnd w:id="830"/>
      <w:bookmarkEnd w:id="831"/>
      <w:r w:rsidRPr="00850A9B">
        <w:t xml:space="preserve"> </w:t>
      </w:r>
    </w:p>
    <w:p w14:paraId="1BC90DE6" w14:textId="77777777" w:rsidR="00CE7AB0" w:rsidRPr="00483567" w:rsidRDefault="00CE7AB0" w:rsidP="007148FB">
      <w:pPr>
        <w:pStyle w:val="ListBullet"/>
      </w:pPr>
      <w:r w:rsidRPr="00483567">
        <w:t>plants with a trunk</w:t>
      </w:r>
      <w:r>
        <w:t xml:space="preserve"> height</w:t>
      </w:r>
      <w:r w:rsidRPr="00483567">
        <w:t xml:space="preserve"> </w:t>
      </w:r>
      <w:r>
        <w:t xml:space="preserve">or length </w:t>
      </w:r>
      <w:r w:rsidRPr="00483567">
        <w:t>less than 30 cm (class 1)</w:t>
      </w:r>
    </w:p>
    <w:p w14:paraId="0B2702C1" w14:textId="77777777" w:rsidR="00CE7AB0" w:rsidRPr="00483567" w:rsidRDefault="00CE7AB0" w:rsidP="007148FB">
      <w:pPr>
        <w:pStyle w:val="ListBullet"/>
      </w:pPr>
      <w:r w:rsidRPr="00483567">
        <w:t xml:space="preserve">plants with a trunk </w:t>
      </w:r>
      <w:r>
        <w:t>height</w:t>
      </w:r>
      <w:r w:rsidRPr="00483567">
        <w:t xml:space="preserve"> </w:t>
      </w:r>
      <w:r>
        <w:t xml:space="preserve">or length </w:t>
      </w:r>
      <w:r w:rsidRPr="00483567">
        <w:t>30–50 cm (class 2)</w:t>
      </w:r>
    </w:p>
    <w:p w14:paraId="72A1638D" w14:textId="77777777" w:rsidR="00CE7AB0" w:rsidRPr="00483567" w:rsidRDefault="00CE7AB0" w:rsidP="007148FB">
      <w:pPr>
        <w:pStyle w:val="ListBullet"/>
      </w:pPr>
      <w:r w:rsidRPr="00483567">
        <w:t xml:space="preserve">plants with a trunk </w:t>
      </w:r>
      <w:r>
        <w:t>height</w:t>
      </w:r>
      <w:r w:rsidRPr="00483567">
        <w:t xml:space="preserve"> </w:t>
      </w:r>
      <w:r>
        <w:t xml:space="preserve">or length </w:t>
      </w:r>
      <w:r w:rsidRPr="00483567">
        <w:t>50–100 cm (class 3)</w:t>
      </w:r>
    </w:p>
    <w:p w14:paraId="34751654" w14:textId="77777777" w:rsidR="00CE7AB0" w:rsidRPr="00483567" w:rsidRDefault="00CE7AB0" w:rsidP="007148FB">
      <w:pPr>
        <w:pStyle w:val="ListBullet"/>
      </w:pPr>
      <w:r w:rsidRPr="00483567">
        <w:t xml:space="preserve">plants with a trunk </w:t>
      </w:r>
      <w:r>
        <w:t>height</w:t>
      </w:r>
      <w:r w:rsidRPr="00483567">
        <w:t xml:space="preserve"> </w:t>
      </w:r>
      <w:r>
        <w:t xml:space="preserve">or length </w:t>
      </w:r>
      <w:r w:rsidRPr="00483567">
        <w:t>100–150 cm (class 4)</w:t>
      </w:r>
    </w:p>
    <w:p w14:paraId="0AE662F8" w14:textId="77777777" w:rsidR="00CE7AB0" w:rsidRPr="00483567" w:rsidRDefault="00CE7AB0" w:rsidP="007148FB">
      <w:pPr>
        <w:pStyle w:val="ListBullet"/>
      </w:pPr>
      <w:proofErr w:type="gramStart"/>
      <w:r w:rsidRPr="00483567">
        <w:t>plants</w:t>
      </w:r>
      <w:proofErr w:type="gramEnd"/>
      <w:r w:rsidRPr="00483567">
        <w:t xml:space="preserve"> with a trunk </w:t>
      </w:r>
      <w:r>
        <w:t>height</w:t>
      </w:r>
      <w:r w:rsidRPr="00483567">
        <w:t xml:space="preserve"> </w:t>
      </w:r>
      <w:r>
        <w:t xml:space="preserve">or length </w:t>
      </w:r>
      <w:r w:rsidRPr="00483567">
        <w:t>greater than 150 cm (class 5).</w:t>
      </w:r>
    </w:p>
    <w:p w14:paraId="436F7E63" w14:textId="77777777" w:rsidR="00CE7AB0" w:rsidRPr="007148FB" w:rsidRDefault="00CE7AB0" w:rsidP="007148FB">
      <w:pPr>
        <w:pStyle w:val="Heading3"/>
        <w:numPr>
          <w:ilvl w:val="0"/>
          <w:numId w:val="0"/>
        </w:numPr>
        <w:ind w:left="861" w:hanging="720"/>
        <w:rPr>
          <w:i/>
        </w:rPr>
      </w:pPr>
      <w:bookmarkStart w:id="832" w:name="_Toc301869704"/>
      <w:bookmarkStart w:id="833" w:name="_Toc346619026"/>
      <w:proofErr w:type="spellStart"/>
      <w:r w:rsidRPr="007148FB">
        <w:rPr>
          <w:i/>
        </w:rPr>
        <w:t>Livistona</w:t>
      </w:r>
      <w:proofErr w:type="spellEnd"/>
      <w:r w:rsidRPr="007148FB">
        <w:rPr>
          <w:i/>
        </w:rPr>
        <w:t xml:space="preserve"> </w:t>
      </w:r>
      <w:proofErr w:type="spellStart"/>
      <w:r w:rsidRPr="007148FB">
        <w:rPr>
          <w:i/>
        </w:rPr>
        <w:t>australis</w:t>
      </w:r>
      <w:bookmarkEnd w:id="832"/>
      <w:bookmarkEnd w:id="833"/>
      <w:proofErr w:type="spellEnd"/>
    </w:p>
    <w:p w14:paraId="275081F2" w14:textId="77777777" w:rsidR="00CE7AB0" w:rsidRPr="00483567" w:rsidRDefault="00CE7AB0" w:rsidP="007148FB">
      <w:pPr>
        <w:pStyle w:val="ListBullet"/>
      </w:pPr>
      <w:r w:rsidRPr="00483567">
        <w:t>non-trunked plant with less than 10 leaves (class 1)</w:t>
      </w:r>
    </w:p>
    <w:p w14:paraId="5695DC8E" w14:textId="77777777" w:rsidR="00CE7AB0" w:rsidRPr="00483567" w:rsidRDefault="00CE7AB0" w:rsidP="007148FB">
      <w:pPr>
        <w:pStyle w:val="ListBullet"/>
      </w:pPr>
      <w:r w:rsidRPr="00483567">
        <w:lastRenderedPageBreak/>
        <w:t>non-trunked plant with more than 10 leaves (class 2)</w:t>
      </w:r>
    </w:p>
    <w:p w14:paraId="4E3B23E7" w14:textId="77777777" w:rsidR="00CE7AB0" w:rsidRPr="00483567" w:rsidRDefault="00CE7AB0" w:rsidP="007148FB">
      <w:pPr>
        <w:pStyle w:val="ListBullet"/>
      </w:pPr>
      <w:r w:rsidRPr="00483567">
        <w:t xml:space="preserve">plants with a trunk </w:t>
      </w:r>
      <w:r>
        <w:t>height</w:t>
      </w:r>
      <w:r w:rsidRPr="00483567">
        <w:t xml:space="preserve"> </w:t>
      </w:r>
      <w:r>
        <w:t xml:space="preserve">or length </w:t>
      </w:r>
      <w:r w:rsidRPr="00483567">
        <w:t>less than 100 cm (class 3)</w:t>
      </w:r>
    </w:p>
    <w:p w14:paraId="4DDD3979" w14:textId="77777777" w:rsidR="00CE7AB0" w:rsidRPr="00483567" w:rsidRDefault="00CE7AB0" w:rsidP="007148FB">
      <w:pPr>
        <w:pStyle w:val="ListBullet"/>
      </w:pPr>
      <w:r w:rsidRPr="00483567">
        <w:t xml:space="preserve">plants with a trunk </w:t>
      </w:r>
      <w:r>
        <w:t>height</w:t>
      </w:r>
      <w:r w:rsidRPr="00483567">
        <w:t xml:space="preserve"> </w:t>
      </w:r>
      <w:r>
        <w:t xml:space="preserve">or length </w:t>
      </w:r>
      <w:r w:rsidRPr="00483567">
        <w:t>100−200 cm (class 4)</w:t>
      </w:r>
    </w:p>
    <w:p w14:paraId="3AF2A7A8" w14:textId="77777777" w:rsidR="00CE7AB0" w:rsidRPr="00483567" w:rsidRDefault="00CE7AB0" w:rsidP="007148FB">
      <w:pPr>
        <w:pStyle w:val="ListBullet"/>
      </w:pPr>
      <w:proofErr w:type="gramStart"/>
      <w:r w:rsidRPr="00483567">
        <w:t>plants</w:t>
      </w:r>
      <w:proofErr w:type="gramEnd"/>
      <w:r w:rsidRPr="00483567">
        <w:t xml:space="preserve"> with a trunk</w:t>
      </w:r>
      <w:r w:rsidRPr="00E4240B">
        <w:t xml:space="preserve"> </w:t>
      </w:r>
      <w:r>
        <w:t>height</w:t>
      </w:r>
      <w:r w:rsidRPr="00483567">
        <w:t xml:space="preserve"> </w:t>
      </w:r>
      <w:r>
        <w:t>or length</w:t>
      </w:r>
      <w:r w:rsidRPr="00483567">
        <w:t xml:space="preserve"> greater than 200 cm (class 5).</w:t>
      </w:r>
    </w:p>
    <w:p w14:paraId="0A16A390" w14:textId="77777777" w:rsidR="00CE7AB0" w:rsidRPr="00850A9B" w:rsidRDefault="00CE7AB0" w:rsidP="005D5864">
      <w:pPr>
        <w:pStyle w:val="Heading3"/>
        <w:numPr>
          <w:ilvl w:val="0"/>
          <w:numId w:val="0"/>
        </w:numPr>
        <w:ind w:left="861" w:hanging="720"/>
      </w:pPr>
      <w:bookmarkStart w:id="834" w:name="_Toc301869705"/>
      <w:bookmarkStart w:id="835" w:name="_Toc346619027"/>
      <w:bookmarkEnd w:id="826"/>
      <w:r w:rsidRPr="005D5864">
        <w:rPr>
          <w:i/>
        </w:rPr>
        <w:t>Macrozamia</w:t>
      </w:r>
      <w:r w:rsidRPr="00850A9B">
        <w:t xml:space="preserve"> species</w:t>
      </w:r>
      <w:bookmarkEnd w:id="834"/>
      <w:bookmarkEnd w:id="835"/>
    </w:p>
    <w:p w14:paraId="218D8263" w14:textId="77777777" w:rsidR="00CE7AB0" w:rsidRPr="00483567" w:rsidRDefault="00CE7AB0" w:rsidP="002B05F9">
      <w:pPr>
        <w:pStyle w:val="ListBullet"/>
      </w:pPr>
      <w:r w:rsidRPr="00483567">
        <w:t>non-trunked plant with less than 10 leaves (class 1)</w:t>
      </w:r>
    </w:p>
    <w:p w14:paraId="4CCFD6D9" w14:textId="77777777" w:rsidR="00CE7AB0" w:rsidRPr="00483567" w:rsidRDefault="00CE7AB0" w:rsidP="002B05F9">
      <w:pPr>
        <w:pStyle w:val="ListBullet"/>
      </w:pPr>
      <w:r w:rsidRPr="00483567">
        <w:t>non-trunked plant with more than 10 leaves (class 2)</w:t>
      </w:r>
    </w:p>
    <w:p w14:paraId="5C72163A" w14:textId="77777777" w:rsidR="00CE7AB0" w:rsidRPr="00483567" w:rsidRDefault="00CE7AB0" w:rsidP="002B05F9">
      <w:pPr>
        <w:pStyle w:val="ListBullet"/>
      </w:pPr>
      <w:r w:rsidRPr="00483567">
        <w:t xml:space="preserve">plants with a trunk </w:t>
      </w:r>
      <w:r>
        <w:t>height</w:t>
      </w:r>
      <w:r w:rsidRPr="00483567">
        <w:t xml:space="preserve"> </w:t>
      </w:r>
      <w:r>
        <w:t xml:space="preserve">or length </w:t>
      </w:r>
      <w:r w:rsidRPr="00483567">
        <w:t>less than 30 cm (class 3)</w:t>
      </w:r>
    </w:p>
    <w:p w14:paraId="1FCB8F48" w14:textId="77777777" w:rsidR="00CE7AB0" w:rsidRPr="00483567" w:rsidRDefault="00CE7AB0" w:rsidP="002B05F9">
      <w:pPr>
        <w:pStyle w:val="ListBullet"/>
      </w:pPr>
      <w:r w:rsidRPr="00483567">
        <w:t xml:space="preserve">plants with a trunk </w:t>
      </w:r>
      <w:r>
        <w:t>height</w:t>
      </w:r>
      <w:r w:rsidRPr="00483567">
        <w:t xml:space="preserve"> </w:t>
      </w:r>
      <w:r>
        <w:t xml:space="preserve">or length </w:t>
      </w:r>
      <w:r w:rsidRPr="00483567">
        <w:t>30–50 cm (class 4)</w:t>
      </w:r>
    </w:p>
    <w:p w14:paraId="5F447952" w14:textId="77777777" w:rsidR="00CE7AB0" w:rsidRPr="00483567" w:rsidRDefault="00CE7AB0" w:rsidP="002B05F9">
      <w:pPr>
        <w:pStyle w:val="ListBullet"/>
      </w:pPr>
      <w:proofErr w:type="gramStart"/>
      <w:r w:rsidRPr="00483567">
        <w:t>plants</w:t>
      </w:r>
      <w:proofErr w:type="gramEnd"/>
      <w:r w:rsidRPr="00483567">
        <w:t xml:space="preserve"> with a trunk </w:t>
      </w:r>
      <w:r>
        <w:t>height</w:t>
      </w:r>
      <w:r w:rsidRPr="00483567">
        <w:t xml:space="preserve"> </w:t>
      </w:r>
      <w:r>
        <w:t xml:space="preserve">or length </w:t>
      </w:r>
      <w:r w:rsidRPr="00483567">
        <w:t>greater than 50 cm (class 5).</w:t>
      </w:r>
    </w:p>
    <w:p w14:paraId="60EF3985" w14:textId="77777777" w:rsidR="00CE7AB0" w:rsidRPr="00850A9B" w:rsidRDefault="00CE7AB0" w:rsidP="005D5864">
      <w:pPr>
        <w:pStyle w:val="Heading3"/>
        <w:numPr>
          <w:ilvl w:val="0"/>
          <w:numId w:val="0"/>
        </w:numPr>
        <w:ind w:left="861" w:hanging="720"/>
      </w:pPr>
      <w:bookmarkStart w:id="836" w:name="_Toc301869706"/>
      <w:bookmarkStart w:id="837" w:name="_Toc346619028"/>
      <w:r w:rsidRPr="005D5864">
        <w:rPr>
          <w:i/>
        </w:rPr>
        <w:t>Xanthorrhoea</w:t>
      </w:r>
      <w:r w:rsidRPr="00850A9B">
        <w:t xml:space="preserve"> species</w:t>
      </w:r>
      <w:bookmarkEnd w:id="836"/>
      <w:bookmarkEnd w:id="837"/>
    </w:p>
    <w:p w14:paraId="547E9163" w14:textId="77777777" w:rsidR="00CE7AB0" w:rsidRPr="00483567" w:rsidRDefault="00CE7AB0" w:rsidP="002B05F9">
      <w:pPr>
        <w:pStyle w:val="ListBullet"/>
      </w:pPr>
      <w:r w:rsidRPr="00483567">
        <w:t>non-trunked plant with less than 40 leaves (class 1)</w:t>
      </w:r>
    </w:p>
    <w:p w14:paraId="169C564A" w14:textId="77777777" w:rsidR="00CE7AB0" w:rsidRPr="00483567" w:rsidRDefault="00CE7AB0" w:rsidP="002B05F9">
      <w:pPr>
        <w:pStyle w:val="ListBullet"/>
      </w:pPr>
      <w:r w:rsidRPr="00483567">
        <w:t>plants with a trunk</w:t>
      </w:r>
      <w:r>
        <w:t xml:space="preserve"> height</w:t>
      </w:r>
      <w:r w:rsidRPr="00483567">
        <w:t xml:space="preserve"> </w:t>
      </w:r>
      <w:r>
        <w:t>or length</w:t>
      </w:r>
      <w:r w:rsidRPr="00483567">
        <w:t xml:space="preserve"> less than 30 cm (class 2)</w:t>
      </w:r>
    </w:p>
    <w:p w14:paraId="06A707C3" w14:textId="77777777" w:rsidR="00CE7AB0" w:rsidRDefault="00CE7AB0" w:rsidP="002B05F9">
      <w:pPr>
        <w:pStyle w:val="ListBullet"/>
      </w:pPr>
      <w:r w:rsidRPr="00483567">
        <w:t xml:space="preserve">plants with a trunk </w:t>
      </w:r>
      <w:r>
        <w:t>height</w:t>
      </w:r>
      <w:r w:rsidRPr="00483567">
        <w:t xml:space="preserve"> </w:t>
      </w:r>
      <w:r>
        <w:t xml:space="preserve">or length </w:t>
      </w:r>
      <w:r w:rsidRPr="00483567">
        <w:t xml:space="preserve">30–100 cm (class </w:t>
      </w:r>
      <w:r>
        <w:t>3</w:t>
      </w:r>
      <w:r w:rsidRPr="00483567">
        <w:t>)</w:t>
      </w:r>
    </w:p>
    <w:p w14:paraId="50E18421" w14:textId="77777777" w:rsidR="00CE7AB0" w:rsidRPr="00483567" w:rsidRDefault="00CE7AB0" w:rsidP="002B05F9">
      <w:pPr>
        <w:pStyle w:val="ListBullet"/>
      </w:pPr>
      <w:r w:rsidRPr="00483567">
        <w:t xml:space="preserve">plants with a trunk </w:t>
      </w:r>
      <w:r>
        <w:t>height</w:t>
      </w:r>
      <w:r w:rsidRPr="00483567">
        <w:t xml:space="preserve"> </w:t>
      </w:r>
      <w:r>
        <w:t>or length 100</w:t>
      </w:r>
      <w:r w:rsidRPr="00483567">
        <w:t>−</w:t>
      </w:r>
      <w:r>
        <w:t>2</w:t>
      </w:r>
      <w:r w:rsidRPr="00483567">
        <w:t xml:space="preserve">00 cm (class </w:t>
      </w:r>
      <w:r>
        <w:t>4</w:t>
      </w:r>
      <w:r w:rsidRPr="00483567">
        <w:t>)</w:t>
      </w:r>
    </w:p>
    <w:p w14:paraId="7696B9FB" w14:textId="77777777" w:rsidR="00CE7AB0" w:rsidRPr="00483567" w:rsidRDefault="00CE7AB0" w:rsidP="002B05F9">
      <w:pPr>
        <w:pStyle w:val="ListBullet"/>
      </w:pPr>
      <w:proofErr w:type="gramStart"/>
      <w:r w:rsidRPr="00483567">
        <w:t>plants</w:t>
      </w:r>
      <w:proofErr w:type="gramEnd"/>
      <w:r w:rsidRPr="00483567">
        <w:t xml:space="preserve"> with a trunk </w:t>
      </w:r>
      <w:r>
        <w:t>height</w:t>
      </w:r>
      <w:r w:rsidRPr="00483567">
        <w:t xml:space="preserve"> </w:t>
      </w:r>
      <w:r>
        <w:t xml:space="preserve">or length </w:t>
      </w:r>
      <w:r w:rsidRPr="00483567">
        <w:t xml:space="preserve">greater than </w:t>
      </w:r>
      <w:r>
        <w:t>2</w:t>
      </w:r>
      <w:r w:rsidRPr="00483567">
        <w:t xml:space="preserve">00 cm (class </w:t>
      </w:r>
      <w:r>
        <w:t>5</w:t>
      </w:r>
      <w:r w:rsidRPr="00483567">
        <w:t>)</w:t>
      </w:r>
      <w:r>
        <w:t>.</w:t>
      </w:r>
    </w:p>
    <w:p w14:paraId="0F69C3C7" w14:textId="77777777" w:rsidR="00CE7AB0" w:rsidRPr="00791D51" w:rsidRDefault="00CE7AB0" w:rsidP="005D5864">
      <w:pPr>
        <w:pStyle w:val="Heading2"/>
        <w:numPr>
          <w:ilvl w:val="0"/>
          <w:numId w:val="0"/>
        </w:numPr>
        <w:ind w:left="794" w:hanging="794"/>
      </w:pPr>
      <w:bookmarkStart w:id="838" w:name="_Toc301869707"/>
      <w:bookmarkStart w:id="839" w:name="_Toc346619029"/>
      <w:bookmarkStart w:id="840" w:name="_Toc494449621"/>
      <w:r w:rsidRPr="00791D51">
        <w:t>Size classes and licence types</w:t>
      </w:r>
      <w:bookmarkEnd w:id="838"/>
      <w:bookmarkEnd w:id="839"/>
      <w:bookmarkEnd w:id="840"/>
    </w:p>
    <w:p w14:paraId="67886ADA" w14:textId="77777777" w:rsidR="00CE7AB0" w:rsidRPr="00483567" w:rsidRDefault="00CE7AB0" w:rsidP="00FC388E">
      <w:r w:rsidRPr="00483567">
        <w:t xml:space="preserve">The following table sets out which size classes may be harvested under each of the identified harvest situations. All class sizes may be produced under a grower licence. </w:t>
      </w:r>
    </w:p>
    <w:p w14:paraId="77782AEC" w14:textId="77777777" w:rsidR="00CE7AB0" w:rsidRPr="00483567" w:rsidRDefault="00CE7AB0" w:rsidP="005D5864">
      <w:pPr>
        <w:pStyle w:val="Tablecaption"/>
      </w:pPr>
      <w:r w:rsidRPr="00483567">
        <w:t>Table 6</w:t>
      </w:r>
      <w:r w:rsidRPr="00483567">
        <w:tab/>
        <w:t>Size classes applicable to wild and approved harvester licences</w:t>
      </w:r>
    </w:p>
    <w:tbl>
      <w:tblPr>
        <w:tblW w:w="8213"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2453"/>
        <w:gridCol w:w="1620"/>
        <w:gridCol w:w="2520"/>
        <w:gridCol w:w="1620"/>
      </w:tblGrid>
      <w:tr w:rsidR="00CE7AB0" w:rsidRPr="00483567" w14:paraId="553C57C5" w14:textId="77777777" w:rsidTr="005D5864">
        <w:tc>
          <w:tcPr>
            <w:tcW w:w="2453" w:type="dxa"/>
            <w:vMerge w:val="restart"/>
            <w:shd w:val="clear" w:color="auto" w:fill="4C6D41"/>
            <w:vAlign w:val="center"/>
          </w:tcPr>
          <w:p w14:paraId="581397FE" w14:textId="77777777" w:rsidR="00CE7AB0" w:rsidRPr="005D5864" w:rsidRDefault="00CE7AB0" w:rsidP="00FC388E">
            <w:pPr>
              <w:rPr>
                <w:b/>
                <w:color w:val="FFFFFF" w:themeColor="background1"/>
              </w:rPr>
            </w:pPr>
            <w:r w:rsidRPr="005D5864">
              <w:rPr>
                <w:b/>
                <w:color w:val="FFFFFF" w:themeColor="background1"/>
              </w:rPr>
              <w:t>Plant genera</w:t>
            </w:r>
          </w:p>
        </w:tc>
        <w:tc>
          <w:tcPr>
            <w:tcW w:w="5760" w:type="dxa"/>
            <w:gridSpan w:val="3"/>
            <w:shd w:val="clear" w:color="auto" w:fill="4C6D41"/>
          </w:tcPr>
          <w:p w14:paraId="02BAD9A6" w14:textId="77777777" w:rsidR="00CE7AB0" w:rsidRPr="005D5864" w:rsidRDefault="00CE7AB0" w:rsidP="00FC388E">
            <w:pPr>
              <w:rPr>
                <w:b/>
                <w:color w:val="FFFFFF" w:themeColor="background1"/>
              </w:rPr>
            </w:pPr>
            <w:r w:rsidRPr="005D5864">
              <w:rPr>
                <w:b/>
                <w:color w:val="FFFFFF" w:themeColor="background1"/>
              </w:rPr>
              <w:t>Licence type</w:t>
            </w:r>
          </w:p>
        </w:tc>
      </w:tr>
      <w:tr w:rsidR="00CE7AB0" w:rsidRPr="00483567" w14:paraId="6502B0A5" w14:textId="77777777" w:rsidTr="005D5864">
        <w:tc>
          <w:tcPr>
            <w:tcW w:w="2453" w:type="dxa"/>
            <w:vMerge/>
          </w:tcPr>
          <w:p w14:paraId="07000FB1" w14:textId="77777777" w:rsidR="00CE7AB0" w:rsidRPr="00483567" w:rsidRDefault="00CE7AB0" w:rsidP="00FC388E"/>
        </w:tc>
        <w:tc>
          <w:tcPr>
            <w:tcW w:w="1620" w:type="dxa"/>
            <w:shd w:val="clear" w:color="auto" w:fill="CCCCCC"/>
          </w:tcPr>
          <w:p w14:paraId="2866ABBB" w14:textId="77777777" w:rsidR="00CE7AB0" w:rsidRPr="00483567" w:rsidRDefault="00CE7AB0" w:rsidP="00FC388E">
            <w:r w:rsidRPr="00483567">
              <w:t>Wild harvest</w:t>
            </w:r>
          </w:p>
        </w:tc>
        <w:tc>
          <w:tcPr>
            <w:tcW w:w="2520" w:type="dxa"/>
            <w:shd w:val="clear" w:color="auto" w:fill="CCCCCC"/>
          </w:tcPr>
          <w:p w14:paraId="05D6E1C7" w14:textId="77777777" w:rsidR="00CE7AB0" w:rsidRPr="00483567" w:rsidRDefault="00CE7AB0" w:rsidP="00FC388E">
            <w:r w:rsidRPr="00483567">
              <w:t>Sustainable harvest</w:t>
            </w:r>
          </w:p>
        </w:tc>
        <w:tc>
          <w:tcPr>
            <w:tcW w:w="1620" w:type="dxa"/>
            <w:shd w:val="clear" w:color="auto" w:fill="CCCCCC"/>
          </w:tcPr>
          <w:p w14:paraId="1FA055A7" w14:textId="77777777" w:rsidR="00CE7AB0" w:rsidRPr="00483567" w:rsidRDefault="00CE7AB0" w:rsidP="00FC388E">
            <w:r w:rsidRPr="00483567">
              <w:t>Salvage</w:t>
            </w:r>
          </w:p>
        </w:tc>
      </w:tr>
      <w:tr w:rsidR="00CE7AB0" w:rsidRPr="00483567" w14:paraId="4D7FC468" w14:textId="77777777" w:rsidTr="005D5864">
        <w:tc>
          <w:tcPr>
            <w:tcW w:w="2453" w:type="dxa"/>
          </w:tcPr>
          <w:p w14:paraId="333FA6FF" w14:textId="77777777" w:rsidR="00CE7AB0" w:rsidRPr="005D5864" w:rsidRDefault="00CE7AB0" w:rsidP="005D5864">
            <w:pPr>
              <w:pStyle w:val="Tabletext"/>
              <w:rPr>
                <w:i/>
              </w:rPr>
            </w:pPr>
            <w:proofErr w:type="spellStart"/>
            <w:r w:rsidRPr="005D5864">
              <w:rPr>
                <w:i/>
              </w:rPr>
              <w:t>Dicksonia</w:t>
            </w:r>
            <w:proofErr w:type="spellEnd"/>
            <w:r w:rsidRPr="005D5864">
              <w:rPr>
                <w:i/>
              </w:rPr>
              <w:t>/</w:t>
            </w:r>
            <w:proofErr w:type="spellStart"/>
            <w:r w:rsidRPr="005D5864">
              <w:rPr>
                <w:i/>
              </w:rPr>
              <w:t>Cyathea</w:t>
            </w:r>
            <w:proofErr w:type="spellEnd"/>
          </w:p>
        </w:tc>
        <w:tc>
          <w:tcPr>
            <w:tcW w:w="1620" w:type="dxa"/>
          </w:tcPr>
          <w:p w14:paraId="2BF6648C" w14:textId="77777777" w:rsidR="00CE7AB0" w:rsidRPr="00483567" w:rsidRDefault="00CE7AB0" w:rsidP="005D5864">
            <w:pPr>
              <w:pStyle w:val="Tabletext"/>
            </w:pPr>
            <w:r w:rsidRPr="00483567">
              <w:t>Classes 2</w:t>
            </w:r>
            <w:r>
              <w:t>−</w:t>
            </w:r>
            <w:r w:rsidRPr="00483567">
              <w:t>3</w:t>
            </w:r>
          </w:p>
        </w:tc>
        <w:tc>
          <w:tcPr>
            <w:tcW w:w="2520" w:type="dxa"/>
          </w:tcPr>
          <w:p w14:paraId="267C1585" w14:textId="77777777" w:rsidR="00CE7AB0" w:rsidRPr="00483567" w:rsidRDefault="00CE7AB0" w:rsidP="005D5864">
            <w:pPr>
              <w:pStyle w:val="Tabletext"/>
            </w:pPr>
            <w:r w:rsidRPr="00483567">
              <w:t>Classes 2</w:t>
            </w:r>
            <w:r>
              <w:t>−</w:t>
            </w:r>
            <w:r w:rsidRPr="00483567">
              <w:t>3</w:t>
            </w:r>
          </w:p>
        </w:tc>
        <w:tc>
          <w:tcPr>
            <w:tcW w:w="1620" w:type="dxa"/>
          </w:tcPr>
          <w:p w14:paraId="01524DD0" w14:textId="77777777" w:rsidR="00CE7AB0" w:rsidRPr="00483567" w:rsidRDefault="00CE7AB0" w:rsidP="005D5864">
            <w:pPr>
              <w:pStyle w:val="Tabletext"/>
            </w:pPr>
            <w:r w:rsidRPr="00483567">
              <w:t>Classes 4</w:t>
            </w:r>
            <w:r>
              <w:t>−</w:t>
            </w:r>
            <w:r w:rsidRPr="00483567">
              <w:t>5</w:t>
            </w:r>
          </w:p>
        </w:tc>
      </w:tr>
      <w:tr w:rsidR="00CE7AB0" w:rsidRPr="00483567" w14:paraId="401DC3CC" w14:textId="77777777" w:rsidTr="005D5864">
        <w:tc>
          <w:tcPr>
            <w:tcW w:w="2453" w:type="dxa"/>
          </w:tcPr>
          <w:p w14:paraId="399EAB31" w14:textId="77777777" w:rsidR="00CE7AB0" w:rsidRPr="005D5864" w:rsidRDefault="00CE7AB0" w:rsidP="005D5864">
            <w:pPr>
              <w:pStyle w:val="Tabletext"/>
              <w:rPr>
                <w:i/>
              </w:rPr>
            </w:pPr>
            <w:proofErr w:type="spellStart"/>
            <w:r w:rsidRPr="005D5864">
              <w:rPr>
                <w:i/>
              </w:rPr>
              <w:t>Livistona</w:t>
            </w:r>
            <w:proofErr w:type="spellEnd"/>
          </w:p>
        </w:tc>
        <w:tc>
          <w:tcPr>
            <w:tcW w:w="1620" w:type="dxa"/>
          </w:tcPr>
          <w:p w14:paraId="171A3AD7" w14:textId="77777777" w:rsidR="00CE7AB0" w:rsidRPr="00483567" w:rsidRDefault="00CE7AB0" w:rsidP="005D5864">
            <w:pPr>
              <w:pStyle w:val="Tabletext"/>
            </w:pPr>
            <w:r w:rsidRPr="00483567">
              <w:t>Nil</w:t>
            </w:r>
          </w:p>
        </w:tc>
        <w:tc>
          <w:tcPr>
            <w:tcW w:w="2520" w:type="dxa"/>
          </w:tcPr>
          <w:p w14:paraId="644FFAE2" w14:textId="77777777" w:rsidR="00CE7AB0" w:rsidRPr="00483567" w:rsidRDefault="00CE7AB0" w:rsidP="005D5864">
            <w:pPr>
              <w:pStyle w:val="Tabletext"/>
            </w:pPr>
            <w:r w:rsidRPr="00483567">
              <w:t>Nil</w:t>
            </w:r>
          </w:p>
        </w:tc>
        <w:tc>
          <w:tcPr>
            <w:tcW w:w="1620" w:type="dxa"/>
          </w:tcPr>
          <w:p w14:paraId="6B589374" w14:textId="77777777" w:rsidR="00CE7AB0" w:rsidRPr="00483567" w:rsidRDefault="00CE7AB0" w:rsidP="005D5864">
            <w:pPr>
              <w:pStyle w:val="Tabletext"/>
            </w:pPr>
            <w:r w:rsidRPr="00483567">
              <w:t>Classes 3</w:t>
            </w:r>
            <w:r>
              <w:t>−</w:t>
            </w:r>
            <w:r w:rsidRPr="00483567">
              <w:t>5</w:t>
            </w:r>
          </w:p>
        </w:tc>
      </w:tr>
      <w:tr w:rsidR="00CE7AB0" w:rsidRPr="00483567" w14:paraId="63AD7BC4" w14:textId="77777777" w:rsidTr="005D5864">
        <w:tc>
          <w:tcPr>
            <w:tcW w:w="2453" w:type="dxa"/>
          </w:tcPr>
          <w:p w14:paraId="50ED5049" w14:textId="77777777" w:rsidR="00CE7AB0" w:rsidRPr="005D5864" w:rsidRDefault="00CE7AB0" w:rsidP="005D5864">
            <w:pPr>
              <w:pStyle w:val="Tabletext"/>
              <w:rPr>
                <w:i/>
              </w:rPr>
            </w:pPr>
            <w:r w:rsidRPr="005D5864">
              <w:rPr>
                <w:i/>
              </w:rPr>
              <w:t>Macrozamia</w:t>
            </w:r>
          </w:p>
        </w:tc>
        <w:tc>
          <w:tcPr>
            <w:tcW w:w="1620" w:type="dxa"/>
          </w:tcPr>
          <w:p w14:paraId="3B2DDEEE" w14:textId="77777777" w:rsidR="00CE7AB0" w:rsidRPr="00483567" w:rsidRDefault="00CE7AB0" w:rsidP="005D5864">
            <w:pPr>
              <w:pStyle w:val="Tabletext"/>
            </w:pPr>
            <w:r w:rsidRPr="00483567">
              <w:t>Nil</w:t>
            </w:r>
          </w:p>
        </w:tc>
        <w:tc>
          <w:tcPr>
            <w:tcW w:w="2520" w:type="dxa"/>
          </w:tcPr>
          <w:p w14:paraId="69CE2534" w14:textId="77777777" w:rsidR="00CE7AB0" w:rsidRPr="00483567" w:rsidRDefault="00CE7AB0" w:rsidP="005D5864">
            <w:pPr>
              <w:pStyle w:val="Tabletext"/>
            </w:pPr>
            <w:r w:rsidRPr="00483567">
              <w:t>Classes 2</w:t>
            </w:r>
            <w:r>
              <w:t>−</w:t>
            </w:r>
            <w:r w:rsidRPr="00483567">
              <w:t>4</w:t>
            </w:r>
          </w:p>
        </w:tc>
        <w:tc>
          <w:tcPr>
            <w:tcW w:w="1620" w:type="dxa"/>
          </w:tcPr>
          <w:p w14:paraId="24762671" w14:textId="77777777" w:rsidR="00CE7AB0" w:rsidRPr="00483567" w:rsidRDefault="00CE7AB0" w:rsidP="005D5864">
            <w:pPr>
              <w:pStyle w:val="Tabletext"/>
            </w:pPr>
            <w:r w:rsidRPr="00483567">
              <w:t>Class 5</w:t>
            </w:r>
          </w:p>
        </w:tc>
      </w:tr>
      <w:tr w:rsidR="00CE7AB0" w:rsidRPr="00483567" w14:paraId="323D79F4" w14:textId="77777777" w:rsidTr="005D5864">
        <w:tc>
          <w:tcPr>
            <w:tcW w:w="2453" w:type="dxa"/>
          </w:tcPr>
          <w:p w14:paraId="1171E952" w14:textId="77777777" w:rsidR="00CE7AB0" w:rsidRPr="005D5864" w:rsidRDefault="00CE7AB0" w:rsidP="005D5864">
            <w:pPr>
              <w:pStyle w:val="Tabletext"/>
              <w:rPr>
                <w:i/>
              </w:rPr>
            </w:pPr>
            <w:r w:rsidRPr="005D5864">
              <w:rPr>
                <w:i/>
              </w:rPr>
              <w:t>Xanthorrhoea</w:t>
            </w:r>
          </w:p>
        </w:tc>
        <w:tc>
          <w:tcPr>
            <w:tcW w:w="1620" w:type="dxa"/>
          </w:tcPr>
          <w:p w14:paraId="5A109D78" w14:textId="77777777" w:rsidR="00CE7AB0" w:rsidRPr="00483567" w:rsidRDefault="00CE7AB0" w:rsidP="005D5864">
            <w:pPr>
              <w:pStyle w:val="Tabletext"/>
            </w:pPr>
            <w:r w:rsidRPr="00483567">
              <w:t>Nil</w:t>
            </w:r>
          </w:p>
        </w:tc>
        <w:tc>
          <w:tcPr>
            <w:tcW w:w="2520" w:type="dxa"/>
          </w:tcPr>
          <w:p w14:paraId="4A75E4A7" w14:textId="77777777" w:rsidR="00CE7AB0" w:rsidRPr="00483567" w:rsidRDefault="00CE7AB0" w:rsidP="005D5864">
            <w:pPr>
              <w:pStyle w:val="Tabletext"/>
            </w:pPr>
            <w:r w:rsidRPr="00483567">
              <w:t>Classes 3</w:t>
            </w:r>
            <w:r>
              <w:t>−</w:t>
            </w:r>
            <w:r w:rsidRPr="00483567">
              <w:t>4</w:t>
            </w:r>
          </w:p>
        </w:tc>
        <w:tc>
          <w:tcPr>
            <w:tcW w:w="1620" w:type="dxa"/>
          </w:tcPr>
          <w:p w14:paraId="27D1AF44" w14:textId="77777777" w:rsidR="00CE7AB0" w:rsidRPr="00483567" w:rsidRDefault="00CE7AB0" w:rsidP="005D5864">
            <w:pPr>
              <w:pStyle w:val="Tabletext"/>
            </w:pPr>
            <w:r w:rsidRPr="00483567">
              <w:t xml:space="preserve">Classes </w:t>
            </w:r>
            <w:r>
              <w:t>3−</w:t>
            </w:r>
            <w:r w:rsidRPr="00483567">
              <w:t>5</w:t>
            </w:r>
          </w:p>
        </w:tc>
      </w:tr>
    </w:tbl>
    <w:p w14:paraId="7B7C4C98" w14:textId="77777777" w:rsidR="00CE7AB0" w:rsidRPr="00483567" w:rsidRDefault="00CE7AB0" w:rsidP="00FC388E">
      <w:pPr>
        <w:pStyle w:val="BodyText"/>
      </w:pPr>
    </w:p>
    <w:p w14:paraId="6A9363F1" w14:textId="77777777" w:rsidR="00CE7AB0" w:rsidRDefault="00CE7AB0" w:rsidP="00FC388E">
      <w:pPr>
        <w:pStyle w:val="BodyText"/>
      </w:pPr>
    </w:p>
    <w:sectPr w:rsidR="00CE7AB0" w:rsidSect="00CE7AB0">
      <w:headerReference w:type="default" r:id="rId27"/>
      <w:footerReference w:type="even" r:id="rId28"/>
      <w:footerReference w:type="default" r:id="rId29"/>
      <w:pgSz w:w="11907" w:h="16840" w:code="9"/>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C740E" w14:textId="77777777" w:rsidR="0060494E" w:rsidRPr="000D4EDE" w:rsidRDefault="0060494E" w:rsidP="00FC388E">
      <w:r>
        <w:separator/>
      </w:r>
    </w:p>
    <w:p w14:paraId="0A1D143B" w14:textId="77777777" w:rsidR="0060494E" w:rsidRDefault="0060494E" w:rsidP="00FC388E"/>
  </w:endnote>
  <w:endnote w:type="continuationSeparator" w:id="0">
    <w:p w14:paraId="7A84A1E4" w14:textId="77777777" w:rsidR="0060494E" w:rsidRPr="000D4EDE" w:rsidRDefault="0060494E" w:rsidP="00FC388E">
      <w:r>
        <w:continuationSeparator/>
      </w:r>
    </w:p>
    <w:p w14:paraId="4D438EEE" w14:textId="77777777" w:rsidR="0060494E" w:rsidRDefault="0060494E" w:rsidP="00FC38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 Narrow Book">
    <w:panose1 w:val="00000000000000000000"/>
    <w:charset w:val="00"/>
    <w:family w:val="modern"/>
    <w:notTrueType/>
    <w:pitch w:val="variable"/>
    <w:sig w:usb0="A00002FF"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Gotham Bold">
    <w:panose1 w:val="00000000000000000000"/>
    <w:charset w:val="00"/>
    <w:family w:val="modern"/>
    <w:notTrueType/>
    <w:pitch w:val="variable"/>
    <w:sig w:usb0="A00002FF" w:usb1="4000005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20000287" w:usb1="00000001" w:usb2="00000000" w:usb3="00000000" w:csb0="0000019F" w:csb1="00000000"/>
  </w:font>
  <w:font w:name="Times 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6FCBE" w14:textId="77777777" w:rsidR="0007171D" w:rsidRDefault="000717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1ABAF" w14:textId="77777777" w:rsidR="0007171D" w:rsidRDefault="000717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0AB53" w14:textId="77777777" w:rsidR="0007171D" w:rsidRDefault="0007171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57D49" w14:textId="6B3E355A" w:rsidR="0060494E" w:rsidRPr="00DC37A7" w:rsidRDefault="0060494E" w:rsidP="00FC388E">
    <w:pPr>
      <w:pStyle w:val="Footer"/>
    </w:pPr>
    <w:r>
      <w:fldChar w:fldCharType="begin"/>
    </w:r>
    <w:r>
      <w:instrText xml:space="preserve"> PAGE   \* MERGEFORMAT </w:instrText>
    </w:r>
    <w:r>
      <w:fldChar w:fldCharType="separate"/>
    </w:r>
    <w:r w:rsidR="004D11D1">
      <w:rPr>
        <w:noProof/>
      </w:rPr>
      <w:t>iii</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1550F" w14:textId="77777777" w:rsidR="0060494E" w:rsidRDefault="004D11D1" w:rsidP="00FC388E">
    <w:pPr>
      <w:pStyle w:val="Footer"/>
    </w:pPr>
    <w:sdt>
      <w:sdtPr>
        <w:id w:val="-640192303"/>
        <w:docPartObj>
          <w:docPartGallery w:val="Page Numbers (Bottom of Page)"/>
          <w:docPartUnique/>
        </w:docPartObj>
      </w:sdtPr>
      <w:sdtEndPr>
        <w:rPr>
          <w:noProof/>
        </w:rPr>
      </w:sdtEndPr>
      <w:sdtContent>
        <w:r w:rsidR="0060494E">
          <w:fldChar w:fldCharType="begin"/>
        </w:r>
        <w:r w:rsidR="0060494E">
          <w:instrText xml:space="preserve"> PAGE   \* MERGEFORMAT </w:instrText>
        </w:r>
        <w:r w:rsidR="0060494E">
          <w:fldChar w:fldCharType="separate"/>
        </w:r>
        <w:r w:rsidR="0060494E">
          <w:rPr>
            <w:noProof/>
          </w:rPr>
          <w:t>2</w:t>
        </w:r>
        <w:r w:rsidR="0060494E">
          <w:rPr>
            <w:noProof/>
          </w:rPr>
          <w:fldChar w:fldCharType="end"/>
        </w:r>
      </w:sdtContent>
    </w:sdt>
    <w:r w:rsidR="0060494E">
      <w:rPr>
        <w:noProof/>
      </w:rPr>
      <w:tab/>
    </w:r>
    <w:r w:rsidR="0060494E">
      <w:rPr>
        <w:rStyle w:val="PageNumber"/>
      </w:rPr>
      <w:t>[</w:t>
    </w:r>
    <w:r w:rsidR="0060494E" w:rsidRPr="00806A9E">
      <w:rPr>
        <w:rStyle w:val="PageNumber"/>
      </w:rPr>
      <w:t>Publication</w:t>
    </w:r>
    <w:r w:rsidR="0060494E">
      <w:rPr>
        <w:rStyle w:val="PageNumber"/>
      </w:rPr>
      <w:t xml:space="preserve"> Title]</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szCs w:val="20"/>
      </w:rPr>
      <w:id w:val="2124183675"/>
      <w:docPartObj>
        <w:docPartGallery w:val="Page Numbers (Bottom of Page)"/>
        <w:docPartUnique/>
      </w:docPartObj>
    </w:sdtPr>
    <w:sdtEndPr>
      <w:rPr>
        <w:b w:val="0"/>
        <w:szCs w:val="22"/>
      </w:rPr>
    </w:sdtEndPr>
    <w:sdtContent>
      <w:p w14:paraId="45905D67" w14:textId="7D7C81D5" w:rsidR="0060494E" w:rsidRPr="005955C5" w:rsidRDefault="0060494E" w:rsidP="00FC388E">
        <w:pPr>
          <w:pStyle w:val="Footer"/>
        </w:pPr>
        <w:r w:rsidRPr="005955C5">
          <w:fldChar w:fldCharType="begin"/>
        </w:r>
        <w:r w:rsidRPr="005955C5">
          <w:instrText xml:space="preserve"> PAGE   \* MERGEFORMAT </w:instrText>
        </w:r>
        <w:r w:rsidRPr="005955C5">
          <w:fldChar w:fldCharType="separate"/>
        </w:r>
        <w:r w:rsidR="004D11D1">
          <w:rPr>
            <w:noProof/>
          </w:rPr>
          <w:t>43</w:t>
        </w:r>
        <w:r w:rsidRPr="005955C5">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717EB" w14:textId="77777777" w:rsidR="0060494E" w:rsidRPr="000D4EDE" w:rsidRDefault="0060494E" w:rsidP="00FC388E">
      <w:r>
        <w:separator/>
      </w:r>
    </w:p>
  </w:footnote>
  <w:footnote w:type="continuationSeparator" w:id="0">
    <w:p w14:paraId="26CBDBAA" w14:textId="77777777" w:rsidR="0060494E" w:rsidRPr="000D4EDE" w:rsidRDefault="0060494E" w:rsidP="00FC388E">
      <w:r>
        <w:continuationSeparator/>
      </w:r>
    </w:p>
  </w:footnote>
  <w:footnote w:type="continuationNotice" w:id="1">
    <w:p w14:paraId="01AA5595" w14:textId="77777777" w:rsidR="0060494E" w:rsidRPr="005D75E2" w:rsidRDefault="0060494E" w:rsidP="00FC388E">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AD9D6" w14:textId="77777777" w:rsidR="0007171D" w:rsidRDefault="000717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558EE" w14:textId="77777777" w:rsidR="0007171D" w:rsidRDefault="000717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29BDA" w14:textId="77777777" w:rsidR="0007171D" w:rsidRDefault="0007171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4D1C9" w14:textId="77777777" w:rsidR="0060494E" w:rsidRDefault="0060494E" w:rsidP="00FC388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1E09F" w14:textId="77777777" w:rsidR="0060494E" w:rsidRPr="002F11DD" w:rsidRDefault="0060494E" w:rsidP="00FC388E">
    <w:pPr>
      <w:pStyle w:val="Header"/>
      <w:rPr>
        <w:sz w:val="16"/>
        <w:szCs w:val="16"/>
      </w:rPr>
    </w:pPr>
    <w:r w:rsidRPr="002F11DD">
      <w:rPr>
        <w:sz w:val="16"/>
        <w:szCs w:val="16"/>
      </w:rPr>
      <w:t>The commercial harvest, salvage and propagation of protected whole plants – sustainable management plan 2018-22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57B2F" w14:textId="77777777" w:rsidR="0060494E" w:rsidRPr="00076544" w:rsidRDefault="0060494E" w:rsidP="00076544">
    <w:pPr>
      <w:pStyle w:val="Header"/>
      <w:rPr>
        <w:sz w:val="16"/>
        <w:szCs w:val="16"/>
      </w:rPr>
    </w:pPr>
    <w:r w:rsidRPr="00076544">
      <w:rPr>
        <w:sz w:val="16"/>
        <w:szCs w:val="16"/>
      </w:rPr>
      <w:t>The commercial harvest, salvage and propagation of protected whole plants - sustainable management plan 2018-22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AB8"/>
    <w:multiLevelType w:val="hybridMultilevel"/>
    <w:tmpl w:val="E5AC7F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6063C4"/>
    <w:multiLevelType w:val="multilevel"/>
    <w:tmpl w:val="E648E740"/>
    <w:styleLink w:val="StyleNumbered"/>
    <w:lvl w:ilvl="0">
      <w:start w:val="1"/>
      <w:numFmt w:val="decimal"/>
      <w:lvlText w:val="%1."/>
      <w:lvlJc w:val="left"/>
      <w:pPr>
        <w:tabs>
          <w:tab w:val="num" w:pos="720"/>
        </w:tabs>
        <w:ind w:left="720"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03C24"/>
    <w:multiLevelType w:val="multilevel"/>
    <w:tmpl w:val="895AE924"/>
    <w:lvl w:ilvl="0">
      <w:start w:val="1"/>
      <w:numFmt w:val="none"/>
      <w:pStyle w:val="List"/>
      <w:lvlText w:val="*"/>
      <w:lvlJc w:val="left"/>
      <w:pPr>
        <w:tabs>
          <w:tab w:val="num" w:pos="1077"/>
        </w:tabs>
        <w:ind w:left="1077" w:hanging="357"/>
      </w:pPr>
      <w:rPr>
        <w:rFonts w:hint="default"/>
        <w:color w:val="231F20" w:themeColor="text1"/>
      </w:rPr>
    </w:lvl>
    <w:lvl w:ilvl="1">
      <w:start w:val="1"/>
      <w:numFmt w:val="bullet"/>
      <w:pStyle w:val="List2"/>
      <w:lvlText w:val="†"/>
      <w:lvlJc w:val="left"/>
      <w:pPr>
        <w:tabs>
          <w:tab w:val="num" w:pos="1077"/>
        </w:tabs>
        <w:ind w:left="1077" w:hanging="357"/>
      </w:pPr>
      <w:rPr>
        <w:rFonts w:ascii="Arial" w:hAnsi="Arial" w:hint="default"/>
        <w:color w:val="231F20" w:themeColor="text1"/>
      </w:rPr>
    </w:lvl>
    <w:lvl w:ilvl="2">
      <w:start w:val="1"/>
      <w:numFmt w:val="bullet"/>
      <w:pStyle w:val="List3"/>
      <w:lvlText w:val="‡"/>
      <w:lvlJc w:val="left"/>
      <w:pPr>
        <w:tabs>
          <w:tab w:val="num" w:pos="1077"/>
        </w:tabs>
        <w:ind w:left="1077" w:hanging="357"/>
      </w:pPr>
      <w:rPr>
        <w:rFonts w:ascii="Arial" w:hAnsi="Arial" w:hint="default"/>
        <w:color w:val="231F20" w:themeColor="text1"/>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8F00763"/>
    <w:multiLevelType w:val="hybridMultilevel"/>
    <w:tmpl w:val="C866A9FC"/>
    <w:lvl w:ilvl="0" w:tplc="0EAA0B84">
      <w:start w:val="1"/>
      <w:numFmt w:val="bullet"/>
      <w:pStyle w:val="Tabledotpointlist"/>
      <w:lvlText w:val=""/>
      <w:lvlJc w:val="left"/>
      <w:pPr>
        <w:tabs>
          <w:tab w:val="num" w:pos="567"/>
        </w:tabs>
        <w:ind w:left="567" w:hanging="283"/>
      </w:pPr>
      <w:rPr>
        <w:rFonts w:ascii="Symbol" w:hAnsi="Symbol" w:hint="default"/>
      </w:rPr>
    </w:lvl>
    <w:lvl w:ilvl="1" w:tplc="1BDC3262" w:tentative="1">
      <w:start w:val="1"/>
      <w:numFmt w:val="bullet"/>
      <w:lvlText w:val="o"/>
      <w:lvlJc w:val="left"/>
      <w:pPr>
        <w:tabs>
          <w:tab w:val="num" w:pos="1440"/>
        </w:tabs>
        <w:ind w:left="1440" w:hanging="360"/>
      </w:pPr>
      <w:rPr>
        <w:rFonts w:ascii="Courier New" w:hAnsi="Courier New" w:cs="Courier New" w:hint="default"/>
      </w:rPr>
    </w:lvl>
    <w:lvl w:ilvl="2" w:tplc="6AD6F154" w:tentative="1">
      <w:start w:val="1"/>
      <w:numFmt w:val="bullet"/>
      <w:lvlText w:val=""/>
      <w:lvlJc w:val="left"/>
      <w:pPr>
        <w:tabs>
          <w:tab w:val="num" w:pos="2160"/>
        </w:tabs>
        <w:ind w:left="2160" w:hanging="360"/>
      </w:pPr>
      <w:rPr>
        <w:rFonts w:ascii="Wingdings" w:hAnsi="Wingdings" w:hint="default"/>
      </w:rPr>
    </w:lvl>
    <w:lvl w:ilvl="3" w:tplc="AF189C18" w:tentative="1">
      <w:start w:val="1"/>
      <w:numFmt w:val="bullet"/>
      <w:lvlText w:val=""/>
      <w:lvlJc w:val="left"/>
      <w:pPr>
        <w:tabs>
          <w:tab w:val="num" w:pos="2880"/>
        </w:tabs>
        <w:ind w:left="2880" w:hanging="360"/>
      </w:pPr>
      <w:rPr>
        <w:rFonts w:ascii="Symbol" w:hAnsi="Symbol" w:hint="default"/>
      </w:rPr>
    </w:lvl>
    <w:lvl w:ilvl="4" w:tplc="CC4C2EFC" w:tentative="1">
      <w:start w:val="1"/>
      <w:numFmt w:val="bullet"/>
      <w:lvlText w:val="o"/>
      <w:lvlJc w:val="left"/>
      <w:pPr>
        <w:tabs>
          <w:tab w:val="num" w:pos="3600"/>
        </w:tabs>
        <w:ind w:left="3600" w:hanging="360"/>
      </w:pPr>
      <w:rPr>
        <w:rFonts w:ascii="Courier New" w:hAnsi="Courier New" w:cs="Courier New" w:hint="default"/>
      </w:rPr>
    </w:lvl>
    <w:lvl w:ilvl="5" w:tplc="0462997A" w:tentative="1">
      <w:start w:val="1"/>
      <w:numFmt w:val="bullet"/>
      <w:lvlText w:val=""/>
      <w:lvlJc w:val="left"/>
      <w:pPr>
        <w:tabs>
          <w:tab w:val="num" w:pos="4320"/>
        </w:tabs>
        <w:ind w:left="4320" w:hanging="360"/>
      </w:pPr>
      <w:rPr>
        <w:rFonts w:ascii="Wingdings" w:hAnsi="Wingdings" w:hint="default"/>
      </w:rPr>
    </w:lvl>
    <w:lvl w:ilvl="6" w:tplc="7F6E3F30" w:tentative="1">
      <w:start w:val="1"/>
      <w:numFmt w:val="bullet"/>
      <w:lvlText w:val=""/>
      <w:lvlJc w:val="left"/>
      <w:pPr>
        <w:tabs>
          <w:tab w:val="num" w:pos="5040"/>
        </w:tabs>
        <w:ind w:left="5040" w:hanging="360"/>
      </w:pPr>
      <w:rPr>
        <w:rFonts w:ascii="Symbol" w:hAnsi="Symbol" w:hint="default"/>
      </w:rPr>
    </w:lvl>
    <w:lvl w:ilvl="7" w:tplc="7520B17A" w:tentative="1">
      <w:start w:val="1"/>
      <w:numFmt w:val="bullet"/>
      <w:lvlText w:val="o"/>
      <w:lvlJc w:val="left"/>
      <w:pPr>
        <w:tabs>
          <w:tab w:val="num" w:pos="5760"/>
        </w:tabs>
        <w:ind w:left="5760" w:hanging="360"/>
      </w:pPr>
      <w:rPr>
        <w:rFonts w:ascii="Courier New" w:hAnsi="Courier New" w:cs="Courier New" w:hint="default"/>
      </w:rPr>
    </w:lvl>
    <w:lvl w:ilvl="8" w:tplc="24763C6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8269C2"/>
    <w:multiLevelType w:val="multilevel"/>
    <w:tmpl w:val="A9D61020"/>
    <w:numStyleLink w:val="MultiLevelheadinglist"/>
  </w:abstractNum>
  <w:abstractNum w:abstractNumId="5" w15:restartNumberingAfterBreak="0">
    <w:nsid w:val="0F88154C"/>
    <w:multiLevelType w:val="hybridMultilevel"/>
    <w:tmpl w:val="021A0116"/>
    <w:lvl w:ilvl="0" w:tplc="1780E5BA">
      <w:start w:val="1"/>
      <w:numFmt w:val="bullet"/>
      <w:pStyle w:val="ListBullet"/>
      <w:lvlText w:val=""/>
      <w:lvlJc w:val="left"/>
      <w:pPr>
        <w:tabs>
          <w:tab w:val="num" w:pos="357"/>
        </w:tabs>
        <w:ind w:left="357" w:hanging="357"/>
      </w:pPr>
      <w:rPr>
        <w:rFonts w:ascii="Symbol" w:hAnsi="Symbol" w:hint="default"/>
        <w:color w:val="auto"/>
      </w:rPr>
    </w:lvl>
    <w:lvl w:ilvl="1" w:tplc="0C09000F">
      <w:start w:val="1"/>
      <w:numFmt w:val="decimal"/>
      <w:lvlText w:val="%2."/>
      <w:lvlJc w:val="left"/>
      <w:pPr>
        <w:tabs>
          <w:tab w:val="num" w:pos="1060"/>
        </w:tabs>
        <w:ind w:left="1060" w:hanging="360"/>
      </w:pPr>
      <w:rPr>
        <w:rFonts w:hint="default"/>
        <w:color w:val="auto"/>
      </w:rPr>
    </w:lvl>
    <w:lvl w:ilvl="2" w:tplc="E57C43DC">
      <w:start w:val="1"/>
      <w:numFmt w:val="bullet"/>
      <w:pStyle w:val="CTDotpoints"/>
      <w:lvlText w:val=""/>
      <w:lvlJc w:val="left"/>
      <w:pPr>
        <w:tabs>
          <w:tab w:val="num" w:pos="1777"/>
        </w:tabs>
        <w:ind w:left="1777" w:hanging="357"/>
      </w:pPr>
      <w:rPr>
        <w:rFonts w:ascii="Symbol" w:hAnsi="Symbol" w:hint="default"/>
        <w:color w:val="auto"/>
      </w:rPr>
    </w:lvl>
    <w:lvl w:ilvl="3" w:tplc="0C090001">
      <w:start w:val="1"/>
      <w:numFmt w:val="bullet"/>
      <w:lvlText w:val=""/>
      <w:lvlJc w:val="left"/>
      <w:pPr>
        <w:tabs>
          <w:tab w:val="num" w:pos="2500"/>
        </w:tabs>
        <w:ind w:left="2500" w:hanging="360"/>
      </w:pPr>
      <w:rPr>
        <w:rFonts w:ascii="Symbol" w:hAnsi="Symbol" w:hint="default"/>
      </w:rPr>
    </w:lvl>
    <w:lvl w:ilvl="4" w:tplc="0C090003" w:tentative="1">
      <w:start w:val="1"/>
      <w:numFmt w:val="bullet"/>
      <w:lvlText w:val="o"/>
      <w:lvlJc w:val="left"/>
      <w:pPr>
        <w:tabs>
          <w:tab w:val="num" w:pos="3220"/>
        </w:tabs>
        <w:ind w:left="3220" w:hanging="360"/>
      </w:pPr>
      <w:rPr>
        <w:rFonts w:ascii="Courier New" w:hAnsi="Courier New" w:cs="Courier New" w:hint="default"/>
      </w:rPr>
    </w:lvl>
    <w:lvl w:ilvl="5" w:tplc="0C090005" w:tentative="1">
      <w:start w:val="1"/>
      <w:numFmt w:val="bullet"/>
      <w:lvlText w:val=""/>
      <w:lvlJc w:val="left"/>
      <w:pPr>
        <w:tabs>
          <w:tab w:val="num" w:pos="3940"/>
        </w:tabs>
        <w:ind w:left="3940" w:hanging="360"/>
      </w:pPr>
      <w:rPr>
        <w:rFonts w:ascii="Wingdings" w:hAnsi="Wingdings" w:hint="default"/>
      </w:rPr>
    </w:lvl>
    <w:lvl w:ilvl="6" w:tplc="0C090001" w:tentative="1">
      <w:start w:val="1"/>
      <w:numFmt w:val="bullet"/>
      <w:lvlText w:val=""/>
      <w:lvlJc w:val="left"/>
      <w:pPr>
        <w:tabs>
          <w:tab w:val="num" w:pos="4660"/>
        </w:tabs>
        <w:ind w:left="4660" w:hanging="360"/>
      </w:pPr>
      <w:rPr>
        <w:rFonts w:ascii="Symbol" w:hAnsi="Symbol" w:hint="default"/>
      </w:rPr>
    </w:lvl>
    <w:lvl w:ilvl="7" w:tplc="0C090003" w:tentative="1">
      <w:start w:val="1"/>
      <w:numFmt w:val="bullet"/>
      <w:lvlText w:val="o"/>
      <w:lvlJc w:val="left"/>
      <w:pPr>
        <w:tabs>
          <w:tab w:val="num" w:pos="5380"/>
        </w:tabs>
        <w:ind w:left="5380" w:hanging="360"/>
      </w:pPr>
      <w:rPr>
        <w:rFonts w:ascii="Courier New" w:hAnsi="Courier New" w:cs="Courier New" w:hint="default"/>
      </w:rPr>
    </w:lvl>
    <w:lvl w:ilvl="8" w:tplc="0C090005" w:tentative="1">
      <w:start w:val="1"/>
      <w:numFmt w:val="bullet"/>
      <w:lvlText w:val=""/>
      <w:lvlJc w:val="left"/>
      <w:pPr>
        <w:tabs>
          <w:tab w:val="num" w:pos="6100"/>
        </w:tabs>
        <w:ind w:left="6100" w:hanging="360"/>
      </w:pPr>
      <w:rPr>
        <w:rFonts w:ascii="Wingdings" w:hAnsi="Wingdings" w:hint="default"/>
      </w:rPr>
    </w:lvl>
  </w:abstractNum>
  <w:abstractNum w:abstractNumId="6" w15:restartNumberingAfterBreak="0">
    <w:nsid w:val="14552EA9"/>
    <w:multiLevelType w:val="multilevel"/>
    <w:tmpl w:val="2BB06AF4"/>
    <w:numStyleLink w:val="StyleNumbered1"/>
  </w:abstractNum>
  <w:abstractNum w:abstractNumId="7" w15:restartNumberingAfterBreak="0">
    <w:nsid w:val="15BF64A6"/>
    <w:multiLevelType w:val="multilevel"/>
    <w:tmpl w:val="73F4F338"/>
    <w:lvl w:ilvl="0">
      <w:start w:val="1"/>
      <w:numFmt w:val="decimal"/>
      <w:lvlText w:val="%1."/>
      <w:lvlJc w:val="left"/>
      <w:pPr>
        <w:ind w:left="832" w:hanging="570"/>
      </w:pPr>
      <w:rPr>
        <w:rFonts w:hint="default"/>
      </w:rPr>
    </w:lvl>
    <w:lvl w:ilvl="1">
      <w:start w:val="1"/>
      <w:numFmt w:val="decimal"/>
      <w:isLgl/>
      <w:lvlText w:val="%1.%2"/>
      <w:lvlJc w:val="left"/>
      <w:pPr>
        <w:ind w:left="982" w:hanging="720"/>
      </w:pPr>
      <w:rPr>
        <w:rFonts w:hint="default"/>
      </w:rPr>
    </w:lvl>
    <w:lvl w:ilvl="2">
      <w:start w:val="1"/>
      <w:numFmt w:val="decimal"/>
      <w:isLgl/>
      <w:lvlText w:val="%1.%2.%3"/>
      <w:lvlJc w:val="left"/>
      <w:pPr>
        <w:ind w:left="4167" w:hanging="720"/>
      </w:pPr>
      <w:rPr>
        <w:rFonts w:hint="default"/>
      </w:rPr>
    </w:lvl>
    <w:lvl w:ilvl="3">
      <w:start w:val="1"/>
      <w:numFmt w:val="decimal"/>
      <w:isLgl/>
      <w:lvlText w:val="%1.%2.%3.%4"/>
      <w:lvlJc w:val="left"/>
      <w:pPr>
        <w:ind w:left="1342" w:hanging="1080"/>
      </w:pPr>
      <w:rPr>
        <w:rFonts w:hint="default"/>
      </w:rPr>
    </w:lvl>
    <w:lvl w:ilvl="4">
      <w:start w:val="1"/>
      <w:numFmt w:val="decimal"/>
      <w:isLgl/>
      <w:lvlText w:val="%1.%2.%3.%4.%5"/>
      <w:lvlJc w:val="left"/>
      <w:pPr>
        <w:ind w:left="1702" w:hanging="1440"/>
      </w:pPr>
      <w:rPr>
        <w:rFonts w:hint="default"/>
      </w:rPr>
    </w:lvl>
    <w:lvl w:ilvl="5">
      <w:start w:val="1"/>
      <w:numFmt w:val="decimal"/>
      <w:isLgl/>
      <w:lvlText w:val="%1.%2.%3.%4.%5.%6"/>
      <w:lvlJc w:val="left"/>
      <w:pPr>
        <w:ind w:left="1702" w:hanging="1440"/>
      </w:pPr>
      <w:rPr>
        <w:rFonts w:hint="default"/>
      </w:rPr>
    </w:lvl>
    <w:lvl w:ilvl="6">
      <w:start w:val="1"/>
      <w:numFmt w:val="decimal"/>
      <w:isLgl/>
      <w:lvlText w:val="%1.%2.%3.%4.%5.%6.%7"/>
      <w:lvlJc w:val="left"/>
      <w:pPr>
        <w:ind w:left="2062" w:hanging="1800"/>
      </w:pPr>
      <w:rPr>
        <w:rFonts w:hint="default"/>
      </w:rPr>
    </w:lvl>
    <w:lvl w:ilvl="7">
      <w:start w:val="1"/>
      <w:numFmt w:val="decimal"/>
      <w:isLgl/>
      <w:lvlText w:val="%1.%2.%3.%4.%5.%6.%7.%8"/>
      <w:lvlJc w:val="left"/>
      <w:pPr>
        <w:ind w:left="2062" w:hanging="1800"/>
      </w:pPr>
      <w:rPr>
        <w:rFonts w:hint="default"/>
      </w:rPr>
    </w:lvl>
    <w:lvl w:ilvl="8">
      <w:start w:val="1"/>
      <w:numFmt w:val="decimal"/>
      <w:isLgl/>
      <w:lvlText w:val="%1.%2.%3.%4.%5.%6.%7.%8.%9"/>
      <w:lvlJc w:val="left"/>
      <w:pPr>
        <w:ind w:left="2422" w:hanging="2160"/>
      </w:pPr>
      <w:rPr>
        <w:rFonts w:hint="default"/>
      </w:rPr>
    </w:lvl>
  </w:abstractNum>
  <w:abstractNum w:abstractNumId="8" w15:restartNumberingAfterBreak="0">
    <w:nsid w:val="1AE86A64"/>
    <w:multiLevelType w:val="multilevel"/>
    <w:tmpl w:val="93E09C42"/>
    <w:styleLink w:val="Style2"/>
    <w:lvl w:ilvl="0">
      <w:start w:val="1"/>
      <w:numFmt w:val="bullet"/>
      <w:lvlText w:val="†"/>
      <w:lvlJc w:val="left"/>
      <w:pPr>
        <w:tabs>
          <w:tab w:val="num" w:pos="1077"/>
        </w:tabs>
        <w:ind w:left="731" w:hanging="11"/>
      </w:pPr>
      <w:rPr>
        <w:rFonts w:ascii="Arial" w:hAnsi="Arial" w:hint="default"/>
        <w:color w:val="231F20" w:themeColor="text1"/>
      </w:rPr>
    </w:lvl>
    <w:lvl w:ilvl="1">
      <w:start w:val="1"/>
      <w:numFmt w:val="bullet"/>
      <w:lvlText w:val="‡"/>
      <w:lvlJc w:val="left"/>
      <w:pPr>
        <w:tabs>
          <w:tab w:val="num" w:pos="1077"/>
        </w:tabs>
        <w:ind w:left="1077" w:hanging="357"/>
      </w:pPr>
      <w:rPr>
        <w:rFonts w:ascii="Arial" w:hAnsi="Arial" w:hint="default"/>
        <w:color w:val="231F20" w:themeColor="text1"/>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F0A6A75"/>
    <w:multiLevelType w:val="multilevel"/>
    <w:tmpl w:val="DFDC7920"/>
    <w:styleLink w:val="GeneralList1"/>
    <w:lvl w:ilvl="0">
      <w:start w:val="1"/>
      <w:numFmt w:val="bullet"/>
      <w:lvlText w:val=""/>
      <w:lvlJc w:val="left"/>
      <w:pPr>
        <w:ind w:left="360" w:hanging="360"/>
      </w:pPr>
      <w:rPr>
        <w:rFonts w:ascii="Symbol" w:hAnsi="Symbol" w:hint="default"/>
        <w:color w:val="231F20" w:themeColor="text1"/>
      </w:rPr>
    </w:lvl>
    <w:lvl w:ilvl="1">
      <w:start w:val="1"/>
      <w:numFmt w:val="bullet"/>
      <w:lvlText w:val=""/>
      <w:lvlJc w:val="left"/>
      <w:pPr>
        <w:ind w:left="720" w:hanging="363"/>
      </w:pPr>
      <w:rPr>
        <w:rFonts w:ascii="Symbol" w:hAnsi="Symbol" w:hint="default"/>
        <w:color w:val="231F2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ind w:left="1435" w:hanging="358"/>
      </w:pPr>
      <w:rPr>
        <w:rFonts w:ascii="Wingdings" w:hAnsi="Wingdings" w:hint="default"/>
        <w:color w:val="auto"/>
      </w:rPr>
    </w:lvl>
    <w:lvl w:ilvl="4">
      <w:start w:val="1"/>
      <w:numFmt w:val="none"/>
      <w:lvlText w:val="Notes:"/>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66C3831"/>
    <w:multiLevelType w:val="hybridMultilevel"/>
    <w:tmpl w:val="A280BB4A"/>
    <w:lvl w:ilvl="0" w:tplc="989048CA">
      <w:start w:val="1"/>
      <w:numFmt w:val="bullet"/>
      <w:pStyle w:val="BodyBullet1"/>
      <w:lvlText w:val=""/>
      <w:lvlJc w:val="left"/>
      <w:pPr>
        <w:ind w:left="1077" w:hanging="360"/>
      </w:pPr>
      <w:rPr>
        <w:rFonts w:ascii="Wingdings" w:hAnsi="Wingdings" w:hint="default"/>
        <w:color w:val="auto"/>
      </w:rPr>
    </w:lvl>
    <w:lvl w:ilvl="1" w:tplc="B9E87006" w:tentative="1">
      <w:start w:val="1"/>
      <w:numFmt w:val="bullet"/>
      <w:lvlText w:val="o"/>
      <w:lvlJc w:val="left"/>
      <w:pPr>
        <w:ind w:left="1797" w:hanging="360"/>
      </w:pPr>
      <w:rPr>
        <w:rFonts w:ascii="Courier New" w:hAnsi="Courier New" w:cs="Courier New" w:hint="default"/>
      </w:rPr>
    </w:lvl>
    <w:lvl w:ilvl="2" w:tplc="003A253C" w:tentative="1">
      <w:start w:val="1"/>
      <w:numFmt w:val="bullet"/>
      <w:lvlText w:val=""/>
      <w:lvlJc w:val="left"/>
      <w:pPr>
        <w:ind w:left="2517" w:hanging="360"/>
      </w:pPr>
      <w:rPr>
        <w:rFonts w:ascii="Wingdings" w:hAnsi="Wingdings" w:hint="default"/>
      </w:rPr>
    </w:lvl>
    <w:lvl w:ilvl="3" w:tplc="EDAEE254" w:tentative="1">
      <w:start w:val="1"/>
      <w:numFmt w:val="bullet"/>
      <w:lvlText w:val=""/>
      <w:lvlJc w:val="left"/>
      <w:pPr>
        <w:ind w:left="3237" w:hanging="360"/>
      </w:pPr>
      <w:rPr>
        <w:rFonts w:ascii="Symbol" w:hAnsi="Symbol" w:hint="default"/>
      </w:rPr>
    </w:lvl>
    <w:lvl w:ilvl="4" w:tplc="368AB6F0" w:tentative="1">
      <w:start w:val="1"/>
      <w:numFmt w:val="bullet"/>
      <w:lvlText w:val="o"/>
      <w:lvlJc w:val="left"/>
      <w:pPr>
        <w:ind w:left="3957" w:hanging="360"/>
      </w:pPr>
      <w:rPr>
        <w:rFonts w:ascii="Courier New" w:hAnsi="Courier New" w:cs="Courier New" w:hint="default"/>
      </w:rPr>
    </w:lvl>
    <w:lvl w:ilvl="5" w:tplc="847899B2" w:tentative="1">
      <w:start w:val="1"/>
      <w:numFmt w:val="bullet"/>
      <w:lvlText w:val=""/>
      <w:lvlJc w:val="left"/>
      <w:pPr>
        <w:ind w:left="4677" w:hanging="360"/>
      </w:pPr>
      <w:rPr>
        <w:rFonts w:ascii="Wingdings" w:hAnsi="Wingdings" w:hint="default"/>
      </w:rPr>
    </w:lvl>
    <w:lvl w:ilvl="6" w:tplc="B6903E78" w:tentative="1">
      <w:start w:val="1"/>
      <w:numFmt w:val="bullet"/>
      <w:lvlText w:val=""/>
      <w:lvlJc w:val="left"/>
      <w:pPr>
        <w:ind w:left="5397" w:hanging="360"/>
      </w:pPr>
      <w:rPr>
        <w:rFonts w:ascii="Symbol" w:hAnsi="Symbol" w:hint="default"/>
      </w:rPr>
    </w:lvl>
    <w:lvl w:ilvl="7" w:tplc="CAFE2260" w:tentative="1">
      <w:start w:val="1"/>
      <w:numFmt w:val="bullet"/>
      <w:lvlText w:val="o"/>
      <w:lvlJc w:val="left"/>
      <w:pPr>
        <w:ind w:left="6117" w:hanging="360"/>
      </w:pPr>
      <w:rPr>
        <w:rFonts w:ascii="Courier New" w:hAnsi="Courier New" w:cs="Courier New" w:hint="default"/>
      </w:rPr>
    </w:lvl>
    <w:lvl w:ilvl="8" w:tplc="1C042580" w:tentative="1">
      <w:start w:val="1"/>
      <w:numFmt w:val="bullet"/>
      <w:lvlText w:val=""/>
      <w:lvlJc w:val="left"/>
      <w:pPr>
        <w:ind w:left="6837" w:hanging="360"/>
      </w:pPr>
      <w:rPr>
        <w:rFonts w:ascii="Wingdings" w:hAnsi="Wingdings" w:hint="default"/>
      </w:rPr>
    </w:lvl>
  </w:abstractNum>
  <w:abstractNum w:abstractNumId="11" w15:restartNumberingAfterBreak="0">
    <w:nsid w:val="2A2D2C35"/>
    <w:multiLevelType w:val="hybridMultilevel"/>
    <w:tmpl w:val="7D20C5DE"/>
    <w:lvl w:ilvl="0" w:tplc="7F4E79E8">
      <w:start w:val="1"/>
      <w:numFmt w:val="decimal"/>
      <w:pStyle w:val="Recommendations"/>
      <w:lvlText w:val="%1."/>
      <w:lvlJc w:val="left"/>
      <w:pPr>
        <w:tabs>
          <w:tab w:val="num" w:pos="425"/>
        </w:tabs>
        <w:ind w:left="425" w:hanging="425"/>
      </w:pPr>
      <w:rPr>
        <w:rFonts w:hint="default"/>
        <w:b w:val="0"/>
        <w:i w:val="0"/>
      </w:rPr>
    </w:lvl>
    <w:lvl w:ilvl="1" w:tplc="0C090003">
      <w:start w:val="1"/>
      <w:numFmt w:val="bullet"/>
      <w:lvlText w:val=""/>
      <w:lvlJc w:val="left"/>
      <w:pPr>
        <w:tabs>
          <w:tab w:val="num" w:pos="1440"/>
        </w:tabs>
        <w:ind w:left="1440" w:hanging="360"/>
      </w:pPr>
      <w:rPr>
        <w:rFonts w:ascii="Wingdings" w:hAnsi="Wingdings" w:hint="default"/>
        <w:b/>
      </w:rPr>
    </w:lvl>
    <w:lvl w:ilvl="2" w:tplc="0C090005">
      <w:start w:val="1"/>
      <w:numFmt w:val="lowerRoman"/>
      <w:lvlText w:val="%3."/>
      <w:lvlJc w:val="right"/>
      <w:pPr>
        <w:tabs>
          <w:tab w:val="num" w:pos="2160"/>
        </w:tabs>
        <w:ind w:left="2160" w:hanging="180"/>
      </w:pPr>
      <w:rPr>
        <w:rFonts w:hint="default"/>
        <w:b/>
      </w:r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2" w15:restartNumberingAfterBreak="0">
    <w:nsid w:val="2D4F791F"/>
    <w:multiLevelType w:val="hybridMultilevel"/>
    <w:tmpl w:val="96361E06"/>
    <w:lvl w:ilvl="0" w:tplc="49EC5E16">
      <w:start w:val="1"/>
      <w:numFmt w:val="bullet"/>
      <w:pStyle w:val="BodyBullet2"/>
      <w:lvlText w:val=""/>
      <w:lvlJc w:val="left"/>
      <w:pPr>
        <w:ind w:left="1077" w:hanging="360"/>
      </w:pPr>
      <w:rPr>
        <w:rFonts w:ascii="Symbol" w:hAnsi="Symbol" w:hint="default"/>
        <w:color w:val="auto"/>
      </w:rPr>
    </w:lvl>
    <w:lvl w:ilvl="1" w:tplc="0C09000B" w:tentative="1">
      <w:start w:val="1"/>
      <w:numFmt w:val="bullet"/>
      <w:lvlText w:val="o"/>
      <w:lvlJc w:val="left"/>
      <w:pPr>
        <w:ind w:left="1797" w:hanging="360"/>
      </w:pPr>
      <w:rPr>
        <w:rFonts w:ascii="Courier New" w:hAnsi="Courier New" w:cs="Courier New" w:hint="default"/>
      </w:rPr>
    </w:lvl>
    <w:lvl w:ilvl="2" w:tplc="0C09001B" w:tentative="1">
      <w:start w:val="1"/>
      <w:numFmt w:val="bullet"/>
      <w:lvlText w:val=""/>
      <w:lvlJc w:val="left"/>
      <w:pPr>
        <w:ind w:left="2517" w:hanging="360"/>
      </w:pPr>
      <w:rPr>
        <w:rFonts w:ascii="Wingdings" w:hAnsi="Wingdings" w:hint="default"/>
      </w:rPr>
    </w:lvl>
    <w:lvl w:ilvl="3" w:tplc="0C09000F" w:tentative="1">
      <w:start w:val="1"/>
      <w:numFmt w:val="bullet"/>
      <w:lvlText w:val=""/>
      <w:lvlJc w:val="left"/>
      <w:pPr>
        <w:ind w:left="3237" w:hanging="360"/>
      </w:pPr>
      <w:rPr>
        <w:rFonts w:ascii="Symbol" w:hAnsi="Symbol" w:hint="default"/>
      </w:rPr>
    </w:lvl>
    <w:lvl w:ilvl="4" w:tplc="0C090019" w:tentative="1">
      <w:start w:val="1"/>
      <w:numFmt w:val="bullet"/>
      <w:lvlText w:val="o"/>
      <w:lvlJc w:val="left"/>
      <w:pPr>
        <w:ind w:left="3957" w:hanging="360"/>
      </w:pPr>
      <w:rPr>
        <w:rFonts w:ascii="Courier New" w:hAnsi="Courier New" w:cs="Courier New" w:hint="default"/>
      </w:rPr>
    </w:lvl>
    <w:lvl w:ilvl="5" w:tplc="0C09001B" w:tentative="1">
      <w:start w:val="1"/>
      <w:numFmt w:val="bullet"/>
      <w:lvlText w:val=""/>
      <w:lvlJc w:val="left"/>
      <w:pPr>
        <w:ind w:left="4677" w:hanging="360"/>
      </w:pPr>
      <w:rPr>
        <w:rFonts w:ascii="Wingdings" w:hAnsi="Wingdings" w:hint="default"/>
      </w:rPr>
    </w:lvl>
    <w:lvl w:ilvl="6" w:tplc="0C09000F" w:tentative="1">
      <w:start w:val="1"/>
      <w:numFmt w:val="bullet"/>
      <w:lvlText w:val=""/>
      <w:lvlJc w:val="left"/>
      <w:pPr>
        <w:ind w:left="5397" w:hanging="360"/>
      </w:pPr>
      <w:rPr>
        <w:rFonts w:ascii="Symbol" w:hAnsi="Symbol" w:hint="default"/>
      </w:rPr>
    </w:lvl>
    <w:lvl w:ilvl="7" w:tplc="0C090019" w:tentative="1">
      <w:start w:val="1"/>
      <w:numFmt w:val="bullet"/>
      <w:lvlText w:val="o"/>
      <w:lvlJc w:val="left"/>
      <w:pPr>
        <w:ind w:left="6117" w:hanging="360"/>
      </w:pPr>
      <w:rPr>
        <w:rFonts w:ascii="Courier New" w:hAnsi="Courier New" w:cs="Courier New" w:hint="default"/>
      </w:rPr>
    </w:lvl>
    <w:lvl w:ilvl="8" w:tplc="0C09001B" w:tentative="1">
      <w:start w:val="1"/>
      <w:numFmt w:val="bullet"/>
      <w:lvlText w:val=""/>
      <w:lvlJc w:val="left"/>
      <w:pPr>
        <w:ind w:left="6837" w:hanging="360"/>
      </w:pPr>
      <w:rPr>
        <w:rFonts w:ascii="Wingdings" w:hAnsi="Wingdings" w:hint="default"/>
      </w:rPr>
    </w:lvl>
  </w:abstractNum>
  <w:abstractNum w:abstractNumId="13" w15:restartNumberingAfterBreak="0">
    <w:nsid w:val="2DB242FD"/>
    <w:multiLevelType w:val="multilevel"/>
    <w:tmpl w:val="7A521DE2"/>
    <w:name w:val="OEH Bullet Multilevel List"/>
    <w:lvl w:ilvl="0">
      <w:start w:val="1"/>
      <w:numFmt w:val="bullet"/>
      <w:lvlText w:val=""/>
      <w:lvlJc w:val="left"/>
      <w:pPr>
        <w:tabs>
          <w:tab w:val="num" w:pos="340"/>
        </w:tabs>
        <w:ind w:left="340" w:hanging="340"/>
      </w:pPr>
      <w:rPr>
        <w:rFonts w:ascii="Symbol" w:hAnsi="Symbol" w:hint="default"/>
      </w:rPr>
    </w:lvl>
    <w:lvl w:ilvl="1">
      <w:start w:val="1"/>
      <w:numFmt w:val="bullet"/>
      <w:lvlText w:val="o"/>
      <w:lvlJc w:val="left"/>
      <w:pPr>
        <w:tabs>
          <w:tab w:val="num" w:pos="680"/>
        </w:tabs>
        <w:ind w:left="680" w:hanging="340"/>
      </w:pPr>
      <w:rPr>
        <w:rFonts w:ascii="Courier New" w:hAnsi="Courier New" w:hint="default"/>
      </w:rPr>
    </w:lvl>
    <w:lvl w:ilvl="2">
      <w:start w:val="1"/>
      <w:numFmt w:val="bullet"/>
      <w:lvlText w:val=""/>
      <w:lvlJc w:val="left"/>
      <w:pPr>
        <w:tabs>
          <w:tab w:val="num" w:pos="1021"/>
        </w:tabs>
        <w:ind w:left="1021" w:hanging="341"/>
      </w:pPr>
      <w:rPr>
        <w:rFonts w:ascii="Symbol" w:hAnsi="Symbol" w:hint="default"/>
      </w:rPr>
    </w:lvl>
    <w:lvl w:ilvl="3">
      <w:start w:val="1"/>
      <w:numFmt w:val="bullet"/>
      <w:lvlText w:val=""/>
      <w:lvlJc w:val="left"/>
      <w:pPr>
        <w:tabs>
          <w:tab w:val="num" w:pos="1361"/>
        </w:tabs>
        <w:ind w:left="1361" w:hanging="340"/>
      </w:pPr>
      <w:rPr>
        <w:rFonts w:ascii="Symbol" w:hAnsi="Symbol" w:hint="default"/>
      </w:rPr>
    </w:lvl>
    <w:lvl w:ilvl="4">
      <w:start w:val="1"/>
      <w:numFmt w:val="bullet"/>
      <w:lvlText w:val="»"/>
      <w:lvlJc w:val="left"/>
      <w:pPr>
        <w:tabs>
          <w:tab w:val="num" w:pos="1701"/>
        </w:tabs>
        <w:ind w:left="1701" w:hanging="340"/>
      </w:pPr>
      <w:rPr>
        <w:rFonts w:ascii="Gotham Narrow Book" w:hAnsi="Gotham Narrow Book"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Symbol" w:hAnsi="Symbol" w:hint="default"/>
      </w:rPr>
    </w:lvl>
    <w:lvl w:ilvl="7">
      <w:start w:val="1"/>
      <w:numFmt w:val="bullet"/>
      <w:lvlText w:val="o"/>
      <w:lvlJc w:val="left"/>
      <w:pPr>
        <w:tabs>
          <w:tab w:val="num" w:pos="2722"/>
        </w:tabs>
        <w:ind w:left="2722" w:hanging="341"/>
      </w:pPr>
      <w:rPr>
        <w:rFonts w:ascii="Courier New" w:hAnsi="Courier New" w:hint="default"/>
      </w:rPr>
    </w:lvl>
    <w:lvl w:ilvl="8">
      <w:start w:val="1"/>
      <w:numFmt w:val="bullet"/>
      <w:lvlText w:val=""/>
      <w:lvlJc w:val="left"/>
      <w:pPr>
        <w:tabs>
          <w:tab w:val="num" w:pos="2948"/>
        </w:tabs>
        <w:ind w:left="2948" w:hanging="226"/>
      </w:pPr>
      <w:rPr>
        <w:rFonts w:ascii="Wingdings" w:hAnsi="Wingdings" w:hint="default"/>
      </w:rPr>
    </w:lvl>
  </w:abstractNum>
  <w:abstractNum w:abstractNumId="14" w15:restartNumberingAfterBreak="0">
    <w:nsid w:val="2EC43FF4"/>
    <w:multiLevelType w:val="hybridMultilevel"/>
    <w:tmpl w:val="8DF8FD4C"/>
    <w:lvl w:ilvl="0" w:tplc="1780E5BA">
      <w:start w:val="1"/>
      <w:numFmt w:val="bullet"/>
      <w:lvlText w:val=""/>
      <w:lvlJc w:val="left"/>
      <w:pPr>
        <w:tabs>
          <w:tab w:val="num" w:pos="357"/>
        </w:tabs>
        <w:ind w:left="357" w:hanging="357"/>
      </w:pPr>
      <w:rPr>
        <w:rFonts w:ascii="Symbol" w:hAnsi="Symbol" w:hint="default"/>
        <w:color w:val="auto"/>
      </w:rPr>
    </w:lvl>
    <w:lvl w:ilvl="1" w:tplc="0C090001">
      <w:start w:val="1"/>
      <w:numFmt w:val="bullet"/>
      <w:lvlText w:val=""/>
      <w:lvlJc w:val="left"/>
      <w:pPr>
        <w:tabs>
          <w:tab w:val="num" w:pos="1060"/>
        </w:tabs>
        <w:ind w:left="1060" w:hanging="360"/>
      </w:pPr>
      <w:rPr>
        <w:rFonts w:ascii="Symbol" w:hAnsi="Symbol" w:hint="default"/>
        <w:color w:val="auto"/>
      </w:rPr>
    </w:lvl>
    <w:lvl w:ilvl="2" w:tplc="E57C43DC">
      <w:start w:val="1"/>
      <w:numFmt w:val="bullet"/>
      <w:lvlText w:val=""/>
      <w:lvlJc w:val="left"/>
      <w:pPr>
        <w:tabs>
          <w:tab w:val="num" w:pos="1777"/>
        </w:tabs>
        <w:ind w:left="1777" w:hanging="357"/>
      </w:pPr>
      <w:rPr>
        <w:rFonts w:ascii="Symbol" w:hAnsi="Symbol" w:hint="default"/>
        <w:color w:val="auto"/>
      </w:rPr>
    </w:lvl>
    <w:lvl w:ilvl="3" w:tplc="0C090001">
      <w:start w:val="1"/>
      <w:numFmt w:val="bullet"/>
      <w:lvlText w:val=""/>
      <w:lvlJc w:val="left"/>
      <w:pPr>
        <w:tabs>
          <w:tab w:val="num" w:pos="2500"/>
        </w:tabs>
        <w:ind w:left="2500" w:hanging="360"/>
      </w:pPr>
      <w:rPr>
        <w:rFonts w:ascii="Symbol" w:hAnsi="Symbol" w:hint="default"/>
      </w:rPr>
    </w:lvl>
    <w:lvl w:ilvl="4" w:tplc="0C090003" w:tentative="1">
      <w:start w:val="1"/>
      <w:numFmt w:val="bullet"/>
      <w:lvlText w:val="o"/>
      <w:lvlJc w:val="left"/>
      <w:pPr>
        <w:tabs>
          <w:tab w:val="num" w:pos="3220"/>
        </w:tabs>
        <w:ind w:left="3220" w:hanging="360"/>
      </w:pPr>
      <w:rPr>
        <w:rFonts w:ascii="Courier New" w:hAnsi="Courier New" w:cs="Courier New" w:hint="default"/>
      </w:rPr>
    </w:lvl>
    <w:lvl w:ilvl="5" w:tplc="0C090005" w:tentative="1">
      <w:start w:val="1"/>
      <w:numFmt w:val="bullet"/>
      <w:lvlText w:val=""/>
      <w:lvlJc w:val="left"/>
      <w:pPr>
        <w:tabs>
          <w:tab w:val="num" w:pos="3940"/>
        </w:tabs>
        <w:ind w:left="3940" w:hanging="360"/>
      </w:pPr>
      <w:rPr>
        <w:rFonts w:ascii="Wingdings" w:hAnsi="Wingdings" w:hint="default"/>
      </w:rPr>
    </w:lvl>
    <w:lvl w:ilvl="6" w:tplc="0C090001" w:tentative="1">
      <w:start w:val="1"/>
      <w:numFmt w:val="bullet"/>
      <w:lvlText w:val=""/>
      <w:lvlJc w:val="left"/>
      <w:pPr>
        <w:tabs>
          <w:tab w:val="num" w:pos="4660"/>
        </w:tabs>
        <w:ind w:left="4660" w:hanging="360"/>
      </w:pPr>
      <w:rPr>
        <w:rFonts w:ascii="Symbol" w:hAnsi="Symbol" w:hint="default"/>
      </w:rPr>
    </w:lvl>
    <w:lvl w:ilvl="7" w:tplc="0C090003" w:tentative="1">
      <w:start w:val="1"/>
      <w:numFmt w:val="bullet"/>
      <w:lvlText w:val="o"/>
      <w:lvlJc w:val="left"/>
      <w:pPr>
        <w:tabs>
          <w:tab w:val="num" w:pos="5380"/>
        </w:tabs>
        <w:ind w:left="5380" w:hanging="360"/>
      </w:pPr>
      <w:rPr>
        <w:rFonts w:ascii="Courier New" w:hAnsi="Courier New" w:cs="Courier New" w:hint="default"/>
      </w:rPr>
    </w:lvl>
    <w:lvl w:ilvl="8" w:tplc="0C090005" w:tentative="1">
      <w:start w:val="1"/>
      <w:numFmt w:val="bullet"/>
      <w:lvlText w:val=""/>
      <w:lvlJc w:val="left"/>
      <w:pPr>
        <w:tabs>
          <w:tab w:val="num" w:pos="6100"/>
        </w:tabs>
        <w:ind w:left="6100" w:hanging="360"/>
      </w:pPr>
      <w:rPr>
        <w:rFonts w:ascii="Wingdings" w:hAnsi="Wingdings" w:hint="default"/>
      </w:rPr>
    </w:lvl>
  </w:abstractNum>
  <w:abstractNum w:abstractNumId="15" w15:restartNumberingAfterBreak="0">
    <w:nsid w:val="31A00E33"/>
    <w:multiLevelType w:val="multilevel"/>
    <w:tmpl w:val="2BB06AF4"/>
    <w:numStyleLink w:val="StyleNumbered1"/>
  </w:abstractNum>
  <w:abstractNum w:abstractNumId="16" w15:restartNumberingAfterBreak="0">
    <w:nsid w:val="33847DF4"/>
    <w:multiLevelType w:val="multilevel"/>
    <w:tmpl w:val="2BB06AF4"/>
    <w:numStyleLink w:val="StyleNumbered1"/>
  </w:abstractNum>
  <w:abstractNum w:abstractNumId="17" w15:restartNumberingAfterBreak="0">
    <w:nsid w:val="35292A75"/>
    <w:multiLevelType w:val="multilevel"/>
    <w:tmpl w:val="22A0AE8C"/>
    <w:lvl w:ilvl="0">
      <w:start w:val="1"/>
      <w:numFmt w:val="none"/>
      <w:pStyle w:val="TOC6"/>
      <w:suff w:val="nothing"/>
      <w:lvlText w:val="%1"/>
      <w:lvlJc w:val="left"/>
      <w:pPr>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lowerLetter"/>
      <w:lvlText w:val="%3."/>
      <w:lvlJc w:val="left"/>
      <w:pPr>
        <w:tabs>
          <w:tab w:val="num" w:pos="720"/>
        </w:tabs>
        <w:ind w:left="720" w:hanging="363"/>
      </w:pPr>
      <w:rPr>
        <w:rFonts w:hint="default"/>
      </w:rPr>
    </w:lvl>
    <w:lvl w:ilvl="3">
      <w:start w:val="1"/>
      <w:numFmt w:val="lowerRoman"/>
      <w:lvlText w:val="%4"/>
      <w:lvlJc w:val="left"/>
      <w:pPr>
        <w:tabs>
          <w:tab w:val="num" w:pos="1077"/>
        </w:tabs>
        <w:ind w:left="1077" w:hanging="357"/>
      </w:pPr>
      <w:rPr>
        <w:rFonts w:hint="default"/>
      </w:rPr>
    </w:lvl>
    <w:lvl w:ilvl="4">
      <w:start w:val="1"/>
      <w:numFmt w:val="decimal"/>
      <w:lvlText w:val="%5."/>
      <w:lvlJc w:val="left"/>
      <w:pPr>
        <w:ind w:left="284" w:hanging="284"/>
      </w:pPr>
      <w:rPr>
        <w:rFonts w:hint="default"/>
      </w:rPr>
    </w:lvl>
    <w:lvl w:ilvl="5">
      <w:start w:val="1"/>
      <w:numFmt w:val="lowerLetter"/>
      <w:lvlText w:val="%6."/>
      <w:lvlJc w:val="left"/>
      <w:pPr>
        <w:tabs>
          <w:tab w:val="num" w:pos="567"/>
        </w:tabs>
        <w:ind w:left="567" w:hanging="283"/>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3606500C"/>
    <w:multiLevelType w:val="multilevel"/>
    <w:tmpl w:val="2BB06AF4"/>
    <w:numStyleLink w:val="StyleNumbered1"/>
  </w:abstractNum>
  <w:abstractNum w:abstractNumId="19" w15:restartNumberingAfterBreak="0">
    <w:nsid w:val="3A7679C6"/>
    <w:multiLevelType w:val="multilevel"/>
    <w:tmpl w:val="2BB06AF4"/>
    <w:styleLink w:val="StyleNumbered1"/>
    <w:lvl w:ilvl="0">
      <w:start w:val="1"/>
      <w:numFmt w:val="decimal"/>
      <w:lvlText w:val="%1."/>
      <w:lvlJc w:val="left"/>
      <w:pPr>
        <w:tabs>
          <w:tab w:val="num" w:pos="397"/>
        </w:tabs>
        <w:ind w:left="397" w:hanging="397"/>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4A4165B"/>
    <w:multiLevelType w:val="hybridMultilevel"/>
    <w:tmpl w:val="A37C3C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4A0445F4"/>
    <w:multiLevelType w:val="multilevel"/>
    <w:tmpl w:val="26C23D9E"/>
    <w:styleLink w:val="Lists"/>
    <w:lvl w:ilvl="0">
      <w:start w:val="1"/>
      <w:numFmt w:val="none"/>
      <w:suff w:val="nothing"/>
      <w:lvlText w:val="%1"/>
      <w:lvlJc w:val="left"/>
      <w:pPr>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lowerLetter"/>
      <w:lvlText w:val="%3."/>
      <w:lvlJc w:val="left"/>
      <w:pPr>
        <w:tabs>
          <w:tab w:val="num" w:pos="720"/>
        </w:tabs>
        <w:ind w:left="720" w:hanging="363"/>
      </w:pPr>
      <w:rPr>
        <w:rFonts w:hint="default"/>
      </w:rPr>
    </w:lvl>
    <w:lvl w:ilvl="3">
      <w:start w:val="1"/>
      <w:numFmt w:val="lowerRoman"/>
      <w:lvlText w:val="%4"/>
      <w:lvlJc w:val="left"/>
      <w:pPr>
        <w:tabs>
          <w:tab w:val="num" w:pos="1077"/>
        </w:tabs>
        <w:ind w:left="1077" w:hanging="357"/>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2" w15:restartNumberingAfterBreak="0">
    <w:nsid w:val="4AB828F1"/>
    <w:multiLevelType w:val="multilevel"/>
    <w:tmpl w:val="9BD6FD1C"/>
    <w:lvl w:ilvl="0">
      <w:start w:val="1"/>
      <w:numFmt w:val="bullet"/>
      <w:lvlText w:val=""/>
      <w:lvlJc w:val="left"/>
      <w:pPr>
        <w:tabs>
          <w:tab w:val="num" w:pos="425"/>
        </w:tabs>
        <w:ind w:left="425" w:hanging="425"/>
      </w:pPr>
      <w:rPr>
        <w:rFonts w:ascii="Symbol" w:hAnsi="Symbol" w:hint="default"/>
        <w:color w:val="231F20" w:themeColor="text1"/>
      </w:rPr>
    </w:lvl>
    <w:lvl w:ilvl="1">
      <w:start w:val="1"/>
      <w:numFmt w:val="bullet"/>
      <w:lvlText w:val="o"/>
      <w:lvlJc w:val="left"/>
      <w:pPr>
        <w:tabs>
          <w:tab w:val="num" w:pos="851"/>
        </w:tabs>
        <w:ind w:left="851" w:hanging="426"/>
      </w:pPr>
      <w:rPr>
        <w:rFonts w:ascii="Courier New" w:hAnsi="Courier New" w:hint="default"/>
        <w:color w:val="231F20" w:themeColor="text1"/>
      </w:rPr>
    </w:lvl>
    <w:lvl w:ilvl="2">
      <w:start w:val="1"/>
      <w:numFmt w:val="bullet"/>
      <w:lvlText w:val=""/>
      <w:lvlJc w:val="left"/>
      <w:pPr>
        <w:tabs>
          <w:tab w:val="num" w:pos="1276"/>
        </w:tabs>
        <w:ind w:left="1276" w:hanging="425"/>
      </w:pPr>
      <w:rPr>
        <w:rFonts w:ascii="Symbol" w:hAnsi="Symbol" w:hint="default"/>
        <w:color w:val="231F20" w:themeColor="text1"/>
      </w:rPr>
    </w:lvl>
    <w:lvl w:ilvl="3">
      <w:start w:val="1"/>
      <w:numFmt w:val="bullet"/>
      <w:lvlText w:val=""/>
      <w:lvlJc w:val="left"/>
      <w:pPr>
        <w:tabs>
          <w:tab w:val="num" w:pos="284"/>
        </w:tabs>
        <w:ind w:left="284" w:hanging="284"/>
      </w:pPr>
      <w:rPr>
        <w:rFonts w:ascii="Symbol" w:hAnsi="Symbol" w:hint="default"/>
        <w:color w:val="231F20" w:themeColor="text1"/>
      </w:rPr>
    </w:lvl>
    <w:lvl w:ilvl="4">
      <w:start w:val="1"/>
      <w:numFmt w:val="bullet"/>
      <w:lvlText w:val="o"/>
      <w:lvlJc w:val="left"/>
      <w:pPr>
        <w:tabs>
          <w:tab w:val="num" w:pos="567"/>
        </w:tabs>
        <w:ind w:left="567" w:hanging="283"/>
      </w:pPr>
      <w:rPr>
        <w:rFonts w:ascii="Courier New" w:hAnsi="Courier New" w:hint="default"/>
        <w:b w:val="0"/>
        <w:i w:val="0"/>
        <w:color w:val="231F20" w:themeColor="text1"/>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4ABF3BCC"/>
    <w:multiLevelType w:val="multilevel"/>
    <w:tmpl w:val="2BB06AF4"/>
    <w:numStyleLink w:val="StyleNumbered1"/>
  </w:abstractNum>
  <w:abstractNum w:abstractNumId="24" w15:restartNumberingAfterBreak="0">
    <w:nsid w:val="504A773E"/>
    <w:multiLevelType w:val="hybridMultilevel"/>
    <w:tmpl w:val="95AA0E80"/>
    <w:lvl w:ilvl="0" w:tplc="E7E61908">
      <w:start w:val="1"/>
      <w:numFmt w:val="decimal"/>
      <w:lvlText w:val="%1."/>
      <w:lvlJc w:val="left"/>
      <w:pPr>
        <w:tabs>
          <w:tab w:val="num" w:pos="397"/>
        </w:tabs>
        <w:ind w:left="397" w:hanging="397"/>
      </w:pPr>
      <w:rPr>
        <w:rFonts w:hint="default"/>
      </w:rPr>
    </w:lvl>
    <w:lvl w:ilvl="1" w:tplc="19E01210">
      <w:start w:val="1"/>
      <w:numFmt w:val="bullet"/>
      <w:lvlText w:val=""/>
      <w:lvlJc w:val="left"/>
      <w:pPr>
        <w:tabs>
          <w:tab w:val="num" w:pos="794"/>
        </w:tabs>
        <w:ind w:left="794" w:hanging="397"/>
      </w:pPr>
      <w:rPr>
        <w:rFonts w:ascii="Symbol" w:hAnsi="Symbol"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5A84F72"/>
    <w:multiLevelType w:val="hybridMultilevel"/>
    <w:tmpl w:val="316EB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9264AAE"/>
    <w:multiLevelType w:val="multilevel"/>
    <w:tmpl w:val="5C3E1CB4"/>
    <w:styleLink w:val="StyleNumbered10pt"/>
    <w:lvl w:ilvl="0">
      <w:start w:val="1"/>
      <w:numFmt w:val="decimal"/>
      <w:lvlText w:val="%1."/>
      <w:lvlJc w:val="left"/>
      <w:pPr>
        <w:tabs>
          <w:tab w:val="num" w:pos="397"/>
        </w:tabs>
        <w:ind w:left="397" w:hanging="397"/>
      </w:pPr>
      <w:rPr>
        <w:rFonts w:ascii="Arial" w:hAnsi="Arial"/>
        <w:sz w:val="22"/>
      </w:rPr>
    </w:lvl>
    <w:lvl w:ilvl="1">
      <w:start w:val="1"/>
      <w:numFmt w:val="bullet"/>
      <w:lvlText w:val=""/>
      <w:lvlJc w:val="left"/>
      <w:pPr>
        <w:tabs>
          <w:tab w:val="num" w:pos="794"/>
        </w:tabs>
        <w:ind w:left="794" w:hanging="397"/>
      </w:pPr>
      <w:rPr>
        <w:rFonts w:ascii="Symbol" w:hAnsi="Symbol" w:hint="default"/>
        <w:color w:val="auto"/>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A426B28"/>
    <w:multiLevelType w:val="multilevel"/>
    <w:tmpl w:val="A9D61020"/>
    <w:styleLink w:val="MultiLevelheadinglist"/>
    <w:lvl w:ilvl="0">
      <w:start w:val="1"/>
      <w:numFmt w:val="decimal"/>
      <w:pStyle w:val="Heading1Numbered"/>
      <w:lvlText w:val="%1."/>
      <w:lvlJc w:val="left"/>
      <w:pPr>
        <w:ind w:left="720" w:hanging="720"/>
      </w:pPr>
      <w:rPr>
        <w:rFonts w:hint="default"/>
      </w:rPr>
    </w:lvl>
    <w:lvl w:ilvl="1">
      <w:start w:val="1"/>
      <w:numFmt w:val="decimal"/>
      <w:pStyle w:val="Heading2Numbered"/>
      <w:lvlText w:val="%1.%2"/>
      <w:lvlJc w:val="left"/>
      <w:pPr>
        <w:ind w:left="720" w:hanging="720"/>
      </w:pPr>
      <w:rPr>
        <w:rFonts w:hint="default"/>
      </w:rPr>
    </w:lvl>
    <w:lvl w:ilvl="2">
      <w:start w:val="1"/>
      <w:numFmt w:val="decimal"/>
      <w:pStyle w:val="Heading3Numbered"/>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8" w15:restartNumberingAfterBreak="0">
    <w:nsid w:val="5B4C3E1E"/>
    <w:multiLevelType w:val="multilevel"/>
    <w:tmpl w:val="2BB06AF4"/>
    <w:numStyleLink w:val="StyleNumbered1"/>
  </w:abstractNum>
  <w:abstractNum w:abstractNumId="29" w15:restartNumberingAfterBreak="0">
    <w:nsid w:val="5BC67CE8"/>
    <w:multiLevelType w:val="hybridMultilevel"/>
    <w:tmpl w:val="5AC26014"/>
    <w:lvl w:ilvl="0" w:tplc="6DC0BADE">
      <w:start w:val="1"/>
      <w:numFmt w:val="lowerLetter"/>
      <w:pStyle w:val="Tablenumberlist"/>
      <w:lvlText w:val="%1."/>
      <w:lvlJc w:val="left"/>
      <w:pPr>
        <w:tabs>
          <w:tab w:val="num" w:pos="284"/>
        </w:tabs>
        <w:ind w:left="284" w:hanging="284"/>
      </w:pPr>
      <w:rPr>
        <w:rFonts w:hint="default"/>
      </w:rPr>
    </w:lvl>
    <w:lvl w:ilvl="1" w:tplc="694045E0" w:tentative="1">
      <w:start w:val="1"/>
      <w:numFmt w:val="lowerLetter"/>
      <w:lvlText w:val="%2."/>
      <w:lvlJc w:val="left"/>
      <w:pPr>
        <w:tabs>
          <w:tab w:val="num" w:pos="1440"/>
        </w:tabs>
        <w:ind w:left="1440" w:hanging="360"/>
      </w:pPr>
    </w:lvl>
    <w:lvl w:ilvl="2" w:tplc="17B85000" w:tentative="1">
      <w:start w:val="1"/>
      <w:numFmt w:val="lowerRoman"/>
      <w:lvlText w:val="%3."/>
      <w:lvlJc w:val="right"/>
      <w:pPr>
        <w:tabs>
          <w:tab w:val="num" w:pos="2160"/>
        </w:tabs>
        <w:ind w:left="2160" w:hanging="180"/>
      </w:pPr>
    </w:lvl>
    <w:lvl w:ilvl="3" w:tplc="5E3EEE22" w:tentative="1">
      <w:start w:val="1"/>
      <w:numFmt w:val="decimal"/>
      <w:lvlText w:val="%4."/>
      <w:lvlJc w:val="left"/>
      <w:pPr>
        <w:tabs>
          <w:tab w:val="num" w:pos="2880"/>
        </w:tabs>
        <w:ind w:left="2880" w:hanging="360"/>
      </w:pPr>
    </w:lvl>
    <w:lvl w:ilvl="4" w:tplc="154A01E0" w:tentative="1">
      <w:start w:val="1"/>
      <w:numFmt w:val="lowerLetter"/>
      <w:lvlText w:val="%5."/>
      <w:lvlJc w:val="left"/>
      <w:pPr>
        <w:tabs>
          <w:tab w:val="num" w:pos="3600"/>
        </w:tabs>
        <w:ind w:left="3600" w:hanging="360"/>
      </w:pPr>
    </w:lvl>
    <w:lvl w:ilvl="5" w:tplc="44803F9A" w:tentative="1">
      <w:start w:val="1"/>
      <w:numFmt w:val="lowerRoman"/>
      <w:lvlText w:val="%6."/>
      <w:lvlJc w:val="right"/>
      <w:pPr>
        <w:tabs>
          <w:tab w:val="num" w:pos="4320"/>
        </w:tabs>
        <w:ind w:left="4320" w:hanging="180"/>
      </w:pPr>
    </w:lvl>
    <w:lvl w:ilvl="6" w:tplc="53D8D7AC" w:tentative="1">
      <w:start w:val="1"/>
      <w:numFmt w:val="decimal"/>
      <w:lvlText w:val="%7."/>
      <w:lvlJc w:val="left"/>
      <w:pPr>
        <w:tabs>
          <w:tab w:val="num" w:pos="5040"/>
        </w:tabs>
        <w:ind w:left="5040" w:hanging="360"/>
      </w:pPr>
    </w:lvl>
    <w:lvl w:ilvl="7" w:tplc="811816F8" w:tentative="1">
      <w:start w:val="1"/>
      <w:numFmt w:val="lowerLetter"/>
      <w:lvlText w:val="%8."/>
      <w:lvlJc w:val="left"/>
      <w:pPr>
        <w:tabs>
          <w:tab w:val="num" w:pos="5760"/>
        </w:tabs>
        <w:ind w:left="5760" w:hanging="360"/>
      </w:pPr>
    </w:lvl>
    <w:lvl w:ilvl="8" w:tplc="8A2E7DD6" w:tentative="1">
      <w:start w:val="1"/>
      <w:numFmt w:val="lowerRoman"/>
      <w:lvlText w:val="%9."/>
      <w:lvlJc w:val="right"/>
      <w:pPr>
        <w:tabs>
          <w:tab w:val="num" w:pos="6480"/>
        </w:tabs>
        <w:ind w:left="6480" w:hanging="180"/>
      </w:pPr>
    </w:lvl>
  </w:abstractNum>
  <w:abstractNum w:abstractNumId="30" w15:restartNumberingAfterBreak="0">
    <w:nsid w:val="5BDE25AC"/>
    <w:multiLevelType w:val="multilevel"/>
    <w:tmpl w:val="2BB06AF4"/>
    <w:numStyleLink w:val="StyleNumbered1"/>
  </w:abstractNum>
  <w:abstractNum w:abstractNumId="31" w15:restartNumberingAfterBreak="0">
    <w:nsid w:val="5D72295C"/>
    <w:multiLevelType w:val="hybridMultilevel"/>
    <w:tmpl w:val="CE10BD0A"/>
    <w:lvl w:ilvl="0" w:tplc="1780E5BA">
      <w:start w:val="1"/>
      <w:numFmt w:val="bullet"/>
      <w:lvlText w:val=""/>
      <w:lvlJc w:val="left"/>
      <w:pPr>
        <w:tabs>
          <w:tab w:val="num" w:pos="357"/>
        </w:tabs>
        <w:ind w:left="357" w:hanging="357"/>
      </w:pPr>
      <w:rPr>
        <w:rFonts w:ascii="Symbol" w:hAnsi="Symbol" w:hint="default"/>
        <w:color w:val="auto"/>
      </w:rPr>
    </w:lvl>
    <w:lvl w:ilvl="1" w:tplc="0C090001">
      <w:start w:val="1"/>
      <w:numFmt w:val="bullet"/>
      <w:lvlText w:val=""/>
      <w:lvlJc w:val="left"/>
      <w:pPr>
        <w:tabs>
          <w:tab w:val="num" w:pos="1060"/>
        </w:tabs>
        <w:ind w:left="1060" w:hanging="360"/>
      </w:pPr>
      <w:rPr>
        <w:rFonts w:ascii="Symbol" w:hAnsi="Symbol" w:hint="default"/>
        <w:color w:val="auto"/>
      </w:rPr>
    </w:lvl>
    <w:lvl w:ilvl="2" w:tplc="E57C43DC">
      <w:start w:val="1"/>
      <w:numFmt w:val="bullet"/>
      <w:lvlText w:val=""/>
      <w:lvlJc w:val="left"/>
      <w:pPr>
        <w:tabs>
          <w:tab w:val="num" w:pos="1777"/>
        </w:tabs>
        <w:ind w:left="1777" w:hanging="357"/>
      </w:pPr>
      <w:rPr>
        <w:rFonts w:ascii="Symbol" w:hAnsi="Symbol" w:hint="default"/>
        <w:color w:val="auto"/>
      </w:rPr>
    </w:lvl>
    <w:lvl w:ilvl="3" w:tplc="0C090001">
      <w:start w:val="1"/>
      <w:numFmt w:val="bullet"/>
      <w:lvlText w:val=""/>
      <w:lvlJc w:val="left"/>
      <w:pPr>
        <w:tabs>
          <w:tab w:val="num" w:pos="2500"/>
        </w:tabs>
        <w:ind w:left="2500" w:hanging="360"/>
      </w:pPr>
      <w:rPr>
        <w:rFonts w:ascii="Symbol" w:hAnsi="Symbol" w:hint="default"/>
      </w:rPr>
    </w:lvl>
    <w:lvl w:ilvl="4" w:tplc="0C090003" w:tentative="1">
      <w:start w:val="1"/>
      <w:numFmt w:val="bullet"/>
      <w:lvlText w:val="o"/>
      <w:lvlJc w:val="left"/>
      <w:pPr>
        <w:tabs>
          <w:tab w:val="num" w:pos="3220"/>
        </w:tabs>
        <w:ind w:left="3220" w:hanging="360"/>
      </w:pPr>
      <w:rPr>
        <w:rFonts w:ascii="Courier New" w:hAnsi="Courier New" w:cs="Courier New" w:hint="default"/>
      </w:rPr>
    </w:lvl>
    <w:lvl w:ilvl="5" w:tplc="0C090005" w:tentative="1">
      <w:start w:val="1"/>
      <w:numFmt w:val="bullet"/>
      <w:lvlText w:val=""/>
      <w:lvlJc w:val="left"/>
      <w:pPr>
        <w:tabs>
          <w:tab w:val="num" w:pos="3940"/>
        </w:tabs>
        <w:ind w:left="3940" w:hanging="360"/>
      </w:pPr>
      <w:rPr>
        <w:rFonts w:ascii="Wingdings" w:hAnsi="Wingdings" w:hint="default"/>
      </w:rPr>
    </w:lvl>
    <w:lvl w:ilvl="6" w:tplc="0C090001" w:tentative="1">
      <w:start w:val="1"/>
      <w:numFmt w:val="bullet"/>
      <w:lvlText w:val=""/>
      <w:lvlJc w:val="left"/>
      <w:pPr>
        <w:tabs>
          <w:tab w:val="num" w:pos="4660"/>
        </w:tabs>
        <w:ind w:left="4660" w:hanging="360"/>
      </w:pPr>
      <w:rPr>
        <w:rFonts w:ascii="Symbol" w:hAnsi="Symbol" w:hint="default"/>
      </w:rPr>
    </w:lvl>
    <w:lvl w:ilvl="7" w:tplc="0C090003" w:tentative="1">
      <w:start w:val="1"/>
      <w:numFmt w:val="bullet"/>
      <w:lvlText w:val="o"/>
      <w:lvlJc w:val="left"/>
      <w:pPr>
        <w:tabs>
          <w:tab w:val="num" w:pos="5380"/>
        </w:tabs>
        <w:ind w:left="5380" w:hanging="360"/>
      </w:pPr>
      <w:rPr>
        <w:rFonts w:ascii="Courier New" w:hAnsi="Courier New" w:cs="Courier New" w:hint="default"/>
      </w:rPr>
    </w:lvl>
    <w:lvl w:ilvl="8" w:tplc="0C090005" w:tentative="1">
      <w:start w:val="1"/>
      <w:numFmt w:val="bullet"/>
      <w:lvlText w:val=""/>
      <w:lvlJc w:val="left"/>
      <w:pPr>
        <w:tabs>
          <w:tab w:val="num" w:pos="6100"/>
        </w:tabs>
        <w:ind w:left="6100" w:hanging="360"/>
      </w:pPr>
      <w:rPr>
        <w:rFonts w:ascii="Wingdings" w:hAnsi="Wingdings" w:hint="default"/>
      </w:rPr>
    </w:lvl>
  </w:abstractNum>
  <w:abstractNum w:abstractNumId="32" w15:restartNumberingAfterBreak="0">
    <w:nsid w:val="5DB53BB7"/>
    <w:multiLevelType w:val="multilevel"/>
    <w:tmpl w:val="C526B4CA"/>
    <w:name w:val="OEH Number Multilevel List"/>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680"/>
        </w:tabs>
        <w:ind w:left="680" w:hanging="340"/>
      </w:pPr>
      <w:rPr>
        <w:rFonts w:hint="default"/>
      </w:rPr>
    </w:lvl>
    <w:lvl w:ilvl="2">
      <w:start w:val="1"/>
      <w:numFmt w:val="lowerRoman"/>
      <w:lvlText w:val="%3."/>
      <w:lvlJc w:val="left"/>
      <w:pPr>
        <w:tabs>
          <w:tab w:val="num" w:pos="1021"/>
        </w:tabs>
        <w:ind w:left="1021" w:hanging="341"/>
      </w:pPr>
      <w:rPr>
        <w:rFonts w:hint="default"/>
      </w:rPr>
    </w:lvl>
    <w:lvl w:ilvl="3">
      <w:start w:val="1"/>
      <w:numFmt w:val="bullet"/>
      <w:lvlText w:val=""/>
      <w:lvlJc w:val="left"/>
      <w:pPr>
        <w:tabs>
          <w:tab w:val="num" w:pos="1361"/>
        </w:tabs>
        <w:ind w:left="1361" w:hanging="340"/>
      </w:pPr>
      <w:rPr>
        <w:rFonts w:ascii="Symbol" w:hAnsi="Symbol" w:hint="default"/>
      </w:rPr>
    </w:lvl>
    <w:lvl w:ilvl="4">
      <w:start w:val="1"/>
      <w:numFmt w:val="bullet"/>
      <w:lvlText w:val="o"/>
      <w:lvlJc w:val="left"/>
      <w:pPr>
        <w:tabs>
          <w:tab w:val="num" w:pos="1701"/>
        </w:tabs>
        <w:ind w:left="1701" w:hanging="340"/>
      </w:pPr>
      <w:rPr>
        <w:rFonts w:ascii="Courier New" w:hAnsi="Courier New" w:hint="default"/>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Symbol" w:hAnsi="Symbol" w:hint="default"/>
      </w:rPr>
    </w:lvl>
    <w:lvl w:ilvl="7">
      <w:start w:val="1"/>
      <w:numFmt w:val="bullet"/>
      <w:lvlText w:val="»"/>
      <w:lvlJc w:val="left"/>
      <w:pPr>
        <w:tabs>
          <w:tab w:val="num" w:pos="2722"/>
        </w:tabs>
        <w:ind w:left="2722" w:hanging="341"/>
      </w:pPr>
      <w:rPr>
        <w:rFonts w:ascii="Gotham Narrow Book" w:hAnsi="Gotham Narrow Book" w:hint="default"/>
      </w:rPr>
    </w:lvl>
    <w:lvl w:ilvl="8">
      <w:start w:val="1"/>
      <w:numFmt w:val="bullet"/>
      <w:lvlText w:val=""/>
      <w:lvlJc w:val="left"/>
      <w:pPr>
        <w:tabs>
          <w:tab w:val="num" w:pos="3062"/>
        </w:tabs>
        <w:ind w:left="3062" w:hanging="340"/>
      </w:pPr>
      <w:rPr>
        <w:rFonts w:ascii="Wingdings" w:hAnsi="Wingdings" w:hint="default"/>
      </w:rPr>
    </w:lvl>
  </w:abstractNum>
  <w:abstractNum w:abstractNumId="33" w15:restartNumberingAfterBreak="0">
    <w:nsid w:val="5E7A47AB"/>
    <w:multiLevelType w:val="multilevel"/>
    <w:tmpl w:val="2BB06AF4"/>
    <w:numStyleLink w:val="StyleNumbered1"/>
  </w:abstractNum>
  <w:abstractNum w:abstractNumId="34" w15:restartNumberingAfterBreak="0">
    <w:nsid w:val="64724718"/>
    <w:multiLevelType w:val="multilevel"/>
    <w:tmpl w:val="2BB06AF4"/>
    <w:numStyleLink w:val="StyleNumbered1"/>
  </w:abstractNum>
  <w:abstractNum w:abstractNumId="35" w15:restartNumberingAfterBreak="0">
    <w:nsid w:val="68B545F4"/>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6CF01117"/>
    <w:multiLevelType w:val="multilevel"/>
    <w:tmpl w:val="2BB06AF4"/>
    <w:numStyleLink w:val="StyleNumbered1"/>
  </w:abstractNum>
  <w:abstractNum w:abstractNumId="37" w15:restartNumberingAfterBreak="0">
    <w:nsid w:val="6F6C5E62"/>
    <w:multiLevelType w:val="multilevel"/>
    <w:tmpl w:val="4546EC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571" w:hanging="72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7BAD7E34"/>
    <w:multiLevelType w:val="multilevel"/>
    <w:tmpl w:val="2BB06AF4"/>
    <w:numStyleLink w:val="StyleNumbered1"/>
  </w:abstractNum>
  <w:num w:numId="1">
    <w:abstractNumId w:val="9"/>
  </w:num>
  <w:num w:numId="2">
    <w:abstractNumId w:val="10"/>
  </w:num>
  <w:num w:numId="3">
    <w:abstractNumId w:val="12"/>
  </w:num>
  <w:num w:numId="4">
    <w:abstractNumId w:val="2"/>
  </w:num>
  <w:num w:numId="5">
    <w:abstractNumId w:val="22"/>
  </w:num>
  <w:num w:numId="6">
    <w:abstractNumId w:val="27"/>
  </w:num>
  <w:num w:numId="7">
    <w:abstractNumId w:val="8"/>
  </w:num>
  <w:num w:numId="8">
    <w:abstractNumId w:val="21"/>
  </w:num>
  <w:num w:numId="9">
    <w:abstractNumId w:val="29"/>
  </w:num>
  <w:num w:numId="10">
    <w:abstractNumId w:val="3"/>
  </w:num>
  <w:num w:numId="11">
    <w:abstractNumId w:val="11"/>
  </w:num>
  <w:num w:numId="12">
    <w:abstractNumId w:val="35"/>
  </w:num>
  <w:num w:numId="13">
    <w:abstractNumId w:val="17"/>
  </w:num>
  <w:num w:numId="14">
    <w:abstractNumId w:val="4"/>
  </w:num>
  <w:num w:numId="15">
    <w:abstractNumId w:val="5"/>
  </w:num>
  <w:num w:numId="16">
    <w:abstractNumId w:val="24"/>
  </w:num>
  <w:num w:numId="17">
    <w:abstractNumId w:val="38"/>
  </w:num>
  <w:num w:numId="18">
    <w:abstractNumId w:val="1"/>
  </w:num>
  <w:num w:numId="19">
    <w:abstractNumId w:val="19"/>
  </w:num>
  <w:num w:numId="20">
    <w:abstractNumId w:val="26"/>
  </w:num>
  <w:num w:numId="21">
    <w:abstractNumId w:val="33"/>
  </w:num>
  <w:num w:numId="22">
    <w:abstractNumId w:val="34"/>
  </w:num>
  <w:num w:numId="23">
    <w:abstractNumId w:val="15"/>
  </w:num>
  <w:num w:numId="24">
    <w:abstractNumId w:val="28"/>
  </w:num>
  <w:num w:numId="25">
    <w:abstractNumId w:val="18"/>
  </w:num>
  <w:num w:numId="26">
    <w:abstractNumId w:val="16"/>
  </w:num>
  <w:num w:numId="27">
    <w:abstractNumId w:val="30"/>
  </w:num>
  <w:num w:numId="28">
    <w:abstractNumId w:val="36"/>
  </w:num>
  <w:num w:numId="29">
    <w:abstractNumId w:val="23"/>
  </w:num>
  <w:num w:numId="30">
    <w:abstractNumId w:val="6"/>
  </w:num>
  <w:num w:numId="31">
    <w:abstractNumId w:val="7"/>
  </w:num>
  <w:num w:numId="32">
    <w:abstractNumId w:val="0"/>
  </w:num>
  <w:num w:numId="33">
    <w:abstractNumId w:val="37"/>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5"/>
  </w:num>
  <w:num w:numId="38">
    <w:abstractNumId w:val="5"/>
  </w:num>
  <w:num w:numId="39">
    <w:abstractNumId w:val="5"/>
  </w:num>
  <w:num w:numId="40">
    <w:abstractNumId w:val="5"/>
  </w:num>
  <w:num w:numId="41">
    <w:abstractNumId w:val="31"/>
  </w:num>
  <w:num w:numId="42">
    <w:abstractNumId w:val="25"/>
  </w:num>
  <w:num w:numId="43">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ocumentProtection w:formatting="1" w:enforcement="0"/>
  <w:styleLockTheme/>
  <w:styleLockQFSet/>
  <w:defaultTabStop w:val="720"/>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Q0NDA0NDWxMDC0MDdW0lEKTi0uzszPAykwrQUAMEVCwCwAAAA="/>
  </w:docVars>
  <w:rsids>
    <w:rsidRoot w:val="00D16883"/>
    <w:rsid w:val="00005D98"/>
    <w:rsid w:val="00011C96"/>
    <w:rsid w:val="000138A0"/>
    <w:rsid w:val="00015897"/>
    <w:rsid w:val="00015EE5"/>
    <w:rsid w:val="00020352"/>
    <w:rsid w:val="00027E23"/>
    <w:rsid w:val="00034A19"/>
    <w:rsid w:val="00035FC9"/>
    <w:rsid w:val="000368BF"/>
    <w:rsid w:val="00036F9E"/>
    <w:rsid w:val="0004023B"/>
    <w:rsid w:val="000413B3"/>
    <w:rsid w:val="000426DE"/>
    <w:rsid w:val="000438D6"/>
    <w:rsid w:val="0004795B"/>
    <w:rsid w:val="00047CFC"/>
    <w:rsid w:val="00050B98"/>
    <w:rsid w:val="00053C63"/>
    <w:rsid w:val="00057128"/>
    <w:rsid w:val="0007135F"/>
    <w:rsid w:val="0007171D"/>
    <w:rsid w:val="00076083"/>
    <w:rsid w:val="00076544"/>
    <w:rsid w:val="00077437"/>
    <w:rsid w:val="0008496A"/>
    <w:rsid w:val="00084F8B"/>
    <w:rsid w:val="00086F71"/>
    <w:rsid w:val="00090D15"/>
    <w:rsid w:val="000920FF"/>
    <w:rsid w:val="0009348C"/>
    <w:rsid w:val="0009426B"/>
    <w:rsid w:val="000949AD"/>
    <w:rsid w:val="00095109"/>
    <w:rsid w:val="00095242"/>
    <w:rsid w:val="00096B0F"/>
    <w:rsid w:val="000A490E"/>
    <w:rsid w:val="000A6116"/>
    <w:rsid w:val="000A7B05"/>
    <w:rsid w:val="000B003A"/>
    <w:rsid w:val="000B3976"/>
    <w:rsid w:val="000B457D"/>
    <w:rsid w:val="000B63CA"/>
    <w:rsid w:val="000B752A"/>
    <w:rsid w:val="000C01FC"/>
    <w:rsid w:val="000C14D9"/>
    <w:rsid w:val="000C4336"/>
    <w:rsid w:val="000D134F"/>
    <w:rsid w:val="000D4EDE"/>
    <w:rsid w:val="000E43AC"/>
    <w:rsid w:val="000E6D48"/>
    <w:rsid w:val="000F3B46"/>
    <w:rsid w:val="0011512C"/>
    <w:rsid w:val="00122F67"/>
    <w:rsid w:val="00123576"/>
    <w:rsid w:val="00124B21"/>
    <w:rsid w:val="00125776"/>
    <w:rsid w:val="00126941"/>
    <w:rsid w:val="001307D9"/>
    <w:rsid w:val="001310D8"/>
    <w:rsid w:val="001316F4"/>
    <w:rsid w:val="00134486"/>
    <w:rsid w:val="0013471B"/>
    <w:rsid w:val="001360DB"/>
    <w:rsid w:val="001374CE"/>
    <w:rsid w:val="00142D08"/>
    <w:rsid w:val="00143708"/>
    <w:rsid w:val="001443C1"/>
    <w:rsid w:val="0014696A"/>
    <w:rsid w:val="001475C7"/>
    <w:rsid w:val="00157C98"/>
    <w:rsid w:val="0016348A"/>
    <w:rsid w:val="001653B6"/>
    <w:rsid w:val="001658E4"/>
    <w:rsid w:val="00167F9A"/>
    <w:rsid w:val="001700CA"/>
    <w:rsid w:val="001718DA"/>
    <w:rsid w:val="00174B0F"/>
    <w:rsid w:val="00174B29"/>
    <w:rsid w:val="001809A1"/>
    <w:rsid w:val="0018235E"/>
    <w:rsid w:val="00183EE2"/>
    <w:rsid w:val="0018458D"/>
    <w:rsid w:val="001868FF"/>
    <w:rsid w:val="00190D93"/>
    <w:rsid w:val="001A4AE4"/>
    <w:rsid w:val="001B0A9D"/>
    <w:rsid w:val="001B185E"/>
    <w:rsid w:val="001B2DB7"/>
    <w:rsid w:val="001B3CC7"/>
    <w:rsid w:val="001B43E3"/>
    <w:rsid w:val="001C3A02"/>
    <w:rsid w:val="001D48AF"/>
    <w:rsid w:val="001D5319"/>
    <w:rsid w:val="001D714D"/>
    <w:rsid w:val="001D7FDB"/>
    <w:rsid w:val="001E0F51"/>
    <w:rsid w:val="001E55BF"/>
    <w:rsid w:val="001E605D"/>
    <w:rsid w:val="001F6E1A"/>
    <w:rsid w:val="001F780A"/>
    <w:rsid w:val="001F7917"/>
    <w:rsid w:val="00200613"/>
    <w:rsid w:val="00214F24"/>
    <w:rsid w:val="00223747"/>
    <w:rsid w:val="00225782"/>
    <w:rsid w:val="00232435"/>
    <w:rsid w:val="00232A7E"/>
    <w:rsid w:val="00236EA9"/>
    <w:rsid w:val="00240126"/>
    <w:rsid w:val="002430F0"/>
    <w:rsid w:val="00252E6A"/>
    <w:rsid w:val="00257A9A"/>
    <w:rsid w:val="002601B7"/>
    <w:rsid w:val="00264AED"/>
    <w:rsid w:val="002655A8"/>
    <w:rsid w:val="002661A6"/>
    <w:rsid w:val="00266C23"/>
    <w:rsid w:val="00270DFC"/>
    <w:rsid w:val="00272F8B"/>
    <w:rsid w:val="002778E1"/>
    <w:rsid w:val="00277AEA"/>
    <w:rsid w:val="00283DD6"/>
    <w:rsid w:val="00286EAD"/>
    <w:rsid w:val="00290D1A"/>
    <w:rsid w:val="0029140B"/>
    <w:rsid w:val="0029389B"/>
    <w:rsid w:val="00296791"/>
    <w:rsid w:val="00297532"/>
    <w:rsid w:val="002A7D14"/>
    <w:rsid w:val="002B05F9"/>
    <w:rsid w:val="002B28E4"/>
    <w:rsid w:val="002B36F3"/>
    <w:rsid w:val="002B7504"/>
    <w:rsid w:val="002C0D97"/>
    <w:rsid w:val="002C44D9"/>
    <w:rsid w:val="002C7065"/>
    <w:rsid w:val="002C7F4A"/>
    <w:rsid w:val="002D2804"/>
    <w:rsid w:val="002D4B6C"/>
    <w:rsid w:val="002E23A9"/>
    <w:rsid w:val="002E2A5B"/>
    <w:rsid w:val="002E3C50"/>
    <w:rsid w:val="002F0C2C"/>
    <w:rsid w:val="002F11DD"/>
    <w:rsid w:val="00300242"/>
    <w:rsid w:val="00300655"/>
    <w:rsid w:val="00303D18"/>
    <w:rsid w:val="00304062"/>
    <w:rsid w:val="00306390"/>
    <w:rsid w:val="00307ADD"/>
    <w:rsid w:val="00312179"/>
    <w:rsid w:val="003124D1"/>
    <w:rsid w:val="003130CA"/>
    <w:rsid w:val="00320973"/>
    <w:rsid w:val="003244E5"/>
    <w:rsid w:val="00325CFC"/>
    <w:rsid w:val="00326DCC"/>
    <w:rsid w:val="00335562"/>
    <w:rsid w:val="00336FC5"/>
    <w:rsid w:val="0033714B"/>
    <w:rsid w:val="003427D0"/>
    <w:rsid w:val="00343B1D"/>
    <w:rsid w:val="0034560B"/>
    <w:rsid w:val="00350B08"/>
    <w:rsid w:val="00351C0C"/>
    <w:rsid w:val="003557C3"/>
    <w:rsid w:val="00355E28"/>
    <w:rsid w:val="00357D21"/>
    <w:rsid w:val="003614FD"/>
    <w:rsid w:val="00371F54"/>
    <w:rsid w:val="00372316"/>
    <w:rsid w:val="00372A5A"/>
    <w:rsid w:val="00372E2B"/>
    <w:rsid w:val="00383A95"/>
    <w:rsid w:val="00384A36"/>
    <w:rsid w:val="0038604C"/>
    <w:rsid w:val="00387B71"/>
    <w:rsid w:val="003928EA"/>
    <w:rsid w:val="003A3021"/>
    <w:rsid w:val="003A3430"/>
    <w:rsid w:val="003B2239"/>
    <w:rsid w:val="003B6E16"/>
    <w:rsid w:val="003B6EB6"/>
    <w:rsid w:val="003C0198"/>
    <w:rsid w:val="003C07B3"/>
    <w:rsid w:val="003C1E25"/>
    <w:rsid w:val="003C24A8"/>
    <w:rsid w:val="003C6360"/>
    <w:rsid w:val="003C6AB8"/>
    <w:rsid w:val="003C6FE8"/>
    <w:rsid w:val="003D27CB"/>
    <w:rsid w:val="003D2F29"/>
    <w:rsid w:val="003D48D7"/>
    <w:rsid w:val="003E3762"/>
    <w:rsid w:val="003E513F"/>
    <w:rsid w:val="003E6BF6"/>
    <w:rsid w:val="003F0F0D"/>
    <w:rsid w:val="003F1E6D"/>
    <w:rsid w:val="003F3BD4"/>
    <w:rsid w:val="0040173E"/>
    <w:rsid w:val="00424D54"/>
    <w:rsid w:val="00426645"/>
    <w:rsid w:val="00427373"/>
    <w:rsid w:val="00440E34"/>
    <w:rsid w:val="0044447D"/>
    <w:rsid w:val="00451E72"/>
    <w:rsid w:val="004556A9"/>
    <w:rsid w:val="00463515"/>
    <w:rsid w:val="00463F2B"/>
    <w:rsid w:val="00463FA8"/>
    <w:rsid w:val="00465117"/>
    <w:rsid w:val="004714B0"/>
    <w:rsid w:val="00472F37"/>
    <w:rsid w:val="004731D1"/>
    <w:rsid w:val="004806A2"/>
    <w:rsid w:val="00494335"/>
    <w:rsid w:val="004949EE"/>
    <w:rsid w:val="004966F1"/>
    <w:rsid w:val="004967A1"/>
    <w:rsid w:val="004A2551"/>
    <w:rsid w:val="004A5434"/>
    <w:rsid w:val="004A71ED"/>
    <w:rsid w:val="004A7D40"/>
    <w:rsid w:val="004B3B8F"/>
    <w:rsid w:val="004B4235"/>
    <w:rsid w:val="004B584E"/>
    <w:rsid w:val="004B58D3"/>
    <w:rsid w:val="004C1106"/>
    <w:rsid w:val="004C6D4B"/>
    <w:rsid w:val="004C7892"/>
    <w:rsid w:val="004D11D1"/>
    <w:rsid w:val="004E2269"/>
    <w:rsid w:val="004E27E1"/>
    <w:rsid w:val="004E28F2"/>
    <w:rsid w:val="004E5B25"/>
    <w:rsid w:val="004F5844"/>
    <w:rsid w:val="004F5B55"/>
    <w:rsid w:val="00503A51"/>
    <w:rsid w:val="00511ED3"/>
    <w:rsid w:val="00512309"/>
    <w:rsid w:val="00514B7D"/>
    <w:rsid w:val="00514E4A"/>
    <w:rsid w:val="00515267"/>
    <w:rsid w:val="005171ED"/>
    <w:rsid w:val="0052135C"/>
    <w:rsid w:val="00526858"/>
    <w:rsid w:val="00533655"/>
    <w:rsid w:val="00535601"/>
    <w:rsid w:val="00536E98"/>
    <w:rsid w:val="005379D1"/>
    <w:rsid w:val="00540035"/>
    <w:rsid w:val="00542522"/>
    <w:rsid w:val="005436D2"/>
    <w:rsid w:val="0054526E"/>
    <w:rsid w:val="005476B5"/>
    <w:rsid w:val="00556888"/>
    <w:rsid w:val="005659A0"/>
    <w:rsid w:val="00576F26"/>
    <w:rsid w:val="00583DE8"/>
    <w:rsid w:val="005850A2"/>
    <w:rsid w:val="0059229F"/>
    <w:rsid w:val="00593906"/>
    <w:rsid w:val="00597582"/>
    <w:rsid w:val="005A1B81"/>
    <w:rsid w:val="005A26E3"/>
    <w:rsid w:val="005A3F63"/>
    <w:rsid w:val="005A5705"/>
    <w:rsid w:val="005B073E"/>
    <w:rsid w:val="005B0FCA"/>
    <w:rsid w:val="005B227F"/>
    <w:rsid w:val="005B7801"/>
    <w:rsid w:val="005C15CB"/>
    <w:rsid w:val="005C1E87"/>
    <w:rsid w:val="005C4EF6"/>
    <w:rsid w:val="005C4F3D"/>
    <w:rsid w:val="005C5891"/>
    <w:rsid w:val="005C71A1"/>
    <w:rsid w:val="005C751F"/>
    <w:rsid w:val="005D00E9"/>
    <w:rsid w:val="005D2CB2"/>
    <w:rsid w:val="005D47A9"/>
    <w:rsid w:val="005D5864"/>
    <w:rsid w:val="005D5FAE"/>
    <w:rsid w:val="005D75E2"/>
    <w:rsid w:val="005E3B1B"/>
    <w:rsid w:val="005E77F2"/>
    <w:rsid w:val="005E7C05"/>
    <w:rsid w:val="005F2994"/>
    <w:rsid w:val="005F29B7"/>
    <w:rsid w:val="005F5CBB"/>
    <w:rsid w:val="0060179C"/>
    <w:rsid w:val="00603C4D"/>
    <w:rsid w:val="0060494E"/>
    <w:rsid w:val="00606EB5"/>
    <w:rsid w:val="0060718C"/>
    <w:rsid w:val="00616DC4"/>
    <w:rsid w:val="00617FDA"/>
    <w:rsid w:val="0062116F"/>
    <w:rsid w:val="00627D81"/>
    <w:rsid w:val="00631EE0"/>
    <w:rsid w:val="006329ED"/>
    <w:rsid w:val="00634E4C"/>
    <w:rsid w:val="006355C0"/>
    <w:rsid w:val="00635F45"/>
    <w:rsid w:val="00636B8B"/>
    <w:rsid w:val="006427FE"/>
    <w:rsid w:val="0064375E"/>
    <w:rsid w:val="0064596B"/>
    <w:rsid w:val="0064624F"/>
    <w:rsid w:val="006506C1"/>
    <w:rsid w:val="00651712"/>
    <w:rsid w:val="00653449"/>
    <w:rsid w:val="00655E5F"/>
    <w:rsid w:val="006605E0"/>
    <w:rsid w:val="0066674D"/>
    <w:rsid w:val="00666A78"/>
    <w:rsid w:val="0067033C"/>
    <w:rsid w:val="006711F5"/>
    <w:rsid w:val="00675CCB"/>
    <w:rsid w:val="00687B26"/>
    <w:rsid w:val="0069375D"/>
    <w:rsid w:val="0069407C"/>
    <w:rsid w:val="0069574E"/>
    <w:rsid w:val="00696CF1"/>
    <w:rsid w:val="006A12E4"/>
    <w:rsid w:val="006A13C0"/>
    <w:rsid w:val="006A70D2"/>
    <w:rsid w:val="006B0D39"/>
    <w:rsid w:val="006B3B7B"/>
    <w:rsid w:val="006B77FA"/>
    <w:rsid w:val="006B7F6B"/>
    <w:rsid w:val="006E01D8"/>
    <w:rsid w:val="006E1F0E"/>
    <w:rsid w:val="006E51BB"/>
    <w:rsid w:val="006F145A"/>
    <w:rsid w:val="006F27CB"/>
    <w:rsid w:val="006F51A7"/>
    <w:rsid w:val="006F5865"/>
    <w:rsid w:val="00702E37"/>
    <w:rsid w:val="00704EB5"/>
    <w:rsid w:val="00707377"/>
    <w:rsid w:val="007073C6"/>
    <w:rsid w:val="00710A6A"/>
    <w:rsid w:val="00713C52"/>
    <w:rsid w:val="007148FB"/>
    <w:rsid w:val="007217EC"/>
    <w:rsid w:val="00721C28"/>
    <w:rsid w:val="007256EA"/>
    <w:rsid w:val="007365A8"/>
    <w:rsid w:val="00736755"/>
    <w:rsid w:val="00750DBB"/>
    <w:rsid w:val="007541B0"/>
    <w:rsid w:val="00755163"/>
    <w:rsid w:val="007555A4"/>
    <w:rsid w:val="00756AAB"/>
    <w:rsid w:val="00757F63"/>
    <w:rsid w:val="00762F04"/>
    <w:rsid w:val="00763084"/>
    <w:rsid w:val="007645AE"/>
    <w:rsid w:val="00764992"/>
    <w:rsid w:val="007658B3"/>
    <w:rsid w:val="00767DF0"/>
    <w:rsid w:val="00774965"/>
    <w:rsid w:val="00775255"/>
    <w:rsid w:val="00775AA0"/>
    <w:rsid w:val="00780B89"/>
    <w:rsid w:val="00781E24"/>
    <w:rsid w:val="00785163"/>
    <w:rsid w:val="00787CA0"/>
    <w:rsid w:val="007973EF"/>
    <w:rsid w:val="007A0700"/>
    <w:rsid w:val="007B5417"/>
    <w:rsid w:val="007B5D4B"/>
    <w:rsid w:val="007B74C0"/>
    <w:rsid w:val="007C08B1"/>
    <w:rsid w:val="007C2C9B"/>
    <w:rsid w:val="007C2CC2"/>
    <w:rsid w:val="007C79AA"/>
    <w:rsid w:val="007D417A"/>
    <w:rsid w:val="007D7E38"/>
    <w:rsid w:val="007E0934"/>
    <w:rsid w:val="007E113A"/>
    <w:rsid w:val="007E3FAF"/>
    <w:rsid w:val="007E525D"/>
    <w:rsid w:val="007E5B48"/>
    <w:rsid w:val="007E5D51"/>
    <w:rsid w:val="007E6A0C"/>
    <w:rsid w:val="007F6A0E"/>
    <w:rsid w:val="007F6C9E"/>
    <w:rsid w:val="008046A3"/>
    <w:rsid w:val="00804B0E"/>
    <w:rsid w:val="008059C0"/>
    <w:rsid w:val="008065E7"/>
    <w:rsid w:val="00807EAE"/>
    <w:rsid w:val="00811F1B"/>
    <w:rsid w:val="00813A6A"/>
    <w:rsid w:val="00813D9B"/>
    <w:rsid w:val="00814683"/>
    <w:rsid w:val="00815C50"/>
    <w:rsid w:val="0082173D"/>
    <w:rsid w:val="00841947"/>
    <w:rsid w:val="00843F37"/>
    <w:rsid w:val="00845843"/>
    <w:rsid w:val="00845CE0"/>
    <w:rsid w:val="00846D34"/>
    <w:rsid w:val="00850591"/>
    <w:rsid w:val="00850EF0"/>
    <w:rsid w:val="00856452"/>
    <w:rsid w:val="00862230"/>
    <w:rsid w:val="008637EC"/>
    <w:rsid w:val="008642E0"/>
    <w:rsid w:val="0086699E"/>
    <w:rsid w:val="00870BC6"/>
    <w:rsid w:val="0088036D"/>
    <w:rsid w:val="0088132C"/>
    <w:rsid w:val="008827CC"/>
    <w:rsid w:val="00885A14"/>
    <w:rsid w:val="0088689B"/>
    <w:rsid w:val="00890FA0"/>
    <w:rsid w:val="00891EB3"/>
    <w:rsid w:val="0089257B"/>
    <w:rsid w:val="008946DC"/>
    <w:rsid w:val="008A214D"/>
    <w:rsid w:val="008A72D2"/>
    <w:rsid w:val="008B6868"/>
    <w:rsid w:val="008C0352"/>
    <w:rsid w:val="008C6A43"/>
    <w:rsid w:val="008D080C"/>
    <w:rsid w:val="008D159E"/>
    <w:rsid w:val="008D2F0B"/>
    <w:rsid w:val="008E6A39"/>
    <w:rsid w:val="008F33B5"/>
    <w:rsid w:val="008F3467"/>
    <w:rsid w:val="00900558"/>
    <w:rsid w:val="00906799"/>
    <w:rsid w:val="00916282"/>
    <w:rsid w:val="00921AB9"/>
    <w:rsid w:val="00924152"/>
    <w:rsid w:val="00925476"/>
    <w:rsid w:val="0093194D"/>
    <w:rsid w:val="00934C3F"/>
    <w:rsid w:val="009417AE"/>
    <w:rsid w:val="009426EC"/>
    <w:rsid w:val="009516A5"/>
    <w:rsid w:val="00952D4C"/>
    <w:rsid w:val="009668AE"/>
    <w:rsid w:val="00966905"/>
    <w:rsid w:val="00972AD7"/>
    <w:rsid w:val="00974F0E"/>
    <w:rsid w:val="00975952"/>
    <w:rsid w:val="009766DC"/>
    <w:rsid w:val="009875BB"/>
    <w:rsid w:val="0099087F"/>
    <w:rsid w:val="009979F4"/>
    <w:rsid w:val="009A02D8"/>
    <w:rsid w:val="009A19DB"/>
    <w:rsid w:val="009A2B16"/>
    <w:rsid w:val="009A45B2"/>
    <w:rsid w:val="009B0231"/>
    <w:rsid w:val="009B1A07"/>
    <w:rsid w:val="009B780F"/>
    <w:rsid w:val="009C1C63"/>
    <w:rsid w:val="009D2DDD"/>
    <w:rsid w:val="009D4734"/>
    <w:rsid w:val="009E0B15"/>
    <w:rsid w:val="009E1D6C"/>
    <w:rsid w:val="009E6745"/>
    <w:rsid w:val="009E6B9A"/>
    <w:rsid w:val="009F221A"/>
    <w:rsid w:val="009F7ADA"/>
    <w:rsid w:val="00A17EEA"/>
    <w:rsid w:val="00A24CE6"/>
    <w:rsid w:val="00A27D18"/>
    <w:rsid w:val="00A33802"/>
    <w:rsid w:val="00A3591A"/>
    <w:rsid w:val="00A37E51"/>
    <w:rsid w:val="00A4253D"/>
    <w:rsid w:val="00A42897"/>
    <w:rsid w:val="00A543C1"/>
    <w:rsid w:val="00A55513"/>
    <w:rsid w:val="00A57532"/>
    <w:rsid w:val="00A62D31"/>
    <w:rsid w:val="00A63380"/>
    <w:rsid w:val="00A6556B"/>
    <w:rsid w:val="00A66212"/>
    <w:rsid w:val="00A72A77"/>
    <w:rsid w:val="00A74E79"/>
    <w:rsid w:val="00A76B38"/>
    <w:rsid w:val="00A76D4F"/>
    <w:rsid w:val="00A778A9"/>
    <w:rsid w:val="00A82ED5"/>
    <w:rsid w:val="00A84007"/>
    <w:rsid w:val="00A944E4"/>
    <w:rsid w:val="00A97E3B"/>
    <w:rsid w:val="00AB039E"/>
    <w:rsid w:val="00AB0FC9"/>
    <w:rsid w:val="00AC2D9B"/>
    <w:rsid w:val="00AC3775"/>
    <w:rsid w:val="00AC591D"/>
    <w:rsid w:val="00AC68A6"/>
    <w:rsid w:val="00AD3D7D"/>
    <w:rsid w:val="00AD432F"/>
    <w:rsid w:val="00AE596E"/>
    <w:rsid w:val="00AE5F97"/>
    <w:rsid w:val="00AE7809"/>
    <w:rsid w:val="00AE7C02"/>
    <w:rsid w:val="00AF129F"/>
    <w:rsid w:val="00AF7672"/>
    <w:rsid w:val="00B02FF8"/>
    <w:rsid w:val="00B10B98"/>
    <w:rsid w:val="00B11E6B"/>
    <w:rsid w:val="00B1257D"/>
    <w:rsid w:val="00B12DC9"/>
    <w:rsid w:val="00B13F84"/>
    <w:rsid w:val="00B15ABA"/>
    <w:rsid w:val="00B211D5"/>
    <w:rsid w:val="00B21E26"/>
    <w:rsid w:val="00B23C48"/>
    <w:rsid w:val="00B30B0E"/>
    <w:rsid w:val="00B361C6"/>
    <w:rsid w:val="00B42B2F"/>
    <w:rsid w:val="00B46961"/>
    <w:rsid w:val="00B472E1"/>
    <w:rsid w:val="00B5021C"/>
    <w:rsid w:val="00B56060"/>
    <w:rsid w:val="00B57007"/>
    <w:rsid w:val="00B60D19"/>
    <w:rsid w:val="00B67C66"/>
    <w:rsid w:val="00B7011B"/>
    <w:rsid w:val="00B71170"/>
    <w:rsid w:val="00B76370"/>
    <w:rsid w:val="00B8001C"/>
    <w:rsid w:val="00B80BCE"/>
    <w:rsid w:val="00B81740"/>
    <w:rsid w:val="00B85D7B"/>
    <w:rsid w:val="00B900EA"/>
    <w:rsid w:val="00B91069"/>
    <w:rsid w:val="00B92842"/>
    <w:rsid w:val="00BC1356"/>
    <w:rsid w:val="00BD12A1"/>
    <w:rsid w:val="00BD4B4E"/>
    <w:rsid w:val="00BE6345"/>
    <w:rsid w:val="00BE67EF"/>
    <w:rsid w:val="00BF17C6"/>
    <w:rsid w:val="00BF5DD7"/>
    <w:rsid w:val="00BF6480"/>
    <w:rsid w:val="00C00FDA"/>
    <w:rsid w:val="00C00FE0"/>
    <w:rsid w:val="00C04E4B"/>
    <w:rsid w:val="00C054D0"/>
    <w:rsid w:val="00C102DF"/>
    <w:rsid w:val="00C1050F"/>
    <w:rsid w:val="00C161CC"/>
    <w:rsid w:val="00C22D43"/>
    <w:rsid w:val="00C23C60"/>
    <w:rsid w:val="00C24C87"/>
    <w:rsid w:val="00C27A05"/>
    <w:rsid w:val="00C3282E"/>
    <w:rsid w:val="00C33C5D"/>
    <w:rsid w:val="00C4117F"/>
    <w:rsid w:val="00C54889"/>
    <w:rsid w:val="00C55EDB"/>
    <w:rsid w:val="00C56779"/>
    <w:rsid w:val="00C575E0"/>
    <w:rsid w:val="00C57FF5"/>
    <w:rsid w:val="00C62BF5"/>
    <w:rsid w:val="00C636DA"/>
    <w:rsid w:val="00C675EA"/>
    <w:rsid w:val="00C72271"/>
    <w:rsid w:val="00C73C5F"/>
    <w:rsid w:val="00C74D50"/>
    <w:rsid w:val="00C74F24"/>
    <w:rsid w:val="00C7664A"/>
    <w:rsid w:val="00C76ABF"/>
    <w:rsid w:val="00C833A9"/>
    <w:rsid w:val="00C85E3F"/>
    <w:rsid w:val="00C86ABA"/>
    <w:rsid w:val="00C874EB"/>
    <w:rsid w:val="00C87DA0"/>
    <w:rsid w:val="00C932C9"/>
    <w:rsid w:val="00C94B24"/>
    <w:rsid w:val="00C97BAA"/>
    <w:rsid w:val="00CA43A5"/>
    <w:rsid w:val="00CA4625"/>
    <w:rsid w:val="00CA4FBE"/>
    <w:rsid w:val="00CA5DE6"/>
    <w:rsid w:val="00CA6FF9"/>
    <w:rsid w:val="00CB4238"/>
    <w:rsid w:val="00CB687F"/>
    <w:rsid w:val="00CC1A64"/>
    <w:rsid w:val="00CC1AD8"/>
    <w:rsid w:val="00CC34EB"/>
    <w:rsid w:val="00CC66EA"/>
    <w:rsid w:val="00CC796C"/>
    <w:rsid w:val="00CD3C17"/>
    <w:rsid w:val="00CE1F9C"/>
    <w:rsid w:val="00CE2E48"/>
    <w:rsid w:val="00CE6A34"/>
    <w:rsid w:val="00CE7AB0"/>
    <w:rsid w:val="00CF0C86"/>
    <w:rsid w:val="00CF7D0D"/>
    <w:rsid w:val="00D021F7"/>
    <w:rsid w:val="00D078A2"/>
    <w:rsid w:val="00D10D45"/>
    <w:rsid w:val="00D16883"/>
    <w:rsid w:val="00D23038"/>
    <w:rsid w:val="00D336D9"/>
    <w:rsid w:val="00D367EB"/>
    <w:rsid w:val="00D3784C"/>
    <w:rsid w:val="00D461C2"/>
    <w:rsid w:val="00D46353"/>
    <w:rsid w:val="00D53CC6"/>
    <w:rsid w:val="00D542BD"/>
    <w:rsid w:val="00D55429"/>
    <w:rsid w:val="00D56956"/>
    <w:rsid w:val="00D61AAE"/>
    <w:rsid w:val="00D703D0"/>
    <w:rsid w:val="00D72936"/>
    <w:rsid w:val="00D74454"/>
    <w:rsid w:val="00D75CEC"/>
    <w:rsid w:val="00D771F9"/>
    <w:rsid w:val="00D81239"/>
    <w:rsid w:val="00D848B6"/>
    <w:rsid w:val="00D92AD7"/>
    <w:rsid w:val="00DA3826"/>
    <w:rsid w:val="00DA4C48"/>
    <w:rsid w:val="00DA5262"/>
    <w:rsid w:val="00DA727D"/>
    <w:rsid w:val="00DB19EE"/>
    <w:rsid w:val="00DB2D28"/>
    <w:rsid w:val="00DB53A7"/>
    <w:rsid w:val="00DB6855"/>
    <w:rsid w:val="00DB6A5E"/>
    <w:rsid w:val="00DC37F6"/>
    <w:rsid w:val="00DD170F"/>
    <w:rsid w:val="00DD7323"/>
    <w:rsid w:val="00DE0A8A"/>
    <w:rsid w:val="00DE7FAD"/>
    <w:rsid w:val="00DF0239"/>
    <w:rsid w:val="00DF1ED7"/>
    <w:rsid w:val="00DF2C29"/>
    <w:rsid w:val="00DF6E54"/>
    <w:rsid w:val="00E01576"/>
    <w:rsid w:val="00E04228"/>
    <w:rsid w:val="00E04457"/>
    <w:rsid w:val="00E04BBC"/>
    <w:rsid w:val="00E07362"/>
    <w:rsid w:val="00E159D7"/>
    <w:rsid w:val="00E21635"/>
    <w:rsid w:val="00E21653"/>
    <w:rsid w:val="00E2414E"/>
    <w:rsid w:val="00E2646B"/>
    <w:rsid w:val="00E26830"/>
    <w:rsid w:val="00E30747"/>
    <w:rsid w:val="00E40866"/>
    <w:rsid w:val="00E41483"/>
    <w:rsid w:val="00E42713"/>
    <w:rsid w:val="00E50682"/>
    <w:rsid w:val="00E50817"/>
    <w:rsid w:val="00E5508A"/>
    <w:rsid w:val="00E55A59"/>
    <w:rsid w:val="00E55EE5"/>
    <w:rsid w:val="00E66592"/>
    <w:rsid w:val="00E70F69"/>
    <w:rsid w:val="00E71B0A"/>
    <w:rsid w:val="00E7257D"/>
    <w:rsid w:val="00E728CB"/>
    <w:rsid w:val="00E74C29"/>
    <w:rsid w:val="00E8255C"/>
    <w:rsid w:val="00E84A6B"/>
    <w:rsid w:val="00E84B7A"/>
    <w:rsid w:val="00E87318"/>
    <w:rsid w:val="00E92385"/>
    <w:rsid w:val="00E926A7"/>
    <w:rsid w:val="00E96A5F"/>
    <w:rsid w:val="00E96DEA"/>
    <w:rsid w:val="00EA48AE"/>
    <w:rsid w:val="00EA542C"/>
    <w:rsid w:val="00EA7DD6"/>
    <w:rsid w:val="00EB7F9D"/>
    <w:rsid w:val="00ED006E"/>
    <w:rsid w:val="00ED4DFA"/>
    <w:rsid w:val="00EE0126"/>
    <w:rsid w:val="00EE27AA"/>
    <w:rsid w:val="00EE34CD"/>
    <w:rsid w:val="00EE5B8F"/>
    <w:rsid w:val="00EF2A15"/>
    <w:rsid w:val="00EF4268"/>
    <w:rsid w:val="00EF5BFD"/>
    <w:rsid w:val="00EF680C"/>
    <w:rsid w:val="00F06D5B"/>
    <w:rsid w:val="00F07C04"/>
    <w:rsid w:val="00F11AAE"/>
    <w:rsid w:val="00F12BB2"/>
    <w:rsid w:val="00F142F2"/>
    <w:rsid w:val="00F206A4"/>
    <w:rsid w:val="00F21A36"/>
    <w:rsid w:val="00F34D63"/>
    <w:rsid w:val="00F448AC"/>
    <w:rsid w:val="00F44A29"/>
    <w:rsid w:val="00F47793"/>
    <w:rsid w:val="00F53979"/>
    <w:rsid w:val="00F62682"/>
    <w:rsid w:val="00F6570B"/>
    <w:rsid w:val="00F67615"/>
    <w:rsid w:val="00F7132B"/>
    <w:rsid w:val="00F72FBB"/>
    <w:rsid w:val="00F736F5"/>
    <w:rsid w:val="00F7444D"/>
    <w:rsid w:val="00F76C98"/>
    <w:rsid w:val="00F773C9"/>
    <w:rsid w:val="00F804CD"/>
    <w:rsid w:val="00F80750"/>
    <w:rsid w:val="00F81208"/>
    <w:rsid w:val="00F8283D"/>
    <w:rsid w:val="00F84587"/>
    <w:rsid w:val="00F85F59"/>
    <w:rsid w:val="00F86DD4"/>
    <w:rsid w:val="00F91080"/>
    <w:rsid w:val="00F954F8"/>
    <w:rsid w:val="00F97859"/>
    <w:rsid w:val="00FA4633"/>
    <w:rsid w:val="00FA55E4"/>
    <w:rsid w:val="00FB249C"/>
    <w:rsid w:val="00FB4CF2"/>
    <w:rsid w:val="00FC32E1"/>
    <w:rsid w:val="00FC388E"/>
    <w:rsid w:val="00FD4F27"/>
    <w:rsid w:val="00FD7577"/>
    <w:rsid w:val="00FE419E"/>
    <w:rsid w:val="00FF0118"/>
    <w:rsid w:val="00FF1221"/>
    <w:rsid w:val="00FF1873"/>
    <w:rsid w:val="00FF4D19"/>
    <w:rsid w:val="00FF58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E8A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color w:val="231F20" w:themeColor="text1"/>
        <w:sz w:val="22"/>
        <w:szCs w:val="22"/>
        <w:lang w:val="en-AU" w:eastAsia="en-US" w:bidi="ar-SA"/>
      </w:rPr>
    </w:rPrDefault>
    <w:pPrDefault>
      <w:pPr>
        <w:spacing w:before="120" w:after="120"/>
      </w:pPr>
    </w:pPrDefault>
  </w:docDefaults>
  <w:latentStyles w:defLockedState="1" w:defUIPriority="0" w:defSemiHidden="0" w:defUnhideWhenUsed="0" w:defQFormat="0" w:count="371">
    <w:lsdException w:name="Normal" w:locked="0" w:uiPriority="11" w:qFormat="1"/>
    <w:lsdException w:name="heading 1" w:qFormat="1"/>
    <w:lsdException w:name="heading 2" w:semiHidden="1" w:unhideWhenUsed="1" w:qFormat="1"/>
    <w:lsdException w:name="heading 3" w:semiHidden="1" w:unhideWhenUsed="1" w:qFormat="1"/>
    <w:lsdException w:name="heading 4" w:locked="0" w:semiHidden="1" w:unhideWhenUsed="1" w:qFormat="1"/>
    <w:lsdException w:name="heading 5" w:semiHidden="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nhideWhenUsed="1"/>
    <w:lsdException w:name="annotation text" w:semiHidden="1" w:unhideWhenUsed="1"/>
    <w:lsdException w:name="header" w:locked="0" w:unhideWhenUsed="1"/>
    <w:lsdException w:name="footer" w:locked="0" w:uiPriority="99" w:unhideWhenUsed="1"/>
    <w:lsdException w:name="index heading" w:semiHidden="1" w:uiPriority="99" w:unhideWhenUsed="1"/>
    <w:lsdException w:name="caption" w:unhideWhenUsed="1" w:qFormat="1"/>
    <w:lsdException w:name="table of figures" w:uiPriority="99"/>
    <w:lsdException w:name="envelope address" w:semiHidden="1" w:uiPriority="7" w:unhideWhenUsed="1"/>
    <w:lsdException w:name="envelope return" w:semiHidden="1" w:uiPriority="7" w:unhideWhenUsed="1"/>
    <w:lsdException w:name="footnote reference" w:locked="0" w:unhideWhenUsed="1"/>
    <w:lsdException w:name="annotation reference" w:semiHidden="1" w:unhideWhenUsed="1"/>
    <w:lsdException w:name="line number" w:semiHidden="1" w:unhideWhenUsed="1"/>
    <w:lsdException w:name="page number" w:semiHidden="1" w:unhideWhenUsed="1"/>
    <w:lsdException w:name="endnote reference" w:locked="0" w:uiPriority="99" w:unhideWhenUsed="1"/>
    <w:lsdException w:name="endnote text" w:locked="0" w:uiPriority="99" w:unhideWhenUsed="1"/>
    <w:lsdException w:name="table of authorities" w:semiHidden="1" w:uiPriority="99" w:unhideWhenUsed="1"/>
    <w:lsdException w:name="macro" w:semiHidden="1" w:uiPriority="99" w:unhideWhenUsed="1"/>
    <w:lsdException w:name="toa heading" w:semiHidden="1" w:uiPriority="39" w:unhideWhenUsed="1"/>
    <w:lsdException w:name="List" w:semiHidden="1" w:unhideWhenUsed="1" w:qFormat="1"/>
    <w:lsdException w:name="List Bullet" w:uiPriority="11" w:unhideWhenUsed="1" w:qFormat="1"/>
    <w:lsdException w:name="List Number" w:uiPriority="12" w:qFormat="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uiPriority="11" w:unhideWhenUsed="1" w:qFormat="1"/>
    <w:lsdException w:name="List Bullet 3" w:uiPriority="11" w:unhideWhenUsed="1" w:qFormat="1"/>
    <w:lsdException w:name="List Bullet 4" w:unhideWhenUsed="1" w:qFormat="1"/>
    <w:lsdException w:name="List Bullet 5" w:semiHidden="1" w:unhideWhenUsed="1"/>
    <w:lsdException w:name="List Number 2" w:uiPriority="12" w:unhideWhenUsed="1" w:qFormat="1"/>
    <w:lsdException w:name="List Number 3" w:uiPriority="12" w:unhideWhenUsed="1" w:qFormat="1"/>
    <w:lsdException w:name="List Number 4" w:uiPriority="18" w:unhideWhenUsed="1" w:qFormat="1"/>
    <w:lsdException w:name="List Number 5" w:semiHidden="1" w:uiPriority="99"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locked="0" w:semiHidden="1" w:uiPriority="99" w:unhideWhenUsed="1"/>
    <w:lsdException w:name="FollowedHyperlink" w:locked="0" w:unhideWhenUsed="1"/>
    <w:lsdException w:name="Strong" w:qFormat="1"/>
    <w:lsdException w:name="Emphasis" w:locked="0" w:qFormat="1"/>
    <w:lsdException w:name="Document Map" w:semiHidden="1" w:unhideWhenUsed="1"/>
    <w:lsdException w:name="Plain Text" w:semiHidden="1" w:unhideWhenUsed="1"/>
    <w:lsdException w:name="E-mail Signature" w:semiHidden="1" w:uiPriority="7" w:unhideWhenUsed="1"/>
    <w:lsdException w:name="HTML Top of Form" w:locked="0" w:semiHidden="1" w:uiPriority="99" w:unhideWhenUsed="1"/>
    <w:lsdException w:name="HTML Bottom of Form" w:locked="0"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iPriority="99" w:unhideWhenUsed="1"/>
    <w:lsdException w:name="annotation subject" w:semiHidden="1" w:unhideWhenUsed="1"/>
    <w:lsdException w:name="No List" w:locked="0" w:semiHidden="1" w:uiPriority="99" w:unhideWhenUsed="1"/>
    <w:lsdException w:name="Outline List 1" w:locked="0" w:semiHidden="1" w:unhideWhenUsed="1"/>
    <w:lsdException w:name="Outline List 2" w:locked="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18" w:qFormat="1"/>
    <w:lsdException w:name="Intense Quote" w:semiHidden="1"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locked="0"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88E"/>
  </w:style>
  <w:style w:type="paragraph" w:styleId="Heading1">
    <w:name w:val="heading 1"/>
    <w:basedOn w:val="Normal"/>
    <w:next w:val="Normal"/>
    <w:link w:val="Heading1Char"/>
    <w:qFormat/>
    <w:rsid w:val="00F7444D"/>
    <w:pPr>
      <w:keepNext/>
      <w:keepLines/>
      <w:numPr>
        <w:numId w:val="33"/>
      </w:numPr>
      <w:spacing w:before="400" w:after="240" w:line="480" w:lineRule="atLeast"/>
      <w:outlineLvl w:val="0"/>
    </w:pPr>
    <w:rPr>
      <w:rFonts w:asciiTheme="majorHAnsi" w:eastAsiaTheme="majorEastAsia" w:hAnsiTheme="majorHAnsi" w:cstheme="majorBidi"/>
      <w:b/>
      <w:bCs/>
      <w:color w:val="231F20"/>
      <w:sz w:val="40"/>
      <w:szCs w:val="28"/>
    </w:rPr>
  </w:style>
  <w:style w:type="paragraph" w:styleId="Heading2">
    <w:name w:val="heading 2"/>
    <w:basedOn w:val="Normal"/>
    <w:next w:val="Normal"/>
    <w:link w:val="Heading2Char"/>
    <w:qFormat/>
    <w:rsid w:val="00D72936"/>
    <w:pPr>
      <w:keepNext/>
      <w:keepLines/>
      <w:numPr>
        <w:ilvl w:val="1"/>
        <w:numId w:val="33"/>
      </w:numPr>
      <w:spacing w:before="360" w:line="400" w:lineRule="exact"/>
      <w:ind w:left="794" w:hanging="794"/>
      <w:outlineLvl w:val="1"/>
    </w:pPr>
    <w:rPr>
      <w:rFonts w:asciiTheme="majorHAnsi" w:eastAsiaTheme="majorEastAsia" w:hAnsiTheme="majorHAnsi" w:cstheme="majorBidi"/>
      <w:b/>
      <w:bCs/>
      <w:color w:val="3B5731"/>
      <w:sz w:val="32"/>
      <w:szCs w:val="26"/>
    </w:rPr>
  </w:style>
  <w:style w:type="paragraph" w:styleId="Heading3">
    <w:name w:val="heading 3"/>
    <w:basedOn w:val="Normal"/>
    <w:next w:val="Normal"/>
    <w:link w:val="Heading3Char"/>
    <w:qFormat/>
    <w:rsid w:val="00257A9A"/>
    <w:pPr>
      <w:keepNext/>
      <w:keepLines/>
      <w:numPr>
        <w:ilvl w:val="2"/>
        <w:numId w:val="33"/>
      </w:numPr>
      <w:spacing w:before="360" w:line="320" w:lineRule="exact"/>
      <w:ind w:left="861"/>
      <w:outlineLvl w:val="2"/>
    </w:pPr>
    <w:rPr>
      <w:rFonts w:asciiTheme="majorHAnsi" w:eastAsiaTheme="majorEastAsia" w:hAnsiTheme="majorHAnsi" w:cstheme="majorBidi"/>
      <w:b/>
      <w:bCs/>
      <w:color w:val="587738"/>
      <w:sz w:val="26"/>
    </w:rPr>
  </w:style>
  <w:style w:type="paragraph" w:styleId="Heading4">
    <w:name w:val="heading 4"/>
    <w:basedOn w:val="Normal"/>
    <w:next w:val="Normal"/>
    <w:link w:val="Heading4Char"/>
    <w:qFormat/>
    <w:rsid w:val="007E0934"/>
    <w:pPr>
      <w:keepNext/>
      <w:keepLines/>
      <w:numPr>
        <w:ilvl w:val="3"/>
        <w:numId w:val="33"/>
      </w:numPr>
      <w:spacing w:before="360" w:line="260" w:lineRule="exact"/>
      <w:outlineLvl w:val="3"/>
    </w:pPr>
    <w:rPr>
      <w:rFonts w:asciiTheme="majorHAnsi" w:eastAsiaTheme="majorEastAsia" w:hAnsiTheme="majorHAnsi" w:cstheme="majorBidi"/>
      <w:b/>
      <w:bCs/>
      <w:iCs/>
    </w:rPr>
  </w:style>
  <w:style w:type="paragraph" w:styleId="Heading5">
    <w:name w:val="heading 5"/>
    <w:basedOn w:val="Normal"/>
    <w:next w:val="Normal"/>
    <w:link w:val="Heading5Char"/>
    <w:qFormat/>
    <w:locked/>
    <w:rsid w:val="00015EE5"/>
    <w:pPr>
      <w:keepNext/>
      <w:keepLines/>
      <w:numPr>
        <w:ilvl w:val="4"/>
        <w:numId w:val="33"/>
      </w:numPr>
      <w:spacing w:before="200"/>
      <w:outlineLvl w:val="4"/>
    </w:pPr>
    <w:rPr>
      <w:rFonts w:asciiTheme="majorHAnsi" w:eastAsiaTheme="majorEastAsia" w:hAnsiTheme="majorHAnsi" w:cstheme="majorBidi"/>
      <w:i/>
      <w:color w:val="253620" w:themeColor="accent1" w:themeShade="7F"/>
    </w:rPr>
  </w:style>
  <w:style w:type="paragraph" w:styleId="Heading6">
    <w:name w:val="heading 6"/>
    <w:basedOn w:val="Normal"/>
    <w:next w:val="Normal"/>
    <w:link w:val="Heading6Char"/>
    <w:qFormat/>
    <w:locked/>
    <w:rsid w:val="00372E2B"/>
    <w:pPr>
      <w:keepNext/>
      <w:keepLines/>
      <w:numPr>
        <w:ilvl w:val="5"/>
        <w:numId w:val="33"/>
      </w:numPr>
      <w:spacing w:before="200"/>
      <w:outlineLvl w:val="5"/>
    </w:pPr>
    <w:rPr>
      <w:rFonts w:asciiTheme="majorHAnsi" w:eastAsiaTheme="majorEastAsia" w:hAnsiTheme="majorHAnsi" w:cstheme="majorBidi"/>
      <w:i/>
      <w:iCs/>
      <w:color w:val="253620" w:themeColor="accent1" w:themeShade="7F"/>
    </w:rPr>
  </w:style>
  <w:style w:type="paragraph" w:styleId="Heading7">
    <w:name w:val="heading 7"/>
    <w:aliases w:val="Appendix heading"/>
    <w:basedOn w:val="Normal"/>
    <w:next w:val="Normal"/>
    <w:link w:val="Heading7Char"/>
    <w:qFormat/>
    <w:locked/>
    <w:rsid w:val="00372E2B"/>
    <w:pPr>
      <w:keepNext/>
      <w:keepLines/>
      <w:numPr>
        <w:ilvl w:val="6"/>
        <w:numId w:val="33"/>
      </w:numPr>
      <w:spacing w:before="200"/>
      <w:outlineLvl w:val="6"/>
    </w:pPr>
    <w:rPr>
      <w:rFonts w:asciiTheme="majorHAnsi" w:eastAsiaTheme="majorEastAsia" w:hAnsiTheme="majorHAnsi" w:cstheme="majorBidi"/>
      <w:i/>
      <w:iCs/>
      <w:color w:val="5D5356" w:themeColor="text1" w:themeTint="BF"/>
    </w:rPr>
  </w:style>
  <w:style w:type="paragraph" w:styleId="Heading8">
    <w:name w:val="heading 8"/>
    <w:aliases w:val="Appendix Heading 2"/>
    <w:basedOn w:val="Normal"/>
    <w:next w:val="Normal"/>
    <w:link w:val="Heading8Char"/>
    <w:qFormat/>
    <w:locked/>
    <w:rsid w:val="00372E2B"/>
    <w:pPr>
      <w:keepNext/>
      <w:keepLines/>
      <w:numPr>
        <w:ilvl w:val="7"/>
        <w:numId w:val="33"/>
      </w:numPr>
      <w:spacing w:before="200"/>
      <w:outlineLvl w:val="7"/>
    </w:pPr>
    <w:rPr>
      <w:rFonts w:asciiTheme="majorHAnsi" w:eastAsiaTheme="majorEastAsia" w:hAnsiTheme="majorHAnsi" w:cstheme="majorBidi"/>
      <w:color w:val="5D5356" w:themeColor="text1" w:themeTint="BF"/>
      <w:sz w:val="20"/>
      <w:szCs w:val="20"/>
    </w:rPr>
  </w:style>
  <w:style w:type="paragraph" w:styleId="Heading9">
    <w:name w:val="heading 9"/>
    <w:basedOn w:val="Normal"/>
    <w:next w:val="Normal"/>
    <w:link w:val="Heading9Char"/>
    <w:qFormat/>
    <w:locked/>
    <w:rsid w:val="00372E2B"/>
    <w:pPr>
      <w:keepNext/>
      <w:keepLines/>
      <w:numPr>
        <w:ilvl w:val="8"/>
        <w:numId w:val="33"/>
      </w:numPr>
      <w:spacing w:before="200"/>
      <w:outlineLvl w:val="8"/>
    </w:pPr>
    <w:rPr>
      <w:rFonts w:asciiTheme="majorHAnsi" w:eastAsiaTheme="majorEastAsia" w:hAnsiTheme="majorHAnsi" w:cstheme="majorBidi"/>
      <w:i/>
      <w:iCs/>
      <w:color w:val="5D5356"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44D"/>
    <w:rPr>
      <w:rFonts w:asciiTheme="majorHAnsi" w:eastAsiaTheme="majorEastAsia" w:hAnsiTheme="majorHAnsi" w:cstheme="majorBidi"/>
      <w:b/>
      <w:bCs/>
      <w:color w:val="231F20"/>
      <w:sz w:val="40"/>
      <w:szCs w:val="28"/>
    </w:rPr>
  </w:style>
  <w:style w:type="character" w:customStyle="1" w:styleId="Heading2Char">
    <w:name w:val="Heading 2 Char"/>
    <w:basedOn w:val="DefaultParagraphFont"/>
    <w:link w:val="Heading2"/>
    <w:rsid w:val="00D72936"/>
    <w:rPr>
      <w:rFonts w:asciiTheme="majorHAnsi" w:eastAsiaTheme="majorEastAsia" w:hAnsiTheme="majorHAnsi" w:cstheme="majorBidi"/>
      <w:b/>
      <w:bCs/>
      <w:color w:val="3B5731"/>
      <w:sz w:val="32"/>
      <w:szCs w:val="26"/>
    </w:rPr>
  </w:style>
  <w:style w:type="character" w:customStyle="1" w:styleId="Heading3Char">
    <w:name w:val="Heading 3 Char"/>
    <w:basedOn w:val="DefaultParagraphFont"/>
    <w:link w:val="Heading3"/>
    <w:rsid w:val="00257A9A"/>
    <w:rPr>
      <w:rFonts w:asciiTheme="majorHAnsi" w:eastAsiaTheme="majorEastAsia" w:hAnsiTheme="majorHAnsi" w:cstheme="majorBidi"/>
      <w:b/>
      <w:bCs/>
      <w:color w:val="587738"/>
      <w:sz w:val="26"/>
    </w:rPr>
  </w:style>
  <w:style w:type="paragraph" w:customStyle="1" w:styleId="BodyBullet1">
    <w:name w:val="Body Bullet 1"/>
    <w:basedOn w:val="Normal"/>
    <w:uiPriority w:val="7"/>
    <w:semiHidden/>
    <w:qFormat/>
    <w:locked/>
    <w:rsid w:val="00372E2B"/>
    <w:pPr>
      <w:numPr>
        <w:numId w:val="2"/>
      </w:numPr>
      <w:spacing w:line="240" w:lineRule="atLeast"/>
      <w:contextualSpacing/>
    </w:pPr>
  </w:style>
  <w:style w:type="paragraph" w:customStyle="1" w:styleId="BodyBullet2">
    <w:name w:val="Body Bullet 2"/>
    <w:basedOn w:val="BodyBullet1"/>
    <w:uiPriority w:val="7"/>
    <w:semiHidden/>
    <w:qFormat/>
    <w:locked/>
    <w:rsid w:val="00372E2B"/>
    <w:pPr>
      <w:numPr>
        <w:numId w:val="3"/>
      </w:numPr>
    </w:pPr>
  </w:style>
  <w:style w:type="character" w:customStyle="1" w:styleId="Heading4Char">
    <w:name w:val="Heading 4 Char"/>
    <w:basedOn w:val="DefaultParagraphFont"/>
    <w:link w:val="Heading4"/>
    <w:rsid w:val="0089257B"/>
    <w:rPr>
      <w:rFonts w:asciiTheme="majorHAnsi" w:eastAsiaTheme="majorEastAsia" w:hAnsiTheme="majorHAnsi" w:cstheme="majorBidi"/>
      <w:b/>
      <w:bCs/>
      <w:iCs/>
    </w:rPr>
  </w:style>
  <w:style w:type="paragraph" w:styleId="ListBullet">
    <w:name w:val="List Bullet"/>
    <w:basedOn w:val="Normal"/>
    <w:uiPriority w:val="11"/>
    <w:qFormat/>
    <w:rsid w:val="00774965"/>
    <w:pPr>
      <w:numPr>
        <w:numId w:val="15"/>
      </w:numPr>
      <w:spacing w:before="60" w:after="60"/>
    </w:pPr>
  </w:style>
  <w:style w:type="paragraph" w:styleId="ListBullet2">
    <w:name w:val="List Bullet 2"/>
    <w:basedOn w:val="ListBullet"/>
    <w:uiPriority w:val="11"/>
    <w:qFormat/>
    <w:rsid w:val="00D75CEC"/>
  </w:style>
  <w:style w:type="paragraph" w:styleId="ListNumber">
    <w:name w:val="List Number"/>
    <w:basedOn w:val="Normal"/>
    <w:uiPriority w:val="12"/>
    <w:qFormat/>
    <w:rsid w:val="00312179"/>
    <w:pPr>
      <w:spacing w:before="60" w:after="60"/>
    </w:pPr>
  </w:style>
  <w:style w:type="paragraph" w:styleId="ListNumber2">
    <w:name w:val="List Number 2"/>
    <w:basedOn w:val="Normal"/>
    <w:uiPriority w:val="12"/>
    <w:qFormat/>
    <w:rsid w:val="00312179"/>
    <w:pPr>
      <w:spacing w:before="60" w:after="60"/>
    </w:pPr>
  </w:style>
  <w:style w:type="numbering" w:customStyle="1" w:styleId="Lists">
    <w:name w:val="Lists"/>
    <w:uiPriority w:val="99"/>
    <w:locked/>
    <w:rsid w:val="00627D81"/>
    <w:pPr>
      <w:numPr>
        <w:numId w:val="8"/>
      </w:numPr>
    </w:pPr>
  </w:style>
  <w:style w:type="paragraph" w:styleId="ListNumber3">
    <w:name w:val="List Number 3"/>
    <w:basedOn w:val="Normal"/>
    <w:uiPriority w:val="12"/>
    <w:qFormat/>
    <w:rsid w:val="00312179"/>
    <w:pPr>
      <w:spacing w:before="60" w:after="60"/>
    </w:pPr>
  </w:style>
  <w:style w:type="paragraph" w:styleId="Title">
    <w:name w:val="Title"/>
    <w:basedOn w:val="Normal"/>
    <w:next w:val="Subtitle"/>
    <w:link w:val="TitleChar"/>
    <w:uiPriority w:val="8"/>
    <w:qFormat/>
    <w:rsid w:val="000426DE"/>
    <w:pPr>
      <w:spacing w:before="4040" w:after="0" w:line="560" w:lineRule="atLeast"/>
      <w:ind w:right="1134"/>
      <w:contextualSpacing/>
    </w:pPr>
    <w:rPr>
      <w:rFonts w:asciiTheme="majorHAnsi" w:eastAsiaTheme="majorEastAsia" w:hAnsiTheme="majorHAnsi" w:cstheme="majorBidi"/>
      <w:b/>
      <w:sz w:val="56"/>
      <w:szCs w:val="52"/>
    </w:rPr>
  </w:style>
  <w:style w:type="character" w:customStyle="1" w:styleId="TitleChar">
    <w:name w:val="Title Char"/>
    <w:basedOn w:val="DefaultParagraphFont"/>
    <w:link w:val="Title"/>
    <w:uiPriority w:val="8"/>
    <w:rsid w:val="00FF1221"/>
    <w:rPr>
      <w:rFonts w:asciiTheme="majorHAnsi" w:eastAsiaTheme="majorEastAsia" w:hAnsiTheme="majorHAnsi" w:cstheme="majorBidi"/>
      <w:b/>
      <w:sz w:val="56"/>
      <w:szCs w:val="52"/>
    </w:rPr>
  </w:style>
  <w:style w:type="numbering" w:customStyle="1" w:styleId="MultiLevelheadinglist">
    <w:name w:val="Multi Level heading list"/>
    <w:uiPriority w:val="99"/>
    <w:locked/>
    <w:rsid w:val="008D2F0B"/>
    <w:pPr>
      <w:numPr>
        <w:numId w:val="6"/>
      </w:numPr>
    </w:pPr>
  </w:style>
  <w:style w:type="paragraph" w:styleId="TOC1">
    <w:name w:val="toc 1"/>
    <w:basedOn w:val="Normal"/>
    <w:next w:val="Normal"/>
    <w:autoRedefine/>
    <w:uiPriority w:val="39"/>
    <w:rsid w:val="00F954F8"/>
    <w:pPr>
      <w:tabs>
        <w:tab w:val="right" w:pos="9027"/>
      </w:tabs>
      <w:spacing w:before="100" w:after="100"/>
      <w:ind w:left="567" w:hanging="567"/>
    </w:pPr>
    <w:rPr>
      <w:noProof/>
      <w:sz w:val="28"/>
    </w:rPr>
  </w:style>
  <w:style w:type="paragraph" w:styleId="TOCHeading">
    <w:name w:val="TOC Heading"/>
    <w:basedOn w:val="Heading1"/>
    <w:next w:val="Normal"/>
    <w:uiPriority w:val="39"/>
    <w:semiHidden/>
    <w:rsid w:val="000F3B46"/>
    <w:pPr>
      <w:outlineLvl w:val="9"/>
    </w:pPr>
  </w:style>
  <w:style w:type="paragraph" w:styleId="Footer">
    <w:name w:val="footer"/>
    <w:basedOn w:val="Normal"/>
    <w:link w:val="FooterChar"/>
    <w:uiPriority w:val="99"/>
    <w:rsid w:val="00C33C5D"/>
    <w:pPr>
      <w:spacing w:before="240" w:after="0"/>
      <w:jc w:val="center"/>
    </w:pPr>
    <w:rPr>
      <w:rFonts w:asciiTheme="majorHAnsi" w:hAnsiTheme="majorHAnsi"/>
      <w:sz w:val="18"/>
    </w:rPr>
  </w:style>
  <w:style w:type="character" w:customStyle="1" w:styleId="FooterChar">
    <w:name w:val="Footer Char"/>
    <w:basedOn w:val="DefaultParagraphFont"/>
    <w:link w:val="Footer"/>
    <w:uiPriority w:val="99"/>
    <w:rsid w:val="00C23C60"/>
    <w:rPr>
      <w:rFonts w:asciiTheme="majorHAnsi" w:hAnsiTheme="majorHAnsi"/>
      <w:sz w:val="18"/>
    </w:rPr>
  </w:style>
  <w:style w:type="paragraph" w:styleId="ListBullet3">
    <w:name w:val="List Bullet 3"/>
    <w:basedOn w:val="Normal"/>
    <w:uiPriority w:val="11"/>
    <w:qFormat/>
    <w:rsid w:val="00312179"/>
    <w:pPr>
      <w:spacing w:before="60" w:after="60"/>
    </w:pPr>
  </w:style>
  <w:style w:type="paragraph" w:styleId="ListBullet4">
    <w:name w:val="List Bullet 4"/>
    <w:aliases w:val="Table Bullet"/>
    <w:basedOn w:val="Normal"/>
    <w:uiPriority w:val="18"/>
    <w:qFormat/>
    <w:locked/>
    <w:rsid w:val="00300242"/>
    <w:pPr>
      <w:spacing w:before="20" w:after="20"/>
    </w:pPr>
    <w:rPr>
      <w:sz w:val="20"/>
    </w:rPr>
  </w:style>
  <w:style w:type="table" w:styleId="TableGrid">
    <w:name w:val="Table Grid"/>
    <w:aliases w:val="Table Grid Main Report,Table Financial Statements"/>
    <w:basedOn w:val="TableNormal"/>
    <w:rsid w:val="00F07C04"/>
    <w:pPr>
      <w:spacing w:before="60" w:after="60"/>
    </w:pPr>
    <w:rPr>
      <w:sz w:val="20"/>
    </w:rPr>
    <w:tblPr>
      <w:tblStyleRowBandSize w:val="1"/>
      <w:tblBorders>
        <w:top w:val="single" w:sz="4" w:space="0" w:color="D9D9D9" w:themeColor="background1" w:themeShade="D9"/>
        <w:bottom w:val="single" w:sz="4" w:space="0" w:color="D9D9D9" w:themeColor="background1" w:themeShade="D9"/>
        <w:insideH w:val="single" w:sz="4" w:space="0" w:color="D9D9D9" w:themeColor="background1" w:themeShade="D9"/>
      </w:tblBorders>
    </w:tblPr>
    <w:tcPr>
      <w:shd w:val="clear" w:color="auto" w:fill="auto"/>
    </w:tcPr>
    <w:tblStylePr w:type="firstRow">
      <w:pPr>
        <w:wordWrap/>
        <w:spacing w:beforeLines="0" w:before="60" w:beforeAutospacing="0" w:afterLines="0" w:after="60" w:afterAutospacing="0" w:line="240" w:lineRule="auto"/>
        <w:jc w:val="left"/>
      </w:pPr>
      <w:rPr>
        <w:b/>
        <w:color w:val="FFFFFF" w:themeColor="background1"/>
        <w:sz w:val="20"/>
      </w:rPr>
      <w:tblPr/>
      <w:tcPr>
        <w:tcBorders>
          <w:top w:val="nil"/>
          <w:bottom w:val="nil"/>
        </w:tcBorders>
        <w:shd w:val="clear" w:color="auto" w:fill="4C6D41"/>
      </w:tcPr>
    </w:tblStylePr>
    <w:tblStylePr w:type="lastRow">
      <w:rPr>
        <w:b w:val="0"/>
      </w:rPr>
      <w:tblPr/>
      <w:tcPr>
        <w:shd w:val="clear" w:color="auto" w:fill="D9D9D9" w:themeFill="background1" w:themeFillShade="D9"/>
      </w:tcPr>
    </w:tblStylePr>
    <w:tblStylePr w:type="firstCol">
      <w:rPr>
        <w:b w:val="0"/>
      </w:rPr>
    </w:tblStylePr>
    <w:tblStylePr w:type="lastCol">
      <w:pPr>
        <w:jc w:val="right"/>
      </w:pPr>
    </w:tblStylePr>
  </w:style>
  <w:style w:type="paragraph" w:styleId="Caption">
    <w:name w:val="caption"/>
    <w:basedOn w:val="Normal"/>
    <w:next w:val="Normal"/>
    <w:uiPriority w:val="21"/>
    <w:qFormat/>
    <w:rsid w:val="00597582"/>
    <w:pPr>
      <w:keepNext/>
      <w:spacing w:after="360"/>
      <w:ind w:left="1077" w:hanging="1077"/>
    </w:pPr>
    <w:rPr>
      <w:b/>
      <w:bCs/>
      <w:sz w:val="20"/>
      <w:szCs w:val="18"/>
    </w:rPr>
  </w:style>
  <w:style w:type="paragraph" w:styleId="Header">
    <w:name w:val="header"/>
    <w:basedOn w:val="Normal"/>
    <w:link w:val="HeaderChar"/>
    <w:rsid w:val="00FD7577"/>
    <w:pPr>
      <w:tabs>
        <w:tab w:val="center" w:pos="4513"/>
        <w:tab w:val="right" w:pos="9026"/>
      </w:tabs>
      <w:spacing w:after="0"/>
      <w:jc w:val="center"/>
    </w:pPr>
    <w:rPr>
      <w:sz w:val="18"/>
    </w:rPr>
  </w:style>
  <w:style w:type="character" w:customStyle="1" w:styleId="HeaderChar">
    <w:name w:val="Header Char"/>
    <w:basedOn w:val="DefaultParagraphFont"/>
    <w:link w:val="Header"/>
    <w:rsid w:val="00C23C60"/>
    <w:rPr>
      <w:sz w:val="18"/>
    </w:rPr>
  </w:style>
  <w:style w:type="character" w:styleId="PlaceholderText">
    <w:name w:val="Placeholder Text"/>
    <w:basedOn w:val="DefaultParagraphFont"/>
    <w:uiPriority w:val="99"/>
    <w:semiHidden/>
    <w:rsid w:val="004E27E1"/>
    <w:rPr>
      <w:rFonts w:asciiTheme="minorHAnsi" w:hAnsiTheme="minorHAnsi"/>
      <w:noProof w:val="0"/>
      <w:color w:val="FF0000"/>
      <w:sz w:val="22"/>
      <w:bdr w:val="none" w:sz="0" w:space="0" w:color="auto"/>
      <w:shd w:val="clear" w:color="auto" w:fill="auto"/>
      <w:lang w:val="en-AU"/>
    </w:rPr>
  </w:style>
  <w:style w:type="paragraph" w:styleId="ListNumber4">
    <w:name w:val="List Number 4"/>
    <w:aliases w:val="Table Number List"/>
    <w:basedOn w:val="Normal"/>
    <w:uiPriority w:val="18"/>
    <w:qFormat/>
    <w:rsid w:val="004B4235"/>
    <w:pPr>
      <w:spacing w:before="20" w:after="20"/>
    </w:pPr>
  </w:style>
  <w:style w:type="character" w:styleId="Hyperlink">
    <w:name w:val="Hyperlink"/>
    <w:basedOn w:val="DefaultParagraphFont"/>
    <w:uiPriority w:val="99"/>
    <w:rsid w:val="000426DE"/>
    <w:rPr>
      <w:noProof w:val="0"/>
      <w:color w:val="auto"/>
      <w:u w:val="single"/>
      <w:lang w:val="en-AU"/>
    </w:rPr>
  </w:style>
  <w:style w:type="paragraph" w:styleId="Bibliography">
    <w:name w:val="Bibliography"/>
    <w:basedOn w:val="Normal"/>
    <w:next w:val="Normal"/>
    <w:uiPriority w:val="37"/>
    <w:semiHidden/>
    <w:unhideWhenUsed/>
    <w:locked/>
    <w:rsid w:val="00372E2B"/>
  </w:style>
  <w:style w:type="paragraph" w:styleId="BodyText">
    <w:name w:val="Body Text"/>
    <w:basedOn w:val="Normal"/>
    <w:link w:val="BodyTextChar"/>
    <w:qFormat/>
    <w:rsid w:val="00B1257D"/>
  </w:style>
  <w:style w:type="character" w:customStyle="1" w:styleId="BodyTextChar">
    <w:name w:val="Body Text Char"/>
    <w:basedOn w:val="DefaultParagraphFont"/>
    <w:link w:val="BodyText"/>
    <w:rsid w:val="00B1257D"/>
  </w:style>
  <w:style w:type="paragraph" w:styleId="BodyText2">
    <w:name w:val="Body Text 2"/>
    <w:basedOn w:val="Normal"/>
    <w:link w:val="BodyText2Char"/>
    <w:uiPriority w:val="7"/>
    <w:semiHidden/>
    <w:unhideWhenUsed/>
    <w:locked/>
    <w:rsid w:val="00372E2B"/>
    <w:pPr>
      <w:spacing w:line="480" w:lineRule="auto"/>
    </w:pPr>
  </w:style>
  <w:style w:type="character" w:customStyle="1" w:styleId="BodyText2Char">
    <w:name w:val="Body Text 2 Char"/>
    <w:basedOn w:val="DefaultParagraphFont"/>
    <w:link w:val="BodyText2"/>
    <w:uiPriority w:val="7"/>
    <w:semiHidden/>
    <w:rsid w:val="00B60D19"/>
  </w:style>
  <w:style w:type="paragraph" w:styleId="BodyText3">
    <w:name w:val="Body Text 3"/>
    <w:basedOn w:val="Normal"/>
    <w:link w:val="BodyText3Char"/>
    <w:unhideWhenUsed/>
    <w:locked/>
    <w:rsid w:val="00372E2B"/>
    <w:rPr>
      <w:sz w:val="16"/>
      <w:szCs w:val="16"/>
    </w:rPr>
  </w:style>
  <w:style w:type="character" w:customStyle="1" w:styleId="BodyText3Char">
    <w:name w:val="Body Text 3 Char"/>
    <w:basedOn w:val="DefaultParagraphFont"/>
    <w:link w:val="BodyText3"/>
    <w:rsid w:val="00B60D19"/>
    <w:rPr>
      <w:sz w:val="16"/>
      <w:szCs w:val="16"/>
    </w:rPr>
  </w:style>
  <w:style w:type="paragraph" w:styleId="BodyTextFirstIndent">
    <w:name w:val="Body Text First Indent"/>
    <w:basedOn w:val="BodyText"/>
    <w:link w:val="BodyTextFirstIndentChar"/>
    <w:uiPriority w:val="7"/>
    <w:semiHidden/>
    <w:unhideWhenUsed/>
    <w:locked/>
    <w:rsid w:val="00372E2B"/>
    <w:pPr>
      <w:spacing w:after="170"/>
      <w:ind w:firstLine="360"/>
    </w:pPr>
  </w:style>
  <w:style w:type="character" w:customStyle="1" w:styleId="BodyTextFirstIndentChar">
    <w:name w:val="Body Text First Indent Char"/>
    <w:basedOn w:val="BodyTextChar"/>
    <w:link w:val="BodyTextFirstIndent"/>
    <w:uiPriority w:val="7"/>
    <w:semiHidden/>
    <w:rsid w:val="00B60D19"/>
  </w:style>
  <w:style w:type="paragraph" w:styleId="BodyTextIndent">
    <w:name w:val="Body Text Indent"/>
    <w:basedOn w:val="Normal"/>
    <w:link w:val="BodyTextIndentChar"/>
    <w:uiPriority w:val="7"/>
    <w:semiHidden/>
    <w:unhideWhenUsed/>
    <w:locked/>
    <w:rsid w:val="00372E2B"/>
    <w:pPr>
      <w:ind w:left="283"/>
    </w:pPr>
  </w:style>
  <w:style w:type="character" w:customStyle="1" w:styleId="BodyTextIndentChar">
    <w:name w:val="Body Text Indent Char"/>
    <w:basedOn w:val="DefaultParagraphFont"/>
    <w:link w:val="BodyTextIndent"/>
    <w:uiPriority w:val="7"/>
    <w:semiHidden/>
    <w:rsid w:val="00B60D19"/>
  </w:style>
  <w:style w:type="paragraph" w:styleId="BodyTextFirstIndent2">
    <w:name w:val="Body Text First Indent 2"/>
    <w:basedOn w:val="BodyTextIndent"/>
    <w:link w:val="BodyTextFirstIndent2Char"/>
    <w:uiPriority w:val="7"/>
    <w:semiHidden/>
    <w:unhideWhenUsed/>
    <w:locked/>
    <w:rsid w:val="00372E2B"/>
    <w:pPr>
      <w:spacing w:after="170"/>
      <w:ind w:left="360" w:firstLine="360"/>
    </w:pPr>
  </w:style>
  <w:style w:type="character" w:customStyle="1" w:styleId="BodyTextFirstIndent2Char">
    <w:name w:val="Body Text First Indent 2 Char"/>
    <w:basedOn w:val="BodyTextIndentChar"/>
    <w:link w:val="BodyTextFirstIndent2"/>
    <w:uiPriority w:val="7"/>
    <w:semiHidden/>
    <w:rsid w:val="00B60D19"/>
  </w:style>
  <w:style w:type="paragraph" w:styleId="BodyTextIndent2">
    <w:name w:val="Body Text Indent 2"/>
    <w:basedOn w:val="Normal"/>
    <w:link w:val="BodyTextIndent2Char"/>
    <w:uiPriority w:val="7"/>
    <w:semiHidden/>
    <w:unhideWhenUsed/>
    <w:locked/>
    <w:rsid w:val="00372E2B"/>
    <w:pPr>
      <w:spacing w:line="480" w:lineRule="auto"/>
      <w:ind w:left="283"/>
    </w:pPr>
  </w:style>
  <w:style w:type="character" w:customStyle="1" w:styleId="BodyTextIndent2Char">
    <w:name w:val="Body Text Indent 2 Char"/>
    <w:basedOn w:val="DefaultParagraphFont"/>
    <w:link w:val="BodyTextIndent2"/>
    <w:uiPriority w:val="7"/>
    <w:semiHidden/>
    <w:rsid w:val="00B60D19"/>
  </w:style>
  <w:style w:type="paragraph" w:styleId="BodyTextIndent3">
    <w:name w:val="Body Text Indent 3"/>
    <w:basedOn w:val="Normal"/>
    <w:link w:val="BodyTextIndent3Char"/>
    <w:uiPriority w:val="7"/>
    <w:semiHidden/>
    <w:unhideWhenUsed/>
    <w:locked/>
    <w:rsid w:val="00372E2B"/>
    <w:pPr>
      <w:ind w:left="283"/>
    </w:pPr>
    <w:rPr>
      <w:sz w:val="16"/>
      <w:szCs w:val="16"/>
    </w:rPr>
  </w:style>
  <w:style w:type="character" w:customStyle="1" w:styleId="BodyTextIndent3Char">
    <w:name w:val="Body Text Indent 3 Char"/>
    <w:basedOn w:val="DefaultParagraphFont"/>
    <w:link w:val="BodyTextIndent3"/>
    <w:uiPriority w:val="7"/>
    <w:semiHidden/>
    <w:rsid w:val="00B60D19"/>
    <w:rPr>
      <w:sz w:val="16"/>
      <w:szCs w:val="16"/>
    </w:rPr>
  </w:style>
  <w:style w:type="character" w:styleId="BookTitle">
    <w:name w:val="Book Title"/>
    <w:basedOn w:val="DefaultParagraphFont"/>
    <w:uiPriority w:val="33"/>
    <w:semiHidden/>
    <w:qFormat/>
    <w:locked/>
    <w:rsid w:val="00372E2B"/>
    <w:rPr>
      <w:b/>
      <w:bCs/>
      <w:smallCaps/>
      <w:noProof w:val="0"/>
      <w:spacing w:val="5"/>
      <w:lang w:val="en-AU"/>
    </w:rPr>
  </w:style>
  <w:style w:type="paragraph" w:styleId="Closing">
    <w:name w:val="Closing"/>
    <w:basedOn w:val="Normal"/>
    <w:link w:val="ClosingChar"/>
    <w:uiPriority w:val="7"/>
    <w:semiHidden/>
    <w:unhideWhenUsed/>
    <w:locked/>
    <w:rsid w:val="00372E2B"/>
    <w:pPr>
      <w:ind w:left="4252"/>
    </w:pPr>
  </w:style>
  <w:style w:type="character" w:customStyle="1" w:styleId="ClosingChar">
    <w:name w:val="Closing Char"/>
    <w:basedOn w:val="DefaultParagraphFont"/>
    <w:link w:val="Closing"/>
    <w:uiPriority w:val="7"/>
    <w:semiHidden/>
    <w:rsid w:val="00B60D19"/>
  </w:style>
  <w:style w:type="table" w:styleId="ColorfulGrid">
    <w:name w:val="Colorful Grid"/>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D5CFD1" w:themeFill="text1" w:themeFillTint="33"/>
    </w:tcPr>
    <w:tblStylePr w:type="firstRow">
      <w:rPr>
        <w:b/>
        <w:bCs/>
      </w:rPr>
      <w:tblPr/>
      <w:tcPr>
        <w:shd w:val="clear" w:color="auto" w:fill="ABA0A3" w:themeFill="text1" w:themeFillTint="66"/>
      </w:tcPr>
    </w:tblStylePr>
    <w:tblStylePr w:type="lastRow">
      <w:rPr>
        <w:b/>
        <w:bCs/>
        <w:color w:val="231F20" w:themeColor="text1"/>
      </w:rPr>
      <w:tblPr/>
      <w:tcPr>
        <w:shd w:val="clear" w:color="auto" w:fill="ABA0A3" w:themeFill="text1" w:themeFillTint="66"/>
      </w:tcPr>
    </w:tblStylePr>
    <w:tblStylePr w:type="firstCol">
      <w:rPr>
        <w:color w:val="FFFFFF" w:themeColor="background1"/>
      </w:rPr>
      <w:tblPr/>
      <w:tcPr>
        <w:shd w:val="clear" w:color="auto" w:fill="1A1717" w:themeFill="text1" w:themeFillShade="BF"/>
      </w:tcPr>
    </w:tblStylePr>
    <w:tblStylePr w:type="lastCol">
      <w:rPr>
        <w:color w:val="FFFFFF" w:themeColor="background1"/>
      </w:rPr>
      <w:tblPr/>
      <w:tcPr>
        <w:shd w:val="clear" w:color="auto" w:fill="1A1717" w:themeFill="text1" w:themeFillShade="BF"/>
      </w:tcPr>
    </w:tblStylePr>
    <w:tblStylePr w:type="band1Vert">
      <w:tblPr/>
      <w:tcPr>
        <w:shd w:val="clear" w:color="auto" w:fill="97898C" w:themeFill="text1" w:themeFillTint="7F"/>
      </w:tcPr>
    </w:tblStylePr>
    <w:tblStylePr w:type="band1Horz">
      <w:tblPr/>
      <w:tcPr>
        <w:shd w:val="clear" w:color="auto" w:fill="97898C" w:themeFill="text1" w:themeFillTint="7F"/>
      </w:tcPr>
    </w:tblStylePr>
  </w:style>
  <w:style w:type="table" w:styleId="ColorfulGrid-Accent1">
    <w:name w:val="Colorful Grid Accent 1"/>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D9E5D4" w:themeFill="accent1" w:themeFillTint="33"/>
    </w:tcPr>
    <w:tblStylePr w:type="firstRow">
      <w:rPr>
        <w:b/>
        <w:bCs/>
      </w:rPr>
      <w:tblPr/>
      <w:tcPr>
        <w:shd w:val="clear" w:color="auto" w:fill="B3CCAA" w:themeFill="accent1" w:themeFillTint="66"/>
      </w:tcPr>
    </w:tblStylePr>
    <w:tblStylePr w:type="lastRow">
      <w:rPr>
        <w:b/>
        <w:bCs/>
        <w:color w:val="231F20" w:themeColor="text1"/>
      </w:rPr>
      <w:tblPr/>
      <w:tcPr>
        <w:shd w:val="clear" w:color="auto" w:fill="B3CCAA" w:themeFill="accent1" w:themeFillTint="66"/>
      </w:tcPr>
    </w:tblStylePr>
    <w:tblStylePr w:type="firstCol">
      <w:rPr>
        <w:color w:val="FFFFFF" w:themeColor="background1"/>
      </w:rPr>
      <w:tblPr/>
      <w:tcPr>
        <w:shd w:val="clear" w:color="auto" w:fill="385130" w:themeFill="accent1" w:themeFillShade="BF"/>
      </w:tcPr>
    </w:tblStylePr>
    <w:tblStylePr w:type="lastCol">
      <w:rPr>
        <w:color w:val="FFFFFF" w:themeColor="background1"/>
      </w:rPr>
      <w:tblPr/>
      <w:tcPr>
        <w:shd w:val="clear" w:color="auto" w:fill="385130" w:themeFill="accent1" w:themeFillShade="BF"/>
      </w:tcPr>
    </w:tblStylePr>
    <w:tblStylePr w:type="band1Vert">
      <w:tblPr/>
      <w:tcPr>
        <w:shd w:val="clear" w:color="auto" w:fill="A0C096" w:themeFill="accent1" w:themeFillTint="7F"/>
      </w:tcPr>
    </w:tblStylePr>
    <w:tblStylePr w:type="band1Horz">
      <w:tblPr/>
      <w:tcPr>
        <w:shd w:val="clear" w:color="auto" w:fill="A0C096" w:themeFill="accent1" w:themeFillTint="7F"/>
      </w:tcPr>
    </w:tblStylePr>
  </w:style>
  <w:style w:type="table" w:styleId="ColorfulGrid-Accent2">
    <w:name w:val="Colorful Grid Accent 2"/>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F0F1D4" w:themeFill="accent2" w:themeFillTint="33"/>
    </w:tcPr>
    <w:tblStylePr w:type="firstRow">
      <w:rPr>
        <w:b/>
        <w:bCs/>
      </w:rPr>
      <w:tblPr/>
      <w:tcPr>
        <w:shd w:val="clear" w:color="auto" w:fill="E2E4AA" w:themeFill="accent2" w:themeFillTint="66"/>
      </w:tcPr>
    </w:tblStylePr>
    <w:tblStylePr w:type="lastRow">
      <w:rPr>
        <w:b/>
        <w:bCs/>
        <w:color w:val="231F20" w:themeColor="text1"/>
      </w:rPr>
      <w:tblPr/>
      <w:tcPr>
        <w:shd w:val="clear" w:color="auto" w:fill="E2E4AA" w:themeFill="accent2" w:themeFillTint="66"/>
      </w:tcPr>
    </w:tblStylePr>
    <w:tblStylePr w:type="firstCol">
      <w:rPr>
        <w:color w:val="FFFFFF" w:themeColor="background1"/>
      </w:rPr>
      <w:tblPr/>
      <w:tcPr>
        <w:shd w:val="clear" w:color="auto" w:fill="808429" w:themeFill="accent2" w:themeFillShade="BF"/>
      </w:tcPr>
    </w:tblStylePr>
    <w:tblStylePr w:type="lastCol">
      <w:rPr>
        <w:color w:val="FFFFFF" w:themeColor="background1"/>
      </w:rPr>
      <w:tblPr/>
      <w:tcPr>
        <w:shd w:val="clear" w:color="auto" w:fill="808429" w:themeFill="accent2" w:themeFillShade="BF"/>
      </w:tcPr>
    </w:tblStylePr>
    <w:tblStylePr w:type="band1Vert">
      <w:tblPr/>
      <w:tcPr>
        <w:shd w:val="clear" w:color="auto" w:fill="DBDE95" w:themeFill="accent2" w:themeFillTint="7F"/>
      </w:tcPr>
    </w:tblStylePr>
    <w:tblStylePr w:type="band1Horz">
      <w:tblPr/>
      <w:tcPr>
        <w:shd w:val="clear" w:color="auto" w:fill="DBDE95" w:themeFill="accent2" w:themeFillTint="7F"/>
      </w:tcPr>
    </w:tblStylePr>
  </w:style>
  <w:style w:type="table" w:styleId="ColorfulGrid-Accent3">
    <w:name w:val="Colorful Grid Accent 3"/>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B5EFFF" w:themeFill="accent3" w:themeFillTint="33"/>
    </w:tcPr>
    <w:tblStylePr w:type="firstRow">
      <w:rPr>
        <w:b/>
        <w:bCs/>
      </w:rPr>
      <w:tblPr/>
      <w:tcPr>
        <w:shd w:val="clear" w:color="auto" w:fill="6CDFFF" w:themeFill="accent3" w:themeFillTint="66"/>
      </w:tcPr>
    </w:tblStylePr>
    <w:tblStylePr w:type="lastRow">
      <w:rPr>
        <w:b/>
        <w:bCs/>
        <w:color w:val="231F20" w:themeColor="text1"/>
      </w:rPr>
      <w:tblPr/>
      <w:tcPr>
        <w:shd w:val="clear" w:color="auto" w:fill="6CDFFF" w:themeFill="accent3" w:themeFillTint="66"/>
      </w:tcPr>
    </w:tblStylePr>
    <w:tblStylePr w:type="firstCol">
      <w:rPr>
        <w:color w:val="FFFFFF" w:themeColor="background1"/>
      </w:rPr>
      <w:tblPr/>
      <w:tcPr>
        <w:shd w:val="clear" w:color="auto" w:fill="00546B" w:themeFill="accent3" w:themeFillShade="BF"/>
      </w:tcPr>
    </w:tblStylePr>
    <w:tblStylePr w:type="lastCol">
      <w:rPr>
        <w:color w:val="FFFFFF" w:themeColor="background1"/>
      </w:rPr>
      <w:tblPr/>
      <w:tcPr>
        <w:shd w:val="clear" w:color="auto" w:fill="00546B" w:themeFill="accent3" w:themeFillShade="BF"/>
      </w:tcPr>
    </w:tblStylePr>
    <w:tblStylePr w:type="band1Vert">
      <w:tblPr/>
      <w:tcPr>
        <w:shd w:val="clear" w:color="auto" w:fill="48D8FF" w:themeFill="accent3" w:themeFillTint="7F"/>
      </w:tcPr>
    </w:tblStylePr>
    <w:tblStylePr w:type="band1Horz">
      <w:tblPr/>
      <w:tcPr>
        <w:shd w:val="clear" w:color="auto" w:fill="48D8FF" w:themeFill="accent3" w:themeFillTint="7F"/>
      </w:tcPr>
    </w:tblStylePr>
  </w:style>
  <w:style w:type="table" w:styleId="ColorfulGrid-Accent4">
    <w:name w:val="Colorful Grid Accent 4"/>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BDFFF8" w:themeFill="accent4" w:themeFillTint="33"/>
    </w:tcPr>
    <w:tblStylePr w:type="firstRow">
      <w:rPr>
        <w:b/>
        <w:bCs/>
      </w:rPr>
      <w:tblPr/>
      <w:tcPr>
        <w:shd w:val="clear" w:color="auto" w:fill="7CFFF1" w:themeFill="accent4" w:themeFillTint="66"/>
      </w:tcPr>
    </w:tblStylePr>
    <w:tblStylePr w:type="lastRow">
      <w:rPr>
        <w:b/>
        <w:bCs/>
        <w:color w:val="231F20" w:themeColor="text1"/>
      </w:rPr>
      <w:tblPr/>
      <w:tcPr>
        <w:shd w:val="clear" w:color="auto" w:fill="7CFFF1" w:themeFill="accent4" w:themeFillTint="66"/>
      </w:tcPr>
    </w:tblStylePr>
    <w:tblStylePr w:type="firstCol">
      <w:rPr>
        <w:color w:val="FFFFFF" w:themeColor="background1"/>
      </w:rPr>
      <w:tblPr/>
      <w:tcPr>
        <w:shd w:val="clear" w:color="auto" w:fill="00897B" w:themeFill="accent4" w:themeFillShade="BF"/>
      </w:tcPr>
    </w:tblStylePr>
    <w:tblStylePr w:type="lastCol">
      <w:rPr>
        <w:color w:val="FFFFFF" w:themeColor="background1"/>
      </w:rPr>
      <w:tblPr/>
      <w:tcPr>
        <w:shd w:val="clear" w:color="auto" w:fill="00897B" w:themeFill="accent4" w:themeFillShade="BF"/>
      </w:tcPr>
    </w:tblStylePr>
    <w:tblStylePr w:type="band1Vert">
      <w:tblPr/>
      <w:tcPr>
        <w:shd w:val="clear" w:color="auto" w:fill="5CFFED" w:themeFill="accent4" w:themeFillTint="7F"/>
      </w:tcPr>
    </w:tblStylePr>
    <w:tblStylePr w:type="band1Horz">
      <w:tblPr/>
      <w:tcPr>
        <w:shd w:val="clear" w:color="auto" w:fill="5CFFED" w:themeFill="accent4" w:themeFillTint="7F"/>
      </w:tcPr>
    </w:tblStylePr>
  </w:style>
  <w:style w:type="table" w:styleId="ColorfulGrid-Accent5">
    <w:name w:val="Colorful Grid Accent 5"/>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FCDBD8" w:themeFill="accent5" w:themeFillTint="33"/>
    </w:tcPr>
    <w:tblStylePr w:type="firstRow">
      <w:rPr>
        <w:b/>
        <w:bCs/>
      </w:rPr>
      <w:tblPr/>
      <w:tcPr>
        <w:shd w:val="clear" w:color="auto" w:fill="F9B7B1" w:themeFill="accent5" w:themeFillTint="66"/>
      </w:tcPr>
    </w:tblStylePr>
    <w:tblStylePr w:type="lastRow">
      <w:rPr>
        <w:b/>
        <w:bCs/>
        <w:color w:val="231F20" w:themeColor="text1"/>
      </w:rPr>
      <w:tblPr/>
      <w:tcPr>
        <w:shd w:val="clear" w:color="auto" w:fill="F9B7B1" w:themeFill="accent5" w:themeFillTint="66"/>
      </w:tcPr>
    </w:tblStylePr>
    <w:tblStylePr w:type="firstCol">
      <w:rPr>
        <w:color w:val="FFFFFF" w:themeColor="background1"/>
      </w:rPr>
      <w:tblPr/>
      <w:tcPr>
        <w:shd w:val="clear" w:color="auto" w:fill="D11F10" w:themeFill="accent5" w:themeFillShade="BF"/>
      </w:tcPr>
    </w:tblStylePr>
    <w:tblStylePr w:type="lastCol">
      <w:rPr>
        <w:color w:val="FFFFFF" w:themeColor="background1"/>
      </w:rPr>
      <w:tblPr/>
      <w:tcPr>
        <w:shd w:val="clear" w:color="auto" w:fill="D11F10" w:themeFill="accent5" w:themeFillShade="BF"/>
      </w:tcPr>
    </w:tblStylePr>
    <w:tblStylePr w:type="band1Vert">
      <w:tblPr/>
      <w:tcPr>
        <w:shd w:val="clear" w:color="auto" w:fill="F7A59E" w:themeFill="accent5" w:themeFillTint="7F"/>
      </w:tcPr>
    </w:tblStylePr>
    <w:tblStylePr w:type="band1Horz">
      <w:tblPr/>
      <w:tcPr>
        <w:shd w:val="clear" w:color="auto" w:fill="F7A59E" w:themeFill="accent5" w:themeFillTint="7F"/>
      </w:tcPr>
    </w:tblStylePr>
  </w:style>
  <w:style w:type="table" w:styleId="ColorfulGrid-Accent6">
    <w:name w:val="Colorful Grid Accent 6"/>
    <w:basedOn w:val="TableNormal"/>
    <w:uiPriority w:val="73"/>
    <w:locked/>
    <w:rsid w:val="00372E2B"/>
    <w:pPr>
      <w:spacing w:before="170" w:after="0"/>
    </w:pPr>
    <w:tblPr>
      <w:tblStyleRowBandSize w:val="1"/>
      <w:tblStyleColBandSize w:val="1"/>
      <w:tblBorders>
        <w:insideH w:val="single" w:sz="4" w:space="0" w:color="FFFFFF" w:themeColor="background1"/>
      </w:tblBorders>
    </w:tblPr>
    <w:tcPr>
      <w:shd w:val="clear" w:color="auto" w:fill="FEECD1" w:themeFill="accent6" w:themeFillTint="33"/>
    </w:tcPr>
    <w:tblStylePr w:type="firstRow">
      <w:rPr>
        <w:b/>
        <w:bCs/>
      </w:rPr>
      <w:tblPr/>
      <w:tcPr>
        <w:shd w:val="clear" w:color="auto" w:fill="FDD9A3" w:themeFill="accent6" w:themeFillTint="66"/>
      </w:tcPr>
    </w:tblStylePr>
    <w:tblStylePr w:type="lastRow">
      <w:rPr>
        <w:b/>
        <w:bCs/>
        <w:color w:val="231F20" w:themeColor="text1"/>
      </w:rPr>
      <w:tblPr/>
      <w:tcPr>
        <w:shd w:val="clear" w:color="auto" w:fill="FDD9A3" w:themeFill="accent6" w:themeFillTint="66"/>
      </w:tcPr>
    </w:tblStylePr>
    <w:tblStylePr w:type="firstCol">
      <w:rPr>
        <w:color w:val="FFFFFF" w:themeColor="background1"/>
      </w:rPr>
      <w:tblPr/>
      <w:tcPr>
        <w:shd w:val="clear" w:color="auto" w:fill="CA7C04" w:themeFill="accent6" w:themeFillShade="BF"/>
      </w:tcPr>
    </w:tblStylePr>
    <w:tblStylePr w:type="lastCol">
      <w:rPr>
        <w:color w:val="FFFFFF" w:themeColor="background1"/>
      </w:rPr>
      <w:tblPr/>
      <w:tcPr>
        <w:shd w:val="clear" w:color="auto" w:fill="CA7C04" w:themeFill="accent6" w:themeFillShade="BF"/>
      </w:tcPr>
    </w:tblStylePr>
    <w:tblStylePr w:type="band1Vert">
      <w:tblPr/>
      <w:tcPr>
        <w:shd w:val="clear" w:color="auto" w:fill="FCD08D" w:themeFill="accent6" w:themeFillTint="7F"/>
      </w:tcPr>
    </w:tblStylePr>
    <w:tblStylePr w:type="band1Horz">
      <w:tblPr/>
      <w:tcPr>
        <w:shd w:val="clear" w:color="auto" w:fill="FCD08D" w:themeFill="accent6" w:themeFillTint="7F"/>
      </w:tcPr>
    </w:tblStylePr>
  </w:style>
  <w:style w:type="table" w:styleId="ColorfulList">
    <w:name w:val="Colorful List"/>
    <w:basedOn w:val="TableNormal"/>
    <w:uiPriority w:val="72"/>
    <w:locked/>
    <w:rsid w:val="00372E2B"/>
    <w:pPr>
      <w:spacing w:before="170" w:after="0"/>
    </w:pPr>
    <w:tblPr>
      <w:tblStyleRowBandSize w:val="1"/>
      <w:tblStyleColBandSize w:val="1"/>
    </w:tblPr>
    <w:tcPr>
      <w:shd w:val="clear" w:color="auto" w:fill="EAE7E8" w:themeFill="text1" w:themeFillTint="19"/>
    </w:tcPr>
    <w:tblStylePr w:type="firstRow">
      <w:rPr>
        <w:b/>
        <w:bCs/>
        <w:color w:val="FFFFFF" w:themeColor="background1"/>
      </w:rPr>
      <w:tblPr/>
      <w:tcPr>
        <w:tcBorders>
          <w:bottom w:val="single" w:sz="12" w:space="0" w:color="FFFFFF" w:themeColor="background1"/>
        </w:tcBorders>
        <w:shd w:val="clear" w:color="auto" w:fill="898D2C" w:themeFill="accent2" w:themeFillShade="CC"/>
      </w:tcPr>
    </w:tblStylePr>
    <w:tblStylePr w:type="lastRow">
      <w:rPr>
        <w:b/>
        <w:bCs/>
        <w:color w:val="898D2C" w:themeColor="accent2"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C4C6" w:themeFill="text1" w:themeFillTint="3F"/>
      </w:tcPr>
    </w:tblStylePr>
    <w:tblStylePr w:type="band1Horz">
      <w:tblPr/>
      <w:tcPr>
        <w:shd w:val="clear" w:color="auto" w:fill="D5CFD1" w:themeFill="text1" w:themeFillTint="33"/>
      </w:tcPr>
    </w:tblStylePr>
  </w:style>
  <w:style w:type="table" w:styleId="ColorfulList-Accent1">
    <w:name w:val="Colorful List Accent 1"/>
    <w:basedOn w:val="TableNormal"/>
    <w:uiPriority w:val="72"/>
    <w:locked/>
    <w:rsid w:val="00372E2B"/>
    <w:pPr>
      <w:spacing w:before="170" w:after="0"/>
    </w:pPr>
    <w:tblPr>
      <w:tblStyleRowBandSize w:val="1"/>
      <w:tblStyleColBandSize w:val="1"/>
    </w:tblPr>
    <w:tcPr>
      <w:shd w:val="clear" w:color="auto" w:fill="ECF2EA" w:themeFill="accent1" w:themeFillTint="19"/>
    </w:tcPr>
    <w:tblStylePr w:type="firstRow">
      <w:rPr>
        <w:b/>
        <w:bCs/>
        <w:color w:val="FFFFFF" w:themeColor="background1"/>
      </w:rPr>
      <w:tblPr/>
      <w:tcPr>
        <w:tcBorders>
          <w:bottom w:val="single" w:sz="12" w:space="0" w:color="FFFFFF" w:themeColor="background1"/>
        </w:tcBorders>
        <w:shd w:val="clear" w:color="auto" w:fill="898D2C" w:themeFill="accent2" w:themeFillShade="CC"/>
      </w:tcPr>
    </w:tblStylePr>
    <w:tblStylePr w:type="lastRow">
      <w:rPr>
        <w:b/>
        <w:bCs/>
        <w:color w:val="898D2C" w:themeColor="accent2"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E0CA" w:themeFill="accent1" w:themeFillTint="3F"/>
      </w:tcPr>
    </w:tblStylePr>
    <w:tblStylePr w:type="band1Horz">
      <w:tblPr/>
      <w:tcPr>
        <w:shd w:val="clear" w:color="auto" w:fill="D9E5D4" w:themeFill="accent1" w:themeFillTint="33"/>
      </w:tcPr>
    </w:tblStylePr>
  </w:style>
  <w:style w:type="table" w:styleId="ColorfulList-Accent2">
    <w:name w:val="Colorful List Accent 2"/>
    <w:basedOn w:val="TableNormal"/>
    <w:uiPriority w:val="72"/>
    <w:locked/>
    <w:rsid w:val="00372E2B"/>
    <w:pPr>
      <w:spacing w:before="170" w:after="0"/>
    </w:pPr>
    <w:tblPr>
      <w:tblStyleRowBandSize w:val="1"/>
      <w:tblStyleColBandSize w:val="1"/>
    </w:tblPr>
    <w:tcPr>
      <w:shd w:val="clear" w:color="auto" w:fill="F8F8EA" w:themeFill="accent2" w:themeFillTint="19"/>
    </w:tcPr>
    <w:tblStylePr w:type="firstRow">
      <w:rPr>
        <w:b/>
        <w:bCs/>
        <w:color w:val="FFFFFF" w:themeColor="background1"/>
      </w:rPr>
      <w:tblPr/>
      <w:tcPr>
        <w:tcBorders>
          <w:bottom w:val="single" w:sz="12" w:space="0" w:color="FFFFFF" w:themeColor="background1"/>
        </w:tcBorders>
        <w:shd w:val="clear" w:color="auto" w:fill="898D2C" w:themeFill="accent2" w:themeFillShade="CC"/>
      </w:tcPr>
    </w:tblStylePr>
    <w:tblStylePr w:type="lastRow">
      <w:rPr>
        <w:b/>
        <w:bCs/>
        <w:color w:val="898D2C" w:themeColor="accent2"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ECA" w:themeFill="accent2" w:themeFillTint="3F"/>
      </w:tcPr>
    </w:tblStylePr>
    <w:tblStylePr w:type="band1Horz">
      <w:tblPr/>
      <w:tcPr>
        <w:shd w:val="clear" w:color="auto" w:fill="F0F1D4" w:themeFill="accent2" w:themeFillTint="33"/>
      </w:tcPr>
    </w:tblStylePr>
  </w:style>
  <w:style w:type="table" w:styleId="ColorfulList-Accent3">
    <w:name w:val="Colorful List Accent 3"/>
    <w:basedOn w:val="TableNormal"/>
    <w:uiPriority w:val="72"/>
    <w:locked/>
    <w:rsid w:val="00372E2B"/>
    <w:pPr>
      <w:spacing w:before="170" w:after="0"/>
    </w:pPr>
    <w:tblPr>
      <w:tblStyleRowBandSize w:val="1"/>
      <w:tblStyleColBandSize w:val="1"/>
    </w:tblPr>
    <w:tcPr>
      <w:shd w:val="clear" w:color="auto" w:fill="DBF7FF" w:themeFill="accent3" w:themeFillTint="19"/>
    </w:tcPr>
    <w:tblStylePr w:type="firstRow">
      <w:rPr>
        <w:b/>
        <w:bCs/>
        <w:color w:val="FFFFFF" w:themeColor="background1"/>
      </w:rPr>
      <w:tblPr/>
      <w:tcPr>
        <w:tcBorders>
          <w:bottom w:val="single" w:sz="12" w:space="0" w:color="FFFFFF" w:themeColor="background1"/>
        </w:tcBorders>
        <w:shd w:val="clear" w:color="auto" w:fill="009383" w:themeFill="accent4" w:themeFillShade="CC"/>
      </w:tcPr>
    </w:tblStylePr>
    <w:tblStylePr w:type="lastRow">
      <w:rPr>
        <w:b/>
        <w:bCs/>
        <w:color w:val="009383" w:themeColor="accent4"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4EBFF" w:themeFill="accent3" w:themeFillTint="3F"/>
      </w:tcPr>
    </w:tblStylePr>
    <w:tblStylePr w:type="band1Horz">
      <w:tblPr/>
      <w:tcPr>
        <w:shd w:val="clear" w:color="auto" w:fill="B5EFFF" w:themeFill="accent3" w:themeFillTint="33"/>
      </w:tcPr>
    </w:tblStylePr>
  </w:style>
  <w:style w:type="table" w:styleId="ColorfulList-Accent4">
    <w:name w:val="Colorful List Accent 4"/>
    <w:basedOn w:val="TableNormal"/>
    <w:uiPriority w:val="72"/>
    <w:locked/>
    <w:rsid w:val="00372E2B"/>
    <w:pPr>
      <w:spacing w:before="170" w:after="0"/>
    </w:pPr>
    <w:tblPr>
      <w:tblStyleRowBandSize w:val="1"/>
      <w:tblStyleColBandSize w:val="1"/>
    </w:tblPr>
    <w:tcPr>
      <w:shd w:val="clear" w:color="auto" w:fill="DFFFFB" w:themeFill="accent4" w:themeFillTint="19"/>
    </w:tcPr>
    <w:tblStylePr w:type="firstRow">
      <w:rPr>
        <w:b/>
        <w:bCs/>
        <w:color w:val="FFFFFF" w:themeColor="background1"/>
      </w:rPr>
      <w:tblPr/>
      <w:tcPr>
        <w:tcBorders>
          <w:bottom w:val="single" w:sz="12" w:space="0" w:color="FFFFFF" w:themeColor="background1"/>
        </w:tcBorders>
        <w:shd w:val="clear" w:color="auto" w:fill="005A72" w:themeFill="accent3" w:themeFillShade="CC"/>
      </w:tcPr>
    </w:tblStylePr>
    <w:tblStylePr w:type="lastRow">
      <w:rPr>
        <w:b/>
        <w:bCs/>
        <w:color w:val="005A72" w:themeColor="accent3"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EFFF6" w:themeFill="accent4" w:themeFillTint="3F"/>
      </w:tcPr>
    </w:tblStylePr>
    <w:tblStylePr w:type="band1Horz">
      <w:tblPr/>
      <w:tcPr>
        <w:shd w:val="clear" w:color="auto" w:fill="BDFFF8" w:themeFill="accent4" w:themeFillTint="33"/>
      </w:tcPr>
    </w:tblStylePr>
  </w:style>
  <w:style w:type="table" w:styleId="ColorfulList-Accent5">
    <w:name w:val="Colorful List Accent 5"/>
    <w:basedOn w:val="TableNormal"/>
    <w:uiPriority w:val="72"/>
    <w:locked/>
    <w:rsid w:val="00372E2B"/>
    <w:pPr>
      <w:spacing w:before="170" w:after="0"/>
    </w:pPr>
    <w:tblPr>
      <w:tblStyleRowBandSize w:val="1"/>
      <w:tblStyleColBandSize w:val="1"/>
    </w:tblPr>
    <w:tcPr>
      <w:shd w:val="clear" w:color="auto" w:fill="FDEDEB" w:themeFill="accent5" w:themeFillTint="19"/>
    </w:tcPr>
    <w:tblStylePr w:type="firstRow">
      <w:rPr>
        <w:b/>
        <w:bCs/>
        <w:color w:val="FFFFFF" w:themeColor="background1"/>
      </w:rPr>
      <w:tblPr/>
      <w:tcPr>
        <w:tcBorders>
          <w:bottom w:val="single" w:sz="12" w:space="0" w:color="FFFFFF" w:themeColor="background1"/>
        </w:tcBorders>
        <w:shd w:val="clear" w:color="auto" w:fill="D88404" w:themeFill="accent6" w:themeFillShade="CC"/>
      </w:tcPr>
    </w:tblStylePr>
    <w:tblStylePr w:type="lastRow">
      <w:rPr>
        <w:b/>
        <w:bCs/>
        <w:color w:val="D88404" w:themeColor="accent6"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2CF" w:themeFill="accent5" w:themeFillTint="3F"/>
      </w:tcPr>
    </w:tblStylePr>
    <w:tblStylePr w:type="band1Horz">
      <w:tblPr/>
      <w:tcPr>
        <w:shd w:val="clear" w:color="auto" w:fill="FCDBD8" w:themeFill="accent5" w:themeFillTint="33"/>
      </w:tcPr>
    </w:tblStylePr>
  </w:style>
  <w:style w:type="table" w:styleId="ColorfulList-Accent6">
    <w:name w:val="Colorful List Accent 6"/>
    <w:basedOn w:val="TableNormal"/>
    <w:uiPriority w:val="72"/>
    <w:locked/>
    <w:rsid w:val="00372E2B"/>
    <w:pPr>
      <w:spacing w:before="170" w:after="0"/>
    </w:pPr>
    <w:tblPr>
      <w:tblStyleRowBandSize w:val="1"/>
      <w:tblStyleColBandSize w:val="1"/>
    </w:tblPr>
    <w:tcPr>
      <w:shd w:val="clear" w:color="auto" w:fill="FEF5E8" w:themeFill="accent6" w:themeFillTint="19"/>
    </w:tcPr>
    <w:tblStylePr w:type="firstRow">
      <w:rPr>
        <w:b/>
        <w:bCs/>
        <w:color w:val="FFFFFF" w:themeColor="background1"/>
      </w:rPr>
      <w:tblPr/>
      <w:tcPr>
        <w:tcBorders>
          <w:bottom w:val="single" w:sz="12" w:space="0" w:color="FFFFFF" w:themeColor="background1"/>
        </w:tcBorders>
        <w:shd w:val="clear" w:color="auto" w:fill="DF2111" w:themeFill="accent5" w:themeFillShade="CC"/>
      </w:tcPr>
    </w:tblStylePr>
    <w:tblStylePr w:type="lastRow">
      <w:rPr>
        <w:b/>
        <w:bCs/>
        <w:color w:val="DF2111" w:themeColor="accent5" w:themeShade="CC"/>
      </w:rPr>
      <w:tblPr/>
      <w:tcPr>
        <w:tcBorders>
          <w:top w:val="single" w:sz="12" w:space="0" w:color="231F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7C6" w:themeFill="accent6" w:themeFillTint="3F"/>
      </w:tcPr>
    </w:tblStylePr>
    <w:tblStylePr w:type="band1Horz">
      <w:tblPr/>
      <w:tcPr>
        <w:shd w:val="clear" w:color="auto" w:fill="FEECD1" w:themeFill="accent6" w:themeFillTint="33"/>
      </w:tcPr>
    </w:tblStylePr>
  </w:style>
  <w:style w:type="table" w:styleId="ColorfulShading">
    <w:name w:val="Colorful Shading"/>
    <w:basedOn w:val="TableNormal"/>
    <w:uiPriority w:val="71"/>
    <w:locked/>
    <w:rsid w:val="00372E2B"/>
    <w:pPr>
      <w:spacing w:before="170" w:after="0"/>
    </w:pPr>
    <w:tblPr>
      <w:tblStyleRowBandSize w:val="1"/>
      <w:tblStyleColBandSize w:val="1"/>
      <w:tblBorders>
        <w:top w:val="single" w:sz="24" w:space="0" w:color="ACB137" w:themeColor="accent2"/>
        <w:left w:val="single" w:sz="4" w:space="0" w:color="231F20" w:themeColor="text1"/>
        <w:bottom w:val="single" w:sz="4" w:space="0" w:color="231F20" w:themeColor="text1"/>
        <w:right w:val="single" w:sz="4" w:space="0" w:color="231F20" w:themeColor="text1"/>
        <w:insideH w:val="single" w:sz="4" w:space="0" w:color="FFFFFF" w:themeColor="background1"/>
        <w:insideV w:val="single" w:sz="4" w:space="0" w:color="FFFFFF" w:themeColor="background1"/>
      </w:tblBorders>
    </w:tblPr>
    <w:tcPr>
      <w:shd w:val="clear" w:color="auto" w:fill="EAE7E8" w:themeFill="text1" w:themeFillTint="19"/>
    </w:tcPr>
    <w:tblStylePr w:type="firstRow">
      <w:rPr>
        <w:b/>
        <w:bCs/>
      </w:rPr>
      <w:tblPr/>
      <w:tcPr>
        <w:tcBorders>
          <w:top w:val="nil"/>
          <w:left w:val="nil"/>
          <w:bottom w:val="single" w:sz="24" w:space="0" w:color="ACB13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41213" w:themeFill="text1" w:themeFillShade="99"/>
      </w:tcPr>
    </w:tblStylePr>
    <w:tblStylePr w:type="firstCol">
      <w:rPr>
        <w:color w:val="FFFFFF" w:themeColor="background1"/>
      </w:rPr>
      <w:tblPr/>
      <w:tcPr>
        <w:tcBorders>
          <w:top w:val="nil"/>
          <w:left w:val="nil"/>
          <w:bottom w:val="nil"/>
          <w:right w:val="nil"/>
          <w:insideH w:val="single" w:sz="4" w:space="0" w:color="141213" w:themeColor="text1" w:themeShade="99"/>
          <w:insideV w:val="nil"/>
        </w:tcBorders>
        <w:shd w:val="clear" w:color="auto" w:fill="141213"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A1717" w:themeFill="text1" w:themeFillShade="BF"/>
      </w:tcPr>
    </w:tblStylePr>
    <w:tblStylePr w:type="band1Vert">
      <w:tblPr/>
      <w:tcPr>
        <w:shd w:val="clear" w:color="auto" w:fill="ABA0A3" w:themeFill="text1" w:themeFillTint="66"/>
      </w:tcPr>
    </w:tblStylePr>
    <w:tblStylePr w:type="band1Horz">
      <w:tblPr/>
      <w:tcPr>
        <w:shd w:val="clear" w:color="auto" w:fill="97898C" w:themeFill="text1" w:themeFillTint="7F"/>
      </w:tcPr>
    </w:tblStylePr>
    <w:tblStylePr w:type="neCell">
      <w:rPr>
        <w:color w:val="231F20" w:themeColor="text1"/>
      </w:rPr>
    </w:tblStylePr>
    <w:tblStylePr w:type="nwCell">
      <w:rPr>
        <w:color w:val="231F20" w:themeColor="text1"/>
      </w:rPr>
    </w:tblStylePr>
  </w:style>
  <w:style w:type="table" w:styleId="ColorfulShading-Accent1">
    <w:name w:val="Colorful Shading Accent 1"/>
    <w:basedOn w:val="TableNormal"/>
    <w:uiPriority w:val="71"/>
    <w:locked/>
    <w:rsid w:val="00372E2B"/>
    <w:pPr>
      <w:spacing w:before="170" w:after="0"/>
    </w:pPr>
    <w:tblPr>
      <w:tblStyleRowBandSize w:val="1"/>
      <w:tblStyleColBandSize w:val="1"/>
      <w:tblBorders>
        <w:top w:val="single" w:sz="24" w:space="0" w:color="ACB137" w:themeColor="accent2"/>
        <w:left w:val="single" w:sz="4" w:space="0" w:color="4C6D41" w:themeColor="accent1"/>
        <w:bottom w:val="single" w:sz="4" w:space="0" w:color="4C6D41" w:themeColor="accent1"/>
        <w:right w:val="single" w:sz="4" w:space="0" w:color="4C6D41" w:themeColor="accent1"/>
        <w:insideH w:val="single" w:sz="4" w:space="0" w:color="FFFFFF" w:themeColor="background1"/>
        <w:insideV w:val="single" w:sz="4" w:space="0" w:color="FFFFFF" w:themeColor="background1"/>
      </w:tblBorders>
    </w:tblPr>
    <w:tcPr>
      <w:shd w:val="clear" w:color="auto" w:fill="ECF2EA" w:themeFill="accent1" w:themeFillTint="19"/>
    </w:tcPr>
    <w:tblStylePr w:type="firstRow">
      <w:rPr>
        <w:b/>
        <w:bCs/>
      </w:rPr>
      <w:tblPr/>
      <w:tcPr>
        <w:tcBorders>
          <w:top w:val="nil"/>
          <w:left w:val="nil"/>
          <w:bottom w:val="single" w:sz="24" w:space="0" w:color="ACB13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4127" w:themeFill="accent1" w:themeFillShade="99"/>
      </w:tcPr>
    </w:tblStylePr>
    <w:tblStylePr w:type="firstCol">
      <w:rPr>
        <w:color w:val="FFFFFF" w:themeColor="background1"/>
      </w:rPr>
      <w:tblPr/>
      <w:tcPr>
        <w:tcBorders>
          <w:top w:val="nil"/>
          <w:left w:val="nil"/>
          <w:bottom w:val="nil"/>
          <w:right w:val="nil"/>
          <w:insideH w:val="single" w:sz="4" w:space="0" w:color="2D4127" w:themeColor="accent1" w:themeShade="99"/>
          <w:insideV w:val="nil"/>
        </w:tcBorders>
        <w:shd w:val="clear" w:color="auto" w:fill="2D412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D4127" w:themeFill="accent1" w:themeFillShade="99"/>
      </w:tcPr>
    </w:tblStylePr>
    <w:tblStylePr w:type="band1Vert">
      <w:tblPr/>
      <w:tcPr>
        <w:shd w:val="clear" w:color="auto" w:fill="B3CCAA" w:themeFill="accent1" w:themeFillTint="66"/>
      </w:tcPr>
    </w:tblStylePr>
    <w:tblStylePr w:type="band1Horz">
      <w:tblPr/>
      <w:tcPr>
        <w:shd w:val="clear" w:color="auto" w:fill="A0C096" w:themeFill="accent1" w:themeFillTint="7F"/>
      </w:tcPr>
    </w:tblStylePr>
    <w:tblStylePr w:type="neCell">
      <w:rPr>
        <w:color w:val="231F20" w:themeColor="text1"/>
      </w:rPr>
    </w:tblStylePr>
    <w:tblStylePr w:type="nwCell">
      <w:rPr>
        <w:color w:val="231F20" w:themeColor="text1"/>
      </w:rPr>
    </w:tblStylePr>
  </w:style>
  <w:style w:type="table" w:styleId="ColorfulShading-Accent2">
    <w:name w:val="Colorful Shading Accent 2"/>
    <w:basedOn w:val="TableNormal"/>
    <w:uiPriority w:val="71"/>
    <w:locked/>
    <w:rsid w:val="00372E2B"/>
    <w:pPr>
      <w:spacing w:before="170" w:after="0"/>
    </w:pPr>
    <w:tblPr>
      <w:tblStyleRowBandSize w:val="1"/>
      <w:tblStyleColBandSize w:val="1"/>
      <w:tblBorders>
        <w:top w:val="single" w:sz="24" w:space="0" w:color="ACB137" w:themeColor="accent2"/>
        <w:left w:val="single" w:sz="4" w:space="0" w:color="ACB137" w:themeColor="accent2"/>
        <w:bottom w:val="single" w:sz="4" w:space="0" w:color="ACB137" w:themeColor="accent2"/>
        <w:right w:val="single" w:sz="4" w:space="0" w:color="ACB137" w:themeColor="accent2"/>
        <w:insideH w:val="single" w:sz="4" w:space="0" w:color="FFFFFF" w:themeColor="background1"/>
        <w:insideV w:val="single" w:sz="4" w:space="0" w:color="FFFFFF" w:themeColor="background1"/>
      </w:tblBorders>
    </w:tblPr>
    <w:tcPr>
      <w:shd w:val="clear" w:color="auto" w:fill="F8F8EA" w:themeFill="accent2" w:themeFillTint="19"/>
    </w:tcPr>
    <w:tblStylePr w:type="firstRow">
      <w:rPr>
        <w:b/>
        <w:bCs/>
      </w:rPr>
      <w:tblPr/>
      <w:tcPr>
        <w:tcBorders>
          <w:top w:val="nil"/>
          <w:left w:val="nil"/>
          <w:bottom w:val="single" w:sz="24" w:space="0" w:color="ACB13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6A21" w:themeFill="accent2" w:themeFillShade="99"/>
      </w:tcPr>
    </w:tblStylePr>
    <w:tblStylePr w:type="firstCol">
      <w:rPr>
        <w:color w:val="FFFFFF" w:themeColor="background1"/>
      </w:rPr>
      <w:tblPr/>
      <w:tcPr>
        <w:tcBorders>
          <w:top w:val="nil"/>
          <w:left w:val="nil"/>
          <w:bottom w:val="nil"/>
          <w:right w:val="nil"/>
          <w:insideH w:val="single" w:sz="4" w:space="0" w:color="666A21" w:themeColor="accent2" w:themeShade="99"/>
          <w:insideV w:val="nil"/>
        </w:tcBorders>
        <w:shd w:val="clear" w:color="auto" w:fill="666A2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66A21" w:themeFill="accent2" w:themeFillShade="99"/>
      </w:tcPr>
    </w:tblStylePr>
    <w:tblStylePr w:type="band1Vert">
      <w:tblPr/>
      <w:tcPr>
        <w:shd w:val="clear" w:color="auto" w:fill="E2E4AA" w:themeFill="accent2" w:themeFillTint="66"/>
      </w:tcPr>
    </w:tblStylePr>
    <w:tblStylePr w:type="band1Horz">
      <w:tblPr/>
      <w:tcPr>
        <w:shd w:val="clear" w:color="auto" w:fill="DBDE95" w:themeFill="accent2" w:themeFillTint="7F"/>
      </w:tcPr>
    </w:tblStylePr>
    <w:tblStylePr w:type="neCell">
      <w:rPr>
        <w:color w:val="231F20" w:themeColor="text1"/>
      </w:rPr>
    </w:tblStylePr>
    <w:tblStylePr w:type="nwCell">
      <w:rPr>
        <w:color w:val="231F20" w:themeColor="text1"/>
      </w:rPr>
    </w:tblStylePr>
  </w:style>
  <w:style w:type="table" w:styleId="ColorfulShading-Accent3">
    <w:name w:val="Colorful Shading Accent 3"/>
    <w:basedOn w:val="TableNormal"/>
    <w:uiPriority w:val="71"/>
    <w:locked/>
    <w:rsid w:val="00372E2B"/>
    <w:pPr>
      <w:spacing w:before="170" w:after="0"/>
    </w:pPr>
    <w:tblPr>
      <w:tblStyleRowBandSize w:val="1"/>
      <w:tblStyleColBandSize w:val="1"/>
      <w:tblBorders>
        <w:top w:val="single" w:sz="24" w:space="0" w:color="00B8A5" w:themeColor="accent4"/>
        <w:left w:val="single" w:sz="4" w:space="0" w:color="00718F" w:themeColor="accent3"/>
        <w:bottom w:val="single" w:sz="4" w:space="0" w:color="00718F" w:themeColor="accent3"/>
        <w:right w:val="single" w:sz="4" w:space="0" w:color="00718F" w:themeColor="accent3"/>
        <w:insideH w:val="single" w:sz="4" w:space="0" w:color="FFFFFF" w:themeColor="background1"/>
        <w:insideV w:val="single" w:sz="4" w:space="0" w:color="FFFFFF" w:themeColor="background1"/>
      </w:tblBorders>
    </w:tblPr>
    <w:tcPr>
      <w:shd w:val="clear" w:color="auto" w:fill="DBF7FF" w:themeFill="accent3" w:themeFillTint="19"/>
    </w:tcPr>
    <w:tblStylePr w:type="firstRow">
      <w:rPr>
        <w:b/>
        <w:bCs/>
      </w:rPr>
      <w:tblPr/>
      <w:tcPr>
        <w:tcBorders>
          <w:top w:val="nil"/>
          <w:left w:val="nil"/>
          <w:bottom w:val="single" w:sz="24" w:space="0" w:color="00B8A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355" w:themeFill="accent3" w:themeFillShade="99"/>
      </w:tcPr>
    </w:tblStylePr>
    <w:tblStylePr w:type="firstCol">
      <w:rPr>
        <w:color w:val="FFFFFF" w:themeColor="background1"/>
      </w:rPr>
      <w:tblPr/>
      <w:tcPr>
        <w:tcBorders>
          <w:top w:val="nil"/>
          <w:left w:val="nil"/>
          <w:bottom w:val="nil"/>
          <w:right w:val="nil"/>
          <w:insideH w:val="single" w:sz="4" w:space="0" w:color="004355" w:themeColor="accent3" w:themeShade="99"/>
          <w:insideV w:val="nil"/>
        </w:tcBorders>
        <w:shd w:val="clear" w:color="auto" w:fill="00435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355" w:themeFill="accent3" w:themeFillShade="99"/>
      </w:tcPr>
    </w:tblStylePr>
    <w:tblStylePr w:type="band1Vert">
      <w:tblPr/>
      <w:tcPr>
        <w:shd w:val="clear" w:color="auto" w:fill="6CDFFF" w:themeFill="accent3" w:themeFillTint="66"/>
      </w:tcPr>
    </w:tblStylePr>
    <w:tblStylePr w:type="band1Horz">
      <w:tblPr/>
      <w:tcPr>
        <w:shd w:val="clear" w:color="auto" w:fill="48D8FF" w:themeFill="accent3" w:themeFillTint="7F"/>
      </w:tcPr>
    </w:tblStylePr>
  </w:style>
  <w:style w:type="table" w:styleId="ColorfulShading-Accent4">
    <w:name w:val="Colorful Shading Accent 4"/>
    <w:basedOn w:val="TableNormal"/>
    <w:uiPriority w:val="71"/>
    <w:locked/>
    <w:rsid w:val="00372E2B"/>
    <w:pPr>
      <w:spacing w:before="170" w:after="0"/>
    </w:pPr>
    <w:tblPr>
      <w:tblStyleRowBandSize w:val="1"/>
      <w:tblStyleColBandSize w:val="1"/>
      <w:tblBorders>
        <w:top w:val="single" w:sz="24" w:space="0" w:color="00718F" w:themeColor="accent3"/>
        <w:left w:val="single" w:sz="4" w:space="0" w:color="00B8A5" w:themeColor="accent4"/>
        <w:bottom w:val="single" w:sz="4" w:space="0" w:color="00B8A5" w:themeColor="accent4"/>
        <w:right w:val="single" w:sz="4" w:space="0" w:color="00B8A5" w:themeColor="accent4"/>
        <w:insideH w:val="single" w:sz="4" w:space="0" w:color="FFFFFF" w:themeColor="background1"/>
        <w:insideV w:val="single" w:sz="4" w:space="0" w:color="FFFFFF" w:themeColor="background1"/>
      </w:tblBorders>
    </w:tblPr>
    <w:tcPr>
      <w:shd w:val="clear" w:color="auto" w:fill="DFFFFB" w:themeFill="accent4" w:themeFillTint="19"/>
    </w:tcPr>
    <w:tblStylePr w:type="firstRow">
      <w:rPr>
        <w:b/>
        <w:bCs/>
      </w:rPr>
      <w:tblPr/>
      <w:tcPr>
        <w:tcBorders>
          <w:top w:val="nil"/>
          <w:left w:val="nil"/>
          <w:bottom w:val="single" w:sz="24" w:space="0" w:color="00718F"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E62" w:themeFill="accent4" w:themeFillShade="99"/>
      </w:tcPr>
    </w:tblStylePr>
    <w:tblStylePr w:type="firstCol">
      <w:rPr>
        <w:color w:val="FFFFFF" w:themeColor="background1"/>
      </w:rPr>
      <w:tblPr/>
      <w:tcPr>
        <w:tcBorders>
          <w:top w:val="nil"/>
          <w:left w:val="nil"/>
          <w:bottom w:val="nil"/>
          <w:right w:val="nil"/>
          <w:insideH w:val="single" w:sz="4" w:space="0" w:color="006E62" w:themeColor="accent4" w:themeShade="99"/>
          <w:insideV w:val="nil"/>
        </w:tcBorders>
        <w:shd w:val="clear" w:color="auto" w:fill="006E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6E62" w:themeFill="accent4" w:themeFillShade="99"/>
      </w:tcPr>
    </w:tblStylePr>
    <w:tblStylePr w:type="band1Vert">
      <w:tblPr/>
      <w:tcPr>
        <w:shd w:val="clear" w:color="auto" w:fill="7CFFF1" w:themeFill="accent4" w:themeFillTint="66"/>
      </w:tcPr>
    </w:tblStylePr>
    <w:tblStylePr w:type="band1Horz">
      <w:tblPr/>
      <w:tcPr>
        <w:shd w:val="clear" w:color="auto" w:fill="5CFFED" w:themeFill="accent4" w:themeFillTint="7F"/>
      </w:tcPr>
    </w:tblStylePr>
    <w:tblStylePr w:type="neCell">
      <w:rPr>
        <w:color w:val="231F20" w:themeColor="text1"/>
      </w:rPr>
    </w:tblStylePr>
    <w:tblStylePr w:type="nwCell">
      <w:rPr>
        <w:color w:val="231F20" w:themeColor="text1"/>
      </w:rPr>
    </w:tblStylePr>
  </w:style>
  <w:style w:type="table" w:styleId="ColorfulShading-Accent5">
    <w:name w:val="Colorful Shading Accent 5"/>
    <w:basedOn w:val="TableNormal"/>
    <w:uiPriority w:val="71"/>
    <w:locked/>
    <w:rsid w:val="00372E2B"/>
    <w:pPr>
      <w:spacing w:before="170" w:after="0"/>
    </w:pPr>
    <w:tblPr>
      <w:tblStyleRowBandSize w:val="1"/>
      <w:tblStyleColBandSize w:val="1"/>
      <w:tblBorders>
        <w:top w:val="single" w:sz="24" w:space="0" w:color="FAA21B" w:themeColor="accent6"/>
        <w:left w:val="single" w:sz="4" w:space="0" w:color="F04C3E" w:themeColor="accent5"/>
        <w:bottom w:val="single" w:sz="4" w:space="0" w:color="F04C3E" w:themeColor="accent5"/>
        <w:right w:val="single" w:sz="4" w:space="0" w:color="F04C3E" w:themeColor="accent5"/>
        <w:insideH w:val="single" w:sz="4" w:space="0" w:color="FFFFFF" w:themeColor="background1"/>
        <w:insideV w:val="single" w:sz="4" w:space="0" w:color="FFFFFF" w:themeColor="background1"/>
      </w:tblBorders>
    </w:tblPr>
    <w:tcPr>
      <w:shd w:val="clear" w:color="auto" w:fill="FDEDEB" w:themeFill="accent5" w:themeFillTint="19"/>
    </w:tcPr>
    <w:tblStylePr w:type="firstRow">
      <w:rPr>
        <w:b/>
        <w:bCs/>
      </w:rPr>
      <w:tblPr/>
      <w:tcPr>
        <w:tcBorders>
          <w:top w:val="nil"/>
          <w:left w:val="nil"/>
          <w:bottom w:val="single" w:sz="24" w:space="0" w:color="FAA21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7190D" w:themeFill="accent5" w:themeFillShade="99"/>
      </w:tcPr>
    </w:tblStylePr>
    <w:tblStylePr w:type="firstCol">
      <w:rPr>
        <w:color w:val="FFFFFF" w:themeColor="background1"/>
      </w:rPr>
      <w:tblPr/>
      <w:tcPr>
        <w:tcBorders>
          <w:top w:val="nil"/>
          <w:left w:val="nil"/>
          <w:bottom w:val="nil"/>
          <w:right w:val="nil"/>
          <w:insideH w:val="single" w:sz="4" w:space="0" w:color="A7190D" w:themeColor="accent5" w:themeShade="99"/>
          <w:insideV w:val="nil"/>
        </w:tcBorders>
        <w:shd w:val="clear" w:color="auto" w:fill="A7190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7190D" w:themeFill="accent5" w:themeFillShade="99"/>
      </w:tcPr>
    </w:tblStylePr>
    <w:tblStylePr w:type="band1Vert">
      <w:tblPr/>
      <w:tcPr>
        <w:shd w:val="clear" w:color="auto" w:fill="F9B7B1" w:themeFill="accent5" w:themeFillTint="66"/>
      </w:tcPr>
    </w:tblStylePr>
    <w:tblStylePr w:type="band1Horz">
      <w:tblPr/>
      <w:tcPr>
        <w:shd w:val="clear" w:color="auto" w:fill="F7A59E" w:themeFill="accent5" w:themeFillTint="7F"/>
      </w:tcPr>
    </w:tblStylePr>
    <w:tblStylePr w:type="neCell">
      <w:rPr>
        <w:color w:val="231F20" w:themeColor="text1"/>
      </w:rPr>
    </w:tblStylePr>
    <w:tblStylePr w:type="nwCell">
      <w:rPr>
        <w:color w:val="231F20" w:themeColor="text1"/>
      </w:rPr>
    </w:tblStylePr>
  </w:style>
  <w:style w:type="table" w:styleId="ColorfulShading-Accent6">
    <w:name w:val="Colorful Shading Accent 6"/>
    <w:basedOn w:val="TableNormal"/>
    <w:uiPriority w:val="71"/>
    <w:locked/>
    <w:rsid w:val="00372E2B"/>
    <w:pPr>
      <w:spacing w:before="170" w:after="0"/>
    </w:pPr>
    <w:tblPr>
      <w:tblStyleRowBandSize w:val="1"/>
      <w:tblStyleColBandSize w:val="1"/>
      <w:tblBorders>
        <w:top w:val="single" w:sz="24" w:space="0" w:color="F04C3E" w:themeColor="accent5"/>
        <w:left w:val="single" w:sz="4" w:space="0" w:color="FAA21B" w:themeColor="accent6"/>
        <w:bottom w:val="single" w:sz="4" w:space="0" w:color="FAA21B" w:themeColor="accent6"/>
        <w:right w:val="single" w:sz="4" w:space="0" w:color="FAA21B" w:themeColor="accent6"/>
        <w:insideH w:val="single" w:sz="4" w:space="0" w:color="FFFFFF" w:themeColor="background1"/>
        <w:insideV w:val="single" w:sz="4" w:space="0" w:color="FFFFFF" w:themeColor="background1"/>
      </w:tblBorders>
    </w:tblPr>
    <w:tcPr>
      <w:shd w:val="clear" w:color="auto" w:fill="FEF5E8" w:themeFill="accent6" w:themeFillTint="19"/>
    </w:tcPr>
    <w:tblStylePr w:type="firstRow">
      <w:rPr>
        <w:b/>
        <w:bCs/>
      </w:rPr>
      <w:tblPr/>
      <w:tcPr>
        <w:tcBorders>
          <w:top w:val="nil"/>
          <w:left w:val="nil"/>
          <w:bottom w:val="single" w:sz="24" w:space="0" w:color="F04C3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26303" w:themeFill="accent6" w:themeFillShade="99"/>
      </w:tcPr>
    </w:tblStylePr>
    <w:tblStylePr w:type="firstCol">
      <w:rPr>
        <w:color w:val="FFFFFF" w:themeColor="background1"/>
      </w:rPr>
      <w:tblPr/>
      <w:tcPr>
        <w:tcBorders>
          <w:top w:val="nil"/>
          <w:left w:val="nil"/>
          <w:bottom w:val="nil"/>
          <w:right w:val="nil"/>
          <w:insideH w:val="single" w:sz="4" w:space="0" w:color="A26303" w:themeColor="accent6" w:themeShade="99"/>
          <w:insideV w:val="nil"/>
        </w:tcBorders>
        <w:shd w:val="clear" w:color="auto" w:fill="A2630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A26303" w:themeFill="accent6" w:themeFillShade="99"/>
      </w:tcPr>
    </w:tblStylePr>
    <w:tblStylePr w:type="band1Vert">
      <w:tblPr/>
      <w:tcPr>
        <w:shd w:val="clear" w:color="auto" w:fill="FDD9A3" w:themeFill="accent6" w:themeFillTint="66"/>
      </w:tcPr>
    </w:tblStylePr>
    <w:tblStylePr w:type="band1Horz">
      <w:tblPr/>
      <w:tcPr>
        <w:shd w:val="clear" w:color="auto" w:fill="FCD08D" w:themeFill="accent6" w:themeFillTint="7F"/>
      </w:tcPr>
    </w:tblStylePr>
    <w:tblStylePr w:type="neCell">
      <w:rPr>
        <w:color w:val="231F20" w:themeColor="text1"/>
      </w:rPr>
    </w:tblStylePr>
    <w:tblStylePr w:type="nwCell">
      <w:rPr>
        <w:color w:val="231F20" w:themeColor="text1"/>
      </w:rPr>
    </w:tblStylePr>
  </w:style>
  <w:style w:type="character" w:styleId="CommentReference">
    <w:name w:val="annotation reference"/>
    <w:basedOn w:val="DefaultParagraphFont"/>
    <w:semiHidden/>
    <w:locked/>
    <w:rsid w:val="00372E2B"/>
    <w:rPr>
      <w:noProof w:val="0"/>
      <w:sz w:val="16"/>
      <w:szCs w:val="16"/>
      <w:lang w:val="en-AU"/>
    </w:rPr>
  </w:style>
  <w:style w:type="paragraph" w:styleId="CommentText">
    <w:name w:val="annotation text"/>
    <w:basedOn w:val="Normal"/>
    <w:link w:val="CommentTextChar"/>
    <w:semiHidden/>
    <w:locked/>
    <w:rsid w:val="00372E2B"/>
    <w:rPr>
      <w:sz w:val="20"/>
      <w:szCs w:val="20"/>
    </w:rPr>
  </w:style>
  <w:style w:type="character" w:customStyle="1" w:styleId="CommentTextChar">
    <w:name w:val="Comment Text Char"/>
    <w:basedOn w:val="DefaultParagraphFont"/>
    <w:link w:val="CommentText"/>
    <w:semiHidden/>
    <w:rsid w:val="00B30B0E"/>
    <w:rPr>
      <w:sz w:val="20"/>
      <w:szCs w:val="20"/>
    </w:rPr>
  </w:style>
  <w:style w:type="paragraph" w:styleId="CommentSubject">
    <w:name w:val="annotation subject"/>
    <w:basedOn w:val="CommentText"/>
    <w:next w:val="CommentText"/>
    <w:link w:val="CommentSubjectChar"/>
    <w:semiHidden/>
    <w:unhideWhenUsed/>
    <w:locked/>
    <w:rsid w:val="00372E2B"/>
    <w:rPr>
      <w:b/>
      <w:bCs/>
    </w:rPr>
  </w:style>
  <w:style w:type="character" w:customStyle="1" w:styleId="CommentSubjectChar">
    <w:name w:val="Comment Subject Char"/>
    <w:basedOn w:val="CommentTextChar"/>
    <w:link w:val="CommentSubject"/>
    <w:semiHidden/>
    <w:rsid w:val="00372E2B"/>
    <w:rPr>
      <w:b/>
      <w:bCs/>
      <w:sz w:val="20"/>
      <w:szCs w:val="20"/>
    </w:rPr>
  </w:style>
  <w:style w:type="table" w:styleId="DarkList">
    <w:name w:val="Dark List"/>
    <w:basedOn w:val="TableNormal"/>
    <w:uiPriority w:val="70"/>
    <w:locked/>
    <w:rsid w:val="00372E2B"/>
    <w:pPr>
      <w:spacing w:before="170" w:after="0"/>
    </w:pPr>
    <w:rPr>
      <w:color w:val="FFFFFF" w:themeColor="background1"/>
    </w:rPr>
    <w:tblPr>
      <w:tblStyleRowBandSize w:val="1"/>
      <w:tblStyleColBandSize w:val="1"/>
    </w:tblPr>
    <w:tcPr>
      <w:shd w:val="clear" w:color="auto" w:fill="231F20" w:themeFill="text1"/>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110F0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1A1717"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1A1717" w:themeFill="text1" w:themeFillShade="BF"/>
      </w:tcPr>
    </w:tblStylePr>
    <w:tblStylePr w:type="band1Vert">
      <w:tblPr/>
      <w:tcPr>
        <w:tcBorders>
          <w:top w:val="nil"/>
          <w:left w:val="nil"/>
          <w:bottom w:val="nil"/>
          <w:right w:val="nil"/>
          <w:insideH w:val="nil"/>
          <w:insideV w:val="nil"/>
        </w:tcBorders>
        <w:shd w:val="clear" w:color="auto" w:fill="1A1717" w:themeFill="text1" w:themeFillShade="BF"/>
      </w:tcPr>
    </w:tblStylePr>
    <w:tblStylePr w:type="band1Horz">
      <w:tblPr/>
      <w:tcPr>
        <w:tcBorders>
          <w:top w:val="nil"/>
          <w:left w:val="nil"/>
          <w:bottom w:val="nil"/>
          <w:right w:val="nil"/>
          <w:insideH w:val="nil"/>
          <w:insideV w:val="nil"/>
        </w:tcBorders>
        <w:shd w:val="clear" w:color="auto" w:fill="1A1717" w:themeFill="text1" w:themeFillShade="BF"/>
      </w:tcPr>
    </w:tblStylePr>
  </w:style>
  <w:style w:type="table" w:styleId="DarkList-Accent1">
    <w:name w:val="Dark List Accent 1"/>
    <w:basedOn w:val="TableNormal"/>
    <w:uiPriority w:val="70"/>
    <w:locked/>
    <w:rsid w:val="00372E2B"/>
    <w:pPr>
      <w:spacing w:before="170" w:after="0"/>
    </w:pPr>
    <w:rPr>
      <w:color w:val="FFFFFF" w:themeColor="background1"/>
    </w:rPr>
    <w:tblPr>
      <w:tblStyleRowBandSize w:val="1"/>
      <w:tblStyleColBandSize w:val="1"/>
    </w:tblPr>
    <w:tcPr>
      <w:shd w:val="clear" w:color="auto" w:fill="4C6D4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25362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8513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85130" w:themeFill="accent1" w:themeFillShade="BF"/>
      </w:tcPr>
    </w:tblStylePr>
    <w:tblStylePr w:type="band1Vert">
      <w:tblPr/>
      <w:tcPr>
        <w:tcBorders>
          <w:top w:val="nil"/>
          <w:left w:val="nil"/>
          <w:bottom w:val="nil"/>
          <w:right w:val="nil"/>
          <w:insideH w:val="nil"/>
          <w:insideV w:val="nil"/>
        </w:tcBorders>
        <w:shd w:val="clear" w:color="auto" w:fill="385130" w:themeFill="accent1" w:themeFillShade="BF"/>
      </w:tcPr>
    </w:tblStylePr>
    <w:tblStylePr w:type="band1Horz">
      <w:tblPr/>
      <w:tcPr>
        <w:tcBorders>
          <w:top w:val="nil"/>
          <w:left w:val="nil"/>
          <w:bottom w:val="nil"/>
          <w:right w:val="nil"/>
          <w:insideH w:val="nil"/>
          <w:insideV w:val="nil"/>
        </w:tcBorders>
        <w:shd w:val="clear" w:color="auto" w:fill="385130" w:themeFill="accent1" w:themeFillShade="BF"/>
      </w:tcPr>
    </w:tblStylePr>
  </w:style>
  <w:style w:type="table" w:styleId="DarkList-Accent2">
    <w:name w:val="Dark List Accent 2"/>
    <w:basedOn w:val="TableNormal"/>
    <w:uiPriority w:val="70"/>
    <w:locked/>
    <w:rsid w:val="00372E2B"/>
    <w:pPr>
      <w:spacing w:before="170" w:after="0"/>
    </w:pPr>
    <w:rPr>
      <w:color w:val="FFFFFF" w:themeColor="background1"/>
    </w:rPr>
    <w:tblPr>
      <w:tblStyleRowBandSize w:val="1"/>
      <w:tblStyleColBandSize w:val="1"/>
    </w:tblPr>
    <w:tcPr>
      <w:shd w:val="clear" w:color="auto" w:fill="ACB13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55571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08429"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08429" w:themeFill="accent2" w:themeFillShade="BF"/>
      </w:tcPr>
    </w:tblStylePr>
    <w:tblStylePr w:type="band1Vert">
      <w:tblPr/>
      <w:tcPr>
        <w:tcBorders>
          <w:top w:val="nil"/>
          <w:left w:val="nil"/>
          <w:bottom w:val="nil"/>
          <w:right w:val="nil"/>
          <w:insideH w:val="nil"/>
          <w:insideV w:val="nil"/>
        </w:tcBorders>
        <w:shd w:val="clear" w:color="auto" w:fill="808429" w:themeFill="accent2" w:themeFillShade="BF"/>
      </w:tcPr>
    </w:tblStylePr>
    <w:tblStylePr w:type="band1Horz">
      <w:tblPr/>
      <w:tcPr>
        <w:tcBorders>
          <w:top w:val="nil"/>
          <w:left w:val="nil"/>
          <w:bottom w:val="nil"/>
          <w:right w:val="nil"/>
          <w:insideH w:val="nil"/>
          <w:insideV w:val="nil"/>
        </w:tcBorders>
        <w:shd w:val="clear" w:color="auto" w:fill="808429" w:themeFill="accent2" w:themeFillShade="BF"/>
      </w:tcPr>
    </w:tblStylePr>
  </w:style>
  <w:style w:type="table" w:styleId="DarkList-Accent3">
    <w:name w:val="Dark List Accent 3"/>
    <w:basedOn w:val="TableNormal"/>
    <w:uiPriority w:val="70"/>
    <w:locked/>
    <w:rsid w:val="00372E2B"/>
    <w:pPr>
      <w:spacing w:before="170" w:after="0"/>
    </w:pPr>
    <w:rPr>
      <w:color w:val="FFFFFF" w:themeColor="background1"/>
    </w:rPr>
    <w:tblPr>
      <w:tblStyleRowBandSize w:val="1"/>
      <w:tblStyleColBandSize w:val="1"/>
    </w:tblPr>
    <w:tcPr>
      <w:shd w:val="clear" w:color="auto" w:fill="00718F"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00374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546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546B" w:themeFill="accent3" w:themeFillShade="BF"/>
      </w:tcPr>
    </w:tblStylePr>
    <w:tblStylePr w:type="band1Vert">
      <w:tblPr/>
      <w:tcPr>
        <w:tcBorders>
          <w:top w:val="nil"/>
          <w:left w:val="nil"/>
          <w:bottom w:val="nil"/>
          <w:right w:val="nil"/>
          <w:insideH w:val="nil"/>
          <w:insideV w:val="nil"/>
        </w:tcBorders>
        <w:shd w:val="clear" w:color="auto" w:fill="00546B" w:themeFill="accent3" w:themeFillShade="BF"/>
      </w:tcPr>
    </w:tblStylePr>
    <w:tblStylePr w:type="band1Horz">
      <w:tblPr/>
      <w:tcPr>
        <w:tcBorders>
          <w:top w:val="nil"/>
          <w:left w:val="nil"/>
          <w:bottom w:val="nil"/>
          <w:right w:val="nil"/>
          <w:insideH w:val="nil"/>
          <w:insideV w:val="nil"/>
        </w:tcBorders>
        <w:shd w:val="clear" w:color="auto" w:fill="00546B" w:themeFill="accent3" w:themeFillShade="BF"/>
      </w:tcPr>
    </w:tblStylePr>
  </w:style>
  <w:style w:type="table" w:styleId="DarkList-Accent4">
    <w:name w:val="Dark List Accent 4"/>
    <w:basedOn w:val="TableNormal"/>
    <w:uiPriority w:val="70"/>
    <w:locked/>
    <w:rsid w:val="00372E2B"/>
    <w:pPr>
      <w:spacing w:before="170" w:after="0"/>
    </w:pPr>
    <w:rPr>
      <w:color w:val="FFFFFF" w:themeColor="background1"/>
    </w:rPr>
    <w:tblPr>
      <w:tblStyleRowBandSize w:val="1"/>
      <w:tblStyleColBandSize w:val="1"/>
    </w:tblPr>
    <w:tcPr>
      <w:shd w:val="clear" w:color="auto" w:fill="00B8A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005B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897B"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897B" w:themeFill="accent4" w:themeFillShade="BF"/>
      </w:tcPr>
    </w:tblStylePr>
    <w:tblStylePr w:type="band1Vert">
      <w:tblPr/>
      <w:tcPr>
        <w:tcBorders>
          <w:top w:val="nil"/>
          <w:left w:val="nil"/>
          <w:bottom w:val="nil"/>
          <w:right w:val="nil"/>
          <w:insideH w:val="nil"/>
          <w:insideV w:val="nil"/>
        </w:tcBorders>
        <w:shd w:val="clear" w:color="auto" w:fill="00897B" w:themeFill="accent4" w:themeFillShade="BF"/>
      </w:tcPr>
    </w:tblStylePr>
    <w:tblStylePr w:type="band1Horz">
      <w:tblPr/>
      <w:tcPr>
        <w:tcBorders>
          <w:top w:val="nil"/>
          <w:left w:val="nil"/>
          <w:bottom w:val="nil"/>
          <w:right w:val="nil"/>
          <w:insideH w:val="nil"/>
          <w:insideV w:val="nil"/>
        </w:tcBorders>
        <w:shd w:val="clear" w:color="auto" w:fill="00897B" w:themeFill="accent4" w:themeFillShade="BF"/>
      </w:tcPr>
    </w:tblStylePr>
  </w:style>
  <w:style w:type="table" w:styleId="DarkList-Accent5">
    <w:name w:val="Dark List Accent 5"/>
    <w:basedOn w:val="TableNormal"/>
    <w:uiPriority w:val="70"/>
    <w:locked/>
    <w:rsid w:val="00372E2B"/>
    <w:pPr>
      <w:spacing w:before="170" w:after="0"/>
    </w:pPr>
    <w:rPr>
      <w:color w:val="FFFFFF" w:themeColor="background1"/>
    </w:rPr>
    <w:tblPr>
      <w:tblStyleRowBandSize w:val="1"/>
      <w:tblStyleColBandSize w:val="1"/>
    </w:tblPr>
    <w:tcPr>
      <w:shd w:val="clear" w:color="auto" w:fill="F04C3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8B150B"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11F1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11F10" w:themeFill="accent5" w:themeFillShade="BF"/>
      </w:tcPr>
    </w:tblStylePr>
    <w:tblStylePr w:type="band1Vert">
      <w:tblPr/>
      <w:tcPr>
        <w:tcBorders>
          <w:top w:val="nil"/>
          <w:left w:val="nil"/>
          <w:bottom w:val="nil"/>
          <w:right w:val="nil"/>
          <w:insideH w:val="nil"/>
          <w:insideV w:val="nil"/>
        </w:tcBorders>
        <w:shd w:val="clear" w:color="auto" w:fill="D11F10" w:themeFill="accent5" w:themeFillShade="BF"/>
      </w:tcPr>
    </w:tblStylePr>
    <w:tblStylePr w:type="band1Horz">
      <w:tblPr/>
      <w:tcPr>
        <w:tcBorders>
          <w:top w:val="nil"/>
          <w:left w:val="nil"/>
          <w:bottom w:val="nil"/>
          <w:right w:val="nil"/>
          <w:insideH w:val="nil"/>
          <w:insideV w:val="nil"/>
        </w:tcBorders>
        <w:shd w:val="clear" w:color="auto" w:fill="D11F10" w:themeFill="accent5" w:themeFillShade="BF"/>
      </w:tcPr>
    </w:tblStylePr>
  </w:style>
  <w:style w:type="table" w:styleId="DarkList-Accent6">
    <w:name w:val="Dark List Accent 6"/>
    <w:basedOn w:val="TableNormal"/>
    <w:uiPriority w:val="70"/>
    <w:locked/>
    <w:rsid w:val="00372E2B"/>
    <w:pPr>
      <w:spacing w:before="170" w:after="0"/>
    </w:pPr>
    <w:rPr>
      <w:color w:val="FFFFFF" w:themeColor="background1"/>
    </w:rPr>
    <w:tblPr>
      <w:tblStyleRowBandSize w:val="1"/>
      <w:tblStyleColBandSize w:val="1"/>
    </w:tblPr>
    <w:tcPr>
      <w:shd w:val="clear" w:color="auto" w:fill="FAA21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231F20" w:themeFill="text1"/>
      </w:tcPr>
    </w:tblStylePr>
    <w:tblStylePr w:type="lastRow">
      <w:tblPr/>
      <w:tcPr>
        <w:tcBorders>
          <w:top w:val="single" w:sz="18" w:space="0" w:color="FFFFFF" w:themeColor="background1"/>
          <w:left w:val="nil"/>
          <w:bottom w:val="nil"/>
          <w:right w:val="nil"/>
          <w:insideH w:val="nil"/>
          <w:insideV w:val="nil"/>
        </w:tcBorders>
        <w:shd w:val="clear" w:color="auto" w:fill="86520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CA7C04"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CA7C04" w:themeFill="accent6" w:themeFillShade="BF"/>
      </w:tcPr>
    </w:tblStylePr>
    <w:tblStylePr w:type="band1Vert">
      <w:tblPr/>
      <w:tcPr>
        <w:tcBorders>
          <w:top w:val="nil"/>
          <w:left w:val="nil"/>
          <w:bottom w:val="nil"/>
          <w:right w:val="nil"/>
          <w:insideH w:val="nil"/>
          <w:insideV w:val="nil"/>
        </w:tcBorders>
        <w:shd w:val="clear" w:color="auto" w:fill="CA7C04" w:themeFill="accent6" w:themeFillShade="BF"/>
      </w:tcPr>
    </w:tblStylePr>
    <w:tblStylePr w:type="band1Horz">
      <w:tblPr/>
      <w:tcPr>
        <w:tcBorders>
          <w:top w:val="nil"/>
          <w:left w:val="nil"/>
          <w:bottom w:val="nil"/>
          <w:right w:val="nil"/>
          <w:insideH w:val="nil"/>
          <w:insideV w:val="nil"/>
        </w:tcBorders>
        <w:shd w:val="clear" w:color="auto" w:fill="CA7C04" w:themeFill="accent6" w:themeFillShade="BF"/>
      </w:tcPr>
    </w:tblStylePr>
  </w:style>
  <w:style w:type="paragraph" w:styleId="Date">
    <w:name w:val="Date"/>
    <w:basedOn w:val="Normal"/>
    <w:next w:val="Normal"/>
    <w:link w:val="DateChar"/>
    <w:uiPriority w:val="7"/>
    <w:semiHidden/>
    <w:unhideWhenUsed/>
    <w:locked/>
    <w:rsid w:val="00372E2B"/>
  </w:style>
  <w:style w:type="character" w:customStyle="1" w:styleId="DateChar">
    <w:name w:val="Date Char"/>
    <w:basedOn w:val="DefaultParagraphFont"/>
    <w:link w:val="Date"/>
    <w:uiPriority w:val="7"/>
    <w:semiHidden/>
    <w:rsid w:val="00B60D19"/>
  </w:style>
  <w:style w:type="paragraph" w:styleId="DocumentMap">
    <w:name w:val="Document Map"/>
    <w:basedOn w:val="Normal"/>
    <w:link w:val="DocumentMapChar"/>
    <w:semiHidden/>
    <w:unhideWhenUsed/>
    <w:locked/>
    <w:rsid w:val="00372E2B"/>
    <w:rPr>
      <w:rFonts w:ascii="Tahoma" w:hAnsi="Tahoma" w:cs="Tahoma"/>
      <w:sz w:val="16"/>
      <w:szCs w:val="16"/>
    </w:rPr>
  </w:style>
  <w:style w:type="character" w:customStyle="1" w:styleId="DocumentMapChar">
    <w:name w:val="Document Map Char"/>
    <w:basedOn w:val="DefaultParagraphFont"/>
    <w:link w:val="DocumentMap"/>
    <w:semiHidden/>
    <w:rsid w:val="00B60D19"/>
    <w:rPr>
      <w:rFonts w:ascii="Tahoma" w:hAnsi="Tahoma" w:cs="Tahoma"/>
      <w:sz w:val="16"/>
      <w:szCs w:val="16"/>
    </w:rPr>
  </w:style>
  <w:style w:type="character" w:styleId="Emphasis">
    <w:name w:val="Emphasis"/>
    <w:basedOn w:val="DefaultParagraphFont"/>
    <w:uiPriority w:val="7"/>
    <w:semiHidden/>
    <w:qFormat/>
    <w:rsid w:val="00F44A29"/>
    <w:rPr>
      <w:i/>
      <w:iCs/>
    </w:rPr>
  </w:style>
  <w:style w:type="character" w:styleId="EndnoteReference">
    <w:name w:val="endnote reference"/>
    <w:basedOn w:val="DefaultParagraphFont"/>
    <w:uiPriority w:val="99"/>
    <w:semiHidden/>
    <w:rsid w:val="00372E2B"/>
    <w:rPr>
      <w:noProof w:val="0"/>
      <w:vertAlign w:val="superscript"/>
      <w:lang w:val="en-AU"/>
    </w:rPr>
  </w:style>
  <w:style w:type="paragraph" w:styleId="EndnoteText">
    <w:name w:val="endnote text"/>
    <w:basedOn w:val="Normal"/>
    <w:link w:val="EndnoteTextChar"/>
    <w:uiPriority w:val="99"/>
    <w:semiHidden/>
    <w:rsid w:val="00372E2B"/>
    <w:rPr>
      <w:sz w:val="20"/>
      <w:szCs w:val="20"/>
    </w:rPr>
  </w:style>
  <w:style w:type="character" w:customStyle="1" w:styleId="EndnoteTextChar">
    <w:name w:val="Endnote Text Char"/>
    <w:basedOn w:val="DefaultParagraphFont"/>
    <w:link w:val="EndnoteText"/>
    <w:uiPriority w:val="99"/>
    <w:semiHidden/>
    <w:rsid w:val="00DB2D28"/>
    <w:rPr>
      <w:sz w:val="20"/>
      <w:szCs w:val="20"/>
    </w:rPr>
  </w:style>
  <w:style w:type="character" w:styleId="FollowedHyperlink">
    <w:name w:val="FollowedHyperlink"/>
    <w:basedOn w:val="DefaultParagraphFont"/>
    <w:rsid w:val="00F954F8"/>
    <w:rPr>
      <w:noProof w:val="0"/>
      <w:color w:val="231F20" w:themeColor="text1"/>
      <w:u w:val="single"/>
      <w:lang w:val="en-AU"/>
    </w:rPr>
  </w:style>
  <w:style w:type="character" w:styleId="FootnoteReference">
    <w:name w:val="footnote reference"/>
    <w:basedOn w:val="DefaultParagraphFont"/>
    <w:rsid w:val="00372E2B"/>
    <w:rPr>
      <w:noProof w:val="0"/>
      <w:vertAlign w:val="superscript"/>
      <w:lang w:val="en-AU"/>
    </w:rPr>
  </w:style>
  <w:style w:type="paragraph" w:styleId="FootnoteText">
    <w:name w:val="footnote text"/>
    <w:basedOn w:val="Normal"/>
    <w:link w:val="FootnoteTextChar"/>
    <w:rsid w:val="00762F04"/>
    <w:rPr>
      <w:sz w:val="18"/>
      <w:szCs w:val="20"/>
    </w:rPr>
  </w:style>
  <w:style w:type="character" w:customStyle="1" w:styleId="FootnoteTextChar">
    <w:name w:val="Footnote Text Char"/>
    <w:basedOn w:val="DefaultParagraphFont"/>
    <w:link w:val="FootnoteText"/>
    <w:rsid w:val="00762F04"/>
    <w:rPr>
      <w:sz w:val="18"/>
      <w:szCs w:val="20"/>
    </w:rPr>
  </w:style>
  <w:style w:type="character" w:customStyle="1" w:styleId="Heading5Char">
    <w:name w:val="Heading 5 Char"/>
    <w:basedOn w:val="DefaultParagraphFont"/>
    <w:link w:val="Heading5"/>
    <w:rsid w:val="0089257B"/>
    <w:rPr>
      <w:rFonts w:asciiTheme="majorHAnsi" w:eastAsiaTheme="majorEastAsia" w:hAnsiTheme="majorHAnsi" w:cstheme="majorBidi"/>
      <w:i/>
      <w:color w:val="253620" w:themeColor="accent1" w:themeShade="7F"/>
    </w:rPr>
  </w:style>
  <w:style w:type="character" w:customStyle="1" w:styleId="Heading6Char">
    <w:name w:val="Heading 6 Char"/>
    <w:basedOn w:val="DefaultParagraphFont"/>
    <w:link w:val="Heading6"/>
    <w:rsid w:val="00B30B0E"/>
    <w:rPr>
      <w:rFonts w:asciiTheme="majorHAnsi" w:eastAsiaTheme="majorEastAsia" w:hAnsiTheme="majorHAnsi" w:cstheme="majorBidi"/>
      <w:i/>
      <w:iCs/>
      <w:color w:val="253620" w:themeColor="accent1" w:themeShade="7F"/>
    </w:rPr>
  </w:style>
  <w:style w:type="character" w:customStyle="1" w:styleId="Heading7Char">
    <w:name w:val="Heading 7 Char"/>
    <w:aliases w:val="Appendix heading Char"/>
    <w:basedOn w:val="DefaultParagraphFont"/>
    <w:link w:val="Heading7"/>
    <w:rsid w:val="00B30B0E"/>
    <w:rPr>
      <w:rFonts w:asciiTheme="majorHAnsi" w:eastAsiaTheme="majorEastAsia" w:hAnsiTheme="majorHAnsi" w:cstheme="majorBidi"/>
      <w:i/>
      <w:iCs/>
      <w:color w:val="5D5356" w:themeColor="text1" w:themeTint="BF"/>
    </w:rPr>
  </w:style>
  <w:style w:type="character" w:customStyle="1" w:styleId="Heading8Char">
    <w:name w:val="Heading 8 Char"/>
    <w:aliases w:val="Appendix Heading 2 Char"/>
    <w:basedOn w:val="DefaultParagraphFont"/>
    <w:link w:val="Heading8"/>
    <w:rsid w:val="00B30B0E"/>
    <w:rPr>
      <w:rFonts w:asciiTheme="majorHAnsi" w:eastAsiaTheme="majorEastAsia" w:hAnsiTheme="majorHAnsi" w:cstheme="majorBidi"/>
      <w:color w:val="5D5356" w:themeColor="text1" w:themeTint="BF"/>
      <w:sz w:val="20"/>
      <w:szCs w:val="20"/>
    </w:rPr>
  </w:style>
  <w:style w:type="character" w:customStyle="1" w:styleId="Heading9Char">
    <w:name w:val="Heading 9 Char"/>
    <w:basedOn w:val="DefaultParagraphFont"/>
    <w:link w:val="Heading9"/>
    <w:rsid w:val="00B30B0E"/>
    <w:rPr>
      <w:rFonts w:asciiTheme="majorHAnsi" w:eastAsiaTheme="majorEastAsia" w:hAnsiTheme="majorHAnsi" w:cstheme="majorBidi"/>
      <w:i/>
      <w:iCs/>
      <w:color w:val="5D5356" w:themeColor="text1" w:themeTint="BF"/>
      <w:sz w:val="20"/>
      <w:szCs w:val="20"/>
    </w:rPr>
  </w:style>
  <w:style w:type="character" w:styleId="HTMLAcronym">
    <w:name w:val="HTML Acronym"/>
    <w:basedOn w:val="DefaultParagraphFont"/>
    <w:unhideWhenUsed/>
    <w:locked/>
    <w:rsid w:val="00372E2B"/>
    <w:rPr>
      <w:noProof w:val="0"/>
      <w:lang w:val="en-AU"/>
    </w:rPr>
  </w:style>
  <w:style w:type="paragraph" w:styleId="HTMLAddress">
    <w:name w:val="HTML Address"/>
    <w:basedOn w:val="Normal"/>
    <w:link w:val="HTMLAddressChar"/>
    <w:uiPriority w:val="7"/>
    <w:semiHidden/>
    <w:unhideWhenUsed/>
    <w:locked/>
    <w:rsid w:val="00372E2B"/>
    <w:rPr>
      <w:i/>
      <w:iCs/>
    </w:rPr>
  </w:style>
  <w:style w:type="character" w:customStyle="1" w:styleId="HTMLAddressChar">
    <w:name w:val="HTML Address Char"/>
    <w:basedOn w:val="DefaultParagraphFont"/>
    <w:link w:val="HTMLAddress"/>
    <w:uiPriority w:val="7"/>
    <w:semiHidden/>
    <w:rsid w:val="00B60D19"/>
    <w:rPr>
      <w:i/>
      <w:iCs/>
    </w:rPr>
  </w:style>
  <w:style w:type="character" w:styleId="HTMLCite">
    <w:name w:val="HTML Cite"/>
    <w:basedOn w:val="DefaultParagraphFont"/>
    <w:uiPriority w:val="7"/>
    <w:semiHidden/>
    <w:unhideWhenUsed/>
    <w:locked/>
    <w:rsid w:val="00372E2B"/>
    <w:rPr>
      <w:i/>
      <w:iCs/>
      <w:noProof w:val="0"/>
      <w:lang w:val="en-AU"/>
    </w:rPr>
  </w:style>
  <w:style w:type="character" w:styleId="HTMLCode">
    <w:name w:val="HTML Code"/>
    <w:basedOn w:val="DefaultParagraphFont"/>
    <w:uiPriority w:val="7"/>
    <w:semiHidden/>
    <w:unhideWhenUsed/>
    <w:locked/>
    <w:rsid w:val="00372E2B"/>
    <w:rPr>
      <w:rFonts w:ascii="Consolas" w:hAnsi="Consolas"/>
      <w:noProof w:val="0"/>
      <w:sz w:val="20"/>
      <w:szCs w:val="20"/>
      <w:lang w:val="en-AU"/>
    </w:rPr>
  </w:style>
  <w:style w:type="character" w:styleId="HTMLDefinition">
    <w:name w:val="HTML Definition"/>
    <w:basedOn w:val="DefaultParagraphFont"/>
    <w:uiPriority w:val="7"/>
    <w:semiHidden/>
    <w:unhideWhenUsed/>
    <w:locked/>
    <w:rsid w:val="00372E2B"/>
    <w:rPr>
      <w:i/>
      <w:iCs/>
      <w:noProof w:val="0"/>
      <w:lang w:val="en-AU"/>
    </w:rPr>
  </w:style>
  <w:style w:type="character" w:styleId="HTMLKeyboard">
    <w:name w:val="HTML Keyboard"/>
    <w:basedOn w:val="DefaultParagraphFont"/>
    <w:uiPriority w:val="7"/>
    <w:semiHidden/>
    <w:unhideWhenUsed/>
    <w:locked/>
    <w:rsid w:val="00372E2B"/>
    <w:rPr>
      <w:rFonts w:ascii="Consolas" w:hAnsi="Consolas"/>
      <w:noProof w:val="0"/>
      <w:sz w:val="20"/>
      <w:szCs w:val="20"/>
      <w:lang w:val="en-AU"/>
    </w:rPr>
  </w:style>
  <w:style w:type="paragraph" w:styleId="HTMLPreformatted">
    <w:name w:val="HTML Preformatted"/>
    <w:basedOn w:val="Normal"/>
    <w:link w:val="HTMLPreformattedChar"/>
    <w:uiPriority w:val="7"/>
    <w:semiHidden/>
    <w:unhideWhenUsed/>
    <w:locked/>
    <w:rsid w:val="00372E2B"/>
    <w:rPr>
      <w:rFonts w:ascii="Consolas" w:hAnsi="Consolas"/>
      <w:sz w:val="20"/>
      <w:szCs w:val="20"/>
    </w:rPr>
  </w:style>
  <w:style w:type="character" w:customStyle="1" w:styleId="HTMLPreformattedChar">
    <w:name w:val="HTML Preformatted Char"/>
    <w:basedOn w:val="DefaultParagraphFont"/>
    <w:link w:val="HTMLPreformatted"/>
    <w:uiPriority w:val="7"/>
    <w:semiHidden/>
    <w:rsid w:val="00B60D19"/>
    <w:rPr>
      <w:rFonts w:ascii="Consolas" w:hAnsi="Consolas"/>
      <w:sz w:val="20"/>
      <w:szCs w:val="20"/>
    </w:rPr>
  </w:style>
  <w:style w:type="character" w:styleId="HTMLSample">
    <w:name w:val="HTML Sample"/>
    <w:basedOn w:val="DefaultParagraphFont"/>
    <w:uiPriority w:val="7"/>
    <w:semiHidden/>
    <w:unhideWhenUsed/>
    <w:locked/>
    <w:rsid w:val="00372E2B"/>
    <w:rPr>
      <w:rFonts w:ascii="Consolas" w:hAnsi="Consolas"/>
      <w:noProof w:val="0"/>
      <w:sz w:val="24"/>
      <w:szCs w:val="24"/>
      <w:lang w:val="en-AU"/>
    </w:rPr>
  </w:style>
  <w:style w:type="character" w:styleId="HTMLTypewriter">
    <w:name w:val="HTML Typewriter"/>
    <w:basedOn w:val="DefaultParagraphFont"/>
    <w:uiPriority w:val="7"/>
    <w:semiHidden/>
    <w:unhideWhenUsed/>
    <w:locked/>
    <w:rsid w:val="00372E2B"/>
    <w:rPr>
      <w:rFonts w:ascii="Consolas" w:hAnsi="Consolas"/>
      <w:noProof w:val="0"/>
      <w:sz w:val="20"/>
      <w:szCs w:val="20"/>
      <w:lang w:val="en-AU"/>
    </w:rPr>
  </w:style>
  <w:style w:type="character" w:styleId="HTMLVariable">
    <w:name w:val="HTML Variable"/>
    <w:basedOn w:val="DefaultParagraphFont"/>
    <w:uiPriority w:val="7"/>
    <w:semiHidden/>
    <w:unhideWhenUsed/>
    <w:locked/>
    <w:rsid w:val="00372E2B"/>
    <w:rPr>
      <w:i/>
      <w:iCs/>
      <w:noProof w:val="0"/>
      <w:lang w:val="en-AU"/>
    </w:rPr>
  </w:style>
  <w:style w:type="paragraph" w:styleId="Index1">
    <w:name w:val="index 1"/>
    <w:basedOn w:val="Normal"/>
    <w:next w:val="Normal"/>
    <w:autoRedefine/>
    <w:semiHidden/>
    <w:unhideWhenUsed/>
    <w:locked/>
    <w:rsid w:val="00372E2B"/>
    <w:pPr>
      <w:ind w:left="190" w:hanging="190"/>
    </w:pPr>
  </w:style>
  <w:style w:type="paragraph" w:styleId="Index2">
    <w:name w:val="index 2"/>
    <w:basedOn w:val="Normal"/>
    <w:next w:val="Normal"/>
    <w:autoRedefine/>
    <w:uiPriority w:val="99"/>
    <w:semiHidden/>
    <w:unhideWhenUsed/>
    <w:locked/>
    <w:rsid w:val="00372E2B"/>
    <w:pPr>
      <w:ind w:left="380" w:hanging="190"/>
    </w:pPr>
  </w:style>
  <w:style w:type="paragraph" w:styleId="Index3">
    <w:name w:val="index 3"/>
    <w:basedOn w:val="Normal"/>
    <w:next w:val="Normal"/>
    <w:autoRedefine/>
    <w:semiHidden/>
    <w:unhideWhenUsed/>
    <w:locked/>
    <w:rsid w:val="00372E2B"/>
    <w:pPr>
      <w:ind w:left="570" w:hanging="190"/>
    </w:pPr>
  </w:style>
  <w:style w:type="paragraph" w:styleId="Index4">
    <w:name w:val="index 4"/>
    <w:basedOn w:val="Normal"/>
    <w:next w:val="Normal"/>
    <w:autoRedefine/>
    <w:uiPriority w:val="99"/>
    <w:semiHidden/>
    <w:unhideWhenUsed/>
    <w:locked/>
    <w:rsid w:val="00372E2B"/>
    <w:pPr>
      <w:ind w:left="760" w:hanging="190"/>
    </w:pPr>
  </w:style>
  <w:style w:type="paragraph" w:styleId="Index5">
    <w:name w:val="index 5"/>
    <w:basedOn w:val="Normal"/>
    <w:next w:val="Normal"/>
    <w:autoRedefine/>
    <w:uiPriority w:val="99"/>
    <w:semiHidden/>
    <w:unhideWhenUsed/>
    <w:locked/>
    <w:rsid w:val="00372E2B"/>
    <w:pPr>
      <w:ind w:left="950" w:hanging="190"/>
    </w:pPr>
  </w:style>
  <w:style w:type="paragraph" w:styleId="Index6">
    <w:name w:val="index 6"/>
    <w:basedOn w:val="Normal"/>
    <w:next w:val="Normal"/>
    <w:autoRedefine/>
    <w:uiPriority w:val="99"/>
    <w:semiHidden/>
    <w:unhideWhenUsed/>
    <w:locked/>
    <w:rsid w:val="00372E2B"/>
    <w:pPr>
      <w:ind w:left="1140" w:hanging="190"/>
    </w:pPr>
  </w:style>
  <w:style w:type="paragraph" w:styleId="Index7">
    <w:name w:val="index 7"/>
    <w:basedOn w:val="Normal"/>
    <w:next w:val="Normal"/>
    <w:autoRedefine/>
    <w:uiPriority w:val="99"/>
    <w:semiHidden/>
    <w:unhideWhenUsed/>
    <w:locked/>
    <w:rsid w:val="00372E2B"/>
    <w:pPr>
      <w:ind w:left="1330" w:hanging="190"/>
    </w:pPr>
  </w:style>
  <w:style w:type="paragraph" w:styleId="Index8">
    <w:name w:val="index 8"/>
    <w:basedOn w:val="Normal"/>
    <w:next w:val="Normal"/>
    <w:autoRedefine/>
    <w:uiPriority w:val="99"/>
    <w:semiHidden/>
    <w:unhideWhenUsed/>
    <w:locked/>
    <w:rsid w:val="00372E2B"/>
    <w:pPr>
      <w:ind w:left="1520" w:hanging="190"/>
    </w:pPr>
  </w:style>
  <w:style w:type="paragraph" w:styleId="Index9">
    <w:name w:val="index 9"/>
    <w:basedOn w:val="Normal"/>
    <w:next w:val="Normal"/>
    <w:autoRedefine/>
    <w:uiPriority w:val="99"/>
    <w:semiHidden/>
    <w:unhideWhenUsed/>
    <w:locked/>
    <w:rsid w:val="00372E2B"/>
    <w:pPr>
      <w:ind w:left="1710" w:hanging="190"/>
    </w:pPr>
  </w:style>
  <w:style w:type="paragraph" w:styleId="IndexHeading">
    <w:name w:val="index heading"/>
    <w:basedOn w:val="Normal"/>
    <w:next w:val="Index1"/>
    <w:uiPriority w:val="99"/>
    <w:semiHidden/>
    <w:unhideWhenUsed/>
    <w:locked/>
    <w:rsid w:val="00372E2B"/>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372E2B"/>
    <w:rPr>
      <w:b/>
      <w:bCs/>
      <w:i/>
      <w:iCs/>
      <w:noProof w:val="0"/>
      <w:color w:val="4C6D41" w:themeColor="accent1"/>
      <w:lang w:val="en-AU"/>
    </w:rPr>
  </w:style>
  <w:style w:type="character" w:styleId="IntenseReference">
    <w:name w:val="Intense Reference"/>
    <w:basedOn w:val="DefaultParagraphFont"/>
    <w:uiPriority w:val="32"/>
    <w:semiHidden/>
    <w:qFormat/>
    <w:locked/>
    <w:rsid w:val="00372E2B"/>
    <w:rPr>
      <w:b/>
      <w:bCs/>
      <w:smallCaps/>
      <w:noProof w:val="0"/>
      <w:color w:val="ACB137" w:themeColor="accent2"/>
      <w:spacing w:val="5"/>
      <w:u w:val="single"/>
      <w:lang w:val="en-AU"/>
    </w:rPr>
  </w:style>
  <w:style w:type="table" w:styleId="LightGrid">
    <w:name w:val="Light Grid"/>
    <w:basedOn w:val="TableNormal"/>
    <w:uiPriority w:val="62"/>
    <w:locked/>
    <w:rsid w:val="00372E2B"/>
    <w:pPr>
      <w:spacing w:before="170" w:after="0"/>
    </w:pPr>
    <w:tblPr>
      <w:tblStyleRowBandSize w:val="1"/>
      <w:tblStyleColBandSize w:val="1"/>
      <w:tblBorders>
        <w:top w:val="single" w:sz="8" w:space="0" w:color="231F20" w:themeColor="text1"/>
        <w:left w:val="single" w:sz="8" w:space="0" w:color="231F20" w:themeColor="text1"/>
        <w:bottom w:val="single" w:sz="8" w:space="0" w:color="231F20" w:themeColor="text1"/>
        <w:right w:val="single" w:sz="8" w:space="0" w:color="231F20" w:themeColor="text1"/>
        <w:insideH w:val="single" w:sz="8" w:space="0" w:color="231F20" w:themeColor="text1"/>
        <w:insideV w:val="single" w:sz="8" w:space="0" w:color="231F2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1F20" w:themeColor="text1"/>
          <w:left w:val="single" w:sz="8" w:space="0" w:color="231F20" w:themeColor="text1"/>
          <w:bottom w:val="single" w:sz="18" w:space="0" w:color="231F20" w:themeColor="text1"/>
          <w:right w:val="single" w:sz="8" w:space="0" w:color="231F20" w:themeColor="text1"/>
          <w:insideH w:val="nil"/>
          <w:insideV w:val="single" w:sz="8" w:space="0" w:color="231F2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1F20" w:themeColor="text1"/>
          <w:left w:val="single" w:sz="8" w:space="0" w:color="231F20" w:themeColor="text1"/>
          <w:bottom w:val="single" w:sz="8" w:space="0" w:color="231F20" w:themeColor="text1"/>
          <w:right w:val="single" w:sz="8" w:space="0" w:color="231F20" w:themeColor="text1"/>
          <w:insideH w:val="nil"/>
          <w:insideV w:val="single" w:sz="8" w:space="0" w:color="231F2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1F20" w:themeColor="text1"/>
          <w:left w:val="single" w:sz="8" w:space="0" w:color="231F20" w:themeColor="text1"/>
          <w:bottom w:val="single" w:sz="8" w:space="0" w:color="231F20" w:themeColor="text1"/>
          <w:right w:val="single" w:sz="8" w:space="0" w:color="231F20" w:themeColor="text1"/>
        </w:tcBorders>
      </w:tcPr>
    </w:tblStylePr>
    <w:tblStylePr w:type="band1Vert">
      <w:tblPr/>
      <w:tcPr>
        <w:tcBorders>
          <w:top w:val="single" w:sz="8" w:space="0" w:color="231F20" w:themeColor="text1"/>
          <w:left w:val="single" w:sz="8" w:space="0" w:color="231F20" w:themeColor="text1"/>
          <w:bottom w:val="single" w:sz="8" w:space="0" w:color="231F20" w:themeColor="text1"/>
          <w:right w:val="single" w:sz="8" w:space="0" w:color="231F20" w:themeColor="text1"/>
        </w:tcBorders>
        <w:shd w:val="clear" w:color="auto" w:fill="CBC4C6" w:themeFill="text1" w:themeFillTint="3F"/>
      </w:tcPr>
    </w:tblStylePr>
    <w:tblStylePr w:type="band1Horz">
      <w:tblPr/>
      <w:tcPr>
        <w:tcBorders>
          <w:top w:val="single" w:sz="8" w:space="0" w:color="231F20" w:themeColor="text1"/>
          <w:left w:val="single" w:sz="8" w:space="0" w:color="231F20" w:themeColor="text1"/>
          <w:bottom w:val="single" w:sz="8" w:space="0" w:color="231F20" w:themeColor="text1"/>
          <w:right w:val="single" w:sz="8" w:space="0" w:color="231F20" w:themeColor="text1"/>
          <w:insideV w:val="single" w:sz="8" w:space="0" w:color="231F20" w:themeColor="text1"/>
        </w:tcBorders>
        <w:shd w:val="clear" w:color="auto" w:fill="CBC4C6" w:themeFill="text1" w:themeFillTint="3F"/>
      </w:tcPr>
    </w:tblStylePr>
    <w:tblStylePr w:type="band2Horz">
      <w:tblPr/>
      <w:tcPr>
        <w:tcBorders>
          <w:top w:val="single" w:sz="8" w:space="0" w:color="231F20" w:themeColor="text1"/>
          <w:left w:val="single" w:sz="8" w:space="0" w:color="231F20" w:themeColor="text1"/>
          <w:bottom w:val="single" w:sz="8" w:space="0" w:color="231F20" w:themeColor="text1"/>
          <w:right w:val="single" w:sz="8" w:space="0" w:color="231F20" w:themeColor="text1"/>
          <w:insideV w:val="single" w:sz="8" w:space="0" w:color="231F20" w:themeColor="text1"/>
        </w:tcBorders>
      </w:tcPr>
    </w:tblStylePr>
  </w:style>
  <w:style w:type="table" w:styleId="LightGrid-Accent1">
    <w:name w:val="Light Grid Accent 1"/>
    <w:basedOn w:val="TableNormal"/>
    <w:uiPriority w:val="62"/>
    <w:locked/>
    <w:rsid w:val="00372E2B"/>
    <w:pPr>
      <w:spacing w:before="170" w:after="0"/>
    </w:pPr>
    <w:tblPr>
      <w:tblStyleRowBandSize w:val="1"/>
      <w:tblStyleColBandSize w:val="1"/>
      <w:tblBorders>
        <w:top w:val="single" w:sz="8" w:space="0" w:color="4C6D41" w:themeColor="accent1"/>
        <w:left w:val="single" w:sz="8" w:space="0" w:color="4C6D41" w:themeColor="accent1"/>
        <w:bottom w:val="single" w:sz="8" w:space="0" w:color="4C6D41" w:themeColor="accent1"/>
        <w:right w:val="single" w:sz="8" w:space="0" w:color="4C6D41" w:themeColor="accent1"/>
        <w:insideH w:val="single" w:sz="8" w:space="0" w:color="4C6D41" w:themeColor="accent1"/>
        <w:insideV w:val="single" w:sz="8" w:space="0" w:color="4C6D4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C6D41" w:themeColor="accent1"/>
          <w:left w:val="single" w:sz="8" w:space="0" w:color="4C6D41" w:themeColor="accent1"/>
          <w:bottom w:val="single" w:sz="18" w:space="0" w:color="4C6D41" w:themeColor="accent1"/>
          <w:right w:val="single" w:sz="8" w:space="0" w:color="4C6D41" w:themeColor="accent1"/>
          <w:insideH w:val="nil"/>
          <w:insideV w:val="single" w:sz="8" w:space="0" w:color="4C6D4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C6D41" w:themeColor="accent1"/>
          <w:left w:val="single" w:sz="8" w:space="0" w:color="4C6D41" w:themeColor="accent1"/>
          <w:bottom w:val="single" w:sz="8" w:space="0" w:color="4C6D41" w:themeColor="accent1"/>
          <w:right w:val="single" w:sz="8" w:space="0" w:color="4C6D41" w:themeColor="accent1"/>
          <w:insideH w:val="nil"/>
          <w:insideV w:val="single" w:sz="8" w:space="0" w:color="4C6D4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C6D41" w:themeColor="accent1"/>
          <w:left w:val="single" w:sz="8" w:space="0" w:color="4C6D41" w:themeColor="accent1"/>
          <w:bottom w:val="single" w:sz="8" w:space="0" w:color="4C6D41" w:themeColor="accent1"/>
          <w:right w:val="single" w:sz="8" w:space="0" w:color="4C6D41" w:themeColor="accent1"/>
        </w:tcBorders>
      </w:tcPr>
    </w:tblStylePr>
    <w:tblStylePr w:type="band1Vert">
      <w:tblPr/>
      <w:tcPr>
        <w:tcBorders>
          <w:top w:val="single" w:sz="8" w:space="0" w:color="4C6D41" w:themeColor="accent1"/>
          <w:left w:val="single" w:sz="8" w:space="0" w:color="4C6D41" w:themeColor="accent1"/>
          <w:bottom w:val="single" w:sz="8" w:space="0" w:color="4C6D41" w:themeColor="accent1"/>
          <w:right w:val="single" w:sz="8" w:space="0" w:color="4C6D41" w:themeColor="accent1"/>
        </w:tcBorders>
        <w:shd w:val="clear" w:color="auto" w:fill="CFE0CA" w:themeFill="accent1" w:themeFillTint="3F"/>
      </w:tcPr>
    </w:tblStylePr>
    <w:tblStylePr w:type="band1Horz">
      <w:tblPr/>
      <w:tcPr>
        <w:tcBorders>
          <w:top w:val="single" w:sz="8" w:space="0" w:color="4C6D41" w:themeColor="accent1"/>
          <w:left w:val="single" w:sz="8" w:space="0" w:color="4C6D41" w:themeColor="accent1"/>
          <w:bottom w:val="single" w:sz="8" w:space="0" w:color="4C6D41" w:themeColor="accent1"/>
          <w:right w:val="single" w:sz="8" w:space="0" w:color="4C6D41" w:themeColor="accent1"/>
          <w:insideV w:val="single" w:sz="8" w:space="0" w:color="4C6D41" w:themeColor="accent1"/>
        </w:tcBorders>
        <w:shd w:val="clear" w:color="auto" w:fill="CFE0CA" w:themeFill="accent1" w:themeFillTint="3F"/>
      </w:tcPr>
    </w:tblStylePr>
    <w:tblStylePr w:type="band2Horz">
      <w:tblPr/>
      <w:tcPr>
        <w:tcBorders>
          <w:top w:val="single" w:sz="8" w:space="0" w:color="4C6D41" w:themeColor="accent1"/>
          <w:left w:val="single" w:sz="8" w:space="0" w:color="4C6D41" w:themeColor="accent1"/>
          <w:bottom w:val="single" w:sz="8" w:space="0" w:color="4C6D41" w:themeColor="accent1"/>
          <w:right w:val="single" w:sz="8" w:space="0" w:color="4C6D41" w:themeColor="accent1"/>
          <w:insideV w:val="single" w:sz="8" w:space="0" w:color="4C6D41" w:themeColor="accent1"/>
        </w:tcBorders>
      </w:tcPr>
    </w:tblStylePr>
  </w:style>
  <w:style w:type="table" w:styleId="LightGrid-Accent2">
    <w:name w:val="Light Grid Accent 2"/>
    <w:basedOn w:val="TableNormal"/>
    <w:uiPriority w:val="62"/>
    <w:locked/>
    <w:rsid w:val="00372E2B"/>
    <w:pPr>
      <w:spacing w:before="170" w:after="0"/>
    </w:pPr>
    <w:tblPr>
      <w:tblStyleRowBandSize w:val="1"/>
      <w:tblStyleColBandSize w:val="1"/>
      <w:tblBorders>
        <w:top w:val="single" w:sz="8" w:space="0" w:color="ACB137" w:themeColor="accent2"/>
        <w:left w:val="single" w:sz="8" w:space="0" w:color="ACB137" w:themeColor="accent2"/>
        <w:bottom w:val="single" w:sz="8" w:space="0" w:color="ACB137" w:themeColor="accent2"/>
        <w:right w:val="single" w:sz="8" w:space="0" w:color="ACB137" w:themeColor="accent2"/>
        <w:insideH w:val="single" w:sz="8" w:space="0" w:color="ACB137" w:themeColor="accent2"/>
        <w:insideV w:val="single" w:sz="8" w:space="0" w:color="ACB13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CB137" w:themeColor="accent2"/>
          <w:left w:val="single" w:sz="8" w:space="0" w:color="ACB137" w:themeColor="accent2"/>
          <w:bottom w:val="single" w:sz="18" w:space="0" w:color="ACB137" w:themeColor="accent2"/>
          <w:right w:val="single" w:sz="8" w:space="0" w:color="ACB137" w:themeColor="accent2"/>
          <w:insideH w:val="nil"/>
          <w:insideV w:val="single" w:sz="8" w:space="0" w:color="ACB13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CB137" w:themeColor="accent2"/>
          <w:left w:val="single" w:sz="8" w:space="0" w:color="ACB137" w:themeColor="accent2"/>
          <w:bottom w:val="single" w:sz="8" w:space="0" w:color="ACB137" w:themeColor="accent2"/>
          <w:right w:val="single" w:sz="8" w:space="0" w:color="ACB137" w:themeColor="accent2"/>
          <w:insideH w:val="nil"/>
          <w:insideV w:val="single" w:sz="8" w:space="0" w:color="ACB13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CB137" w:themeColor="accent2"/>
          <w:left w:val="single" w:sz="8" w:space="0" w:color="ACB137" w:themeColor="accent2"/>
          <w:bottom w:val="single" w:sz="8" w:space="0" w:color="ACB137" w:themeColor="accent2"/>
          <w:right w:val="single" w:sz="8" w:space="0" w:color="ACB137" w:themeColor="accent2"/>
        </w:tcBorders>
      </w:tcPr>
    </w:tblStylePr>
    <w:tblStylePr w:type="band1Vert">
      <w:tblPr/>
      <w:tcPr>
        <w:tcBorders>
          <w:top w:val="single" w:sz="8" w:space="0" w:color="ACB137" w:themeColor="accent2"/>
          <w:left w:val="single" w:sz="8" w:space="0" w:color="ACB137" w:themeColor="accent2"/>
          <w:bottom w:val="single" w:sz="8" w:space="0" w:color="ACB137" w:themeColor="accent2"/>
          <w:right w:val="single" w:sz="8" w:space="0" w:color="ACB137" w:themeColor="accent2"/>
        </w:tcBorders>
        <w:shd w:val="clear" w:color="auto" w:fill="EDEECA" w:themeFill="accent2" w:themeFillTint="3F"/>
      </w:tcPr>
    </w:tblStylePr>
    <w:tblStylePr w:type="band1Horz">
      <w:tblPr/>
      <w:tcPr>
        <w:tcBorders>
          <w:top w:val="single" w:sz="8" w:space="0" w:color="ACB137" w:themeColor="accent2"/>
          <w:left w:val="single" w:sz="8" w:space="0" w:color="ACB137" w:themeColor="accent2"/>
          <w:bottom w:val="single" w:sz="8" w:space="0" w:color="ACB137" w:themeColor="accent2"/>
          <w:right w:val="single" w:sz="8" w:space="0" w:color="ACB137" w:themeColor="accent2"/>
          <w:insideV w:val="single" w:sz="8" w:space="0" w:color="ACB137" w:themeColor="accent2"/>
        </w:tcBorders>
        <w:shd w:val="clear" w:color="auto" w:fill="EDEECA" w:themeFill="accent2" w:themeFillTint="3F"/>
      </w:tcPr>
    </w:tblStylePr>
    <w:tblStylePr w:type="band2Horz">
      <w:tblPr/>
      <w:tcPr>
        <w:tcBorders>
          <w:top w:val="single" w:sz="8" w:space="0" w:color="ACB137" w:themeColor="accent2"/>
          <w:left w:val="single" w:sz="8" w:space="0" w:color="ACB137" w:themeColor="accent2"/>
          <w:bottom w:val="single" w:sz="8" w:space="0" w:color="ACB137" w:themeColor="accent2"/>
          <w:right w:val="single" w:sz="8" w:space="0" w:color="ACB137" w:themeColor="accent2"/>
          <w:insideV w:val="single" w:sz="8" w:space="0" w:color="ACB137" w:themeColor="accent2"/>
        </w:tcBorders>
      </w:tcPr>
    </w:tblStylePr>
  </w:style>
  <w:style w:type="table" w:styleId="LightGrid-Accent3">
    <w:name w:val="Light Grid Accent 3"/>
    <w:basedOn w:val="TableNormal"/>
    <w:uiPriority w:val="62"/>
    <w:locked/>
    <w:rsid w:val="00372E2B"/>
    <w:pPr>
      <w:spacing w:before="170" w:after="0"/>
    </w:pPr>
    <w:tblPr>
      <w:tblStyleRowBandSize w:val="1"/>
      <w:tblStyleColBandSize w:val="1"/>
      <w:tblBorders>
        <w:top w:val="single" w:sz="8" w:space="0" w:color="00718F" w:themeColor="accent3"/>
        <w:left w:val="single" w:sz="8" w:space="0" w:color="00718F" w:themeColor="accent3"/>
        <w:bottom w:val="single" w:sz="8" w:space="0" w:color="00718F" w:themeColor="accent3"/>
        <w:right w:val="single" w:sz="8" w:space="0" w:color="00718F" w:themeColor="accent3"/>
        <w:insideH w:val="single" w:sz="8" w:space="0" w:color="00718F" w:themeColor="accent3"/>
        <w:insideV w:val="single" w:sz="8" w:space="0" w:color="00718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18F" w:themeColor="accent3"/>
          <w:left w:val="single" w:sz="8" w:space="0" w:color="00718F" w:themeColor="accent3"/>
          <w:bottom w:val="single" w:sz="18" w:space="0" w:color="00718F" w:themeColor="accent3"/>
          <w:right w:val="single" w:sz="8" w:space="0" w:color="00718F" w:themeColor="accent3"/>
          <w:insideH w:val="nil"/>
          <w:insideV w:val="single" w:sz="8" w:space="0" w:color="00718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18F" w:themeColor="accent3"/>
          <w:left w:val="single" w:sz="8" w:space="0" w:color="00718F" w:themeColor="accent3"/>
          <w:bottom w:val="single" w:sz="8" w:space="0" w:color="00718F" w:themeColor="accent3"/>
          <w:right w:val="single" w:sz="8" w:space="0" w:color="00718F" w:themeColor="accent3"/>
          <w:insideH w:val="nil"/>
          <w:insideV w:val="single" w:sz="8" w:space="0" w:color="00718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18F" w:themeColor="accent3"/>
          <w:left w:val="single" w:sz="8" w:space="0" w:color="00718F" w:themeColor="accent3"/>
          <w:bottom w:val="single" w:sz="8" w:space="0" w:color="00718F" w:themeColor="accent3"/>
          <w:right w:val="single" w:sz="8" w:space="0" w:color="00718F" w:themeColor="accent3"/>
        </w:tcBorders>
      </w:tcPr>
    </w:tblStylePr>
    <w:tblStylePr w:type="band1Vert">
      <w:tblPr/>
      <w:tcPr>
        <w:tcBorders>
          <w:top w:val="single" w:sz="8" w:space="0" w:color="00718F" w:themeColor="accent3"/>
          <w:left w:val="single" w:sz="8" w:space="0" w:color="00718F" w:themeColor="accent3"/>
          <w:bottom w:val="single" w:sz="8" w:space="0" w:color="00718F" w:themeColor="accent3"/>
          <w:right w:val="single" w:sz="8" w:space="0" w:color="00718F" w:themeColor="accent3"/>
        </w:tcBorders>
        <w:shd w:val="clear" w:color="auto" w:fill="A4EBFF" w:themeFill="accent3" w:themeFillTint="3F"/>
      </w:tcPr>
    </w:tblStylePr>
    <w:tblStylePr w:type="band1Horz">
      <w:tblPr/>
      <w:tcPr>
        <w:tcBorders>
          <w:top w:val="single" w:sz="8" w:space="0" w:color="00718F" w:themeColor="accent3"/>
          <w:left w:val="single" w:sz="8" w:space="0" w:color="00718F" w:themeColor="accent3"/>
          <w:bottom w:val="single" w:sz="8" w:space="0" w:color="00718F" w:themeColor="accent3"/>
          <w:right w:val="single" w:sz="8" w:space="0" w:color="00718F" w:themeColor="accent3"/>
          <w:insideV w:val="single" w:sz="8" w:space="0" w:color="00718F" w:themeColor="accent3"/>
        </w:tcBorders>
        <w:shd w:val="clear" w:color="auto" w:fill="A4EBFF" w:themeFill="accent3" w:themeFillTint="3F"/>
      </w:tcPr>
    </w:tblStylePr>
    <w:tblStylePr w:type="band2Horz">
      <w:tblPr/>
      <w:tcPr>
        <w:tcBorders>
          <w:top w:val="single" w:sz="8" w:space="0" w:color="00718F" w:themeColor="accent3"/>
          <w:left w:val="single" w:sz="8" w:space="0" w:color="00718F" w:themeColor="accent3"/>
          <w:bottom w:val="single" w:sz="8" w:space="0" w:color="00718F" w:themeColor="accent3"/>
          <w:right w:val="single" w:sz="8" w:space="0" w:color="00718F" w:themeColor="accent3"/>
          <w:insideV w:val="single" w:sz="8" w:space="0" w:color="00718F" w:themeColor="accent3"/>
        </w:tcBorders>
      </w:tcPr>
    </w:tblStylePr>
  </w:style>
  <w:style w:type="table" w:styleId="LightGrid-Accent4">
    <w:name w:val="Light Grid Accent 4"/>
    <w:basedOn w:val="TableNormal"/>
    <w:uiPriority w:val="62"/>
    <w:locked/>
    <w:rsid w:val="00372E2B"/>
    <w:pPr>
      <w:spacing w:before="170" w:after="0"/>
    </w:pPr>
    <w:tblPr>
      <w:tblStyleRowBandSize w:val="1"/>
      <w:tblStyleColBandSize w:val="1"/>
      <w:tblBorders>
        <w:top w:val="single" w:sz="8" w:space="0" w:color="00B8A5" w:themeColor="accent4"/>
        <w:left w:val="single" w:sz="8" w:space="0" w:color="00B8A5" w:themeColor="accent4"/>
        <w:bottom w:val="single" w:sz="8" w:space="0" w:color="00B8A5" w:themeColor="accent4"/>
        <w:right w:val="single" w:sz="8" w:space="0" w:color="00B8A5" w:themeColor="accent4"/>
        <w:insideH w:val="single" w:sz="8" w:space="0" w:color="00B8A5" w:themeColor="accent4"/>
        <w:insideV w:val="single" w:sz="8" w:space="0" w:color="00B8A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B8A5" w:themeColor="accent4"/>
          <w:left w:val="single" w:sz="8" w:space="0" w:color="00B8A5" w:themeColor="accent4"/>
          <w:bottom w:val="single" w:sz="18" w:space="0" w:color="00B8A5" w:themeColor="accent4"/>
          <w:right w:val="single" w:sz="8" w:space="0" w:color="00B8A5" w:themeColor="accent4"/>
          <w:insideH w:val="nil"/>
          <w:insideV w:val="single" w:sz="8" w:space="0" w:color="00B8A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B8A5" w:themeColor="accent4"/>
          <w:left w:val="single" w:sz="8" w:space="0" w:color="00B8A5" w:themeColor="accent4"/>
          <w:bottom w:val="single" w:sz="8" w:space="0" w:color="00B8A5" w:themeColor="accent4"/>
          <w:right w:val="single" w:sz="8" w:space="0" w:color="00B8A5" w:themeColor="accent4"/>
          <w:insideH w:val="nil"/>
          <w:insideV w:val="single" w:sz="8" w:space="0" w:color="00B8A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B8A5" w:themeColor="accent4"/>
          <w:left w:val="single" w:sz="8" w:space="0" w:color="00B8A5" w:themeColor="accent4"/>
          <w:bottom w:val="single" w:sz="8" w:space="0" w:color="00B8A5" w:themeColor="accent4"/>
          <w:right w:val="single" w:sz="8" w:space="0" w:color="00B8A5" w:themeColor="accent4"/>
        </w:tcBorders>
      </w:tcPr>
    </w:tblStylePr>
    <w:tblStylePr w:type="band1Vert">
      <w:tblPr/>
      <w:tcPr>
        <w:tcBorders>
          <w:top w:val="single" w:sz="8" w:space="0" w:color="00B8A5" w:themeColor="accent4"/>
          <w:left w:val="single" w:sz="8" w:space="0" w:color="00B8A5" w:themeColor="accent4"/>
          <w:bottom w:val="single" w:sz="8" w:space="0" w:color="00B8A5" w:themeColor="accent4"/>
          <w:right w:val="single" w:sz="8" w:space="0" w:color="00B8A5" w:themeColor="accent4"/>
        </w:tcBorders>
        <w:shd w:val="clear" w:color="auto" w:fill="AEFFF6" w:themeFill="accent4" w:themeFillTint="3F"/>
      </w:tcPr>
    </w:tblStylePr>
    <w:tblStylePr w:type="band1Horz">
      <w:tblPr/>
      <w:tcPr>
        <w:tcBorders>
          <w:top w:val="single" w:sz="8" w:space="0" w:color="00B8A5" w:themeColor="accent4"/>
          <w:left w:val="single" w:sz="8" w:space="0" w:color="00B8A5" w:themeColor="accent4"/>
          <w:bottom w:val="single" w:sz="8" w:space="0" w:color="00B8A5" w:themeColor="accent4"/>
          <w:right w:val="single" w:sz="8" w:space="0" w:color="00B8A5" w:themeColor="accent4"/>
          <w:insideV w:val="single" w:sz="8" w:space="0" w:color="00B8A5" w:themeColor="accent4"/>
        </w:tcBorders>
        <w:shd w:val="clear" w:color="auto" w:fill="AEFFF6" w:themeFill="accent4" w:themeFillTint="3F"/>
      </w:tcPr>
    </w:tblStylePr>
    <w:tblStylePr w:type="band2Horz">
      <w:tblPr/>
      <w:tcPr>
        <w:tcBorders>
          <w:top w:val="single" w:sz="8" w:space="0" w:color="00B8A5" w:themeColor="accent4"/>
          <w:left w:val="single" w:sz="8" w:space="0" w:color="00B8A5" w:themeColor="accent4"/>
          <w:bottom w:val="single" w:sz="8" w:space="0" w:color="00B8A5" w:themeColor="accent4"/>
          <w:right w:val="single" w:sz="8" w:space="0" w:color="00B8A5" w:themeColor="accent4"/>
          <w:insideV w:val="single" w:sz="8" w:space="0" w:color="00B8A5" w:themeColor="accent4"/>
        </w:tcBorders>
      </w:tcPr>
    </w:tblStylePr>
  </w:style>
  <w:style w:type="table" w:styleId="LightGrid-Accent5">
    <w:name w:val="Light Grid Accent 5"/>
    <w:basedOn w:val="TableNormal"/>
    <w:uiPriority w:val="62"/>
    <w:locked/>
    <w:rsid w:val="00372E2B"/>
    <w:pPr>
      <w:spacing w:before="170" w:after="0"/>
    </w:pPr>
    <w:tblPr>
      <w:tblStyleRowBandSize w:val="1"/>
      <w:tblStyleColBandSize w:val="1"/>
      <w:tblBorders>
        <w:top w:val="single" w:sz="8" w:space="0" w:color="F04C3E" w:themeColor="accent5"/>
        <w:left w:val="single" w:sz="8" w:space="0" w:color="F04C3E" w:themeColor="accent5"/>
        <w:bottom w:val="single" w:sz="8" w:space="0" w:color="F04C3E" w:themeColor="accent5"/>
        <w:right w:val="single" w:sz="8" w:space="0" w:color="F04C3E" w:themeColor="accent5"/>
        <w:insideH w:val="single" w:sz="8" w:space="0" w:color="F04C3E" w:themeColor="accent5"/>
        <w:insideV w:val="single" w:sz="8" w:space="0" w:color="F04C3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4C3E" w:themeColor="accent5"/>
          <w:left w:val="single" w:sz="8" w:space="0" w:color="F04C3E" w:themeColor="accent5"/>
          <w:bottom w:val="single" w:sz="18" w:space="0" w:color="F04C3E" w:themeColor="accent5"/>
          <w:right w:val="single" w:sz="8" w:space="0" w:color="F04C3E" w:themeColor="accent5"/>
          <w:insideH w:val="nil"/>
          <w:insideV w:val="single" w:sz="8" w:space="0" w:color="F04C3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4C3E" w:themeColor="accent5"/>
          <w:left w:val="single" w:sz="8" w:space="0" w:color="F04C3E" w:themeColor="accent5"/>
          <w:bottom w:val="single" w:sz="8" w:space="0" w:color="F04C3E" w:themeColor="accent5"/>
          <w:right w:val="single" w:sz="8" w:space="0" w:color="F04C3E" w:themeColor="accent5"/>
          <w:insideH w:val="nil"/>
          <w:insideV w:val="single" w:sz="8" w:space="0" w:color="F04C3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4C3E" w:themeColor="accent5"/>
          <w:left w:val="single" w:sz="8" w:space="0" w:color="F04C3E" w:themeColor="accent5"/>
          <w:bottom w:val="single" w:sz="8" w:space="0" w:color="F04C3E" w:themeColor="accent5"/>
          <w:right w:val="single" w:sz="8" w:space="0" w:color="F04C3E" w:themeColor="accent5"/>
        </w:tcBorders>
      </w:tcPr>
    </w:tblStylePr>
    <w:tblStylePr w:type="band1Vert">
      <w:tblPr/>
      <w:tcPr>
        <w:tcBorders>
          <w:top w:val="single" w:sz="8" w:space="0" w:color="F04C3E" w:themeColor="accent5"/>
          <w:left w:val="single" w:sz="8" w:space="0" w:color="F04C3E" w:themeColor="accent5"/>
          <w:bottom w:val="single" w:sz="8" w:space="0" w:color="F04C3E" w:themeColor="accent5"/>
          <w:right w:val="single" w:sz="8" w:space="0" w:color="F04C3E" w:themeColor="accent5"/>
        </w:tcBorders>
        <w:shd w:val="clear" w:color="auto" w:fill="FBD2CF" w:themeFill="accent5" w:themeFillTint="3F"/>
      </w:tcPr>
    </w:tblStylePr>
    <w:tblStylePr w:type="band1Horz">
      <w:tblPr/>
      <w:tcPr>
        <w:tcBorders>
          <w:top w:val="single" w:sz="8" w:space="0" w:color="F04C3E" w:themeColor="accent5"/>
          <w:left w:val="single" w:sz="8" w:space="0" w:color="F04C3E" w:themeColor="accent5"/>
          <w:bottom w:val="single" w:sz="8" w:space="0" w:color="F04C3E" w:themeColor="accent5"/>
          <w:right w:val="single" w:sz="8" w:space="0" w:color="F04C3E" w:themeColor="accent5"/>
          <w:insideV w:val="single" w:sz="8" w:space="0" w:color="F04C3E" w:themeColor="accent5"/>
        </w:tcBorders>
        <w:shd w:val="clear" w:color="auto" w:fill="FBD2CF" w:themeFill="accent5" w:themeFillTint="3F"/>
      </w:tcPr>
    </w:tblStylePr>
    <w:tblStylePr w:type="band2Horz">
      <w:tblPr/>
      <w:tcPr>
        <w:tcBorders>
          <w:top w:val="single" w:sz="8" w:space="0" w:color="F04C3E" w:themeColor="accent5"/>
          <w:left w:val="single" w:sz="8" w:space="0" w:color="F04C3E" w:themeColor="accent5"/>
          <w:bottom w:val="single" w:sz="8" w:space="0" w:color="F04C3E" w:themeColor="accent5"/>
          <w:right w:val="single" w:sz="8" w:space="0" w:color="F04C3E" w:themeColor="accent5"/>
          <w:insideV w:val="single" w:sz="8" w:space="0" w:color="F04C3E" w:themeColor="accent5"/>
        </w:tcBorders>
      </w:tcPr>
    </w:tblStylePr>
  </w:style>
  <w:style w:type="table" w:styleId="LightGrid-Accent6">
    <w:name w:val="Light Grid Accent 6"/>
    <w:basedOn w:val="TableNormal"/>
    <w:uiPriority w:val="62"/>
    <w:locked/>
    <w:rsid w:val="00372E2B"/>
    <w:pPr>
      <w:spacing w:before="170" w:after="0"/>
    </w:pPr>
    <w:tblPr>
      <w:tblStyleRowBandSize w:val="1"/>
      <w:tblStyleColBandSize w:val="1"/>
      <w:tblBorders>
        <w:top w:val="single" w:sz="8" w:space="0" w:color="FAA21B" w:themeColor="accent6"/>
        <w:left w:val="single" w:sz="8" w:space="0" w:color="FAA21B" w:themeColor="accent6"/>
        <w:bottom w:val="single" w:sz="8" w:space="0" w:color="FAA21B" w:themeColor="accent6"/>
        <w:right w:val="single" w:sz="8" w:space="0" w:color="FAA21B" w:themeColor="accent6"/>
        <w:insideH w:val="single" w:sz="8" w:space="0" w:color="FAA21B" w:themeColor="accent6"/>
        <w:insideV w:val="single" w:sz="8" w:space="0" w:color="FAA21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AA21B" w:themeColor="accent6"/>
          <w:left w:val="single" w:sz="8" w:space="0" w:color="FAA21B" w:themeColor="accent6"/>
          <w:bottom w:val="single" w:sz="18" w:space="0" w:color="FAA21B" w:themeColor="accent6"/>
          <w:right w:val="single" w:sz="8" w:space="0" w:color="FAA21B" w:themeColor="accent6"/>
          <w:insideH w:val="nil"/>
          <w:insideV w:val="single" w:sz="8" w:space="0" w:color="FAA21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AA21B" w:themeColor="accent6"/>
          <w:left w:val="single" w:sz="8" w:space="0" w:color="FAA21B" w:themeColor="accent6"/>
          <w:bottom w:val="single" w:sz="8" w:space="0" w:color="FAA21B" w:themeColor="accent6"/>
          <w:right w:val="single" w:sz="8" w:space="0" w:color="FAA21B" w:themeColor="accent6"/>
          <w:insideH w:val="nil"/>
          <w:insideV w:val="single" w:sz="8" w:space="0" w:color="FAA21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AA21B" w:themeColor="accent6"/>
          <w:left w:val="single" w:sz="8" w:space="0" w:color="FAA21B" w:themeColor="accent6"/>
          <w:bottom w:val="single" w:sz="8" w:space="0" w:color="FAA21B" w:themeColor="accent6"/>
          <w:right w:val="single" w:sz="8" w:space="0" w:color="FAA21B" w:themeColor="accent6"/>
        </w:tcBorders>
      </w:tcPr>
    </w:tblStylePr>
    <w:tblStylePr w:type="band1Vert">
      <w:tblPr/>
      <w:tcPr>
        <w:tcBorders>
          <w:top w:val="single" w:sz="8" w:space="0" w:color="FAA21B" w:themeColor="accent6"/>
          <w:left w:val="single" w:sz="8" w:space="0" w:color="FAA21B" w:themeColor="accent6"/>
          <w:bottom w:val="single" w:sz="8" w:space="0" w:color="FAA21B" w:themeColor="accent6"/>
          <w:right w:val="single" w:sz="8" w:space="0" w:color="FAA21B" w:themeColor="accent6"/>
        </w:tcBorders>
        <w:shd w:val="clear" w:color="auto" w:fill="FDE7C6" w:themeFill="accent6" w:themeFillTint="3F"/>
      </w:tcPr>
    </w:tblStylePr>
    <w:tblStylePr w:type="band1Horz">
      <w:tblPr/>
      <w:tcPr>
        <w:tcBorders>
          <w:top w:val="single" w:sz="8" w:space="0" w:color="FAA21B" w:themeColor="accent6"/>
          <w:left w:val="single" w:sz="8" w:space="0" w:color="FAA21B" w:themeColor="accent6"/>
          <w:bottom w:val="single" w:sz="8" w:space="0" w:color="FAA21B" w:themeColor="accent6"/>
          <w:right w:val="single" w:sz="8" w:space="0" w:color="FAA21B" w:themeColor="accent6"/>
          <w:insideV w:val="single" w:sz="8" w:space="0" w:color="FAA21B" w:themeColor="accent6"/>
        </w:tcBorders>
        <w:shd w:val="clear" w:color="auto" w:fill="FDE7C6" w:themeFill="accent6" w:themeFillTint="3F"/>
      </w:tcPr>
    </w:tblStylePr>
    <w:tblStylePr w:type="band2Horz">
      <w:tblPr/>
      <w:tcPr>
        <w:tcBorders>
          <w:top w:val="single" w:sz="8" w:space="0" w:color="FAA21B" w:themeColor="accent6"/>
          <w:left w:val="single" w:sz="8" w:space="0" w:color="FAA21B" w:themeColor="accent6"/>
          <w:bottom w:val="single" w:sz="8" w:space="0" w:color="FAA21B" w:themeColor="accent6"/>
          <w:right w:val="single" w:sz="8" w:space="0" w:color="FAA21B" w:themeColor="accent6"/>
          <w:insideV w:val="single" w:sz="8" w:space="0" w:color="FAA21B" w:themeColor="accent6"/>
        </w:tcBorders>
      </w:tcPr>
    </w:tblStylePr>
  </w:style>
  <w:style w:type="table" w:styleId="LightList">
    <w:name w:val="Light List"/>
    <w:basedOn w:val="TableNormal"/>
    <w:uiPriority w:val="61"/>
    <w:locked/>
    <w:rsid w:val="00372E2B"/>
    <w:pPr>
      <w:spacing w:before="170" w:after="0"/>
    </w:pPr>
    <w:tblPr>
      <w:tblStyleRowBandSize w:val="1"/>
      <w:tblStyleColBandSize w:val="1"/>
      <w:tblBorders>
        <w:top w:val="single" w:sz="8" w:space="0" w:color="231F20" w:themeColor="text1"/>
        <w:left w:val="single" w:sz="8" w:space="0" w:color="231F20" w:themeColor="text1"/>
        <w:bottom w:val="single" w:sz="8" w:space="0" w:color="231F20" w:themeColor="text1"/>
        <w:right w:val="single" w:sz="8" w:space="0" w:color="231F20" w:themeColor="text1"/>
      </w:tblBorders>
    </w:tblPr>
    <w:tblStylePr w:type="firstRow">
      <w:pPr>
        <w:spacing w:before="0" w:after="0" w:line="240" w:lineRule="auto"/>
      </w:pPr>
      <w:rPr>
        <w:b/>
        <w:bCs/>
        <w:color w:val="FFFFFF" w:themeColor="background1"/>
      </w:rPr>
      <w:tblPr/>
      <w:tcPr>
        <w:shd w:val="clear" w:color="auto" w:fill="231F20" w:themeFill="text1"/>
      </w:tcPr>
    </w:tblStylePr>
    <w:tblStylePr w:type="lastRow">
      <w:pPr>
        <w:spacing w:before="0" w:after="0" w:line="240" w:lineRule="auto"/>
      </w:pPr>
      <w:rPr>
        <w:b/>
        <w:bCs/>
      </w:rPr>
      <w:tblPr/>
      <w:tcPr>
        <w:tcBorders>
          <w:top w:val="double" w:sz="6" w:space="0" w:color="231F20" w:themeColor="text1"/>
          <w:left w:val="single" w:sz="8" w:space="0" w:color="231F20" w:themeColor="text1"/>
          <w:bottom w:val="single" w:sz="8" w:space="0" w:color="231F20" w:themeColor="text1"/>
          <w:right w:val="single" w:sz="8" w:space="0" w:color="231F20" w:themeColor="text1"/>
        </w:tcBorders>
      </w:tcPr>
    </w:tblStylePr>
    <w:tblStylePr w:type="firstCol">
      <w:rPr>
        <w:b/>
        <w:bCs/>
      </w:rPr>
    </w:tblStylePr>
    <w:tblStylePr w:type="lastCol">
      <w:rPr>
        <w:b/>
        <w:bCs/>
      </w:rPr>
    </w:tblStylePr>
    <w:tblStylePr w:type="band1Vert">
      <w:tblPr/>
      <w:tcPr>
        <w:tcBorders>
          <w:top w:val="single" w:sz="8" w:space="0" w:color="231F20" w:themeColor="text1"/>
          <w:left w:val="single" w:sz="8" w:space="0" w:color="231F20" w:themeColor="text1"/>
          <w:bottom w:val="single" w:sz="8" w:space="0" w:color="231F20" w:themeColor="text1"/>
          <w:right w:val="single" w:sz="8" w:space="0" w:color="231F20" w:themeColor="text1"/>
        </w:tcBorders>
      </w:tcPr>
    </w:tblStylePr>
    <w:tblStylePr w:type="band1Horz">
      <w:tblPr/>
      <w:tcPr>
        <w:tcBorders>
          <w:top w:val="single" w:sz="8" w:space="0" w:color="231F20" w:themeColor="text1"/>
          <w:left w:val="single" w:sz="8" w:space="0" w:color="231F20" w:themeColor="text1"/>
          <w:bottom w:val="single" w:sz="8" w:space="0" w:color="231F20" w:themeColor="text1"/>
          <w:right w:val="single" w:sz="8" w:space="0" w:color="231F20" w:themeColor="text1"/>
        </w:tcBorders>
      </w:tcPr>
    </w:tblStylePr>
  </w:style>
  <w:style w:type="table" w:styleId="LightList-Accent1">
    <w:name w:val="Light List Accent 1"/>
    <w:basedOn w:val="TableNormal"/>
    <w:uiPriority w:val="61"/>
    <w:locked/>
    <w:rsid w:val="00372E2B"/>
    <w:pPr>
      <w:spacing w:before="170" w:after="0"/>
    </w:pPr>
    <w:tblPr>
      <w:tblStyleRowBandSize w:val="1"/>
      <w:tblStyleColBandSize w:val="1"/>
      <w:tblBorders>
        <w:top w:val="single" w:sz="8" w:space="0" w:color="4C6D41" w:themeColor="accent1"/>
        <w:left w:val="single" w:sz="8" w:space="0" w:color="4C6D41" w:themeColor="accent1"/>
        <w:bottom w:val="single" w:sz="8" w:space="0" w:color="4C6D41" w:themeColor="accent1"/>
        <w:right w:val="single" w:sz="8" w:space="0" w:color="4C6D41" w:themeColor="accent1"/>
      </w:tblBorders>
    </w:tblPr>
    <w:tblStylePr w:type="firstRow">
      <w:pPr>
        <w:spacing w:before="0" w:after="0" w:line="240" w:lineRule="auto"/>
      </w:pPr>
      <w:rPr>
        <w:b/>
        <w:bCs/>
        <w:color w:val="FFFFFF" w:themeColor="background1"/>
      </w:rPr>
      <w:tblPr/>
      <w:tcPr>
        <w:shd w:val="clear" w:color="auto" w:fill="4C6D41" w:themeFill="accent1"/>
      </w:tcPr>
    </w:tblStylePr>
    <w:tblStylePr w:type="lastRow">
      <w:pPr>
        <w:spacing w:before="0" w:after="0" w:line="240" w:lineRule="auto"/>
      </w:pPr>
      <w:rPr>
        <w:b/>
        <w:bCs/>
      </w:rPr>
      <w:tblPr/>
      <w:tcPr>
        <w:tcBorders>
          <w:top w:val="double" w:sz="6" w:space="0" w:color="4C6D41" w:themeColor="accent1"/>
          <w:left w:val="single" w:sz="8" w:space="0" w:color="4C6D41" w:themeColor="accent1"/>
          <w:bottom w:val="single" w:sz="8" w:space="0" w:color="4C6D41" w:themeColor="accent1"/>
          <w:right w:val="single" w:sz="8" w:space="0" w:color="4C6D41" w:themeColor="accent1"/>
        </w:tcBorders>
      </w:tcPr>
    </w:tblStylePr>
    <w:tblStylePr w:type="firstCol">
      <w:rPr>
        <w:b/>
        <w:bCs/>
      </w:rPr>
    </w:tblStylePr>
    <w:tblStylePr w:type="lastCol">
      <w:rPr>
        <w:b/>
        <w:bCs/>
      </w:rPr>
    </w:tblStylePr>
    <w:tblStylePr w:type="band1Vert">
      <w:tblPr/>
      <w:tcPr>
        <w:tcBorders>
          <w:top w:val="single" w:sz="8" w:space="0" w:color="4C6D41" w:themeColor="accent1"/>
          <w:left w:val="single" w:sz="8" w:space="0" w:color="4C6D41" w:themeColor="accent1"/>
          <w:bottom w:val="single" w:sz="8" w:space="0" w:color="4C6D41" w:themeColor="accent1"/>
          <w:right w:val="single" w:sz="8" w:space="0" w:color="4C6D41" w:themeColor="accent1"/>
        </w:tcBorders>
      </w:tcPr>
    </w:tblStylePr>
    <w:tblStylePr w:type="band1Horz">
      <w:tblPr/>
      <w:tcPr>
        <w:tcBorders>
          <w:top w:val="single" w:sz="8" w:space="0" w:color="4C6D41" w:themeColor="accent1"/>
          <w:left w:val="single" w:sz="8" w:space="0" w:color="4C6D41" w:themeColor="accent1"/>
          <w:bottom w:val="single" w:sz="8" w:space="0" w:color="4C6D41" w:themeColor="accent1"/>
          <w:right w:val="single" w:sz="8" w:space="0" w:color="4C6D41" w:themeColor="accent1"/>
        </w:tcBorders>
      </w:tcPr>
    </w:tblStylePr>
  </w:style>
  <w:style w:type="table" w:styleId="LightList-Accent2">
    <w:name w:val="Light List Accent 2"/>
    <w:basedOn w:val="TableNormal"/>
    <w:uiPriority w:val="61"/>
    <w:locked/>
    <w:rsid w:val="00372E2B"/>
    <w:pPr>
      <w:spacing w:before="170" w:after="0"/>
    </w:pPr>
    <w:tblPr>
      <w:tblStyleRowBandSize w:val="1"/>
      <w:tblStyleColBandSize w:val="1"/>
      <w:tblBorders>
        <w:top w:val="single" w:sz="8" w:space="0" w:color="ACB137" w:themeColor="accent2"/>
        <w:left w:val="single" w:sz="8" w:space="0" w:color="ACB137" w:themeColor="accent2"/>
        <w:bottom w:val="single" w:sz="8" w:space="0" w:color="ACB137" w:themeColor="accent2"/>
        <w:right w:val="single" w:sz="8" w:space="0" w:color="ACB137" w:themeColor="accent2"/>
      </w:tblBorders>
    </w:tblPr>
    <w:tblStylePr w:type="firstRow">
      <w:pPr>
        <w:spacing w:before="0" w:after="0" w:line="240" w:lineRule="auto"/>
      </w:pPr>
      <w:rPr>
        <w:b/>
        <w:bCs/>
        <w:color w:val="FFFFFF" w:themeColor="background1"/>
      </w:rPr>
      <w:tblPr/>
      <w:tcPr>
        <w:shd w:val="clear" w:color="auto" w:fill="ACB137" w:themeFill="accent2"/>
      </w:tcPr>
    </w:tblStylePr>
    <w:tblStylePr w:type="lastRow">
      <w:pPr>
        <w:spacing w:before="0" w:after="0" w:line="240" w:lineRule="auto"/>
      </w:pPr>
      <w:rPr>
        <w:b/>
        <w:bCs/>
      </w:rPr>
      <w:tblPr/>
      <w:tcPr>
        <w:tcBorders>
          <w:top w:val="double" w:sz="6" w:space="0" w:color="ACB137" w:themeColor="accent2"/>
          <w:left w:val="single" w:sz="8" w:space="0" w:color="ACB137" w:themeColor="accent2"/>
          <w:bottom w:val="single" w:sz="8" w:space="0" w:color="ACB137" w:themeColor="accent2"/>
          <w:right w:val="single" w:sz="8" w:space="0" w:color="ACB137" w:themeColor="accent2"/>
        </w:tcBorders>
      </w:tcPr>
    </w:tblStylePr>
    <w:tblStylePr w:type="firstCol">
      <w:rPr>
        <w:b/>
        <w:bCs/>
      </w:rPr>
    </w:tblStylePr>
    <w:tblStylePr w:type="lastCol">
      <w:rPr>
        <w:b/>
        <w:bCs/>
      </w:rPr>
    </w:tblStylePr>
    <w:tblStylePr w:type="band1Vert">
      <w:tblPr/>
      <w:tcPr>
        <w:tcBorders>
          <w:top w:val="single" w:sz="8" w:space="0" w:color="ACB137" w:themeColor="accent2"/>
          <w:left w:val="single" w:sz="8" w:space="0" w:color="ACB137" w:themeColor="accent2"/>
          <w:bottom w:val="single" w:sz="8" w:space="0" w:color="ACB137" w:themeColor="accent2"/>
          <w:right w:val="single" w:sz="8" w:space="0" w:color="ACB137" w:themeColor="accent2"/>
        </w:tcBorders>
      </w:tcPr>
    </w:tblStylePr>
    <w:tblStylePr w:type="band1Horz">
      <w:tblPr/>
      <w:tcPr>
        <w:tcBorders>
          <w:top w:val="single" w:sz="8" w:space="0" w:color="ACB137" w:themeColor="accent2"/>
          <w:left w:val="single" w:sz="8" w:space="0" w:color="ACB137" w:themeColor="accent2"/>
          <w:bottom w:val="single" w:sz="8" w:space="0" w:color="ACB137" w:themeColor="accent2"/>
          <w:right w:val="single" w:sz="8" w:space="0" w:color="ACB137" w:themeColor="accent2"/>
        </w:tcBorders>
      </w:tcPr>
    </w:tblStylePr>
  </w:style>
  <w:style w:type="table" w:styleId="LightList-Accent3">
    <w:name w:val="Light List Accent 3"/>
    <w:basedOn w:val="TableNormal"/>
    <w:uiPriority w:val="61"/>
    <w:locked/>
    <w:rsid w:val="00372E2B"/>
    <w:pPr>
      <w:spacing w:before="170" w:after="0"/>
    </w:pPr>
    <w:tblPr>
      <w:tblStyleRowBandSize w:val="1"/>
      <w:tblStyleColBandSize w:val="1"/>
      <w:tblBorders>
        <w:top w:val="single" w:sz="8" w:space="0" w:color="00718F" w:themeColor="accent3"/>
        <w:left w:val="single" w:sz="8" w:space="0" w:color="00718F" w:themeColor="accent3"/>
        <w:bottom w:val="single" w:sz="8" w:space="0" w:color="00718F" w:themeColor="accent3"/>
        <w:right w:val="single" w:sz="8" w:space="0" w:color="00718F" w:themeColor="accent3"/>
      </w:tblBorders>
    </w:tblPr>
    <w:tblStylePr w:type="firstRow">
      <w:pPr>
        <w:spacing w:before="0" w:after="0" w:line="240" w:lineRule="auto"/>
      </w:pPr>
      <w:rPr>
        <w:b/>
        <w:bCs/>
        <w:color w:val="FFFFFF" w:themeColor="background1"/>
      </w:rPr>
      <w:tblPr/>
      <w:tcPr>
        <w:shd w:val="clear" w:color="auto" w:fill="00718F" w:themeFill="accent3"/>
      </w:tcPr>
    </w:tblStylePr>
    <w:tblStylePr w:type="lastRow">
      <w:pPr>
        <w:spacing w:before="0" w:after="0" w:line="240" w:lineRule="auto"/>
      </w:pPr>
      <w:rPr>
        <w:b/>
        <w:bCs/>
      </w:rPr>
      <w:tblPr/>
      <w:tcPr>
        <w:tcBorders>
          <w:top w:val="double" w:sz="6" w:space="0" w:color="00718F" w:themeColor="accent3"/>
          <w:left w:val="single" w:sz="8" w:space="0" w:color="00718F" w:themeColor="accent3"/>
          <w:bottom w:val="single" w:sz="8" w:space="0" w:color="00718F" w:themeColor="accent3"/>
          <w:right w:val="single" w:sz="8" w:space="0" w:color="00718F" w:themeColor="accent3"/>
        </w:tcBorders>
      </w:tcPr>
    </w:tblStylePr>
    <w:tblStylePr w:type="firstCol">
      <w:rPr>
        <w:b/>
        <w:bCs/>
      </w:rPr>
    </w:tblStylePr>
    <w:tblStylePr w:type="lastCol">
      <w:rPr>
        <w:b/>
        <w:bCs/>
      </w:rPr>
    </w:tblStylePr>
    <w:tblStylePr w:type="band1Vert">
      <w:tblPr/>
      <w:tcPr>
        <w:tcBorders>
          <w:top w:val="single" w:sz="8" w:space="0" w:color="00718F" w:themeColor="accent3"/>
          <w:left w:val="single" w:sz="8" w:space="0" w:color="00718F" w:themeColor="accent3"/>
          <w:bottom w:val="single" w:sz="8" w:space="0" w:color="00718F" w:themeColor="accent3"/>
          <w:right w:val="single" w:sz="8" w:space="0" w:color="00718F" w:themeColor="accent3"/>
        </w:tcBorders>
      </w:tcPr>
    </w:tblStylePr>
    <w:tblStylePr w:type="band1Horz">
      <w:tblPr/>
      <w:tcPr>
        <w:tcBorders>
          <w:top w:val="single" w:sz="8" w:space="0" w:color="00718F" w:themeColor="accent3"/>
          <w:left w:val="single" w:sz="8" w:space="0" w:color="00718F" w:themeColor="accent3"/>
          <w:bottom w:val="single" w:sz="8" w:space="0" w:color="00718F" w:themeColor="accent3"/>
          <w:right w:val="single" w:sz="8" w:space="0" w:color="00718F" w:themeColor="accent3"/>
        </w:tcBorders>
      </w:tcPr>
    </w:tblStylePr>
  </w:style>
  <w:style w:type="table" w:styleId="LightList-Accent4">
    <w:name w:val="Light List Accent 4"/>
    <w:basedOn w:val="TableNormal"/>
    <w:uiPriority w:val="61"/>
    <w:locked/>
    <w:rsid w:val="00372E2B"/>
    <w:pPr>
      <w:spacing w:before="170" w:after="0"/>
    </w:pPr>
    <w:tblPr>
      <w:tblStyleRowBandSize w:val="1"/>
      <w:tblStyleColBandSize w:val="1"/>
      <w:tblBorders>
        <w:top w:val="single" w:sz="8" w:space="0" w:color="00B8A5" w:themeColor="accent4"/>
        <w:left w:val="single" w:sz="8" w:space="0" w:color="00B8A5" w:themeColor="accent4"/>
        <w:bottom w:val="single" w:sz="8" w:space="0" w:color="00B8A5" w:themeColor="accent4"/>
        <w:right w:val="single" w:sz="8" w:space="0" w:color="00B8A5" w:themeColor="accent4"/>
      </w:tblBorders>
    </w:tblPr>
    <w:tblStylePr w:type="firstRow">
      <w:pPr>
        <w:spacing w:before="0" w:after="0" w:line="240" w:lineRule="auto"/>
      </w:pPr>
      <w:rPr>
        <w:b/>
        <w:bCs/>
        <w:color w:val="FFFFFF" w:themeColor="background1"/>
      </w:rPr>
      <w:tblPr/>
      <w:tcPr>
        <w:shd w:val="clear" w:color="auto" w:fill="00B8A5" w:themeFill="accent4"/>
      </w:tcPr>
    </w:tblStylePr>
    <w:tblStylePr w:type="lastRow">
      <w:pPr>
        <w:spacing w:before="0" w:after="0" w:line="240" w:lineRule="auto"/>
      </w:pPr>
      <w:rPr>
        <w:b/>
        <w:bCs/>
      </w:rPr>
      <w:tblPr/>
      <w:tcPr>
        <w:tcBorders>
          <w:top w:val="double" w:sz="6" w:space="0" w:color="00B8A5" w:themeColor="accent4"/>
          <w:left w:val="single" w:sz="8" w:space="0" w:color="00B8A5" w:themeColor="accent4"/>
          <w:bottom w:val="single" w:sz="8" w:space="0" w:color="00B8A5" w:themeColor="accent4"/>
          <w:right w:val="single" w:sz="8" w:space="0" w:color="00B8A5" w:themeColor="accent4"/>
        </w:tcBorders>
      </w:tcPr>
    </w:tblStylePr>
    <w:tblStylePr w:type="firstCol">
      <w:rPr>
        <w:b/>
        <w:bCs/>
      </w:rPr>
    </w:tblStylePr>
    <w:tblStylePr w:type="lastCol">
      <w:rPr>
        <w:b/>
        <w:bCs/>
      </w:rPr>
    </w:tblStylePr>
    <w:tblStylePr w:type="band1Vert">
      <w:tblPr/>
      <w:tcPr>
        <w:tcBorders>
          <w:top w:val="single" w:sz="8" w:space="0" w:color="00B8A5" w:themeColor="accent4"/>
          <w:left w:val="single" w:sz="8" w:space="0" w:color="00B8A5" w:themeColor="accent4"/>
          <w:bottom w:val="single" w:sz="8" w:space="0" w:color="00B8A5" w:themeColor="accent4"/>
          <w:right w:val="single" w:sz="8" w:space="0" w:color="00B8A5" w:themeColor="accent4"/>
        </w:tcBorders>
      </w:tcPr>
    </w:tblStylePr>
    <w:tblStylePr w:type="band1Horz">
      <w:tblPr/>
      <w:tcPr>
        <w:tcBorders>
          <w:top w:val="single" w:sz="8" w:space="0" w:color="00B8A5" w:themeColor="accent4"/>
          <w:left w:val="single" w:sz="8" w:space="0" w:color="00B8A5" w:themeColor="accent4"/>
          <w:bottom w:val="single" w:sz="8" w:space="0" w:color="00B8A5" w:themeColor="accent4"/>
          <w:right w:val="single" w:sz="8" w:space="0" w:color="00B8A5" w:themeColor="accent4"/>
        </w:tcBorders>
      </w:tcPr>
    </w:tblStylePr>
  </w:style>
  <w:style w:type="table" w:styleId="LightList-Accent5">
    <w:name w:val="Light List Accent 5"/>
    <w:basedOn w:val="TableNormal"/>
    <w:uiPriority w:val="61"/>
    <w:locked/>
    <w:rsid w:val="00372E2B"/>
    <w:pPr>
      <w:spacing w:before="170" w:after="0"/>
    </w:pPr>
    <w:tblPr>
      <w:tblStyleRowBandSize w:val="1"/>
      <w:tblStyleColBandSize w:val="1"/>
      <w:tblBorders>
        <w:top w:val="single" w:sz="8" w:space="0" w:color="F04C3E" w:themeColor="accent5"/>
        <w:left w:val="single" w:sz="8" w:space="0" w:color="F04C3E" w:themeColor="accent5"/>
        <w:bottom w:val="single" w:sz="8" w:space="0" w:color="F04C3E" w:themeColor="accent5"/>
        <w:right w:val="single" w:sz="8" w:space="0" w:color="F04C3E" w:themeColor="accent5"/>
      </w:tblBorders>
    </w:tblPr>
    <w:tblStylePr w:type="firstRow">
      <w:pPr>
        <w:spacing w:before="0" w:after="0" w:line="240" w:lineRule="auto"/>
      </w:pPr>
      <w:rPr>
        <w:b/>
        <w:bCs/>
        <w:color w:val="FFFFFF" w:themeColor="background1"/>
      </w:rPr>
      <w:tblPr/>
      <w:tcPr>
        <w:shd w:val="clear" w:color="auto" w:fill="F04C3E" w:themeFill="accent5"/>
      </w:tcPr>
    </w:tblStylePr>
    <w:tblStylePr w:type="lastRow">
      <w:pPr>
        <w:spacing w:before="0" w:after="0" w:line="240" w:lineRule="auto"/>
      </w:pPr>
      <w:rPr>
        <w:b/>
        <w:bCs/>
      </w:rPr>
      <w:tblPr/>
      <w:tcPr>
        <w:tcBorders>
          <w:top w:val="double" w:sz="6" w:space="0" w:color="F04C3E" w:themeColor="accent5"/>
          <w:left w:val="single" w:sz="8" w:space="0" w:color="F04C3E" w:themeColor="accent5"/>
          <w:bottom w:val="single" w:sz="8" w:space="0" w:color="F04C3E" w:themeColor="accent5"/>
          <w:right w:val="single" w:sz="8" w:space="0" w:color="F04C3E" w:themeColor="accent5"/>
        </w:tcBorders>
      </w:tcPr>
    </w:tblStylePr>
    <w:tblStylePr w:type="firstCol">
      <w:rPr>
        <w:b/>
        <w:bCs/>
      </w:rPr>
    </w:tblStylePr>
    <w:tblStylePr w:type="lastCol">
      <w:rPr>
        <w:b/>
        <w:bCs/>
      </w:rPr>
    </w:tblStylePr>
    <w:tblStylePr w:type="band1Vert">
      <w:tblPr/>
      <w:tcPr>
        <w:tcBorders>
          <w:top w:val="single" w:sz="8" w:space="0" w:color="F04C3E" w:themeColor="accent5"/>
          <w:left w:val="single" w:sz="8" w:space="0" w:color="F04C3E" w:themeColor="accent5"/>
          <w:bottom w:val="single" w:sz="8" w:space="0" w:color="F04C3E" w:themeColor="accent5"/>
          <w:right w:val="single" w:sz="8" w:space="0" w:color="F04C3E" w:themeColor="accent5"/>
        </w:tcBorders>
      </w:tcPr>
    </w:tblStylePr>
    <w:tblStylePr w:type="band1Horz">
      <w:tblPr/>
      <w:tcPr>
        <w:tcBorders>
          <w:top w:val="single" w:sz="8" w:space="0" w:color="F04C3E" w:themeColor="accent5"/>
          <w:left w:val="single" w:sz="8" w:space="0" w:color="F04C3E" w:themeColor="accent5"/>
          <w:bottom w:val="single" w:sz="8" w:space="0" w:color="F04C3E" w:themeColor="accent5"/>
          <w:right w:val="single" w:sz="8" w:space="0" w:color="F04C3E" w:themeColor="accent5"/>
        </w:tcBorders>
      </w:tcPr>
    </w:tblStylePr>
  </w:style>
  <w:style w:type="table" w:styleId="LightList-Accent6">
    <w:name w:val="Light List Accent 6"/>
    <w:basedOn w:val="TableNormal"/>
    <w:uiPriority w:val="61"/>
    <w:locked/>
    <w:rsid w:val="00372E2B"/>
    <w:pPr>
      <w:spacing w:before="170" w:after="0"/>
    </w:pPr>
    <w:tblPr>
      <w:tblStyleRowBandSize w:val="1"/>
      <w:tblStyleColBandSize w:val="1"/>
      <w:tblBorders>
        <w:top w:val="single" w:sz="8" w:space="0" w:color="FAA21B" w:themeColor="accent6"/>
        <w:left w:val="single" w:sz="8" w:space="0" w:color="FAA21B" w:themeColor="accent6"/>
        <w:bottom w:val="single" w:sz="8" w:space="0" w:color="FAA21B" w:themeColor="accent6"/>
        <w:right w:val="single" w:sz="8" w:space="0" w:color="FAA21B" w:themeColor="accent6"/>
      </w:tblBorders>
    </w:tblPr>
    <w:tblStylePr w:type="firstRow">
      <w:pPr>
        <w:spacing w:before="0" w:after="0" w:line="240" w:lineRule="auto"/>
      </w:pPr>
      <w:rPr>
        <w:b/>
        <w:bCs/>
        <w:color w:val="FFFFFF" w:themeColor="background1"/>
      </w:rPr>
      <w:tblPr/>
      <w:tcPr>
        <w:shd w:val="clear" w:color="auto" w:fill="FAA21B" w:themeFill="accent6"/>
      </w:tcPr>
    </w:tblStylePr>
    <w:tblStylePr w:type="lastRow">
      <w:pPr>
        <w:spacing w:before="0" w:after="0" w:line="240" w:lineRule="auto"/>
      </w:pPr>
      <w:rPr>
        <w:b/>
        <w:bCs/>
      </w:rPr>
      <w:tblPr/>
      <w:tcPr>
        <w:tcBorders>
          <w:top w:val="double" w:sz="6" w:space="0" w:color="FAA21B" w:themeColor="accent6"/>
          <w:left w:val="single" w:sz="8" w:space="0" w:color="FAA21B" w:themeColor="accent6"/>
          <w:bottom w:val="single" w:sz="8" w:space="0" w:color="FAA21B" w:themeColor="accent6"/>
          <w:right w:val="single" w:sz="8" w:space="0" w:color="FAA21B" w:themeColor="accent6"/>
        </w:tcBorders>
      </w:tcPr>
    </w:tblStylePr>
    <w:tblStylePr w:type="firstCol">
      <w:rPr>
        <w:b/>
        <w:bCs/>
      </w:rPr>
    </w:tblStylePr>
    <w:tblStylePr w:type="lastCol">
      <w:rPr>
        <w:b/>
        <w:bCs/>
      </w:rPr>
    </w:tblStylePr>
    <w:tblStylePr w:type="band1Vert">
      <w:tblPr/>
      <w:tcPr>
        <w:tcBorders>
          <w:top w:val="single" w:sz="8" w:space="0" w:color="FAA21B" w:themeColor="accent6"/>
          <w:left w:val="single" w:sz="8" w:space="0" w:color="FAA21B" w:themeColor="accent6"/>
          <w:bottom w:val="single" w:sz="8" w:space="0" w:color="FAA21B" w:themeColor="accent6"/>
          <w:right w:val="single" w:sz="8" w:space="0" w:color="FAA21B" w:themeColor="accent6"/>
        </w:tcBorders>
      </w:tcPr>
    </w:tblStylePr>
    <w:tblStylePr w:type="band1Horz">
      <w:tblPr/>
      <w:tcPr>
        <w:tcBorders>
          <w:top w:val="single" w:sz="8" w:space="0" w:color="FAA21B" w:themeColor="accent6"/>
          <w:left w:val="single" w:sz="8" w:space="0" w:color="FAA21B" w:themeColor="accent6"/>
          <w:bottom w:val="single" w:sz="8" w:space="0" w:color="FAA21B" w:themeColor="accent6"/>
          <w:right w:val="single" w:sz="8" w:space="0" w:color="FAA21B" w:themeColor="accent6"/>
        </w:tcBorders>
      </w:tcPr>
    </w:tblStylePr>
  </w:style>
  <w:style w:type="table" w:styleId="LightShading">
    <w:name w:val="Light Shading"/>
    <w:basedOn w:val="TableNormal"/>
    <w:uiPriority w:val="60"/>
    <w:locked/>
    <w:rsid w:val="00372E2B"/>
    <w:pPr>
      <w:spacing w:before="170" w:after="0"/>
    </w:pPr>
    <w:rPr>
      <w:color w:val="1A1717" w:themeColor="text1" w:themeShade="BF"/>
    </w:rPr>
    <w:tblPr>
      <w:tblStyleRowBandSize w:val="1"/>
      <w:tblStyleColBandSize w:val="1"/>
      <w:tblBorders>
        <w:top w:val="single" w:sz="8" w:space="0" w:color="231F20" w:themeColor="text1"/>
        <w:bottom w:val="single" w:sz="8" w:space="0" w:color="231F20" w:themeColor="text1"/>
      </w:tblBorders>
    </w:tblPr>
    <w:tblStylePr w:type="firstRow">
      <w:pPr>
        <w:spacing w:before="0" w:after="0" w:line="240" w:lineRule="auto"/>
      </w:pPr>
      <w:rPr>
        <w:b/>
        <w:bCs/>
      </w:rPr>
      <w:tblPr/>
      <w:tcPr>
        <w:tcBorders>
          <w:top w:val="single" w:sz="8" w:space="0" w:color="231F20" w:themeColor="text1"/>
          <w:left w:val="nil"/>
          <w:bottom w:val="single" w:sz="8" w:space="0" w:color="231F20" w:themeColor="text1"/>
          <w:right w:val="nil"/>
          <w:insideH w:val="nil"/>
          <w:insideV w:val="nil"/>
        </w:tcBorders>
      </w:tcPr>
    </w:tblStylePr>
    <w:tblStylePr w:type="lastRow">
      <w:pPr>
        <w:spacing w:before="0" w:after="0" w:line="240" w:lineRule="auto"/>
      </w:pPr>
      <w:rPr>
        <w:b/>
        <w:bCs/>
      </w:rPr>
      <w:tblPr/>
      <w:tcPr>
        <w:tcBorders>
          <w:top w:val="single" w:sz="8" w:space="0" w:color="231F20" w:themeColor="text1"/>
          <w:left w:val="nil"/>
          <w:bottom w:val="single" w:sz="8" w:space="0" w:color="231F2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C4C6" w:themeFill="text1" w:themeFillTint="3F"/>
      </w:tcPr>
    </w:tblStylePr>
    <w:tblStylePr w:type="band1Horz">
      <w:tblPr/>
      <w:tcPr>
        <w:tcBorders>
          <w:left w:val="nil"/>
          <w:right w:val="nil"/>
          <w:insideH w:val="nil"/>
          <w:insideV w:val="nil"/>
        </w:tcBorders>
        <w:shd w:val="clear" w:color="auto" w:fill="CBC4C6" w:themeFill="text1" w:themeFillTint="3F"/>
      </w:tcPr>
    </w:tblStylePr>
  </w:style>
  <w:style w:type="table" w:styleId="LightShading-Accent1">
    <w:name w:val="Light Shading Accent 1"/>
    <w:basedOn w:val="TableNormal"/>
    <w:uiPriority w:val="60"/>
    <w:locked/>
    <w:rsid w:val="00372E2B"/>
    <w:pPr>
      <w:spacing w:before="170" w:after="0"/>
    </w:pPr>
    <w:rPr>
      <w:color w:val="385130" w:themeColor="accent1" w:themeShade="BF"/>
    </w:rPr>
    <w:tblPr>
      <w:tblStyleRowBandSize w:val="1"/>
      <w:tblStyleColBandSize w:val="1"/>
      <w:tblBorders>
        <w:top w:val="single" w:sz="8" w:space="0" w:color="4C6D41" w:themeColor="accent1"/>
        <w:bottom w:val="single" w:sz="8" w:space="0" w:color="4C6D41" w:themeColor="accent1"/>
      </w:tblBorders>
    </w:tblPr>
    <w:tblStylePr w:type="firstRow">
      <w:pPr>
        <w:spacing w:before="0" w:after="0" w:line="240" w:lineRule="auto"/>
      </w:pPr>
      <w:rPr>
        <w:b/>
        <w:bCs/>
      </w:rPr>
      <w:tblPr/>
      <w:tcPr>
        <w:tcBorders>
          <w:top w:val="single" w:sz="8" w:space="0" w:color="4C6D41" w:themeColor="accent1"/>
          <w:left w:val="nil"/>
          <w:bottom w:val="single" w:sz="8" w:space="0" w:color="4C6D41" w:themeColor="accent1"/>
          <w:right w:val="nil"/>
          <w:insideH w:val="nil"/>
          <w:insideV w:val="nil"/>
        </w:tcBorders>
      </w:tcPr>
    </w:tblStylePr>
    <w:tblStylePr w:type="lastRow">
      <w:pPr>
        <w:spacing w:before="0" w:after="0" w:line="240" w:lineRule="auto"/>
      </w:pPr>
      <w:rPr>
        <w:b/>
        <w:bCs/>
      </w:rPr>
      <w:tblPr/>
      <w:tcPr>
        <w:tcBorders>
          <w:top w:val="single" w:sz="8" w:space="0" w:color="4C6D41" w:themeColor="accent1"/>
          <w:left w:val="nil"/>
          <w:bottom w:val="single" w:sz="8" w:space="0" w:color="4C6D4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0CA" w:themeFill="accent1" w:themeFillTint="3F"/>
      </w:tcPr>
    </w:tblStylePr>
    <w:tblStylePr w:type="band1Horz">
      <w:tblPr/>
      <w:tcPr>
        <w:tcBorders>
          <w:left w:val="nil"/>
          <w:right w:val="nil"/>
          <w:insideH w:val="nil"/>
          <w:insideV w:val="nil"/>
        </w:tcBorders>
        <w:shd w:val="clear" w:color="auto" w:fill="CFE0CA" w:themeFill="accent1" w:themeFillTint="3F"/>
      </w:tcPr>
    </w:tblStylePr>
  </w:style>
  <w:style w:type="table" w:styleId="LightShading-Accent2">
    <w:name w:val="Light Shading Accent 2"/>
    <w:basedOn w:val="TableNormal"/>
    <w:uiPriority w:val="60"/>
    <w:locked/>
    <w:rsid w:val="00372E2B"/>
    <w:pPr>
      <w:spacing w:before="170" w:after="0"/>
    </w:pPr>
    <w:rPr>
      <w:color w:val="808429" w:themeColor="accent2" w:themeShade="BF"/>
    </w:rPr>
    <w:tblPr>
      <w:tblStyleRowBandSize w:val="1"/>
      <w:tblStyleColBandSize w:val="1"/>
      <w:tblBorders>
        <w:top w:val="single" w:sz="8" w:space="0" w:color="ACB137" w:themeColor="accent2"/>
        <w:bottom w:val="single" w:sz="8" w:space="0" w:color="ACB137" w:themeColor="accent2"/>
      </w:tblBorders>
    </w:tblPr>
    <w:tblStylePr w:type="firstRow">
      <w:pPr>
        <w:spacing w:before="0" w:after="0" w:line="240" w:lineRule="auto"/>
      </w:pPr>
      <w:rPr>
        <w:b/>
        <w:bCs/>
      </w:rPr>
      <w:tblPr/>
      <w:tcPr>
        <w:tcBorders>
          <w:top w:val="single" w:sz="8" w:space="0" w:color="ACB137" w:themeColor="accent2"/>
          <w:left w:val="nil"/>
          <w:bottom w:val="single" w:sz="8" w:space="0" w:color="ACB137" w:themeColor="accent2"/>
          <w:right w:val="nil"/>
          <w:insideH w:val="nil"/>
          <w:insideV w:val="nil"/>
        </w:tcBorders>
      </w:tcPr>
    </w:tblStylePr>
    <w:tblStylePr w:type="lastRow">
      <w:pPr>
        <w:spacing w:before="0" w:after="0" w:line="240" w:lineRule="auto"/>
      </w:pPr>
      <w:rPr>
        <w:b/>
        <w:bCs/>
      </w:rPr>
      <w:tblPr/>
      <w:tcPr>
        <w:tcBorders>
          <w:top w:val="single" w:sz="8" w:space="0" w:color="ACB137" w:themeColor="accent2"/>
          <w:left w:val="nil"/>
          <w:bottom w:val="single" w:sz="8" w:space="0" w:color="ACB13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ECA" w:themeFill="accent2" w:themeFillTint="3F"/>
      </w:tcPr>
    </w:tblStylePr>
    <w:tblStylePr w:type="band1Horz">
      <w:tblPr/>
      <w:tcPr>
        <w:tcBorders>
          <w:left w:val="nil"/>
          <w:right w:val="nil"/>
          <w:insideH w:val="nil"/>
          <w:insideV w:val="nil"/>
        </w:tcBorders>
        <w:shd w:val="clear" w:color="auto" w:fill="EDEECA" w:themeFill="accent2" w:themeFillTint="3F"/>
      </w:tcPr>
    </w:tblStylePr>
  </w:style>
  <w:style w:type="table" w:styleId="LightShading-Accent3">
    <w:name w:val="Light Shading Accent 3"/>
    <w:basedOn w:val="TableNormal"/>
    <w:uiPriority w:val="60"/>
    <w:locked/>
    <w:rsid w:val="00372E2B"/>
    <w:pPr>
      <w:spacing w:before="170" w:after="0"/>
    </w:pPr>
    <w:rPr>
      <w:color w:val="00546B" w:themeColor="accent3" w:themeShade="BF"/>
    </w:rPr>
    <w:tblPr>
      <w:tblStyleRowBandSize w:val="1"/>
      <w:tblStyleColBandSize w:val="1"/>
      <w:tblBorders>
        <w:top w:val="single" w:sz="8" w:space="0" w:color="00718F" w:themeColor="accent3"/>
        <w:bottom w:val="single" w:sz="8" w:space="0" w:color="00718F" w:themeColor="accent3"/>
      </w:tblBorders>
    </w:tblPr>
    <w:tblStylePr w:type="firstRow">
      <w:pPr>
        <w:spacing w:before="0" w:after="0" w:line="240" w:lineRule="auto"/>
      </w:pPr>
      <w:rPr>
        <w:b/>
        <w:bCs/>
      </w:rPr>
      <w:tblPr/>
      <w:tcPr>
        <w:tcBorders>
          <w:top w:val="single" w:sz="8" w:space="0" w:color="00718F" w:themeColor="accent3"/>
          <w:left w:val="nil"/>
          <w:bottom w:val="single" w:sz="8" w:space="0" w:color="00718F" w:themeColor="accent3"/>
          <w:right w:val="nil"/>
          <w:insideH w:val="nil"/>
          <w:insideV w:val="nil"/>
        </w:tcBorders>
      </w:tcPr>
    </w:tblStylePr>
    <w:tblStylePr w:type="lastRow">
      <w:pPr>
        <w:spacing w:before="0" w:after="0" w:line="240" w:lineRule="auto"/>
      </w:pPr>
      <w:rPr>
        <w:b/>
        <w:bCs/>
      </w:rPr>
      <w:tblPr/>
      <w:tcPr>
        <w:tcBorders>
          <w:top w:val="single" w:sz="8" w:space="0" w:color="00718F" w:themeColor="accent3"/>
          <w:left w:val="nil"/>
          <w:bottom w:val="single" w:sz="8" w:space="0" w:color="00718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4EBFF" w:themeFill="accent3" w:themeFillTint="3F"/>
      </w:tcPr>
    </w:tblStylePr>
    <w:tblStylePr w:type="band1Horz">
      <w:tblPr/>
      <w:tcPr>
        <w:tcBorders>
          <w:left w:val="nil"/>
          <w:right w:val="nil"/>
          <w:insideH w:val="nil"/>
          <w:insideV w:val="nil"/>
        </w:tcBorders>
        <w:shd w:val="clear" w:color="auto" w:fill="A4EBFF" w:themeFill="accent3" w:themeFillTint="3F"/>
      </w:tcPr>
    </w:tblStylePr>
  </w:style>
  <w:style w:type="table" w:styleId="LightShading-Accent4">
    <w:name w:val="Light Shading Accent 4"/>
    <w:basedOn w:val="TableNormal"/>
    <w:uiPriority w:val="60"/>
    <w:locked/>
    <w:rsid w:val="00372E2B"/>
    <w:pPr>
      <w:spacing w:before="170" w:after="0"/>
    </w:pPr>
    <w:rPr>
      <w:color w:val="00897B" w:themeColor="accent4" w:themeShade="BF"/>
    </w:rPr>
    <w:tblPr>
      <w:tblStyleRowBandSize w:val="1"/>
      <w:tblStyleColBandSize w:val="1"/>
      <w:tblBorders>
        <w:top w:val="single" w:sz="8" w:space="0" w:color="00B8A5" w:themeColor="accent4"/>
        <w:bottom w:val="single" w:sz="8" w:space="0" w:color="00B8A5" w:themeColor="accent4"/>
      </w:tblBorders>
    </w:tblPr>
    <w:tblStylePr w:type="firstRow">
      <w:pPr>
        <w:spacing w:before="0" w:after="0" w:line="240" w:lineRule="auto"/>
      </w:pPr>
      <w:rPr>
        <w:b/>
        <w:bCs/>
      </w:rPr>
      <w:tblPr/>
      <w:tcPr>
        <w:tcBorders>
          <w:top w:val="single" w:sz="8" w:space="0" w:color="00B8A5" w:themeColor="accent4"/>
          <w:left w:val="nil"/>
          <w:bottom w:val="single" w:sz="8" w:space="0" w:color="00B8A5" w:themeColor="accent4"/>
          <w:right w:val="nil"/>
          <w:insideH w:val="nil"/>
          <w:insideV w:val="nil"/>
        </w:tcBorders>
      </w:tcPr>
    </w:tblStylePr>
    <w:tblStylePr w:type="lastRow">
      <w:pPr>
        <w:spacing w:before="0" w:after="0" w:line="240" w:lineRule="auto"/>
      </w:pPr>
      <w:rPr>
        <w:b/>
        <w:bCs/>
      </w:rPr>
      <w:tblPr/>
      <w:tcPr>
        <w:tcBorders>
          <w:top w:val="single" w:sz="8" w:space="0" w:color="00B8A5" w:themeColor="accent4"/>
          <w:left w:val="nil"/>
          <w:bottom w:val="single" w:sz="8" w:space="0" w:color="00B8A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EFFF6" w:themeFill="accent4" w:themeFillTint="3F"/>
      </w:tcPr>
    </w:tblStylePr>
    <w:tblStylePr w:type="band1Horz">
      <w:tblPr/>
      <w:tcPr>
        <w:tcBorders>
          <w:left w:val="nil"/>
          <w:right w:val="nil"/>
          <w:insideH w:val="nil"/>
          <w:insideV w:val="nil"/>
        </w:tcBorders>
        <w:shd w:val="clear" w:color="auto" w:fill="AEFFF6" w:themeFill="accent4" w:themeFillTint="3F"/>
      </w:tcPr>
    </w:tblStylePr>
  </w:style>
  <w:style w:type="table" w:styleId="LightShading-Accent5">
    <w:name w:val="Light Shading Accent 5"/>
    <w:basedOn w:val="TableNormal"/>
    <w:uiPriority w:val="60"/>
    <w:locked/>
    <w:rsid w:val="00372E2B"/>
    <w:pPr>
      <w:spacing w:before="170" w:after="0"/>
    </w:pPr>
    <w:rPr>
      <w:color w:val="D11F10" w:themeColor="accent5" w:themeShade="BF"/>
    </w:rPr>
    <w:tblPr>
      <w:tblStyleRowBandSize w:val="1"/>
      <w:tblStyleColBandSize w:val="1"/>
      <w:tblBorders>
        <w:top w:val="single" w:sz="8" w:space="0" w:color="F04C3E" w:themeColor="accent5"/>
        <w:bottom w:val="single" w:sz="8" w:space="0" w:color="F04C3E" w:themeColor="accent5"/>
      </w:tblBorders>
    </w:tblPr>
    <w:tblStylePr w:type="firstRow">
      <w:pPr>
        <w:spacing w:before="0" w:after="0" w:line="240" w:lineRule="auto"/>
      </w:pPr>
      <w:rPr>
        <w:b/>
        <w:bCs/>
      </w:rPr>
      <w:tblPr/>
      <w:tcPr>
        <w:tcBorders>
          <w:top w:val="single" w:sz="8" w:space="0" w:color="F04C3E" w:themeColor="accent5"/>
          <w:left w:val="nil"/>
          <w:bottom w:val="single" w:sz="8" w:space="0" w:color="F04C3E" w:themeColor="accent5"/>
          <w:right w:val="nil"/>
          <w:insideH w:val="nil"/>
          <w:insideV w:val="nil"/>
        </w:tcBorders>
      </w:tcPr>
    </w:tblStylePr>
    <w:tblStylePr w:type="lastRow">
      <w:pPr>
        <w:spacing w:before="0" w:after="0" w:line="240" w:lineRule="auto"/>
      </w:pPr>
      <w:rPr>
        <w:b/>
        <w:bCs/>
      </w:rPr>
      <w:tblPr/>
      <w:tcPr>
        <w:tcBorders>
          <w:top w:val="single" w:sz="8" w:space="0" w:color="F04C3E" w:themeColor="accent5"/>
          <w:left w:val="nil"/>
          <w:bottom w:val="single" w:sz="8" w:space="0" w:color="F04C3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2CF" w:themeFill="accent5" w:themeFillTint="3F"/>
      </w:tcPr>
    </w:tblStylePr>
    <w:tblStylePr w:type="band1Horz">
      <w:tblPr/>
      <w:tcPr>
        <w:tcBorders>
          <w:left w:val="nil"/>
          <w:right w:val="nil"/>
          <w:insideH w:val="nil"/>
          <w:insideV w:val="nil"/>
        </w:tcBorders>
        <w:shd w:val="clear" w:color="auto" w:fill="FBD2CF" w:themeFill="accent5" w:themeFillTint="3F"/>
      </w:tcPr>
    </w:tblStylePr>
  </w:style>
  <w:style w:type="table" w:styleId="LightShading-Accent6">
    <w:name w:val="Light Shading Accent 6"/>
    <w:basedOn w:val="TableNormal"/>
    <w:uiPriority w:val="60"/>
    <w:locked/>
    <w:rsid w:val="00372E2B"/>
    <w:pPr>
      <w:spacing w:before="170" w:after="0"/>
    </w:pPr>
    <w:rPr>
      <w:color w:val="CA7C04" w:themeColor="accent6" w:themeShade="BF"/>
    </w:rPr>
    <w:tblPr>
      <w:tblStyleRowBandSize w:val="1"/>
      <w:tblStyleColBandSize w:val="1"/>
      <w:tblBorders>
        <w:top w:val="single" w:sz="8" w:space="0" w:color="FAA21B" w:themeColor="accent6"/>
        <w:bottom w:val="single" w:sz="8" w:space="0" w:color="FAA21B" w:themeColor="accent6"/>
      </w:tblBorders>
    </w:tblPr>
    <w:tblStylePr w:type="firstRow">
      <w:pPr>
        <w:spacing w:before="0" w:after="0" w:line="240" w:lineRule="auto"/>
      </w:pPr>
      <w:rPr>
        <w:b/>
        <w:bCs/>
      </w:rPr>
      <w:tblPr/>
      <w:tcPr>
        <w:tcBorders>
          <w:top w:val="single" w:sz="8" w:space="0" w:color="FAA21B" w:themeColor="accent6"/>
          <w:left w:val="nil"/>
          <w:bottom w:val="single" w:sz="8" w:space="0" w:color="FAA21B" w:themeColor="accent6"/>
          <w:right w:val="nil"/>
          <w:insideH w:val="nil"/>
          <w:insideV w:val="nil"/>
        </w:tcBorders>
      </w:tcPr>
    </w:tblStylePr>
    <w:tblStylePr w:type="lastRow">
      <w:pPr>
        <w:spacing w:before="0" w:after="0" w:line="240" w:lineRule="auto"/>
      </w:pPr>
      <w:rPr>
        <w:b/>
        <w:bCs/>
      </w:rPr>
      <w:tblPr/>
      <w:tcPr>
        <w:tcBorders>
          <w:top w:val="single" w:sz="8" w:space="0" w:color="FAA21B" w:themeColor="accent6"/>
          <w:left w:val="nil"/>
          <w:bottom w:val="single" w:sz="8" w:space="0" w:color="FAA21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7C6" w:themeFill="accent6" w:themeFillTint="3F"/>
      </w:tcPr>
    </w:tblStylePr>
    <w:tblStylePr w:type="band1Horz">
      <w:tblPr/>
      <w:tcPr>
        <w:tcBorders>
          <w:left w:val="nil"/>
          <w:right w:val="nil"/>
          <w:insideH w:val="nil"/>
          <w:insideV w:val="nil"/>
        </w:tcBorders>
        <w:shd w:val="clear" w:color="auto" w:fill="FDE7C6" w:themeFill="accent6" w:themeFillTint="3F"/>
      </w:tcPr>
    </w:tblStylePr>
  </w:style>
  <w:style w:type="character" w:styleId="LineNumber">
    <w:name w:val="line number"/>
    <w:basedOn w:val="DefaultParagraphFont"/>
    <w:uiPriority w:val="7"/>
    <w:semiHidden/>
    <w:unhideWhenUsed/>
    <w:locked/>
    <w:rsid w:val="00372E2B"/>
    <w:rPr>
      <w:noProof w:val="0"/>
      <w:lang w:val="en-AU"/>
    </w:rPr>
  </w:style>
  <w:style w:type="paragraph" w:styleId="List">
    <w:name w:val="List"/>
    <w:basedOn w:val="Normal"/>
    <w:uiPriority w:val="11"/>
    <w:semiHidden/>
    <w:qFormat/>
    <w:rsid w:val="00372E2B"/>
    <w:pPr>
      <w:numPr>
        <w:numId w:val="4"/>
      </w:numPr>
      <w:spacing w:before="113"/>
    </w:pPr>
    <w:rPr>
      <w:sz w:val="16"/>
    </w:rPr>
  </w:style>
  <w:style w:type="paragraph" w:styleId="List2">
    <w:name w:val="List 2"/>
    <w:basedOn w:val="Normal"/>
    <w:uiPriority w:val="11"/>
    <w:semiHidden/>
    <w:qFormat/>
    <w:rsid w:val="00372E2B"/>
    <w:pPr>
      <w:numPr>
        <w:ilvl w:val="1"/>
        <w:numId w:val="4"/>
      </w:numPr>
      <w:spacing w:before="113"/>
    </w:pPr>
    <w:rPr>
      <w:sz w:val="16"/>
    </w:rPr>
  </w:style>
  <w:style w:type="paragraph" w:styleId="List3">
    <w:name w:val="List 3"/>
    <w:basedOn w:val="Normal"/>
    <w:uiPriority w:val="11"/>
    <w:semiHidden/>
    <w:qFormat/>
    <w:rsid w:val="00372E2B"/>
    <w:pPr>
      <w:numPr>
        <w:ilvl w:val="2"/>
        <w:numId w:val="4"/>
      </w:numPr>
      <w:spacing w:before="113"/>
    </w:pPr>
    <w:rPr>
      <w:sz w:val="16"/>
    </w:rPr>
  </w:style>
  <w:style w:type="paragraph" w:styleId="List4">
    <w:name w:val="List 4"/>
    <w:basedOn w:val="Normal"/>
    <w:uiPriority w:val="11"/>
    <w:semiHidden/>
    <w:unhideWhenUsed/>
    <w:locked/>
    <w:rsid w:val="00372E2B"/>
    <w:pPr>
      <w:ind w:left="1132" w:hanging="283"/>
      <w:contextualSpacing/>
    </w:pPr>
  </w:style>
  <w:style w:type="paragraph" w:styleId="List5">
    <w:name w:val="List 5"/>
    <w:basedOn w:val="Normal"/>
    <w:uiPriority w:val="11"/>
    <w:semiHidden/>
    <w:unhideWhenUsed/>
    <w:locked/>
    <w:rsid w:val="00372E2B"/>
    <w:pPr>
      <w:ind w:left="1415" w:hanging="283"/>
      <w:contextualSpacing/>
    </w:pPr>
  </w:style>
  <w:style w:type="paragraph" w:styleId="ListBullet5">
    <w:name w:val="List Bullet 5"/>
    <w:aliases w:val="Table Bullet 2"/>
    <w:basedOn w:val="Normal"/>
    <w:uiPriority w:val="18"/>
    <w:locked/>
    <w:rsid w:val="00300242"/>
    <w:pPr>
      <w:contextualSpacing/>
    </w:pPr>
    <w:rPr>
      <w:sz w:val="20"/>
    </w:rPr>
  </w:style>
  <w:style w:type="paragraph" w:styleId="ListContinue">
    <w:name w:val="List Continue"/>
    <w:basedOn w:val="Normal"/>
    <w:uiPriority w:val="11"/>
    <w:semiHidden/>
    <w:unhideWhenUsed/>
    <w:locked/>
    <w:rsid w:val="00372E2B"/>
    <w:pPr>
      <w:ind w:left="283"/>
      <w:contextualSpacing/>
    </w:pPr>
  </w:style>
  <w:style w:type="paragraph" w:styleId="ListContinue2">
    <w:name w:val="List Continue 2"/>
    <w:basedOn w:val="Normal"/>
    <w:uiPriority w:val="11"/>
    <w:semiHidden/>
    <w:unhideWhenUsed/>
    <w:locked/>
    <w:rsid w:val="00372E2B"/>
    <w:pPr>
      <w:ind w:left="566"/>
      <w:contextualSpacing/>
    </w:pPr>
  </w:style>
  <w:style w:type="paragraph" w:styleId="ListContinue3">
    <w:name w:val="List Continue 3"/>
    <w:basedOn w:val="Normal"/>
    <w:uiPriority w:val="11"/>
    <w:semiHidden/>
    <w:unhideWhenUsed/>
    <w:locked/>
    <w:rsid w:val="00372E2B"/>
    <w:pPr>
      <w:ind w:left="849"/>
      <w:contextualSpacing/>
    </w:pPr>
  </w:style>
  <w:style w:type="paragraph" w:styleId="ListContinue4">
    <w:name w:val="List Continue 4"/>
    <w:basedOn w:val="Normal"/>
    <w:uiPriority w:val="11"/>
    <w:semiHidden/>
    <w:unhideWhenUsed/>
    <w:locked/>
    <w:rsid w:val="00372E2B"/>
    <w:pPr>
      <w:ind w:left="1132"/>
      <w:contextualSpacing/>
    </w:pPr>
  </w:style>
  <w:style w:type="paragraph" w:styleId="ListContinue5">
    <w:name w:val="List Continue 5"/>
    <w:basedOn w:val="Normal"/>
    <w:uiPriority w:val="11"/>
    <w:semiHidden/>
    <w:unhideWhenUsed/>
    <w:locked/>
    <w:rsid w:val="00372E2B"/>
    <w:pPr>
      <w:ind w:left="1415"/>
      <w:contextualSpacing/>
    </w:pPr>
  </w:style>
  <w:style w:type="paragraph" w:styleId="ListNumber5">
    <w:name w:val="List Number 5"/>
    <w:aliases w:val="Table Number List 2"/>
    <w:basedOn w:val="Normal"/>
    <w:uiPriority w:val="18"/>
    <w:locked/>
    <w:rsid w:val="00372E2B"/>
    <w:pPr>
      <w:contextualSpacing/>
    </w:pPr>
  </w:style>
  <w:style w:type="paragraph" w:styleId="ListParagraph">
    <w:name w:val="List Paragraph"/>
    <w:basedOn w:val="Normal"/>
    <w:link w:val="ListParagraphChar"/>
    <w:uiPriority w:val="34"/>
    <w:qFormat/>
    <w:rsid w:val="00627D81"/>
    <w:pPr>
      <w:spacing w:before="60" w:after="60"/>
    </w:pPr>
  </w:style>
  <w:style w:type="paragraph" w:styleId="MacroText">
    <w:name w:val="macro"/>
    <w:link w:val="MacroTextChar"/>
    <w:uiPriority w:val="99"/>
    <w:semiHidden/>
    <w:unhideWhenUsed/>
    <w:locked/>
    <w:rsid w:val="00372E2B"/>
    <w:pPr>
      <w:tabs>
        <w:tab w:val="left" w:pos="480"/>
        <w:tab w:val="left" w:pos="960"/>
        <w:tab w:val="left" w:pos="1440"/>
        <w:tab w:val="left" w:pos="1920"/>
        <w:tab w:val="left" w:pos="2400"/>
        <w:tab w:val="left" w:pos="2880"/>
        <w:tab w:val="left" w:pos="3360"/>
        <w:tab w:val="left" w:pos="3840"/>
        <w:tab w:val="left" w:pos="4320"/>
      </w:tabs>
      <w:spacing w:before="170" w:after="0"/>
    </w:pPr>
    <w:rPr>
      <w:rFonts w:ascii="Consolas" w:hAnsi="Consolas"/>
      <w:sz w:val="20"/>
      <w:szCs w:val="20"/>
    </w:rPr>
  </w:style>
  <w:style w:type="character" w:customStyle="1" w:styleId="MacroTextChar">
    <w:name w:val="Macro Text Char"/>
    <w:basedOn w:val="DefaultParagraphFont"/>
    <w:link w:val="MacroText"/>
    <w:uiPriority w:val="99"/>
    <w:semiHidden/>
    <w:rsid w:val="00372E2B"/>
    <w:rPr>
      <w:rFonts w:ascii="Consolas" w:hAnsi="Consolas"/>
      <w:sz w:val="20"/>
      <w:szCs w:val="20"/>
    </w:rPr>
  </w:style>
  <w:style w:type="table" w:styleId="MediumGrid1">
    <w:name w:val="Medium Grid 1"/>
    <w:basedOn w:val="TableNormal"/>
    <w:uiPriority w:val="67"/>
    <w:locked/>
    <w:rsid w:val="00372E2B"/>
    <w:pPr>
      <w:spacing w:before="170" w:after="0"/>
    </w:pPr>
    <w:tblPr>
      <w:tblStyleRowBandSize w:val="1"/>
      <w:tblStyleColBandSize w:val="1"/>
      <w:tblBorders>
        <w:top w:val="single" w:sz="8" w:space="0" w:color="5D5356" w:themeColor="text1" w:themeTint="BF"/>
        <w:left w:val="single" w:sz="8" w:space="0" w:color="5D5356" w:themeColor="text1" w:themeTint="BF"/>
        <w:bottom w:val="single" w:sz="8" w:space="0" w:color="5D5356" w:themeColor="text1" w:themeTint="BF"/>
        <w:right w:val="single" w:sz="8" w:space="0" w:color="5D5356" w:themeColor="text1" w:themeTint="BF"/>
        <w:insideH w:val="single" w:sz="8" w:space="0" w:color="5D5356" w:themeColor="text1" w:themeTint="BF"/>
        <w:insideV w:val="single" w:sz="8" w:space="0" w:color="5D5356" w:themeColor="text1" w:themeTint="BF"/>
      </w:tblBorders>
    </w:tblPr>
    <w:tcPr>
      <w:shd w:val="clear" w:color="auto" w:fill="CBC4C6" w:themeFill="text1" w:themeFillTint="3F"/>
    </w:tcPr>
    <w:tblStylePr w:type="firstRow">
      <w:rPr>
        <w:b/>
        <w:bCs/>
      </w:rPr>
    </w:tblStylePr>
    <w:tblStylePr w:type="lastRow">
      <w:rPr>
        <w:b/>
        <w:bCs/>
      </w:rPr>
      <w:tblPr/>
      <w:tcPr>
        <w:tcBorders>
          <w:top w:val="single" w:sz="18" w:space="0" w:color="5D5356" w:themeColor="text1" w:themeTint="BF"/>
        </w:tcBorders>
      </w:tcPr>
    </w:tblStylePr>
    <w:tblStylePr w:type="firstCol">
      <w:rPr>
        <w:b/>
        <w:bCs/>
      </w:rPr>
    </w:tblStylePr>
    <w:tblStylePr w:type="lastCol">
      <w:rPr>
        <w:b/>
        <w:bCs/>
      </w:rPr>
    </w:tblStylePr>
    <w:tblStylePr w:type="band1Vert">
      <w:tblPr/>
      <w:tcPr>
        <w:shd w:val="clear" w:color="auto" w:fill="97898C" w:themeFill="text1" w:themeFillTint="7F"/>
      </w:tcPr>
    </w:tblStylePr>
    <w:tblStylePr w:type="band1Horz">
      <w:tblPr/>
      <w:tcPr>
        <w:shd w:val="clear" w:color="auto" w:fill="97898C" w:themeFill="text1" w:themeFillTint="7F"/>
      </w:tcPr>
    </w:tblStylePr>
  </w:style>
  <w:style w:type="table" w:styleId="MediumGrid1-Accent1">
    <w:name w:val="Medium Grid 1 Accent 1"/>
    <w:basedOn w:val="TableNormal"/>
    <w:uiPriority w:val="67"/>
    <w:locked/>
    <w:rsid w:val="00372E2B"/>
    <w:pPr>
      <w:spacing w:before="170" w:after="0"/>
    </w:pPr>
    <w:tblPr>
      <w:tblStyleRowBandSize w:val="1"/>
      <w:tblStyleColBandSize w:val="1"/>
      <w:tblBorders>
        <w:top w:val="single" w:sz="8" w:space="0" w:color="70A061" w:themeColor="accent1" w:themeTint="BF"/>
        <w:left w:val="single" w:sz="8" w:space="0" w:color="70A061" w:themeColor="accent1" w:themeTint="BF"/>
        <w:bottom w:val="single" w:sz="8" w:space="0" w:color="70A061" w:themeColor="accent1" w:themeTint="BF"/>
        <w:right w:val="single" w:sz="8" w:space="0" w:color="70A061" w:themeColor="accent1" w:themeTint="BF"/>
        <w:insideH w:val="single" w:sz="8" w:space="0" w:color="70A061" w:themeColor="accent1" w:themeTint="BF"/>
        <w:insideV w:val="single" w:sz="8" w:space="0" w:color="70A061" w:themeColor="accent1" w:themeTint="BF"/>
      </w:tblBorders>
    </w:tblPr>
    <w:tcPr>
      <w:shd w:val="clear" w:color="auto" w:fill="CFE0CA" w:themeFill="accent1" w:themeFillTint="3F"/>
    </w:tcPr>
    <w:tblStylePr w:type="firstRow">
      <w:rPr>
        <w:b/>
        <w:bCs/>
      </w:rPr>
    </w:tblStylePr>
    <w:tblStylePr w:type="lastRow">
      <w:rPr>
        <w:b/>
        <w:bCs/>
      </w:rPr>
      <w:tblPr/>
      <w:tcPr>
        <w:tcBorders>
          <w:top w:val="single" w:sz="18" w:space="0" w:color="70A061" w:themeColor="accent1" w:themeTint="BF"/>
        </w:tcBorders>
      </w:tcPr>
    </w:tblStylePr>
    <w:tblStylePr w:type="firstCol">
      <w:rPr>
        <w:b/>
        <w:bCs/>
      </w:rPr>
    </w:tblStylePr>
    <w:tblStylePr w:type="lastCol">
      <w:rPr>
        <w:b/>
        <w:bCs/>
      </w:rPr>
    </w:tblStylePr>
    <w:tblStylePr w:type="band1Vert">
      <w:tblPr/>
      <w:tcPr>
        <w:shd w:val="clear" w:color="auto" w:fill="A0C096" w:themeFill="accent1" w:themeFillTint="7F"/>
      </w:tcPr>
    </w:tblStylePr>
    <w:tblStylePr w:type="band1Horz">
      <w:tblPr/>
      <w:tcPr>
        <w:shd w:val="clear" w:color="auto" w:fill="A0C096" w:themeFill="accent1" w:themeFillTint="7F"/>
      </w:tcPr>
    </w:tblStylePr>
  </w:style>
  <w:style w:type="table" w:styleId="MediumGrid1-Accent2">
    <w:name w:val="Medium Grid 1 Accent 2"/>
    <w:basedOn w:val="TableNormal"/>
    <w:uiPriority w:val="67"/>
    <w:locked/>
    <w:rsid w:val="00372E2B"/>
    <w:pPr>
      <w:spacing w:before="170" w:after="0"/>
    </w:pPr>
    <w:tblPr>
      <w:tblStyleRowBandSize w:val="1"/>
      <w:tblStyleColBandSize w:val="1"/>
      <w:tblBorders>
        <w:top w:val="single" w:sz="8" w:space="0" w:color="C8CD60" w:themeColor="accent2" w:themeTint="BF"/>
        <w:left w:val="single" w:sz="8" w:space="0" w:color="C8CD60" w:themeColor="accent2" w:themeTint="BF"/>
        <w:bottom w:val="single" w:sz="8" w:space="0" w:color="C8CD60" w:themeColor="accent2" w:themeTint="BF"/>
        <w:right w:val="single" w:sz="8" w:space="0" w:color="C8CD60" w:themeColor="accent2" w:themeTint="BF"/>
        <w:insideH w:val="single" w:sz="8" w:space="0" w:color="C8CD60" w:themeColor="accent2" w:themeTint="BF"/>
        <w:insideV w:val="single" w:sz="8" w:space="0" w:color="C8CD60" w:themeColor="accent2" w:themeTint="BF"/>
      </w:tblBorders>
    </w:tblPr>
    <w:tcPr>
      <w:shd w:val="clear" w:color="auto" w:fill="EDEECA" w:themeFill="accent2" w:themeFillTint="3F"/>
    </w:tcPr>
    <w:tblStylePr w:type="firstRow">
      <w:rPr>
        <w:b/>
        <w:bCs/>
      </w:rPr>
    </w:tblStylePr>
    <w:tblStylePr w:type="lastRow">
      <w:rPr>
        <w:b/>
        <w:bCs/>
      </w:rPr>
      <w:tblPr/>
      <w:tcPr>
        <w:tcBorders>
          <w:top w:val="single" w:sz="18" w:space="0" w:color="C8CD60" w:themeColor="accent2" w:themeTint="BF"/>
        </w:tcBorders>
      </w:tcPr>
    </w:tblStylePr>
    <w:tblStylePr w:type="firstCol">
      <w:rPr>
        <w:b/>
        <w:bCs/>
      </w:rPr>
    </w:tblStylePr>
    <w:tblStylePr w:type="lastCol">
      <w:rPr>
        <w:b/>
        <w:bCs/>
      </w:rPr>
    </w:tblStylePr>
    <w:tblStylePr w:type="band1Vert">
      <w:tblPr/>
      <w:tcPr>
        <w:shd w:val="clear" w:color="auto" w:fill="DBDE95" w:themeFill="accent2" w:themeFillTint="7F"/>
      </w:tcPr>
    </w:tblStylePr>
    <w:tblStylePr w:type="band1Horz">
      <w:tblPr/>
      <w:tcPr>
        <w:shd w:val="clear" w:color="auto" w:fill="DBDE95" w:themeFill="accent2" w:themeFillTint="7F"/>
      </w:tcPr>
    </w:tblStylePr>
  </w:style>
  <w:style w:type="table" w:styleId="MediumGrid1-Accent3">
    <w:name w:val="Medium Grid 1 Accent 3"/>
    <w:basedOn w:val="TableNormal"/>
    <w:uiPriority w:val="67"/>
    <w:locked/>
    <w:rsid w:val="00372E2B"/>
    <w:pPr>
      <w:spacing w:before="170" w:after="0"/>
    </w:pPr>
    <w:tblPr>
      <w:tblStyleRowBandSize w:val="1"/>
      <w:tblStyleColBandSize w:val="1"/>
      <w:tblBorders>
        <w:top w:val="single" w:sz="8" w:space="0" w:color="00B9EB" w:themeColor="accent3" w:themeTint="BF"/>
        <w:left w:val="single" w:sz="8" w:space="0" w:color="00B9EB" w:themeColor="accent3" w:themeTint="BF"/>
        <w:bottom w:val="single" w:sz="8" w:space="0" w:color="00B9EB" w:themeColor="accent3" w:themeTint="BF"/>
        <w:right w:val="single" w:sz="8" w:space="0" w:color="00B9EB" w:themeColor="accent3" w:themeTint="BF"/>
        <w:insideH w:val="single" w:sz="8" w:space="0" w:color="00B9EB" w:themeColor="accent3" w:themeTint="BF"/>
        <w:insideV w:val="single" w:sz="8" w:space="0" w:color="00B9EB" w:themeColor="accent3" w:themeTint="BF"/>
      </w:tblBorders>
    </w:tblPr>
    <w:tcPr>
      <w:shd w:val="clear" w:color="auto" w:fill="A4EBFF" w:themeFill="accent3" w:themeFillTint="3F"/>
    </w:tcPr>
    <w:tblStylePr w:type="firstRow">
      <w:rPr>
        <w:b/>
        <w:bCs/>
      </w:rPr>
    </w:tblStylePr>
    <w:tblStylePr w:type="lastRow">
      <w:rPr>
        <w:b/>
        <w:bCs/>
      </w:rPr>
      <w:tblPr/>
      <w:tcPr>
        <w:tcBorders>
          <w:top w:val="single" w:sz="18" w:space="0" w:color="00B9EB" w:themeColor="accent3" w:themeTint="BF"/>
        </w:tcBorders>
      </w:tcPr>
    </w:tblStylePr>
    <w:tblStylePr w:type="firstCol">
      <w:rPr>
        <w:b/>
        <w:bCs/>
      </w:rPr>
    </w:tblStylePr>
    <w:tblStylePr w:type="lastCol">
      <w:rPr>
        <w:b/>
        <w:bCs/>
      </w:rPr>
    </w:tblStylePr>
    <w:tblStylePr w:type="band1Vert">
      <w:tblPr/>
      <w:tcPr>
        <w:shd w:val="clear" w:color="auto" w:fill="48D8FF" w:themeFill="accent3" w:themeFillTint="7F"/>
      </w:tcPr>
    </w:tblStylePr>
    <w:tblStylePr w:type="band1Horz">
      <w:tblPr/>
      <w:tcPr>
        <w:shd w:val="clear" w:color="auto" w:fill="48D8FF" w:themeFill="accent3" w:themeFillTint="7F"/>
      </w:tcPr>
    </w:tblStylePr>
  </w:style>
  <w:style w:type="table" w:styleId="MediumGrid1-Accent4">
    <w:name w:val="Medium Grid 1 Accent 4"/>
    <w:basedOn w:val="TableNormal"/>
    <w:uiPriority w:val="67"/>
    <w:locked/>
    <w:rsid w:val="00372E2B"/>
    <w:pPr>
      <w:spacing w:before="170" w:after="0"/>
    </w:pPr>
    <w:tblPr>
      <w:tblStyleRowBandSize w:val="1"/>
      <w:tblStyleColBandSize w:val="1"/>
      <w:tblBorders>
        <w:top w:val="single" w:sz="8" w:space="0" w:color="0AFFE5" w:themeColor="accent4" w:themeTint="BF"/>
        <w:left w:val="single" w:sz="8" w:space="0" w:color="0AFFE5" w:themeColor="accent4" w:themeTint="BF"/>
        <w:bottom w:val="single" w:sz="8" w:space="0" w:color="0AFFE5" w:themeColor="accent4" w:themeTint="BF"/>
        <w:right w:val="single" w:sz="8" w:space="0" w:color="0AFFE5" w:themeColor="accent4" w:themeTint="BF"/>
        <w:insideH w:val="single" w:sz="8" w:space="0" w:color="0AFFE5" w:themeColor="accent4" w:themeTint="BF"/>
        <w:insideV w:val="single" w:sz="8" w:space="0" w:color="0AFFE5" w:themeColor="accent4" w:themeTint="BF"/>
      </w:tblBorders>
    </w:tblPr>
    <w:tcPr>
      <w:shd w:val="clear" w:color="auto" w:fill="AEFFF6" w:themeFill="accent4" w:themeFillTint="3F"/>
    </w:tcPr>
    <w:tblStylePr w:type="firstRow">
      <w:rPr>
        <w:b/>
        <w:bCs/>
      </w:rPr>
    </w:tblStylePr>
    <w:tblStylePr w:type="lastRow">
      <w:rPr>
        <w:b/>
        <w:bCs/>
      </w:rPr>
      <w:tblPr/>
      <w:tcPr>
        <w:tcBorders>
          <w:top w:val="single" w:sz="18" w:space="0" w:color="0AFFE5" w:themeColor="accent4" w:themeTint="BF"/>
        </w:tcBorders>
      </w:tcPr>
    </w:tblStylePr>
    <w:tblStylePr w:type="firstCol">
      <w:rPr>
        <w:b/>
        <w:bCs/>
      </w:rPr>
    </w:tblStylePr>
    <w:tblStylePr w:type="lastCol">
      <w:rPr>
        <w:b/>
        <w:bCs/>
      </w:rPr>
    </w:tblStylePr>
    <w:tblStylePr w:type="band1Vert">
      <w:tblPr/>
      <w:tcPr>
        <w:shd w:val="clear" w:color="auto" w:fill="5CFFED" w:themeFill="accent4" w:themeFillTint="7F"/>
      </w:tcPr>
    </w:tblStylePr>
    <w:tblStylePr w:type="band1Horz">
      <w:tblPr/>
      <w:tcPr>
        <w:shd w:val="clear" w:color="auto" w:fill="5CFFED" w:themeFill="accent4" w:themeFillTint="7F"/>
      </w:tcPr>
    </w:tblStylePr>
  </w:style>
  <w:style w:type="table" w:styleId="MediumGrid1-Accent5">
    <w:name w:val="Medium Grid 1 Accent 5"/>
    <w:basedOn w:val="TableNormal"/>
    <w:uiPriority w:val="67"/>
    <w:locked/>
    <w:rsid w:val="00372E2B"/>
    <w:pPr>
      <w:spacing w:before="170" w:after="0"/>
    </w:pPr>
    <w:tblPr>
      <w:tblStyleRowBandSize w:val="1"/>
      <w:tblStyleColBandSize w:val="1"/>
      <w:tblBorders>
        <w:top w:val="single" w:sz="8" w:space="0" w:color="F3786E" w:themeColor="accent5" w:themeTint="BF"/>
        <w:left w:val="single" w:sz="8" w:space="0" w:color="F3786E" w:themeColor="accent5" w:themeTint="BF"/>
        <w:bottom w:val="single" w:sz="8" w:space="0" w:color="F3786E" w:themeColor="accent5" w:themeTint="BF"/>
        <w:right w:val="single" w:sz="8" w:space="0" w:color="F3786E" w:themeColor="accent5" w:themeTint="BF"/>
        <w:insideH w:val="single" w:sz="8" w:space="0" w:color="F3786E" w:themeColor="accent5" w:themeTint="BF"/>
        <w:insideV w:val="single" w:sz="8" w:space="0" w:color="F3786E" w:themeColor="accent5" w:themeTint="BF"/>
      </w:tblBorders>
    </w:tblPr>
    <w:tcPr>
      <w:shd w:val="clear" w:color="auto" w:fill="FBD2CF" w:themeFill="accent5" w:themeFillTint="3F"/>
    </w:tcPr>
    <w:tblStylePr w:type="firstRow">
      <w:rPr>
        <w:b/>
        <w:bCs/>
      </w:rPr>
    </w:tblStylePr>
    <w:tblStylePr w:type="lastRow">
      <w:rPr>
        <w:b/>
        <w:bCs/>
      </w:rPr>
      <w:tblPr/>
      <w:tcPr>
        <w:tcBorders>
          <w:top w:val="single" w:sz="18" w:space="0" w:color="F3786E" w:themeColor="accent5" w:themeTint="BF"/>
        </w:tcBorders>
      </w:tcPr>
    </w:tblStylePr>
    <w:tblStylePr w:type="firstCol">
      <w:rPr>
        <w:b/>
        <w:bCs/>
      </w:rPr>
    </w:tblStylePr>
    <w:tblStylePr w:type="lastCol">
      <w:rPr>
        <w:b/>
        <w:bCs/>
      </w:rPr>
    </w:tblStylePr>
    <w:tblStylePr w:type="band1Vert">
      <w:tblPr/>
      <w:tcPr>
        <w:shd w:val="clear" w:color="auto" w:fill="F7A59E" w:themeFill="accent5" w:themeFillTint="7F"/>
      </w:tcPr>
    </w:tblStylePr>
    <w:tblStylePr w:type="band1Horz">
      <w:tblPr/>
      <w:tcPr>
        <w:shd w:val="clear" w:color="auto" w:fill="F7A59E" w:themeFill="accent5" w:themeFillTint="7F"/>
      </w:tcPr>
    </w:tblStylePr>
  </w:style>
  <w:style w:type="table" w:styleId="MediumGrid1-Accent6">
    <w:name w:val="Medium Grid 1 Accent 6"/>
    <w:basedOn w:val="TableNormal"/>
    <w:uiPriority w:val="67"/>
    <w:locked/>
    <w:rsid w:val="00372E2B"/>
    <w:pPr>
      <w:spacing w:before="170" w:after="0"/>
    </w:pPr>
    <w:tblPr>
      <w:tblStyleRowBandSize w:val="1"/>
      <w:tblStyleColBandSize w:val="1"/>
      <w:tblBorders>
        <w:top w:val="single" w:sz="8" w:space="0" w:color="FBB954" w:themeColor="accent6" w:themeTint="BF"/>
        <w:left w:val="single" w:sz="8" w:space="0" w:color="FBB954" w:themeColor="accent6" w:themeTint="BF"/>
        <w:bottom w:val="single" w:sz="8" w:space="0" w:color="FBB954" w:themeColor="accent6" w:themeTint="BF"/>
        <w:right w:val="single" w:sz="8" w:space="0" w:color="FBB954" w:themeColor="accent6" w:themeTint="BF"/>
        <w:insideH w:val="single" w:sz="8" w:space="0" w:color="FBB954" w:themeColor="accent6" w:themeTint="BF"/>
        <w:insideV w:val="single" w:sz="8" w:space="0" w:color="FBB954" w:themeColor="accent6" w:themeTint="BF"/>
      </w:tblBorders>
    </w:tblPr>
    <w:tcPr>
      <w:shd w:val="clear" w:color="auto" w:fill="FDE7C6" w:themeFill="accent6" w:themeFillTint="3F"/>
    </w:tcPr>
    <w:tblStylePr w:type="firstRow">
      <w:rPr>
        <w:b/>
        <w:bCs/>
      </w:rPr>
    </w:tblStylePr>
    <w:tblStylePr w:type="lastRow">
      <w:rPr>
        <w:b/>
        <w:bCs/>
      </w:rPr>
      <w:tblPr/>
      <w:tcPr>
        <w:tcBorders>
          <w:top w:val="single" w:sz="18" w:space="0" w:color="FBB954" w:themeColor="accent6" w:themeTint="BF"/>
        </w:tcBorders>
      </w:tcPr>
    </w:tblStylePr>
    <w:tblStylePr w:type="firstCol">
      <w:rPr>
        <w:b/>
        <w:bCs/>
      </w:rPr>
    </w:tblStylePr>
    <w:tblStylePr w:type="lastCol">
      <w:rPr>
        <w:b/>
        <w:bCs/>
      </w:rPr>
    </w:tblStylePr>
    <w:tblStylePr w:type="band1Vert">
      <w:tblPr/>
      <w:tcPr>
        <w:shd w:val="clear" w:color="auto" w:fill="FCD08D" w:themeFill="accent6" w:themeFillTint="7F"/>
      </w:tcPr>
    </w:tblStylePr>
    <w:tblStylePr w:type="band1Horz">
      <w:tblPr/>
      <w:tcPr>
        <w:shd w:val="clear" w:color="auto" w:fill="FCD08D" w:themeFill="accent6" w:themeFillTint="7F"/>
      </w:tcPr>
    </w:tblStylePr>
  </w:style>
  <w:style w:type="table" w:styleId="MediumGrid2">
    <w:name w:val="Medium Grid 2"/>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231F20" w:themeColor="text1"/>
        <w:left w:val="single" w:sz="8" w:space="0" w:color="231F20" w:themeColor="text1"/>
        <w:bottom w:val="single" w:sz="8" w:space="0" w:color="231F20" w:themeColor="text1"/>
        <w:right w:val="single" w:sz="8" w:space="0" w:color="231F20" w:themeColor="text1"/>
        <w:insideH w:val="single" w:sz="8" w:space="0" w:color="231F20" w:themeColor="text1"/>
        <w:insideV w:val="single" w:sz="8" w:space="0" w:color="231F20" w:themeColor="text1"/>
      </w:tblBorders>
    </w:tblPr>
    <w:tcPr>
      <w:shd w:val="clear" w:color="auto" w:fill="CBC4C6" w:themeFill="text1" w:themeFillTint="3F"/>
    </w:tcPr>
    <w:tblStylePr w:type="firstRow">
      <w:rPr>
        <w:b/>
        <w:bCs/>
        <w:color w:val="231F20" w:themeColor="text1"/>
      </w:rPr>
      <w:tblPr/>
      <w:tcPr>
        <w:shd w:val="clear" w:color="auto" w:fill="EAE7E8" w:themeFill="text1"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D5CFD1" w:themeFill="text1" w:themeFillTint="33"/>
      </w:tcPr>
    </w:tblStylePr>
    <w:tblStylePr w:type="band1Vert">
      <w:tblPr/>
      <w:tcPr>
        <w:shd w:val="clear" w:color="auto" w:fill="97898C" w:themeFill="text1" w:themeFillTint="7F"/>
      </w:tcPr>
    </w:tblStylePr>
    <w:tblStylePr w:type="band1Horz">
      <w:tblPr/>
      <w:tcPr>
        <w:tcBorders>
          <w:insideH w:val="single" w:sz="6" w:space="0" w:color="231F20" w:themeColor="text1"/>
          <w:insideV w:val="single" w:sz="6" w:space="0" w:color="231F20" w:themeColor="text1"/>
        </w:tcBorders>
        <w:shd w:val="clear" w:color="auto" w:fill="97898C"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4C6D41" w:themeColor="accent1"/>
        <w:left w:val="single" w:sz="8" w:space="0" w:color="4C6D41" w:themeColor="accent1"/>
        <w:bottom w:val="single" w:sz="8" w:space="0" w:color="4C6D41" w:themeColor="accent1"/>
        <w:right w:val="single" w:sz="8" w:space="0" w:color="4C6D41" w:themeColor="accent1"/>
        <w:insideH w:val="single" w:sz="8" w:space="0" w:color="4C6D41" w:themeColor="accent1"/>
        <w:insideV w:val="single" w:sz="8" w:space="0" w:color="4C6D41" w:themeColor="accent1"/>
      </w:tblBorders>
    </w:tblPr>
    <w:tcPr>
      <w:shd w:val="clear" w:color="auto" w:fill="CFE0CA" w:themeFill="accent1" w:themeFillTint="3F"/>
    </w:tcPr>
    <w:tblStylePr w:type="firstRow">
      <w:rPr>
        <w:b/>
        <w:bCs/>
        <w:color w:val="231F20" w:themeColor="text1"/>
      </w:rPr>
      <w:tblPr/>
      <w:tcPr>
        <w:shd w:val="clear" w:color="auto" w:fill="ECF2EA" w:themeFill="accent1"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D9E5D4" w:themeFill="accent1" w:themeFillTint="33"/>
      </w:tcPr>
    </w:tblStylePr>
    <w:tblStylePr w:type="band1Vert">
      <w:tblPr/>
      <w:tcPr>
        <w:shd w:val="clear" w:color="auto" w:fill="A0C096" w:themeFill="accent1" w:themeFillTint="7F"/>
      </w:tcPr>
    </w:tblStylePr>
    <w:tblStylePr w:type="band1Horz">
      <w:tblPr/>
      <w:tcPr>
        <w:tcBorders>
          <w:insideH w:val="single" w:sz="6" w:space="0" w:color="4C6D41" w:themeColor="accent1"/>
          <w:insideV w:val="single" w:sz="6" w:space="0" w:color="4C6D41" w:themeColor="accent1"/>
        </w:tcBorders>
        <w:shd w:val="clear" w:color="auto" w:fill="A0C09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ACB137" w:themeColor="accent2"/>
        <w:left w:val="single" w:sz="8" w:space="0" w:color="ACB137" w:themeColor="accent2"/>
        <w:bottom w:val="single" w:sz="8" w:space="0" w:color="ACB137" w:themeColor="accent2"/>
        <w:right w:val="single" w:sz="8" w:space="0" w:color="ACB137" w:themeColor="accent2"/>
        <w:insideH w:val="single" w:sz="8" w:space="0" w:color="ACB137" w:themeColor="accent2"/>
        <w:insideV w:val="single" w:sz="8" w:space="0" w:color="ACB137" w:themeColor="accent2"/>
      </w:tblBorders>
    </w:tblPr>
    <w:tcPr>
      <w:shd w:val="clear" w:color="auto" w:fill="EDEECA" w:themeFill="accent2" w:themeFillTint="3F"/>
    </w:tcPr>
    <w:tblStylePr w:type="firstRow">
      <w:rPr>
        <w:b/>
        <w:bCs/>
        <w:color w:val="231F20" w:themeColor="text1"/>
      </w:rPr>
      <w:tblPr/>
      <w:tcPr>
        <w:shd w:val="clear" w:color="auto" w:fill="F8F8EA" w:themeFill="accent2"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F0F1D4" w:themeFill="accent2" w:themeFillTint="33"/>
      </w:tcPr>
    </w:tblStylePr>
    <w:tblStylePr w:type="band1Vert">
      <w:tblPr/>
      <w:tcPr>
        <w:shd w:val="clear" w:color="auto" w:fill="DBDE95" w:themeFill="accent2" w:themeFillTint="7F"/>
      </w:tcPr>
    </w:tblStylePr>
    <w:tblStylePr w:type="band1Horz">
      <w:tblPr/>
      <w:tcPr>
        <w:tcBorders>
          <w:insideH w:val="single" w:sz="6" w:space="0" w:color="ACB137" w:themeColor="accent2"/>
          <w:insideV w:val="single" w:sz="6" w:space="0" w:color="ACB137" w:themeColor="accent2"/>
        </w:tcBorders>
        <w:shd w:val="clear" w:color="auto" w:fill="DBDE9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00718F" w:themeColor="accent3"/>
        <w:left w:val="single" w:sz="8" w:space="0" w:color="00718F" w:themeColor="accent3"/>
        <w:bottom w:val="single" w:sz="8" w:space="0" w:color="00718F" w:themeColor="accent3"/>
        <w:right w:val="single" w:sz="8" w:space="0" w:color="00718F" w:themeColor="accent3"/>
        <w:insideH w:val="single" w:sz="8" w:space="0" w:color="00718F" w:themeColor="accent3"/>
        <w:insideV w:val="single" w:sz="8" w:space="0" w:color="00718F" w:themeColor="accent3"/>
      </w:tblBorders>
    </w:tblPr>
    <w:tcPr>
      <w:shd w:val="clear" w:color="auto" w:fill="A4EBFF" w:themeFill="accent3" w:themeFillTint="3F"/>
    </w:tcPr>
    <w:tblStylePr w:type="firstRow">
      <w:rPr>
        <w:b/>
        <w:bCs/>
        <w:color w:val="231F20" w:themeColor="text1"/>
      </w:rPr>
      <w:tblPr/>
      <w:tcPr>
        <w:shd w:val="clear" w:color="auto" w:fill="DBF7FF" w:themeFill="accent3"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B5EFFF" w:themeFill="accent3" w:themeFillTint="33"/>
      </w:tcPr>
    </w:tblStylePr>
    <w:tblStylePr w:type="band1Vert">
      <w:tblPr/>
      <w:tcPr>
        <w:shd w:val="clear" w:color="auto" w:fill="48D8FF" w:themeFill="accent3" w:themeFillTint="7F"/>
      </w:tcPr>
    </w:tblStylePr>
    <w:tblStylePr w:type="band1Horz">
      <w:tblPr/>
      <w:tcPr>
        <w:tcBorders>
          <w:insideH w:val="single" w:sz="6" w:space="0" w:color="00718F" w:themeColor="accent3"/>
          <w:insideV w:val="single" w:sz="6" w:space="0" w:color="00718F" w:themeColor="accent3"/>
        </w:tcBorders>
        <w:shd w:val="clear" w:color="auto" w:fill="48D8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00B8A5" w:themeColor="accent4"/>
        <w:left w:val="single" w:sz="8" w:space="0" w:color="00B8A5" w:themeColor="accent4"/>
        <w:bottom w:val="single" w:sz="8" w:space="0" w:color="00B8A5" w:themeColor="accent4"/>
        <w:right w:val="single" w:sz="8" w:space="0" w:color="00B8A5" w:themeColor="accent4"/>
        <w:insideH w:val="single" w:sz="8" w:space="0" w:color="00B8A5" w:themeColor="accent4"/>
        <w:insideV w:val="single" w:sz="8" w:space="0" w:color="00B8A5" w:themeColor="accent4"/>
      </w:tblBorders>
    </w:tblPr>
    <w:tcPr>
      <w:shd w:val="clear" w:color="auto" w:fill="AEFFF6" w:themeFill="accent4" w:themeFillTint="3F"/>
    </w:tcPr>
    <w:tblStylePr w:type="firstRow">
      <w:rPr>
        <w:b/>
        <w:bCs/>
        <w:color w:val="231F20" w:themeColor="text1"/>
      </w:rPr>
      <w:tblPr/>
      <w:tcPr>
        <w:shd w:val="clear" w:color="auto" w:fill="DFFFFB" w:themeFill="accent4"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BDFFF8" w:themeFill="accent4" w:themeFillTint="33"/>
      </w:tcPr>
    </w:tblStylePr>
    <w:tblStylePr w:type="band1Vert">
      <w:tblPr/>
      <w:tcPr>
        <w:shd w:val="clear" w:color="auto" w:fill="5CFFED" w:themeFill="accent4" w:themeFillTint="7F"/>
      </w:tcPr>
    </w:tblStylePr>
    <w:tblStylePr w:type="band1Horz">
      <w:tblPr/>
      <w:tcPr>
        <w:tcBorders>
          <w:insideH w:val="single" w:sz="6" w:space="0" w:color="00B8A5" w:themeColor="accent4"/>
          <w:insideV w:val="single" w:sz="6" w:space="0" w:color="00B8A5" w:themeColor="accent4"/>
        </w:tcBorders>
        <w:shd w:val="clear" w:color="auto" w:fill="5CFFE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F04C3E" w:themeColor="accent5"/>
        <w:left w:val="single" w:sz="8" w:space="0" w:color="F04C3E" w:themeColor="accent5"/>
        <w:bottom w:val="single" w:sz="8" w:space="0" w:color="F04C3E" w:themeColor="accent5"/>
        <w:right w:val="single" w:sz="8" w:space="0" w:color="F04C3E" w:themeColor="accent5"/>
        <w:insideH w:val="single" w:sz="8" w:space="0" w:color="F04C3E" w:themeColor="accent5"/>
        <w:insideV w:val="single" w:sz="8" w:space="0" w:color="F04C3E" w:themeColor="accent5"/>
      </w:tblBorders>
    </w:tblPr>
    <w:tcPr>
      <w:shd w:val="clear" w:color="auto" w:fill="FBD2CF" w:themeFill="accent5" w:themeFillTint="3F"/>
    </w:tcPr>
    <w:tblStylePr w:type="firstRow">
      <w:rPr>
        <w:b/>
        <w:bCs/>
        <w:color w:val="231F20" w:themeColor="text1"/>
      </w:rPr>
      <w:tblPr/>
      <w:tcPr>
        <w:shd w:val="clear" w:color="auto" w:fill="FDEDEB" w:themeFill="accent5"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FCDBD8" w:themeFill="accent5" w:themeFillTint="33"/>
      </w:tcPr>
    </w:tblStylePr>
    <w:tblStylePr w:type="band1Vert">
      <w:tblPr/>
      <w:tcPr>
        <w:shd w:val="clear" w:color="auto" w:fill="F7A59E" w:themeFill="accent5" w:themeFillTint="7F"/>
      </w:tcPr>
    </w:tblStylePr>
    <w:tblStylePr w:type="band1Horz">
      <w:tblPr/>
      <w:tcPr>
        <w:tcBorders>
          <w:insideH w:val="single" w:sz="6" w:space="0" w:color="F04C3E" w:themeColor="accent5"/>
          <w:insideV w:val="single" w:sz="6" w:space="0" w:color="F04C3E" w:themeColor="accent5"/>
        </w:tcBorders>
        <w:shd w:val="clear" w:color="auto" w:fill="F7A59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FAA21B" w:themeColor="accent6"/>
        <w:left w:val="single" w:sz="8" w:space="0" w:color="FAA21B" w:themeColor="accent6"/>
        <w:bottom w:val="single" w:sz="8" w:space="0" w:color="FAA21B" w:themeColor="accent6"/>
        <w:right w:val="single" w:sz="8" w:space="0" w:color="FAA21B" w:themeColor="accent6"/>
        <w:insideH w:val="single" w:sz="8" w:space="0" w:color="FAA21B" w:themeColor="accent6"/>
        <w:insideV w:val="single" w:sz="8" w:space="0" w:color="FAA21B" w:themeColor="accent6"/>
      </w:tblBorders>
    </w:tblPr>
    <w:tcPr>
      <w:shd w:val="clear" w:color="auto" w:fill="FDE7C6" w:themeFill="accent6" w:themeFillTint="3F"/>
    </w:tcPr>
    <w:tblStylePr w:type="firstRow">
      <w:rPr>
        <w:b/>
        <w:bCs/>
        <w:color w:val="231F20" w:themeColor="text1"/>
      </w:rPr>
      <w:tblPr/>
      <w:tcPr>
        <w:shd w:val="clear" w:color="auto" w:fill="FEF5E8" w:themeFill="accent6" w:themeFillTint="19"/>
      </w:tcPr>
    </w:tblStylePr>
    <w:tblStylePr w:type="lastRow">
      <w:rPr>
        <w:b/>
        <w:bCs/>
        <w:color w:val="231F20" w:themeColor="text1"/>
      </w:rPr>
      <w:tblPr/>
      <w:tcPr>
        <w:tcBorders>
          <w:top w:val="single" w:sz="12" w:space="0" w:color="231F20" w:themeColor="text1"/>
          <w:left w:val="nil"/>
          <w:bottom w:val="nil"/>
          <w:right w:val="nil"/>
          <w:insideH w:val="nil"/>
          <w:insideV w:val="nil"/>
        </w:tcBorders>
        <w:shd w:val="clear" w:color="auto" w:fill="FFFFFF" w:themeFill="background1"/>
      </w:tcPr>
    </w:tblStylePr>
    <w:tblStylePr w:type="firstCol">
      <w:rPr>
        <w:b/>
        <w:bCs/>
        <w:color w:val="231F2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31F20" w:themeColor="text1"/>
      </w:rPr>
      <w:tblPr/>
      <w:tcPr>
        <w:tcBorders>
          <w:top w:val="nil"/>
          <w:left w:val="nil"/>
          <w:bottom w:val="nil"/>
          <w:right w:val="nil"/>
          <w:insideH w:val="nil"/>
          <w:insideV w:val="nil"/>
        </w:tcBorders>
        <w:shd w:val="clear" w:color="auto" w:fill="FEECD1" w:themeFill="accent6" w:themeFillTint="33"/>
      </w:tcPr>
    </w:tblStylePr>
    <w:tblStylePr w:type="band1Vert">
      <w:tblPr/>
      <w:tcPr>
        <w:shd w:val="clear" w:color="auto" w:fill="FCD08D" w:themeFill="accent6" w:themeFillTint="7F"/>
      </w:tcPr>
    </w:tblStylePr>
    <w:tblStylePr w:type="band1Horz">
      <w:tblPr/>
      <w:tcPr>
        <w:tcBorders>
          <w:insideH w:val="single" w:sz="6" w:space="0" w:color="FAA21B" w:themeColor="accent6"/>
          <w:insideV w:val="single" w:sz="6" w:space="0" w:color="FAA21B" w:themeColor="accent6"/>
        </w:tcBorders>
        <w:shd w:val="clear" w:color="auto" w:fill="FCD08D"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C4C6"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31F2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31F2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31F2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31F2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898C"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898C" w:themeFill="text1" w:themeFillTint="7F"/>
      </w:tcPr>
    </w:tblStylePr>
  </w:style>
  <w:style w:type="table" w:styleId="MediumGrid3-Accent1">
    <w:name w:val="Medium Grid 3 Accent 1"/>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E0C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C6D4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C6D4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C6D4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C6D4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C09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C096" w:themeFill="accent1" w:themeFillTint="7F"/>
      </w:tcPr>
    </w:tblStylePr>
  </w:style>
  <w:style w:type="table" w:styleId="MediumGrid3-Accent2">
    <w:name w:val="Medium Grid 3 Accent 2"/>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ECA"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CB13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CB13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CB13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CB13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DE9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DE95" w:themeFill="accent2" w:themeFillTint="7F"/>
      </w:tcPr>
    </w:tblStylePr>
  </w:style>
  <w:style w:type="table" w:styleId="MediumGrid3-Accent3">
    <w:name w:val="Medium Grid 3 Accent 3"/>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4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18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18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18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18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8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8D8FF" w:themeFill="accent3" w:themeFillTint="7F"/>
      </w:tcPr>
    </w:tblStylePr>
  </w:style>
  <w:style w:type="table" w:styleId="MediumGrid3-Accent4">
    <w:name w:val="Medium Grid 3 Accent 4"/>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EFF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B8A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B8A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B8A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B8A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CFF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CFFED" w:themeFill="accent4" w:themeFillTint="7F"/>
      </w:tcPr>
    </w:tblStylePr>
  </w:style>
  <w:style w:type="table" w:styleId="MediumGrid3-Accent5">
    <w:name w:val="Medium Grid 3 Accent 5"/>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2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4C3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4C3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4C3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4C3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A59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A59E" w:themeFill="accent5" w:themeFillTint="7F"/>
      </w:tcPr>
    </w:tblStylePr>
  </w:style>
  <w:style w:type="table" w:styleId="MediumGrid3-Accent6">
    <w:name w:val="Medium Grid 3 Accent 6"/>
    <w:basedOn w:val="TableNormal"/>
    <w:uiPriority w:val="69"/>
    <w:locked/>
    <w:rsid w:val="00372E2B"/>
    <w:pPr>
      <w:spacing w:before="17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7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AA21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AA21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AA21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AA21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D08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D08D" w:themeFill="accent6" w:themeFillTint="7F"/>
      </w:tcPr>
    </w:tblStylePr>
  </w:style>
  <w:style w:type="table" w:styleId="MediumList1">
    <w:name w:val="Medium List 1"/>
    <w:basedOn w:val="TableNormal"/>
    <w:uiPriority w:val="65"/>
    <w:locked/>
    <w:rsid w:val="00372E2B"/>
    <w:pPr>
      <w:spacing w:before="170" w:after="0"/>
    </w:pPr>
    <w:tblPr>
      <w:tblStyleRowBandSize w:val="1"/>
      <w:tblStyleColBandSize w:val="1"/>
      <w:tblBorders>
        <w:top w:val="single" w:sz="8" w:space="0" w:color="231F20" w:themeColor="text1"/>
        <w:bottom w:val="single" w:sz="8" w:space="0" w:color="231F20" w:themeColor="text1"/>
      </w:tblBorders>
    </w:tblPr>
    <w:tblStylePr w:type="firstRow">
      <w:rPr>
        <w:rFonts w:asciiTheme="majorHAnsi" w:eastAsiaTheme="majorEastAsia" w:hAnsiTheme="majorHAnsi" w:cstheme="majorBidi"/>
      </w:rPr>
      <w:tblPr/>
      <w:tcPr>
        <w:tcBorders>
          <w:top w:val="nil"/>
          <w:bottom w:val="single" w:sz="8" w:space="0" w:color="231F20" w:themeColor="text1"/>
        </w:tcBorders>
      </w:tcPr>
    </w:tblStylePr>
    <w:tblStylePr w:type="lastRow">
      <w:rPr>
        <w:b/>
        <w:bCs/>
        <w:color w:val="3B5731" w:themeColor="text2"/>
      </w:rPr>
      <w:tblPr/>
      <w:tcPr>
        <w:tcBorders>
          <w:top w:val="single" w:sz="8" w:space="0" w:color="231F20" w:themeColor="text1"/>
          <w:bottom w:val="single" w:sz="8" w:space="0" w:color="231F20" w:themeColor="text1"/>
        </w:tcBorders>
      </w:tcPr>
    </w:tblStylePr>
    <w:tblStylePr w:type="firstCol">
      <w:rPr>
        <w:b/>
        <w:bCs/>
      </w:rPr>
    </w:tblStylePr>
    <w:tblStylePr w:type="lastCol">
      <w:rPr>
        <w:b/>
        <w:bCs/>
      </w:rPr>
      <w:tblPr/>
      <w:tcPr>
        <w:tcBorders>
          <w:top w:val="single" w:sz="8" w:space="0" w:color="231F20" w:themeColor="text1"/>
          <w:bottom w:val="single" w:sz="8" w:space="0" w:color="231F20" w:themeColor="text1"/>
        </w:tcBorders>
      </w:tcPr>
    </w:tblStylePr>
    <w:tblStylePr w:type="band1Vert">
      <w:tblPr/>
      <w:tcPr>
        <w:shd w:val="clear" w:color="auto" w:fill="CBC4C6" w:themeFill="text1" w:themeFillTint="3F"/>
      </w:tcPr>
    </w:tblStylePr>
    <w:tblStylePr w:type="band1Horz">
      <w:tblPr/>
      <w:tcPr>
        <w:shd w:val="clear" w:color="auto" w:fill="CBC4C6" w:themeFill="text1" w:themeFillTint="3F"/>
      </w:tcPr>
    </w:tblStylePr>
  </w:style>
  <w:style w:type="table" w:styleId="MediumList1-Accent1">
    <w:name w:val="Medium List 1 Accent 1"/>
    <w:basedOn w:val="TableNormal"/>
    <w:uiPriority w:val="65"/>
    <w:locked/>
    <w:rsid w:val="00372E2B"/>
    <w:pPr>
      <w:spacing w:before="170" w:after="0"/>
    </w:pPr>
    <w:tblPr>
      <w:tblStyleRowBandSize w:val="1"/>
      <w:tblStyleColBandSize w:val="1"/>
      <w:tblBorders>
        <w:top w:val="single" w:sz="8" w:space="0" w:color="4C6D41" w:themeColor="accent1"/>
        <w:bottom w:val="single" w:sz="8" w:space="0" w:color="4C6D41" w:themeColor="accent1"/>
      </w:tblBorders>
    </w:tblPr>
    <w:tblStylePr w:type="firstRow">
      <w:rPr>
        <w:rFonts w:asciiTheme="majorHAnsi" w:eastAsiaTheme="majorEastAsia" w:hAnsiTheme="majorHAnsi" w:cstheme="majorBidi"/>
      </w:rPr>
      <w:tblPr/>
      <w:tcPr>
        <w:tcBorders>
          <w:top w:val="nil"/>
          <w:bottom w:val="single" w:sz="8" w:space="0" w:color="4C6D41" w:themeColor="accent1"/>
        </w:tcBorders>
      </w:tcPr>
    </w:tblStylePr>
    <w:tblStylePr w:type="lastRow">
      <w:rPr>
        <w:b/>
        <w:bCs/>
        <w:color w:val="3B5731" w:themeColor="text2"/>
      </w:rPr>
      <w:tblPr/>
      <w:tcPr>
        <w:tcBorders>
          <w:top w:val="single" w:sz="8" w:space="0" w:color="4C6D41" w:themeColor="accent1"/>
          <w:bottom w:val="single" w:sz="8" w:space="0" w:color="4C6D41" w:themeColor="accent1"/>
        </w:tcBorders>
      </w:tcPr>
    </w:tblStylePr>
    <w:tblStylePr w:type="firstCol">
      <w:rPr>
        <w:b/>
        <w:bCs/>
      </w:rPr>
    </w:tblStylePr>
    <w:tblStylePr w:type="lastCol">
      <w:rPr>
        <w:b/>
        <w:bCs/>
      </w:rPr>
      <w:tblPr/>
      <w:tcPr>
        <w:tcBorders>
          <w:top w:val="single" w:sz="8" w:space="0" w:color="4C6D41" w:themeColor="accent1"/>
          <w:bottom w:val="single" w:sz="8" w:space="0" w:color="4C6D41" w:themeColor="accent1"/>
        </w:tcBorders>
      </w:tcPr>
    </w:tblStylePr>
    <w:tblStylePr w:type="band1Vert">
      <w:tblPr/>
      <w:tcPr>
        <w:shd w:val="clear" w:color="auto" w:fill="CFE0CA" w:themeFill="accent1" w:themeFillTint="3F"/>
      </w:tcPr>
    </w:tblStylePr>
    <w:tblStylePr w:type="band1Horz">
      <w:tblPr/>
      <w:tcPr>
        <w:shd w:val="clear" w:color="auto" w:fill="CFE0CA" w:themeFill="accent1" w:themeFillTint="3F"/>
      </w:tcPr>
    </w:tblStylePr>
  </w:style>
  <w:style w:type="table" w:styleId="MediumList1-Accent2">
    <w:name w:val="Medium List 1 Accent 2"/>
    <w:basedOn w:val="TableNormal"/>
    <w:uiPriority w:val="65"/>
    <w:locked/>
    <w:rsid w:val="00372E2B"/>
    <w:pPr>
      <w:spacing w:before="170" w:after="0"/>
    </w:pPr>
    <w:tblPr>
      <w:tblStyleRowBandSize w:val="1"/>
      <w:tblStyleColBandSize w:val="1"/>
      <w:tblBorders>
        <w:top w:val="single" w:sz="8" w:space="0" w:color="ACB137" w:themeColor="accent2"/>
        <w:bottom w:val="single" w:sz="8" w:space="0" w:color="ACB137" w:themeColor="accent2"/>
      </w:tblBorders>
    </w:tblPr>
    <w:tblStylePr w:type="firstRow">
      <w:rPr>
        <w:rFonts w:asciiTheme="majorHAnsi" w:eastAsiaTheme="majorEastAsia" w:hAnsiTheme="majorHAnsi" w:cstheme="majorBidi"/>
      </w:rPr>
      <w:tblPr/>
      <w:tcPr>
        <w:tcBorders>
          <w:top w:val="nil"/>
          <w:bottom w:val="single" w:sz="8" w:space="0" w:color="ACB137" w:themeColor="accent2"/>
        </w:tcBorders>
      </w:tcPr>
    </w:tblStylePr>
    <w:tblStylePr w:type="lastRow">
      <w:rPr>
        <w:b/>
        <w:bCs/>
        <w:color w:val="3B5731" w:themeColor="text2"/>
      </w:rPr>
      <w:tblPr/>
      <w:tcPr>
        <w:tcBorders>
          <w:top w:val="single" w:sz="8" w:space="0" w:color="ACB137" w:themeColor="accent2"/>
          <w:bottom w:val="single" w:sz="8" w:space="0" w:color="ACB137" w:themeColor="accent2"/>
        </w:tcBorders>
      </w:tcPr>
    </w:tblStylePr>
    <w:tblStylePr w:type="firstCol">
      <w:rPr>
        <w:b/>
        <w:bCs/>
      </w:rPr>
    </w:tblStylePr>
    <w:tblStylePr w:type="lastCol">
      <w:rPr>
        <w:b/>
        <w:bCs/>
      </w:rPr>
      <w:tblPr/>
      <w:tcPr>
        <w:tcBorders>
          <w:top w:val="single" w:sz="8" w:space="0" w:color="ACB137" w:themeColor="accent2"/>
          <w:bottom w:val="single" w:sz="8" w:space="0" w:color="ACB137" w:themeColor="accent2"/>
        </w:tcBorders>
      </w:tcPr>
    </w:tblStylePr>
    <w:tblStylePr w:type="band1Vert">
      <w:tblPr/>
      <w:tcPr>
        <w:shd w:val="clear" w:color="auto" w:fill="EDEECA" w:themeFill="accent2" w:themeFillTint="3F"/>
      </w:tcPr>
    </w:tblStylePr>
    <w:tblStylePr w:type="band1Horz">
      <w:tblPr/>
      <w:tcPr>
        <w:shd w:val="clear" w:color="auto" w:fill="EDEECA" w:themeFill="accent2" w:themeFillTint="3F"/>
      </w:tcPr>
    </w:tblStylePr>
  </w:style>
  <w:style w:type="table" w:styleId="MediumList1-Accent3">
    <w:name w:val="Medium List 1 Accent 3"/>
    <w:basedOn w:val="TableNormal"/>
    <w:uiPriority w:val="65"/>
    <w:locked/>
    <w:rsid w:val="00372E2B"/>
    <w:pPr>
      <w:spacing w:before="170" w:after="0"/>
    </w:pPr>
    <w:tblPr>
      <w:tblStyleRowBandSize w:val="1"/>
      <w:tblStyleColBandSize w:val="1"/>
      <w:tblBorders>
        <w:top w:val="single" w:sz="8" w:space="0" w:color="00718F" w:themeColor="accent3"/>
        <w:bottom w:val="single" w:sz="8" w:space="0" w:color="00718F" w:themeColor="accent3"/>
      </w:tblBorders>
    </w:tblPr>
    <w:tblStylePr w:type="firstRow">
      <w:rPr>
        <w:rFonts w:asciiTheme="majorHAnsi" w:eastAsiaTheme="majorEastAsia" w:hAnsiTheme="majorHAnsi" w:cstheme="majorBidi"/>
      </w:rPr>
      <w:tblPr/>
      <w:tcPr>
        <w:tcBorders>
          <w:top w:val="nil"/>
          <w:bottom w:val="single" w:sz="8" w:space="0" w:color="00718F" w:themeColor="accent3"/>
        </w:tcBorders>
      </w:tcPr>
    </w:tblStylePr>
    <w:tblStylePr w:type="lastRow">
      <w:rPr>
        <w:b/>
        <w:bCs/>
        <w:color w:val="3B5731" w:themeColor="text2"/>
      </w:rPr>
      <w:tblPr/>
      <w:tcPr>
        <w:tcBorders>
          <w:top w:val="single" w:sz="8" w:space="0" w:color="00718F" w:themeColor="accent3"/>
          <w:bottom w:val="single" w:sz="8" w:space="0" w:color="00718F" w:themeColor="accent3"/>
        </w:tcBorders>
      </w:tcPr>
    </w:tblStylePr>
    <w:tblStylePr w:type="firstCol">
      <w:rPr>
        <w:b/>
        <w:bCs/>
      </w:rPr>
    </w:tblStylePr>
    <w:tblStylePr w:type="lastCol">
      <w:rPr>
        <w:b/>
        <w:bCs/>
      </w:rPr>
      <w:tblPr/>
      <w:tcPr>
        <w:tcBorders>
          <w:top w:val="single" w:sz="8" w:space="0" w:color="00718F" w:themeColor="accent3"/>
          <w:bottom w:val="single" w:sz="8" w:space="0" w:color="00718F" w:themeColor="accent3"/>
        </w:tcBorders>
      </w:tcPr>
    </w:tblStylePr>
    <w:tblStylePr w:type="band1Vert">
      <w:tblPr/>
      <w:tcPr>
        <w:shd w:val="clear" w:color="auto" w:fill="A4EBFF" w:themeFill="accent3" w:themeFillTint="3F"/>
      </w:tcPr>
    </w:tblStylePr>
    <w:tblStylePr w:type="band1Horz">
      <w:tblPr/>
      <w:tcPr>
        <w:shd w:val="clear" w:color="auto" w:fill="A4EBFF" w:themeFill="accent3" w:themeFillTint="3F"/>
      </w:tcPr>
    </w:tblStylePr>
  </w:style>
  <w:style w:type="table" w:styleId="MediumList1-Accent4">
    <w:name w:val="Medium List 1 Accent 4"/>
    <w:basedOn w:val="TableNormal"/>
    <w:uiPriority w:val="65"/>
    <w:locked/>
    <w:rsid w:val="00372E2B"/>
    <w:pPr>
      <w:spacing w:before="170" w:after="0"/>
    </w:pPr>
    <w:tblPr>
      <w:tblStyleRowBandSize w:val="1"/>
      <w:tblStyleColBandSize w:val="1"/>
      <w:tblBorders>
        <w:top w:val="single" w:sz="8" w:space="0" w:color="00B8A5" w:themeColor="accent4"/>
        <w:bottom w:val="single" w:sz="8" w:space="0" w:color="00B8A5" w:themeColor="accent4"/>
      </w:tblBorders>
    </w:tblPr>
    <w:tblStylePr w:type="firstRow">
      <w:rPr>
        <w:rFonts w:asciiTheme="majorHAnsi" w:eastAsiaTheme="majorEastAsia" w:hAnsiTheme="majorHAnsi" w:cstheme="majorBidi"/>
      </w:rPr>
      <w:tblPr/>
      <w:tcPr>
        <w:tcBorders>
          <w:top w:val="nil"/>
          <w:bottom w:val="single" w:sz="8" w:space="0" w:color="00B8A5" w:themeColor="accent4"/>
        </w:tcBorders>
      </w:tcPr>
    </w:tblStylePr>
    <w:tblStylePr w:type="lastRow">
      <w:rPr>
        <w:b/>
        <w:bCs/>
        <w:color w:val="3B5731" w:themeColor="text2"/>
      </w:rPr>
      <w:tblPr/>
      <w:tcPr>
        <w:tcBorders>
          <w:top w:val="single" w:sz="8" w:space="0" w:color="00B8A5" w:themeColor="accent4"/>
          <w:bottom w:val="single" w:sz="8" w:space="0" w:color="00B8A5" w:themeColor="accent4"/>
        </w:tcBorders>
      </w:tcPr>
    </w:tblStylePr>
    <w:tblStylePr w:type="firstCol">
      <w:rPr>
        <w:b/>
        <w:bCs/>
      </w:rPr>
    </w:tblStylePr>
    <w:tblStylePr w:type="lastCol">
      <w:rPr>
        <w:b/>
        <w:bCs/>
      </w:rPr>
      <w:tblPr/>
      <w:tcPr>
        <w:tcBorders>
          <w:top w:val="single" w:sz="8" w:space="0" w:color="00B8A5" w:themeColor="accent4"/>
          <w:bottom w:val="single" w:sz="8" w:space="0" w:color="00B8A5" w:themeColor="accent4"/>
        </w:tcBorders>
      </w:tcPr>
    </w:tblStylePr>
    <w:tblStylePr w:type="band1Vert">
      <w:tblPr/>
      <w:tcPr>
        <w:shd w:val="clear" w:color="auto" w:fill="AEFFF6" w:themeFill="accent4" w:themeFillTint="3F"/>
      </w:tcPr>
    </w:tblStylePr>
    <w:tblStylePr w:type="band1Horz">
      <w:tblPr/>
      <w:tcPr>
        <w:shd w:val="clear" w:color="auto" w:fill="AEFFF6" w:themeFill="accent4" w:themeFillTint="3F"/>
      </w:tcPr>
    </w:tblStylePr>
  </w:style>
  <w:style w:type="table" w:styleId="MediumList1-Accent5">
    <w:name w:val="Medium List 1 Accent 5"/>
    <w:basedOn w:val="TableNormal"/>
    <w:uiPriority w:val="65"/>
    <w:locked/>
    <w:rsid w:val="00372E2B"/>
    <w:pPr>
      <w:spacing w:before="170" w:after="0"/>
    </w:pPr>
    <w:tblPr>
      <w:tblStyleRowBandSize w:val="1"/>
      <w:tblStyleColBandSize w:val="1"/>
      <w:tblBorders>
        <w:top w:val="single" w:sz="8" w:space="0" w:color="F04C3E" w:themeColor="accent5"/>
        <w:bottom w:val="single" w:sz="8" w:space="0" w:color="F04C3E" w:themeColor="accent5"/>
      </w:tblBorders>
    </w:tblPr>
    <w:tblStylePr w:type="firstRow">
      <w:rPr>
        <w:rFonts w:asciiTheme="majorHAnsi" w:eastAsiaTheme="majorEastAsia" w:hAnsiTheme="majorHAnsi" w:cstheme="majorBidi"/>
      </w:rPr>
      <w:tblPr/>
      <w:tcPr>
        <w:tcBorders>
          <w:top w:val="nil"/>
          <w:bottom w:val="single" w:sz="8" w:space="0" w:color="F04C3E" w:themeColor="accent5"/>
        </w:tcBorders>
      </w:tcPr>
    </w:tblStylePr>
    <w:tblStylePr w:type="lastRow">
      <w:rPr>
        <w:b/>
        <w:bCs/>
        <w:color w:val="3B5731" w:themeColor="text2"/>
      </w:rPr>
      <w:tblPr/>
      <w:tcPr>
        <w:tcBorders>
          <w:top w:val="single" w:sz="8" w:space="0" w:color="F04C3E" w:themeColor="accent5"/>
          <w:bottom w:val="single" w:sz="8" w:space="0" w:color="F04C3E" w:themeColor="accent5"/>
        </w:tcBorders>
      </w:tcPr>
    </w:tblStylePr>
    <w:tblStylePr w:type="firstCol">
      <w:rPr>
        <w:b/>
        <w:bCs/>
      </w:rPr>
    </w:tblStylePr>
    <w:tblStylePr w:type="lastCol">
      <w:rPr>
        <w:b/>
        <w:bCs/>
      </w:rPr>
      <w:tblPr/>
      <w:tcPr>
        <w:tcBorders>
          <w:top w:val="single" w:sz="8" w:space="0" w:color="F04C3E" w:themeColor="accent5"/>
          <w:bottom w:val="single" w:sz="8" w:space="0" w:color="F04C3E" w:themeColor="accent5"/>
        </w:tcBorders>
      </w:tcPr>
    </w:tblStylePr>
    <w:tblStylePr w:type="band1Vert">
      <w:tblPr/>
      <w:tcPr>
        <w:shd w:val="clear" w:color="auto" w:fill="FBD2CF" w:themeFill="accent5" w:themeFillTint="3F"/>
      </w:tcPr>
    </w:tblStylePr>
    <w:tblStylePr w:type="band1Horz">
      <w:tblPr/>
      <w:tcPr>
        <w:shd w:val="clear" w:color="auto" w:fill="FBD2CF" w:themeFill="accent5" w:themeFillTint="3F"/>
      </w:tcPr>
    </w:tblStylePr>
  </w:style>
  <w:style w:type="table" w:styleId="MediumList1-Accent6">
    <w:name w:val="Medium List 1 Accent 6"/>
    <w:basedOn w:val="TableNormal"/>
    <w:uiPriority w:val="65"/>
    <w:locked/>
    <w:rsid w:val="00372E2B"/>
    <w:pPr>
      <w:spacing w:before="170" w:after="0"/>
    </w:pPr>
    <w:tblPr>
      <w:tblStyleRowBandSize w:val="1"/>
      <w:tblStyleColBandSize w:val="1"/>
      <w:tblBorders>
        <w:top w:val="single" w:sz="8" w:space="0" w:color="FAA21B" w:themeColor="accent6"/>
        <w:bottom w:val="single" w:sz="8" w:space="0" w:color="FAA21B" w:themeColor="accent6"/>
      </w:tblBorders>
    </w:tblPr>
    <w:tblStylePr w:type="firstRow">
      <w:rPr>
        <w:rFonts w:asciiTheme="majorHAnsi" w:eastAsiaTheme="majorEastAsia" w:hAnsiTheme="majorHAnsi" w:cstheme="majorBidi"/>
      </w:rPr>
      <w:tblPr/>
      <w:tcPr>
        <w:tcBorders>
          <w:top w:val="nil"/>
          <w:bottom w:val="single" w:sz="8" w:space="0" w:color="FAA21B" w:themeColor="accent6"/>
        </w:tcBorders>
      </w:tcPr>
    </w:tblStylePr>
    <w:tblStylePr w:type="lastRow">
      <w:rPr>
        <w:b/>
        <w:bCs/>
        <w:color w:val="3B5731" w:themeColor="text2"/>
      </w:rPr>
      <w:tblPr/>
      <w:tcPr>
        <w:tcBorders>
          <w:top w:val="single" w:sz="8" w:space="0" w:color="FAA21B" w:themeColor="accent6"/>
          <w:bottom w:val="single" w:sz="8" w:space="0" w:color="FAA21B" w:themeColor="accent6"/>
        </w:tcBorders>
      </w:tcPr>
    </w:tblStylePr>
    <w:tblStylePr w:type="firstCol">
      <w:rPr>
        <w:b/>
        <w:bCs/>
      </w:rPr>
    </w:tblStylePr>
    <w:tblStylePr w:type="lastCol">
      <w:rPr>
        <w:b/>
        <w:bCs/>
      </w:rPr>
      <w:tblPr/>
      <w:tcPr>
        <w:tcBorders>
          <w:top w:val="single" w:sz="8" w:space="0" w:color="FAA21B" w:themeColor="accent6"/>
          <w:bottom w:val="single" w:sz="8" w:space="0" w:color="FAA21B" w:themeColor="accent6"/>
        </w:tcBorders>
      </w:tcPr>
    </w:tblStylePr>
    <w:tblStylePr w:type="band1Vert">
      <w:tblPr/>
      <w:tcPr>
        <w:shd w:val="clear" w:color="auto" w:fill="FDE7C6" w:themeFill="accent6" w:themeFillTint="3F"/>
      </w:tcPr>
    </w:tblStylePr>
    <w:tblStylePr w:type="band1Horz">
      <w:tblPr/>
      <w:tcPr>
        <w:shd w:val="clear" w:color="auto" w:fill="FDE7C6" w:themeFill="accent6" w:themeFillTint="3F"/>
      </w:tcPr>
    </w:tblStylePr>
  </w:style>
  <w:style w:type="table" w:styleId="MediumList2">
    <w:name w:val="Medium List 2"/>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231F20" w:themeColor="text1"/>
        <w:left w:val="single" w:sz="8" w:space="0" w:color="231F20" w:themeColor="text1"/>
        <w:bottom w:val="single" w:sz="8" w:space="0" w:color="231F20" w:themeColor="text1"/>
        <w:right w:val="single" w:sz="8" w:space="0" w:color="231F20" w:themeColor="text1"/>
      </w:tblBorders>
    </w:tblPr>
    <w:tblStylePr w:type="firstRow">
      <w:rPr>
        <w:sz w:val="24"/>
        <w:szCs w:val="24"/>
      </w:rPr>
      <w:tblPr/>
      <w:tcPr>
        <w:tcBorders>
          <w:top w:val="nil"/>
          <w:left w:val="nil"/>
          <w:bottom w:val="single" w:sz="24" w:space="0" w:color="231F20" w:themeColor="text1"/>
          <w:right w:val="nil"/>
          <w:insideH w:val="nil"/>
          <w:insideV w:val="nil"/>
        </w:tcBorders>
        <w:shd w:val="clear" w:color="auto" w:fill="FFFFFF" w:themeFill="background1"/>
      </w:tcPr>
    </w:tblStylePr>
    <w:tblStylePr w:type="lastRow">
      <w:tblPr/>
      <w:tcPr>
        <w:tcBorders>
          <w:top w:val="single" w:sz="8" w:space="0" w:color="231F2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1F20" w:themeColor="text1"/>
          <w:insideH w:val="nil"/>
          <w:insideV w:val="nil"/>
        </w:tcBorders>
        <w:shd w:val="clear" w:color="auto" w:fill="FFFFFF" w:themeFill="background1"/>
      </w:tcPr>
    </w:tblStylePr>
    <w:tblStylePr w:type="lastCol">
      <w:tblPr/>
      <w:tcPr>
        <w:tcBorders>
          <w:top w:val="nil"/>
          <w:left w:val="single" w:sz="8" w:space="0" w:color="231F2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C4C6" w:themeFill="text1" w:themeFillTint="3F"/>
      </w:tcPr>
    </w:tblStylePr>
    <w:tblStylePr w:type="band1Horz">
      <w:tblPr/>
      <w:tcPr>
        <w:tcBorders>
          <w:top w:val="nil"/>
          <w:bottom w:val="nil"/>
          <w:insideH w:val="nil"/>
          <w:insideV w:val="nil"/>
        </w:tcBorders>
        <w:shd w:val="clear" w:color="auto" w:fill="CBC4C6"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4C6D41" w:themeColor="accent1"/>
        <w:left w:val="single" w:sz="8" w:space="0" w:color="4C6D41" w:themeColor="accent1"/>
        <w:bottom w:val="single" w:sz="8" w:space="0" w:color="4C6D41" w:themeColor="accent1"/>
        <w:right w:val="single" w:sz="8" w:space="0" w:color="4C6D41" w:themeColor="accent1"/>
      </w:tblBorders>
    </w:tblPr>
    <w:tblStylePr w:type="firstRow">
      <w:rPr>
        <w:sz w:val="24"/>
        <w:szCs w:val="24"/>
      </w:rPr>
      <w:tblPr/>
      <w:tcPr>
        <w:tcBorders>
          <w:top w:val="nil"/>
          <w:left w:val="nil"/>
          <w:bottom w:val="single" w:sz="24" w:space="0" w:color="4C6D41" w:themeColor="accent1"/>
          <w:right w:val="nil"/>
          <w:insideH w:val="nil"/>
          <w:insideV w:val="nil"/>
        </w:tcBorders>
        <w:shd w:val="clear" w:color="auto" w:fill="FFFFFF" w:themeFill="background1"/>
      </w:tcPr>
    </w:tblStylePr>
    <w:tblStylePr w:type="lastRow">
      <w:tblPr/>
      <w:tcPr>
        <w:tcBorders>
          <w:top w:val="single" w:sz="8" w:space="0" w:color="4C6D41"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C6D41" w:themeColor="accent1"/>
          <w:insideH w:val="nil"/>
          <w:insideV w:val="nil"/>
        </w:tcBorders>
        <w:shd w:val="clear" w:color="auto" w:fill="FFFFFF" w:themeFill="background1"/>
      </w:tcPr>
    </w:tblStylePr>
    <w:tblStylePr w:type="lastCol">
      <w:tblPr/>
      <w:tcPr>
        <w:tcBorders>
          <w:top w:val="nil"/>
          <w:left w:val="single" w:sz="8" w:space="0" w:color="4C6D41"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E0CA" w:themeFill="accent1" w:themeFillTint="3F"/>
      </w:tcPr>
    </w:tblStylePr>
    <w:tblStylePr w:type="band1Horz">
      <w:tblPr/>
      <w:tcPr>
        <w:tcBorders>
          <w:top w:val="nil"/>
          <w:bottom w:val="nil"/>
          <w:insideH w:val="nil"/>
          <w:insideV w:val="nil"/>
        </w:tcBorders>
        <w:shd w:val="clear" w:color="auto" w:fill="CFE0C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ACB137" w:themeColor="accent2"/>
        <w:left w:val="single" w:sz="8" w:space="0" w:color="ACB137" w:themeColor="accent2"/>
        <w:bottom w:val="single" w:sz="8" w:space="0" w:color="ACB137" w:themeColor="accent2"/>
        <w:right w:val="single" w:sz="8" w:space="0" w:color="ACB137" w:themeColor="accent2"/>
      </w:tblBorders>
    </w:tblPr>
    <w:tblStylePr w:type="firstRow">
      <w:rPr>
        <w:sz w:val="24"/>
        <w:szCs w:val="24"/>
      </w:rPr>
      <w:tblPr/>
      <w:tcPr>
        <w:tcBorders>
          <w:top w:val="nil"/>
          <w:left w:val="nil"/>
          <w:bottom w:val="single" w:sz="24" w:space="0" w:color="ACB137" w:themeColor="accent2"/>
          <w:right w:val="nil"/>
          <w:insideH w:val="nil"/>
          <w:insideV w:val="nil"/>
        </w:tcBorders>
        <w:shd w:val="clear" w:color="auto" w:fill="FFFFFF" w:themeFill="background1"/>
      </w:tcPr>
    </w:tblStylePr>
    <w:tblStylePr w:type="lastRow">
      <w:tblPr/>
      <w:tcPr>
        <w:tcBorders>
          <w:top w:val="single" w:sz="8" w:space="0" w:color="ACB13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CB137" w:themeColor="accent2"/>
          <w:insideH w:val="nil"/>
          <w:insideV w:val="nil"/>
        </w:tcBorders>
        <w:shd w:val="clear" w:color="auto" w:fill="FFFFFF" w:themeFill="background1"/>
      </w:tcPr>
    </w:tblStylePr>
    <w:tblStylePr w:type="lastCol">
      <w:tblPr/>
      <w:tcPr>
        <w:tcBorders>
          <w:top w:val="nil"/>
          <w:left w:val="single" w:sz="8" w:space="0" w:color="ACB13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ECA" w:themeFill="accent2" w:themeFillTint="3F"/>
      </w:tcPr>
    </w:tblStylePr>
    <w:tblStylePr w:type="band1Horz">
      <w:tblPr/>
      <w:tcPr>
        <w:tcBorders>
          <w:top w:val="nil"/>
          <w:bottom w:val="nil"/>
          <w:insideH w:val="nil"/>
          <w:insideV w:val="nil"/>
        </w:tcBorders>
        <w:shd w:val="clear" w:color="auto" w:fill="EDEECA"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00718F" w:themeColor="accent3"/>
        <w:left w:val="single" w:sz="8" w:space="0" w:color="00718F" w:themeColor="accent3"/>
        <w:bottom w:val="single" w:sz="8" w:space="0" w:color="00718F" w:themeColor="accent3"/>
        <w:right w:val="single" w:sz="8" w:space="0" w:color="00718F" w:themeColor="accent3"/>
      </w:tblBorders>
    </w:tblPr>
    <w:tblStylePr w:type="firstRow">
      <w:rPr>
        <w:sz w:val="24"/>
        <w:szCs w:val="24"/>
      </w:rPr>
      <w:tblPr/>
      <w:tcPr>
        <w:tcBorders>
          <w:top w:val="nil"/>
          <w:left w:val="nil"/>
          <w:bottom w:val="single" w:sz="24" w:space="0" w:color="00718F" w:themeColor="accent3"/>
          <w:right w:val="nil"/>
          <w:insideH w:val="nil"/>
          <w:insideV w:val="nil"/>
        </w:tcBorders>
        <w:shd w:val="clear" w:color="auto" w:fill="FFFFFF" w:themeFill="background1"/>
      </w:tcPr>
    </w:tblStylePr>
    <w:tblStylePr w:type="lastRow">
      <w:tblPr/>
      <w:tcPr>
        <w:tcBorders>
          <w:top w:val="single" w:sz="8" w:space="0" w:color="00718F"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18F" w:themeColor="accent3"/>
          <w:insideH w:val="nil"/>
          <w:insideV w:val="nil"/>
        </w:tcBorders>
        <w:shd w:val="clear" w:color="auto" w:fill="FFFFFF" w:themeFill="background1"/>
      </w:tcPr>
    </w:tblStylePr>
    <w:tblStylePr w:type="lastCol">
      <w:tblPr/>
      <w:tcPr>
        <w:tcBorders>
          <w:top w:val="nil"/>
          <w:left w:val="single" w:sz="8" w:space="0" w:color="00718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4EBFF" w:themeFill="accent3" w:themeFillTint="3F"/>
      </w:tcPr>
    </w:tblStylePr>
    <w:tblStylePr w:type="band1Horz">
      <w:tblPr/>
      <w:tcPr>
        <w:tcBorders>
          <w:top w:val="nil"/>
          <w:bottom w:val="nil"/>
          <w:insideH w:val="nil"/>
          <w:insideV w:val="nil"/>
        </w:tcBorders>
        <w:shd w:val="clear" w:color="auto" w:fill="A4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00B8A5" w:themeColor="accent4"/>
        <w:left w:val="single" w:sz="8" w:space="0" w:color="00B8A5" w:themeColor="accent4"/>
        <w:bottom w:val="single" w:sz="8" w:space="0" w:color="00B8A5" w:themeColor="accent4"/>
        <w:right w:val="single" w:sz="8" w:space="0" w:color="00B8A5" w:themeColor="accent4"/>
      </w:tblBorders>
    </w:tblPr>
    <w:tblStylePr w:type="firstRow">
      <w:rPr>
        <w:sz w:val="24"/>
        <w:szCs w:val="24"/>
      </w:rPr>
      <w:tblPr/>
      <w:tcPr>
        <w:tcBorders>
          <w:top w:val="nil"/>
          <w:left w:val="nil"/>
          <w:bottom w:val="single" w:sz="24" w:space="0" w:color="00B8A5" w:themeColor="accent4"/>
          <w:right w:val="nil"/>
          <w:insideH w:val="nil"/>
          <w:insideV w:val="nil"/>
        </w:tcBorders>
        <w:shd w:val="clear" w:color="auto" w:fill="FFFFFF" w:themeFill="background1"/>
      </w:tcPr>
    </w:tblStylePr>
    <w:tblStylePr w:type="lastRow">
      <w:tblPr/>
      <w:tcPr>
        <w:tcBorders>
          <w:top w:val="single" w:sz="8" w:space="0" w:color="00B8A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B8A5" w:themeColor="accent4"/>
          <w:insideH w:val="nil"/>
          <w:insideV w:val="nil"/>
        </w:tcBorders>
        <w:shd w:val="clear" w:color="auto" w:fill="FFFFFF" w:themeFill="background1"/>
      </w:tcPr>
    </w:tblStylePr>
    <w:tblStylePr w:type="lastCol">
      <w:tblPr/>
      <w:tcPr>
        <w:tcBorders>
          <w:top w:val="nil"/>
          <w:left w:val="single" w:sz="8" w:space="0" w:color="00B8A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EFFF6" w:themeFill="accent4" w:themeFillTint="3F"/>
      </w:tcPr>
    </w:tblStylePr>
    <w:tblStylePr w:type="band1Horz">
      <w:tblPr/>
      <w:tcPr>
        <w:tcBorders>
          <w:top w:val="nil"/>
          <w:bottom w:val="nil"/>
          <w:insideH w:val="nil"/>
          <w:insideV w:val="nil"/>
        </w:tcBorders>
        <w:shd w:val="clear" w:color="auto" w:fill="AEFF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F04C3E" w:themeColor="accent5"/>
        <w:left w:val="single" w:sz="8" w:space="0" w:color="F04C3E" w:themeColor="accent5"/>
        <w:bottom w:val="single" w:sz="8" w:space="0" w:color="F04C3E" w:themeColor="accent5"/>
        <w:right w:val="single" w:sz="8" w:space="0" w:color="F04C3E" w:themeColor="accent5"/>
      </w:tblBorders>
    </w:tblPr>
    <w:tblStylePr w:type="firstRow">
      <w:rPr>
        <w:sz w:val="24"/>
        <w:szCs w:val="24"/>
      </w:rPr>
      <w:tblPr/>
      <w:tcPr>
        <w:tcBorders>
          <w:top w:val="nil"/>
          <w:left w:val="nil"/>
          <w:bottom w:val="single" w:sz="24" w:space="0" w:color="F04C3E" w:themeColor="accent5"/>
          <w:right w:val="nil"/>
          <w:insideH w:val="nil"/>
          <w:insideV w:val="nil"/>
        </w:tcBorders>
        <w:shd w:val="clear" w:color="auto" w:fill="FFFFFF" w:themeFill="background1"/>
      </w:tcPr>
    </w:tblStylePr>
    <w:tblStylePr w:type="lastRow">
      <w:tblPr/>
      <w:tcPr>
        <w:tcBorders>
          <w:top w:val="single" w:sz="8" w:space="0" w:color="F04C3E"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4C3E" w:themeColor="accent5"/>
          <w:insideH w:val="nil"/>
          <w:insideV w:val="nil"/>
        </w:tcBorders>
        <w:shd w:val="clear" w:color="auto" w:fill="FFFFFF" w:themeFill="background1"/>
      </w:tcPr>
    </w:tblStylePr>
    <w:tblStylePr w:type="lastCol">
      <w:tblPr/>
      <w:tcPr>
        <w:tcBorders>
          <w:top w:val="nil"/>
          <w:left w:val="single" w:sz="8" w:space="0" w:color="F04C3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2CF" w:themeFill="accent5" w:themeFillTint="3F"/>
      </w:tcPr>
    </w:tblStylePr>
    <w:tblStylePr w:type="band1Horz">
      <w:tblPr/>
      <w:tcPr>
        <w:tcBorders>
          <w:top w:val="nil"/>
          <w:bottom w:val="nil"/>
          <w:insideH w:val="nil"/>
          <w:insideV w:val="nil"/>
        </w:tcBorders>
        <w:shd w:val="clear" w:color="auto" w:fill="FBD2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372E2B"/>
    <w:pPr>
      <w:spacing w:before="170" w:after="0"/>
    </w:pPr>
    <w:rPr>
      <w:rFonts w:asciiTheme="majorHAnsi" w:eastAsiaTheme="majorEastAsia" w:hAnsiTheme="majorHAnsi" w:cstheme="majorBidi"/>
    </w:rPr>
    <w:tblPr>
      <w:tblStyleRowBandSize w:val="1"/>
      <w:tblStyleColBandSize w:val="1"/>
      <w:tblBorders>
        <w:top w:val="single" w:sz="8" w:space="0" w:color="FAA21B" w:themeColor="accent6"/>
        <w:left w:val="single" w:sz="8" w:space="0" w:color="FAA21B" w:themeColor="accent6"/>
        <w:bottom w:val="single" w:sz="8" w:space="0" w:color="FAA21B" w:themeColor="accent6"/>
        <w:right w:val="single" w:sz="8" w:space="0" w:color="FAA21B" w:themeColor="accent6"/>
      </w:tblBorders>
    </w:tblPr>
    <w:tblStylePr w:type="firstRow">
      <w:rPr>
        <w:sz w:val="24"/>
        <w:szCs w:val="24"/>
      </w:rPr>
      <w:tblPr/>
      <w:tcPr>
        <w:tcBorders>
          <w:top w:val="nil"/>
          <w:left w:val="nil"/>
          <w:bottom w:val="single" w:sz="24" w:space="0" w:color="FAA21B" w:themeColor="accent6"/>
          <w:right w:val="nil"/>
          <w:insideH w:val="nil"/>
          <w:insideV w:val="nil"/>
        </w:tcBorders>
        <w:shd w:val="clear" w:color="auto" w:fill="FFFFFF" w:themeFill="background1"/>
      </w:tcPr>
    </w:tblStylePr>
    <w:tblStylePr w:type="lastRow">
      <w:tblPr/>
      <w:tcPr>
        <w:tcBorders>
          <w:top w:val="single" w:sz="8" w:space="0" w:color="FAA21B"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AA21B" w:themeColor="accent6"/>
          <w:insideH w:val="nil"/>
          <w:insideV w:val="nil"/>
        </w:tcBorders>
        <w:shd w:val="clear" w:color="auto" w:fill="FFFFFF" w:themeFill="background1"/>
      </w:tcPr>
    </w:tblStylePr>
    <w:tblStylePr w:type="lastCol">
      <w:tblPr/>
      <w:tcPr>
        <w:tcBorders>
          <w:top w:val="nil"/>
          <w:left w:val="single" w:sz="8" w:space="0" w:color="FAA21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7C6" w:themeFill="accent6" w:themeFillTint="3F"/>
      </w:tcPr>
    </w:tblStylePr>
    <w:tblStylePr w:type="band1Horz">
      <w:tblPr/>
      <w:tcPr>
        <w:tcBorders>
          <w:top w:val="nil"/>
          <w:bottom w:val="nil"/>
          <w:insideH w:val="nil"/>
          <w:insideV w:val="nil"/>
        </w:tcBorders>
        <w:shd w:val="clear" w:color="auto" w:fill="FDE7C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372E2B"/>
    <w:pPr>
      <w:spacing w:before="170" w:after="0"/>
    </w:pPr>
    <w:tblPr>
      <w:tblStyleRowBandSize w:val="1"/>
      <w:tblStyleColBandSize w:val="1"/>
      <w:tblBorders>
        <w:top w:val="single" w:sz="8" w:space="0" w:color="5D5356" w:themeColor="text1" w:themeTint="BF"/>
        <w:left w:val="single" w:sz="8" w:space="0" w:color="5D5356" w:themeColor="text1" w:themeTint="BF"/>
        <w:bottom w:val="single" w:sz="8" w:space="0" w:color="5D5356" w:themeColor="text1" w:themeTint="BF"/>
        <w:right w:val="single" w:sz="8" w:space="0" w:color="5D5356" w:themeColor="text1" w:themeTint="BF"/>
        <w:insideH w:val="single" w:sz="8" w:space="0" w:color="5D5356" w:themeColor="text1" w:themeTint="BF"/>
      </w:tblBorders>
    </w:tblPr>
    <w:tblStylePr w:type="firstRow">
      <w:pPr>
        <w:spacing w:before="0" w:after="0" w:line="240" w:lineRule="auto"/>
      </w:pPr>
      <w:rPr>
        <w:b/>
        <w:bCs/>
        <w:color w:val="FFFFFF" w:themeColor="background1"/>
      </w:rPr>
      <w:tblPr/>
      <w:tcPr>
        <w:tcBorders>
          <w:top w:val="single" w:sz="8" w:space="0" w:color="5D5356" w:themeColor="text1" w:themeTint="BF"/>
          <w:left w:val="single" w:sz="8" w:space="0" w:color="5D5356" w:themeColor="text1" w:themeTint="BF"/>
          <w:bottom w:val="single" w:sz="8" w:space="0" w:color="5D5356" w:themeColor="text1" w:themeTint="BF"/>
          <w:right w:val="single" w:sz="8" w:space="0" w:color="5D5356" w:themeColor="text1" w:themeTint="BF"/>
          <w:insideH w:val="nil"/>
          <w:insideV w:val="nil"/>
        </w:tcBorders>
        <w:shd w:val="clear" w:color="auto" w:fill="231F20" w:themeFill="text1"/>
      </w:tcPr>
    </w:tblStylePr>
    <w:tblStylePr w:type="lastRow">
      <w:pPr>
        <w:spacing w:before="0" w:after="0" w:line="240" w:lineRule="auto"/>
      </w:pPr>
      <w:rPr>
        <w:b/>
        <w:bCs/>
      </w:rPr>
      <w:tblPr/>
      <w:tcPr>
        <w:tcBorders>
          <w:top w:val="double" w:sz="6" w:space="0" w:color="5D5356" w:themeColor="text1" w:themeTint="BF"/>
          <w:left w:val="single" w:sz="8" w:space="0" w:color="5D5356" w:themeColor="text1" w:themeTint="BF"/>
          <w:bottom w:val="single" w:sz="8" w:space="0" w:color="5D5356" w:themeColor="text1" w:themeTint="BF"/>
          <w:right w:val="single" w:sz="8" w:space="0" w:color="5D5356" w:themeColor="text1" w:themeTint="BF"/>
          <w:insideH w:val="nil"/>
          <w:insideV w:val="nil"/>
        </w:tcBorders>
      </w:tcPr>
    </w:tblStylePr>
    <w:tblStylePr w:type="firstCol">
      <w:rPr>
        <w:b/>
        <w:bCs/>
      </w:rPr>
    </w:tblStylePr>
    <w:tblStylePr w:type="lastCol">
      <w:rPr>
        <w:b/>
        <w:bCs/>
      </w:rPr>
    </w:tblStylePr>
    <w:tblStylePr w:type="band1Vert">
      <w:tblPr/>
      <w:tcPr>
        <w:shd w:val="clear" w:color="auto" w:fill="CBC4C6" w:themeFill="text1" w:themeFillTint="3F"/>
      </w:tcPr>
    </w:tblStylePr>
    <w:tblStylePr w:type="band1Horz">
      <w:tblPr/>
      <w:tcPr>
        <w:tcBorders>
          <w:insideH w:val="nil"/>
          <w:insideV w:val="nil"/>
        </w:tcBorders>
        <w:shd w:val="clear" w:color="auto" w:fill="CBC4C6"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372E2B"/>
    <w:pPr>
      <w:spacing w:before="170" w:after="0"/>
    </w:pPr>
    <w:tblPr>
      <w:tblStyleRowBandSize w:val="1"/>
      <w:tblStyleColBandSize w:val="1"/>
      <w:tblBorders>
        <w:top w:val="single" w:sz="8" w:space="0" w:color="70A061" w:themeColor="accent1" w:themeTint="BF"/>
        <w:left w:val="single" w:sz="8" w:space="0" w:color="70A061" w:themeColor="accent1" w:themeTint="BF"/>
        <w:bottom w:val="single" w:sz="8" w:space="0" w:color="70A061" w:themeColor="accent1" w:themeTint="BF"/>
        <w:right w:val="single" w:sz="8" w:space="0" w:color="70A061" w:themeColor="accent1" w:themeTint="BF"/>
        <w:insideH w:val="single" w:sz="8" w:space="0" w:color="70A061" w:themeColor="accent1" w:themeTint="BF"/>
      </w:tblBorders>
    </w:tblPr>
    <w:tblStylePr w:type="firstRow">
      <w:pPr>
        <w:spacing w:before="0" w:after="0" w:line="240" w:lineRule="auto"/>
      </w:pPr>
      <w:rPr>
        <w:b/>
        <w:bCs/>
        <w:color w:val="FFFFFF" w:themeColor="background1"/>
      </w:rPr>
      <w:tblPr/>
      <w:tcPr>
        <w:tcBorders>
          <w:top w:val="single" w:sz="8" w:space="0" w:color="70A061" w:themeColor="accent1" w:themeTint="BF"/>
          <w:left w:val="single" w:sz="8" w:space="0" w:color="70A061" w:themeColor="accent1" w:themeTint="BF"/>
          <w:bottom w:val="single" w:sz="8" w:space="0" w:color="70A061" w:themeColor="accent1" w:themeTint="BF"/>
          <w:right w:val="single" w:sz="8" w:space="0" w:color="70A061" w:themeColor="accent1" w:themeTint="BF"/>
          <w:insideH w:val="nil"/>
          <w:insideV w:val="nil"/>
        </w:tcBorders>
        <w:shd w:val="clear" w:color="auto" w:fill="4C6D41" w:themeFill="accent1"/>
      </w:tcPr>
    </w:tblStylePr>
    <w:tblStylePr w:type="lastRow">
      <w:pPr>
        <w:spacing w:before="0" w:after="0" w:line="240" w:lineRule="auto"/>
      </w:pPr>
      <w:rPr>
        <w:b/>
        <w:bCs/>
      </w:rPr>
      <w:tblPr/>
      <w:tcPr>
        <w:tcBorders>
          <w:top w:val="double" w:sz="6" w:space="0" w:color="70A061" w:themeColor="accent1" w:themeTint="BF"/>
          <w:left w:val="single" w:sz="8" w:space="0" w:color="70A061" w:themeColor="accent1" w:themeTint="BF"/>
          <w:bottom w:val="single" w:sz="8" w:space="0" w:color="70A061" w:themeColor="accent1" w:themeTint="BF"/>
          <w:right w:val="single" w:sz="8" w:space="0" w:color="70A061" w:themeColor="accent1" w:themeTint="BF"/>
          <w:insideH w:val="nil"/>
          <w:insideV w:val="nil"/>
        </w:tcBorders>
      </w:tcPr>
    </w:tblStylePr>
    <w:tblStylePr w:type="firstCol">
      <w:rPr>
        <w:b/>
        <w:bCs/>
      </w:rPr>
    </w:tblStylePr>
    <w:tblStylePr w:type="lastCol">
      <w:rPr>
        <w:b/>
        <w:bCs/>
      </w:rPr>
    </w:tblStylePr>
    <w:tblStylePr w:type="band1Vert">
      <w:tblPr/>
      <w:tcPr>
        <w:shd w:val="clear" w:color="auto" w:fill="CFE0CA" w:themeFill="accent1" w:themeFillTint="3F"/>
      </w:tcPr>
    </w:tblStylePr>
    <w:tblStylePr w:type="band1Horz">
      <w:tblPr/>
      <w:tcPr>
        <w:tcBorders>
          <w:insideH w:val="nil"/>
          <w:insideV w:val="nil"/>
        </w:tcBorders>
        <w:shd w:val="clear" w:color="auto" w:fill="CFE0CA"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372E2B"/>
    <w:pPr>
      <w:spacing w:before="170" w:after="0"/>
    </w:pPr>
    <w:tblPr>
      <w:tblStyleRowBandSize w:val="1"/>
      <w:tblStyleColBandSize w:val="1"/>
      <w:tblBorders>
        <w:top w:val="single" w:sz="8" w:space="0" w:color="C8CD60" w:themeColor="accent2" w:themeTint="BF"/>
        <w:left w:val="single" w:sz="8" w:space="0" w:color="C8CD60" w:themeColor="accent2" w:themeTint="BF"/>
        <w:bottom w:val="single" w:sz="8" w:space="0" w:color="C8CD60" w:themeColor="accent2" w:themeTint="BF"/>
        <w:right w:val="single" w:sz="8" w:space="0" w:color="C8CD60" w:themeColor="accent2" w:themeTint="BF"/>
        <w:insideH w:val="single" w:sz="8" w:space="0" w:color="C8CD60" w:themeColor="accent2" w:themeTint="BF"/>
      </w:tblBorders>
    </w:tblPr>
    <w:tblStylePr w:type="firstRow">
      <w:pPr>
        <w:spacing w:before="0" w:after="0" w:line="240" w:lineRule="auto"/>
      </w:pPr>
      <w:rPr>
        <w:b/>
        <w:bCs/>
        <w:color w:val="FFFFFF" w:themeColor="background1"/>
      </w:rPr>
      <w:tblPr/>
      <w:tcPr>
        <w:tcBorders>
          <w:top w:val="single" w:sz="8" w:space="0" w:color="C8CD60" w:themeColor="accent2" w:themeTint="BF"/>
          <w:left w:val="single" w:sz="8" w:space="0" w:color="C8CD60" w:themeColor="accent2" w:themeTint="BF"/>
          <w:bottom w:val="single" w:sz="8" w:space="0" w:color="C8CD60" w:themeColor="accent2" w:themeTint="BF"/>
          <w:right w:val="single" w:sz="8" w:space="0" w:color="C8CD60" w:themeColor="accent2" w:themeTint="BF"/>
          <w:insideH w:val="nil"/>
          <w:insideV w:val="nil"/>
        </w:tcBorders>
        <w:shd w:val="clear" w:color="auto" w:fill="ACB137" w:themeFill="accent2"/>
      </w:tcPr>
    </w:tblStylePr>
    <w:tblStylePr w:type="lastRow">
      <w:pPr>
        <w:spacing w:before="0" w:after="0" w:line="240" w:lineRule="auto"/>
      </w:pPr>
      <w:rPr>
        <w:b/>
        <w:bCs/>
      </w:rPr>
      <w:tblPr/>
      <w:tcPr>
        <w:tcBorders>
          <w:top w:val="double" w:sz="6" w:space="0" w:color="C8CD60" w:themeColor="accent2" w:themeTint="BF"/>
          <w:left w:val="single" w:sz="8" w:space="0" w:color="C8CD60" w:themeColor="accent2" w:themeTint="BF"/>
          <w:bottom w:val="single" w:sz="8" w:space="0" w:color="C8CD60" w:themeColor="accent2" w:themeTint="BF"/>
          <w:right w:val="single" w:sz="8" w:space="0" w:color="C8CD60" w:themeColor="accent2" w:themeTint="BF"/>
          <w:insideH w:val="nil"/>
          <w:insideV w:val="nil"/>
        </w:tcBorders>
      </w:tcPr>
    </w:tblStylePr>
    <w:tblStylePr w:type="firstCol">
      <w:rPr>
        <w:b/>
        <w:bCs/>
      </w:rPr>
    </w:tblStylePr>
    <w:tblStylePr w:type="lastCol">
      <w:rPr>
        <w:b/>
        <w:bCs/>
      </w:rPr>
    </w:tblStylePr>
    <w:tblStylePr w:type="band1Vert">
      <w:tblPr/>
      <w:tcPr>
        <w:shd w:val="clear" w:color="auto" w:fill="EDEECA" w:themeFill="accent2" w:themeFillTint="3F"/>
      </w:tcPr>
    </w:tblStylePr>
    <w:tblStylePr w:type="band1Horz">
      <w:tblPr/>
      <w:tcPr>
        <w:tcBorders>
          <w:insideH w:val="nil"/>
          <w:insideV w:val="nil"/>
        </w:tcBorders>
        <w:shd w:val="clear" w:color="auto" w:fill="EDEECA"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372E2B"/>
    <w:pPr>
      <w:spacing w:before="170" w:after="0"/>
    </w:pPr>
    <w:tblPr>
      <w:tblStyleRowBandSize w:val="1"/>
      <w:tblStyleColBandSize w:val="1"/>
      <w:tblBorders>
        <w:top w:val="single" w:sz="8" w:space="0" w:color="00B9EB" w:themeColor="accent3" w:themeTint="BF"/>
        <w:left w:val="single" w:sz="8" w:space="0" w:color="00B9EB" w:themeColor="accent3" w:themeTint="BF"/>
        <w:bottom w:val="single" w:sz="8" w:space="0" w:color="00B9EB" w:themeColor="accent3" w:themeTint="BF"/>
        <w:right w:val="single" w:sz="8" w:space="0" w:color="00B9EB" w:themeColor="accent3" w:themeTint="BF"/>
        <w:insideH w:val="single" w:sz="8" w:space="0" w:color="00B9EB" w:themeColor="accent3" w:themeTint="BF"/>
      </w:tblBorders>
    </w:tblPr>
    <w:tblStylePr w:type="firstRow">
      <w:pPr>
        <w:spacing w:before="0" w:after="0" w:line="240" w:lineRule="auto"/>
      </w:pPr>
      <w:rPr>
        <w:b/>
        <w:bCs/>
        <w:color w:val="FFFFFF" w:themeColor="background1"/>
      </w:rPr>
      <w:tblPr/>
      <w:tcPr>
        <w:tcBorders>
          <w:top w:val="single" w:sz="8" w:space="0" w:color="00B9EB" w:themeColor="accent3" w:themeTint="BF"/>
          <w:left w:val="single" w:sz="8" w:space="0" w:color="00B9EB" w:themeColor="accent3" w:themeTint="BF"/>
          <w:bottom w:val="single" w:sz="8" w:space="0" w:color="00B9EB" w:themeColor="accent3" w:themeTint="BF"/>
          <w:right w:val="single" w:sz="8" w:space="0" w:color="00B9EB" w:themeColor="accent3" w:themeTint="BF"/>
          <w:insideH w:val="nil"/>
          <w:insideV w:val="nil"/>
        </w:tcBorders>
        <w:shd w:val="clear" w:color="auto" w:fill="00718F" w:themeFill="accent3"/>
      </w:tcPr>
    </w:tblStylePr>
    <w:tblStylePr w:type="lastRow">
      <w:pPr>
        <w:spacing w:before="0" w:after="0" w:line="240" w:lineRule="auto"/>
      </w:pPr>
      <w:rPr>
        <w:b/>
        <w:bCs/>
      </w:rPr>
      <w:tblPr/>
      <w:tcPr>
        <w:tcBorders>
          <w:top w:val="double" w:sz="6" w:space="0" w:color="00B9EB" w:themeColor="accent3" w:themeTint="BF"/>
          <w:left w:val="single" w:sz="8" w:space="0" w:color="00B9EB" w:themeColor="accent3" w:themeTint="BF"/>
          <w:bottom w:val="single" w:sz="8" w:space="0" w:color="00B9EB" w:themeColor="accent3" w:themeTint="BF"/>
          <w:right w:val="single" w:sz="8" w:space="0" w:color="00B9EB" w:themeColor="accent3" w:themeTint="BF"/>
          <w:insideH w:val="nil"/>
          <w:insideV w:val="nil"/>
        </w:tcBorders>
      </w:tcPr>
    </w:tblStylePr>
    <w:tblStylePr w:type="firstCol">
      <w:rPr>
        <w:b/>
        <w:bCs/>
      </w:rPr>
    </w:tblStylePr>
    <w:tblStylePr w:type="lastCol">
      <w:rPr>
        <w:b/>
        <w:bCs/>
      </w:rPr>
    </w:tblStylePr>
    <w:tblStylePr w:type="band1Vert">
      <w:tblPr/>
      <w:tcPr>
        <w:shd w:val="clear" w:color="auto" w:fill="A4EBFF" w:themeFill="accent3" w:themeFillTint="3F"/>
      </w:tcPr>
    </w:tblStylePr>
    <w:tblStylePr w:type="band1Horz">
      <w:tblPr/>
      <w:tcPr>
        <w:tcBorders>
          <w:insideH w:val="nil"/>
          <w:insideV w:val="nil"/>
        </w:tcBorders>
        <w:shd w:val="clear" w:color="auto" w:fill="A4EB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372E2B"/>
    <w:pPr>
      <w:spacing w:before="170" w:after="0"/>
    </w:pPr>
    <w:tblPr>
      <w:tblStyleRowBandSize w:val="1"/>
      <w:tblStyleColBandSize w:val="1"/>
      <w:tblBorders>
        <w:top w:val="single" w:sz="8" w:space="0" w:color="0AFFE5" w:themeColor="accent4" w:themeTint="BF"/>
        <w:left w:val="single" w:sz="8" w:space="0" w:color="0AFFE5" w:themeColor="accent4" w:themeTint="BF"/>
        <w:bottom w:val="single" w:sz="8" w:space="0" w:color="0AFFE5" w:themeColor="accent4" w:themeTint="BF"/>
        <w:right w:val="single" w:sz="8" w:space="0" w:color="0AFFE5" w:themeColor="accent4" w:themeTint="BF"/>
        <w:insideH w:val="single" w:sz="8" w:space="0" w:color="0AFFE5" w:themeColor="accent4" w:themeTint="BF"/>
      </w:tblBorders>
    </w:tblPr>
    <w:tblStylePr w:type="firstRow">
      <w:pPr>
        <w:spacing w:before="0" w:after="0" w:line="240" w:lineRule="auto"/>
      </w:pPr>
      <w:rPr>
        <w:b/>
        <w:bCs/>
        <w:color w:val="FFFFFF" w:themeColor="background1"/>
      </w:rPr>
      <w:tblPr/>
      <w:tcPr>
        <w:tcBorders>
          <w:top w:val="single" w:sz="8" w:space="0" w:color="0AFFE5" w:themeColor="accent4" w:themeTint="BF"/>
          <w:left w:val="single" w:sz="8" w:space="0" w:color="0AFFE5" w:themeColor="accent4" w:themeTint="BF"/>
          <w:bottom w:val="single" w:sz="8" w:space="0" w:color="0AFFE5" w:themeColor="accent4" w:themeTint="BF"/>
          <w:right w:val="single" w:sz="8" w:space="0" w:color="0AFFE5" w:themeColor="accent4" w:themeTint="BF"/>
          <w:insideH w:val="nil"/>
          <w:insideV w:val="nil"/>
        </w:tcBorders>
        <w:shd w:val="clear" w:color="auto" w:fill="00B8A5" w:themeFill="accent4"/>
      </w:tcPr>
    </w:tblStylePr>
    <w:tblStylePr w:type="lastRow">
      <w:pPr>
        <w:spacing w:before="0" w:after="0" w:line="240" w:lineRule="auto"/>
      </w:pPr>
      <w:rPr>
        <w:b/>
        <w:bCs/>
      </w:rPr>
      <w:tblPr/>
      <w:tcPr>
        <w:tcBorders>
          <w:top w:val="double" w:sz="6" w:space="0" w:color="0AFFE5" w:themeColor="accent4" w:themeTint="BF"/>
          <w:left w:val="single" w:sz="8" w:space="0" w:color="0AFFE5" w:themeColor="accent4" w:themeTint="BF"/>
          <w:bottom w:val="single" w:sz="8" w:space="0" w:color="0AFFE5" w:themeColor="accent4" w:themeTint="BF"/>
          <w:right w:val="single" w:sz="8" w:space="0" w:color="0AFFE5" w:themeColor="accent4" w:themeTint="BF"/>
          <w:insideH w:val="nil"/>
          <w:insideV w:val="nil"/>
        </w:tcBorders>
      </w:tcPr>
    </w:tblStylePr>
    <w:tblStylePr w:type="firstCol">
      <w:rPr>
        <w:b/>
        <w:bCs/>
      </w:rPr>
    </w:tblStylePr>
    <w:tblStylePr w:type="lastCol">
      <w:rPr>
        <w:b/>
        <w:bCs/>
      </w:rPr>
    </w:tblStylePr>
    <w:tblStylePr w:type="band1Vert">
      <w:tblPr/>
      <w:tcPr>
        <w:shd w:val="clear" w:color="auto" w:fill="AEFFF6" w:themeFill="accent4" w:themeFillTint="3F"/>
      </w:tcPr>
    </w:tblStylePr>
    <w:tblStylePr w:type="band1Horz">
      <w:tblPr/>
      <w:tcPr>
        <w:tcBorders>
          <w:insideH w:val="nil"/>
          <w:insideV w:val="nil"/>
        </w:tcBorders>
        <w:shd w:val="clear" w:color="auto" w:fill="AEFFF6"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372E2B"/>
    <w:pPr>
      <w:spacing w:before="170" w:after="0"/>
    </w:pPr>
    <w:tblPr>
      <w:tblStyleRowBandSize w:val="1"/>
      <w:tblStyleColBandSize w:val="1"/>
      <w:tblBorders>
        <w:top w:val="single" w:sz="8" w:space="0" w:color="F3786E" w:themeColor="accent5" w:themeTint="BF"/>
        <w:left w:val="single" w:sz="8" w:space="0" w:color="F3786E" w:themeColor="accent5" w:themeTint="BF"/>
        <w:bottom w:val="single" w:sz="8" w:space="0" w:color="F3786E" w:themeColor="accent5" w:themeTint="BF"/>
        <w:right w:val="single" w:sz="8" w:space="0" w:color="F3786E" w:themeColor="accent5" w:themeTint="BF"/>
        <w:insideH w:val="single" w:sz="8" w:space="0" w:color="F3786E" w:themeColor="accent5" w:themeTint="BF"/>
      </w:tblBorders>
    </w:tblPr>
    <w:tblStylePr w:type="firstRow">
      <w:pPr>
        <w:spacing w:before="0" w:after="0" w:line="240" w:lineRule="auto"/>
      </w:pPr>
      <w:rPr>
        <w:b/>
        <w:bCs/>
        <w:color w:val="FFFFFF" w:themeColor="background1"/>
      </w:rPr>
      <w:tblPr/>
      <w:tcPr>
        <w:tcBorders>
          <w:top w:val="single" w:sz="8" w:space="0" w:color="F3786E" w:themeColor="accent5" w:themeTint="BF"/>
          <w:left w:val="single" w:sz="8" w:space="0" w:color="F3786E" w:themeColor="accent5" w:themeTint="BF"/>
          <w:bottom w:val="single" w:sz="8" w:space="0" w:color="F3786E" w:themeColor="accent5" w:themeTint="BF"/>
          <w:right w:val="single" w:sz="8" w:space="0" w:color="F3786E" w:themeColor="accent5" w:themeTint="BF"/>
          <w:insideH w:val="nil"/>
          <w:insideV w:val="nil"/>
        </w:tcBorders>
        <w:shd w:val="clear" w:color="auto" w:fill="F04C3E" w:themeFill="accent5"/>
      </w:tcPr>
    </w:tblStylePr>
    <w:tblStylePr w:type="lastRow">
      <w:pPr>
        <w:spacing w:before="0" w:after="0" w:line="240" w:lineRule="auto"/>
      </w:pPr>
      <w:rPr>
        <w:b/>
        <w:bCs/>
      </w:rPr>
      <w:tblPr/>
      <w:tcPr>
        <w:tcBorders>
          <w:top w:val="double" w:sz="6" w:space="0" w:color="F3786E" w:themeColor="accent5" w:themeTint="BF"/>
          <w:left w:val="single" w:sz="8" w:space="0" w:color="F3786E" w:themeColor="accent5" w:themeTint="BF"/>
          <w:bottom w:val="single" w:sz="8" w:space="0" w:color="F3786E" w:themeColor="accent5" w:themeTint="BF"/>
          <w:right w:val="single" w:sz="8" w:space="0" w:color="F3786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D2CF" w:themeFill="accent5" w:themeFillTint="3F"/>
      </w:tcPr>
    </w:tblStylePr>
    <w:tblStylePr w:type="band1Horz">
      <w:tblPr/>
      <w:tcPr>
        <w:tcBorders>
          <w:insideH w:val="nil"/>
          <w:insideV w:val="nil"/>
        </w:tcBorders>
        <w:shd w:val="clear" w:color="auto" w:fill="FBD2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372E2B"/>
    <w:pPr>
      <w:spacing w:before="170" w:after="0"/>
    </w:pPr>
    <w:tblPr>
      <w:tblStyleRowBandSize w:val="1"/>
      <w:tblStyleColBandSize w:val="1"/>
      <w:tblBorders>
        <w:top w:val="single" w:sz="8" w:space="0" w:color="FBB954" w:themeColor="accent6" w:themeTint="BF"/>
        <w:left w:val="single" w:sz="8" w:space="0" w:color="FBB954" w:themeColor="accent6" w:themeTint="BF"/>
        <w:bottom w:val="single" w:sz="8" w:space="0" w:color="FBB954" w:themeColor="accent6" w:themeTint="BF"/>
        <w:right w:val="single" w:sz="8" w:space="0" w:color="FBB954" w:themeColor="accent6" w:themeTint="BF"/>
        <w:insideH w:val="single" w:sz="8" w:space="0" w:color="FBB954" w:themeColor="accent6" w:themeTint="BF"/>
      </w:tblBorders>
    </w:tblPr>
    <w:tblStylePr w:type="firstRow">
      <w:pPr>
        <w:spacing w:before="0" w:after="0" w:line="240" w:lineRule="auto"/>
      </w:pPr>
      <w:rPr>
        <w:b/>
        <w:bCs/>
        <w:color w:val="FFFFFF" w:themeColor="background1"/>
      </w:rPr>
      <w:tblPr/>
      <w:tcPr>
        <w:tcBorders>
          <w:top w:val="single" w:sz="8" w:space="0" w:color="FBB954" w:themeColor="accent6" w:themeTint="BF"/>
          <w:left w:val="single" w:sz="8" w:space="0" w:color="FBB954" w:themeColor="accent6" w:themeTint="BF"/>
          <w:bottom w:val="single" w:sz="8" w:space="0" w:color="FBB954" w:themeColor="accent6" w:themeTint="BF"/>
          <w:right w:val="single" w:sz="8" w:space="0" w:color="FBB954" w:themeColor="accent6" w:themeTint="BF"/>
          <w:insideH w:val="nil"/>
          <w:insideV w:val="nil"/>
        </w:tcBorders>
        <w:shd w:val="clear" w:color="auto" w:fill="FAA21B" w:themeFill="accent6"/>
      </w:tcPr>
    </w:tblStylePr>
    <w:tblStylePr w:type="lastRow">
      <w:pPr>
        <w:spacing w:before="0" w:after="0" w:line="240" w:lineRule="auto"/>
      </w:pPr>
      <w:rPr>
        <w:b/>
        <w:bCs/>
      </w:rPr>
      <w:tblPr/>
      <w:tcPr>
        <w:tcBorders>
          <w:top w:val="double" w:sz="6" w:space="0" w:color="FBB954" w:themeColor="accent6" w:themeTint="BF"/>
          <w:left w:val="single" w:sz="8" w:space="0" w:color="FBB954" w:themeColor="accent6" w:themeTint="BF"/>
          <w:bottom w:val="single" w:sz="8" w:space="0" w:color="FBB954" w:themeColor="accent6" w:themeTint="BF"/>
          <w:right w:val="single" w:sz="8" w:space="0" w:color="FBB95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7C6" w:themeFill="accent6" w:themeFillTint="3F"/>
      </w:tcPr>
    </w:tblStylePr>
    <w:tblStylePr w:type="band1Horz">
      <w:tblPr/>
      <w:tcPr>
        <w:tcBorders>
          <w:insideH w:val="nil"/>
          <w:insideV w:val="nil"/>
        </w:tcBorders>
        <w:shd w:val="clear" w:color="auto" w:fill="FDE7C6"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31F2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31F20" w:themeFill="text1"/>
      </w:tcPr>
    </w:tblStylePr>
    <w:tblStylePr w:type="lastCol">
      <w:rPr>
        <w:b/>
        <w:bCs/>
        <w:color w:val="FFFFFF" w:themeColor="background1"/>
      </w:rPr>
      <w:tblPr/>
      <w:tcPr>
        <w:tcBorders>
          <w:left w:val="nil"/>
          <w:right w:val="nil"/>
          <w:insideH w:val="nil"/>
          <w:insideV w:val="nil"/>
        </w:tcBorders>
        <w:shd w:val="clear" w:color="auto" w:fill="231F2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C6D4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C6D41" w:themeFill="accent1"/>
      </w:tcPr>
    </w:tblStylePr>
    <w:tblStylePr w:type="lastCol">
      <w:rPr>
        <w:b/>
        <w:bCs/>
        <w:color w:val="FFFFFF" w:themeColor="background1"/>
      </w:rPr>
      <w:tblPr/>
      <w:tcPr>
        <w:tcBorders>
          <w:left w:val="nil"/>
          <w:right w:val="nil"/>
          <w:insideH w:val="nil"/>
          <w:insideV w:val="nil"/>
        </w:tcBorders>
        <w:shd w:val="clear" w:color="auto" w:fill="4C6D4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CB13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CB137" w:themeFill="accent2"/>
      </w:tcPr>
    </w:tblStylePr>
    <w:tblStylePr w:type="lastCol">
      <w:rPr>
        <w:b/>
        <w:bCs/>
        <w:color w:val="FFFFFF" w:themeColor="background1"/>
      </w:rPr>
      <w:tblPr/>
      <w:tcPr>
        <w:tcBorders>
          <w:left w:val="nil"/>
          <w:right w:val="nil"/>
          <w:insideH w:val="nil"/>
          <w:insideV w:val="nil"/>
        </w:tcBorders>
        <w:shd w:val="clear" w:color="auto" w:fill="ACB13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18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718F" w:themeFill="accent3"/>
      </w:tcPr>
    </w:tblStylePr>
    <w:tblStylePr w:type="lastCol">
      <w:rPr>
        <w:b/>
        <w:bCs/>
        <w:color w:val="FFFFFF" w:themeColor="background1"/>
      </w:rPr>
      <w:tblPr/>
      <w:tcPr>
        <w:tcBorders>
          <w:left w:val="nil"/>
          <w:right w:val="nil"/>
          <w:insideH w:val="nil"/>
          <w:insideV w:val="nil"/>
        </w:tcBorders>
        <w:shd w:val="clear" w:color="auto" w:fill="00718F"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B8A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B8A5" w:themeFill="accent4"/>
      </w:tcPr>
    </w:tblStylePr>
    <w:tblStylePr w:type="lastCol">
      <w:rPr>
        <w:b/>
        <w:bCs/>
        <w:color w:val="FFFFFF" w:themeColor="background1"/>
      </w:rPr>
      <w:tblPr/>
      <w:tcPr>
        <w:tcBorders>
          <w:left w:val="nil"/>
          <w:right w:val="nil"/>
          <w:insideH w:val="nil"/>
          <w:insideV w:val="nil"/>
        </w:tcBorders>
        <w:shd w:val="clear" w:color="auto" w:fill="00B8A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4C3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4C3E" w:themeFill="accent5"/>
      </w:tcPr>
    </w:tblStylePr>
    <w:tblStylePr w:type="lastCol">
      <w:rPr>
        <w:b/>
        <w:bCs/>
        <w:color w:val="FFFFFF" w:themeColor="background1"/>
      </w:rPr>
      <w:tblPr/>
      <w:tcPr>
        <w:tcBorders>
          <w:left w:val="nil"/>
          <w:right w:val="nil"/>
          <w:insideH w:val="nil"/>
          <w:insideV w:val="nil"/>
        </w:tcBorders>
        <w:shd w:val="clear" w:color="auto" w:fill="F04C3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372E2B"/>
    <w:pPr>
      <w:spacing w:before="17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AA21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AA21B" w:themeFill="accent6"/>
      </w:tcPr>
    </w:tblStylePr>
    <w:tblStylePr w:type="lastCol">
      <w:rPr>
        <w:b/>
        <w:bCs/>
        <w:color w:val="FFFFFF" w:themeColor="background1"/>
      </w:rPr>
      <w:tblPr/>
      <w:tcPr>
        <w:tcBorders>
          <w:left w:val="nil"/>
          <w:right w:val="nil"/>
          <w:insideH w:val="nil"/>
          <w:insideV w:val="nil"/>
        </w:tcBorders>
        <w:shd w:val="clear" w:color="auto" w:fill="FAA21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7"/>
    <w:semiHidden/>
    <w:unhideWhenUsed/>
    <w:locked/>
    <w:rsid w:val="00372E2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7"/>
    <w:semiHidden/>
    <w:rsid w:val="00B60D19"/>
    <w:rPr>
      <w:rFonts w:asciiTheme="majorHAnsi" w:eastAsiaTheme="majorEastAsia" w:hAnsiTheme="majorHAnsi" w:cstheme="majorBidi"/>
      <w:shd w:val="pct20" w:color="auto" w:fill="auto"/>
    </w:rPr>
  </w:style>
  <w:style w:type="paragraph" w:styleId="NoSpacing">
    <w:name w:val="No Spacing"/>
    <w:semiHidden/>
    <w:locked/>
    <w:rsid w:val="00372E2B"/>
    <w:pPr>
      <w:spacing w:before="170" w:after="0"/>
    </w:pPr>
  </w:style>
  <w:style w:type="paragraph" w:styleId="NormalWeb">
    <w:name w:val="Normal (Web)"/>
    <w:basedOn w:val="Normal"/>
    <w:uiPriority w:val="99"/>
    <w:semiHidden/>
    <w:unhideWhenUsed/>
    <w:locked/>
    <w:rsid w:val="00372E2B"/>
    <w:rPr>
      <w:rFonts w:ascii="Times New Roman" w:hAnsi="Times New Roman" w:cs="Times New Roman"/>
    </w:rPr>
  </w:style>
  <w:style w:type="paragraph" w:styleId="NormalIndent">
    <w:name w:val="Normal Indent"/>
    <w:basedOn w:val="Normal"/>
    <w:uiPriority w:val="7"/>
    <w:semiHidden/>
    <w:unhideWhenUsed/>
    <w:locked/>
    <w:rsid w:val="00372E2B"/>
    <w:pPr>
      <w:ind w:left="720"/>
    </w:pPr>
  </w:style>
  <w:style w:type="paragraph" w:styleId="NoteHeading">
    <w:name w:val="Note Heading"/>
    <w:basedOn w:val="Normal"/>
    <w:next w:val="Normal"/>
    <w:link w:val="NoteHeadingChar"/>
    <w:uiPriority w:val="7"/>
    <w:semiHidden/>
    <w:unhideWhenUsed/>
    <w:locked/>
    <w:rsid w:val="00372E2B"/>
  </w:style>
  <w:style w:type="character" w:customStyle="1" w:styleId="NoteHeadingChar">
    <w:name w:val="Note Heading Char"/>
    <w:basedOn w:val="DefaultParagraphFont"/>
    <w:link w:val="NoteHeading"/>
    <w:uiPriority w:val="7"/>
    <w:semiHidden/>
    <w:rsid w:val="00B60D19"/>
  </w:style>
  <w:style w:type="character" w:styleId="PageNumber">
    <w:name w:val="page number"/>
    <w:basedOn w:val="DefaultParagraphFont"/>
    <w:unhideWhenUsed/>
    <w:locked/>
    <w:rsid w:val="00372E2B"/>
    <w:rPr>
      <w:noProof w:val="0"/>
      <w:lang w:val="en-AU"/>
    </w:rPr>
  </w:style>
  <w:style w:type="paragraph" w:styleId="PlainText">
    <w:name w:val="Plain Text"/>
    <w:basedOn w:val="Normal"/>
    <w:link w:val="PlainTextChar"/>
    <w:unhideWhenUsed/>
    <w:locked/>
    <w:rsid w:val="00372E2B"/>
    <w:rPr>
      <w:rFonts w:ascii="Consolas" w:hAnsi="Consolas"/>
      <w:sz w:val="21"/>
      <w:szCs w:val="21"/>
    </w:rPr>
  </w:style>
  <w:style w:type="character" w:customStyle="1" w:styleId="PlainTextChar">
    <w:name w:val="Plain Text Char"/>
    <w:basedOn w:val="DefaultParagraphFont"/>
    <w:link w:val="PlainText"/>
    <w:rsid w:val="00B60D19"/>
    <w:rPr>
      <w:rFonts w:ascii="Consolas" w:hAnsi="Consolas"/>
      <w:sz w:val="21"/>
      <w:szCs w:val="21"/>
    </w:rPr>
  </w:style>
  <w:style w:type="paragraph" w:styleId="Quote">
    <w:name w:val="Quote"/>
    <w:basedOn w:val="Normal"/>
    <w:next w:val="Normal"/>
    <w:link w:val="QuoteChar"/>
    <w:uiPriority w:val="18"/>
    <w:semiHidden/>
    <w:qFormat/>
    <w:rsid w:val="00272F8B"/>
    <w:pPr>
      <w:ind w:left="284" w:right="284"/>
    </w:pPr>
    <w:rPr>
      <w:iCs/>
      <w:sz w:val="20"/>
    </w:rPr>
  </w:style>
  <w:style w:type="character" w:customStyle="1" w:styleId="QuoteChar">
    <w:name w:val="Quote Char"/>
    <w:basedOn w:val="DefaultParagraphFont"/>
    <w:link w:val="Quote"/>
    <w:uiPriority w:val="18"/>
    <w:semiHidden/>
    <w:rsid w:val="00B30B0E"/>
    <w:rPr>
      <w:iCs/>
      <w:sz w:val="20"/>
    </w:rPr>
  </w:style>
  <w:style w:type="paragraph" w:styleId="Salutation">
    <w:name w:val="Salutation"/>
    <w:basedOn w:val="Normal"/>
    <w:next w:val="Normal"/>
    <w:link w:val="SalutationChar"/>
    <w:uiPriority w:val="7"/>
    <w:semiHidden/>
    <w:unhideWhenUsed/>
    <w:locked/>
    <w:rsid w:val="00372E2B"/>
  </w:style>
  <w:style w:type="character" w:customStyle="1" w:styleId="SalutationChar">
    <w:name w:val="Salutation Char"/>
    <w:basedOn w:val="DefaultParagraphFont"/>
    <w:link w:val="Salutation"/>
    <w:uiPriority w:val="7"/>
    <w:semiHidden/>
    <w:rsid w:val="00B60D19"/>
  </w:style>
  <w:style w:type="paragraph" w:styleId="Signature">
    <w:name w:val="Signature"/>
    <w:basedOn w:val="Normal"/>
    <w:link w:val="SignatureChar"/>
    <w:uiPriority w:val="7"/>
    <w:semiHidden/>
    <w:unhideWhenUsed/>
    <w:locked/>
    <w:rsid w:val="00372E2B"/>
    <w:pPr>
      <w:ind w:left="4252"/>
    </w:pPr>
  </w:style>
  <w:style w:type="character" w:customStyle="1" w:styleId="SignatureChar">
    <w:name w:val="Signature Char"/>
    <w:basedOn w:val="DefaultParagraphFont"/>
    <w:link w:val="Signature"/>
    <w:uiPriority w:val="7"/>
    <w:semiHidden/>
    <w:rsid w:val="00B60D19"/>
  </w:style>
  <w:style w:type="character" w:styleId="Strong">
    <w:name w:val="Strong"/>
    <w:basedOn w:val="DefaultParagraphFont"/>
    <w:uiPriority w:val="24"/>
    <w:semiHidden/>
    <w:qFormat/>
    <w:locked/>
    <w:rsid w:val="00372E2B"/>
    <w:rPr>
      <w:b/>
      <w:bCs/>
      <w:noProof w:val="0"/>
      <w:lang w:val="en-AU"/>
    </w:rPr>
  </w:style>
  <w:style w:type="paragraph" w:styleId="Subtitle">
    <w:name w:val="Subtitle"/>
    <w:next w:val="Normal"/>
    <w:link w:val="SubtitleChar"/>
    <w:uiPriority w:val="8"/>
    <w:qFormat/>
    <w:rsid w:val="002E2A5B"/>
    <w:pPr>
      <w:numPr>
        <w:ilvl w:val="1"/>
      </w:numPr>
      <w:spacing w:after="60"/>
      <w:ind w:right="3969"/>
      <w:contextualSpacing/>
    </w:pPr>
    <w:rPr>
      <w:rFonts w:asciiTheme="majorHAnsi" w:eastAsiaTheme="majorEastAsia" w:hAnsiTheme="majorHAnsi" w:cstheme="majorBidi"/>
      <w:iCs/>
      <w:sz w:val="36"/>
    </w:rPr>
  </w:style>
  <w:style w:type="character" w:customStyle="1" w:styleId="SubtitleChar">
    <w:name w:val="Subtitle Char"/>
    <w:basedOn w:val="DefaultParagraphFont"/>
    <w:link w:val="Subtitle"/>
    <w:uiPriority w:val="8"/>
    <w:rsid w:val="00FF1221"/>
    <w:rPr>
      <w:rFonts w:asciiTheme="majorHAnsi" w:eastAsiaTheme="majorEastAsia" w:hAnsiTheme="majorHAnsi" w:cstheme="majorBidi"/>
      <w:iCs/>
      <w:sz w:val="36"/>
    </w:rPr>
  </w:style>
  <w:style w:type="character" w:styleId="SubtleEmphasis">
    <w:name w:val="Subtle Emphasis"/>
    <w:basedOn w:val="DefaultParagraphFont"/>
    <w:uiPriority w:val="19"/>
    <w:semiHidden/>
    <w:qFormat/>
    <w:locked/>
    <w:rsid w:val="00372E2B"/>
    <w:rPr>
      <w:i/>
      <w:iCs/>
      <w:noProof w:val="0"/>
      <w:color w:val="97898C" w:themeColor="text1" w:themeTint="7F"/>
      <w:lang w:val="en-AU"/>
    </w:rPr>
  </w:style>
  <w:style w:type="character" w:styleId="SubtleReference">
    <w:name w:val="Subtle Reference"/>
    <w:basedOn w:val="DefaultParagraphFont"/>
    <w:uiPriority w:val="31"/>
    <w:semiHidden/>
    <w:qFormat/>
    <w:locked/>
    <w:rsid w:val="00372E2B"/>
    <w:rPr>
      <w:smallCaps/>
      <w:noProof w:val="0"/>
      <w:color w:val="ACB137" w:themeColor="accent2"/>
      <w:u w:val="single"/>
      <w:lang w:val="en-AU"/>
    </w:rPr>
  </w:style>
  <w:style w:type="table" w:styleId="Table3Deffects1">
    <w:name w:val="Table 3D effects 1"/>
    <w:basedOn w:val="TableNormal"/>
    <w:semiHidden/>
    <w:unhideWhenUsed/>
    <w:locked/>
    <w:rsid w:val="00372E2B"/>
    <w:pPr>
      <w:spacing w:before="170" w:after="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locked/>
    <w:rsid w:val="00372E2B"/>
    <w:pPr>
      <w:spacing w:before="170" w:after="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locked/>
    <w:rsid w:val="00372E2B"/>
    <w:pPr>
      <w:spacing w:before="170" w:after="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locked/>
    <w:rsid w:val="00372E2B"/>
    <w:pPr>
      <w:spacing w:before="170" w:after="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locked/>
    <w:rsid w:val="00372E2B"/>
    <w:pPr>
      <w:spacing w:before="170" w:after="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locked/>
    <w:rsid w:val="00372E2B"/>
    <w:pPr>
      <w:spacing w:before="170" w:after="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locked/>
    <w:rsid w:val="00372E2B"/>
    <w:pPr>
      <w:spacing w:before="170" w:after="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locked/>
    <w:rsid w:val="00372E2B"/>
    <w:pPr>
      <w:spacing w:before="170" w:after="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locked/>
    <w:rsid w:val="00372E2B"/>
    <w:pPr>
      <w:spacing w:before="170" w:after="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locked/>
    <w:rsid w:val="00372E2B"/>
    <w:pPr>
      <w:spacing w:before="170" w:after="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locked/>
    <w:rsid w:val="00372E2B"/>
    <w:pPr>
      <w:spacing w:before="170" w:after="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locked/>
    <w:rsid w:val="00372E2B"/>
    <w:pPr>
      <w:spacing w:before="170" w:after="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locked/>
    <w:rsid w:val="00372E2B"/>
    <w:pPr>
      <w:spacing w:before="170" w:after="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locked/>
    <w:rsid w:val="00372E2B"/>
    <w:pPr>
      <w:spacing w:before="170" w:after="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locked/>
    <w:rsid w:val="00372E2B"/>
    <w:pPr>
      <w:spacing w:before="170" w:after="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locked/>
    <w:rsid w:val="00372E2B"/>
    <w:pPr>
      <w:spacing w:before="170" w:after="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locked/>
    <w:rsid w:val="00372E2B"/>
    <w:pPr>
      <w:spacing w:before="170" w:after="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locked/>
    <w:rsid w:val="00372E2B"/>
    <w:pPr>
      <w:spacing w:before="170" w:after="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locked/>
    <w:rsid w:val="00372E2B"/>
    <w:pPr>
      <w:spacing w:before="170" w:after="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locked/>
    <w:rsid w:val="00372E2B"/>
    <w:pPr>
      <w:spacing w:before="170" w:after="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locked/>
    <w:rsid w:val="00372E2B"/>
    <w:pPr>
      <w:spacing w:before="170" w:after="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locked/>
    <w:rsid w:val="00372E2B"/>
    <w:pPr>
      <w:spacing w:before="170" w:after="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locked/>
    <w:rsid w:val="00372E2B"/>
    <w:pPr>
      <w:spacing w:before="170" w:after="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locked/>
    <w:rsid w:val="00372E2B"/>
    <w:pPr>
      <w:spacing w:before="170" w:after="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locked/>
    <w:rsid w:val="00372E2B"/>
    <w:pPr>
      <w:spacing w:before="170" w:after="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locked/>
    <w:rsid w:val="00372E2B"/>
    <w:pPr>
      <w:spacing w:before="170" w:after="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locked/>
    <w:rsid w:val="00372E2B"/>
    <w:pPr>
      <w:spacing w:before="170" w:after="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locked/>
    <w:rsid w:val="00372E2B"/>
    <w:pPr>
      <w:spacing w:before="170" w:after="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locked/>
    <w:rsid w:val="00372E2B"/>
    <w:pPr>
      <w:spacing w:before="170" w:after="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locked/>
    <w:rsid w:val="00372E2B"/>
    <w:pPr>
      <w:spacing w:before="170" w:after="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locked/>
    <w:rsid w:val="00372E2B"/>
    <w:pPr>
      <w:spacing w:before="170" w:after="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locked/>
    <w:rsid w:val="00372E2B"/>
    <w:pPr>
      <w:spacing w:before="170" w:after="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locked/>
    <w:rsid w:val="00372E2B"/>
    <w:pPr>
      <w:spacing w:before="170" w:after="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72E2B"/>
    <w:pPr>
      <w:ind w:left="190" w:hanging="190"/>
    </w:pPr>
  </w:style>
  <w:style w:type="table" w:styleId="TableProfessional">
    <w:name w:val="Table Professional"/>
    <w:basedOn w:val="TableNormal"/>
    <w:semiHidden/>
    <w:unhideWhenUsed/>
    <w:locked/>
    <w:rsid w:val="00372E2B"/>
    <w:pPr>
      <w:spacing w:before="170" w:after="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locked/>
    <w:rsid w:val="00372E2B"/>
    <w:pPr>
      <w:spacing w:before="170" w:after="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locked/>
    <w:rsid w:val="00372E2B"/>
    <w:pPr>
      <w:spacing w:before="170" w:after="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locked/>
    <w:rsid w:val="00372E2B"/>
    <w:pPr>
      <w:spacing w:before="170" w:after="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locked/>
    <w:rsid w:val="00372E2B"/>
    <w:pPr>
      <w:spacing w:before="170" w:after="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locked/>
    <w:rsid w:val="00372E2B"/>
    <w:pPr>
      <w:spacing w:before="170" w:after="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locked/>
    <w:rsid w:val="00372E2B"/>
    <w:pPr>
      <w:spacing w:before="17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locked/>
    <w:rsid w:val="00372E2B"/>
    <w:pPr>
      <w:spacing w:before="170" w:after="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locked/>
    <w:rsid w:val="00372E2B"/>
    <w:pPr>
      <w:spacing w:before="170" w:after="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locked/>
    <w:rsid w:val="00372E2B"/>
    <w:pPr>
      <w:spacing w:before="170" w:after="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39"/>
    <w:semiHidden/>
    <w:rsid w:val="00264AED"/>
    <w:pPr>
      <w:spacing w:before="960" w:after="240" w:line="480" w:lineRule="atLeast"/>
    </w:pPr>
    <w:rPr>
      <w:rFonts w:asciiTheme="majorHAnsi" w:eastAsiaTheme="majorEastAsia" w:hAnsiTheme="majorHAnsi" w:cstheme="majorBidi"/>
      <w:b/>
      <w:bCs/>
      <w:sz w:val="40"/>
      <w:szCs w:val="26"/>
    </w:rPr>
  </w:style>
  <w:style w:type="paragraph" w:styleId="TOC2">
    <w:name w:val="toc 2"/>
    <w:basedOn w:val="Normal"/>
    <w:next w:val="Normal"/>
    <w:autoRedefine/>
    <w:uiPriority w:val="39"/>
    <w:rsid w:val="00F954F8"/>
    <w:pPr>
      <w:tabs>
        <w:tab w:val="left" w:pos="1134"/>
        <w:tab w:val="right" w:pos="9027"/>
      </w:tabs>
      <w:spacing w:before="60" w:after="60"/>
      <w:ind w:left="567"/>
    </w:pPr>
    <w:rPr>
      <w:rFonts w:asciiTheme="majorHAnsi" w:eastAsiaTheme="majorEastAsia" w:hAnsiTheme="majorHAnsi" w:cstheme="majorBidi"/>
      <w:bCs/>
      <w:noProof/>
      <w:sz w:val="24"/>
    </w:rPr>
  </w:style>
  <w:style w:type="paragraph" w:styleId="TOC3">
    <w:name w:val="toc 3"/>
    <w:basedOn w:val="Normal"/>
    <w:next w:val="Normal"/>
    <w:autoRedefine/>
    <w:uiPriority w:val="39"/>
    <w:rsid w:val="00E07362"/>
    <w:pPr>
      <w:tabs>
        <w:tab w:val="right" w:leader="dot" w:pos="10467"/>
      </w:tabs>
      <w:spacing w:before="60" w:after="60"/>
      <w:ind w:left="1814" w:hanging="680"/>
    </w:pPr>
  </w:style>
  <w:style w:type="paragraph" w:styleId="TOC4">
    <w:name w:val="toc 4"/>
    <w:basedOn w:val="TOC1"/>
    <w:next w:val="Normal"/>
    <w:autoRedefine/>
    <w:uiPriority w:val="39"/>
    <w:rsid w:val="004F5844"/>
    <w:pPr>
      <w:ind w:left="0" w:firstLine="0"/>
    </w:pPr>
  </w:style>
  <w:style w:type="paragraph" w:styleId="TOC5">
    <w:name w:val="toc 5"/>
    <w:basedOn w:val="TOC2"/>
    <w:next w:val="Normal"/>
    <w:autoRedefine/>
    <w:uiPriority w:val="39"/>
    <w:locked/>
    <w:rsid w:val="00F8283D"/>
  </w:style>
  <w:style w:type="paragraph" w:styleId="TOC6">
    <w:name w:val="toc 6"/>
    <w:basedOn w:val="TableofFigures"/>
    <w:next w:val="Normal"/>
    <w:autoRedefine/>
    <w:uiPriority w:val="39"/>
    <w:locked/>
    <w:rsid w:val="00300242"/>
    <w:pPr>
      <w:numPr>
        <w:numId w:val="13"/>
      </w:numPr>
      <w:tabs>
        <w:tab w:val="right" w:pos="9027"/>
      </w:tabs>
      <w:ind w:left="1077" w:hanging="1077"/>
    </w:pPr>
    <w:rPr>
      <w:noProof/>
    </w:rPr>
  </w:style>
  <w:style w:type="paragraph" w:styleId="TOC7">
    <w:name w:val="toc 7"/>
    <w:basedOn w:val="Normal"/>
    <w:next w:val="Normal"/>
    <w:autoRedefine/>
    <w:uiPriority w:val="39"/>
    <w:locked/>
    <w:rsid w:val="00372E2B"/>
    <w:pPr>
      <w:spacing w:after="100"/>
      <w:ind w:left="1140"/>
    </w:pPr>
  </w:style>
  <w:style w:type="paragraph" w:styleId="TOC8">
    <w:name w:val="toc 8"/>
    <w:basedOn w:val="Normal"/>
    <w:next w:val="Normal"/>
    <w:autoRedefine/>
    <w:uiPriority w:val="39"/>
    <w:locked/>
    <w:rsid w:val="00372E2B"/>
    <w:pPr>
      <w:spacing w:after="100"/>
      <w:ind w:left="1330"/>
    </w:pPr>
  </w:style>
  <w:style w:type="paragraph" w:styleId="TOC9">
    <w:name w:val="toc 9"/>
    <w:basedOn w:val="Normal"/>
    <w:next w:val="Normal"/>
    <w:autoRedefine/>
    <w:uiPriority w:val="39"/>
    <w:locked/>
    <w:rsid w:val="00372E2B"/>
    <w:pPr>
      <w:spacing w:after="100"/>
      <w:ind w:left="1520"/>
    </w:pPr>
  </w:style>
  <w:style w:type="paragraph" w:customStyle="1" w:styleId="Notes">
    <w:name w:val="Notes"/>
    <w:basedOn w:val="Normal"/>
    <w:uiPriority w:val="7"/>
    <w:semiHidden/>
    <w:qFormat/>
    <w:locked/>
    <w:rsid w:val="00503A51"/>
    <w:pPr>
      <w:spacing w:after="240"/>
      <w:jc w:val="both"/>
    </w:pPr>
    <w:rPr>
      <w:sz w:val="20"/>
    </w:rPr>
  </w:style>
  <w:style w:type="table" w:customStyle="1" w:styleId="BandedTable">
    <w:name w:val="Banded Table"/>
    <w:basedOn w:val="TableGrid"/>
    <w:uiPriority w:val="99"/>
    <w:rsid w:val="00C4117F"/>
    <w:tblPr/>
    <w:tcPr>
      <w:shd w:val="clear" w:color="auto" w:fill="auto"/>
    </w:tcPr>
    <w:tblStylePr w:type="firstRow">
      <w:pPr>
        <w:wordWrap/>
        <w:spacing w:beforeLines="0" w:before="60" w:beforeAutospacing="0" w:afterLines="0" w:after="60" w:afterAutospacing="0" w:line="240" w:lineRule="auto"/>
        <w:jc w:val="left"/>
      </w:pPr>
      <w:rPr>
        <w:b/>
        <w:color w:val="FFFFFF" w:themeColor="background1"/>
        <w:sz w:val="20"/>
      </w:rPr>
      <w:tblPr/>
      <w:trPr>
        <w:cantSplit/>
        <w:tblHeader/>
      </w:trPr>
      <w:tcPr>
        <w:tcBorders>
          <w:top w:val="nil"/>
          <w:bottom w:val="nil"/>
        </w:tcBorders>
        <w:shd w:val="clear" w:color="auto" w:fill="4C6D41"/>
      </w:tcPr>
    </w:tblStylePr>
    <w:tblStylePr w:type="lastRow">
      <w:rPr>
        <w:b w:val="0"/>
      </w:rPr>
      <w:tblPr/>
      <w:tcPr>
        <w:shd w:val="clear" w:color="auto" w:fill="D9D9D9" w:themeFill="background1" w:themeFillShade="D9"/>
      </w:tcPr>
    </w:tblStylePr>
    <w:tblStylePr w:type="firstCol">
      <w:rPr>
        <w:b w:val="0"/>
      </w:rPr>
    </w:tblStylePr>
    <w:tblStylePr w:type="lastCol">
      <w:pPr>
        <w:jc w:val="right"/>
      </w:pPr>
    </w:tblStylePr>
    <w:tblStylePr w:type="band2Horz">
      <w:tblPr/>
      <w:tcPr>
        <w:shd w:val="clear" w:color="auto" w:fill="D9D9D9" w:themeFill="background1" w:themeFillShade="D9"/>
      </w:tcPr>
    </w:tblStylePr>
  </w:style>
  <w:style w:type="paragraph" w:styleId="TableofFigures">
    <w:name w:val="table of figures"/>
    <w:basedOn w:val="Normal"/>
    <w:next w:val="Normal"/>
    <w:uiPriority w:val="99"/>
    <w:rsid w:val="003B6EB6"/>
    <w:pPr>
      <w:spacing w:before="100" w:after="100"/>
      <w:ind w:left="1077" w:hanging="1077"/>
    </w:pPr>
    <w:rPr>
      <w:sz w:val="24"/>
    </w:rPr>
  </w:style>
  <w:style w:type="paragraph" w:customStyle="1" w:styleId="WebCallout">
    <w:name w:val="Web Callout"/>
    <w:uiPriority w:val="99"/>
    <w:semiHidden/>
    <w:rsid w:val="001475C7"/>
    <w:pPr>
      <w:framePr w:wrap="around" w:vAnchor="page" w:hAnchor="text" w:y="15423"/>
      <w:spacing w:after="0"/>
    </w:pPr>
    <w:rPr>
      <w:b/>
      <w:sz w:val="20"/>
    </w:rPr>
  </w:style>
  <w:style w:type="numbering" w:customStyle="1" w:styleId="NotesList">
    <w:name w:val="Notes List"/>
    <w:uiPriority w:val="99"/>
    <w:locked/>
    <w:rsid w:val="00372E2B"/>
  </w:style>
  <w:style w:type="numbering" w:customStyle="1" w:styleId="GeneralList1">
    <w:name w:val="General List1"/>
    <w:uiPriority w:val="99"/>
    <w:locked/>
    <w:rsid w:val="00372E2B"/>
    <w:pPr>
      <w:numPr>
        <w:numId w:val="1"/>
      </w:numPr>
    </w:pPr>
  </w:style>
  <w:style w:type="paragraph" w:customStyle="1" w:styleId="Introduction">
    <w:name w:val="Introduction"/>
    <w:basedOn w:val="Normal"/>
    <w:next w:val="Normal"/>
    <w:uiPriority w:val="8"/>
    <w:qFormat/>
    <w:rsid w:val="00C73C5F"/>
    <w:pPr>
      <w:spacing w:after="240"/>
    </w:pPr>
    <w:rPr>
      <w:sz w:val="32"/>
    </w:rPr>
  </w:style>
  <w:style w:type="paragraph" w:customStyle="1" w:styleId="Note">
    <w:name w:val="Note"/>
    <w:basedOn w:val="Normal"/>
    <w:autoRedefine/>
    <w:uiPriority w:val="79"/>
    <w:qFormat/>
    <w:rsid w:val="00AE7809"/>
    <w:pPr>
      <w:spacing w:before="60" w:after="60"/>
      <w:ind w:right="284"/>
    </w:pPr>
    <w:rPr>
      <w:sz w:val="18"/>
    </w:rPr>
  </w:style>
  <w:style w:type="paragraph" w:customStyle="1" w:styleId="Heading1Numbered">
    <w:name w:val="Heading 1 Numbered"/>
    <w:basedOn w:val="Heading1"/>
    <w:next w:val="Normal"/>
    <w:uiPriority w:val="7"/>
    <w:qFormat/>
    <w:rsid w:val="004714B0"/>
    <w:pPr>
      <w:numPr>
        <w:numId w:val="14"/>
      </w:numPr>
    </w:pPr>
    <w:rPr>
      <w:bCs w:val="0"/>
    </w:rPr>
  </w:style>
  <w:style w:type="paragraph" w:customStyle="1" w:styleId="Heading2Numbered">
    <w:name w:val="Heading 2 Numbered"/>
    <w:basedOn w:val="Heading2"/>
    <w:next w:val="Normal"/>
    <w:uiPriority w:val="7"/>
    <w:qFormat/>
    <w:rsid w:val="00704EB5"/>
    <w:pPr>
      <w:numPr>
        <w:numId w:val="14"/>
      </w:numPr>
    </w:pPr>
    <w:rPr>
      <w:bCs w:val="0"/>
    </w:rPr>
  </w:style>
  <w:style w:type="paragraph" w:customStyle="1" w:styleId="Heading3Numbered">
    <w:name w:val="Heading 3 Numbered"/>
    <w:basedOn w:val="Heading3"/>
    <w:next w:val="Normal"/>
    <w:uiPriority w:val="7"/>
    <w:qFormat/>
    <w:rsid w:val="00704EB5"/>
    <w:pPr>
      <w:numPr>
        <w:numId w:val="14"/>
      </w:numPr>
    </w:pPr>
  </w:style>
  <w:style w:type="numbering" w:styleId="ArticleSection">
    <w:name w:val="Outline List 3"/>
    <w:basedOn w:val="NoList"/>
    <w:semiHidden/>
    <w:unhideWhenUsed/>
    <w:locked/>
    <w:rsid w:val="008059C0"/>
    <w:pPr>
      <w:numPr>
        <w:numId w:val="12"/>
      </w:numPr>
    </w:pPr>
  </w:style>
  <w:style w:type="paragraph" w:styleId="Revision">
    <w:name w:val="Revision"/>
    <w:hidden/>
    <w:uiPriority w:val="99"/>
    <w:semiHidden/>
    <w:rsid w:val="008059C0"/>
    <w:pPr>
      <w:spacing w:after="0"/>
    </w:pPr>
    <w:rPr>
      <w:rFonts w:asciiTheme="minorHAnsi" w:hAnsiTheme="minorHAnsi"/>
      <w:color w:val="auto"/>
    </w:rPr>
  </w:style>
  <w:style w:type="table" w:styleId="TableGridLight">
    <w:name w:val="Grid Table Light"/>
    <w:basedOn w:val="TableNormal"/>
    <w:uiPriority w:val="40"/>
    <w:locked/>
    <w:rsid w:val="00845CE0"/>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Hanging">
    <w:name w:val="Normal Hanging"/>
    <w:basedOn w:val="Normal"/>
    <w:uiPriority w:val="7"/>
    <w:semiHidden/>
    <w:rsid w:val="005E77F2"/>
    <w:pPr>
      <w:ind w:left="720" w:hanging="720"/>
    </w:pPr>
    <w:rPr>
      <w:rFonts w:eastAsia="Times New Roman" w:cs="Times New Roman"/>
      <w:color w:val="auto"/>
      <w:lang w:eastAsia="en-AU"/>
    </w:rPr>
  </w:style>
  <w:style w:type="paragraph" w:customStyle="1" w:styleId="Tablecolumnheading">
    <w:name w:val="Table column heading"/>
    <w:basedOn w:val="Normal"/>
    <w:link w:val="TablecolumnheadingChar"/>
    <w:uiPriority w:val="7"/>
    <w:semiHidden/>
    <w:rsid w:val="005E77F2"/>
    <w:pPr>
      <w:spacing w:line="240" w:lineRule="exact"/>
    </w:pPr>
    <w:rPr>
      <w:rFonts w:eastAsia="Times New Roman" w:cs="Times New Roman"/>
      <w:b/>
      <w:color w:val="auto"/>
      <w:sz w:val="16"/>
      <w:lang w:eastAsia="en-AU"/>
    </w:rPr>
  </w:style>
  <w:style w:type="paragraph" w:customStyle="1" w:styleId="Tablebody">
    <w:name w:val="Table body"/>
    <w:basedOn w:val="Normal"/>
    <w:uiPriority w:val="7"/>
    <w:semiHidden/>
    <w:rsid w:val="005E77F2"/>
    <w:pPr>
      <w:tabs>
        <w:tab w:val="left" w:pos="3828"/>
      </w:tabs>
      <w:spacing w:line="320" w:lineRule="exact"/>
    </w:pPr>
    <w:rPr>
      <w:rFonts w:eastAsia="Times New Roman" w:cs="Times New Roman"/>
      <w:color w:val="auto"/>
      <w:sz w:val="16"/>
      <w:lang w:eastAsia="en-AU"/>
    </w:rPr>
  </w:style>
  <w:style w:type="paragraph" w:customStyle="1" w:styleId="Table">
    <w:name w:val="Table"/>
    <w:basedOn w:val="Normal"/>
    <w:uiPriority w:val="7"/>
    <w:semiHidden/>
    <w:rsid w:val="005E77F2"/>
    <w:pPr>
      <w:keepNext/>
      <w:keepLines/>
    </w:pPr>
    <w:rPr>
      <w:rFonts w:eastAsia="Times New Roman" w:cs="Times New Roman"/>
      <w:b/>
      <w:color w:val="auto"/>
      <w:sz w:val="16"/>
    </w:rPr>
  </w:style>
  <w:style w:type="paragraph" w:customStyle="1" w:styleId="Table10">
    <w:name w:val="Table10"/>
    <w:basedOn w:val="Normal"/>
    <w:uiPriority w:val="7"/>
    <w:semiHidden/>
    <w:rsid w:val="005E77F2"/>
    <w:pPr>
      <w:keepNext/>
      <w:keepLines/>
      <w:spacing w:before="60"/>
      <w:jc w:val="center"/>
    </w:pPr>
    <w:rPr>
      <w:rFonts w:ascii="Times New Roman" w:eastAsia="Times New Roman" w:hAnsi="Times New Roman" w:cs="Times New Roman"/>
      <w:snapToGrid w:val="0"/>
      <w:color w:val="auto"/>
      <w:sz w:val="20"/>
    </w:rPr>
  </w:style>
  <w:style w:type="paragraph" w:customStyle="1" w:styleId="StyleTableofFiguresBefore0ptAfter0pt1">
    <w:name w:val="Style Table of Figures + Before:  0 pt After:  0 pt1"/>
    <w:basedOn w:val="TableofFigures"/>
    <w:uiPriority w:val="7"/>
    <w:semiHidden/>
    <w:rsid w:val="005E77F2"/>
    <w:pPr>
      <w:tabs>
        <w:tab w:val="right" w:leader="dot" w:pos="9072"/>
      </w:tabs>
      <w:spacing w:before="120" w:after="0"/>
      <w:ind w:left="1559" w:right="284" w:hanging="1559"/>
    </w:pPr>
    <w:rPr>
      <w:rFonts w:eastAsia="Times New Roman" w:cs="Times New Roman"/>
      <w:b/>
      <w:bCs/>
      <w:noProof/>
      <w:color w:val="auto"/>
      <w:sz w:val="22"/>
      <w:szCs w:val="20"/>
      <w:lang w:eastAsia="en-AU"/>
    </w:rPr>
  </w:style>
  <w:style w:type="character" w:customStyle="1" w:styleId="TablecolumnheadingChar">
    <w:name w:val="Table column heading Char"/>
    <w:basedOn w:val="DefaultParagraphFont"/>
    <w:link w:val="Tablecolumnheading"/>
    <w:uiPriority w:val="7"/>
    <w:semiHidden/>
    <w:rsid w:val="00B60D19"/>
    <w:rPr>
      <w:rFonts w:eastAsia="Times New Roman" w:cs="Times New Roman"/>
      <w:b/>
      <w:color w:val="auto"/>
      <w:sz w:val="16"/>
      <w:lang w:eastAsia="en-AU"/>
    </w:rPr>
  </w:style>
  <w:style w:type="paragraph" w:customStyle="1" w:styleId="TableTitle">
    <w:name w:val="Table Title"/>
    <w:basedOn w:val="Tablecolumnheading"/>
    <w:link w:val="TableTitleChar"/>
    <w:uiPriority w:val="18"/>
    <w:semiHidden/>
    <w:rsid w:val="005E77F2"/>
    <w:rPr>
      <w:szCs w:val="20"/>
    </w:rPr>
  </w:style>
  <w:style w:type="character" w:customStyle="1" w:styleId="TableTitleChar">
    <w:name w:val="Table Title Char"/>
    <w:basedOn w:val="TablecolumnheadingChar"/>
    <w:link w:val="TableTitle"/>
    <w:uiPriority w:val="18"/>
    <w:semiHidden/>
    <w:rsid w:val="00B60D19"/>
    <w:rPr>
      <w:rFonts w:eastAsia="Times New Roman" w:cs="Times New Roman"/>
      <w:b/>
      <w:color w:val="auto"/>
      <w:sz w:val="16"/>
      <w:szCs w:val="20"/>
      <w:lang w:eastAsia="en-AU"/>
    </w:rPr>
  </w:style>
  <w:style w:type="paragraph" w:customStyle="1" w:styleId="KeithClassHeader">
    <w:name w:val="Keith Class Header"/>
    <w:basedOn w:val="Normal"/>
    <w:uiPriority w:val="7"/>
    <w:semiHidden/>
    <w:rsid w:val="005E77F2"/>
    <w:pPr>
      <w:keepNext/>
      <w:widowControl w:val="0"/>
      <w:pBdr>
        <w:bottom w:val="single" w:sz="12" w:space="1" w:color="6F9747"/>
      </w:pBdr>
      <w:jc w:val="right"/>
      <w:outlineLvl w:val="1"/>
    </w:pPr>
    <w:rPr>
      <w:rFonts w:eastAsia="Times New Roman" w:cs="Arial"/>
      <w:b/>
      <w:bCs/>
      <w:smallCaps/>
      <w:snapToGrid w:val="0"/>
      <w:color w:val="6F9747"/>
      <w:sz w:val="52"/>
      <w:szCs w:val="52"/>
      <w:lang w:eastAsia="en-AU"/>
    </w:rPr>
  </w:style>
  <w:style w:type="paragraph" w:customStyle="1" w:styleId="ProfileHeader2">
    <w:name w:val="Profile Header 2"/>
    <w:basedOn w:val="Normal"/>
    <w:next w:val="BodyText"/>
    <w:autoRedefine/>
    <w:uiPriority w:val="7"/>
    <w:semiHidden/>
    <w:rsid w:val="005E77F2"/>
    <w:pPr>
      <w:tabs>
        <w:tab w:val="left" w:pos="3240"/>
        <w:tab w:val="left" w:pos="6120"/>
      </w:tabs>
      <w:spacing w:after="0"/>
    </w:pPr>
    <w:rPr>
      <w:rFonts w:eastAsia="Times New Roman" w:cs="Arial"/>
      <w:noProof/>
      <w:color w:val="auto"/>
      <w:lang w:eastAsia="en-AU"/>
    </w:rPr>
  </w:style>
  <w:style w:type="paragraph" w:customStyle="1" w:styleId="NarrowProfileheadingLeft0cmFirstline0cmBotto">
    <w:name w:val="Narrow Profile heading + Left:  0 cm First line:  0 cm + Botto..."/>
    <w:basedOn w:val="Normal"/>
    <w:uiPriority w:val="7"/>
    <w:semiHidden/>
    <w:rsid w:val="005E77F2"/>
    <w:pPr>
      <w:keepNext/>
      <w:widowControl w:val="0"/>
      <w:pBdr>
        <w:bottom w:val="single" w:sz="12" w:space="1" w:color="C080FF"/>
      </w:pBdr>
      <w:outlineLvl w:val="1"/>
    </w:pPr>
    <w:rPr>
      <w:rFonts w:ascii="Arial Narrow" w:eastAsia="Times New Roman" w:hAnsi="Arial Narrow" w:cs="Times New Roman"/>
      <w:b/>
      <w:bCs/>
      <w:smallCaps/>
      <w:snapToGrid w:val="0"/>
      <w:color w:val="auto"/>
      <w:sz w:val="36"/>
      <w:szCs w:val="20"/>
      <w:lang w:eastAsia="en-AU"/>
    </w:rPr>
  </w:style>
  <w:style w:type="paragraph" w:customStyle="1" w:styleId="Appendix1heading">
    <w:name w:val="Appendix 1 heading"/>
    <w:basedOn w:val="Heading4"/>
    <w:uiPriority w:val="7"/>
    <w:semiHidden/>
    <w:rsid w:val="005E77F2"/>
    <w:pPr>
      <w:keepLines w:val="0"/>
      <w:spacing w:before="0" w:after="0" w:line="240" w:lineRule="auto"/>
    </w:pPr>
    <w:rPr>
      <w:rFonts w:ascii="Times New Roman" w:eastAsia="Times New Roman" w:hAnsi="Times New Roman" w:cs="Times New Roman"/>
      <w:b w:val="0"/>
      <w:i/>
      <w:color w:val="00546B" w:themeColor="accent3" w:themeShade="BF"/>
      <w:sz w:val="24"/>
      <w:szCs w:val="20"/>
      <w:lang w:eastAsia="en-AU"/>
    </w:rPr>
  </w:style>
  <w:style w:type="paragraph" w:customStyle="1" w:styleId="structurehead">
    <w:name w:val="structure_head"/>
    <w:basedOn w:val="Heading4"/>
    <w:uiPriority w:val="7"/>
    <w:semiHidden/>
    <w:rsid w:val="005E77F2"/>
    <w:pPr>
      <w:keepLines w:val="0"/>
      <w:spacing w:before="0" w:after="0" w:line="240" w:lineRule="auto"/>
    </w:pPr>
    <w:rPr>
      <w:rFonts w:ascii="Times New Roman" w:eastAsia="Times New Roman" w:hAnsi="Times New Roman" w:cs="Times New Roman"/>
      <w:b w:val="0"/>
      <w:i/>
      <w:color w:val="00546B" w:themeColor="accent3" w:themeShade="BF"/>
      <w:sz w:val="24"/>
      <w:szCs w:val="20"/>
      <w:lang w:eastAsia="en-AU"/>
    </w:rPr>
  </w:style>
  <w:style w:type="paragraph" w:customStyle="1" w:styleId="unitname">
    <w:name w:val="unit name"/>
    <w:basedOn w:val="Appendix1heading"/>
    <w:uiPriority w:val="7"/>
    <w:semiHidden/>
    <w:rsid w:val="005E77F2"/>
  </w:style>
  <w:style w:type="paragraph" w:customStyle="1" w:styleId="Recommendations">
    <w:name w:val="Recommendations"/>
    <w:basedOn w:val="Normal"/>
    <w:uiPriority w:val="7"/>
    <w:semiHidden/>
    <w:rsid w:val="005E77F2"/>
    <w:pPr>
      <w:numPr>
        <w:numId w:val="11"/>
      </w:numPr>
    </w:pPr>
    <w:rPr>
      <w:rFonts w:eastAsia="Times New Roman" w:cs="Arial"/>
      <w:color w:val="auto"/>
      <w:lang w:eastAsia="en-AU"/>
    </w:rPr>
  </w:style>
  <w:style w:type="paragraph" w:customStyle="1" w:styleId="Appendices">
    <w:name w:val="Appendices"/>
    <w:basedOn w:val="Heading1"/>
    <w:next w:val="Normal"/>
    <w:uiPriority w:val="8"/>
    <w:rsid w:val="005E77F2"/>
    <w:pPr>
      <w:keepLines w:val="0"/>
      <w:tabs>
        <w:tab w:val="left" w:pos="1620"/>
      </w:tabs>
      <w:spacing w:after="120" w:line="240" w:lineRule="auto"/>
    </w:pPr>
    <w:rPr>
      <w:rFonts w:ascii="Arial Bold" w:eastAsia="Times New Roman" w:hAnsi="Arial Bold" w:cs="Arial"/>
      <w:b w:val="0"/>
      <w:sz w:val="36"/>
      <w:lang w:eastAsia="en-AU"/>
    </w:rPr>
  </w:style>
  <w:style w:type="paragraph" w:customStyle="1" w:styleId="Tabletext">
    <w:name w:val="Table text"/>
    <w:basedOn w:val="BodyText"/>
    <w:uiPriority w:val="18"/>
    <w:rsid w:val="005E77F2"/>
    <w:pPr>
      <w:spacing w:before="60" w:after="60"/>
    </w:pPr>
    <w:rPr>
      <w:rFonts w:eastAsia="Times New Roman" w:cs="Times New Roman"/>
      <w:color w:val="auto"/>
      <w:sz w:val="20"/>
      <w:szCs w:val="20"/>
    </w:rPr>
  </w:style>
  <w:style w:type="paragraph" w:customStyle="1" w:styleId="Style1">
    <w:name w:val="Style1"/>
    <w:basedOn w:val="Normal"/>
    <w:uiPriority w:val="7"/>
    <w:semiHidden/>
    <w:rsid w:val="005E77F2"/>
    <w:pPr>
      <w:jc w:val="center"/>
    </w:pPr>
    <w:rPr>
      <w:rFonts w:ascii="Arial Narrow" w:eastAsia="Times New Roman" w:hAnsi="Arial Narrow" w:cs="Arial"/>
      <w:b/>
      <w:color w:val="auto"/>
      <w:sz w:val="28"/>
      <w:szCs w:val="28"/>
      <w:lang w:eastAsia="en-AU"/>
    </w:rPr>
  </w:style>
  <w:style w:type="paragraph" w:customStyle="1" w:styleId="ListNumbercontinued">
    <w:name w:val="List Number continued"/>
    <w:basedOn w:val="ListNumber"/>
    <w:uiPriority w:val="11"/>
    <w:semiHidden/>
    <w:rsid w:val="005E77F2"/>
    <w:pPr>
      <w:tabs>
        <w:tab w:val="left" w:pos="425"/>
      </w:tabs>
      <w:spacing w:before="100" w:beforeAutospacing="1"/>
      <w:ind w:left="425"/>
    </w:pPr>
    <w:rPr>
      <w:rFonts w:eastAsia="Times New Roman" w:cs="Times New Roman"/>
      <w:color w:val="auto"/>
      <w:lang w:eastAsia="en-AU"/>
    </w:rPr>
  </w:style>
  <w:style w:type="paragraph" w:customStyle="1" w:styleId="Tabletopheading">
    <w:name w:val="Table top heading"/>
    <w:basedOn w:val="Tabletext"/>
    <w:uiPriority w:val="18"/>
    <w:semiHidden/>
    <w:rsid w:val="005E3B1B"/>
    <w:pPr>
      <w:keepNext/>
    </w:pPr>
    <w:rPr>
      <w:rFonts w:ascii="Arial Bold" w:hAnsi="Arial Bold"/>
      <w:b/>
      <w:color w:val="F2F2F2" w:themeColor="background1" w:themeShade="F2"/>
    </w:rPr>
  </w:style>
  <w:style w:type="paragraph" w:customStyle="1" w:styleId="Tablecaption">
    <w:name w:val="Table caption"/>
    <w:basedOn w:val="BodyText"/>
    <w:link w:val="TablecaptionChar"/>
    <w:uiPriority w:val="20"/>
    <w:qFormat/>
    <w:rsid w:val="009426EC"/>
    <w:pPr>
      <w:keepNext/>
      <w:keepLines/>
      <w:tabs>
        <w:tab w:val="left" w:pos="1134"/>
      </w:tabs>
      <w:spacing w:before="360"/>
    </w:pPr>
    <w:rPr>
      <w:rFonts w:eastAsia="Times New Roman" w:cs="Arial"/>
      <w:b/>
      <w:color w:val="auto"/>
      <w:sz w:val="20"/>
      <w:szCs w:val="16"/>
      <w:lang w:eastAsia="en-AU"/>
    </w:rPr>
  </w:style>
  <w:style w:type="paragraph" w:customStyle="1" w:styleId="Tablefigure">
    <w:name w:val="Table figure"/>
    <w:basedOn w:val="Tabletext"/>
    <w:uiPriority w:val="18"/>
    <w:semiHidden/>
    <w:rsid w:val="005E77F2"/>
    <w:pPr>
      <w:jc w:val="right"/>
    </w:pPr>
  </w:style>
  <w:style w:type="paragraph" w:customStyle="1" w:styleId="References">
    <w:name w:val="References"/>
    <w:basedOn w:val="BodyText"/>
    <w:uiPriority w:val="24"/>
    <w:rsid w:val="005E77F2"/>
    <w:rPr>
      <w:rFonts w:eastAsia="Times New Roman" w:cs="Times New Roman"/>
      <w:color w:val="auto"/>
      <w:lang w:eastAsia="en-AU"/>
    </w:rPr>
  </w:style>
  <w:style w:type="paragraph" w:customStyle="1" w:styleId="Tablenumberlist">
    <w:name w:val="Table number list"/>
    <w:basedOn w:val="Tabletext"/>
    <w:uiPriority w:val="18"/>
    <w:semiHidden/>
    <w:rsid w:val="00627D81"/>
    <w:pPr>
      <w:numPr>
        <w:numId w:val="9"/>
      </w:numPr>
      <w:tabs>
        <w:tab w:val="left" w:pos="284"/>
      </w:tabs>
      <w:spacing w:before="20" w:after="20"/>
    </w:pPr>
    <w:rPr>
      <w:szCs w:val="18"/>
    </w:rPr>
  </w:style>
  <w:style w:type="paragraph" w:customStyle="1" w:styleId="Boxtext">
    <w:name w:val="Box text"/>
    <w:basedOn w:val="BodyText"/>
    <w:link w:val="BoxtextCharChar"/>
    <w:uiPriority w:val="24"/>
    <w:semiHidden/>
    <w:rsid w:val="005E77F2"/>
    <w:pPr>
      <w:pBdr>
        <w:top w:val="single" w:sz="4" w:space="3" w:color="auto"/>
        <w:left w:val="single" w:sz="4" w:space="3" w:color="auto"/>
        <w:bottom w:val="single" w:sz="4" w:space="3" w:color="auto"/>
        <w:right w:val="single" w:sz="4" w:space="3" w:color="auto"/>
      </w:pBdr>
      <w:shd w:val="clear" w:color="auto" w:fill="F3F3F3"/>
      <w:spacing w:after="60"/>
      <w:ind w:left="425" w:right="425"/>
    </w:pPr>
    <w:rPr>
      <w:rFonts w:eastAsia="Times New Roman" w:cs="Times New Roman"/>
      <w:color w:val="auto"/>
      <w:lang w:eastAsia="en-AU"/>
    </w:rPr>
  </w:style>
  <w:style w:type="character" w:customStyle="1" w:styleId="BoxtextCharChar">
    <w:name w:val="Box text Char Char"/>
    <w:basedOn w:val="BodyTextChar"/>
    <w:link w:val="Boxtext"/>
    <w:uiPriority w:val="24"/>
    <w:semiHidden/>
    <w:rsid w:val="00B30B0E"/>
    <w:rPr>
      <w:rFonts w:eastAsia="Times New Roman" w:cs="Times New Roman"/>
      <w:color w:val="auto"/>
      <w:shd w:val="clear" w:color="auto" w:fill="F3F3F3"/>
      <w:lang w:eastAsia="en-AU"/>
    </w:rPr>
  </w:style>
  <w:style w:type="character" w:customStyle="1" w:styleId="TablecaptionChar">
    <w:name w:val="Table caption Char"/>
    <w:basedOn w:val="DefaultParagraphFont"/>
    <w:link w:val="Tablecaption"/>
    <w:uiPriority w:val="20"/>
    <w:rsid w:val="003C24A8"/>
    <w:rPr>
      <w:rFonts w:eastAsia="Times New Roman" w:cs="Arial"/>
      <w:b/>
      <w:color w:val="auto"/>
      <w:sz w:val="20"/>
      <w:szCs w:val="16"/>
      <w:lang w:eastAsia="en-AU"/>
    </w:rPr>
  </w:style>
  <w:style w:type="paragraph" w:customStyle="1" w:styleId="Tabledotpointlist">
    <w:name w:val="Table dot point list"/>
    <w:basedOn w:val="Normal"/>
    <w:uiPriority w:val="18"/>
    <w:semiHidden/>
    <w:rsid w:val="0089257B"/>
    <w:pPr>
      <w:numPr>
        <w:numId w:val="10"/>
      </w:numPr>
      <w:tabs>
        <w:tab w:val="clear" w:pos="567"/>
        <w:tab w:val="left" w:pos="284"/>
      </w:tabs>
      <w:spacing w:before="20" w:after="20"/>
      <w:ind w:left="284" w:hanging="284"/>
    </w:pPr>
    <w:rPr>
      <w:rFonts w:eastAsia="Times New Roman" w:cs="Times New Roman"/>
      <w:color w:val="auto"/>
      <w:sz w:val="20"/>
      <w:szCs w:val="18"/>
      <w:lang w:eastAsia="en-AU"/>
    </w:rPr>
  </w:style>
  <w:style w:type="numbering" w:customStyle="1" w:styleId="Style2">
    <w:name w:val="Style2"/>
    <w:uiPriority w:val="99"/>
    <w:locked/>
    <w:rsid w:val="005E77F2"/>
    <w:pPr>
      <w:numPr>
        <w:numId w:val="7"/>
      </w:numPr>
    </w:pPr>
  </w:style>
  <w:style w:type="paragraph" w:customStyle="1" w:styleId="Pa24">
    <w:name w:val="Pa24"/>
    <w:basedOn w:val="Normal"/>
    <w:next w:val="Normal"/>
    <w:uiPriority w:val="99"/>
    <w:semiHidden/>
    <w:locked/>
    <w:rsid w:val="005E77F2"/>
    <w:pPr>
      <w:autoSpaceDE w:val="0"/>
      <w:autoSpaceDN w:val="0"/>
      <w:adjustRightInd w:val="0"/>
      <w:spacing w:after="0" w:line="201" w:lineRule="atLeast"/>
    </w:pPr>
    <w:rPr>
      <w:rFonts w:ascii="Gotham Bold" w:hAnsi="Gotham Bold"/>
      <w:color w:val="auto"/>
      <w:sz w:val="24"/>
      <w:szCs w:val="24"/>
    </w:rPr>
  </w:style>
  <w:style w:type="paragraph" w:customStyle="1" w:styleId="Pa1">
    <w:name w:val="Pa1"/>
    <w:basedOn w:val="Normal"/>
    <w:uiPriority w:val="99"/>
    <w:semiHidden/>
    <w:locked/>
    <w:rsid w:val="009A19DB"/>
    <w:pPr>
      <w:autoSpaceDE w:val="0"/>
      <w:autoSpaceDN w:val="0"/>
      <w:adjustRightInd w:val="0"/>
      <w:spacing w:after="0" w:line="241" w:lineRule="atLeast"/>
    </w:pPr>
    <w:rPr>
      <w:rFonts w:ascii="Gotham Bold" w:eastAsia="Times New Roman" w:hAnsi="Gotham Bold" w:cs="Times New Roman"/>
      <w:color w:val="auto"/>
      <w:sz w:val="24"/>
      <w:szCs w:val="24"/>
      <w:lang w:eastAsia="en-AU"/>
    </w:rPr>
  </w:style>
  <w:style w:type="paragraph" w:customStyle="1" w:styleId="Pa9">
    <w:name w:val="Pa9"/>
    <w:basedOn w:val="Normal"/>
    <w:uiPriority w:val="99"/>
    <w:semiHidden/>
    <w:locked/>
    <w:rsid w:val="009A19DB"/>
    <w:pPr>
      <w:autoSpaceDE w:val="0"/>
      <w:autoSpaceDN w:val="0"/>
      <w:adjustRightInd w:val="0"/>
      <w:spacing w:after="0" w:line="181" w:lineRule="atLeast"/>
    </w:pPr>
    <w:rPr>
      <w:rFonts w:ascii="Gotham Bold" w:eastAsia="Times New Roman" w:hAnsi="Gotham Bold" w:cs="Times New Roman"/>
      <w:color w:val="auto"/>
      <w:sz w:val="24"/>
      <w:szCs w:val="24"/>
      <w:lang w:eastAsia="en-AU"/>
    </w:rPr>
  </w:style>
  <w:style w:type="numbering" w:customStyle="1" w:styleId="NoList1">
    <w:name w:val="No List1"/>
    <w:next w:val="NoList"/>
    <w:uiPriority w:val="99"/>
    <w:semiHidden/>
    <w:unhideWhenUsed/>
    <w:rsid w:val="005E77F2"/>
  </w:style>
  <w:style w:type="character" w:customStyle="1" w:styleId="ListParagraphChar">
    <w:name w:val="List Paragraph Char"/>
    <w:basedOn w:val="DefaultParagraphFont"/>
    <w:link w:val="ListParagraph"/>
    <w:uiPriority w:val="34"/>
    <w:rsid w:val="00FF5837"/>
  </w:style>
  <w:style w:type="paragraph" w:customStyle="1" w:styleId="Tablenormaltext">
    <w:name w:val="Table normal text"/>
    <w:basedOn w:val="Normal"/>
    <w:uiPriority w:val="18"/>
    <w:semiHidden/>
    <w:qFormat/>
    <w:rsid w:val="005E77F2"/>
    <w:pPr>
      <w:spacing w:before="60" w:after="60"/>
    </w:pPr>
    <w:rPr>
      <w:rFonts w:eastAsia="Times New Roman" w:cs="Arial"/>
      <w:bCs/>
      <w:color w:val="000000"/>
      <w:sz w:val="20"/>
      <w:szCs w:val="20"/>
      <w:lang w:eastAsia="en-AU"/>
    </w:rPr>
  </w:style>
  <w:style w:type="paragraph" w:customStyle="1" w:styleId="Tablenumeralright-aligned">
    <w:name w:val="Table numeral right-aligned"/>
    <w:basedOn w:val="Tablenormaltext"/>
    <w:uiPriority w:val="19"/>
    <w:qFormat/>
    <w:rsid w:val="005E77F2"/>
    <w:pPr>
      <w:jc w:val="right"/>
    </w:pPr>
  </w:style>
  <w:style w:type="paragraph" w:customStyle="1" w:styleId="Tabletotalbold">
    <w:name w:val="Table total bold"/>
    <w:basedOn w:val="Tabletext"/>
    <w:uiPriority w:val="18"/>
    <w:semiHidden/>
    <w:qFormat/>
    <w:rsid w:val="004E28F2"/>
    <w:rPr>
      <w:b/>
    </w:rPr>
  </w:style>
  <w:style w:type="paragraph" w:customStyle="1" w:styleId="Bodytextboldexeclist">
    <w:name w:val="Body text bold exec list"/>
    <w:basedOn w:val="Normal"/>
    <w:uiPriority w:val="17"/>
    <w:semiHidden/>
    <w:locked/>
    <w:rsid w:val="00B30B0E"/>
    <w:pPr>
      <w:spacing w:before="200" w:after="40"/>
    </w:pPr>
    <w:rPr>
      <w:rFonts w:eastAsia="Times New Roman" w:cs="Times New Roman"/>
      <w:b/>
      <w:color w:val="auto"/>
      <w:lang w:eastAsia="en-AU"/>
    </w:rPr>
  </w:style>
  <w:style w:type="paragraph" w:customStyle="1" w:styleId="Tablesecondaryheading">
    <w:name w:val="Table secondary heading"/>
    <w:basedOn w:val="Tabletopheading"/>
    <w:uiPriority w:val="18"/>
    <w:semiHidden/>
    <w:qFormat/>
    <w:rsid w:val="004B58D3"/>
    <w:rPr>
      <w:color w:val="auto"/>
    </w:rPr>
  </w:style>
  <w:style w:type="paragraph" w:customStyle="1" w:styleId="Tabletotalboldright-aligned">
    <w:name w:val="Table total bold right-aligned"/>
    <w:basedOn w:val="Tablenumeralright-aligned"/>
    <w:uiPriority w:val="18"/>
    <w:semiHidden/>
    <w:qFormat/>
    <w:rsid w:val="00813D9B"/>
    <w:rPr>
      <w:b/>
    </w:rPr>
  </w:style>
  <w:style w:type="paragraph" w:customStyle="1" w:styleId="Tabletopheadingright-aligned">
    <w:name w:val="Table top heading right-aligned"/>
    <w:basedOn w:val="Tabletopheading"/>
    <w:uiPriority w:val="18"/>
    <w:semiHidden/>
    <w:qFormat/>
    <w:rsid w:val="00CC796C"/>
    <w:pPr>
      <w:jc w:val="right"/>
    </w:pPr>
    <w:rPr>
      <w:rFonts w:eastAsia="Arial Unicode MS"/>
      <w:b w:val="0"/>
    </w:rPr>
  </w:style>
  <w:style w:type="paragraph" w:customStyle="1" w:styleId="Tableheadwhitefont">
    <w:name w:val="Table head white font"/>
    <w:basedOn w:val="Tabletext"/>
    <w:uiPriority w:val="18"/>
    <w:semiHidden/>
    <w:qFormat/>
    <w:rsid w:val="002601B7"/>
    <w:rPr>
      <w:b/>
      <w:color w:val="FFFFFF" w:themeColor="background1"/>
    </w:rPr>
  </w:style>
  <w:style w:type="paragraph" w:customStyle="1" w:styleId="Tabletopheadingcentred">
    <w:name w:val="Table top heading centred"/>
    <w:basedOn w:val="Tabletopheading"/>
    <w:uiPriority w:val="18"/>
    <w:semiHidden/>
    <w:qFormat/>
    <w:rsid w:val="002601B7"/>
    <w:pPr>
      <w:jc w:val="center"/>
    </w:pPr>
  </w:style>
  <w:style w:type="paragraph" w:styleId="BalloonText">
    <w:name w:val="Balloon Text"/>
    <w:basedOn w:val="Normal"/>
    <w:link w:val="BalloonTextChar"/>
    <w:semiHidden/>
    <w:unhideWhenUsed/>
    <w:locked/>
    <w:rsid w:val="000F3B4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0F3B46"/>
    <w:rPr>
      <w:rFonts w:ascii="Segoe UI" w:hAnsi="Segoe UI" w:cs="Segoe UI"/>
      <w:sz w:val="18"/>
      <w:szCs w:val="18"/>
    </w:rPr>
  </w:style>
  <w:style w:type="numbering" w:customStyle="1" w:styleId="StyleNumbered">
    <w:name w:val="Style Numbered"/>
    <w:basedOn w:val="NoList"/>
    <w:rsid w:val="00CE7AB0"/>
    <w:pPr>
      <w:numPr>
        <w:numId w:val="18"/>
      </w:numPr>
    </w:pPr>
  </w:style>
  <w:style w:type="numbering" w:customStyle="1" w:styleId="StyleNumbered1">
    <w:name w:val="Style Numbered1"/>
    <w:basedOn w:val="NoList"/>
    <w:rsid w:val="00CE7AB0"/>
    <w:pPr>
      <w:numPr>
        <w:numId w:val="19"/>
      </w:numPr>
    </w:pPr>
  </w:style>
  <w:style w:type="paragraph" w:customStyle="1" w:styleId="tparagraph">
    <w:name w:val="tparagraph"/>
    <w:basedOn w:val="Normal"/>
    <w:rsid w:val="00CE7AB0"/>
    <w:rPr>
      <w:rFonts w:ascii="Times New Roman" w:eastAsia="Times New Roman" w:hAnsi="Times New Roman" w:cs="Times New Roman"/>
      <w:color w:val="auto"/>
      <w:sz w:val="20"/>
      <w:szCs w:val="20"/>
      <w:lang w:eastAsia="en-AU"/>
    </w:rPr>
  </w:style>
  <w:style w:type="paragraph" w:customStyle="1" w:styleId="headingparagraph">
    <w:name w:val="headingparagraph"/>
    <w:basedOn w:val="Normal"/>
    <w:rsid w:val="00CE7AB0"/>
    <w:pPr>
      <w:spacing w:before="160" w:after="200"/>
      <w:ind w:left="340" w:hanging="340"/>
    </w:pPr>
    <w:rPr>
      <w:rFonts w:eastAsia="Times New Roman" w:cs="Arial"/>
      <w:color w:val="auto"/>
      <w:szCs w:val="24"/>
      <w:lang w:eastAsia="en-AU"/>
    </w:rPr>
  </w:style>
  <w:style w:type="character" w:customStyle="1" w:styleId="textblack801">
    <w:name w:val="textblack801"/>
    <w:rsid w:val="00CE7AB0"/>
    <w:rPr>
      <w:color w:val="000000"/>
      <w:sz w:val="19"/>
      <w:szCs w:val="19"/>
    </w:rPr>
  </w:style>
  <w:style w:type="paragraph" w:customStyle="1" w:styleId="leftparagraph">
    <w:name w:val="leftparagraph"/>
    <w:basedOn w:val="Normal"/>
    <w:rsid w:val="00CE7AB0"/>
    <w:pPr>
      <w:spacing w:before="160" w:after="200"/>
    </w:pPr>
    <w:rPr>
      <w:rFonts w:ascii="Times New Roman" w:eastAsia="Times New Roman" w:hAnsi="Times New Roman" w:cs="Times New Roman"/>
      <w:color w:val="auto"/>
      <w:szCs w:val="24"/>
      <w:lang w:eastAsia="en-AU"/>
    </w:rPr>
  </w:style>
  <w:style w:type="paragraph" w:customStyle="1" w:styleId="StyleHeading2Left">
    <w:name w:val="Style Heading 2 + Left"/>
    <w:basedOn w:val="Heading2"/>
    <w:rsid w:val="00CE7AB0"/>
    <w:pPr>
      <w:keepLines w:val="0"/>
      <w:numPr>
        <w:numId w:val="0"/>
      </w:numPr>
      <w:tabs>
        <w:tab w:val="left" w:pos="567"/>
      </w:tabs>
      <w:spacing w:before="300" w:after="60" w:line="240" w:lineRule="auto"/>
      <w:ind w:left="567" w:hanging="567"/>
    </w:pPr>
    <w:rPr>
      <w:rFonts w:ascii="Arial" w:eastAsia="Times New Roman" w:hAnsi="Arial" w:cs="Times New Roman"/>
      <w:snapToGrid w:val="0"/>
      <w:color w:val="000000"/>
      <w:kern w:val="24"/>
      <w:sz w:val="24"/>
      <w:szCs w:val="28"/>
    </w:rPr>
  </w:style>
  <w:style w:type="paragraph" w:customStyle="1" w:styleId="StyleHeading2Left1">
    <w:name w:val="Style Heading 2 + Left1"/>
    <w:basedOn w:val="Heading2"/>
    <w:rsid w:val="00CE7AB0"/>
    <w:pPr>
      <w:keepLines w:val="0"/>
      <w:numPr>
        <w:numId w:val="0"/>
      </w:numPr>
      <w:tabs>
        <w:tab w:val="left" w:pos="567"/>
      </w:tabs>
      <w:spacing w:before="300" w:after="60" w:line="240" w:lineRule="auto"/>
      <w:ind w:left="567" w:hanging="567"/>
    </w:pPr>
    <w:rPr>
      <w:rFonts w:ascii="Arial" w:eastAsia="Times New Roman" w:hAnsi="Arial" w:cs="Times New Roman"/>
      <w:snapToGrid w:val="0"/>
      <w:color w:val="000000"/>
      <w:kern w:val="24"/>
      <w:sz w:val="24"/>
      <w:szCs w:val="28"/>
    </w:rPr>
  </w:style>
  <w:style w:type="paragraph" w:customStyle="1" w:styleId="StyleHeading116ptNotBold">
    <w:name w:val="Style Heading 1 + 16 pt Not Bold"/>
    <w:basedOn w:val="Heading1"/>
    <w:rsid w:val="00CE7AB0"/>
    <w:pPr>
      <w:keepLines w:val="0"/>
      <w:tabs>
        <w:tab w:val="left" w:pos="518"/>
      </w:tabs>
      <w:spacing w:before="300" w:after="60" w:line="240" w:lineRule="auto"/>
      <w:jc w:val="both"/>
    </w:pPr>
    <w:rPr>
      <w:rFonts w:ascii="Arial" w:eastAsia="Times New Roman" w:hAnsi="Arial" w:cs="Arial"/>
      <w:b w:val="0"/>
      <w:bCs w:val="0"/>
      <w:color w:val="auto"/>
      <w:kern w:val="24"/>
      <w:sz w:val="32"/>
      <w:szCs w:val="22"/>
    </w:rPr>
  </w:style>
  <w:style w:type="paragraph" w:customStyle="1" w:styleId="StyleHeading116ptNotBoldJustified">
    <w:name w:val="Style Heading 1 + 16 pt Not Bold Justified"/>
    <w:basedOn w:val="Heading1"/>
    <w:rsid w:val="00CE7AB0"/>
    <w:pPr>
      <w:keepLines w:val="0"/>
      <w:tabs>
        <w:tab w:val="left" w:pos="518"/>
      </w:tabs>
      <w:spacing w:before="300" w:after="120" w:line="240" w:lineRule="auto"/>
      <w:jc w:val="both"/>
    </w:pPr>
    <w:rPr>
      <w:rFonts w:ascii="Arial" w:eastAsia="Times New Roman" w:hAnsi="Arial" w:cs="Arial"/>
      <w:bCs w:val="0"/>
      <w:color w:val="auto"/>
      <w:kern w:val="24"/>
      <w:sz w:val="32"/>
      <w:szCs w:val="22"/>
    </w:rPr>
  </w:style>
  <w:style w:type="paragraph" w:customStyle="1" w:styleId="StyleHeading2Left2">
    <w:name w:val="Style Heading 2 + Left2"/>
    <w:basedOn w:val="Heading2"/>
    <w:rsid w:val="00CE7AB0"/>
    <w:pPr>
      <w:keepLines w:val="0"/>
      <w:numPr>
        <w:numId w:val="0"/>
      </w:numPr>
      <w:tabs>
        <w:tab w:val="left" w:pos="567"/>
      </w:tabs>
      <w:spacing w:before="300" w:after="60" w:line="240" w:lineRule="auto"/>
      <w:ind w:left="567" w:hanging="567"/>
    </w:pPr>
    <w:rPr>
      <w:rFonts w:ascii="Arial" w:eastAsia="Times New Roman" w:hAnsi="Arial" w:cs="Times New Roman"/>
      <w:snapToGrid w:val="0"/>
      <w:color w:val="000000"/>
      <w:kern w:val="24"/>
      <w:sz w:val="28"/>
      <w:szCs w:val="28"/>
    </w:rPr>
  </w:style>
  <w:style w:type="paragraph" w:customStyle="1" w:styleId="StyleHeading2Italic">
    <w:name w:val="Style Heading 2 + Italic"/>
    <w:basedOn w:val="Heading2"/>
    <w:link w:val="StyleHeading2ItalicChar"/>
    <w:rsid w:val="00CE7AB0"/>
    <w:pPr>
      <w:keepLines w:val="0"/>
      <w:numPr>
        <w:numId w:val="0"/>
      </w:numPr>
      <w:tabs>
        <w:tab w:val="left" w:pos="567"/>
      </w:tabs>
      <w:spacing w:before="300" w:after="60" w:line="240" w:lineRule="auto"/>
      <w:ind w:left="567" w:hanging="567"/>
    </w:pPr>
    <w:rPr>
      <w:rFonts w:ascii="Arial" w:eastAsia="Times New Roman" w:hAnsi="Arial" w:cs="Times New Roman"/>
      <w:i/>
      <w:iCs/>
      <w:snapToGrid w:val="0"/>
      <w:color w:val="000000"/>
      <w:kern w:val="24"/>
      <w:sz w:val="28"/>
      <w:szCs w:val="28"/>
    </w:rPr>
  </w:style>
  <w:style w:type="character" w:customStyle="1" w:styleId="StyleHeading2ItalicChar">
    <w:name w:val="Style Heading 2 + Italic Char"/>
    <w:link w:val="StyleHeading2Italic"/>
    <w:rsid w:val="00CE7AB0"/>
    <w:rPr>
      <w:rFonts w:eastAsia="Times New Roman" w:cs="Times New Roman"/>
      <w:b/>
      <w:bCs/>
      <w:i/>
      <w:iCs/>
      <w:snapToGrid w:val="0"/>
      <w:color w:val="000000"/>
      <w:kern w:val="24"/>
      <w:sz w:val="28"/>
      <w:szCs w:val="28"/>
    </w:rPr>
  </w:style>
  <w:style w:type="paragraph" w:customStyle="1" w:styleId="StyleHeading2Italic1">
    <w:name w:val="Style Heading 2 + Italic1"/>
    <w:basedOn w:val="Heading2"/>
    <w:link w:val="StyleHeading2Italic1Char"/>
    <w:rsid w:val="00CE7AB0"/>
    <w:pPr>
      <w:keepLines w:val="0"/>
      <w:numPr>
        <w:numId w:val="0"/>
      </w:numPr>
      <w:tabs>
        <w:tab w:val="left" w:pos="567"/>
      </w:tabs>
      <w:spacing w:before="300" w:after="60" w:line="240" w:lineRule="auto"/>
      <w:ind w:left="567" w:hanging="567"/>
    </w:pPr>
    <w:rPr>
      <w:rFonts w:ascii="Arial" w:eastAsia="Times New Roman" w:hAnsi="Arial" w:cs="Times New Roman"/>
      <w:i/>
      <w:iCs/>
      <w:snapToGrid w:val="0"/>
      <w:color w:val="000000"/>
      <w:kern w:val="24"/>
      <w:sz w:val="28"/>
      <w:szCs w:val="28"/>
    </w:rPr>
  </w:style>
  <w:style w:type="character" w:customStyle="1" w:styleId="StyleHeading2Italic1Char">
    <w:name w:val="Style Heading 2 + Italic1 Char"/>
    <w:link w:val="StyleHeading2Italic1"/>
    <w:rsid w:val="00CE7AB0"/>
    <w:rPr>
      <w:rFonts w:eastAsia="Times New Roman" w:cs="Times New Roman"/>
      <w:b/>
      <w:bCs/>
      <w:i/>
      <w:iCs/>
      <w:snapToGrid w:val="0"/>
      <w:color w:val="000000"/>
      <w:kern w:val="24"/>
      <w:sz w:val="28"/>
      <w:szCs w:val="28"/>
    </w:rPr>
  </w:style>
  <w:style w:type="paragraph" w:customStyle="1" w:styleId="StyleStyleHeading116ptNotBoldJustified">
    <w:name w:val="Style Style Heading 1 + 16 pt Not Bold + Justified"/>
    <w:basedOn w:val="StyleHeading116ptNotBold"/>
    <w:rsid w:val="00CE7AB0"/>
    <w:pPr>
      <w:spacing w:after="120"/>
    </w:pPr>
  </w:style>
  <w:style w:type="paragraph" w:customStyle="1" w:styleId="StyleStyleHeading116ptNotBoldJustified1">
    <w:name w:val="Style Style Heading 1 + 16 pt Not Bold + Justified1"/>
    <w:basedOn w:val="StyleHeading116ptNotBold"/>
    <w:rsid w:val="00CE7AB0"/>
    <w:rPr>
      <w:b/>
    </w:rPr>
  </w:style>
  <w:style w:type="paragraph" w:customStyle="1" w:styleId="StyleStyleHeading116ptNotBoldJustified2">
    <w:name w:val="Style Style Heading 1 + 16 pt Not Bold + Justified2"/>
    <w:basedOn w:val="StyleHeading116ptNotBold"/>
    <w:rsid w:val="00CE7AB0"/>
    <w:pPr>
      <w:spacing w:after="240"/>
    </w:pPr>
    <w:rPr>
      <w:b/>
    </w:rPr>
  </w:style>
  <w:style w:type="paragraph" w:customStyle="1" w:styleId="StyleHeading2Italic2">
    <w:name w:val="Style Heading 2 + Italic2"/>
    <w:basedOn w:val="Heading2"/>
    <w:link w:val="StyleHeading2Italic2Char"/>
    <w:rsid w:val="00CE7AB0"/>
    <w:pPr>
      <w:keepLines w:val="0"/>
      <w:numPr>
        <w:numId w:val="0"/>
      </w:numPr>
      <w:tabs>
        <w:tab w:val="left" w:pos="567"/>
      </w:tabs>
      <w:spacing w:before="300" w:line="240" w:lineRule="auto"/>
      <w:ind w:left="567" w:hanging="567"/>
    </w:pPr>
    <w:rPr>
      <w:rFonts w:ascii="Arial" w:eastAsia="Times New Roman" w:hAnsi="Arial" w:cs="Times New Roman"/>
      <w:i/>
      <w:iCs/>
      <w:snapToGrid w:val="0"/>
      <w:color w:val="000000"/>
      <w:kern w:val="24"/>
      <w:sz w:val="28"/>
      <w:szCs w:val="28"/>
    </w:rPr>
  </w:style>
  <w:style w:type="character" w:customStyle="1" w:styleId="StyleHeading2Italic2Char">
    <w:name w:val="Style Heading 2 + Italic2 Char"/>
    <w:link w:val="StyleHeading2Italic2"/>
    <w:rsid w:val="00CE7AB0"/>
    <w:rPr>
      <w:rFonts w:eastAsia="Times New Roman" w:cs="Times New Roman"/>
      <w:b/>
      <w:bCs/>
      <w:i/>
      <w:iCs/>
      <w:snapToGrid w:val="0"/>
      <w:color w:val="000000"/>
      <w:kern w:val="24"/>
      <w:sz w:val="28"/>
      <w:szCs w:val="28"/>
    </w:rPr>
  </w:style>
  <w:style w:type="paragraph" w:customStyle="1" w:styleId="StyleHeading2Italic3">
    <w:name w:val="Style Heading 2 + Italic3"/>
    <w:basedOn w:val="Heading2"/>
    <w:link w:val="StyleHeading2Italic3Char"/>
    <w:rsid w:val="00CE7AB0"/>
    <w:pPr>
      <w:keepLines w:val="0"/>
      <w:numPr>
        <w:numId w:val="0"/>
      </w:numPr>
      <w:tabs>
        <w:tab w:val="left" w:pos="567"/>
      </w:tabs>
      <w:spacing w:before="300" w:line="240" w:lineRule="auto"/>
      <w:ind w:left="567" w:hanging="567"/>
    </w:pPr>
    <w:rPr>
      <w:rFonts w:ascii="Arial" w:eastAsia="Times New Roman" w:hAnsi="Arial" w:cs="Times New Roman"/>
      <w:i/>
      <w:iCs/>
      <w:snapToGrid w:val="0"/>
      <w:color w:val="000000"/>
      <w:kern w:val="24"/>
      <w:sz w:val="28"/>
      <w:szCs w:val="28"/>
    </w:rPr>
  </w:style>
  <w:style w:type="character" w:customStyle="1" w:styleId="StyleHeading2Italic3Char">
    <w:name w:val="Style Heading 2 + Italic3 Char"/>
    <w:link w:val="StyleHeading2Italic3"/>
    <w:rsid w:val="00CE7AB0"/>
    <w:rPr>
      <w:rFonts w:eastAsia="Times New Roman" w:cs="Times New Roman"/>
      <w:b/>
      <w:bCs/>
      <w:i/>
      <w:iCs/>
      <w:snapToGrid w:val="0"/>
      <w:color w:val="000000"/>
      <w:kern w:val="24"/>
      <w:sz w:val="28"/>
      <w:szCs w:val="28"/>
    </w:rPr>
  </w:style>
  <w:style w:type="paragraph" w:customStyle="1" w:styleId="Numberedlist">
    <w:name w:val="Numbered list"/>
    <w:basedOn w:val="BodyText"/>
    <w:rsid w:val="00CE7AB0"/>
    <w:rPr>
      <w:rFonts w:eastAsia="Times New Roman" w:cs="Arial"/>
      <w:color w:val="auto"/>
      <w:lang w:eastAsia="en-AU"/>
    </w:rPr>
  </w:style>
  <w:style w:type="paragraph" w:customStyle="1" w:styleId="Default">
    <w:name w:val="Default"/>
    <w:rsid w:val="00CE7AB0"/>
    <w:pPr>
      <w:autoSpaceDE w:val="0"/>
      <w:autoSpaceDN w:val="0"/>
      <w:adjustRightInd w:val="0"/>
      <w:spacing w:before="0" w:after="0"/>
    </w:pPr>
    <w:rPr>
      <w:rFonts w:ascii="Myriad Pro" w:eastAsia="Times New Roman" w:hAnsi="Myriad Pro" w:cs="Myriad Pro"/>
      <w:color w:val="000000"/>
      <w:sz w:val="24"/>
      <w:szCs w:val="24"/>
      <w:lang w:eastAsia="en-AU"/>
    </w:rPr>
  </w:style>
  <w:style w:type="numbering" w:customStyle="1" w:styleId="StyleNumbered10pt">
    <w:name w:val="Style Numbered 10 pt"/>
    <w:basedOn w:val="NoList"/>
    <w:rsid w:val="00CE7AB0"/>
    <w:pPr>
      <w:numPr>
        <w:numId w:val="20"/>
      </w:numPr>
    </w:pPr>
  </w:style>
  <w:style w:type="paragraph" w:customStyle="1" w:styleId="BasicParagraph">
    <w:name w:val="[Basic Paragraph]"/>
    <w:basedOn w:val="Normal"/>
    <w:rsid w:val="00CE7AB0"/>
    <w:pPr>
      <w:autoSpaceDE w:val="0"/>
      <w:autoSpaceDN w:val="0"/>
      <w:adjustRightInd w:val="0"/>
      <w:spacing w:line="288" w:lineRule="auto"/>
      <w:textAlignment w:val="center"/>
    </w:pPr>
    <w:rPr>
      <w:rFonts w:ascii="Times Regular" w:eastAsia="Times New Roman" w:hAnsi="Times Regular" w:cs="Times Regular"/>
      <w:color w:val="000000"/>
      <w:szCs w:val="24"/>
      <w:lang w:val="en-US" w:eastAsia="en-AU"/>
    </w:rPr>
  </w:style>
  <w:style w:type="paragraph" w:customStyle="1" w:styleId="Bulletlist">
    <w:name w:val="Bullet list"/>
    <w:basedOn w:val="Normal"/>
    <w:rsid w:val="00CE7AB0"/>
    <w:pPr>
      <w:tabs>
        <w:tab w:val="num" w:pos="357"/>
      </w:tabs>
      <w:spacing w:before="60" w:after="60"/>
      <w:ind w:left="357" w:hanging="357"/>
    </w:pPr>
    <w:rPr>
      <w:rFonts w:eastAsia="Times New Roman" w:cs="Arial"/>
      <w:color w:val="auto"/>
      <w:lang w:eastAsia="en-AU"/>
    </w:rPr>
  </w:style>
  <w:style w:type="paragraph" w:customStyle="1" w:styleId="CTDotpoints">
    <w:name w:val="CT Dot points"/>
    <w:basedOn w:val="Normal"/>
    <w:rsid w:val="00CE7AB0"/>
    <w:pPr>
      <w:numPr>
        <w:ilvl w:val="2"/>
        <w:numId w:val="15"/>
      </w:numPr>
    </w:pPr>
    <w:rPr>
      <w:rFonts w:eastAsia="Times New Roman" w:cs="Times New Roman"/>
      <w:color w:val="auto"/>
      <w:szCs w:val="24"/>
      <w:lang w:eastAsia="en-AU"/>
    </w:rPr>
  </w:style>
  <w:style w:type="character" w:customStyle="1" w:styleId="Mention">
    <w:name w:val="Mention"/>
    <w:uiPriority w:val="99"/>
    <w:semiHidden/>
    <w:unhideWhenUsed/>
    <w:rsid w:val="00CE7AB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72158">
      <w:bodyDiv w:val="1"/>
      <w:marLeft w:val="0"/>
      <w:marRight w:val="0"/>
      <w:marTop w:val="0"/>
      <w:marBottom w:val="0"/>
      <w:divBdr>
        <w:top w:val="none" w:sz="0" w:space="0" w:color="auto"/>
        <w:left w:val="none" w:sz="0" w:space="0" w:color="auto"/>
        <w:bottom w:val="none" w:sz="0" w:space="0" w:color="auto"/>
        <w:right w:val="none" w:sz="0" w:space="0" w:color="auto"/>
      </w:divBdr>
      <w:divsChild>
        <w:div w:id="362748683">
          <w:marLeft w:val="547"/>
          <w:marRight w:val="0"/>
          <w:marTop w:val="0"/>
          <w:marBottom w:val="0"/>
          <w:divBdr>
            <w:top w:val="none" w:sz="0" w:space="0" w:color="auto"/>
            <w:left w:val="none" w:sz="0" w:space="0" w:color="auto"/>
            <w:bottom w:val="none" w:sz="0" w:space="0" w:color="auto"/>
            <w:right w:val="none" w:sz="0" w:space="0" w:color="auto"/>
          </w:divBdr>
        </w:div>
      </w:divsChild>
    </w:div>
    <w:div w:id="805007629">
      <w:bodyDiv w:val="1"/>
      <w:marLeft w:val="0"/>
      <w:marRight w:val="0"/>
      <w:marTop w:val="0"/>
      <w:marBottom w:val="0"/>
      <w:divBdr>
        <w:top w:val="none" w:sz="0" w:space="0" w:color="auto"/>
        <w:left w:val="none" w:sz="0" w:space="0" w:color="auto"/>
        <w:bottom w:val="none" w:sz="0" w:space="0" w:color="auto"/>
        <w:right w:val="none" w:sz="0" w:space="0" w:color="auto"/>
      </w:divBdr>
      <w:divsChild>
        <w:div w:id="697118187">
          <w:marLeft w:val="547"/>
          <w:marRight w:val="0"/>
          <w:marTop w:val="0"/>
          <w:marBottom w:val="0"/>
          <w:divBdr>
            <w:top w:val="none" w:sz="0" w:space="0" w:color="auto"/>
            <w:left w:val="none" w:sz="0" w:space="0" w:color="auto"/>
            <w:bottom w:val="none" w:sz="0" w:space="0" w:color="auto"/>
            <w:right w:val="none" w:sz="0" w:space="0" w:color="auto"/>
          </w:divBdr>
        </w:div>
      </w:divsChild>
    </w:div>
    <w:div w:id="1584028942">
      <w:bodyDiv w:val="1"/>
      <w:marLeft w:val="0"/>
      <w:marRight w:val="0"/>
      <w:marTop w:val="0"/>
      <w:marBottom w:val="0"/>
      <w:divBdr>
        <w:top w:val="none" w:sz="0" w:space="0" w:color="auto"/>
        <w:left w:val="none" w:sz="0" w:space="0" w:color="auto"/>
        <w:bottom w:val="none" w:sz="0" w:space="0" w:color="auto"/>
        <w:right w:val="none" w:sz="0" w:space="0" w:color="auto"/>
      </w:divBdr>
      <w:divsChild>
        <w:div w:id="33273183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environment.nsw.gov.au" TargetMode="External"/><Relationship Id="rId18" Type="http://schemas.openxmlformats.org/officeDocument/2006/relationships/footer" Target="footer2.xml"/><Relationship Id="rId26" Type="http://schemas.openxmlformats.org/officeDocument/2006/relationships/hyperlink" Target="https://12209-console.memberconnex.com/Folder?Action=View%20File&amp;Folder_id=75&amp;File=Plant_Labelling_Jan2013_V2_FINAL.pdf"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environment.nsw.gov.au" TargetMode="External"/><Relationship Id="rId17" Type="http://schemas.openxmlformats.org/officeDocument/2006/relationships/footer" Target="footer1.xml"/><Relationship Id="rId25" Type="http://schemas.openxmlformats.org/officeDocument/2006/relationships/hyperlink" Target="http://www.environment.gov.au/biodiversity/wildlife-trade/trading"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environment.nsw.gov.au" TargetMode="External"/><Relationship Id="rId24" Type="http://schemas.openxmlformats.org/officeDocument/2006/relationships/hyperlink" Target="http://plantnet.rbgsyd.nsw.gov.au/floraonline.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hyperlink" Target="http://creativecommons.org/licenses/by/4.0/legalcode" TargetMode="Externa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creativecommons.org/licenses/by/4.0/deed.en" TargetMode="External"/><Relationship Id="rId14" Type="http://schemas.openxmlformats.org/officeDocument/2006/relationships/hyperlink" Target="http://www.environment.nsw.gov.au" TargetMode="External"/><Relationship Id="rId22" Type="http://schemas.openxmlformats.org/officeDocument/2006/relationships/header" Target="header5.xml"/><Relationship Id="rId27" Type="http://schemas.openxmlformats.org/officeDocument/2006/relationships/header" Target="header6.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6B7B848ED5A427C93F0CAA0ADA4D851"/>
        <w:category>
          <w:name w:val="General"/>
          <w:gallery w:val="placeholder"/>
        </w:category>
        <w:types>
          <w:type w:val="bbPlcHdr"/>
        </w:types>
        <w:behaviors>
          <w:behavior w:val="content"/>
        </w:behaviors>
        <w:guid w:val="{A546249D-6161-4231-BD7B-197E1F300F9B}"/>
      </w:docPartPr>
      <w:docPartBody>
        <w:p w:rsidR="005B7A0E" w:rsidRDefault="005B7A0E">
          <w:pPr>
            <w:pStyle w:val="56B7B848ED5A427C93F0CAA0ADA4D851"/>
          </w:pPr>
          <w:r w:rsidRPr="00E21FC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 Narrow Book">
    <w:panose1 w:val="00000000000000000000"/>
    <w:charset w:val="00"/>
    <w:family w:val="modern"/>
    <w:notTrueType/>
    <w:pitch w:val="variable"/>
    <w:sig w:usb0="A00002FF"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Gotham Bold">
    <w:panose1 w:val="00000000000000000000"/>
    <w:charset w:val="00"/>
    <w:family w:val="modern"/>
    <w:notTrueType/>
    <w:pitch w:val="variable"/>
    <w:sig w:usb0="A00002FF" w:usb1="4000005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20000287" w:usb1="00000001" w:usb2="00000000" w:usb3="00000000" w:csb0="0000019F" w:csb1="00000000"/>
  </w:font>
  <w:font w:name="Times 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A0E"/>
    <w:rsid w:val="00537E59"/>
    <w:rsid w:val="005B7A0E"/>
    <w:rsid w:val="00A06F9A"/>
    <w:rsid w:val="00EE11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Pr>
      <w:rFonts w:asciiTheme="minorHAnsi" w:hAnsiTheme="minorHAnsi"/>
      <w:noProof w:val="0"/>
      <w:color w:val="FF0000"/>
      <w:sz w:val="22"/>
      <w:bdr w:val="none" w:sz="0" w:space="0" w:color="auto"/>
      <w:shd w:val="clear" w:color="auto" w:fill="auto"/>
      <w:lang w:val="en-AU"/>
    </w:rPr>
  </w:style>
  <w:style w:type="paragraph" w:customStyle="1" w:styleId="56B7B848ED5A427C93F0CAA0ADA4D851">
    <w:name w:val="56B7B848ED5A427C93F0CAA0ADA4D8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EH Brochure">
      <a:dk1>
        <a:srgbClr val="231F20"/>
      </a:dk1>
      <a:lt1>
        <a:srgbClr val="FFFFFF"/>
      </a:lt1>
      <a:dk2>
        <a:srgbClr val="3B5731"/>
      </a:dk2>
      <a:lt2>
        <a:srgbClr val="FFFFFF"/>
      </a:lt2>
      <a:accent1>
        <a:srgbClr val="4C6D41"/>
      </a:accent1>
      <a:accent2>
        <a:srgbClr val="ACB137"/>
      </a:accent2>
      <a:accent3>
        <a:srgbClr val="00718F"/>
      </a:accent3>
      <a:accent4>
        <a:srgbClr val="00B8A5"/>
      </a:accent4>
      <a:accent5>
        <a:srgbClr val="F04C3E"/>
      </a:accent5>
      <a:accent6>
        <a:srgbClr val="FAA21B"/>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5D219-9204-4918-9EC0-14C61455D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E9BA381C.dotm</Template>
  <TotalTime>0</TotalTime>
  <Pages>52</Pages>
  <Words>16952</Words>
  <Characters>96630</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Whole Plant Sustainable Management Plan 2018–22</dc:title>
  <dc:creator/>
  <cp:keywords/>
  <cp:lastModifiedBy/>
  <cp:revision>1</cp:revision>
  <dcterms:created xsi:type="dcterms:W3CDTF">2017-10-10T02:45:00Z</dcterms:created>
  <dcterms:modified xsi:type="dcterms:W3CDTF">2017-10-10T02:46:00Z</dcterms:modified>
</cp:coreProperties>
</file>