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bookmarkStart w:id="0" w:name="_GoBack"/>
      <w:bookmarkEnd w:id="0"/>
    </w:p>
    <w:p w14:paraId="48D32A8D" w14:textId="257C7A3E" w:rsidR="00CB7A80" w:rsidRPr="00023B20" w:rsidRDefault="00CB7A80" w:rsidP="00023B20">
      <w:pPr>
        <w:pStyle w:val="TSSC"/>
        <w:numPr>
          <w:ilvl w:val="0"/>
          <w:numId w:val="0"/>
        </w:numPr>
        <w:tabs>
          <w:tab w:val="clear" w:pos="567"/>
        </w:tabs>
        <w:jc w:val="center"/>
        <w:rPr>
          <w:rFonts w:ascii="Arial" w:hAnsi="Arial" w:cs="Arial"/>
          <w:b/>
          <w:sz w:val="28"/>
          <w:szCs w:val="28"/>
        </w:rPr>
      </w:pPr>
      <w:r w:rsidRPr="003A6857">
        <w:rPr>
          <w:rFonts w:ascii="Arial" w:hAnsi="Arial" w:cs="Arial"/>
          <w:b/>
          <w:sz w:val="28"/>
          <w:szCs w:val="28"/>
        </w:rPr>
        <w:t xml:space="preserve">Consultation Document </w:t>
      </w:r>
      <w:r w:rsidRPr="00F561AC">
        <w:rPr>
          <w:rFonts w:ascii="Arial" w:hAnsi="Arial" w:cs="Arial"/>
          <w:b/>
          <w:sz w:val="28"/>
          <w:szCs w:val="28"/>
        </w:rPr>
        <w:t>on Listing Eligibility and Conservation Actions</w:t>
      </w:r>
      <w:r w:rsidR="00332A1E" w:rsidRPr="00F561AC">
        <w:rPr>
          <w:rFonts w:ascii="Arial" w:hAnsi="Arial" w:cs="Arial"/>
          <w:b/>
          <w:sz w:val="28"/>
          <w:szCs w:val="28"/>
        </w:rPr>
        <w:t xml:space="preserve"> </w:t>
      </w:r>
      <w:r w:rsidR="00023B20">
        <w:rPr>
          <w:rFonts w:ascii="Arial" w:hAnsi="Arial" w:cs="Arial"/>
          <w:b/>
          <w:sz w:val="28"/>
          <w:szCs w:val="28"/>
        </w:rPr>
        <w:t xml:space="preserve">– </w:t>
      </w:r>
      <w:r w:rsidR="00023B20" w:rsidRPr="00023B20">
        <w:rPr>
          <w:rFonts w:ascii="Arial" w:hAnsi="Arial" w:cs="Arial"/>
          <w:b/>
          <w:i/>
          <w:sz w:val="28"/>
          <w:szCs w:val="28"/>
          <w:lang w:val="en" w:eastAsia="en-AU"/>
        </w:rPr>
        <w:t xml:space="preserve">Gaultheria </w:t>
      </w:r>
      <w:proofErr w:type="spellStart"/>
      <w:r w:rsidR="00023B20" w:rsidRPr="00023B20">
        <w:rPr>
          <w:rFonts w:ascii="Arial" w:hAnsi="Arial" w:cs="Arial"/>
          <w:b/>
          <w:i/>
          <w:sz w:val="28"/>
          <w:szCs w:val="28"/>
          <w:lang w:val="en" w:eastAsia="en-AU"/>
        </w:rPr>
        <w:t>viridicarpa</w:t>
      </w:r>
      <w:proofErr w:type="spellEnd"/>
      <w:r w:rsidR="00023B20" w:rsidRPr="00023B20">
        <w:rPr>
          <w:rFonts w:ascii="Arial" w:hAnsi="Arial" w:cs="Arial"/>
          <w:b/>
          <w:sz w:val="28"/>
          <w:szCs w:val="28"/>
          <w:lang w:val="en" w:eastAsia="en-AU"/>
        </w:rPr>
        <w:t xml:space="preserve"> (Green Waxberry) and </w:t>
      </w:r>
      <w:r w:rsidR="00023B20" w:rsidRPr="00023B20">
        <w:rPr>
          <w:rFonts w:ascii="Arial" w:hAnsi="Arial" w:cs="Arial"/>
          <w:b/>
          <w:i/>
          <w:sz w:val="28"/>
          <w:szCs w:val="28"/>
          <w:lang w:val="en" w:eastAsia="en-AU"/>
        </w:rPr>
        <w:t>G</w:t>
      </w:r>
      <w:r w:rsidR="00023B20">
        <w:rPr>
          <w:rFonts w:ascii="Arial" w:hAnsi="Arial" w:cs="Arial"/>
          <w:b/>
          <w:i/>
          <w:sz w:val="28"/>
          <w:szCs w:val="28"/>
          <w:lang w:val="en" w:eastAsia="en-AU"/>
        </w:rPr>
        <w:t>aultheria </w:t>
      </w:r>
      <w:proofErr w:type="spellStart"/>
      <w:r w:rsidR="00023B20" w:rsidRPr="00023B20">
        <w:rPr>
          <w:rFonts w:ascii="Arial" w:hAnsi="Arial" w:cs="Arial"/>
          <w:b/>
          <w:i/>
          <w:sz w:val="28"/>
          <w:szCs w:val="28"/>
          <w:lang w:val="en" w:eastAsia="en-AU"/>
        </w:rPr>
        <w:t>viridicarpa</w:t>
      </w:r>
      <w:proofErr w:type="spellEnd"/>
      <w:r w:rsidR="00023B20" w:rsidRPr="00023B20">
        <w:rPr>
          <w:rFonts w:ascii="Arial" w:hAnsi="Arial" w:cs="Arial"/>
          <w:b/>
          <w:i/>
          <w:sz w:val="28"/>
          <w:szCs w:val="28"/>
          <w:lang w:val="en" w:eastAsia="en-AU"/>
        </w:rPr>
        <w:t xml:space="preserve"> </w:t>
      </w:r>
      <w:proofErr w:type="spellStart"/>
      <w:r w:rsidR="00023B20" w:rsidRPr="002C20C7">
        <w:rPr>
          <w:rFonts w:ascii="Arial" w:hAnsi="Arial" w:cs="Arial"/>
          <w:b/>
          <w:i/>
          <w:sz w:val="28"/>
          <w:szCs w:val="28"/>
          <w:lang w:val="en" w:eastAsia="en-AU"/>
        </w:rPr>
        <w:t>J.B.Williams</w:t>
      </w:r>
      <w:proofErr w:type="spellEnd"/>
      <w:r w:rsidR="00023B20" w:rsidRPr="00023B20">
        <w:rPr>
          <w:rFonts w:ascii="Arial" w:hAnsi="Arial" w:cs="Arial"/>
          <w:b/>
          <w:sz w:val="28"/>
          <w:szCs w:val="28"/>
          <w:lang w:val="en" w:eastAsia="en-AU"/>
        </w:rPr>
        <w:t xml:space="preserve"> subsp.</w:t>
      </w:r>
      <w:r w:rsidR="00023B20" w:rsidRPr="00023B20">
        <w:rPr>
          <w:rFonts w:ascii="Arial" w:hAnsi="Arial" w:cs="Arial"/>
          <w:b/>
          <w:i/>
          <w:sz w:val="28"/>
          <w:szCs w:val="28"/>
          <w:lang w:val="en" w:eastAsia="en-AU"/>
        </w:rPr>
        <w:t xml:space="preserve"> </w:t>
      </w:r>
      <w:proofErr w:type="spellStart"/>
      <w:r w:rsidR="00023B20" w:rsidRPr="00023B20">
        <w:rPr>
          <w:rFonts w:ascii="Arial" w:hAnsi="Arial" w:cs="Arial"/>
          <w:b/>
          <w:i/>
          <w:sz w:val="28"/>
          <w:szCs w:val="28"/>
          <w:lang w:val="en" w:eastAsia="en-AU"/>
        </w:rPr>
        <w:t>viridicarpa</w:t>
      </w:r>
      <w:proofErr w:type="spellEnd"/>
      <w:r w:rsidR="00023B20" w:rsidRPr="00023B20">
        <w:rPr>
          <w:rFonts w:ascii="Arial" w:hAnsi="Arial" w:cs="Arial"/>
          <w:b/>
          <w:i/>
          <w:sz w:val="28"/>
          <w:szCs w:val="28"/>
          <w:lang w:val="en" w:eastAsia="en-AU"/>
        </w:rPr>
        <w:t xml:space="preserve"> </w:t>
      </w:r>
      <w:proofErr w:type="spellStart"/>
      <w:r w:rsidR="00023B20" w:rsidRPr="00023B20">
        <w:rPr>
          <w:rFonts w:ascii="Arial" w:hAnsi="Arial" w:cs="Arial"/>
          <w:b/>
          <w:sz w:val="28"/>
          <w:szCs w:val="28"/>
          <w:lang w:val="en" w:eastAsia="en-AU"/>
        </w:rPr>
        <w:t>ms.</w:t>
      </w:r>
      <w:proofErr w:type="spellEnd"/>
    </w:p>
    <w:p w14:paraId="27125E29" w14:textId="77777777" w:rsidR="00782F62" w:rsidRDefault="00782F62" w:rsidP="00782F62">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0AF9A232" w14:textId="00085FDA" w:rsidR="00826CBF" w:rsidRDefault="00782F62" w:rsidP="00826CBF">
      <w:pPr>
        <w:pStyle w:val="ListParagraph"/>
        <w:numPr>
          <w:ilvl w:val="0"/>
          <w:numId w:val="17"/>
        </w:numPr>
        <w:spacing w:before="240" w:after="120"/>
        <w:ind w:left="425" w:hanging="425"/>
        <w:textAlignment w:val="baseline"/>
        <w:rPr>
          <w:rFonts w:ascii="Arial" w:hAnsi="Arial" w:cs="Arial"/>
          <w:sz w:val="22"/>
          <w:szCs w:val="22"/>
          <w:lang w:val="en" w:eastAsia="en-AU"/>
        </w:rPr>
      </w:pPr>
      <w:r w:rsidRPr="001D0C82">
        <w:rPr>
          <w:rFonts w:ascii="Arial" w:hAnsi="Arial" w:cs="Arial"/>
          <w:sz w:val="22"/>
          <w:szCs w:val="22"/>
          <w:lang w:val="en" w:eastAsia="en-AU"/>
        </w:rPr>
        <w:t xml:space="preserve">the eligibility of </w:t>
      </w:r>
      <w:r>
        <w:rPr>
          <w:rFonts w:ascii="Arial" w:hAnsi="Arial" w:cs="Arial"/>
          <w:sz w:val="22"/>
          <w:szCs w:val="22"/>
          <w:lang w:val="en"/>
        </w:rPr>
        <w:t>a</w:t>
      </w:r>
      <w:r w:rsidRPr="00503A63">
        <w:rPr>
          <w:rFonts w:ascii="Arial" w:hAnsi="Arial" w:cs="Arial"/>
          <w:sz w:val="22"/>
          <w:szCs w:val="22"/>
          <w:lang w:val="en"/>
        </w:rPr>
        <w:t xml:space="preserve"> species</w:t>
      </w:r>
      <w:r>
        <w:rPr>
          <w:rFonts w:ascii="Arial" w:hAnsi="Arial" w:cs="Arial"/>
          <w:sz w:val="22"/>
          <w:szCs w:val="22"/>
          <w:lang w:val="en"/>
        </w:rPr>
        <w:t xml:space="preserve"> </w:t>
      </w:r>
      <w:r w:rsidR="00741CC6">
        <w:rPr>
          <w:rFonts w:ascii="Arial" w:hAnsi="Arial" w:cs="Arial"/>
          <w:sz w:val="22"/>
          <w:szCs w:val="22"/>
          <w:lang w:val="en"/>
        </w:rPr>
        <w:t>found in</w:t>
      </w:r>
      <w:r>
        <w:rPr>
          <w:rFonts w:ascii="Arial" w:hAnsi="Arial" w:cs="Arial"/>
          <w:sz w:val="22"/>
          <w:szCs w:val="22"/>
          <w:lang w:val="en"/>
        </w:rPr>
        <w:t xml:space="preserve"> New South Wales and </w:t>
      </w:r>
      <w:r w:rsidRPr="00023B20">
        <w:rPr>
          <w:rFonts w:ascii="Arial" w:hAnsi="Arial" w:cs="Arial"/>
          <w:sz w:val="22"/>
          <w:szCs w:val="22"/>
          <w:lang w:val="en"/>
        </w:rPr>
        <w:t>Queensland</w:t>
      </w:r>
      <w:r w:rsidRPr="00023B20">
        <w:rPr>
          <w:rFonts w:ascii="Arial" w:hAnsi="Arial" w:cs="Arial"/>
          <w:sz w:val="22"/>
          <w:szCs w:val="22"/>
          <w:lang w:val="en" w:eastAsia="en-AU"/>
        </w:rPr>
        <w:t xml:space="preserve">, </w:t>
      </w:r>
      <w:r>
        <w:rPr>
          <w:rFonts w:ascii="Arial" w:hAnsi="Arial" w:cs="Arial"/>
          <w:i/>
          <w:sz w:val="22"/>
          <w:szCs w:val="22"/>
          <w:lang w:val="en" w:eastAsia="en-AU"/>
        </w:rPr>
        <w:t>Gaultheria </w:t>
      </w:r>
      <w:proofErr w:type="spellStart"/>
      <w:r w:rsidRPr="00023B20">
        <w:rPr>
          <w:rFonts w:ascii="Arial" w:hAnsi="Arial" w:cs="Arial"/>
          <w:i/>
          <w:sz w:val="22"/>
          <w:szCs w:val="22"/>
          <w:lang w:val="en" w:eastAsia="en-AU"/>
        </w:rPr>
        <w:t>viridicarpa</w:t>
      </w:r>
      <w:proofErr w:type="spellEnd"/>
      <w:r w:rsidRPr="00023B20">
        <w:rPr>
          <w:rFonts w:ascii="Arial" w:hAnsi="Arial" w:cs="Arial"/>
          <w:sz w:val="22"/>
          <w:szCs w:val="22"/>
          <w:lang w:val="en" w:eastAsia="en-AU"/>
        </w:rPr>
        <w:t xml:space="preserve"> (Green Waxberry)</w:t>
      </w:r>
      <w:r w:rsidRPr="00023B20">
        <w:rPr>
          <w:rFonts w:ascii="Arial" w:hAnsi="Arial" w:cs="Arial"/>
          <w:sz w:val="22"/>
          <w:szCs w:val="22"/>
          <w:lang w:val="en"/>
        </w:rPr>
        <w:t xml:space="preserve">, </w:t>
      </w:r>
      <w:r w:rsidRPr="00023B20">
        <w:rPr>
          <w:rFonts w:ascii="Arial" w:hAnsi="Arial" w:cs="Arial"/>
          <w:sz w:val="22"/>
          <w:szCs w:val="22"/>
          <w:lang w:val="en" w:eastAsia="en-AU"/>
        </w:rPr>
        <w:t xml:space="preserve">assessed by </w:t>
      </w:r>
      <w:r>
        <w:rPr>
          <w:rFonts w:ascii="Arial" w:hAnsi="Arial" w:cs="Arial"/>
          <w:sz w:val="22"/>
          <w:szCs w:val="22"/>
          <w:lang w:val="en" w:eastAsia="en-AU"/>
        </w:rPr>
        <w:t xml:space="preserve">the </w:t>
      </w:r>
      <w:r>
        <w:rPr>
          <w:rFonts w:ascii="Arial" w:hAnsi="Arial" w:cs="Arial"/>
          <w:sz w:val="22"/>
          <w:szCs w:val="22"/>
          <w:lang w:val="en"/>
        </w:rPr>
        <w:t>New South Wales</w:t>
      </w:r>
      <w:r w:rsidRPr="00023B20">
        <w:rPr>
          <w:rFonts w:ascii="Arial" w:hAnsi="Arial" w:cs="Arial"/>
          <w:sz w:val="22"/>
          <w:szCs w:val="22"/>
          <w:lang w:val="en" w:eastAsia="en-AU"/>
        </w:rPr>
        <w:t xml:space="preserve"> </w:t>
      </w:r>
      <w:r>
        <w:rPr>
          <w:rFonts w:ascii="Arial" w:hAnsi="Arial" w:cs="Arial"/>
          <w:sz w:val="22"/>
          <w:szCs w:val="22"/>
          <w:lang w:val="en" w:eastAsia="en-AU"/>
        </w:rPr>
        <w:t xml:space="preserve">Government </w:t>
      </w:r>
      <w:r w:rsidRPr="00023B20">
        <w:rPr>
          <w:rFonts w:ascii="Arial" w:hAnsi="Arial" w:cs="Arial"/>
          <w:sz w:val="22"/>
          <w:szCs w:val="22"/>
          <w:lang w:val="en" w:eastAsia="en-AU"/>
        </w:rPr>
        <w:t xml:space="preserve">using the </w:t>
      </w:r>
      <w:hyperlink r:id="rId7" w:history="1">
        <w:r w:rsidRPr="00023B20">
          <w:rPr>
            <w:rStyle w:val="Hyperlink"/>
            <w:rFonts w:ascii="Arial" w:hAnsi="Arial" w:cs="Arial"/>
            <w:sz w:val="22"/>
            <w:szCs w:val="22"/>
          </w:rPr>
          <w:t>Common Assessment Method</w:t>
        </w:r>
      </w:hyperlink>
      <w:r w:rsidR="00741CC6">
        <w:rPr>
          <w:rFonts w:ascii="Arial" w:hAnsi="Arial" w:cs="Arial"/>
          <w:sz w:val="22"/>
          <w:szCs w:val="22"/>
        </w:rPr>
        <w:t xml:space="preserve">, </w:t>
      </w:r>
      <w:r w:rsidRPr="003C2EF4">
        <w:rPr>
          <w:rFonts w:ascii="Arial" w:hAnsi="Arial" w:cs="Arial"/>
          <w:sz w:val="22"/>
          <w:szCs w:val="22"/>
          <w:lang w:val="en" w:eastAsia="en-AU"/>
        </w:rPr>
        <w:t xml:space="preserve">for inclusion on the </w:t>
      </w:r>
      <w:r w:rsidRPr="00503A63">
        <w:rPr>
          <w:rFonts w:ascii="Arial" w:hAnsi="Arial" w:cs="Arial"/>
          <w:i/>
          <w:iCs/>
          <w:sz w:val="22"/>
          <w:szCs w:val="22"/>
          <w:lang w:val="en" w:eastAsia="en-AU"/>
        </w:rPr>
        <w:t>Environment Protection and Biodiversity Conservation Act 1999</w:t>
      </w:r>
      <w:r w:rsidRPr="00503A63">
        <w:rPr>
          <w:rFonts w:ascii="Arial" w:hAnsi="Arial" w:cs="Arial"/>
          <w:sz w:val="22"/>
          <w:szCs w:val="22"/>
          <w:lang w:val="en" w:eastAsia="en-AU"/>
        </w:rPr>
        <w:t xml:space="preserve"> (EPBC Act)</w:t>
      </w:r>
      <w:r w:rsidRPr="00EB6EC4">
        <w:rPr>
          <w:rFonts w:ascii="Arial" w:hAnsi="Arial" w:cs="Arial"/>
          <w:sz w:val="22"/>
          <w:szCs w:val="22"/>
          <w:lang w:val="en" w:eastAsia="en-AU"/>
        </w:rPr>
        <w:t xml:space="preserve"> threatened species list; and</w:t>
      </w:r>
    </w:p>
    <w:p w14:paraId="7E15D827" w14:textId="449BAAEE" w:rsidR="00782F62" w:rsidRPr="00826CBF" w:rsidRDefault="00782F62" w:rsidP="00826CBF">
      <w:pPr>
        <w:pStyle w:val="ListParagraph"/>
        <w:numPr>
          <w:ilvl w:val="0"/>
          <w:numId w:val="17"/>
        </w:numPr>
        <w:spacing w:before="240" w:after="120"/>
        <w:ind w:left="425" w:hanging="425"/>
        <w:textAlignment w:val="baseline"/>
        <w:rPr>
          <w:rFonts w:ascii="Arial" w:hAnsi="Arial" w:cs="Arial"/>
          <w:sz w:val="22"/>
          <w:szCs w:val="22"/>
          <w:lang w:val="en" w:eastAsia="en-AU"/>
        </w:rPr>
      </w:pPr>
      <w:r w:rsidRPr="00826CBF">
        <w:rPr>
          <w:rFonts w:ascii="Arial" w:hAnsi="Arial" w:cs="Arial"/>
          <w:sz w:val="22"/>
          <w:szCs w:val="22"/>
          <w:lang w:val="en" w:eastAsia="en-AU"/>
        </w:rPr>
        <w:t>the necessary conservation actions for this species.</w:t>
      </w:r>
    </w:p>
    <w:p w14:paraId="19818229" w14:textId="6875E71D" w:rsidR="00023B20" w:rsidRPr="003C2EF4" w:rsidRDefault="00023B20" w:rsidP="00023B20">
      <w:pPr>
        <w:spacing w:before="100" w:beforeAutospacing="1" w:after="240"/>
        <w:textAlignment w:val="baseline"/>
        <w:rPr>
          <w:rFonts w:ascii="Arial" w:hAnsi="Arial" w:cs="Arial"/>
          <w:sz w:val="22"/>
          <w:szCs w:val="22"/>
          <w:lang w:val="en" w:eastAsia="en-AU"/>
        </w:rPr>
      </w:pPr>
      <w:r w:rsidRPr="003C2EF4">
        <w:rPr>
          <w:rFonts w:ascii="Arial" w:hAnsi="Arial" w:cs="Arial"/>
          <w:sz w:val="22"/>
          <w:szCs w:val="22"/>
          <w:lang w:val="en" w:eastAsia="en-AU"/>
        </w:rPr>
        <w:t xml:space="preserve">You are also invited to provide your views about the eligibility of </w:t>
      </w:r>
      <w:r w:rsidR="00782F62">
        <w:rPr>
          <w:rFonts w:ascii="Arial" w:hAnsi="Arial" w:cs="Arial"/>
          <w:sz w:val="22"/>
          <w:szCs w:val="22"/>
          <w:lang w:val="en" w:eastAsia="en-AU"/>
        </w:rPr>
        <w:t>a</w:t>
      </w:r>
      <w:r w:rsidRPr="003C2EF4">
        <w:rPr>
          <w:rFonts w:ascii="Arial" w:hAnsi="Arial" w:cs="Arial"/>
          <w:sz w:val="22"/>
          <w:szCs w:val="22"/>
          <w:lang w:val="en" w:eastAsia="en-AU"/>
        </w:rPr>
        <w:t xml:space="preserve"> </w:t>
      </w:r>
      <w:r w:rsidR="00782F62">
        <w:rPr>
          <w:rFonts w:ascii="Arial" w:hAnsi="Arial" w:cs="Arial"/>
          <w:sz w:val="22"/>
          <w:szCs w:val="22"/>
          <w:lang w:val="en" w:eastAsia="en-AU"/>
        </w:rPr>
        <w:t>sub</w:t>
      </w:r>
      <w:r w:rsidRPr="003C2EF4">
        <w:rPr>
          <w:rFonts w:ascii="Arial" w:hAnsi="Arial" w:cs="Arial"/>
          <w:sz w:val="22"/>
          <w:szCs w:val="22"/>
          <w:lang w:val="en" w:eastAsia="en-AU"/>
        </w:rPr>
        <w:t xml:space="preserve">species </w:t>
      </w:r>
      <w:r w:rsidRPr="00023B20">
        <w:rPr>
          <w:rFonts w:ascii="Arial" w:hAnsi="Arial" w:cs="Arial"/>
          <w:sz w:val="22"/>
          <w:szCs w:val="22"/>
        </w:rPr>
        <w:t>f</w:t>
      </w:r>
      <w:r w:rsidRPr="00023B20">
        <w:rPr>
          <w:rFonts w:ascii="Arial" w:hAnsi="Arial" w:cs="Arial"/>
          <w:sz w:val="22"/>
          <w:szCs w:val="22"/>
          <w:lang w:val="en" w:eastAsia="en-AU"/>
        </w:rPr>
        <w:t xml:space="preserve">or </w:t>
      </w:r>
      <w:r w:rsidRPr="00023B20">
        <w:rPr>
          <w:rFonts w:ascii="Arial" w:hAnsi="Arial" w:cs="Arial"/>
          <w:sz w:val="22"/>
          <w:szCs w:val="22"/>
          <w:lang w:val="en"/>
        </w:rPr>
        <w:t>deletion</w:t>
      </w:r>
      <w:r w:rsidRPr="00503A63">
        <w:rPr>
          <w:rFonts w:ascii="Arial" w:hAnsi="Arial" w:cs="Arial"/>
          <w:sz w:val="22"/>
          <w:szCs w:val="22"/>
          <w:lang w:val="en"/>
        </w:rPr>
        <w:t xml:space="preserve"> from the </w:t>
      </w:r>
      <w:r w:rsidR="00782F62" w:rsidRPr="003C2EF4">
        <w:rPr>
          <w:rFonts w:ascii="Arial" w:hAnsi="Arial" w:cs="Arial"/>
          <w:sz w:val="22"/>
          <w:szCs w:val="22"/>
          <w:lang w:val="en" w:eastAsia="en-AU"/>
        </w:rPr>
        <w:t>EPBC Act</w:t>
      </w:r>
      <w:r w:rsidR="00782F62" w:rsidRPr="00503A63">
        <w:rPr>
          <w:rFonts w:ascii="Arial" w:hAnsi="Arial" w:cs="Arial"/>
          <w:sz w:val="22"/>
          <w:szCs w:val="22"/>
          <w:lang w:val="en" w:eastAsia="en-AU"/>
        </w:rPr>
        <w:t xml:space="preserve"> </w:t>
      </w:r>
      <w:r w:rsidRPr="00503A63">
        <w:rPr>
          <w:rFonts w:ascii="Arial" w:hAnsi="Arial" w:cs="Arial"/>
          <w:sz w:val="22"/>
          <w:szCs w:val="22"/>
          <w:lang w:val="en" w:eastAsia="en-AU"/>
        </w:rPr>
        <w:t>threatened species list</w:t>
      </w:r>
      <w:r w:rsidRPr="003C2EF4">
        <w:rPr>
          <w:rFonts w:ascii="Arial" w:hAnsi="Arial" w:cs="Arial"/>
          <w:sz w:val="22"/>
          <w:szCs w:val="22"/>
          <w:lang w:val="en" w:eastAsia="en-AU"/>
        </w:rPr>
        <w:t>:</w:t>
      </w:r>
    </w:p>
    <w:p w14:paraId="5A2350B4" w14:textId="503AF341" w:rsidR="00023B20" w:rsidRPr="00023B20" w:rsidRDefault="00023B20" w:rsidP="00826CBF">
      <w:pPr>
        <w:pStyle w:val="NormalWeb"/>
        <w:numPr>
          <w:ilvl w:val="0"/>
          <w:numId w:val="8"/>
        </w:numPr>
        <w:tabs>
          <w:tab w:val="left" w:pos="426"/>
        </w:tabs>
        <w:spacing w:after="120" w:afterAutospacing="0" w:line="276" w:lineRule="auto"/>
        <w:ind w:left="425" w:hanging="425"/>
        <w:rPr>
          <w:rFonts w:ascii="Arial" w:hAnsi="Arial" w:cs="Arial"/>
          <w:i/>
          <w:sz w:val="22"/>
          <w:szCs w:val="22"/>
        </w:rPr>
      </w:pPr>
      <w:r w:rsidRPr="00023B20">
        <w:rPr>
          <w:rFonts w:ascii="Arial" w:hAnsi="Arial" w:cs="Arial"/>
          <w:i/>
          <w:sz w:val="22"/>
          <w:szCs w:val="22"/>
          <w:lang w:val="en"/>
        </w:rPr>
        <w:t>Gaultheria </w:t>
      </w:r>
      <w:proofErr w:type="spellStart"/>
      <w:r w:rsidRPr="00023B20">
        <w:rPr>
          <w:rFonts w:ascii="Arial" w:hAnsi="Arial" w:cs="Arial"/>
          <w:i/>
          <w:sz w:val="22"/>
          <w:szCs w:val="22"/>
          <w:lang w:val="en"/>
        </w:rPr>
        <w:t>viridicarpa</w:t>
      </w:r>
      <w:proofErr w:type="spellEnd"/>
      <w:r w:rsidRPr="002C20C7">
        <w:rPr>
          <w:rFonts w:ascii="Arial" w:hAnsi="Arial" w:cs="Arial"/>
          <w:i/>
          <w:sz w:val="22"/>
          <w:szCs w:val="22"/>
          <w:lang w:val="en"/>
        </w:rPr>
        <w:t xml:space="preserve"> </w:t>
      </w:r>
      <w:proofErr w:type="spellStart"/>
      <w:r w:rsidRPr="002C20C7">
        <w:rPr>
          <w:rFonts w:ascii="Arial" w:hAnsi="Arial" w:cs="Arial"/>
          <w:i/>
          <w:sz w:val="22"/>
          <w:szCs w:val="22"/>
          <w:lang w:val="en"/>
        </w:rPr>
        <w:t>J.B.Williams</w:t>
      </w:r>
      <w:proofErr w:type="spellEnd"/>
      <w:r w:rsidRPr="002C20C7">
        <w:rPr>
          <w:rFonts w:ascii="Arial" w:hAnsi="Arial" w:cs="Arial"/>
          <w:i/>
          <w:sz w:val="22"/>
          <w:szCs w:val="22"/>
          <w:lang w:val="en"/>
        </w:rPr>
        <w:t xml:space="preserve"> </w:t>
      </w:r>
      <w:r w:rsidRPr="00023B20">
        <w:rPr>
          <w:rFonts w:ascii="Arial" w:hAnsi="Arial" w:cs="Arial"/>
          <w:sz w:val="22"/>
          <w:szCs w:val="22"/>
          <w:lang w:val="en"/>
        </w:rPr>
        <w:t>subsp.</w:t>
      </w:r>
      <w:r w:rsidRPr="00023B20">
        <w:rPr>
          <w:rFonts w:ascii="Arial" w:hAnsi="Arial" w:cs="Arial"/>
          <w:i/>
          <w:sz w:val="22"/>
          <w:szCs w:val="22"/>
          <w:lang w:val="en"/>
        </w:rPr>
        <w:t xml:space="preserve"> </w:t>
      </w:r>
      <w:proofErr w:type="spellStart"/>
      <w:r w:rsidRPr="00023B20">
        <w:rPr>
          <w:rFonts w:ascii="Arial" w:hAnsi="Arial" w:cs="Arial"/>
          <w:i/>
          <w:sz w:val="22"/>
          <w:szCs w:val="22"/>
          <w:lang w:val="en"/>
        </w:rPr>
        <w:t>viridicarpa</w:t>
      </w:r>
      <w:proofErr w:type="spellEnd"/>
      <w:r w:rsidRPr="00023B20">
        <w:rPr>
          <w:rFonts w:ascii="Arial" w:hAnsi="Arial" w:cs="Arial"/>
          <w:i/>
          <w:sz w:val="22"/>
          <w:szCs w:val="22"/>
          <w:lang w:val="en"/>
        </w:rPr>
        <w:t xml:space="preserve"> </w:t>
      </w:r>
      <w:proofErr w:type="spellStart"/>
      <w:r w:rsidRPr="00023B20">
        <w:rPr>
          <w:rFonts w:ascii="Arial" w:hAnsi="Arial" w:cs="Arial"/>
          <w:sz w:val="22"/>
          <w:szCs w:val="22"/>
          <w:lang w:val="en"/>
        </w:rPr>
        <w:t>ms.</w:t>
      </w:r>
      <w:proofErr w:type="spellEnd"/>
      <w:r w:rsidR="00826CBF" w:rsidRPr="00826CBF">
        <w:rPr>
          <w:rFonts w:ascii="Arial" w:hAnsi="Arial" w:cs="Arial"/>
          <w:iCs/>
          <w:sz w:val="22"/>
          <w:szCs w:val="22"/>
        </w:rPr>
        <w:t xml:space="preserve"> </w:t>
      </w:r>
      <w:r w:rsidR="00826CBF" w:rsidRPr="008A25D5">
        <w:rPr>
          <w:rFonts w:ascii="Arial" w:hAnsi="Arial" w:cs="Arial"/>
          <w:iCs/>
          <w:sz w:val="22"/>
          <w:szCs w:val="22"/>
        </w:rPr>
        <w:t>(</w:t>
      </w:r>
      <w:r w:rsidR="00826CBF" w:rsidRPr="00023B20">
        <w:rPr>
          <w:rFonts w:ascii="Arial" w:hAnsi="Arial" w:cs="Arial"/>
          <w:sz w:val="22"/>
          <w:szCs w:val="22"/>
          <w:lang w:val="en"/>
        </w:rPr>
        <w:t>Green Waxberry</w:t>
      </w:r>
      <w:r w:rsidR="00826CBF" w:rsidRPr="00826CBF">
        <w:rPr>
          <w:rStyle w:val="Heading1Char"/>
          <w:rFonts w:ascii="Arial" w:hAnsi="Arial"/>
          <w:b w:val="0"/>
        </w:rPr>
        <w:t>)</w:t>
      </w:r>
    </w:p>
    <w:p w14:paraId="5D2FC732" w14:textId="6D784783" w:rsidR="00826CBF" w:rsidRDefault="00782F62" w:rsidP="00826CBF">
      <w:pPr>
        <w:spacing w:before="100" w:beforeAutospacing="1" w:after="240"/>
        <w:textAlignment w:val="baseline"/>
        <w:rPr>
          <w:rFonts w:ascii="Arial" w:hAnsi="Arial" w:cs="Arial"/>
          <w:sz w:val="22"/>
          <w:szCs w:val="22"/>
          <w:lang w:val="en" w:eastAsia="en-AU"/>
        </w:rPr>
      </w:pPr>
      <w:r w:rsidRPr="00023B20">
        <w:rPr>
          <w:rFonts w:ascii="Arial" w:hAnsi="Arial" w:cs="Arial"/>
          <w:i/>
          <w:sz w:val="22"/>
          <w:szCs w:val="22"/>
          <w:lang w:val="en" w:eastAsia="en-AU"/>
        </w:rPr>
        <w:t>Gaultheria </w:t>
      </w:r>
      <w:proofErr w:type="spellStart"/>
      <w:r w:rsidRPr="00023B20">
        <w:rPr>
          <w:rFonts w:ascii="Arial" w:hAnsi="Arial" w:cs="Arial"/>
          <w:i/>
          <w:sz w:val="22"/>
          <w:szCs w:val="22"/>
          <w:lang w:val="en" w:eastAsia="en-AU"/>
        </w:rPr>
        <w:t>viridicarpa</w:t>
      </w:r>
      <w:proofErr w:type="spellEnd"/>
      <w:r w:rsidRPr="00023B20">
        <w:rPr>
          <w:rFonts w:ascii="Arial" w:hAnsi="Arial" w:cs="Arial"/>
          <w:i/>
          <w:sz w:val="22"/>
          <w:szCs w:val="22"/>
          <w:lang w:val="en" w:eastAsia="en-AU"/>
        </w:rPr>
        <w:t xml:space="preserve"> </w:t>
      </w:r>
      <w:proofErr w:type="spellStart"/>
      <w:r w:rsidRPr="002C20C7">
        <w:rPr>
          <w:rFonts w:ascii="Arial" w:hAnsi="Arial" w:cs="Arial"/>
          <w:i/>
          <w:sz w:val="22"/>
          <w:szCs w:val="22"/>
          <w:lang w:val="en" w:eastAsia="en-AU"/>
        </w:rPr>
        <w:t>J.B.Williams</w:t>
      </w:r>
      <w:proofErr w:type="spellEnd"/>
      <w:r w:rsidRPr="00023B20">
        <w:rPr>
          <w:rFonts w:ascii="Arial" w:hAnsi="Arial" w:cs="Arial"/>
          <w:sz w:val="22"/>
          <w:szCs w:val="22"/>
          <w:lang w:val="en" w:eastAsia="en-AU"/>
        </w:rPr>
        <w:t xml:space="preserve"> subsp.</w:t>
      </w:r>
      <w:r w:rsidRPr="00023B20">
        <w:rPr>
          <w:rFonts w:ascii="Arial" w:hAnsi="Arial" w:cs="Arial"/>
          <w:i/>
          <w:sz w:val="22"/>
          <w:szCs w:val="22"/>
          <w:lang w:val="en" w:eastAsia="en-AU"/>
        </w:rPr>
        <w:t xml:space="preserve"> </w:t>
      </w:r>
      <w:proofErr w:type="spellStart"/>
      <w:r w:rsidRPr="00023B20">
        <w:rPr>
          <w:rFonts w:ascii="Arial" w:hAnsi="Arial" w:cs="Arial"/>
          <w:i/>
          <w:sz w:val="22"/>
          <w:szCs w:val="22"/>
          <w:lang w:val="en" w:eastAsia="en-AU"/>
        </w:rPr>
        <w:t>viridicarpa</w:t>
      </w:r>
      <w:proofErr w:type="spellEnd"/>
      <w:r w:rsidRPr="00023B20">
        <w:rPr>
          <w:rFonts w:ascii="Arial" w:hAnsi="Arial" w:cs="Arial"/>
          <w:i/>
          <w:sz w:val="22"/>
          <w:szCs w:val="22"/>
          <w:lang w:val="en" w:eastAsia="en-AU"/>
        </w:rPr>
        <w:t xml:space="preserve"> </w:t>
      </w:r>
      <w:proofErr w:type="spellStart"/>
      <w:r w:rsidRPr="00023B20">
        <w:rPr>
          <w:rFonts w:ascii="Arial" w:hAnsi="Arial" w:cs="Arial"/>
          <w:sz w:val="22"/>
          <w:szCs w:val="22"/>
          <w:lang w:val="en" w:eastAsia="en-AU"/>
        </w:rPr>
        <w:t>ms.</w:t>
      </w:r>
      <w:proofErr w:type="spellEnd"/>
      <w:r w:rsidR="00023B20" w:rsidRPr="003C2EF4">
        <w:rPr>
          <w:rFonts w:ascii="Arial" w:hAnsi="Arial" w:cs="Arial"/>
          <w:i/>
          <w:sz w:val="22"/>
          <w:szCs w:val="22"/>
          <w:lang w:val="en" w:eastAsia="en-AU"/>
        </w:rPr>
        <w:t xml:space="preserve"> </w:t>
      </w:r>
      <w:r w:rsidR="00826CBF" w:rsidRPr="008A25D5">
        <w:rPr>
          <w:rFonts w:ascii="Arial" w:hAnsi="Arial" w:cs="Arial"/>
          <w:iCs/>
          <w:sz w:val="22"/>
          <w:szCs w:val="22"/>
        </w:rPr>
        <w:t>(</w:t>
      </w:r>
      <w:r w:rsidR="00826CBF" w:rsidRPr="00023B20">
        <w:rPr>
          <w:rFonts w:ascii="Arial" w:hAnsi="Arial" w:cs="Arial"/>
          <w:sz w:val="22"/>
          <w:szCs w:val="22"/>
          <w:lang w:val="en" w:eastAsia="en-AU"/>
        </w:rPr>
        <w:t>Green Waxberry</w:t>
      </w:r>
      <w:r w:rsidR="00826CBF" w:rsidRPr="00826CBF">
        <w:rPr>
          <w:rStyle w:val="Heading1Char"/>
          <w:rFonts w:ascii="Arial" w:hAnsi="Arial"/>
          <w:b w:val="0"/>
        </w:rPr>
        <w:t>)</w:t>
      </w:r>
      <w:r w:rsidR="00826CBF">
        <w:rPr>
          <w:rStyle w:val="Heading1Char"/>
          <w:rFonts w:ascii="Arial" w:hAnsi="Arial"/>
          <w:b w:val="0"/>
        </w:rPr>
        <w:t xml:space="preserve"> </w:t>
      </w:r>
      <w:r w:rsidR="00023B20" w:rsidRPr="003C2EF4">
        <w:rPr>
          <w:rFonts w:ascii="Arial" w:hAnsi="Arial" w:cs="Arial"/>
          <w:sz w:val="22"/>
          <w:szCs w:val="22"/>
          <w:lang w:val="en" w:eastAsia="en-AU"/>
        </w:rPr>
        <w:t xml:space="preserve">is currently listed as </w:t>
      </w:r>
      <w:r>
        <w:rPr>
          <w:rFonts w:ascii="Arial" w:hAnsi="Arial" w:cs="Arial"/>
          <w:sz w:val="22"/>
          <w:szCs w:val="22"/>
          <w:lang w:val="en" w:eastAsia="en-AU"/>
        </w:rPr>
        <w:t>Vulnerable</w:t>
      </w:r>
      <w:r w:rsidR="00023B20" w:rsidRPr="003C2EF4">
        <w:rPr>
          <w:rFonts w:ascii="Arial" w:hAnsi="Arial" w:cs="Arial"/>
          <w:sz w:val="22"/>
          <w:szCs w:val="22"/>
          <w:lang w:val="en" w:eastAsia="en-AU"/>
        </w:rPr>
        <w:t xml:space="preserve"> under the EPBC Act. It was listed as </w:t>
      </w:r>
      <w:r>
        <w:rPr>
          <w:rFonts w:ascii="Arial" w:hAnsi="Arial" w:cs="Arial"/>
          <w:sz w:val="22"/>
          <w:szCs w:val="22"/>
          <w:lang w:val="en" w:eastAsia="en-AU"/>
        </w:rPr>
        <w:t>Vulnerable</w:t>
      </w:r>
      <w:r w:rsidRPr="003C2EF4">
        <w:rPr>
          <w:rFonts w:ascii="Arial" w:hAnsi="Arial" w:cs="Arial"/>
          <w:sz w:val="22"/>
          <w:szCs w:val="22"/>
          <w:lang w:val="en" w:eastAsia="en-AU"/>
        </w:rPr>
        <w:t xml:space="preserve"> </w:t>
      </w:r>
      <w:r w:rsidR="00023B20" w:rsidRPr="003C2EF4">
        <w:rPr>
          <w:rFonts w:ascii="Arial" w:hAnsi="Arial" w:cs="Arial"/>
          <w:sz w:val="22"/>
          <w:szCs w:val="22"/>
          <w:lang w:val="en" w:eastAsia="en-AU"/>
        </w:rPr>
        <w:t xml:space="preserve">under the former </w:t>
      </w:r>
      <w:r w:rsidR="00023B20" w:rsidRPr="003C2EF4">
        <w:rPr>
          <w:rFonts w:ascii="Arial" w:hAnsi="Arial" w:cs="Arial"/>
          <w:i/>
          <w:sz w:val="22"/>
          <w:szCs w:val="22"/>
          <w:lang w:val="en" w:eastAsia="en-AU"/>
        </w:rPr>
        <w:t xml:space="preserve">Endangered Species Protection Act 1992 </w:t>
      </w:r>
      <w:r w:rsidR="00023B20" w:rsidRPr="003C2EF4">
        <w:rPr>
          <w:rFonts w:ascii="Arial" w:hAnsi="Arial" w:cs="Arial"/>
          <w:sz w:val="22"/>
          <w:szCs w:val="22"/>
          <w:lang w:val="en" w:eastAsia="en-AU"/>
        </w:rPr>
        <w:t>and transferred to the EPBC Act list w</w:t>
      </w:r>
      <w:r w:rsidR="00826CBF">
        <w:rPr>
          <w:rFonts w:ascii="Arial" w:hAnsi="Arial" w:cs="Arial"/>
          <w:sz w:val="22"/>
          <w:szCs w:val="22"/>
          <w:lang w:val="en" w:eastAsia="en-AU"/>
        </w:rPr>
        <w:t>hen it came into force in 2000.</w:t>
      </w:r>
    </w:p>
    <w:p w14:paraId="5648F9CD" w14:textId="5C51DC6D" w:rsidR="00826CBF" w:rsidRPr="002C20C7" w:rsidRDefault="00826CBF" w:rsidP="00826CBF">
      <w:pPr>
        <w:spacing w:before="100" w:beforeAutospacing="1" w:after="240"/>
        <w:textAlignment w:val="baseline"/>
        <w:rPr>
          <w:rStyle w:val="Strong"/>
          <w:rFonts w:ascii="Arial" w:hAnsi="Arial" w:cs="Arial"/>
          <w:b w:val="0"/>
          <w:sz w:val="22"/>
          <w:szCs w:val="22"/>
          <w:lang w:val="en" w:eastAsia="en-AU"/>
        </w:rPr>
      </w:pPr>
      <w:r w:rsidRPr="008A25D5">
        <w:rPr>
          <w:rFonts w:ascii="Arial" w:hAnsi="Arial" w:cs="Arial"/>
          <w:i/>
          <w:iCs/>
          <w:sz w:val="22"/>
          <w:szCs w:val="22"/>
          <w:lang w:val="en"/>
        </w:rPr>
        <w:t xml:space="preserve">Gaultheria </w:t>
      </w:r>
      <w:proofErr w:type="spellStart"/>
      <w:r w:rsidRPr="008A25D5">
        <w:rPr>
          <w:rFonts w:ascii="Arial" w:hAnsi="Arial" w:cs="Arial"/>
          <w:i/>
          <w:iCs/>
          <w:sz w:val="22"/>
          <w:szCs w:val="22"/>
          <w:lang w:val="en"/>
        </w:rPr>
        <w:t>viridicarpa</w:t>
      </w:r>
      <w:proofErr w:type="spellEnd"/>
      <w:r w:rsidRPr="008A25D5">
        <w:rPr>
          <w:rFonts w:ascii="Arial" w:hAnsi="Arial" w:cs="Arial"/>
          <w:i/>
          <w:iCs/>
          <w:sz w:val="22"/>
          <w:szCs w:val="22"/>
          <w:lang w:val="en"/>
        </w:rPr>
        <w:t xml:space="preserve"> </w:t>
      </w:r>
      <w:proofErr w:type="spellStart"/>
      <w:r w:rsidRPr="002C20C7">
        <w:rPr>
          <w:rFonts w:ascii="Arial" w:hAnsi="Arial" w:cs="Arial"/>
          <w:i/>
          <w:iCs/>
          <w:sz w:val="22"/>
          <w:szCs w:val="22"/>
          <w:lang w:val="en"/>
        </w:rPr>
        <w:t>J.B.Williams</w:t>
      </w:r>
      <w:proofErr w:type="spellEnd"/>
      <w:r w:rsidRPr="008A25D5">
        <w:rPr>
          <w:rFonts w:ascii="Arial" w:hAnsi="Arial" w:cs="Arial"/>
          <w:sz w:val="22"/>
          <w:szCs w:val="22"/>
          <w:lang w:val="en"/>
        </w:rPr>
        <w:t xml:space="preserve"> subsp. </w:t>
      </w:r>
      <w:proofErr w:type="spellStart"/>
      <w:r w:rsidRPr="008A25D5">
        <w:rPr>
          <w:rFonts w:ascii="Arial" w:hAnsi="Arial" w:cs="Arial"/>
          <w:i/>
          <w:iCs/>
          <w:sz w:val="22"/>
          <w:szCs w:val="22"/>
          <w:lang w:val="en"/>
        </w:rPr>
        <w:t>viridicarpa</w:t>
      </w:r>
      <w:proofErr w:type="spellEnd"/>
      <w:r w:rsidRPr="008A25D5">
        <w:rPr>
          <w:rFonts w:ascii="Arial" w:hAnsi="Arial" w:cs="Arial"/>
          <w:i/>
          <w:iCs/>
          <w:sz w:val="22"/>
          <w:szCs w:val="22"/>
          <w:lang w:val="en"/>
        </w:rPr>
        <w:t xml:space="preserve"> </w:t>
      </w:r>
      <w:proofErr w:type="spellStart"/>
      <w:r w:rsidRPr="008A25D5">
        <w:rPr>
          <w:rFonts w:ascii="Arial" w:hAnsi="Arial" w:cs="Arial"/>
          <w:iCs/>
          <w:sz w:val="22"/>
          <w:szCs w:val="22"/>
          <w:lang w:val="en"/>
        </w:rPr>
        <w:t>ms</w:t>
      </w:r>
      <w:r w:rsidRPr="008A25D5">
        <w:rPr>
          <w:rFonts w:ascii="Arial" w:hAnsi="Arial" w:cs="Arial"/>
          <w:i/>
          <w:iCs/>
          <w:sz w:val="22"/>
          <w:szCs w:val="22"/>
          <w:lang w:val="en"/>
        </w:rPr>
        <w:t>.</w:t>
      </w:r>
      <w:proofErr w:type="spellEnd"/>
      <w:r w:rsidRPr="008A25D5">
        <w:rPr>
          <w:rFonts w:ascii="Arial" w:hAnsi="Arial" w:cs="Arial"/>
          <w:iCs/>
          <w:sz w:val="22"/>
          <w:szCs w:val="22"/>
        </w:rPr>
        <w:t xml:space="preserve"> </w:t>
      </w:r>
      <w:r w:rsidRPr="00B76185">
        <w:rPr>
          <w:rFonts w:ascii="Arial" w:hAnsi="Arial" w:cs="Arial"/>
          <w:sz w:val="22"/>
          <w:szCs w:val="22"/>
          <w:lang w:val="en"/>
        </w:rPr>
        <w:t xml:space="preserve">refers to the populations of </w:t>
      </w:r>
      <w:r w:rsidRPr="00B76185">
        <w:rPr>
          <w:rFonts w:ascii="Arial" w:hAnsi="Arial" w:cs="Arial"/>
          <w:i/>
          <w:iCs/>
          <w:sz w:val="22"/>
          <w:szCs w:val="22"/>
          <w:lang w:val="en"/>
        </w:rPr>
        <w:t xml:space="preserve">Gaultheria </w:t>
      </w:r>
      <w:proofErr w:type="spellStart"/>
      <w:r w:rsidRPr="00B76185">
        <w:rPr>
          <w:rFonts w:ascii="Arial" w:hAnsi="Arial" w:cs="Arial"/>
          <w:i/>
          <w:iCs/>
          <w:sz w:val="22"/>
          <w:szCs w:val="22"/>
          <w:lang w:val="en"/>
        </w:rPr>
        <w:t>viridicarpa</w:t>
      </w:r>
      <w:proofErr w:type="spellEnd"/>
      <w:r w:rsidRPr="00B76185">
        <w:rPr>
          <w:rFonts w:ascii="Arial" w:hAnsi="Arial" w:cs="Arial"/>
          <w:i/>
          <w:iCs/>
          <w:sz w:val="22"/>
          <w:szCs w:val="22"/>
          <w:lang w:val="en"/>
        </w:rPr>
        <w:t xml:space="preserve"> </w:t>
      </w:r>
      <w:r w:rsidRPr="00B76185">
        <w:rPr>
          <w:rFonts w:ascii="Arial" w:hAnsi="Arial" w:cs="Arial"/>
          <w:sz w:val="22"/>
          <w:szCs w:val="22"/>
          <w:lang w:val="en"/>
        </w:rPr>
        <w:t>that occur along the Great Escarpment from near Ebor</w:t>
      </w:r>
      <w:r>
        <w:rPr>
          <w:rFonts w:ascii="Arial" w:hAnsi="Arial" w:cs="Arial"/>
          <w:sz w:val="22"/>
          <w:szCs w:val="22"/>
          <w:lang w:val="en"/>
        </w:rPr>
        <w:t xml:space="preserve"> </w:t>
      </w:r>
      <w:r w:rsidRPr="00B76185">
        <w:rPr>
          <w:rFonts w:ascii="Arial" w:hAnsi="Arial" w:cs="Arial"/>
          <w:sz w:val="22"/>
          <w:szCs w:val="22"/>
          <w:lang w:val="en"/>
        </w:rPr>
        <w:t>south</w:t>
      </w:r>
      <w:r>
        <w:rPr>
          <w:rFonts w:ascii="Arial" w:hAnsi="Arial" w:cs="Arial"/>
          <w:sz w:val="22"/>
          <w:szCs w:val="22"/>
          <w:lang w:val="en"/>
        </w:rPr>
        <w:t>wards</w:t>
      </w:r>
      <w:r w:rsidRPr="00B76185">
        <w:rPr>
          <w:rFonts w:ascii="Arial" w:hAnsi="Arial" w:cs="Arial"/>
          <w:sz w:val="22"/>
          <w:szCs w:val="22"/>
          <w:lang w:val="en"/>
        </w:rPr>
        <w:t xml:space="preserve"> to Point Lookout, a</w:t>
      </w:r>
      <w:r>
        <w:rPr>
          <w:rFonts w:ascii="Arial" w:hAnsi="Arial" w:cs="Arial"/>
          <w:sz w:val="22"/>
          <w:szCs w:val="22"/>
          <w:lang w:val="en"/>
        </w:rPr>
        <w:t>pproximately</w:t>
      </w:r>
      <w:r w:rsidRPr="00B76185">
        <w:rPr>
          <w:rFonts w:ascii="Arial" w:hAnsi="Arial" w:cs="Arial"/>
          <w:sz w:val="22"/>
          <w:szCs w:val="22"/>
          <w:lang w:val="en"/>
        </w:rPr>
        <w:t xml:space="preserve"> 70 </w:t>
      </w:r>
      <w:r>
        <w:rPr>
          <w:rFonts w:ascii="Arial" w:hAnsi="Arial" w:cs="Arial"/>
          <w:sz w:val="22"/>
          <w:szCs w:val="22"/>
          <w:lang w:val="en"/>
        </w:rPr>
        <w:t>k</w:t>
      </w:r>
      <w:r w:rsidRPr="00B76185">
        <w:rPr>
          <w:rFonts w:ascii="Arial" w:hAnsi="Arial" w:cs="Arial"/>
          <w:sz w:val="22"/>
          <w:szCs w:val="22"/>
          <w:lang w:val="en"/>
        </w:rPr>
        <w:t xml:space="preserve">m east of </w:t>
      </w:r>
      <w:proofErr w:type="spellStart"/>
      <w:r w:rsidRPr="00B76185">
        <w:rPr>
          <w:rFonts w:ascii="Arial" w:hAnsi="Arial" w:cs="Arial"/>
          <w:sz w:val="22"/>
          <w:szCs w:val="22"/>
          <w:lang w:val="en"/>
        </w:rPr>
        <w:t>Armidale</w:t>
      </w:r>
      <w:proofErr w:type="spellEnd"/>
      <w:r>
        <w:rPr>
          <w:rFonts w:ascii="Arial" w:hAnsi="Arial" w:cs="Arial"/>
          <w:sz w:val="22"/>
          <w:szCs w:val="22"/>
          <w:lang w:val="en"/>
        </w:rPr>
        <w:t>,</w:t>
      </w:r>
      <w:r w:rsidRPr="00B76185">
        <w:rPr>
          <w:rFonts w:ascii="Arial" w:hAnsi="Arial" w:cs="Arial"/>
          <w:sz w:val="22"/>
          <w:szCs w:val="22"/>
          <w:lang w:val="en"/>
        </w:rPr>
        <w:t xml:space="preserve"> N</w:t>
      </w:r>
      <w:r>
        <w:rPr>
          <w:rFonts w:ascii="Arial" w:hAnsi="Arial" w:cs="Arial"/>
          <w:sz w:val="22"/>
          <w:szCs w:val="22"/>
          <w:lang w:val="en"/>
        </w:rPr>
        <w:t xml:space="preserve">ew </w:t>
      </w:r>
      <w:r w:rsidRPr="00B76185">
        <w:rPr>
          <w:rFonts w:ascii="Arial" w:hAnsi="Arial" w:cs="Arial"/>
          <w:sz w:val="22"/>
          <w:szCs w:val="22"/>
          <w:lang w:val="en"/>
        </w:rPr>
        <w:t>S</w:t>
      </w:r>
      <w:r>
        <w:rPr>
          <w:rFonts w:ascii="Arial" w:hAnsi="Arial" w:cs="Arial"/>
          <w:sz w:val="22"/>
          <w:szCs w:val="22"/>
          <w:lang w:val="en"/>
        </w:rPr>
        <w:t xml:space="preserve">outh </w:t>
      </w:r>
      <w:r w:rsidRPr="00826CBF">
        <w:rPr>
          <w:rFonts w:ascii="Arial" w:hAnsi="Arial" w:cs="Arial"/>
          <w:sz w:val="22"/>
          <w:szCs w:val="22"/>
          <w:lang w:val="en"/>
        </w:rPr>
        <w:t>Wales</w:t>
      </w:r>
      <w:r w:rsidRPr="00826CBF">
        <w:rPr>
          <w:rStyle w:val="Strong"/>
          <w:rFonts w:ascii="Arial" w:hAnsi="Arial"/>
          <w:b w:val="0"/>
          <w:bCs/>
          <w:color w:val="000000" w:themeColor="text1"/>
          <w:sz w:val="22"/>
          <w:szCs w:val="22"/>
        </w:rPr>
        <w:t>.</w:t>
      </w:r>
      <w:r>
        <w:rPr>
          <w:rStyle w:val="Strong"/>
          <w:rFonts w:ascii="Arial" w:hAnsi="Arial"/>
          <w:b w:val="0"/>
          <w:bCs/>
          <w:color w:val="000000" w:themeColor="text1"/>
          <w:sz w:val="22"/>
          <w:szCs w:val="22"/>
        </w:rPr>
        <w:t xml:space="preserve"> These populations have been </w:t>
      </w:r>
      <w:r w:rsidR="002C20C7">
        <w:rPr>
          <w:rStyle w:val="Strong"/>
          <w:rFonts w:ascii="Arial" w:hAnsi="Arial"/>
          <w:b w:val="0"/>
          <w:bCs/>
          <w:color w:val="000000" w:themeColor="text1"/>
          <w:sz w:val="22"/>
          <w:szCs w:val="22"/>
        </w:rPr>
        <w:t xml:space="preserve">also been recognised as </w:t>
      </w:r>
      <w:r w:rsidR="002C20C7" w:rsidRPr="00826CBF">
        <w:rPr>
          <w:rFonts w:ascii="Arial" w:hAnsi="Arial" w:cs="Arial"/>
          <w:i/>
          <w:iCs/>
          <w:color w:val="000000" w:themeColor="text1"/>
          <w:sz w:val="22"/>
          <w:szCs w:val="22"/>
        </w:rPr>
        <w:t>G</w:t>
      </w:r>
      <w:r w:rsidR="002C20C7" w:rsidRPr="00826CBF">
        <w:rPr>
          <w:rFonts w:ascii="Arial" w:hAnsi="Arial" w:cs="Arial"/>
          <w:iCs/>
          <w:color w:val="000000" w:themeColor="text1"/>
          <w:sz w:val="22"/>
          <w:szCs w:val="22"/>
        </w:rPr>
        <w:t>.</w:t>
      </w:r>
      <w:r w:rsidR="002C20C7" w:rsidRPr="00826CBF">
        <w:rPr>
          <w:rFonts w:ascii="Arial" w:hAnsi="Arial" w:cs="Arial"/>
          <w:i/>
          <w:iCs/>
          <w:color w:val="000000" w:themeColor="text1"/>
          <w:sz w:val="22"/>
          <w:szCs w:val="22"/>
        </w:rPr>
        <w:t> v</w:t>
      </w:r>
      <w:r w:rsidR="002C20C7" w:rsidRPr="00826CBF">
        <w:rPr>
          <w:rFonts w:ascii="Arial" w:hAnsi="Arial" w:cs="Arial"/>
          <w:iCs/>
          <w:color w:val="000000" w:themeColor="text1"/>
          <w:sz w:val="22"/>
          <w:szCs w:val="22"/>
        </w:rPr>
        <w:t>.</w:t>
      </w:r>
      <w:r w:rsidR="002C20C7" w:rsidRPr="00826CBF">
        <w:rPr>
          <w:rFonts w:ascii="Arial" w:hAnsi="Arial" w:cs="Arial"/>
          <w:sz w:val="22"/>
          <w:szCs w:val="22"/>
        </w:rPr>
        <w:t xml:space="preserve"> subsp. </w:t>
      </w:r>
      <w:proofErr w:type="spellStart"/>
      <w:r w:rsidR="002C20C7">
        <w:rPr>
          <w:rFonts w:ascii="Arial" w:hAnsi="Arial" w:cs="Arial"/>
          <w:i/>
          <w:iCs/>
          <w:color w:val="000000" w:themeColor="text1"/>
          <w:sz w:val="22"/>
          <w:szCs w:val="22"/>
        </w:rPr>
        <w:t>viridicarpa</w:t>
      </w:r>
      <w:proofErr w:type="spellEnd"/>
      <w:r w:rsidR="002C20C7">
        <w:rPr>
          <w:rFonts w:ascii="Arial" w:hAnsi="Arial" w:cs="Arial"/>
          <w:iCs/>
          <w:color w:val="000000" w:themeColor="text1"/>
          <w:sz w:val="22"/>
          <w:szCs w:val="22"/>
        </w:rPr>
        <w:t>.</w:t>
      </w:r>
    </w:p>
    <w:p w14:paraId="001845F7" w14:textId="4CDF74E2" w:rsidR="002C20C7" w:rsidRDefault="002C20C7" w:rsidP="00826CBF">
      <w:pPr>
        <w:spacing w:before="100" w:beforeAutospacing="1" w:after="240"/>
        <w:textAlignment w:val="baseline"/>
        <w:rPr>
          <w:rFonts w:ascii="Arial" w:hAnsi="Arial" w:cs="Arial"/>
          <w:sz w:val="22"/>
          <w:szCs w:val="22"/>
          <w:lang w:val="en"/>
        </w:rPr>
      </w:pPr>
      <w:r>
        <w:rPr>
          <w:rFonts w:ascii="Arial" w:hAnsi="Arial" w:cs="Arial"/>
          <w:iCs/>
          <w:sz w:val="22"/>
          <w:szCs w:val="22"/>
          <w:lang w:val="en"/>
        </w:rPr>
        <w:t xml:space="preserve">Another </w:t>
      </w:r>
      <w:r w:rsidR="002B1297" w:rsidRPr="00B76185">
        <w:rPr>
          <w:rFonts w:ascii="Arial" w:hAnsi="Arial" w:cs="Arial"/>
          <w:sz w:val="22"/>
          <w:szCs w:val="22"/>
          <w:lang w:val="en"/>
        </w:rPr>
        <w:t xml:space="preserve">population </w:t>
      </w:r>
      <w:r w:rsidR="002B1297" w:rsidRPr="002B1297">
        <w:rPr>
          <w:rFonts w:ascii="Arial" w:hAnsi="Arial" w:cs="Arial"/>
          <w:bCs/>
          <w:sz w:val="22"/>
          <w:szCs w:val="22"/>
        </w:rPr>
        <w:t>occur</w:t>
      </w:r>
      <w:r w:rsidR="002B1297">
        <w:rPr>
          <w:rFonts w:ascii="Arial" w:hAnsi="Arial" w:cs="Arial"/>
          <w:bCs/>
          <w:sz w:val="22"/>
          <w:szCs w:val="22"/>
        </w:rPr>
        <w:t>s</w:t>
      </w:r>
      <w:r w:rsidR="002B1297" w:rsidRPr="002B1297">
        <w:rPr>
          <w:rFonts w:ascii="Arial" w:hAnsi="Arial" w:cs="Arial"/>
          <w:bCs/>
          <w:sz w:val="22"/>
          <w:szCs w:val="22"/>
        </w:rPr>
        <w:t xml:space="preserve"> on the rim of the Mount Warning caldera on the border between New South Wales</w:t>
      </w:r>
      <w:r w:rsidR="002B1297">
        <w:rPr>
          <w:rFonts w:ascii="Arial" w:hAnsi="Arial" w:cs="Arial"/>
          <w:bCs/>
          <w:sz w:val="22"/>
          <w:szCs w:val="22"/>
        </w:rPr>
        <w:t xml:space="preserve"> </w:t>
      </w:r>
      <w:r w:rsidR="002B1297">
        <w:rPr>
          <w:rFonts w:ascii="Arial" w:hAnsi="Arial" w:cs="Arial"/>
          <w:sz w:val="22"/>
          <w:szCs w:val="22"/>
          <w:lang w:val="en"/>
        </w:rPr>
        <w:t xml:space="preserve">and </w:t>
      </w:r>
      <w:r w:rsidR="002B1297" w:rsidRPr="00023B20">
        <w:rPr>
          <w:rFonts w:ascii="Arial" w:hAnsi="Arial" w:cs="Arial"/>
          <w:sz w:val="22"/>
          <w:szCs w:val="22"/>
          <w:lang w:val="en"/>
        </w:rPr>
        <w:t>Queensland</w:t>
      </w:r>
      <w:r w:rsidR="002B1297">
        <w:rPr>
          <w:rFonts w:ascii="Arial" w:hAnsi="Arial" w:cs="Arial"/>
          <w:sz w:val="22"/>
          <w:szCs w:val="22"/>
          <w:lang w:val="en"/>
        </w:rPr>
        <w:t xml:space="preserve">. This population was formerly considered a separate </w:t>
      </w:r>
      <w:r>
        <w:rPr>
          <w:rFonts w:ascii="Arial" w:hAnsi="Arial" w:cs="Arial"/>
          <w:iCs/>
          <w:sz w:val="22"/>
          <w:szCs w:val="22"/>
          <w:lang w:val="en"/>
        </w:rPr>
        <w:t>subspecies</w:t>
      </w:r>
      <w:r w:rsidRPr="002B1297">
        <w:rPr>
          <w:rFonts w:ascii="Arial" w:hAnsi="Arial" w:cs="Arial"/>
          <w:iCs/>
          <w:sz w:val="22"/>
          <w:szCs w:val="22"/>
          <w:lang w:val="en"/>
        </w:rPr>
        <w:t xml:space="preserve">, </w:t>
      </w:r>
      <w:r w:rsidR="002B1297">
        <w:rPr>
          <w:rFonts w:ascii="Arial" w:hAnsi="Arial" w:cs="Arial"/>
          <w:iCs/>
          <w:sz w:val="22"/>
          <w:szCs w:val="22"/>
          <w:lang w:val="en"/>
        </w:rPr>
        <w:t xml:space="preserve">known as </w:t>
      </w:r>
      <w:r w:rsidR="002B1297" w:rsidRPr="002B1297">
        <w:rPr>
          <w:rFonts w:ascii="Arial" w:hAnsi="Arial" w:cs="Arial"/>
          <w:i/>
          <w:iCs/>
          <w:sz w:val="22"/>
          <w:szCs w:val="22"/>
        </w:rPr>
        <w:t>Gaultheria</w:t>
      </w:r>
      <w:r w:rsidR="002B1297" w:rsidRPr="002B1297">
        <w:rPr>
          <w:rFonts w:ascii="Arial" w:hAnsi="Arial" w:cs="Arial"/>
          <w:iCs/>
          <w:sz w:val="22"/>
          <w:szCs w:val="22"/>
        </w:rPr>
        <w:t xml:space="preserve"> sp. Mt Merino (</w:t>
      </w:r>
      <w:proofErr w:type="spellStart"/>
      <w:r w:rsidR="002B1297" w:rsidRPr="002B1297">
        <w:rPr>
          <w:rFonts w:ascii="Arial" w:hAnsi="Arial" w:cs="Arial"/>
          <w:iCs/>
          <w:sz w:val="22"/>
          <w:szCs w:val="22"/>
        </w:rPr>
        <w:t>G.Leiper</w:t>
      </w:r>
      <w:proofErr w:type="spellEnd"/>
      <w:r w:rsidR="002B1297" w:rsidRPr="002B1297">
        <w:rPr>
          <w:rFonts w:ascii="Arial" w:hAnsi="Arial" w:cs="Arial"/>
          <w:iCs/>
          <w:sz w:val="22"/>
          <w:szCs w:val="22"/>
        </w:rPr>
        <w:t xml:space="preserve"> AQ502686)</w:t>
      </w:r>
      <w:r w:rsidR="002B1297">
        <w:rPr>
          <w:rFonts w:ascii="Arial" w:hAnsi="Arial" w:cs="Arial"/>
          <w:iCs/>
          <w:sz w:val="22"/>
          <w:szCs w:val="22"/>
          <w:lang w:val="en"/>
        </w:rPr>
        <w:t xml:space="preserve"> or </w:t>
      </w:r>
      <w:r w:rsidRPr="002B1297">
        <w:rPr>
          <w:rFonts w:ascii="Arial" w:hAnsi="Arial" w:cs="Arial"/>
          <w:i/>
          <w:iCs/>
          <w:sz w:val="22"/>
          <w:szCs w:val="22"/>
          <w:lang w:val="en"/>
        </w:rPr>
        <w:t>Gaultheria</w:t>
      </w:r>
      <w:r w:rsidRPr="002B1297">
        <w:rPr>
          <w:rFonts w:ascii="Arial" w:hAnsi="Arial" w:cs="Arial"/>
          <w:i/>
          <w:iCs/>
          <w:color w:val="000000" w:themeColor="text1"/>
          <w:sz w:val="22"/>
          <w:szCs w:val="22"/>
        </w:rPr>
        <w:t> </w:t>
      </w:r>
      <w:proofErr w:type="spellStart"/>
      <w:r w:rsidRPr="002B1297">
        <w:rPr>
          <w:rFonts w:ascii="Arial" w:hAnsi="Arial" w:cs="Arial"/>
          <w:i/>
          <w:iCs/>
          <w:sz w:val="22"/>
          <w:szCs w:val="22"/>
          <w:lang w:val="en"/>
        </w:rPr>
        <w:t>viridicarpa</w:t>
      </w:r>
      <w:proofErr w:type="spellEnd"/>
      <w:r w:rsidRPr="002B1297">
        <w:rPr>
          <w:rFonts w:ascii="Arial" w:hAnsi="Arial" w:cs="Arial"/>
          <w:sz w:val="22"/>
          <w:szCs w:val="22"/>
        </w:rPr>
        <w:t xml:space="preserve"> subsp. </w:t>
      </w:r>
      <w:proofErr w:type="spellStart"/>
      <w:r w:rsidRPr="002B1297">
        <w:rPr>
          <w:rFonts w:ascii="Arial" w:hAnsi="Arial" w:cs="Arial"/>
          <w:i/>
          <w:iCs/>
          <w:color w:val="000000" w:themeColor="text1"/>
          <w:sz w:val="22"/>
          <w:szCs w:val="22"/>
        </w:rPr>
        <w:t>merinoensis</w:t>
      </w:r>
      <w:proofErr w:type="spellEnd"/>
      <w:r w:rsidR="002B1297">
        <w:rPr>
          <w:rStyle w:val="Strong"/>
          <w:rFonts w:ascii="Arial" w:hAnsi="Arial" w:cs="Arial"/>
          <w:b w:val="0"/>
          <w:bCs/>
          <w:color w:val="000000" w:themeColor="text1"/>
          <w:sz w:val="22"/>
          <w:szCs w:val="22"/>
        </w:rPr>
        <w:t>.</w:t>
      </w:r>
      <w:r w:rsidRPr="002B1297">
        <w:rPr>
          <w:rFonts w:ascii="Arial" w:hAnsi="Arial" w:cs="Arial"/>
          <w:bCs/>
          <w:sz w:val="22"/>
          <w:szCs w:val="22"/>
        </w:rPr>
        <w:t xml:space="preserve"> </w:t>
      </w:r>
    </w:p>
    <w:p w14:paraId="06B63210" w14:textId="5967F929" w:rsidR="00023B20" w:rsidRPr="00826CBF" w:rsidRDefault="00741CC6" w:rsidP="00826CBF">
      <w:pPr>
        <w:spacing w:before="100" w:beforeAutospacing="1" w:after="240"/>
        <w:textAlignment w:val="baseline"/>
        <w:rPr>
          <w:rFonts w:ascii="Arial" w:hAnsi="Arial" w:cs="Arial"/>
          <w:sz w:val="22"/>
          <w:szCs w:val="22"/>
          <w:lang w:val="en" w:eastAsia="en-AU"/>
        </w:rPr>
      </w:pPr>
      <w:r>
        <w:rPr>
          <w:rStyle w:val="Strong"/>
          <w:rFonts w:ascii="Arial" w:hAnsi="Arial"/>
          <w:b w:val="0"/>
          <w:bCs/>
          <w:color w:val="000000" w:themeColor="text1"/>
          <w:sz w:val="22"/>
          <w:szCs w:val="22"/>
        </w:rPr>
        <w:t>A taxonomic review in 2012</w:t>
      </w:r>
      <w:r w:rsidR="00826CBF" w:rsidRPr="00826CBF">
        <w:rPr>
          <w:rFonts w:ascii="Arial" w:hAnsi="Arial" w:cs="Arial"/>
          <w:bCs/>
          <w:sz w:val="22"/>
          <w:szCs w:val="22"/>
        </w:rPr>
        <w:t xml:space="preserve"> </w:t>
      </w:r>
      <w:r w:rsidR="002C20C7">
        <w:rPr>
          <w:rFonts w:ascii="Arial" w:hAnsi="Arial" w:cs="Arial"/>
          <w:bCs/>
          <w:sz w:val="22"/>
          <w:szCs w:val="22"/>
        </w:rPr>
        <w:t xml:space="preserve">concluded </w:t>
      </w:r>
      <w:r w:rsidR="00826CBF" w:rsidRPr="00826CBF">
        <w:rPr>
          <w:rFonts w:ascii="Arial" w:hAnsi="Arial" w:cs="Arial"/>
          <w:bCs/>
          <w:sz w:val="22"/>
          <w:szCs w:val="22"/>
        </w:rPr>
        <w:t xml:space="preserve">that the </w:t>
      </w:r>
      <w:r w:rsidR="00826CBF" w:rsidRPr="00826CBF">
        <w:rPr>
          <w:rStyle w:val="Strong"/>
          <w:rFonts w:ascii="Arial" w:hAnsi="Arial"/>
          <w:b w:val="0"/>
          <w:bCs/>
          <w:sz w:val="22"/>
          <w:szCs w:val="22"/>
        </w:rPr>
        <w:t>morphological differences between</w:t>
      </w:r>
      <w:r w:rsidR="00826CBF" w:rsidRPr="00826CBF">
        <w:rPr>
          <w:rFonts w:ascii="Arial" w:hAnsi="Arial" w:cs="Arial"/>
          <w:bCs/>
          <w:sz w:val="22"/>
          <w:szCs w:val="22"/>
        </w:rPr>
        <w:t xml:space="preserve"> the two subspecies, </w:t>
      </w:r>
      <w:r w:rsidR="002B1297" w:rsidRPr="002B1297">
        <w:rPr>
          <w:rFonts w:ascii="Arial" w:hAnsi="Arial" w:cs="Arial"/>
          <w:i/>
          <w:iCs/>
          <w:sz w:val="22"/>
          <w:szCs w:val="22"/>
          <w:lang w:val="en"/>
        </w:rPr>
        <w:t>Gaultheria</w:t>
      </w:r>
      <w:r w:rsidR="002B1297" w:rsidRPr="002B1297">
        <w:rPr>
          <w:rFonts w:ascii="Arial" w:hAnsi="Arial" w:cs="Arial"/>
          <w:i/>
          <w:iCs/>
          <w:color w:val="000000" w:themeColor="text1"/>
          <w:sz w:val="22"/>
          <w:szCs w:val="22"/>
        </w:rPr>
        <w:t> </w:t>
      </w:r>
      <w:proofErr w:type="spellStart"/>
      <w:r w:rsidR="002B1297" w:rsidRPr="002B1297">
        <w:rPr>
          <w:rFonts w:ascii="Arial" w:hAnsi="Arial" w:cs="Arial"/>
          <w:i/>
          <w:iCs/>
          <w:sz w:val="22"/>
          <w:szCs w:val="22"/>
          <w:lang w:val="en"/>
        </w:rPr>
        <w:t>viridicarpa</w:t>
      </w:r>
      <w:proofErr w:type="spellEnd"/>
      <w:r w:rsidR="002B1297" w:rsidRPr="00826CBF">
        <w:rPr>
          <w:rFonts w:ascii="Arial" w:hAnsi="Arial" w:cs="Arial"/>
          <w:sz w:val="22"/>
          <w:szCs w:val="22"/>
        </w:rPr>
        <w:t xml:space="preserve"> </w:t>
      </w:r>
      <w:r w:rsidR="00826CBF" w:rsidRPr="00826CBF">
        <w:rPr>
          <w:rFonts w:ascii="Arial" w:hAnsi="Arial" w:cs="Arial"/>
          <w:sz w:val="22"/>
          <w:szCs w:val="22"/>
        </w:rPr>
        <w:t xml:space="preserve">subsp. </w:t>
      </w:r>
      <w:proofErr w:type="spellStart"/>
      <w:r w:rsidR="00826CBF" w:rsidRPr="00826CBF">
        <w:rPr>
          <w:rFonts w:ascii="Arial" w:hAnsi="Arial" w:cs="Arial"/>
          <w:i/>
          <w:iCs/>
          <w:color w:val="000000" w:themeColor="text1"/>
          <w:sz w:val="22"/>
          <w:szCs w:val="22"/>
        </w:rPr>
        <w:t>viridicarpa</w:t>
      </w:r>
      <w:proofErr w:type="spellEnd"/>
      <w:r w:rsidR="00826CBF" w:rsidRPr="00826CBF">
        <w:rPr>
          <w:rFonts w:ascii="Arial" w:hAnsi="Arial" w:cs="Arial"/>
          <w:sz w:val="22"/>
          <w:szCs w:val="22"/>
        </w:rPr>
        <w:t xml:space="preserve"> and </w:t>
      </w:r>
      <w:r w:rsidR="00826CBF" w:rsidRPr="00826CBF">
        <w:rPr>
          <w:rFonts w:ascii="Arial" w:hAnsi="Arial" w:cs="Arial"/>
          <w:i/>
          <w:iCs/>
          <w:color w:val="000000" w:themeColor="text1"/>
          <w:sz w:val="22"/>
          <w:szCs w:val="22"/>
        </w:rPr>
        <w:t>G</w:t>
      </w:r>
      <w:r w:rsidR="00826CBF" w:rsidRPr="00826CBF">
        <w:rPr>
          <w:rFonts w:ascii="Arial" w:hAnsi="Arial" w:cs="Arial"/>
          <w:iCs/>
          <w:color w:val="000000" w:themeColor="text1"/>
          <w:sz w:val="22"/>
          <w:szCs w:val="22"/>
        </w:rPr>
        <w:t>.</w:t>
      </w:r>
      <w:r w:rsidR="00826CBF" w:rsidRPr="00826CBF">
        <w:rPr>
          <w:rFonts w:ascii="Arial" w:hAnsi="Arial" w:cs="Arial"/>
          <w:i/>
          <w:iCs/>
          <w:color w:val="000000" w:themeColor="text1"/>
          <w:sz w:val="22"/>
          <w:szCs w:val="22"/>
        </w:rPr>
        <w:t> v</w:t>
      </w:r>
      <w:r w:rsidR="00826CBF" w:rsidRPr="00826CBF">
        <w:rPr>
          <w:rFonts w:ascii="Arial" w:hAnsi="Arial" w:cs="Arial"/>
          <w:iCs/>
          <w:color w:val="000000" w:themeColor="text1"/>
          <w:sz w:val="22"/>
          <w:szCs w:val="22"/>
        </w:rPr>
        <w:t>.</w:t>
      </w:r>
      <w:r w:rsidR="002B1297">
        <w:rPr>
          <w:rFonts w:ascii="Arial" w:hAnsi="Arial" w:cs="Arial"/>
          <w:iCs/>
          <w:color w:val="000000" w:themeColor="text1"/>
          <w:sz w:val="22"/>
          <w:szCs w:val="22"/>
        </w:rPr>
        <w:t xml:space="preserve"> </w:t>
      </w:r>
      <w:r w:rsidR="002B1297" w:rsidRPr="002B1297">
        <w:rPr>
          <w:rFonts w:ascii="Arial" w:hAnsi="Arial" w:cs="Arial"/>
          <w:sz w:val="22"/>
          <w:szCs w:val="22"/>
        </w:rPr>
        <w:t xml:space="preserve">subsp. </w:t>
      </w:r>
      <w:proofErr w:type="spellStart"/>
      <w:r w:rsidR="002B1297">
        <w:rPr>
          <w:rFonts w:ascii="Arial" w:hAnsi="Arial" w:cs="Arial"/>
          <w:iCs/>
          <w:color w:val="000000" w:themeColor="text1"/>
          <w:sz w:val="22"/>
          <w:szCs w:val="22"/>
        </w:rPr>
        <w:t>merinoensis</w:t>
      </w:r>
      <w:proofErr w:type="spellEnd"/>
      <w:r w:rsidR="002B1297">
        <w:rPr>
          <w:rFonts w:ascii="Arial" w:hAnsi="Arial" w:cs="Arial"/>
          <w:iCs/>
          <w:color w:val="000000" w:themeColor="text1"/>
          <w:sz w:val="22"/>
          <w:szCs w:val="22"/>
        </w:rPr>
        <w:t xml:space="preserve">, </w:t>
      </w:r>
      <w:r w:rsidR="00826CBF" w:rsidRPr="00826CBF">
        <w:rPr>
          <w:rStyle w:val="Strong"/>
          <w:rFonts w:ascii="Arial" w:hAnsi="Arial"/>
          <w:b w:val="0"/>
          <w:bCs/>
          <w:sz w:val="22"/>
          <w:szCs w:val="22"/>
        </w:rPr>
        <w:t>were insufficient to represent new species or subspecies</w:t>
      </w:r>
      <w:r w:rsidR="002B1297" w:rsidRPr="00826CBF">
        <w:rPr>
          <w:rStyle w:val="Strong"/>
          <w:rFonts w:ascii="Arial" w:hAnsi="Arial"/>
          <w:b w:val="0"/>
          <w:bCs/>
          <w:sz w:val="22"/>
          <w:szCs w:val="22"/>
        </w:rPr>
        <w:t>.</w:t>
      </w:r>
      <w:r w:rsidR="002B1297" w:rsidRPr="00826CBF">
        <w:rPr>
          <w:rFonts w:ascii="Arial" w:hAnsi="Arial" w:cs="Arial"/>
          <w:sz w:val="22"/>
          <w:szCs w:val="22"/>
          <w:lang w:val="en" w:eastAsia="en-AU"/>
        </w:rPr>
        <w:t xml:space="preserve"> </w:t>
      </w:r>
      <w:r>
        <w:rPr>
          <w:rFonts w:ascii="Arial" w:hAnsi="Arial" w:cs="Arial"/>
          <w:bCs/>
          <w:sz w:val="22"/>
          <w:szCs w:val="22"/>
        </w:rPr>
        <w:t>Consequently</w:t>
      </w:r>
      <w:r w:rsidR="002B1297">
        <w:rPr>
          <w:rStyle w:val="Strong"/>
          <w:rFonts w:ascii="Arial" w:hAnsi="Arial"/>
          <w:b w:val="0"/>
          <w:bCs/>
          <w:color w:val="000000" w:themeColor="text1"/>
          <w:sz w:val="22"/>
          <w:szCs w:val="22"/>
        </w:rPr>
        <w:t>,</w:t>
      </w:r>
      <w:r w:rsidR="00826CBF" w:rsidRPr="00826CBF">
        <w:rPr>
          <w:rStyle w:val="Strong"/>
          <w:rFonts w:ascii="Arial" w:hAnsi="Arial"/>
          <w:b w:val="0"/>
          <w:bCs/>
          <w:sz w:val="22"/>
          <w:szCs w:val="22"/>
        </w:rPr>
        <w:t xml:space="preserve"> the two </w:t>
      </w:r>
      <w:r w:rsidR="002B1297" w:rsidRPr="00826CBF">
        <w:rPr>
          <w:rFonts w:ascii="Arial" w:hAnsi="Arial" w:cs="Arial"/>
          <w:bCs/>
          <w:sz w:val="22"/>
          <w:szCs w:val="22"/>
        </w:rPr>
        <w:t>subspecies</w:t>
      </w:r>
      <w:r w:rsidR="002B1297">
        <w:rPr>
          <w:rStyle w:val="Strong"/>
          <w:rFonts w:ascii="Arial" w:hAnsi="Arial"/>
          <w:b w:val="0"/>
          <w:bCs/>
          <w:sz w:val="22"/>
          <w:szCs w:val="22"/>
        </w:rPr>
        <w:t xml:space="preserve"> are now</w:t>
      </w:r>
      <w:r w:rsidR="00826CBF" w:rsidRPr="00826CBF">
        <w:rPr>
          <w:rStyle w:val="Strong"/>
          <w:rFonts w:ascii="Arial" w:hAnsi="Arial"/>
          <w:b w:val="0"/>
          <w:bCs/>
          <w:sz w:val="22"/>
          <w:szCs w:val="22"/>
        </w:rPr>
        <w:t xml:space="preserve"> synonymous</w:t>
      </w:r>
      <w:r w:rsidR="002B1297">
        <w:rPr>
          <w:rStyle w:val="Strong"/>
          <w:rFonts w:ascii="Arial" w:hAnsi="Arial"/>
          <w:b w:val="0"/>
          <w:bCs/>
          <w:sz w:val="22"/>
          <w:szCs w:val="22"/>
        </w:rPr>
        <w:t xml:space="preserve">, with </w:t>
      </w:r>
      <w:r w:rsidR="002B1297" w:rsidRPr="00826CBF">
        <w:rPr>
          <w:rStyle w:val="Strong"/>
          <w:rFonts w:ascii="Arial" w:hAnsi="Arial"/>
          <w:b w:val="0"/>
          <w:bCs/>
          <w:sz w:val="22"/>
          <w:szCs w:val="22"/>
        </w:rPr>
        <w:t xml:space="preserve">the two </w:t>
      </w:r>
      <w:r w:rsidR="002B1297" w:rsidRPr="00826CBF">
        <w:rPr>
          <w:rFonts w:ascii="Arial" w:hAnsi="Arial" w:cs="Arial"/>
          <w:color w:val="000000" w:themeColor="text1"/>
          <w:sz w:val="22"/>
          <w:szCs w:val="22"/>
        </w:rPr>
        <w:t>populations</w:t>
      </w:r>
      <w:r w:rsidR="002B1297" w:rsidRPr="00826CBF">
        <w:rPr>
          <w:rStyle w:val="Strong"/>
          <w:rFonts w:ascii="Arial" w:hAnsi="Arial"/>
          <w:b w:val="0"/>
          <w:bCs/>
          <w:sz w:val="22"/>
          <w:szCs w:val="22"/>
        </w:rPr>
        <w:t xml:space="preserve"> </w:t>
      </w:r>
      <w:r w:rsidR="002B1297">
        <w:rPr>
          <w:rStyle w:val="Strong"/>
          <w:rFonts w:ascii="Arial" w:hAnsi="Arial"/>
          <w:b w:val="0"/>
          <w:bCs/>
          <w:sz w:val="22"/>
          <w:szCs w:val="22"/>
        </w:rPr>
        <w:t xml:space="preserve">being </w:t>
      </w:r>
      <w:r w:rsidR="002B1297" w:rsidRPr="00826CBF">
        <w:rPr>
          <w:rStyle w:val="Strong"/>
          <w:rFonts w:ascii="Arial" w:hAnsi="Arial"/>
          <w:b w:val="0"/>
          <w:bCs/>
          <w:sz w:val="22"/>
          <w:szCs w:val="22"/>
        </w:rPr>
        <w:t>treated as</w:t>
      </w:r>
      <w:r w:rsidR="002B1297">
        <w:rPr>
          <w:rStyle w:val="Strong"/>
          <w:rFonts w:ascii="Arial" w:hAnsi="Arial"/>
          <w:b w:val="0"/>
          <w:bCs/>
          <w:sz w:val="22"/>
          <w:szCs w:val="22"/>
        </w:rPr>
        <w:t xml:space="preserve"> representative of a single species, </w:t>
      </w:r>
      <w:r w:rsidR="002B1297" w:rsidRPr="002B1297">
        <w:rPr>
          <w:rStyle w:val="Strong"/>
          <w:rFonts w:ascii="Arial" w:hAnsi="Arial"/>
          <w:b w:val="0"/>
          <w:bCs/>
          <w:i/>
          <w:sz w:val="22"/>
          <w:szCs w:val="22"/>
        </w:rPr>
        <w:t>G</w:t>
      </w:r>
      <w:r w:rsidR="002B1297">
        <w:rPr>
          <w:rStyle w:val="Strong"/>
          <w:rFonts w:ascii="Arial" w:hAnsi="Arial"/>
          <w:b w:val="0"/>
          <w:bCs/>
          <w:sz w:val="22"/>
          <w:szCs w:val="22"/>
        </w:rPr>
        <w:t xml:space="preserve">. </w:t>
      </w:r>
      <w:proofErr w:type="spellStart"/>
      <w:r w:rsidR="002B1297" w:rsidRPr="002B1297">
        <w:rPr>
          <w:rStyle w:val="Strong"/>
          <w:rFonts w:ascii="Arial" w:hAnsi="Arial"/>
          <w:b w:val="0"/>
          <w:bCs/>
          <w:i/>
          <w:sz w:val="22"/>
          <w:szCs w:val="22"/>
        </w:rPr>
        <w:t>viridicarpa</w:t>
      </w:r>
      <w:proofErr w:type="spellEnd"/>
      <w:r w:rsidR="002B1297">
        <w:rPr>
          <w:rStyle w:val="Strong"/>
          <w:rFonts w:ascii="Arial" w:hAnsi="Arial"/>
          <w:b w:val="0"/>
          <w:bCs/>
          <w:sz w:val="22"/>
          <w:szCs w:val="22"/>
        </w:rPr>
        <w:t>.</w:t>
      </w:r>
    </w:p>
    <w:p w14:paraId="16AB4D42" w14:textId="173ECBC9" w:rsidR="00023B20" w:rsidRPr="003C2EF4" w:rsidRDefault="00416753" w:rsidP="00023B20">
      <w:pPr>
        <w:spacing w:before="120" w:after="240"/>
        <w:rPr>
          <w:rFonts w:ascii="Arial" w:eastAsia="Calibri" w:hAnsi="Arial" w:cs="Arial"/>
          <w:sz w:val="22"/>
          <w:szCs w:val="22"/>
          <w:lang w:eastAsia="en-AU"/>
        </w:rPr>
      </w:pPr>
      <w:r>
        <w:rPr>
          <w:rFonts w:ascii="Arial" w:hAnsi="Arial" w:cs="Arial"/>
          <w:sz w:val="22"/>
          <w:szCs w:val="22"/>
          <w:lang w:val="en" w:eastAsia="en-AU"/>
        </w:rPr>
        <w:t xml:space="preserve">The </w:t>
      </w:r>
      <w:r>
        <w:rPr>
          <w:rFonts w:ascii="Arial" w:hAnsi="Arial" w:cs="Arial"/>
          <w:sz w:val="22"/>
          <w:szCs w:val="22"/>
          <w:lang w:val="en"/>
        </w:rPr>
        <w:t>New South Wales</w:t>
      </w:r>
      <w:r w:rsidRPr="00023B20">
        <w:rPr>
          <w:rFonts w:ascii="Arial" w:hAnsi="Arial" w:cs="Arial"/>
          <w:sz w:val="22"/>
          <w:szCs w:val="22"/>
          <w:lang w:val="en" w:eastAsia="en-AU"/>
        </w:rPr>
        <w:t xml:space="preserve"> </w:t>
      </w:r>
      <w:r>
        <w:rPr>
          <w:rFonts w:ascii="Arial" w:hAnsi="Arial" w:cs="Arial"/>
          <w:sz w:val="22"/>
          <w:szCs w:val="22"/>
          <w:lang w:val="en" w:eastAsia="en-AU"/>
        </w:rPr>
        <w:t>Government</w:t>
      </w:r>
      <w:r w:rsidR="00023B20" w:rsidRPr="003C2EF4">
        <w:rPr>
          <w:rFonts w:ascii="Arial" w:hAnsi="Arial" w:cs="Arial"/>
          <w:sz w:val="22"/>
          <w:szCs w:val="22"/>
          <w:lang w:val="en" w:eastAsia="en-AU"/>
        </w:rPr>
        <w:t xml:space="preserve"> has assess</w:t>
      </w:r>
      <w:r w:rsidR="00110E6D">
        <w:rPr>
          <w:rFonts w:ascii="Arial" w:hAnsi="Arial" w:cs="Arial"/>
          <w:sz w:val="22"/>
          <w:szCs w:val="22"/>
          <w:lang w:val="en" w:eastAsia="en-AU"/>
        </w:rPr>
        <w:t xml:space="preserve">ed </w:t>
      </w:r>
      <w:r w:rsidR="00110E6D" w:rsidRPr="002B1297">
        <w:rPr>
          <w:rFonts w:ascii="Arial" w:hAnsi="Arial" w:cs="Arial"/>
          <w:i/>
          <w:iCs/>
          <w:sz w:val="22"/>
          <w:szCs w:val="22"/>
          <w:lang w:val="en"/>
        </w:rPr>
        <w:t>Gaultheria</w:t>
      </w:r>
      <w:r w:rsidR="00110E6D" w:rsidRPr="002B1297">
        <w:rPr>
          <w:rFonts w:ascii="Arial" w:hAnsi="Arial" w:cs="Arial"/>
          <w:i/>
          <w:iCs/>
          <w:color w:val="000000" w:themeColor="text1"/>
          <w:sz w:val="22"/>
          <w:szCs w:val="22"/>
        </w:rPr>
        <w:t> </w:t>
      </w:r>
      <w:proofErr w:type="spellStart"/>
      <w:r w:rsidR="00110E6D" w:rsidRPr="002B1297">
        <w:rPr>
          <w:rFonts w:ascii="Arial" w:hAnsi="Arial" w:cs="Arial"/>
          <w:i/>
          <w:iCs/>
          <w:sz w:val="22"/>
          <w:szCs w:val="22"/>
          <w:lang w:val="en"/>
        </w:rPr>
        <w:t>viridicarpa</w:t>
      </w:r>
      <w:proofErr w:type="spellEnd"/>
      <w:r w:rsidR="00023B20" w:rsidRPr="003C2EF4">
        <w:rPr>
          <w:rFonts w:ascii="Arial" w:hAnsi="Arial" w:cs="Arial"/>
          <w:i/>
          <w:sz w:val="22"/>
          <w:szCs w:val="22"/>
          <w:lang w:val="en" w:eastAsia="en-AU"/>
        </w:rPr>
        <w:t xml:space="preserve"> </w:t>
      </w:r>
      <w:r w:rsidR="00023B20" w:rsidRPr="003C2EF4">
        <w:rPr>
          <w:rFonts w:ascii="Arial" w:hAnsi="Arial" w:cs="Arial"/>
          <w:sz w:val="22"/>
          <w:szCs w:val="22"/>
          <w:lang w:val="en" w:eastAsia="en-AU"/>
        </w:rPr>
        <w:t xml:space="preserve">under the </w:t>
      </w:r>
      <w:r w:rsidR="00023B20" w:rsidRPr="00110E6D">
        <w:rPr>
          <w:rStyle w:val="Hyperlink"/>
          <w:rFonts w:ascii="Arial" w:hAnsi="Arial" w:cs="Arial"/>
          <w:color w:val="auto"/>
          <w:sz w:val="22"/>
          <w:szCs w:val="22"/>
          <w:u w:val="none"/>
          <w:bdr w:val="none" w:sz="0" w:space="0" w:color="auto" w:frame="1"/>
          <w:lang w:val="en" w:eastAsia="en-AU"/>
        </w:rPr>
        <w:t>Common Assessment Method</w:t>
      </w:r>
      <w:r w:rsidR="00023B20" w:rsidRPr="003C2EF4">
        <w:rPr>
          <w:rFonts w:ascii="Arial" w:hAnsi="Arial" w:cs="Arial"/>
          <w:sz w:val="22"/>
          <w:szCs w:val="22"/>
          <w:lang w:val="en" w:eastAsia="en-AU"/>
        </w:rPr>
        <w:t xml:space="preserve"> agreement</w:t>
      </w:r>
      <w:r w:rsidR="00110E6D">
        <w:rPr>
          <w:rFonts w:ascii="Arial" w:hAnsi="Arial" w:cs="Arial"/>
          <w:sz w:val="22"/>
          <w:szCs w:val="22"/>
          <w:lang w:val="en" w:eastAsia="en-AU"/>
        </w:rPr>
        <w:t xml:space="preserve">, in consultation with the </w:t>
      </w:r>
      <w:r w:rsidR="00110E6D" w:rsidRPr="00023B20">
        <w:rPr>
          <w:rFonts w:ascii="Arial" w:hAnsi="Arial" w:cs="Arial"/>
          <w:sz w:val="22"/>
          <w:szCs w:val="22"/>
          <w:lang w:val="en"/>
        </w:rPr>
        <w:t>Queensland</w:t>
      </w:r>
      <w:r w:rsidR="00110E6D">
        <w:rPr>
          <w:rFonts w:ascii="Arial" w:hAnsi="Arial" w:cs="Arial"/>
          <w:sz w:val="22"/>
          <w:szCs w:val="22"/>
          <w:lang w:val="en"/>
        </w:rPr>
        <w:t xml:space="preserve"> Government</w:t>
      </w:r>
      <w:r w:rsidR="00023B20" w:rsidRPr="003C2EF4">
        <w:rPr>
          <w:rFonts w:ascii="Arial" w:hAnsi="Arial" w:cs="Arial"/>
          <w:sz w:val="22"/>
          <w:szCs w:val="22"/>
          <w:lang w:val="en" w:eastAsia="en-AU"/>
        </w:rPr>
        <w:t>. To achieve alignment with the list</w:t>
      </w:r>
      <w:r>
        <w:rPr>
          <w:rFonts w:ascii="Arial" w:hAnsi="Arial" w:cs="Arial"/>
          <w:sz w:val="22"/>
          <w:szCs w:val="22"/>
          <w:lang w:val="en" w:eastAsia="en-AU"/>
        </w:rPr>
        <w:t>s</w:t>
      </w:r>
      <w:r w:rsidR="00023B20" w:rsidRPr="003C2EF4">
        <w:rPr>
          <w:rFonts w:ascii="Arial" w:hAnsi="Arial" w:cs="Arial"/>
          <w:sz w:val="22"/>
          <w:szCs w:val="22"/>
          <w:lang w:val="en" w:eastAsia="en-AU"/>
        </w:rPr>
        <w:t xml:space="preserve"> of threatened species in </w:t>
      </w:r>
      <w:r>
        <w:rPr>
          <w:rFonts w:ascii="Arial" w:hAnsi="Arial" w:cs="Arial"/>
          <w:sz w:val="22"/>
          <w:szCs w:val="22"/>
          <w:lang w:val="en"/>
        </w:rPr>
        <w:t>New South Wales</w:t>
      </w:r>
      <w:r w:rsidRPr="00023B20">
        <w:rPr>
          <w:rFonts w:ascii="Arial" w:hAnsi="Arial" w:cs="Arial"/>
          <w:sz w:val="22"/>
          <w:szCs w:val="22"/>
          <w:lang w:val="en" w:eastAsia="en-AU"/>
        </w:rPr>
        <w:t xml:space="preserve"> </w:t>
      </w:r>
      <w:r>
        <w:rPr>
          <w:rFonts w:ascii="Arial" w:hAnsi="Arial" w:cs="Arial"/>
          <w:sz w:val="22"/>
          <w:szCs w:val="22"/>
          <w:lang w:val="en" w:eastAsia="en-AU"/>
        </w:rPr>
        <w:t xml:space="preserve">and </w:t>
      </w:r>
      <w:r w:rsidRPr="00023B20">
        <w:rPr>
          <w:rFonts w:ascii="Arial" w:hAnsi="Arial" w:cs="Arial"/>
          <w:sz w:val="22"/>
          <w:szCs w:val="22"/>
          <w:lang w:val="en"/>
        </w:rPr>
        <w:t>Queensland</w:t>
      </w:r>
      <w:r w:rsidR="00023B20" w:rsidRPr="003C2EF4">
        <w:rPr>
          <w:rFonts w:ascii="Arial" w:hAnsi="Arial" w:cs="Arial"/>
          <w:sz w:val="22"/>
          <w:szCs w:val="22"/>
          <w:lang w:val="en" w:eastAsia="en-AU"/>
        </w:rPr>
        <w:t xml:space="preserve">, it is proposed that </w:t>
      </w:r>
      <w:r w:rsidRPr="00826CBF">
        <w:rPr>
          <w:rFonts w:ascii="Arial" w:hAnsi="Arial" w:cs="Arial"/>
          <w:i/>
          <w:iCs/>
          <w:color w:val="000000" w:themeColor="text1"/>
          <w:sz w:val="22"/>
          <w:szCs w:val="22"/>
        </w:rPr>
        <w:t>G</w:t>
      </w:r>
      <w:r w:rsidRPr="00826CBF">
        <w:rPr>
          <w:rFonts w:ascii="Arial" w:hAnsi="Arial" w:cs="Arial"/>
          <w:iCs/>
          <w:color w:val="000000" w:themeColor="text1"/>
          <w:sz w:val="22"/>
          <w:szCs w:val="22"/>
        </w:rPr>
        <w:t>.</w:t>
      </w:r>
      <w:r w:rsidRPr="00826CBF">
        <w:rPr>
          <w:rFonts w:ascii="Arial" w:hAnsi="Arial" w:cs="Arial"/>
          <w:i/>
          <w:iCs/>
          <w:color w:val="000000" w:themeColor="text1"/>
          <w:sz w:val="22"/>
          <w:szCs w:val="22"/>
        </w:rPr>
        <w:t> v</w:t>
      </w:r>
      <w:r w:rsidRPr="00826CBF">
        <w:rPr>
          <w:rFonts w:ascii="Arial" w:hAnsi="Arial" w:cs="Arial"/>
          <w:iCs/>
          <w:color w:val="000000" w:themeColor="text1"/>
          <w:sz w:val="22"/>
          <w:szCs w:val="22"/>
        </w:rPr>
        <w:t>.</w:t>
      </w:r>
      <w:r w:rsidRPr="00826CBF">
        <w:rPr>
          <w:rFonts w:ascii="Arial" w:hAnsi="Arial" w:cs="Arial"/>
          <w:sz w:val="22"/>
          <w:szCs w:val="22"/>
        </w:rPr>
        <w:t> </w:t>
      </w:r>
      <w:proofErr w:type="spellStart"/>
      <w:r w:rsidRPr="002C20C7">
        <w:rPr>
          <w:rFonts w:ascii="Arial" w:hAnsi="Arial" w:cs="Arial"/>
          <w:i/>
          <w:iCs/>
          <w:sz w:val="22"/>
          <w:szCs w:val="22"/>
          <w:lang w:val="en"/>
        </w:rPr>
        <w:t>J.B.Williams</w:t>
      </w:r>
      <w:proofErr w:type="spellEnd"/>
      <w:r w:rsidRPr="008A25D5">
        <w:rPr>
          <w:rFonts w:ascii="Arial" w:hAnsi="Arial" w:cs="Arial"/>
          <w:sz w:val="22"/>
          <w:szCs w:val="22"/>
          <w:lang w:val="en"/>
        </w:rPr>
        <w:t xml:space="preserve"> subsp. </w:t>
      </w:r>
      <w:proofErr w:type="spellStart"/>
      <w:r w:rsidRPr="008A25D5">
        <w:rPr>
          <w:rFonts w:ascii="Arial" w:hAnsi="Arial" w:cs="Arial"/>
          <w:i/>
          <w:iCs/>
          <w:sz w:val="22"/>
          <w:szCs w:val="22"/>
          <w:lang w:val="en"/>
        </w:rPr>
        <w:t>viridicarpa</w:t>
      </w:r>
      <w:proofErr w:type="spellEnd"/>
      <w:r w:rsidRPr="008A25D5">
        <w:rPr>
          <w:rFonts w:ascii="Arial" w:hAnsi="Arial" w:cs="Arial"/>
          <w:i/>
          <w:iCs/>
          <w:sz w:val="22"/>
          <w:szCs w:val="22"/>
          <w:lang w:val="en"/>
        </w:rPr>
        <w:t xml:space="preserve"> </w:t>
      </w:r>
      <w:proofErr w:type="spellStart"/>
      <w:r w:rsidRPr="008A25D5">
        <w:rPr>
          <w:rFonts w:ascii="Arial" w:hAnsi="Arial" w:cs="Arial"/>
          <w:iCs/>
          <w:sz w:val="22"/>
          <w:szCs w:val="22"/>
          <w:lang w:val="en"/>
        </w:rPr>
        <w:t>ms</w:t>
      </w:r>
      <w:r w:rsidRPr="008A25D5">
        <w:rPr>
          <w:rFonts w:ascii="Arial" w:hAnsi="Arial" w:cs="Arial"/>
          <w:i/>
          <w:iCs/>
          <w:sz w:val="22"/>
          <w:szCs w:val="22"/>
          <w:lang w:val="en"/>
        </w:rPr>
        <w:t>.</w:t>
      </w:r>
      <w:proofErr w:type="spellEnd"/>
      <w:r w:rsidRPr="008A25D5">
        <w:rPr>
          <w:rFonts w:ascii="Arial" w:hAnsi="Arial" w:cs="Arial"/>
          <w:iCs/>
          <w:sz w:val="22"/>
          <w:szCs w:val="22"/>
        </w:rPr>
        <w:t xml:space="preserve"> </w:t>
      </w:r>
      <w:r w:rsidR="00023B20" w:rsidRPr="003C2EF4">
        <w:rPr>
          <w:rFonts w:ascii="Arial" w:hAnsi="Arial" w:cs="Arial"/>
          <w:sz w:val="22"/>
          <w:szCs w:val="22"/>
          <w:lang w:val="en" w:eastAsia="en-AU"/>
        </w:rPr>
        <w:t xml:space="preserve">be deleted from the list of threatened species under the EPBC Act and that </w:t>
      </w:r>
      <w:r w:rsidRPr="002B1297">
        <w:rPr>
          <w:rStyle w:val="Strong"/>
          <w:rFonts w:ascii="Arial" w:hAnsi="Arial"/>
          <w:b w:val="0"/>
          <w:bCs/>
          <w:i/>
          <w:sz w:val="22"/>
          <w:szCs w:val="22"/>
        </w:rPr>
        <w:t>G</w:t>
      </w:r>
      <w:r>
        <w:rPr>
          <w:rStyle w:val="Strong"/>
          <w:rFonts w:ascii="Arial" w:hAnsi="Arial"/>
          <w:b w:val="0"/>
          <w:bCs/>
          <w:sz w:val="22"/>
          <w:szCs w:val="22"/>
        </w:rPr>
        <w:t xml:space="preserve">. </w:t>
      </w:r>
      <w:proofErr w:type="spellStart"/>
      <w:r w:rsidRPr="002B1297">
        <w:rPr>
          <w:rStyle w:val="Strong"/>
          <w:rFonts w:ascii="Arial" w:hAnsi="Arial"/>
          <w:b w:val="0"/>
          <w:bCs/>
          <w:i/>
          <w:sz w:val="22"/>
          <w:szCs w:val="22"/>
        </w:rPr>
        <w:t>viridicarpa</w:t>
      </w:r>
      <w:proofErr w:type="spellEnd"/>
      <w:r w:rsidR="00023B20" w:rsidRPr="003C2EF4">
        <w:rPr>
          <w:rFonts w:ascii="Arial" w:hAnsi="Arial" w:cs="Arial"/>
          <w:sz w:val="22"/>
          <w:szCs w:val="22"/>
          <w:lang w:val="en" w:eastAsia="en-AU"/>
        </w:rPr>
        <w:t xml:space="preserve"> be included in the </w:t>
      </w:r>
      <w:proofErr w:type="gramStart"/>
      <w:r>
        <w:rPr>
          <w:rFonts w:ascii="Arial" w:hAnsi="Arial" w:cs="Arial"/>
          <w:sz w:val="22"/>
          <w:szCs w:val="22"/>
          <w:lang w:val="en" w:eastAsia="en-AU"/>
        </w:rPr>
        <w:t>Endangered</w:t>
      </w:r>
      <w:proofErr w:type="gramEnd"/>
      <w:r w:rsidR="00023B20" w:rsidRPr="003C2EF4">
        <w:rPr>
          <w:rFonts w:ascii="Arial" w:hAnsi="Arial" w:cs="Arial"/>
          <w:sz w:val="22"/>
          <w:szCs w:val="22"/>
          <w:lang w:val="en" w:eastAsia="en-AU"/>
        </w:rPr>
        <w:t xml:space="preserve"> categor</w:t>
      </w:r>
      <w:r>
        <w:rPr>
          <w:rFonts w:ascii="Arial" w:hAnsi="Arial" w:cs="Arial"/>
          <w:sz w:val="22"/>
          <w:szCs w:val="22"/>
          <w:lang w:val="en" w:eastAsia="en-AU"/>
        </w:rPr>
        <w:t>y</w:t>
      </w:r>
      <w:r w:rsidR="00023B20" w:rsidRPr="003C2EF4">
        <w:rPr>
          <w:rFonts w:ascii="Arial" w:hAnsi="Arial" w:cs="Arial"/>
          <w:sz w:val="22"/>
          <w:szCs w:val="22"/>
          <w:lang w:val="en" w:eastAsia="en-AU"/>
        </w:rPr>
        <w:t>.</w:t>
      </w:r>
      <w:r w:rsidR="00023B20" w:rsidRPr="003C2EF4">
        <w:rPr>
          <w:rFonts w:ascii="Arial" w:hAnsi="Arial" w:cs="Arial"/>
          <w:sz w:val="22"/>
          <w:szCs w:val="22"/>
          <w:lang w:eastAsia="en-AU"/>
        </w:rPr>
        <w:t xml:space="preserve"> </w:t>
      </w:r>
    </w:p>
    <w:p w14:paraId="48D32A92" w14:textId="68930973"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pro</w:t>
      </w:r>
      <w:r w:rsidR="00416753">
        <w:rPr>
          <w:rFonts w:ascii="Arial" w:hAnsi="Arial" w:cs="Arial"/>
          <w:sz w:val="22"/>
          <w:szCs w:val="22"/>
        </w:rPr>
        <w:t>vided by any interested person.</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 xml:space="preserve">Act. The Threatened Species Scientific Committee (the Committee) undertakes the </w:t>
      </w:r>
      <w:r w:rsidRPr="001D0C82">
        <w:rPr>
          <w:rFonts w:ascii="Arial" w:hAnsi="Arial" w:cs="Arial"/>
          <w:sz w:val="22"/>
          <w:szCs w:val="22"/>
        </w:rPr>
        <w:lastRenderedPageBreak/>
        <w:t>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4E76C056"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596F01">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r w:rsidRPr="00396A0C">
        <w:rPr>
          <w:rFonts w:ascii="Arial" w:hAnsi="Arial" w:cs="Arial"/>
          <w:sz w:val="22"/>
          <w:szCs w:val="22"/>
          <w:lang w:val="en"/>
        </w:rPr>
        <w:br/>
        <w:t>PO Box 787</w:t>
      </w:r>
      <w:r w:rsidRPr="00396A0C">
        <w:rPr>
          <w:rFonts w:ascii="Arial" w:hAnsi="Arial" w:cs="Arial"/>
          <w:sz w:val="22"/>
          <w:szCs w:val="22"/>
          <w:lang w:val="en"/>
        </w:rPr>
        <w:br/>
        <w:t>CANBERRA  ACT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4AEF9727"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596F01" w:rsidRPr="00596F01">
        <w:rPr>
          <w:rFonts w:ascii="Arial" w:hAnsi="Arial" w:cs="Arial"/>
          <w:b/>
          <w:sz w:val="22"/>
          <w:szCs w:val="22"/>
        </w:rPr>
        <w:t>15 April</w:t>
      </w:r>
      <w:r w:rsidR="00BA3A8F" w:rsidRPr="00596F01">
        <w:rPr>
          <w:rFonts w:ascii="Arial" w:hAnsi="Arial" w:cs="Arial"/>
          <w:b/>
          <w:sz w:val="22"/>
          <w:szCs w:val="22"/>
        </w:rPr>
        <w:t xml:space="preserve"> 20</w:t>
      </w:r>
      <w:r w:rsidR="00503A63" w:rsidRPr="00596F01">
        <w:rPr>
          <w:rFonts w:ascii="Arial" w:hAnsi="Arial" w:cs="Arial"/>
          <w:b/>
          <w:sz w:val="22"/>
          <w:szCs w:val="22"/>
        </w:rPr>
        <w:t>20</w:t>
      </w:r>
      <w:r w:rsidR="00C5258D" w:rsidRPr="00596F01">
        <w:rPr>
          <w:rFonts w:ascii="Arial" w:hAnsi="Arial" w:cs="Arial"/>
          <w:b/>
          <w:sz w:val="22"/>
          <w:szCs w:val="22"/>
        </w:rPr>
        <w:t>.</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8E132C"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4" w14:textId="0E67C2F9"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species may enable plausible inferences to be made for </w:t>
      </w:r>
      <w:proofErr w:type="spellStart"/>
      <w:r w:rsidR="00874977">
        <w:rPr>
          <w:rFonts w:ascii="Arial" w:hAnsi="Arial" w:cs="Arial"/>
          <w:i/>
          <w:sz w:val="22"/>
          <w:szCs w:val="22"/>
          <w:lang w:val="en" w:eastAsia="en-AU"/>
        </w:rPr>
        <w:t>C</w:t>
      </w:r>
      <w:r w:rsidR="00874977">
        <w:rPr>
          <w:rFonts w:ascii="Arial" w:hAnsi="Arial" w:cs="Arial"/>
          <w:i/>
          <w:sz w:val="22"/>
          <w:szCs w:val="22"/>
          <w:lang w:val="en"/>
        </w:rPr>
        <w:t>ajanus</w:t>
      </w:r>
      <w:proofErr w:type="spellEnd"/>
      <w:r w:rsidR="00874977">
        <w:rPr>
          <w:rFonts w:ascii="Arial" w:hAnsi="Arial" w:cs="Arial"/>
          <w:i/>
          <w:sz w:val="22"/>
          <w:szCs w:val="22"/>
          <w:lang w:val="en"/>
        </w:rPr>
        <w:t> </w:t>
      </w:r>
      <w:proofErr w:type="spellStart"/>
      <w:r w:rsidR="00874977">
        <w:rPr>
          <w:rFonts w:ascii="Arial" w:hAnsi="Arial" w:cs="Arial"/>
          <w:i/>
          <w:sz w:val="22"/>
          <w:szCs w:val="22"/>
          <w:lang w:val="en" w:eastAsia="en-AU"/>
        </w:rPr>
        <w:t>mareebensis</w:t>
      </w:r>
      <w:proofErr w:type="spellEnd"/>
      <w:r w:rsidRPr="00C5258D">
        <w:rPr>
          <w:rFonts w:ascii="Arial" w:hAnsi="Arial" w:cs="Arial"/>
          <w:sz w:val="22"/>
          <w:szCs w:val="22"/>
        </w:rPr>
        <w:t xml:space="preserve">, if not available for this </w:t>
      </w:r>
      <w:r w:rsidR="00447886">
        <w:rPr>
          <w:rFonts w:ascii="Arial" w:hAnsi="Arial" w:cs="Arial"/>
          <w:sz w:val="22"/>
          <w:szCs w:val="22"/>
        </w:rPr>
        <w:t>sub</w:t>
      </w:r>
      <w:r w:rsidRPr="00C5258D">
        <w:rPr>
          <w:rFonts w:ascii="Arial" w:hAnsi="Arial" w:cs="Arial"/>
          <w:sz w:val="22"/>
          <w:szCs w:val="22"/>
        </w:rPr>
        <w:t>species</w:t>
      </w:r>
      <w:r w:rsidR="00447886">
        <w:rPr>
          <w:rFonts w:ascii="Arial" w:hAnsi="Arial" w:cs="Arial"/>
          <w:sz w:val="22"/>
          <w:szCs w:val="22"/>
        </w:rPr>
        <w:t>.</w:t>
      </w:r>
      <w:r w:rsidRPr="00C5258D">
        <w:rPr>
          <w:rFonts w:ascii="Arial" w:hAnsi="Arial" w:cs="Arial"/>
          <w:sz w:val="22"/>
          <w:szCs w:val="22"/>
        </w:rPr>
        <w:t>]</w:t>
      </w:r>
    </w:p>
    <w:p w14:paraId="48D32AC5" w14:textId="6A6D2CA1"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6" w14:textId="320ED260"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sidR="00447886">
        <w:rPr>
          <w:rFonts w:ascii="Arial" w:hAnsi="Arial" w:cs="Arial"/>
          <w:sz w:val="22"/>
          <w:szCs w:val="22"/>
        </w:rPr>
        <w:t>species</w:t>
      </w:r>
      <w:r w:rsidR="002A70A3">
        <w:rPr>
          <w:rFonts w:ascii="Arial" w:hAnsi="Arial" w:cs="Arial"/>
          <w:sz w:val="22"/>
          <w:szCs w:val="22"/>
        </w:rPr>
        <w:t xml:space="preserve"> (national extent)?</w:t>
      </w:r>
    </w:p>
    <w:p w14:paraId="48D32AC7" w14:textId="3C0689A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sidR="00447886">
        <w:rPr>
          <w:rFonts w:ascii="Arial" w:hAnsi="Arial" w:cs="Arial"/>
          <w:sz w:val="22"/>
          <w:szCs w:val="22"/>
        </w:rPr>
        <w:t>species</w:t>
      </w:r>
      <w:r w:rsidR="002A70A3">
        <w:rPr>
          <w:rFonts w:ascii="Arial" w:hAnsi="Arial" w:cs="Arial"/>
          <w:sz w:val="22"/>
          <w:szCs w:val="22"/>
        </w:rPr>
        <w:t xml:space="preserve"> (national extent)?</w:t>
      </w:r>
    </w:p>
    <w:p w14:paraId="48D32AC8" w14:textId="3433A8B6"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sidR="00447886">
        <w:rPr>
          <w:rFonts w:ascii="Arial" w:hAnsi="Arial" w:cs="Arial"/>
          <w:sz w:val="22"/>
          <w:szCs w:val="22"/>
        </w:rPr>
        <w:t>species</w:t>
      </w:r>
      <w:r w:rsidRPr="004D3F58">
        <w:rPr>
          <w:rFonts w:ascii="Arial" w:hAnsi="Arial" w:cs="Arial"/>
          <w:sz w:val="22"/>
          <w:szCs w:val="22"/>
        </w:rPr>
        <w:t>?</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45A2611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sidR="00447886">
        <w:rPr>
          <w:rFonts w:ascii="Arial" w:hAnsi="Arial" w:cs="Arial"/>
          <w:sz w:val="22"/>
          <w:szCs w:val="22"/>
        </w:rPr>
        <w:t>species</w:t>
      </w:r>
      <w:r w:rsidRPr="004D3F58">
        <w:rPr>
          <w:rFonts w:ascii="Arial" w:hAnsi="Arial" w:cs="Arial"/>
          <w:sz w:val="22"/>
          <w:szCs w:val="22"/>
        </w:rPr>
        <w:t>?</w:t>
      </w:r>
    </w:p>
    <w:p w14:paraId="48D32ACD" w14:textId="6F0CC5A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sidR="00447886">
        <w:rPr>
          <w:rFonts w:ascii="Arial" w:hAnsi="Arial" w:cs="Arial"/>
          <w:sz w:val="22"/>
          <w:szCs w:val="22"/>
        </w:rPr>
        <w:t>species</w:t>
      </w:r>
      <w:r w:rsidR="002A70A3">
        <w:rPr>
          <w:rFonts w:ascii="Arial" w:hAnsi="Arial" w:cs="Arial"/>
          <w:sz w:val="22"/>
          <w:szCs w:val="22"/>
        </w:rPr>
        <w:t>?</w:t>
      </w:r>
    </w:p>
    <w:p w14:paraId="48D32ACE" w14:textId="1AA9BE24"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the </w:t>
      </w:r>
      <w:r w:rsidR="00874977">
        <w:rPr>
          <w:rFonts w:ascii="Arial" w:hAnsi="Arial" w:cs="Arial"/>
          <w:sz w:val="22"/>
          <w:szCs w:val="22"/>
        </w:rPr>
        <w:t>species</w:t>
      </w:r>
      <w:r w:rsidRPr="004D3F58">
        <w:rPr>
          <w:rFonts w:ascii="Arial" w:hAnsi="Arial" w:cs="Arial"/>
          <w:sz w:val="22"/>
          <w:szCs w:val="22"/>
          <w:lang w:eastAsia="en-AU"/>
        </w:rPr>
        <w:t>?</w:t>
      </w:r>
    </w:p>
    <w:p w14:paraId="48D32ACF" w14:textId="2263C42D"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sidR="00874977">
        <w:rPr>
          <w:rFonts w:ascii="Arial" w:hAnsi="Arial" w:cs="Arial"/>
          <w:sz w:val="22"/>
          <w:szCs w:val="22"/>
        </w:rPr>
        <w:t>species</w:t>
      </w:r>
      <w:r w:rsidRPr="004D3F58">
        <w:rPr>
          <w:rFonts w:ascii="Arial" w:hAnsi="Arial" w:cs="Arial"/>
          <w:sz w:val="22"/>
          <w:szCs w:val="22"/>
        </w:rPr>
        <w:t>?</w:t>
      </w:r>
    </w:p>
    <w:p w14:paraId="48D32AD0" w14:textId="29886A9B"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sidR="00874977">
        <w:rPr>
          <w:rFonts w:ascii="Arial" w:hAnsi="Arial" w:cs="Arial"/>
          <w:sz w:val="22"/>
          <w:szCs w:val="22"/>
        </w:rPr>
        <w:t>species</w:t>
      </w:r>
      <w:r w:rsidR="00874977" w:rsidRPr="004D3F58">
        <w:rPr>
          <w:rFonts w:ascii="Arial" w:hAnsi="Arial" w:cs="Arial"/>
          <w:sz w:val="22"/>
          <w:szCs w:val="22"/>
        </w:rPr>
        <w:t xml:space="preserve"> </w:t>
      </w:r>
      <w:r w:rsidRPr="004D3F58">
        <w:rPr>
          <w:rFonts w:ascii="Arial" w:hAnsi="Arial" w:cs="Arial"/>
          <w:sz w:val="22"/>
          <w:szCs w:val="22"/>
        </w:rPr>
        <w:t>has?</w:t>
      </w:r>
    </w:p>
    <w:p w14:paraId="48D32AD1" w14:textId="3ACADE3E"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sidR="00874977">
        <w:rPr>
          <w:rFonts w:ascii="Arial" w:hAnsi="Arial" w:cs="Arial"/>
          <w:sz w:val="22"/>
          <w:szCs w:val="22"/>
        </w:rPr>
        <w:t>species</w:t>
      </w:r>
      <w:r w:rsidRPr="004D3F58">
        <w:rPr>
          <w:rFonts w:ascii="Arial" w:hAnsi="Arial" w:cs="Arial"/>
          <w:sz w:val="22"/>
          <w:szCs w:val="22"/>
        </w:rPr>
        <w:t>?</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6" w14:textId="04E7E7B3" w:rsidR="006B14DB" w:rsidRPr="00874977"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this </w:t>
      </w:r>
      <w:r w:rsidR="00874977">
        <w:rPr>
          <w:rFonts w:ascii="Arial" w:hAnsi="Arial" w:cs="Arial"/>
          <w:sz w:val="22"/>
          <w:szCs w:val="22"/>
        </w:rPr>
        <w:t>species</w:t>
      </w:r>
      <w:r w:rsidRPr="004D3F58">
        <w:rPr>
          <w:rFonts w:ascii="Arial" w:hAnsi="Arial" w:cs="Arial"/>
          <w:sz w:val="22"/>
          <w:szCs w:val="22"/>
        </w:rPr>
        <w:t>?</w:t>
      </w:r>
    </w:p>
    <w:sectPr w:rsidR="006B14DB" w:rsidRPr="00874977" w:rsidSect="004033A5">
      <w:headerReference w:type="even" r:id="rId15"/>
      <w:footerReference w:type="default" r:id="rId16"/>
      <w:headerReference w:type="first" r:id="rId17"/>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0DFDA" w14:textId="77777777" w:rsidR="00BF62DE" w:rsidRDefault="00BF62DE" w:rsidP="00A60185">
      <w:r>
        <w:separator/>
      </w:r>
    </w:p>
  </w:endnote>
  <w:endnote w:type="continuationSeparator" w:id="0">
    <w:p w14:paraId="19C74654" w14:textId="77777777" w:rsidR="00BF62DE" w:rsidRDefault="00BF62DE"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8E132C">
          <w:rPr>
            <w:rFonts w:ascii="Arial" w:hAnsi="Arial" w:cs="Arial"/>
            <w:noProof/>
            <w:sz w:val="22"/>
            <w:szCs w:val="22"/>
          </w:rPr>
          <w:t>5</w:t>
        </w:r>
        <w:r w:rsidRPr="004033A5">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68E83" w14:textId="77777777" w:rsidR="00BF62DE" w:rsidRDefault="00BF62DE" w:rsidP="00A60185">
      <w:r>
        <w:separator/>
      </w:r>
    </w:p>
  </w:footnote>
  <w:footnote w:type="continuationSeparator" w:id="0">
    <w:p w14:paraId="6085FB18" w14:textId="77777777" w:rsidR="00BF62DE" w:rsidRDefault="00BF62DE"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BA731A">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6B54073A" w:rsidR="00FC5935" w:rsidRPr="00CB7A80" w:rsidRDefault="001B0212" w:rsidP="00CB7A80">
    <w:pPr>
      <w:pStyle w:val="Header"/>
      <w:jc w:val="center"/>
    </w:pPr>
    <w:r>
      <w:rPr>
        <w:noProof/>
        <w:lang w:eastAsia="en-AU"/>
      </w:rPr>
      <w:drawing>
        <wp:inline distT="0" distB="0" distL="0" distR="0" wp14:anchorId="7C0B153E" wp14:editId="6652F73D">
          <wp:extent cx="2896853" cy="866775"/>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02483" cy="8684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65456429"/>
    <w:multiLevelType w:val="multilevel"/>
    <w:tmpl w:val="E898CC72"/>
    <w:numStyleLink w:val="KeyPoints"/>
  </w:abstractNum>
  <w:abstractNum w:abstractNumId="13"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9"/>
  </w:num>
  <w:num w:numId="4">
    <w:abstractNumId w:val="8"/>
  </w:num>
  <w:num w:numId="5">
    <w:abstractNumId w:val="12"/>
  </w:num>
  <w:num w:numId="6">
    <w:abstractNumId w:val="6"/>
  </w:num>
  <w:num w:numId="7">
    <w:abstractNumId w:val="1"/>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3B20"/>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54DE"/>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0E6D"/>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4CC4"/>
    <w:rsid w:val="00187FA8"/>
    <w:rsid w:val="00192F5E"/>
    <w:rsid w:val="00197772"/>
    <w:rsid w:val="001A51C8"/>
    <w:rsid w:val="001B0212"/>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A70A3"/>
    <w:rsid w:val="002B1297"/>
    <w:rsid w:val="002B18AE"/>
    <w:rsid w:val="002B2C47"/>
    <w:rsid w:val="002C1C93"/>
    <w:rsid w:val="002C20C7"/>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5BEC"/>
    <w:rsid w:val="003B014F"/>
    <w:rsid w:val="003B057D"/>
    <w:rsid w:val="003B1C28"/>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16753"/>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47886"/>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871A2"/>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3A63"/>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96F01"/>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1CC6"/>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2F62"/>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E4C44"/>
    <w:rsid w:val="007F66A4"/>
    <w:rsid w:val="00800F64"/>
    <w:rsid w:val="00801050"/>
    <w:rsid w:val="00802F0B"/>
    <w:rsid w:val="008070DF"/>
    <w:rsid w:val="00810A67"/>
    <w:rsid w:val="00813D82"/>
    <w:rsid w:val="008205A4"/>
    <w:rsid w:val="0082559B"/>
    <w:rsid w:val="00826CBF"/>
    <w:rsid w:val="008313D0"/>
    <w:rsid w:val="00831B3F"/>
    <w:rsid w:val="00833CF7"/>
    <w:rsid w:val="00834CDE"/>
    <w:rsid w:val="00834EF4"/>
    <w:rsid w:val="00842464"/>
    <w:rsid w:val="00845601"/>
    <w:rsid w:val="00845BE4"/>
    <w:rsid w:val="00855C5C"/>
    <w:rsid w:val="00874977"/>
    <w:rsid w:val="008749E4"/>
    <w:rsid w:val="00882E6F"/>
    <w:rsid w:val="00895828"/>
    <w:rsid w:val="008A3C96"/>
    <w:rsid w:val="008B2EB0"/>
    <w:rsid w:val="008B4019"/>
    <w:rsid w:val="008B5243"/>
    <w:rsid w:val="008B65C9"/>
    <w:rsid w:val="008B6C40"/>
    <w:rsid w:val="008C2D41"/>
    <w:rsid w:val="008C2D4A"/>
    <w:rsid w:val="008C3DAF"/>
    <w:rsid w:val="008C63AF"/>
    <w:rsid w:val="008C6529"/>
    <w:rsid w:val="008D36E0"/>
    <w:rsid w:val="008D3900"/>
    <w:rsid w:val="008D5708"/>
    <w:rsid w:val="008D6CA6"/>
    <w:rsid w:val="008D6E1D"/>
    <w:rsid w:val="008E132C"/>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AF4799"/>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3A8F"/>
    <w:rsid w:val="00BA65A8"/>
    <w:rsid w:val="00BA6D19"/>
    <w:rsid w:val="00BA731A"/>
    <w:rsid w:val="00BA7461"/>
    <w:rsid w:val="00BA7DA9"/>
    <w:rsid w:val="00BB3A58"/>
    <w:rsid w:val="00BB6DE2"/>
    <w:rsid w:val="00BC34D1"/>
    <w:rsid w:val="00BC4215"/>
    <w:rsid w:val="00BD1A6F"/>
    <w:rsid w:val="00BE049D"/>
    <w:rsid w:val="00BE1EEC"/>
    <w:rsid w:val="00BE6D3C"/>
    <w:rsid w:val="00BE7852"/>
    <w:rsid w:val="00BF5C38"/>
    <w:rsid w:val="00BF62DE"/>
    <w:rsid w:val="00BF7CEE"/>
    <w:rsid w:val="00C03880"/>
    <w:rsid w:val="00C129F0"/>
    <w:rsid w:val="00C135CF"/>
    <w:rsid w:val="00C14B09"/>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6EC4"/>
    <w:rsid w:val="00EB701B"/>
    <w:rsid w:val="00EB7D53"/>
    <w:rsid w:val="00EC1CCE"/>
    <w:rsid w:val="00ED22B9"/>
    <w:rsid w:val="00ED2FBB"/>
    <w:rsid w:val="00ED7623"/>
    <w:rsid w:val="00EE3146"/>
    <w:rsid w:val="00EF155E"/>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61AC"/>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 w:type="character" w:styleId="Strong">
    <w:name w:val="Strong"/>
    <w:basedOn w:val="DefaultParagraphFont"/>
    <w:uiPriority w:val="22"/>
    <w:qFormat/>
    <w:rsid w:val="00826CB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53D015CB.dotm</Template>
  <TotalTime>1</TotalTime>
  <Pages>5</Pages>
  <Words>1693</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Myoporum turbinatum (Salt Myoporum)</vt:lpstr>
    </vt:vector>
  </TitlesOfParts>
  <Company/>
  <LinksUpToDate>false</LinksUpToDate>
  <CharactersWithSpaces>11327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Gaultheria viridicarpa (Green Waxberry) and Gaultheria viridicarpa J.B.Williams subsp. viridicarpa ms.</dc:title>
  <dc:subject/>
  <dc:creator>Department of Agriculture, Water and the Environment</dc:creator>
  <cp:keywords/>
  <dc:description/>
  <cp:lastModifiedBy>Durack, Bec</cp:lastModifiedBy>
  <cp:revision>2</cp:revision>
  <cp:lastPrinted>2018-12-18T07:28:00Z</cp:lastPrinted>
  <dcterms:created xsi:type="dcterms:W3CDTF">2020-02-25T04:59:00Z</dcterms:created>
  <dcterms:modified xsi:type="dcterms:W3CDTF">2020-02-25T04:59:00Z</dcterms:modified>
</cp:coreProperties>
</file>