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AE3BE"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w:t>
      </w:r>
      <w:bookmarkStart w:id="0" w:name="_GoBack"/>
      <w:bookmarkEnd w:id="0"/>
      <w:r w:rsidRPr="003A6857">
        <w:rPr>
          <w:rFonts w:ascii="Arial" w:hAnsi="Arial" w:cs="Arial"/>
          <w:b/>
          <w:sz w:val="28"/>
          <w:szCs w:val="28"/>
        </w:rPr>
        <w:t>ocument on Listing Eligibility and Conservation Actions</w:t>
      </w:r>
    </w:p>
    <w:p w14:paraId="29DFB063" w14:textId="77777777" w:rsidR="00860E65" w:rsidRDefault="00860E65" w:rsidP="00860E65">
      <w:pPr>
        <w:jc w:val="center"/>
        <w:rPr>
          <w:rFonts w:ascii="Arial" w:hAnsi="Arial" w:cs="Arial"/>
          <w:sz w:val="28"/>
          <w:szCs w:val="28"/>
        </w:rPr>
      </w:pPr>
    </w:p>
    <w:p w14:paraId="057EA0EF" w14:textId="73CE767A" w:rsidR="00860E65" w:rsidRPr="003A6857" w:rsidRDefault="002171FB" w:rsidP="00860E65">
      <w:pPr>
        <w:pStyle w:val="Title"/>
        <w:rPr>
          <w:rFonts w:ascii="Arial" w:hAnsi="Arial" w:cs="Arial"/>
          <w:sz w:val="24"/>
          <w:szCs w:val="24"/>
          <w:lang w:val="en-US"/>
        </w:rPr>
      </w:pPr>
      <w:r w:rsidRPr="002171FB">
        <w:rPr>
          <w:rFonts w:ascii="Arial" w:hAnsi="Arial" w:cs="Arial"/>
          <w:i/>
          <w:iCs/>
          <w:sz w:val="24"/>
          <w:szCs w:val="24"/>
        </w:rPr>
        <w:t xml:space="preserve">Cophixalus </w:t>
      </w:r>
      <w:r w:rsidR="00276BA8">
        <w:rPr>
          <w:rFonts w:ascii="Arial" w:hAnsi="Arial" w:cs="Arial"/>
          <w:i/>
          <w:iCs/>
          <w:sz w:val="24"/>
          <w:szCs w:val="24"/>
        </w:rPr>
        <w:t>neglectus</w:t>
      </w:r>
      <w:r w:rsidRPr="002171FB">
        <w:rPr>
          <w:rFonts w:ascii="Arial" w:hAnsi="Arial" w:cs="Arial"/>
          <w:i/>
          <w:iCs/>
          <w:sz w:val="24"/>
          <w:szCs w:val="24"/>
        </w:rPr>
        <w:t xml:space="preserve"> </w:t>
      </w:r>
      <w:r w:rsidRPr="002171FB">
        <w:rPr>
          <w:rFonts w:ascii="Arial" w:hAnsi="Arial" w:cs="Arial"/>
          <w:iCs/>
          <w:sz w:val="24"/>
          <w:szCs w:val="24"/>
        </w:rPr>
        <w:t>(</w:t>
      </w:r>
      <w:r w:rsidR="00B473E2">
        <w:rPr>
          <w:rFonts w:ascii="Arial" w:hAnsi="Arial" w:cs="Arial"/>
          <w:iCs/>
          <w:sz w:val="24"/>
          <w:szCs w:val="24"/>
        </w:rPr>
        <w:t>N</w:t>
      </w:r>
      <w:r w:rsidR="00276BA8">
        <w:rPr>
          <w:rFonts w:ascii="Arial" w:hAnsi="Arial" w:cs="Arial"/>
          <w:iCs/>
          <w:sz w:val="24"/>
          <w:szCs w:val="24"/>
        </w:rPr>
        <w:t xml:space="preserve">eglected </w:t>
      </w:r>
      <w:r w:rsidR="00B473E2">
        <w:rPr>
          <w:rFonts w:ascii="Arial" w:hAnsi="Arial" w:cs="Arial"/>
          <w:iCs/>
          <w:sz w:val="24"/>
          <w:szCs w:val="24"/>
        </w:rPr>
        <w:t>N</w:t>
      </w:r>
      <w:r w:rsidR="00276BA8">
        <w:rPr>
          <w:rFonts w:ascii="Arial" w:hAnsi="Arial" w:cs="Arial"/>
          <w:iCs/>
          <w:sz w:val="24"/>
          <w:szCs w:val="24"/>
        </w:rPr>
        <w:t xml:space="preserve">ursery </w:t>
      </w:r>
      <w:r w:rsidR="00B473E2">
        <w:rPr>
          <w:rFonts w:ascii="Arial" w:hAnsi="Arial" w:cs="Arial"/>
          <w:iCs/>
          <w:sz w:val="24"/>
          <w:szCs w:val="24"/>
        </w:rPr>
        <w:t>F</w:t>
      </w:r>
      <w:r w:rsidR="00276BA8">
        <w:rPr>
          <w:rFonts w:ascii="Arial" w:hAnsi="Arial" w:cs="Arial"/>
          <w:iCs/>
          <w:sz w:val="24"/>
          <w:szCs w:val="24"/>
        </w:rPr>
        <w:t>rog</w:t>
      </w:r>
      <w:r w:rsidRPr="002171FB">
        <w:rPr>
          <w:rFonts w:ascii="Arial" w:hAnsi="Arial" w:cs="Arial"/>
          <w:iCs/>
          <w:sz w:val="24"/>
          <w:szCs w:val="24"/>
        </w:rPr>
        <w:t xml:space="preserve">) </w:t>
      </w:r>
      <w:r w:rsidR="00860E65" w:rsidRPr="003A6857">
        <w:rPr>
          <w:rFonts w:ascii="Arial" w:hAnsi="Arial" w:cs="Arial"/>
          <w:i/>
          <w:iCs/>
          <w:sz w:val="24"/>
          <w:szCs w:val="24"/>
        </w:rPr>
        <w:t xml:space="preserve"> </w:t>
      </w:r>
    </w:p>
    <w:p w14:paraId="65F09191"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590D4FFA" w14:textId="12A98A93" w:rsidR="00860E65" w:rsidRDefault="00860E65" w:rsidP="0080639E">
      <w:pPr>
        <w:pStyle w:val="NormalWeb"/>
        <w:tabs>
          <w:tab w:val="left" w:pos="426"/>
        </w:tabs>
        <w:spacing w:before="120" w:after="240"/>
        <w:ind w:left="426" w:hanging="426"/>
        <w:rPr>
          <w:rFonts w:ascii="Arial" w:hAnsi="Arial" w:cs="Arial"/>
          <w:sz w:val="22"/>
          <w:szCs w:val="22"/>
        </w:rPr>
      </w:pPr>
      <w:r w:rsidRPr="002171FB">
        <w:rPr>
          <w:rFonts w:ascii="Arial" w:hAnsi="Arial" w:cs="Arial"/>
          <w:sz w:val="22"/>
          <w:szCs w:val="22"/>
        </w:rPr>
        <w:t>1)</w:t>
      </w:r>
      <w:r w:rsidR="0080639E" w:rsidRPr="002171FB">
        <w:rPr>
          <w:rFonts w:ascii="Arial" w:hAnsi="Arial" w:cs="Arial"/>
          <w:sz w:val="22"/>
          <w:szCs w:val="22"/>
        </w:rPr>
        <w:tab/>
      </w:r>
      <w:r w:rsidRPr="002171FB">
        <w:rPr>
          <w:rFonts w:ascii="Arial" w:hAnsi="Arial" w:cs="Arial"/>
          <w:sz w:val="22"/>
          <w:szCs w:val="22"/>
        </w:rPr>
        <w:t xml:space="preserve">the eligibility of </w:t>
      </w:r>
      <w:r w:rsidR="002171FB" w:rsidRPr="002171FB">
        <w:rPr>
          <w:rFonts w:ascii="Arial" w:hAnsi="Arial" w:cs="Arial"/>
          <w:i/>
          <w:sz w:val="22"/>
          <w:szCs w:val="22"/>
        </w:rPr>
        <w:t xml:space="preserve">Cophixalus </w:t>
      </w:r>
      <w:r w:rsidR="00276BA8">
        <w:rPr>
          <w:rFonts w:ascii="Arial" w:hAnsi="Arial" w:cs="Arial"/>
          <w:i/>
          <w:sz w:val="22"/>
          <w:szCs w:val="22"/>
        </w:rPr>
        <w:t>neglectus</w:t>
      </w:r>
      <w:r w:rsidR="002171FB" w:rsidRPr="002171FB">
        <w:rPr>
          <w:rFonts w:ascii="Arial" w:hAnsi="Arial" w:cs="Arial"/>
          <w:i/>
          <w:sz w:val="22"/>
          <w:szCs w:val="22"/>
        </w:rPr>
        <w:t xml:space="preserve"> </w:t>
      </w:r>
      <w:r w:rsidR="002171FB" w:rsidRPr="002171FB">
        <w:rPr>
          <w:rFonts w:ascii="Arial" w:hAnsi="Arial" w:cs="Arial"/>
          <w:sz w:val="22"/>
          <w:szCs w:val="22"/>
        </w:rPr>
        <w:t>(</w:t>
      </w:r>
      <w:r w:rsidR="00B473E2">
        <w:rPr>
          <w:rFonts w:ascii="Arial" w:hAnsi="Arial" w:cs="Arial"/>
          <w:sz w:val="22"/>
          <w:szCs w:val="22"/>
        </w:rPr>
        <w:t>N</w:t>
      </w:r>
      <w:r w:rsidR="00276BA8">
        <w:rPr>
          <w:rFonts w:ascii="Arial" w:hAnsi="Arial" w:cs="Arial"/>
          <w:sz w:val="22"/>
          <w:szCs w:val="22"/>
        </w:rPr>
        <w:t xml:space="preserve">eglected </w:t>
      </w:r>
      <w:r w:rsidR="00B473E2">
        <w:rPr>
          <w:rFonts w:ascii="Arial" w:hAnsi="Arial" w:cs="Arial"/>
          <w:sz w:val="22"/>
          <w:szCs w:val="22"/>
        </w:rPr>
        <w:t>N</w:t>
      </w:r>
      <w:r w:rsidR="00276BA8">
        <w:rPr>
          <w:rFonts w:ascii="Arial" w:hAnsi="Arial" w:cs="Arial"/>
          <w:sz w:val="22"/>
          <w:szCs w:val="22"/>
        </w:rPr>
        <w:t xml:space="preserve">ursery </w:t>
      </w:r>
      <w:r w:rsidR="00B473E2">
        <w:rPr>
          <w:rFonts w:ascii="Arial" w:hAnsi="Arial" w:cs="Arial"/>
          <w:sz w:val="22"/>
          <w:szCs w:val="22"/>
        </w:rPr>
        <w:t>F</w:t>
      </w:r>
      <w:r w:rsidR="00276BA8">
        <w:rPr>
          <w:rFonts w:ascii="Arial" w:hAnsi="Arial" w:cs="Arial"/>
          <w:sz w:val="22"/>
          <w:szCs w:val="22"/>
        </w:rPr>
        <w:t>rog</w:t>
      </w:r>
      <w:r w:rsidR="002171FB" w:rsidRPr="002171FB">
        <w:rPr>
          <w:rFonts w:ascii="Arial" w:hAnsi="Arial" w:cs="Arial"/>
          <w:sz w:val="22"/>
          <w:szCs w:val="22"/>
        </w:rPr>
        <w:t>)</w:t>
      </w:r>
      <w:r w:rsidR="002171FB" w:rsidRPr="002171FB">
        <w:rPr>
          <w:rFonts w:ascii="Arial" w:hAnsi="Arial" w:cs="Arial"/>
          <w:i/>
          <w:sz w:val="22"/>
          <w:szCs w:val="22"/>
        </w:rPr>
        <w:t xml:space="preserve"> </w:t>
      </w:r>
      <w:r w:rsidRPr="002171FB">
        <w:rPr>
          <w:rFonts w:ascii="Arial" w:hAnsi="Arial" w:cs="Arial"/>
          <w:sz w:val="22"/>
          <w:szCs w:val="22"/>
        </w:rPr>
        <w:t xml:space="preserve"> for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w:t>
      </w:r>
      <w:r w:rsidR="00E54A36">
        <w:rPr>
          <w:rFonts w:ascii="Arial" w:hAnsi="Arial" w:cs="Arial"/>
          <w:sz w:val="22"/>
          <w:szCs w:val="22"/>
        </w:rPr>
        <w:t xml:space="preserve">Critically </w:t>
      </w:r>
      <w:r w:rsidR="0057451A">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6EC1FDAA" w14:textId="45372FB1"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232D466A"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1AF31A77"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B4B056B"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081BD0F0" w14:textId="77777777" w:rsidR="00860E65" w:rsidRDefault="00860E65" w:rsidP="00860E65">
      <w:pPr>
        <w:rPr>
          <w:rFonts w:ascii="Arial" w:hAnsi="Arial" w:cs="Arial"/>
          <w:sz w:val="22"/>
          <w:szCs w:val="22"/>
        </w:rPr>
      </w:pPr>
    </w:p>
    <w:p w14:paraId="2E2B2C6E"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49543600" w14:textId="77777777" w:rsidR="00860E65" w:rsidRDefault="00860E65" w:rsidP="00860E65">
      <w:pPr>
        <w:rPr>
          <w:rFonts w:ascii="Arial" w:hAnsi="Arial" w:cs="Arial"/>
          <w:color w:val="000000"/>
          <w:sz w:val="22"/>
          <w:szCs w:val="22"/>
        </w:rPr>
      </w:pPr>
    </w:p>
    <w:p w14:paraId="3EA88720"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6254AA65"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6519C160"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281C742A" w14:textId="427A4669"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514701">
        <w:rPr>
          <w:rFonts w:ascii="Arial" w:hAnsi="Arial" w:cs="Arial"/>
          <w:color w:val="000000"/>
          <w:sz w:val="22"/>
          <w:szCs w:val="22"/>
        </w:rPr>
        <w:t xml:space="preserve"> and Energy</w:t>
      </w:r>
    </w:p>
    <w:p w14:paraId="66A14580"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53F41BF6"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56E18BC0" w14:textId="77777777" w:rsidR="00860E65" w:rsidRDefault="00860E65" w:rsidP="00860E65">
      <w:pPr>
        <w:rPr>
          <w:rFonts w:ascii="Arial" w:hAnsi="Arial" w:cs="Arial"/>
          <w:color w:val="000000"/>
          <w:sz w:val="22"/>
          <w:szCs w:val="22"/>
        </w:rPr>
      </w:pPr>
    </w:p>
    <w:p w14:paraId="25BB275C" w14:textId="671FD8F0"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0F5DD8">
        <w:rPr>
          <w:rFonts w:ascii="Arial" w:hAnsi="Arial" w:cs="Arial"/>
          <w:b/>
          <w:sz w:val="22"/>
          <w:szCs w:val="22"/>
        </w:rPr>
        <w:t>2</w:t>
      </w:r>
      <w:r w:rsidR="000F5DD8">
        <w:rPr>
          <w:rFonts w:ascii="Arial" w:hAnsi="Arial" w:cs="Arial"/>
          <w:b/>
          <w:sz w:val="22"/>
          <w:szCs w:val="22"/>
        </w:rPr>
        <w:t>2</w:t>
      </w:r>
      <w:r w:rsidR="000F5DD8">
        <w:rPr>
          <w:rFonts w:ascii="Arial" w:hAnsi="Arial" w:cs="Arial"/>
          <w:b/>
          <w:sz w:val="22"/>
          <w:szCs w:val="22"/>
        </w:rPr>
        <w:t xml:space="preserve"> October 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0F107447"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17E1A966"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472C71A4"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5CE28710" w14:textId="77777777" w:rsidTr="006115F8">
        <w:tc>
          <w:tcPr>
            <w:tcW w:w="9039" w:type="dxa"/>
            <w:tcBorders>
              <w:top w:val="single" w:sz="4" w:space="0" w:color="auto"/>
              <w:left w:val="single" w:sz="4" w:space="0" w:color="auto"/>
              <w:bottom w:val="single" w:sz="4" w:space="0" w:color="auto"/>
              <w:right w:val="single" w:sz="4" w:space="0" w:color="auto"/>
            </w:tcBorders>
          </w:tcPr>
          <w:p w14:paraId="05497727"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6E6CBED9" w14:textId="77777777" w:rsidR="00860E65" w:rsidRPr="000F5DD8" w:rsidRDefault="00856AFA" w:rsidP="00856AFA">
            <w:pPr>
              <w:jc w:val="center"/>
              <w:rPr>
                <w:rFonts w:ascii="Arial" w:hAnsi="Arial" w:cs="Arial"/>
                <w:sz w:val="22"/>
                <w:szCs w:val="22"/>
              </w:rPr>
            </w:pPr>
            <w:r w:rsidRPr="000F5DD8">
              <w:rPr>
                <w:rFonts w:ascii="Arial" w:hAnsi="Arial" w:cs="Arial"/>
                <w:sz w:val="22"/>
                <w:szCs w:val="22"/>
              </w:rPr>
              <w:t>2</w:t>
            </w:r>
          </w:p>
        </w:tc>
      </w:tr>
      <w:tr w:rsidR="00860E65" w:rsidRPr="00CE5A35" w14:paraId="556433F6" w14:textId="77777777" w:rsidTr="006115F8">
        <w:tc>
          <w:tcPr>
            <w:tcW w:w="9039" w:type="dxa"/>
            <w:tcBorders>
              <w:top w:val="single" w:sz="4" w:space="0" w:color="auto"/>
              <w:left w:val="single" w:sz="4" w:space="0" w:color="auto"/>
              <w:bottom w:val="single" w:sz="4" w:space="0" w:color="auto"/>
              <w:right w:val="single" w:sz="4" w:space="0" w:color="auto"/>
            </w:tcBorders>
          </w:tcPr>
          <w:p w14:paraId="796450F1"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18822F7B" w14:textId="77777777" w:rsidR="00860E65" w:rsidRPr="000F5DD8" w:rsidRDefault="00856AFA" w:rsidP="00856AFA">
            <w:pPr>
              <w:jc w:val="center"/>
              <w:rPr>
                <w:rFonts w:ascii="Arial" w:hAnsi="Arial" w:cs="Arial"/>
                <w:sz w:val="22"/>
                <w:szCs w:val="22"/>
              </w:rPr>
            </w:pPr>
            <w:r w:rsidRPr="000F5DD8">
              <w:rPr>
                <w:rFonts w:ascii="Arial" w:hAnsi="Arial" w:cs="Arial"/>
                <w:sz w:val="22"/>
                <w:szCs w:val="22"/>
              </w:rPr>
              <w:t>2</w:t>
            </w:r>
          </w:p>
        </w:tc>
      </w:tr>
      <w:tr w:rsidR="00860E65" w:rsidRPr="00CE5A35" w14:paraId="52B04A28" w14:textId="77777777" w:rsidTr="006115F8">
        <w:tc>
          <w:tcPr>
            <w:tcW w:w="9039" w:type="dxa"/>
            <w:tcBorders>
              <w:top w:val="single" w:sz="4" w:space="0" w:color="auto"/>
              <w:left w:val="single" w:sz="4" w:space="0" w:color="auto"/>
              <w:bottom w:val="single" w:sz="4" w:space="0" w:color="auto"/>
              <w:right w:val="single" w:sz="4" w:space="0" w:color="auto"/>
            </w:tcBorders>
          </w:tcPr>
          <w:p w14:paraId="002A39A4" w14:textId="77777777"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C80DD0">
              <w:rPr>
                <w:rFonts w:ascii="Arial" w:hAnsi="Arial" w:cs="Arial"/>
                <w:iCs/>
                <w:sz w:val="22"/>
                <w:szCs w:val="22"/>
              </w:rPr>
              <w:t>sub</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6EF1F0D0" w14:textId="1D203287" w:rsidR="00860E65" w:rsidRPr="000F5DD8" w:rsidRDefault="00696A94" w:rsidP="00856AFA">
            <w:pPr>
              <w:jc w:val="center"/>
              <w:rPr>
                <w:rFonts w:ascii="Arial" w:hAnsi="Arial" w:cs="Arial"/>
                <w:sz w:val="22"/>
                <w:szCs w:val="22"/>
              </w:rPr>
            </w:pPr>
            <w:r w:rsidRPr="000F5DD8">
              <w:rPr>
                <w:rFonts w:ascii="Arial" w:hAnsi="Arial" w:cs="Arial"/>
                <w:sz w:val="22"/>
                <w:szCs w:val="22"/>
              </w:rPr>
              <w:t>4</w:t>
            </w:r>
          </w:p>
        </w:tc>
      </w:tr>
      <w:tr w:rsidR="00860E65" w:rsidRPr="00CE5A35" w14:paraId="3B9DF1C9" w14:textId="77777777" w:rsidTr="006115F8">
        <w:tc>
          <w:tcPr>
            <w:tcW w:w="9039" w:type="dxa"/>
            <w:tcBorders>
              <w:top w:val="single" w:sz="4" w:space="0" w:color="auto"/>
              <w:left w:val="single" w:sz="4" w:space="0" w:color="auto"/>
              <w:bottom w:val="single" w:sz="4" w:space="0" w:color="auto"/>
              <w:right w:val="single" w:sz="4" w:space="0" w:color="auto"/>
            </w:tcBorders>
          </w:tcPr>
          <w:p w14:paraId="5019CCA7"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sidR="00C80DD0">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14:paraId="08CD00A2" w14:textId="50CB183B" w:rsidR="00860E65" w:rsidRPr="000F5DD8" w:rsidRDefault="00696A94" w:rsidP="00696A94">
            <w:pPr>
              <w:jc w:val="center"/>
              <w:rPr>
                <w:rFonts w:ascii="Arial" w:hAnsi="Arial" w:cs="Arial"/>
                <w:sz w:val="22"/>
                <w:szCs w:val="22"/>
              </w:rPr>
            </w:pPr>
            <w:r w:rsidRPr="000F5DD8">
              <w:rPr>
                <w:rFonts w:ascii="Arial" w:hAnsi="Arial" w:cs="Arial"/>
                <w:sz w:val="22"/>
                <w:szCs w:val="22"/>
              </w:rPr>
              <w:t>9</w:t>
            </w:r>
          </w:p>
        </w:tc>
      </w:tr>
      <w:tr w:rsidR="00860E65" w:rsidRPr="00CE5A35" w14:paraId="37150820" w14:textId="77777777" w:rsidTr="006115F8">
        <w:tc>
          <w:tcPr>
            <w:tcW w:w="9039" w:type="dxa"/>
            <w:tcBorders>
              <w:top w:val="single" w:sz="4" w:space="0" w:color="auto"/>
              <w:left w:val="single" w:sz="4" w:space="0" w:color="auto"/>
              <w:bottom w:val="single" w:sz="4" w:space="0" w:color="auto"/>
              <w:right w:val="single" w:sz="4" w:space="0" w:color="auto"/>
            </w:tcBorders>
          </w:tcPr>
          <w:p w14:paraId="355188E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13FEF54B" w14:textId="44A75F4C" w:rsidR="00860E65" w:rsidRPr="000F5DD8" w:rsidRDefault="00C80DD0" w:rsidP="00696A94">
            <w:pPr>
              <w:jc w:val="center"/>
              <w:rPr>
                <w:rFonts w:ascii="Arial" w:hAnsi="Arial" w:cs="Arial"/>
                <w:sz w:val="22"/>
                <w:szCs w:val="22"/>
              </w:rPr>
            </w:pPr>
            <w:r w:rsidRPr="000F5DD8">
              <w:rPr>
                <w:rFonts w:ascii="Arial" w:hAnsi="Arial" w:cs="Arial"/>
                <w:sz w:val="22"/>
                <w:szCs w:val="22"/>
              </w:rPr>
              <w:t>1</w:t>
            </w:r>
            <w:r w:rsidR="00696A94" w:rsidRPr="000F5DD8">
              <w:rPr>
                <w:rFonts w:ascii="Arial" w:hAnsi="Arial" w:cs="Arial"/>
                <w:sz w:val="22"/>
                <w:szCs w:val="22"/>
              </w:rPr>
              <w:t>0</w:t>
            </w:r>
          </w:p>
        </w:tc>
      </w:tr>
      <w:tr w:rsidR="00860E65" w:rsidRPr="00CE5A35" w14:paraId="080B28D8" w14:textId="77777777" w:rsidTr="006115F8">
        <w:tc>
          <w:tcPr>
            <w:tcW w:w="9039" w:type="dxa"/>
            <w:tcBorders>
              <w:top w:val="single" w:sz="4" w:space="0" w:color="auto"/>
              <w:left w:val="single" w:sz="4" w:space="0" w:color="auto"/>
              <w:bottom w:val="single" w:sz="4" w:space="0" w:color="auto"/>
              <w:right w:val="single" w:sz="4" w:space="0" w:color="auto"/>
            </w:tcBorders>
          </w:tcPr>
          <w:p w14:paraId="3CE59136"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4E00996F" w14:textId="5FC15B3C" w:rsidR="00860E65" w:rsidRPr="000F5DD8" w:rsidRDefault="00C80DD0" w:rsidP="00696A94">
            <w:pPr>
              <w:jc w:val="center"/>
              <w:rPr>
                <w:rFonts w:ascii="Arial" w:hAnsi="Arial" w:cs="Arial"/>
                <w:sz w:val="22"/>
                <w:szCs w:val="22"/>
              </w:rPr>
            </w:pPr>
            <w:r w:rsidRPr="000F5DD8">
              <w:rPr>
                <w:rFonts w:ascii="Arial" w:hAnsi="Arial" w:cs="Arial"/>
                <w:sz w:val="22"/>
                <w:szCs w:val="22"/>
              </w:rPr>
              <w:t>1</w:t>
            </w:r>
            <w:r w:rsidR="00696A94" w:rsidRPr="000F5DD8">
              <w:rPr>
                <w:rFonts w:ascii="Arial" w:hAnsi="Arial" w:cs="Arial"/>
                <w:sz w:val="22"/>
                <w:szCs w:val="22"/>
              </w:rPr>
              <w:t>2</w:t>
            </w:r>
          </w:p>
        </w:tc>
      </w:tr>
    </w:tbl>
    <w:p w14:paraId="2F2AA110"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1171BE4E"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539E617E" w14:textId="77777777" w:rsidR="00860E65" w:rsidRDefault="00514701"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E0F1096"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22FC4753"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4349064E"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6383BF4B"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504E7BBC"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6DEDACD1"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520BBFBE"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81ED1E0" w14:textId="77777777" w:rsidR="00AE2704" w:rsidRDefault="00AE2704" w:rsidP="00AE2704">
      <w:pPr>
        <w:spacing w:after="200"/>
        <w:rPr>
          <w:rFonts w:ascii="Arial" w:hAnsi="Arial" w:cs="Arial"/>
          <w:b/>
          <w:bCs/>
          <w:sz w:val="22"/>
          <w:szCs w:val="22"/>
        </w:rPr>
      </w:pPr>
      <w:r>
        <w:rPr>
          <w:rFonts w:ascii="Arial" w:hAnsi="Arial" w:cs="Arial"/>
          <w:b/>
          <w:bCs/>
          <w:sz w:val="22"/>
          <w:szCs w:val="22"/>
        </w:rPr>
        <w:t>Privacy notice</w:t>
      </w:r>
    </w:p>
    <w:p w14:paraId="516670F1" w14:textId="77777777" w:rsidR="00AE2704" w:rsidRDefault="00AE2704" w:rsidP="00AE2704">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62079D0C" w14:textId="77777777" w:rsidR="00AE2704" w:rsidRDefault="00AE2704" w:rsidP="00AE2704">
      <w:pPr>
        <w:spacing w:before="120" w:after="240"/>
        <w:rPr>
          <w:rFonts w:ascii="Arial" w:hAnsi="Arial" w:cs="Arial"/>
          <w:sz w:val="22"/>
          <w:szCs w:val="22"/>
        </w:rPr>
      </w:pPr>
      <w:r>
        <w:rPr>
          <w:rFonts w:ascii="Arial" w:hAnsi="Arial" w:cs="Arial"/>
          <w:sz w:val="22"/>
          <w:szCs w:val="22"/>
        </w:rPr>
        <w:lastRenderedPageBreak/>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5920CAD9" w14:textId="77777777" w:rsidR="00AE2704" w:rsidRDefault="00AE2704" w:rsidP="00AE2704">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7C7B291" w14:textId="5A12B97A" w:rsidR="0080639E" w:rsidRDefault="00AE2704" w:rsidP="00AE2704">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331A36A6" w14:textId="77777777" w:rsidR="00860E65" w:rsidRPr="008040B8" w:rsidRDefault="002171FB" w:rsidP="00860E65">
      <w:pPr>
        <w:jc w:val="center"/>
        <w:rPr>
          <w:rFonts w:ascii="Arial" w:hAnsi="Arial" w:cs="Arial"/>
          <w:i/>
          <w:sz w:val="32"/>
          <w:szCs w:val="32"/>
        </w:rPr>
      </w:pPr>
      <w:r w:rsidRPr="002171FB">
        <w:rPr>
          <w:rStyle w:val="Heading1Char"/>
          <w:rFonts w:ascii="Arial" w:hAnsi="Arial" w:cs="Arial"/>
          <w:i/>
          <w:sz w:val="32"/>
          <w:szCs w:val="32"/>
          <w:u w:val="none"/>
        </w:rPr>
        <w:t xml:space="preserve">Cophixalus </w:t>
      </w:r>
      <w:r w:rsidR="00276BA8">
        <w:rPr>
          <w:rStyle w:val="Heading1Char"/>
          <w:rFonts w:ascii="Arial" w:hAnsi="Arial" w:cs="Arial"/>
          <w:i/>
          <w:sz w:val="32"/>
          <w:szCs w:val="32"/>
          <w:u w:val="none"/>
        </w:rPr>
        <w:t>neglectus</w:t>
      </w:r>
      <w:r w:rsidRPr="002171FB">
        <w:rPr>
          <w:rStyle w:val="Heading1Char"/>
          <w:rFonts w:ascii="Arial" w:hAnsi="Arial" w:cs="Arial"/>
          <w:i/>
          <w:sz w:val="32"/>
          <w:szCs w:val="32"/>
          <w:u w:val="none"/>
        </w:rPr>
        <w:t xml:space="preserve"> </w:t>
      </w:r>
    </w:p>
    <w:p w14:paraId="0FAF4D35" w14:textId="77777777" w:rsidR="00860E65" w:rsidRPr="00424584" w:rsidRDefault="00860E65" w:rsidP="00860E65">
      <w:pPr>
        <w:jc w:val="center"/>
        <w:rPr>
          <w:rFonts w:ascii="Arial" w:hAnsi="Arial" w:cs="Arial"/>
          <w:sz w:val="22"/>
          <w:szCs w:val="22"/>
        </w:rPr>
      </w:pPr>
    </w:p>
    <w:p w14:paraId="5331A7FE" w14:textId="01D6CF92" w:rsidR="00860E65" w:rsidRDefault="002171FB" w:rsidP="002171FB">
      <w:pPr>
        <w:spacing w:after="120"/>
        <w:jc w:val="center"/>
        <w:rPr>
          <w:rFonts w:ascii="Arial" w:hAnsi="Arial" w:cs="Arial"/>
          <w:sz w:val="22"/>
          <w:szCs w:val="22"/>
        </w:rPr>
      </w:pPr>
      <w:r w:rsidRPr="002171FB">
        <w:rPr>
          <w:rStyle w:val="Heading1Char"/>
          <w:rFonts w:ascii="Arial" w:hAnsi="Arial" w:cs="Arial"/>
          <w:sz w:val="22"/>
          <w:szCs w:val="22"/>
          <w:u w:val="none"/>
        </w:rPr>
        <w:t>(</w:t>
      </w:r>
      <w:r w:rsidR="00B473E2">
        <w:rPr>
          <w:rStyle w:val="Heading1Char"/>
          <w:rFonts w:ascii="Arial" w:hAnsi="Arial" w:cs="Arial"/>
          <w:sz w:val="22"/>
          <w:szCs w:val="22"/>
          <w:u w:val="none"/>
        </w:rPr>
        <w:t>N</w:t>
      </w:r>
      <w:r w:rsidR="00276BA8">
        <w:rPr>
          <w:rStyle w:val="Heading1Char"/>
          <w:rFonts w:ascii="Arial" w:hAnsi="Arial" w:cs="Arial"/>
          <w:sz w:val="22"/>
          <w:szCs w:val="22"/>
          <w:u w:val="none"/>
        </w:rPr>
        <w:t xml:space="preserve">eglected </w:t>
      </w:r>
      <w:r w:rsidR="00B473E2">
        <w:rPr>
          <w:rStyle w:val="Heading1Char"/>
          <w:rFonts w:ascii="Arial" w:hAnsi="Arial" w:cs="Arial"/>
          <w:sz w:val="22"/>
          <w:szCs w:val="22"/>
          <w:u w:val="none"/>
        </w:rPr>
        <w:t>N</w:t>
      </w:r>
      <w:r w:rsidR="00276BA8">
        <w:rPr>
          <w:rStyle w:val="Heading1Char"/>
          <w:rFonts w:ascii="Arial" w:hAnsi="Arial" w:cs="Arial"/>
          <w:sz w:val="22"/>
          <w:szCs w:val="22"/>
          <w:u w:val="none"/>
        </w:rPr>
        <w:t xml:space="preserve">ursery </w:t>
      </w:r>
      <w:r w:rsidR="00B473E2">
        <w:rPr>
          <w:rStyle w:val="Heading1Char"/>
          <w:rFonts w:ascii="Arial" w:hAnsi="Arial" w:cs="Arial"/>
          <w:sz w:val="22"/>
          <w:szCs w:val="22"/>
          <w:u w:val="none"/>
        </w:rPr>
        <w:t>F</w:t>
      </w:r>
      <w:r w:rsidR="00276BA8">
        <w:rPr>
          <w:rStyle w:val="Heading1Char"/>
          <w:rFonts w:ascii="Arial" w:hAnsi="Arial" w:cs="Arial"/>
          <w:sz w:val="22"/>
          <w:szCs w:val="22"/>
          <w:u w:val="none"/>
        </w:rPr>
        <w:t>rog</w:t>
      </w:r>
      <w:r w:rsidRPr="002171FB">
        <w:rPr>
          <w:rStyle w:val="Heading1Char"/>
          <w:rFonts w:ascii="Arial" w:hAnsi="Arial" w:cs="Arial"/>
          <w:sz w:val="22"/>
          <w:szCs w:val="22"/>
          <w:u w:val="none"/>
        </w:rPr>
        <w:t>)</w:t>
      </w:r>
    </w:p>
    <w:p w14:paraId="3306AEE4" w14:textId="77777777" w:rsidR="00856AFA" w:rsidRPr="008828D2" w:rsidRDefault="00856AFA" w:rsidP="00856AFA">
      <w:pPr>
        <w:spacing w:before="120"/>
        <w:rPr>
          <w:rFonts w:ascii="Arial" w:hAnsi="Arial" w:cs="Arial"/>
          <w:iCs/>
          <w:sz w:val="22"/>
          <w:szCs w:val="22"/>
        </w:rPr>
      </w:pPr>
    </w:p>
    <w:p w14:paraId="22701EB9"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42575408" w14:textId="77777777" w:rsid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Pr="008C7FEA">
        <w:rPr>
          <w:rFonts w:ascii="Arial" w:hAnsi="Arial" w:cs="Arial"/>
          <w:i/>
          <w:sz w:val="22"/>
          <w:szCs w:val="22"/>
        </w:rPr>
        <w:t xml:space="preserve">Cophixalus </w:t>
      </w:r>
      <w:r w:rsidR="00276BA8">
        <w:rPr>
          <w:rFonts w:ascii="Arial" w:hAnsi="Arial" w:cs="Arial"/>
          <w:i/>
          <w:sz w:val="22"/>
          <w:szCs w:val="22"/>
        </w:rPr>
        <w:t>neglectus</w:t>
      </w:r>
      <w:r w:rsidRPr="008C7FEA">
        <w:rPr>
          <w:rFonts w:ascii="Arial" w:hAnsi="Arial" w:cs="Arial"/>
          <w:sz w:val="22"/>
          <w:szCs w:val="22"/>
        </w:rPr>
        <w:t xml:space="preserve"> </w:t>
      </w:r>
      <w:r>
        <w:rPr>
          <w:rFonts w:ascii="Arial" w:hAnsi="Arial" w:cs="Arial"/>
          <w:sz w:val="22"/>
          <w:szCs w:val="22"/>
        </w:rPr>
        <w:t>(</w:t>
      </w:r>
      <w:r w:rsidR="00276BA8">
        <w:rPr>
          <w:rFonts w:ascii="Arial" w:hAnsi="Arial" w:cs="Arial"/>
          <w:sz w:val="22"/>
          <w:szCs w:val="22"/>
        </w:rPr>
        <w:t>Zweifel, 1962</w:t>
      </w:r>
      <w:r>
        <w:rPr>
          <w:rFonts w:ascii="Arial" w:hAnsi="Arial" w:cs="Arial"/>
          <w:sz w:val="22"/>
          <w:szCs w:val="22"/>
        </w:rPr>
        <w:t>).</w:t>
      </w:r>
    </w:p>
    <w:p w14:paraId="2B3F92EB" w14:textId="77777777" w:rsidR="008C7FEA" w:rsidRPr="008C7FEA" w:rsidRDefault="008C7FEA" w:rsidP="00AB638E">
      <w:pPr>
        <w:spacing w:after="120"/>
        <w:rPr>
          <w:rFonts w:ascii="Arial" w:hAnsi="Arial" w:cs="Arial"/>
          <w:sz w:val="22"/>
          <w:szCs w:val="22"/>
        </w:rPr>
      </w:pPr>
    </w:p>
    <w:p w14:paraId="40F41D4F"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701534AA" w14:textId="77777777" w:rsidR="00424584" w:rsidRP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78925D35" w14:textId="5F659B90" w:rsidR="00276BA8" w:rsidRDefault="00AE2704" w:rsidP="003B2795">
      <w:pPr>
        <w:pStyle w:val="NormalWeb"/>
        <w:spacing w:before="0" w:beforeAutospacing="0"/>
        <w:rPr>
          <w:rFonts w:ascii="Arial" w:hAnsi="Arial" w:cs="Arial"/>
          <w:sz w:val="22"/>
          <w:szCs w:val="22"/>
        </w:rPr>
      </w:pPr>
      <w:r>
        <w:rPr>
          <w:rFonts w:ascii="Arial" w:hAnsi="Arial" w:cs="Arial"/>
          <w:sz w:val="22"/>
          <w:szCs w:val="22"/>
        </w:rPr>
        <w:t xml:space="preserve">The </w:t>
      </w:r>
      <w:r w:rsidR="00B473E2">
        <w:rPr>
          <w:rFonts w:ascii="Arial" w:hAnsi="Arial" w:cs="Arial"/>
          <w:sz w:val="22"/>
          <w:szCs w:val="22"/>
        </w:rPr>
        <w:t>N</w:t>
      </w:r>
      <w:r>
        <w:rPr>
          <w:rFonts w:ascii="Arial" w:hAnsi="Arial" w:cs="Arial"/>
          <w:sz w:val="22"/>
          <w:szCs w:val="22"/>
        </w:rPr>
        <w:t xml:space="preserve">eglected </w:t>
      </w:r>
      <w:r w:rsidR="00B473E2">
        <w:rPr>
          <w:rFonts w:ascii="Arial" w:hAnsi="Arial" w:cs="Arial"/>
          <w:sz w:val="22"/>
          <w:szCs w:val="22"/>
        </w:rPr>
        <w:t>N</w:t>
      </w:r>
      <w:r>
        <w:rPr>
          <w:rFonts w:ascii="Arial" w:hAnsi="Arial" w:cs="Arial"/>
          <w:sz w:val="22"/>
          <w:szCs w:val="22"/>
        </w:rPr>
        <w:t xml:space="preserve">ursery </w:t>
      </w:r>
      <w:r w:rsidR="00B473E2">
        <w:rPr>
          <w:rFonts w:ascii="Arial" w:hAnsi="Arial" w:cs="Arial"/>
          <w:sz w:val="22"/>
          <w:szCs w:val="22"/>
        </w:rPr>
        <w:t>F</w:t>
      </w:r>
      <w:r>
        <w:rPr>
          <w:rFonts w:ascii="Arial" w:hAnsi="Arial" w:cs="Arial"/>
          <w:sz w:val="22"/>
          <w:szCs w:val="22"/>
        </w:rPr>
        <w:t xml:space="preserve">rog is a member of the family Microhylidae. </w:t>
      </w:r>
      <w:r w:rsidR="003C2688">
        <w:rPr>
          <w:rFonts w:ascii="Arial" w:hAnsi="Arial" w:cs="Arial"/>
          <w:sz w:val="22"/>
          <w:szCs w:val="22"/>
        </w:rPr>
        <w:t>The body is s</w:t>
      </w:r>
      <w:r w:rsidR="004C69AB">
        <w:rPr>
          <w:rFonts w:ascii="Arial" w:hAnsi="Arial" w:cs="Arial"/>
          <w:sz w:val="22"/>
          <w:szCs w:val="22"/>
        </w:rPr>
        <w:t>mooth, brown or orange-brown above, sometimes with darker flecks on the back and a narrow black bar below a faint supratympanic fold</w:t>
      </w:r>
      <w:r w:rsidR="000F1B68">
        <w:rPr>
          <w:rFonts w:ascii="Arial" w:hAnsi="Arial" w:cs="Arial"/>
          <w:sz w:val="22"/>
          <w:szCs w:val="22"/>
        </w:rPr>
        <w:t>,</w:t>
      </w:r>
      <w:r w:rsidR="00E60782">
        <w:rPr>
          <w:rFonts w:ascii="Arial" w:hAnsi="Arial" w:cs="Arial"/>
          <w:sz w:val="22"/>
          <w:szCs w:val="22"/>
        </w:rPr>
        <w:t xml:space="preserve"> and t</w:t>
      </w:r>
      <w:r w:rsidR="003C2688">
        <w:rPr>
          <w:rFonts w:ascii="Arial" w:hAnsi="Arial" w:cs="Arial"/>
          <w:sz w:val="22"/>
          <w:szCs w:val="22"/>
        </w:rPr>
        <w:t>here is o</w:t>
      </w:r>
      <w:r w:rsidR="004C69AB">
        <w:rPr>
          <w:rFonts w:ascii="Arial" w:hAnsi="Arial" w:cs="Arial"/>
          <w:sz w:val="22"/>
          <w:szCs w:val="22"/>
        </w:rPr>
        <w:t xml:space="preserve">ccasionally a narrow pale vertebral line. </w:t>
      </w:r>
      <w:r w:rsidR="00721E46">
        <w:rPr>
          <w:rFonts w:ascii="Arial" w:hAnsi="Arial" w:cs="Arial"/>
          <w:sz w:val="22"/>
          <w:szCs w:val="22"/>
        </w:rPr>
        <w:t>T</w:t>
      </w:r>
      <w:r w:rsidR="000F1B68">
        <w:rPr>
          <w:rFonts w:ascii="Arial" w:hAnsi="Arial" w:cs="Arial"/>
          <w:sz w:val="22"/>
          <w:szCs w:val="22"/>
        </w:rPr>
        <w:t>he ventral surface is</w:t>
      </w:r>
      <w:r w:rsidR="003C2688">
        <w:rPr>
          <w:rFonts w:ascii="Arial" w:hAnsi="Arial" w:cs="Arial"/>
          <w:sz w:val="22"/>
          <w:szCs w:val="22"/>
        </w:rPr>
        <w:t xml:space="preserve"> s</w:t>
      </w:r>
      <w:r w:rsidR="004C69AB">
        <w:rPr>
          <w:rFonts w:ascii="Arial" w:hAnsi="Arial" w:cs="Arial"/>
          <w:sz w:val="22"/>
          <w:szCs w:val="22"/>
        </w:rPr>
        <w:t xml:space="preserve">mooth and pale </w:t>
      </w:r>
      <w:r w:rsidR="003C2688">
        <w:rPr>
          <w:rFonts w:ascii="Arial" w:hAnsi="Arial" w:cs="Arial"/>
          <w:sz w:val="22"/>
          <w:szCs w:val="22"/>
        </w:rPr>
        <w:t>and</w:t>
      </w:r>
      <w:r w:rsidR="004C69AB">
        <w:rPr>
          <w:rFonts w:ascii="Arial" w:hAnsi="Arial" w:cs="Arial"/>
          <w:sz w:val="22"/>
          <w:szCs w:val="22"/>
        </w:rPr>
        <w:t xml:space="preserve"> flecked with brown. </w:t>
      </w:r>
      <w:r w:rsidR="003C2688">
        <w:rPr>
          <w:rFonts w:ascii="Arial" w:hAnsi="Arial" w:cs="Arial"/>
          <w:sz w:val="22"/>
          <w:szCs w:val="22"/>
        </w:rPr>
        <w:t>It is a squat s</w:t>
      </w:r>
      <w:r w:rsidR="004C69AB">
        <w:rPr>
          <w:rFonts w:ascii="Arial" w:hAnsi="Arial" w:cs="Arial"/>
          <w:sz w:val="22"/>
          <w:szCs w:val="22"/>
        </w:rPr>
        <w:t xml:space="preserve">hort limbed </w:t>
      </w:r>
      <w:r w:rsidR="003C2688">
        <w:rPr>
          <w:rFonts w:ascii="Arial" w:hAnsi="Arial" w:cs="Arial"/>
          <w:sz w:val="22"/>
          <w:szCs w:val="22"/>
        </w:rPr>
        <w:t xml:space="preserve">species, with poorly developed </w:t>
      </w:r>
      <w:r w:rsidR="00E60782">
        <w:rPr>
          <w:rFonts w:ascii="Arial" w:hAnsi="Arial" w:cs="Arial"/>
          <w:sz w:val="22"/>
          <w:szCs w:val="22"/>
        </w:rPr>
        <w:t xml:space="preserve">toe </w:t>
      </w:r>
      <w:r w:rsidR="003C2688">
        <w:rPr>
          <w:rFonts w:ascii="Arial" w:hAnsi="Arial" w:cs="Arial"/>
          <w:sz w:val="22"/>
          <w:szCs w:val="22"/>
        </w:rPr>
        <w:t>discs that are barely</w:t>
      </w:r>
      <w:r w:rsidR="004C69AB">
        <w:rPr>
          <w:rFonts w:ascii="Arial" w:hAnsi="Arial" w:cs="Arial"/>
          <w:sz w:val="22"/>
          <w:szCs w:val="22"/>
        </w:rPr>
        <w:t xml:space="preserve"> wider than the phalanges. </w:t>
      </w:r>
      <w:r w:rsidR="00D51250">
        <w:rPr>
          <w:rFonts w:ascii="Arial" w:hAnsi="Arial" w:cs="Arial"/>
          <w:sz w:val="22"/>
          <w:szCs w:val="22"/>
        </w:rPr>
        <w:t xml:space="preserve">It is </w:t>
      </w:r>
      <w:r w:rsidR="00A80A54">
        <w:rPr>
          <w:rFonts w:ascii="Arial" w:hAnsi="Arial" w:cs="Arial"/>
          <w:sz w:val="22"/>
          <w:szCs w:val="22"/>
        </w:rPr>
        <w:t>one of the</w:t>
      </w:r>
      <w:r w:rsidR="00D51250">
        <w:rPr>
          <w:rFonts w:ascii="Arial" w:hAnsi="Arial" w:cs="Arial"/>
          <w:sz w:val="22"/>
          <w:szCs w:val="22"/>
        </w:rPr>
        <w:t xml:space="preserve"> large</w:t>
      </w:r>
      <w:r w:rsidR="00A80A54">
        <w:rPr>
          <w:rFonts w:ascii="Arial" w:hAnsi="Arial" w:cs="Arial"/>
          <w:sz w:val="22"/>
          <w:szCs w:val="22"/>
        </w:rPr>
        <w:t xml:space="preserve">st of the </w:t>
      </w:r>
      <w:r w:rsidR="00A80A54" w:rsidRPr="00A80A54">
        <w:rPr>
          <w:rFonts w:ascii="Arial" w:hAnsi="Arial" w:cs="Arial"/>
          <w:i/>
          <w:sz w:val="22"/>
          <w:szCs w:val="22"/>
        </w:rPr>
        <w:t>Coph</w:t>
      </w:r>
      <w:r w:rsidR="00A80A54">
        <w:rPr>
          <w:rFonts w:ascii="Arial" w:hAnsi="Arial" w:cs="Arial"/>
          <w:i/>
          <w:sz w:val="22"/>
          <w:szCs w:val="22"/>
        </w:rPr>
        <w:t>i</w:t>
      </w:r>
      <w:r w:rsidR="00A80A54" w:rsidRPr="00A80A54">
        <w:rPr>
          <w:rFonts w:ascii="Arial" w:hAnsi="Arial" w:cs="Arial"/>
          <w:i/>
          <w:sz w:val="22"/>
          <w:szCs w:val="22"/>
        </w:rPr>
        <w:t>xalus</w:t>
      </w:r>
      <w:r w:rsidR="00A80A54">
        <w:rPr>
          <w:rFonts w:ascii="Arial" w:hAnsi="Arial" w:cs="Arial"/>
          <w:sz w:val="22"/>
          <w:szCs w:val="22"/>
        </w:rPr>
        <w:t xml:space="preserve"> species</w:t>
      </w:r>
      <w:r w:rsidR="00D51250">
        <w:rPr>
          <w:rFonts w:ascii="Arial" w:hAnsi="Arial" w:cs="Arial"/>
          <w:sz w:val="22"/>
          <w:szCs w:val="22"/>
        </w:rPr>
        <w:t xml:space="preserve">, with </w:t>
      </w:r>
      <w:r w:rsidR="00A80A54">
        <w:rPr>
          <w:rFonts w:ascii="Arial" w:hAnsi="Arial" w:cs="Arial"/>
          <w:sz w:val="22"/>
          <w:szCs w:val="22"/>
        </w:rPr>
        <w:t xml:space="preserve">a mean adult mass of 1.3 grams and </w:t>
      </w:r>
      <w:r w:rsidR="00D51250">
        <w:rPr>
          <w:rFonts w:ascii="Arial" w:hAnsi="Arial" w:cs="Arial"/>
          <w:sz w:val="22"/>
          <w:szCs w:val="22"/>
        </w:rPr>
        <w:t>s</w:t>
      </w:r>
      <w:r w:rsidR="004C69AB">
        <w:rPr>
          <w:rFonts w:ascii="Arial" w:hAnsi="Arial" w:cs="Arial"/>
          <w:sz w:val="22"/>
          <w:szCs w:val="22"/>
        </w:rPr>
        <w:t>nout</w:t>
      </w:r>
      <w:r w:rsidR="00D51250">
        <w:rPr>
          <w:rFonts w:ascii="Arial" w:hAnsi="Arial" w:cs="Arial"/>
          <w:sz w:val="22"/>
          <w:szCs w:val="22"/>
        </w:rPr>
        <w:t>-to</w:t>
      </w:r>
      <w:r w:rsidR="004C69AB">
        <w:rPr>
          <w:rFonts w:ascii="Arial" w:hAnsi="Arial" w:cs="Arial"/>
          <w:sz w:val="22"/>
          <w:szCs w:val="22"/>
        </w:rPr>
        <w:t>-vent length up to 23 mm in males</w:t>
      </w:r>
      <w:r w:rsidR="00D51250">
        <w:rPr>
          <w:rFonts w:ascii="Arial" w:hAnsi="Arial" w:cs="Arial"/>
          <w:sz w:val="22"/>
          <w:szCs w:val="22"/>
        </w:rPr>
        <w:t xml:space="preserve"> and</w:t>
      </w:r>
      <w:r w:rsidR="004C69AB">
        <w:rPr>
          <w:rFonts w:ascii="Arial" w:hAnsi="Arial" w:cs="Arial"/>
          <w:sz w:val="22"/>
          <w:szCs w:val="22"/>
        </w:rPr>
        <w:t xml:space="preserve"> 2</w:t>
      </w:r>
      <w:r w:rsidR="000F1B68">
        <w:rPr>
          <w:rFonts w:ascii="Arial" w:hAnsi="Arial" w:cs="Arial"/>
          <w:sz w:val="22"/>
          <w:szCs w:val="22"/>
        </w:rPr>
        <w:t>9</w:t>
      </w:r>
      <w:r w:rsidR="00682F78">
        <w:rPr>
          <w:rFonts w:ascii="Arial" w:hAnsi="Arial" w:cs="Arial"/>
          <w:sz w:val="22"/>
          <w:szCs w:val="22"/>
        </w:rPr>
        <w:t> </w:t>
      </w:r>
      <w:r w:rsidR="004C69AB">
        <w:rPr>
          <w:rFonts w:ascii="Arial" w:hAnsi="Arial" w:cs="Arial"/>
          <w:sz w:val="22"/>
          <w:szCs w:val="22"/>
        </w:rPr>
        <w:t>mm in females</w:t>
      </w:r>
      <w:r w:rsidR="00F966DA">
        <w:rPr>
          <w:rFonts w:ascii="Arial" w:hAnsi="Arial" w:cs="Arial"/>
          <w:sz w:val="22"/>
          <w:szCs w:val="22"/>
        </w:rPr>
        <w:t xml:space="preserve"> </w:t>
      </w:r>
      <w:r w:rsidR="00F27E37">
        <w:rPr>
          <w:rFonts w:ascii="Arial" w:hAnsi="Arial" w:cs="Arial"/>
          <w:sz w:val="22"/>
          <w:szCs w:val="22"/>
        </w:rPr>
        <w:fldChar w:fldCharType="begin"/>
      </w:r>
      <w:r w:rsidR="00F966DA">
        <w:rPr>
          <w:rFonts w:ascii="Arial" w:hAnsi="Arial" w:cs="Arial"/>
          <w:sz w:val="22"/>
          <w:szCs w:val="22"/>
        </w:rPr>
        <w:instrText xml:space="preserve"> ADDIN EN.CITE &lt;EndNote&gt;&lt;Cite&gt;&lt;Author&gt;Cogger&lt;/Author&gt;&lt;Year&gt;2014&lt;/Year&gt;&lt;RecNum&gt;190&lt;/RecNum&gt;&lt;DisplayText&gt;(Cogger, 2014)&lt;/DisplayText&gt;&lt;record&gt;&lt;rec-number&gt;190&lt;/rec-number&gt;&lt;foreign-keys&gt;&lt;key app="EN" db-id="ta0rdr92ndv9x0e9sdapdzadfw29sw9r9xva"&gt;190&lt;/key&gt;&lt;/foreign-keys&gt;&lt;ref-type name="Book"&gt;6&lt;/ref-type&gt;&lt;contributors&gt;&lt;authors&gt;&lt;author&gt;Cogger, H. G.&lt;/author&gt;&lt;/authors&gt;&lt;/contributors&gt;&lt;titles&gt;&lt;title&gt;Reptiles and Amphibians of Australia&lt;/title&gt;&lt;/titles&gt;&lt;edition&gt;7th&lt;/edition&gt;&lt;dates&gt;&lt;year&gt;2014&lt;/year&gt;&lt;/dates&gt;&lt;pub-location&gt;Collingwood, Victoria&lt;/pub-location&gt;&lt;publisher&gt;CSIRO Publishing&lt;/publisher&gt;&lt;urls&gt;&lt;/urls&gt;&lt;/record&gt;&lt;/Cite&gt;&lt;/EndNote&gt;</w:instrText>
      </w:r>
      <w:r w:rsidR="00F27E37">
        <w:rPr>
          <w:rFonts w:ascii="Arial" w:hAnsi="Arial" w:cs="Arial"/>
          <w:sz w:val="22"/>
          <w:szCs w:val="22"/>
        </w:rPr>
        <w:fldChar w:fldCharType="separate"/>
      </w:r>
      <w:r w:rsidR="00F966DA">
        <w:rPr>
          <w:rFonts w:ascii="Arial" w:hAnsi="Arial" w:cs="Arial"/>
          <w:noProof/>
          <w:sz w:val="22"/>
          <w:szCs w:val="22"/>
        </w:rPr>
        <w:t>(</w:t>
      </w:r>
      <w:hyperlink w:anchor="_ENREF_1" w:tooltip="Cogger, 2014 #190" w:history="1">
        <w:r w:rsidR="00F966DA">
          <w:rPr>
            <w:rFonts w:ascii="Arial" w:hAnsi="Arial" w:cs="Arial"/>
            <w:noProof/>
            <w:sz w:val="22"/>
            <w:szCs w:val="22"/>
          </w:rPr>
          <w:t>Cogger 2014</w:t>
        </w:r>
      </w:hyperlink>
      <w:r w:rsidR="00F966DA">
        <w:rPr>
          <w:rFonts w:ascii="Arial" w:hAnsi="Arial" w:cs="Arial"/>
          <w:noProof/>
          <w:sz w:val="22"/>
          <w:szCs w:val="22"/>
        </w:rPr>
        <w:t>)</w:t>
      </w:r>
      <w:r w:rsidR="00F27E37">
        <w:rPr>
          <w:rFonts w:ascii="Arial" w:hAnsi="Arial" w:cs="Arial"/>
          <w:sz w:val="22"/>
          <w:szCs w:val="22"/>
        </w:rPr>
        <w:fldChar w:fldCharType="end"/>
      </w:r>
      <w:r w:rsidR="004C69AB">
        <w:rPr>
          <w:rFonts w:ascii="Arial" w:hAnsi="Arial" w:cs="Arial"/>
          <w:sz w:val="22"/>
          <w:szCs w:val="22"/>
        </w:rPr>
        <w:t xml:space="preserve">. </w:t>
      </w:r>
      <w:r w:rsidR="003C2688">
        <w:rPr>
          <w:rFonts w:ascii="Arial" w:hAnsi="Arial" w:cs="Arial"/>
          <w:sz w:val="22"/>
          <w:szCs w:val="22"/>
        </w:rPr>
        <w:t>The male call is a buzzing sound with an average duration of about half a second (Cogger 2014).</w:t>
      </w:r>
    </w:p>
    <w:p w14:paraId="2EB0680D" w14:textId="7DC577BF" w:rsidR="003C2688" w:rsidRPr="003B2795" w:rsidRDefault="003C2688" w:rsidP="003B2795">
      <w:pPr>
        <w:pStyle w:val="NormalWeb"/>
        <w:spacing w:before="0" w:beforeAutospacing="0"/>
        <w:rPr>
          <w:rFonts w:ascii="Arial" w:hAnsi="Arial" w:cs="Arial"/>
          <w:sz w:val="22"/>
          <w:szCs w:val="22"/>
        </w:rPr>
      </w:pPr>
      <w:r>
        <w:rPr>
          <w:rFonts w:ascii="Arial" w:hAnsi="Arial" w:cs="Arial"/>
          <w:sz w:val="22"/>
          <w:szCs w:val="22"/>
        </w:rPr>
        <w:t xml:space="preserve">The eggs of microhylids are relatively large and are laid in very moist soil or vegation. The tadpole develops inside the egg and when it has completed metamorphosis it hatches from the egg as a fully formed froglet </w:t>
      </w:r>
      <w:r w:rsidRPr="00901D84">
        <w:rPr>
          <w:rFonts w:ascii="Arial" w:hAnsi="Arial" w:cs="Arial"/>
          <w:sz w:val="22"/>
          <w:szCs w:val="22"/>
        </w:rPr>
        <w:t>(Zweifel 1985).</w:t>
      </w:r>
      <w:r w:rsidR="00DC0F98">
        <w:rPr>
          <w:rFonts w:ascii="Arial" w:hAnsi="Arial" w:cs="Arial"/>
          <w:sz w:val="22"/>
          <w:szCs w:val="22"/>
        </w:rPr>
        <w:t xml:space="preserve"> </w:t>
      </w:r>
      <w:r w:rsidR="00DC0F98" w:rsidRPr="00A80A54">
        <w:rPr>
          <w:rFonts w:ascii="Arial" w:hAnsi="Arial" w:cs="Arial"/>
          <w:color w:val="000000"/>
          <w:sz w:val="22"/>
        </w:rPr>
        <w:t xml:space="preserve">Clutches of eggs of </w:t>
      </w:r>
      <w:r w:rsidR="00DC0F98">
        <w:rPr>
          <w:rFonts w:ascii="Arial" w:hAnsi="Arial" w:cs="Arial"/>
          <w:color w:val="000000"/>
          <w:sz w:val="22"/>
        </w:rPr>
        <w:t xml:space="preserve">the </w:t>
      </w:r>
      <w:r w:rsidR="00DC0F98">
        <w:rPr>
          <w:rFonts w:ascii="Arial" w:hAnsi="Arial" w:cs="Arial"/>
          <w:sz w:val="22"/>
          <w:szCs w:val="22"/>
        </w:rPr>
        <w:t xml:space="preserve">Neglected Nursery Frog </w:t>
      </w:r>
      <w:r w:rsidR="00DC0F98" w:rsidRPr="00A80A54">
        <w:rPr>
          <w:rFonts w:ascii="Arial" w:hAnsi="Arial" w:cs="Arial"/>
          <w:color w:val="000000"/>
          <w:sz w:val="22"/>
        </w:rPr>
        <w:t xml:space="preserve">contain between 10 to 19 eggs </w:t>
      </w:r>
      <w:r w:rsidR="00DC0F98" w:rsidRPr="00A80A54">
        <w:rPr>
          <w:rFonts w:ascii="Arial" w:hAnsi="Arial" w:cs="Arial"/>
          <w:color w:val="000000"/>
          <w:sz w:val="22"/>
        </w:rPr>
        <w:fldChar w:fldCharType="begin"/>
      </w:r>
      <w:r w:rsidR="00DC0F98" w:rsidRPr="00A80A54">
        <w:rPr>
          <w:rFonts w:ascii="Arial" w:hAnsi="Arial" w:cs="Arial"/>
          <w:color w:val="000000"/>
          <w:sz w:val="22"/>
        </w:rPr>
        <w:instrText xml:space="preserve"> ADDIN EN.CITE &lt;EndNote&gt;&lt;Cite&gt;&lt;Author&gt;Zweifel&lt;/Author&gt;&lt;Year&gt;1985&lt;/Year&gt;&lt;RecNum&gt;40&lt;/RecNum&gt;&lt;DisplayText&gt;(Zweifel, 1985)&lt;/DisplayText&gt;&lt;record&gt;&lt;rec-number&gt;40&lt;/rec-number&gt;&lt;foreign-keys&gt;&lt;key app="EN" db-id="ta0rdr92ndv9x0e9sdapdzadfw29sw9r9xva"&gt;40&lt;/key&gt;&lt;/foreign-keys&gt;&lt;ref-type name="Journal Article"&gt;17&lt;/ref-type&gt;&lt;contributors&gt;&lt;authors&gt;&lt;author&gt;Zweifel, R. G.&lt;/author&gt;&lt;/authors&gt;&lt;/contributors&gt;&lt;titles&gt;&lt;title&gt;Australian frogs of the family Microhylidae&lt;/title&gt;&lt;secondary-title&gt;Bulletin of the American Museum of Natural History&lt;/secondary-title&gt;&lt;/titles&gt;&lt;periodical&gt;&lt;full-title&gt;Bulletin of the American Museum of Natural History&lt;/full-title&gt;&lt;/periodical&gt;&lt;pages&gt;265-388&lt;/pages&gt;&lt;volume&gt;182&lt;/volume&gt;&lt;dates&gt;&lt;year&gt;1985&lt;/year&gt;&lt;/dates&gt;&lt;urls&gt;&lt;/urls&gt;&lt;/record&gt;&lt;/Cite&gt;&lt;/EndNote&gt;</w:instrText>
      </w:r>
      <w:r w:rsidR="00DC0F98" w:rsidRPr="00A80A54">
        <w:rPr>
          <w:rFonts w:ascii="Arial" w:hAnsi="Arial" w:cs="Arial"/>
          <w:color w:val="000000"/>
          <w:sz w:val="22"/>
        </w:rPr>
        <w:fldChar w:fldCharType="separate"/>
      </w:r>
      <w:r w:rsidR="00DC0F98" w:rsidRPr="00A80A54">
        <w:rPr>
          <w:rFonts w:ascii="Arial" w:hAnsi="Arial" w:cs="Arial"/>
          <w:noProof/>
          <w:color w:val="000000"/>
          <w:sz w:val="22"/>
        </w:rPr>
        <w:t>(</w:t>
      </w:r>
      <w:hyperlink w:anchor="_ENREF_7" w:tooltip="Zweifel, 1985 #40" w:history="1">
        <w:r w:rsidR="00DC0F98" w:rsidRPr="00A80A54">
          <w:rPr>
            <w:rFonts w:ascii="Arial" w:hAnsi="Arial" w:cs="Arial"/>
            <w:noProof/>
            <w:color w:val="000000"/>
            <w:sz w:val="22"/>
          </w:rPr>
          <w:t>Hoskin</w:t>
        </w:r>
      </w:hyperlink>
      <w:r w:rsidR="00DC0F98" w:rsidRPr="00A80A54">
        <w:rPr>
          <w:rFonts w:ascii="Arial" w:hAnsi="Arial" w:cs="Arial"/>
          <w:noProof/>
          <w:color w:val="000000"/>
          <w:sz w:val="22"/>
        </w:rPr>
        <w:t xml:space="preserve"> 2004)</w:t>
      </w:r>
      <w:r w:rsidR="00DC0F98" w:rsidRPr="00A80A54">
        <w:rPr>
          <w:rFonts w:ascii="Arial" w:hAnsi="Arial" w:cs="Arial"/>
          <w:color w:val="000000"/>
          <w:sz w:val="22"/>
        </w:rPr>
        <w:fldChar w:fldCharType="end"/>
      </w:r>
      <w:r w:rsidR="00DC0F98" w:rsidRPr="00A80A54">
        <w:rPr>
          <w:rFonts w:ascii="Arial" w:hAnsi="Arial" w:cs="Arial"/>
          <w:color w:val="000000"/>
          <w:sz w:val="22"/>
        </w:rPr>
        <w:t>.</w:t>
      </w:r>
    </w:p>
    <w:p w14:paraId="220EB969" w14:textId="77777777" w:rsidR="007D7E49" w:rsidRPr="007D7E49" w:rsidRDefault="007D7E49" w:rsidP="00AB638E">
      <w:pPr>
        <w:pStyle w:val="CAheading"/>
      </w:pPr>
      <w:r w:rsidRPr="00C77AC3">
        <w:t>Distribution</w:t>
      </w:r>
      <w:r w:rsidRPr="006658AC">
        <w:rPr>
          <w:color w:val="0000FF"/>
        </w:rPr>
        <w:t xml:space="preserve"> </w:t>
      </w:r>
    </w:p>
    <w:p w14:paraId="29EBAE10" w14:textId="1B8FE322" w:rsidR="005C3ACE" w:rsidRDefault="00CC67A1" w:rsidP="00CC67A1">
      <w:pPr>
        <w:pStyle w:val="NormalWeb"/>
        <w:spacing w:before="0" w:beforeAutospacing="0"/>
        <w:rPr>
          <w:rFonts w:ascii="Arial" w:hAnsi="Arial" w:cs="Arial"/>
          <w:sz w:val="22"/>
          <w:szCs w:val="22"/>
        </w:rPr>
      </w:pPr>
      <w:r>
        <w:rPr>
          <w:rFonts w:ascii="Arial" w:hAnsi="Arial" w:cs="Arial"/>
          <w:sz w:val="22"/>
          <w:szCs w:val="22"/>
        </w:rPr>
        <w:t xml:space="preserve">The </w:t>
      </w:r>
      <w:r w:rsidR="00B473E2">
        <w:rPr>
          <w:rFonts w:ascii="Arial" w:hAnsi="Arial" w:cs="Arial"/>
          <w:sz w:val="22"/>
          <w:szCs w:val="22"/>
        </w:rPr>
        <w:t xml:space="preserve">Neglected Nursery Frog </w:t>
      </w:r>
      <w:r w:rsidR="00CE45A0">
        <w:rPr>
          <w:rFonts w:ascii="Arial" w:hAnsi="Arial" w:cs="Arial"/>
          <w:sz w:val="22"/>
          <w:szCs w:val="22"/>
        </w:rPr>
        <w:t xml:space="preserve">was previousy </w:t>
      </w:r>
      <w:r>
        <w:rPr>
          <w:rFonts w:ascii="Arial" w:hAnsi="Arial" w:cs="Arial"/>
          <w:sz w:val="22"/>
          <w:szCs w:val="22"/>
        </w:rPr>
        <w:t>distributed from Cairns to Innisfail at altitudes from 900 to 1500 m above sea level (Atlas of Living Australia 2016).</w:t>
      </w:r>
      <w:r w:rsidR="005F445E">
        <w:rPr>
          <w:rFonts w:ascii="Arial" w:hAnsi="Arial" w:cs="Arial"/>
          <w:sz w:val="22"/>
          <w:szCs w:val="22"/>
        </w:rPr>
        <w:t xml:space="preserve"> However, extensive altitudinal surveys in 2000 and 2001 did not find the species below 1150 m</w:t>
      </w:r>
      <w:r w:rsidR="005C3ACE">
        <w:rPr>
          <w:rFonts w:ascii="Arial" w:hAnsi="Arial" w:cs="Arial"/>
          <w:sz w:val="22"/>
          <w:szCs w:val="22"/>
        </w:rPr>
        <w:t xml:space="preserve"> </w:t>
      </w:r>
      <w:r w:rsidR="00F27E37">
        <w:rPr>
          <w:rFonts w:ascii="Arial" w:hAnsi="Arial" w:cs="Arial"/>
          <w:sz w:val="22"/>
          <w:szCs w:val="22"/>
        </w:rPr>
        <w:fldChar w:fldCharType="begin"/>
      </w:r>
      <w:r w:rsidR="005C3ACE">
        <w:rPr>
          <w:rFonts w:ascii="Arial" w:hAnsi="Arial" w:cs="Arial"/>
          <w:sz w:val="22"/>
          <w:szCs w:val="22"/>
        </w:rPr>
        <w:instrText xml:space="preserve"> ADDIN EN.CITE &lt;EndNote&gt;&lt;Cite&gt;&lt;Author&gt;Hoskin&lt;/Author&gt;&lt;Year&gt;2004&lt;/Year&gt;&lt;RecNum&gt;37&lt;/RecNum&gt;&lt;DisplayText&gt;(Hoskin,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sidR="00F27E37">
        <w:rPr>
          <w:rFonts w:ascii="Arial" w:hAnsi="Arial" w:cs="Arial"/>
          <w:sz w:val="22"/>
          <w:szCs w:val="22"/>
        </w:rPr>
        <w:fldChar w:fldCharType="separate"/>
      </w:r>
      <w:r w:rsidR="005C3ACE">
        <w:rPr>
          <w:rFonts w:ascii="Arial" w:hAnsi="Arial" w:cs="Arial"/>
          <w:noProof/>
          <w:sz w:val="22"/>
          <w:szCs w:val="22"/>
        </w:rPr>
        <w:t>(</w:t>
      </w:r>
      <w:hyperlink w:anchor="_ENREF_3" w:tooltip="Hoskin, 2004 #37" w:history="1">
        <w:r w:rsidR="00F966DA">
          <w:rPr>
            <w:rFonts w:ascii="Arial" w:hAnsi="Arial" w:cs="Arial"/>
            <w:noProof/>
            <w:sz w:val="22"/>
            <w:szCs w:val="22"/>
          </w:rPr>
          <w:t>Hoskin 2004</w:t>
        </w:r>
      </w:hyperlink>
      <w:r w:rsidR="005C3ACE">
        <w:rPr>
          <w:rFonts w:ascii="Arial" w:hAnsi="Arial" w:cs="Arial"/>
          <w:noProof/>
          <w:sz w:val="22"/>
          <w:szCs w:val="22"/>
        </w:rPr>
        <w:t>)</w:t>
      </w:r>
      <w:r w:rsidR="00F27E37">
        <w:rPr>
          <w:rFonts w:ascii="Arial" w:hAnsi="Arial" w:cs="Arial"/>
          <w:sz w:val="22"/>
          <w:szCs w:val="22"/>
        </w:rPr>
        <w:fldChar w:fldCharType="end"/>
      </w:r>
      <w:r w:rsidR="00C01DD3">
        <w:rPr>
          <w:rFonts w:ascii="Arial" w:hAnsi="Arial" w:cs="Arial"/>
          <w:sz w:val="22"/>
          <w:szCs w:val="22"/>
        </w:rPr>
        <w:t>. Subsequent</w:t>
      </w:r>
      <w:r w:rsidR="004C378B">
        <w:rPr>
          <w:rFonts w:ascii="Arial" w:hAnsi="Arial" w:cs="Arial"/>
          <w:sz w:val="22"/>
          <w:szCs w:val="22"/>
        </w:rPr>
        <w:t xml:space="preserve"> surveys could not find the species below 1200 m</w:t>
      </w:r>
      <w:r w:rsidR="000C18E8">
        <w:rPr>
          <w:rFonts w:ascii="Arial" w:hAnsi="Arial" w:cs="Arial"/>
          <w:sz w:val="22"/>
          <w:szCs w:val="22"/>
        </w:rPr>
        <w:t xml:space="preserve"> and this was considered likely to reflect a true change in the species lower altitudinal limit</w:t>
      </w:r>
      <w:r w:rsidR="004C378B">
        <w:rPr>
          <w:rFonts w:ascii="Arial" w:hAnsi="Arial" w:cs="Arial"/>
          <w:sz w:val="22"/>
          <w:szCs w:val="22"/>
        </w:rPr>
        <w:t xml:space="preserve"> </w:t>
      </w:r>
      <w:r w:rsidR="00F27E37">
        <w:rPr>
          <w:rFonts w:ascii="Arial" w:hAnsi="Arial" w:cs="Arial"/>
          <w:sz w:val="22"/>
          <w:szCs w:val="22"/>
        </w:rPr>
        <w:fldChar w:fldCharType="begin"/>
      </w:r>
      <w:r w:rsidR="004C378B">
        <w:rPr>
          <w:rFonts w:ascii="Arial" w:hAnsi="Arial" w:cs="Arial"/>
          <w:sz w:val="22"/>
          <w:szCs w:val="22"/>
        </w:rPr>
        <w:instrText xml:space="preserve"> ADDIN EN.CITE &lt;EndNote&gt;&lt;Cite&gt;&lt;Author&gt;Shoo&lt;/Author&gt;&lt;Year&gt;2004&lt;/Year&gt;&lt;RecNum&gt;36&lt;/RecNum&gt;&lt;DisplayText&gt;(Shoo and Williams, 2004)&lt;/DisplayText&gt;&lt;record&gt;&lt;rec-number&gt;36&lt;/rec-number&gt;&lt;foreign-keys&gt;&lt;key app="EN" db-id="ta0rdr92ndv9x0e9sdapdzadfw29sw9r9xva"&gt;36&lt;/key&gt;&lt;/foreign-keys&gt;&lt;ref-type name="Journal Article"&gt;17&lt;/ref-type&gt;&lt;contributors&gt;&lt;authors&gt;&lt;author&gt;Shoo, L.&lt;/author&gt;&lt;author&gt;Williams, Y.&lt;/author&gt;&lt;/authors&gt;&lt;/contributors&gt;&lt;titles&gt;&lt;title&gt;&lt;style face="normal" font="default" size="100%"&gt;Altitudinal distribution and abundance of microhylid frogs (&lt;/style&gt;&lt;style face="italic" font="default" size="100%"&gt;Cophixalus &lt;/style&gt;&lt;style face="normal" font="default" size="100%"&gt;and &lt;/style&gt;&lt;style face="italic" font="default" size="100%"&gt;Austrochaperina&lt;/style&gt;&lt;style face="normal" font="default" size="100%"&gt;) of north-eastern Australia: baseline data for detecting biological responses to future climate change&lt;/style&gt;&lt;/title&gt;&lt;secondary-title&gt;Australian Journal of Zoology&lt;/secondary-title&gt;&lt;/titles&gt;&lt;periodical&gt;&lt;full-title&gt;Australian Journal of Zoology&lt;/full-title&gt;&lt;/periodical&gt;&lt;pages&gt;667-676&lt;/pages&gt;&lt;volume&gt;52&lt;/volume&gt;&lt;dates&gt;&lt;year&gt;2004&lt;/year&gt;&lt;/dates&gt;&lt;urls&gt;&lt;/urls&gt;&lt;/record&gt;&lt;/Cite&gt;&lt;/EndNote&gt;</w:instrText>
      </w:r>
      <w:r w:rsidR="00F27E37">
        <w:rPr>
          <w:rFonts w:ascii="Arial" w:hAnsi="Arial" w:cs="Arial"/>
          <w:sz w:val="22"/>
          <w:szCs w:val="22"/>
        </w:rPr>
        <w:fldChar w:fldCharType="separate"/>
      </w:r>
      <w:r w:rsidR="004C378B">
        <w:rPr>
          <w:rFonts w:ascii="Arial" w:hAnsi="Arial" w:cs="Arial"/>
          <w:noProof/>
          <w:sz w:val="22"/>
          <w:szCs w:val="22"/>
        </w:rPr>
        <w:t>(</w:t>
      </w:r>
      <w:hyperlink w:anchor="_ENREF_5" w:tooltip="Shoo, 2004 #36" w:history="1">
        <w:r w:rsidR="00F966DA">
          <w:rPr>
            <w:rFonts w:ascii="Arial" w:hAnsi="Arial" w:cs="Arial"/>
            <w:noProof/>
            <w:sz w:val="22"/>
            <w:szCs w:val="22"/>
          </w:rPr>
          <w:t xml:space="preserve">Shoo </w:t>
        </w:r>
        <w:r w:rsidR="001B10E7">
          <w:rPr>
            <w:rFonts w:ascii="Arial" w:hAnsi="Arial" w:cs="Arial"/>
            <w:noProof/>
            <w:sz w:val="22"/>
            <w:szCs w:val="22"/>
          </w:rPr>
          <w:t>&amp;</w:t>
        </w:r>
        <w:r w:rsidR="00F966DA">
          <w:rPr>
            <w:rFonts w:ascii="Arial" w:hAnsi="Arial" w:cs="Arial"/>
            <w:noProof/>
            <w:sz w:val="22"/>
            <w:szCs w:val="22"/>
          </w:rPr>
          <w:t xml:space="preserve"> Williams 2004</w:t>
        </w:r>
      </w:hyperlink>
      <w:r w:rsidR="004C378B">
        <w:rPr>
          <w:rFonts w:ascii="Arial" w:hAnsi="Arial" w:cs="Arial"/>
          <w:noProof/>
          <w:sz w:val="22"/>
          <w:szCs w:val="22"/>
        </w:rPr>
        <w:t>)</w:t>
      </w:r>
      <w:r w:rsidR="00F27E37">
        <w:rPr>
          <w:rFonts w:ascii="Arial" w:hAnsi="Arial" w:cs="Arial"/>
          <w:sz w:val="22"/>
          <w:szCs w:val="22"/>
        </w:rPr>
        <w:fldChar w:fldCharType="end"/>
      </w:r>
      <w:r w:rsidR="005C3ACE">
        <w:rPr>
          <w:rFonts w:ascii="Arial" w:hAnsi="Arial" w:cs="Arial"/>
          <w:sz w:val="22"/>
          <w:szCs w:val="22"/>
        </w:rPr>
        <w:t xml:space="preserve">. </w:t>
      </w:r>
      <w:r w:rsidR="000541E4">
        <w:rPr>
          <w:rFonts w:ascii="Arial" w:hAnsi="Arial" w:cs="Arial"/>
          <w:sz w:val="22"/>
          <w:szCs w:val="22"/>
        </w:rPr>
        <w:t xml:space="preserve">The core distribution within the Wet Tropics </w:t>
      </w:r>
      <w:r w:rsidR="00332C05">
        <w:rPr>
          <w:rFonts w:ascii="Arial" w:hAnsi="Arial" w:cs="Arial"/>
          <w:sz w:val="22"/>
          <w:szCs w:val="22"/>
        </w:rPr>
        <w:t>is</w:t>
      </w:r>
      <w:r w:rsidR="000541E4">
        <w:rPr>
          <w:rFonts w:ascii="Arial" w:hAnsi="Arial" w:cs="Arial"/>
          <w:sz w:val="22"/>
          <w:szCs w:val="22"/>
        </w:rPr>
        <w:t xml:space="preserve"> in “rainforest refugia” which are thought to be the most stable rainforest areas over geological time (Williams 2007). </w:t>
      </w:r>
    </w:p>
    <w:p w14:paraId="51816923" w14:textId="77777777" w:rsidR="006C13E7" w:rsidRPr="006C13E7" w:rsidRDefault="007D7E49" w:rsidP="006C13E7">
      <w:pPr>
        <w:pStyle w:val="CAheading"/>
      </w:pPr>
      <w:r w:rsidRPr="007D7E49">
        <w:t>Relevant Biology/Ecology</w:t>
      </w:r>
    </w:p>
    <w:p w14:paraId="466B9834" w14:textId="3A90E582" w:rsidR="00273EF5" w:rsidRDefault="00273EF5" w:rsidP="00273EF5">
      <w:pPr>
        <w:rPr>
          <w:rFonts w:ascii="Arial" w:hAnsi="Arial" w:cs="Arial"/>
          <w:color w:val="000000"/>
          <w:sz w:val="22"/>
        </w:rPr>
      </w:pPr>
      <w:r>
        <w:rPr>
          <w:rFonts w:ascii="Arial" w:hAnsi="Arial" w:cs="Arial"/>
          <w:sz w:val="22"/>
          <w:szCs w:val="22"/>
        </w:rPr>
        <w:t xml:space="preserve">The </w:t>
      </w:r>
      <w:r w:rsidR="00B473E2">
        <w:rPr>
          <w:rFonts w:ascii="Arial" w:hAnsi="Arial" w:cs="Arial"/>
          <w:sz w:val="22"/>
          <w:szCs w:val="22"/>
        </w:rPr>
        <w:t xml:space="preserve">Neglected Nursery Frog </w:t>
      </w:r>
      <w:r>
        <w:rPr>
          <w:rFonts w:ascii="Arial" w:hAnsi="Arial" w:cs="Arial"/>
          <w:sz w:val="22"/>
          <w:szCs w:val="22"/>
        </w:rPr>
        <w:t>is a high altitude rainforest specialist.</w:t>
      </w:r>
      <w:r w:rsidR="00CE45A0">
        <w:rPr>
          <w:rFonts w:ascii="Arial" w:hAnsi="Arial" w:cs="Arial"/>
          <w:color w:val="000000"/>
          <w:sz w:val="22"/>
        </w:rPr>
        <w:t>This species is found only on the two highest mountain tops in North Queensland, Mt Bellenden Ker and Mt Bartle Frere.</w:t>
      </w:r>
      <w:r w:rsidRPr="00273EF5">
        <w:rPr>
          <w:rFonts w:ascii="Arial" w:hAnsi="Arial" w:cs="Arial"/>
          <w:sz w:val="22"/>
          <w:szCs w:val="22"/>
        </w:rPr>
        <w:t xml:space="preserve"> </w:t>
      </w:r>
      <w:r>
        <w:rPr>
          <w:rFonts w:ascii="Arial" w:hAnsi="Arial" w:cs="Arial"/>
          <w:sz w:val="22"/>
          <w:szCs w:val="22"/>
        </w:rPr>
        <w:t>It occupies only a small part of the available geographic space in the Wet Tropics (0.2</w:t>
      </w:r>
      <w:r w:rsidR="00B473E2">
        <w:rPr>
          <w:rFonts w:ascii="Arial" w:hAnsi="Arial" w:cs="Arial"/>
          <w:sz w:val="22"/>
          <w:szCs w:val="22"/>
        </w:rPr>
        <w:t xml:space="preserve"> percent</w:t>
      </w:r>
      <w:r>
        <w:rPr>
          <w:rFonts w:ascii="Arial" w:hAnsi="Arial" w:cs="Arial"/>
          <w:sz w:val="22"/>
          <w:szCs w:val="22"/>
        </w:rPr>
        <w:t xml:space="preserve">), </w:t>
      </w:r>
      <w:r w:rsidRPr="00517642">
        <w:rPr>
          <w:rFonts w:ascii="Arial" w:hAnsi="Arial" w:cs="Arial"/>
          <w:sz w:val="22"/>
          <w:szCs w:val="22"/>
        </w:rPr>
        <w:t xml:space="preserve">requiring </w:t>
      </w:r>
      <w:r>
        <w:rPr>
          <w:rFonts w:ascii="Arial" w:hAnsi="Arial" w:cs="Arial"/>
          <w:sz w:val="22"/>
          <w:szCs w:val="22"/>
        </w:rPr>
        <w:t xml:space="preserve">very high </w:t>
      </w:r>
      <w:r w:rsidRPr="00517642">
        <w:rPr>
          <w:rFonts w:ascii="Arial" w:hAnsi="Arial" w:cs="Arial"/>
          <w:sz w:val="22"/>
          <w:szCs w:val="22"/>
        </w:rPr>
        <w:t>precipitation (</w:t>
      </w:r>
      <w:r>
        <w:rPr>
          <w:rFonts w:ascii="Arial" w:hAnsi="Arial" w:cs="Arial"/>
          <w:sz w:val="22"/>
          <w:szCs w:val="22"/>
        </w:rPr>
        <w:t>3</w:t>
      </w:r>
      <w:r w:rsidRPr="00517642">
        <w:rPr>
          <w:rFonts w:ascii="Arial" w:hAnsi="Arial" w:cs="Arial"/>
          <w:sz w:val="22"/>
          <w:szCs w:val="22"/>
        </w:rPr>
        <w:t xml:space="preserve">500 to </w:t>
      </w:r>
      <w:r>
        <w:rPr>
          <w:rFonts w:ascii="Arial" w:hAnsi="Arial" w:cs="Arial"/>
          <w:sz w:val="22"/>
          <w:szCs w:val="22"/>
        </w:rPr>
        <w:t xml:space="preserve">8000 </w:t>
      </w:r>
      <w:r w:rsidRPr="00517642">
        <w:rPr>
          <w:rFonts w:ascii="Arial" w:hAnsi="Arial" w:cs="Arial"/>
          <w:sz w:val="22"/>
          <w:szCs w:val="22"/>
        </w:rPr>
        <w:t>mm) and cooler temperatures</w:t>
      </w:r>
      <w:r>
        <w:rPr>
          <w:rFonts w:ascii="Arial" w:hAnsi="Arial" w:cs="Arial"/>
          <w:sz w:val="22"/>
          <w:szCs w:val="22"/>
        </w:rPr>
        <w:t xml:space="preserve"> </w:t>
      </w:r>
      <w:r w:rsidRPr="00517642">
        <w:rPr>
          <w:rFonts w:ascii="Arial" w:hAnsi="Arial" w:cs="Arial"/>
          <w:sz w:val="22"/>
          <w:szCs w:val="22"/>
        </w:rPr>
        <w:t>(1</w:t>
      </w:r>
      <w:r>
        <w:rPr>
          <w:rFonts w:ascii="Arial" w:hAnsi="Arial" w:cs="Arial"/>
          <w:sz w:val="22"/>
          <w:szCs w:val="22"/>
        </w:rPr>
        <w:t>6</w:t>
      </w:r>
      <w:r w:rsidRPr="00517642">
        <w:rPr>
          <w:rFonts w:ascii="Arial" w:hAnsi="Arial" w:cs="Arial"/>
          <w:sz w:val="22"/>
          <w:szCs w:val="22"/>
        </w:rPr>
        <w:t xml:space="preserve"> to </w:t>
      </w:r>
      <w:r>
        <w:rPr>
          <w:rFonts w:ascii="Arial" w:hAnsi="Arial" w:cs="Arial"/>
          <w:sz w:val="22"/>
          <w:szCs w:val="22"/>
        </w:rPr>
        <w:t>20</w:t>
      </w:r>
      <w:r w:rsidR="000F1B68">
        <w:rPr>
          <w:rFonts w:ascii="Arial" w:hAnsi="Arial" w:cs="Arial"/>
          <w:sz w:val="22"/>
          <w:szCs w:val="22"/>
        </w:rPr>
        <w:t xml:space="preserve"> </w:t>
      </w:r>
      <w:r w:rsidRPr="00CF65E5">
        <w:rPr>
          <w:rFonts w:ascii="Arial" w:hAnsi="Arial" w:cs="Arial"/>
          <w:sz w:val="22"/>
          <w:szCs w:val="22"/>
          <w:vertAlign w:val="superscript"/>
        </w:rPr>
        <w:t>o</w:t>
      </w:r>
      <w:r>
        <w:rPr>
          <w:rFonts w:ascii="Arial" w:hAnsi="Arial" w:cs="Arial"/>
          <w:sz w:val="22"/>
          <w:szCs w:val="22"/>
        </w:rPr>
        <w:t>C</w:t>
      </w:r>
      <w:r w:rsidRPr="00517642">
        <w:rPr>
          <w:rFonts w:ascii="Arial" w:hAnsi="Arial" w:cs="Arial"/>
          <w:sz w:val="22"/>
          <w:szCs w:val="22"/>
        </w:rPr>
        <w:t>)</w:t>
      </w:r>
      <w:r w:rsidR="00144BFD">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&lt;EndNote&gt;&lt;Cite&gt;&lt;Author&gt;Williams&lt;/Author&gt;&lt;Year&gt;2007&lt;/Year&gt;&lt;RecNum&gt;35&lt;/RecNum&gt;&lt;DisplayText&gt;(Williams, 2007)&lt;/DisplayText&gt;&lt;record&gt;&lt;rec-number&gt;35&lt;/rec-number&gt;&lt;foreign-keys&gt;&lt;key app="EN" db-id="ta0rdr92ndv9x0e9sdapdzadfw29sw9r9xva"&gt;35&lt;/key&gt;&lt;/foreign-keys&gt;&lt;ref-type name="Thesis"&gt;32&lt;/ref-type&gt;&lt;contributors&gt;&lt;authors&gt;&lt;author&gt;Williams, Y.&lt;/author&gt;&lt;/authors&gt;&lt;/contributors&gt;&lt;titles&gt;&lt;title&gt;Ecological differences between rare and common species of microhylid frogs of the Wet tropics biogeographic region&lt;/title&gt;&lt;secondary-title&gt;Department of Tropical Biology&lt;/secondary-title&gt;&lt;/titles&gt;&lt;volume&gt;PhD&lt;/volume&gt;&lt;dates&gt;&lt;year&gt;2007&lt;/year&gt;&lt;/dates&gt;&lt;pub-location&gt;Townsville&lt;/pub-location&gt;&lt;publisher&gt;James Cook University&lt;/publisher&gt;&lt;urls&gt;&lt;/urls&gt;&lt;/record&gt;&lt;/Cite&gt;&lt;/EndNote&gt;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7" w:tooltip="Williams, 2007 #35" w:history="1">
        <w:r>
          <w:rPr>
            <w:rFonts w:ascii="Arial" w:hAnsi="Arial" w:cs="Arial"/>
            <w:noProof/>
            <w:sz w:val="22"/>
            <w:szCs w:val="22"/>
          </w:rPr>
          <w:t>Williams 2007</w:t>
        </w:r>
      </w:hyperlink>
      <w:r>
        <w:rPr>
          <w:rFonts w:ascii="Arial" w:hAnsi="Arial" w:cs="Arial"/>
          <w:noProof/>
          <w:sz w:val="22"/>
          <w:szCs w:val="22"/>
        </w:rPr>
        <w:t>)</w:t>
      </w:r>
      <w:r>
        <w:rPr>
          <w:rFonts w:ascii="Arial" w:hAnsi="Arial" w:cs="Arial"/>
          <w:sz w:val="22"/>
          <w:szCs w:val="22"/>
        </w:rPr>
        <w:fldChar w:fldCharType="end"/>
      </w:r>
      <w:r w:rsidRPr="00517642">
        <w:rPr>
          <w:rFonts w:ascii="Arial" w:hAnsi="Arial" w:cs="Arial"/>
          <w:sz w:val="22"/>
          <w:szCs w:val="22"/>
        </w:rPr>
        <w:t>.</w:t>
      </w:r>
      <w:r>
        <w:rPr>
          <w:rFonts w:ascii="Arial" w:hAnsi="Arial" w:cs="Arial"/>
          <w:sz w:val="22"/>
          <w:szCs w:val="22"/>
        </w:rPr>
        <w:t xml:space="preserve"> </w:t>
      </w:r>
      <w:r w:rsidR="000541E4">
        <w:rPr>
          <w:rFonts w:ascii="Arial" w:hAnsi="Arial" w:cs="Arial"/>
          <w:color w:val="000000"/>
          <w:sz w:val="22"/>
        </w:rPr>
        <w:t>It has a disjunct distribution, with an area of lower elevation rainforest between the two populations potentially being a barrier to dispersal (Williams 2007).</w:t>
      </w:r>
    </w:p>
    <w:p w14:paraId="5E556799" w14:textId="6DE21FF0" w:rsidR="00CE45A0" w:rsidRDefault="00CE45A0" w:rsidP="00D51250">
      <w:pPr>
        <w:rPr>
          <w:rFonts w:ascii="Arial" w:hAnsi="Arial" w:cs="Arial"/>
          <w:color w:val="000000"/>
          <w:sz w:val="22"/>
        </w:rPr>
      </w:pPr>
    </w:p>
    <w:p w14:paraId="58615CDC" w14:textId="77777777" w:rsidR="00D51250" w:rsidRDefault="00D51250" w:rsidP="00D51250">
      <w:pPr>
        <w:rPr>
          <w:rFonts w:ascii="Arial" w:hAnsi="Arial" w:cs="Arial"/>
          <w:color w:val="000000"/>
          <w:sz w:val="22"/>
        </w:rPr>
      </w:pPr>
    </w:p>
    <w:p w14:paraId="104DD1BC" w14:textId="31AC8E31" w:rsidR="000541E4" w:rsidRDefault="00D51250" w:rsidP="000541E4">
      <w:r>
        <w:rPr>
          <w:rFonts w:ascii="Arial" w:hAnsi="Arial" w:cs="Arial"/>
          <w:color w:val="000000"/>
          <w:sz w:val="22"/>
        </w:rPr>
        <w:t xml:space="preserve">The microhylids of the Australian Wet Tropics differ from most other frog species in that they are terrestrial breeders and do not need surface water to breed. They require high levels of soil and litter moisture to prevent dessication of the eggs during development (Williams 2007). </w:t>
      </w:r>
      <w:r w:rsidR="000F1B68">
        <w:rPr>
          <w:rFonts w:ascii="Arial" w:hAnsi="Arial" w:cs="Arial"/>
          <w:color w:val="000000"/>
          <w:sz w:val="22"/>
        </w:rPr>
        <w:t xml:space="preserve">The nests are covered only by 2 to 5 cm of humus (Williams 2007). </w:t>
      </w:r>
      <w:r>
        <w:rPr>
          <w:rFonts w:ascii="Arial" w:hAnsi="Arial" w:cs="Arial"/>
          <w:color w:val="000000"/>
          <w:sz w:val="22"/>
        </w:rPr>
        <w:t xml:space="preserve">One parent (usually the male) will generally attend to the eggs until hatching occurs (Felton et al. 2006; Hoskin 2004; Williams 2007). </w:t>
      </w:r>
      <w:r w:rsidRPr="00BD2CF7">
        <w:rPr>
          <w:rFonts w:ascii="Arial" w:hAnsi="Arial" w:cs="Arial"/>
          <w:color w:val="000000"/>
          <w:sz w:val="22"/>
        </w:rPr>
        <w:t>The embryo develops directly in the egg and then hatches out as a tiny froglet.</w:t>
      </w:r>
      <w:r>
        <w:rPr>
          <w:rFonts w:ascii="Arial" w:hAnsi="Arial" w:cs="Arial"/>
          <w:color w:val="000000"/>
          <w:sz w:val="22"/>
        </w:rPr>
        <w:t xml:space="preserve"> The eggs are large relative to other frog species and clutch sizes small</w:t>
      </w:r>
      <w:r w:rsidR="00E60782">
        <w:rPr>
          <w:rFonts w:ascii="Arial" w:hAnsi="Arial" w:cs="Arial"/>
          <w:color w:val="000000"/>
          <w:sz w:val="22"/>
        </w:rPr>
        <w:t xml:space="preserve"> </w:t>
      </w:r>
      <w:r>
        <w:rPr>
          <w:rFonts w:ascii="Arial" w:hAnsi="Arial" w:cs="Arial"/>
          <w:color w:val="000000"/>
          <w:sz w:val="22"/>
        </w:rPr>
        <w:fldChar w:fldCharType="begin"/>
      </w:r>
      <w:r>
        <w:rPr>
          <w:rFonts w:ascii="Arial" w:hAnsi="Arial" w:cs="Arial"/>
          <w:color w:val="000000"/>
          <w:sz w:val="22"/>
        </w:rPr>
        <w:instrText xml:space="preserve"> ADDIN EN.CITE &lt;EndNote&gt;&lt;Cite&gt;&lt;Author&gt;Hoskin&lt;/Author&gt;&lt;Year&gt;2004&lt;/Year&gt;&lt;RecNum&gt;37&lt;/RecNum&gt;&lt;DisplayText&gt;(Hoskin,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Pr>
          <w:rFonts w:ascii="Arial" w:hAnsi="Arial" w:cs="Arial"/>
          <w:color w:val="000000"/>
          <w:sz w:val="22"/>
        </w:rPr>
        <w:fldChar w:fldCharType="separate"/>
      </w:r>
      <w:r>
        <w:rPr>
          <w:rFonts w:ascii="Arial" w:hAnsi="Arial" w:cs="Arial"/>
          <w:noProof/>
          <w:color w:val="000000"/>
          <w:sz w:val="22"/>
        </w:rPr>
        <w:t>(</w:t>
      </w:r>
      <w:hyperlink w:anchor="_ENREF_3" w:tooltip="Hoskin, 2004 #37" w:history="1">
        <w:r>
          <w:rPr>
            <w:rFonts w:ascii="Arial" w:hAnsi="Arial" w:cs="Arial"/>
            <w:noProof/>
            <w:color w:val="000000"/>
            <w:sz w:val="22"/>
          </w:rPr>
          <w:t>Hoskin 2004</w:t>
        </w:r>
      </w:hyperlink>
      <w:r>
        <w:rPr>
          <w:rFonts w:ascii="Arial" w:hAnsi="Arial" w:cs="Arial"/>
          <w:noProof/>
          <w:color w:val="000000"/>
          <w:sz w:val="22"/>
        </w:rPr>
        <w:t>)</w:t>
      </w:r>
      <w:r>
        <w:rPr>
          <w:rFonts w:ascii="Arial" w:hAnsi="Arial" w:cs="Arial"/>
          <w:color w:val="000000"/>
          <w:sz w:val="22"/>
        </w:rPr>
        <w:fldChar w:fldCharType="end"/>
      </w:r>
      <w:r>
        <w:rPr>
          <w:rFonts w:ascii="Arial" w:hAnsi="Arial" w:cs="Arial"/>
          <w:color w:val="000000"/>
          <w:sz w:val="22"/>
        </w:rPr>
        <w:t xml:space="preserve">. </w:t>
      </w:r>
    </w:p>
    <w:p w14:paraId="104DCDD4" w14:textId="78347A89" w:rsidR="00D51250" w:rsidRDefault="00D51250" w:rsidP="00D51250">
      <w:pPr>
        <w:rPr>
          <w:rFonts w:ascii="Arial" w:hAnsi="Arial" w:cs="Arial"/>
          <w:color w:val="000000"/>
          <w:sz w:val="22"/>
        </w:rPr>
      </w:pPr>
    </w:p>
    <w:p w14:paraId="34263180" w14:textId="77777777" w:rsidR="00D51250" w:rsidRDefault="00D51250" w:rsidP="00D51250">
      <w:pPr>
        <w:rPr>
          <w:rFonts w:ascii="Arial" w:hAnsi="Arial" w:cs="Arial"/>
          <w:color w:val="000000"/>
          <w:sz w:val="22"/>
        </w:rPr>
      </w:pPr>
    </w:p>
    <w:p w14:paraId="68922DBC" w14:textId="77777777" w:rsidR="00D51250" w:rsidRPr="00522F3E" w:rsidRDefault="00D51250" w:rsidP="00D51250">
      <w:pPr>
        <w:rPr>
          <w:rFonts w:ascii="Arial" w:hAnsi="Arial" w:cs="Arial"/>
          <w:color w:val="000000"/>
          <w:sz w:val="22"/>
        </w:rPr>
      </w:pPr>
    </w:p>
    <w:p w14:paraId="6D2EA4F4" w14:textId="308F3E84" w:rsidR="00D51250" w:rsidRPr="00D51250" w:rsidRDefault="00D51250" w:rsidP="00D51250">
      <w:pPr>
        <w:rPr>
          <w:rFonts w:ascii="Arial" w:hAnsi="Arial" w:cs="Arial"/>
          <w:sz w:val="22"/>
          <w:szCs w:val="22"/>
        </w:rPr>
      </w:pPr>
      <w:r w:rsidRPr="00D51250">
        <w:rPr>
          <w:rFonts w:ascii="Arial" w:hAnsi="Arial" w:cs="Arial"/>
          <w:sz w:val="22"/>
          <w:szCs w:val="22"/>
        </w:rPr>
        <w:t xml:space="preserve">The generation length of the </w:t>
      </w:r>
      <w:r w:rsidR="00B473E2">
        <w:rPr>
          <w:rFonts w:ascii="Arial" w:hAnsi="Arial" w:cs="Arial"/>
          <w:sz w:val="22"/>
          <w:szCs w:val="22"/>
        </w:rPr>
        <w:t xml:space="preserve">Neglected Nursery Frog </w:t>
      </w:r>
      <w:r w:rsidRPr="00D51250">
        <w:rPr>
          <w:rFonts w:ascii="Arial" w:hAnsi="Arial" w:cs="Arial"/>
          <w:sz w:val="22"/>
          <w:szCs w:val="22"/>
        </w:rPr>
        <w:t>is unknown. Male microhylids (</w:t>
      </w:r>
      <w:r w:rsidRPr="00D51250">
        <w:rPr>
          <w:rFonts w:ascii="Arial" w:hAnsi="Arial" w:cs="Arial"/>
          <w:i/>
          <w:sz w:val="22"/>
          <w:szCs w:val="22"/>
        </w:rPr>
        <w:t>C. ornatus</w:t>
      </w:r>
      <w:r w:rsidRPr="00D51250">
        <w:rPr>
          <w:rFonts w:ascii="Arial" w:hAnsi="Arial" w:cs="Arial"/>
          <w:sz w:val="22"/>
          <w:szCs w:val="22"/>
        </w:rPr>
        <w:t>) with nests have been found aged between 4 and 14 years (average age of males was 5.5) (Williams 2007).</w:t>
      </w:r>
    </w:p>
    <w:p w14:paraId="03002442" w14:textId="77777777" w:rsidR="000A3290" w:rsidRPr="000A3290" w:rsidRDefault="000A3290" w:rsidP="00623EF4">
      <w:pPr>
        <w:pStyle w:val="CAheading"/>
        <w:spacing w:after="0"/>
      </w:pPr>
    </w:p>
    <w:p w14:paraId="377BAE27" w14:textId="77777777" w:rsidR="003445DF" w:rsidRPr="007D7E49" w:rsidRDefault="007D7E49" w:rsidP="00623EF4">
      <w:pPr>
        <w:pStyle w:val="CAheading"/>
      </w:pPr>
      <w:r w:rsidRPr="007D7E49">
        <w:t>Threats</w:t>
      </w:r>
    </w:p>
    <w:p w14:paraId="1ED4CE29" w14:textId="295FECB9" w:rsidR="000A3290" w:rsidRPr="007D7E49" w:rsidRDefault="000A3290" w:rsidP="000A3290">
      <w:pPr>
        <w:spacing w:after="240"/>
      </w:pPr>
      <w:r>
        <w:rPr>
          <w:rFonts w:ascii="Arial" w:hAnsi="Arial" w:cs="Arial"/>
          <w:sz w:val="22"/>
          <w:szCs w:val="22"/>
        </w:rPr>
        <w:t xml:space="preserve">Threats to the </w:t>
      </w:r>
      <w:r w:rsidR="00B473E2">
        <w:rPr>
          <w:rFonts w:ascii="Arial" w:hAnsi="Arial" w:cs="Arial"/>
          <w:sz w:val="22"/>
          <w:szCs w:val="22"/>
        </w:rPr>
        <w:t xml:space="preserve">Neglected Nursery Frog </w:t>
      </w:r>
      <w:r w:rsidR="00E54A36">
        <w:rPr>
          <w:rFonts w:ascii="Arial" w:hAnsi="Arial" w:cs="Arial"/>
          <w:sz w:val="22"/>
          <w:szCs w:val="22"/>
        </w:rPr>
        <w:t>include climate change, habitat degradation and introduced species. The table below lists the t</w:t>
      </w:r>
      <w:r w:rsidR="00E54A36" w:rsidRPr="004023AD">
        <w:rPr>
          <w:rFonts w:ascii="Arial" w:hAnsi="Arial" w:cs="Arial"/>
          <w:sz w:val="22"/>
          <w:szCs w:val="22"/>
        </w:rPr>
        <w:t>hreats</w:t>
      </w:r>
      <w:r w:rsidR="00E54A36" w:rsidRPr="008837E3">
        <w:rPr>
          <w:rFonts w:ascii="Arial" w:hAnsi="Arial" w:cs="Arial"/>
          <w:sz w:val="22"/>
          <w:szCs w:val="22"/>
        </w:rPr>
        <w:t xml:space="preserve"> impacting the </w:t>
      </w:r>
      <w:r w:rsidR="00E54A36">
        <w:rPr>
          <w:rFonts w:ascii="Arial" w:hAnsi="Arial" w:cs="Arial"/>
          <w:sz w:val="22"/>
          <w:szCs w:val="22"/>
        </w:rPr>
        <w:t xml:space="preserve">species </w:t>
      </w:r>
      <w:r w:rsidR="00E54A36" w:rsidRPr="008837E3">
        <w:rPr>
          <w:rFonts w:ascii="Arial" w:hAnsi="Arial" w:cs="Arial"/>
          <w:sz w:val="22"/>
          <w:szCs w:val="22"/>
        </w:rPr>
        <w:t>in approximate order of severity of risk, based on available evidence</w:t>
      </w:r>
      <w:r w:rsidR="00E54A36">
        <w:rPr>
          <w:rFonts w:ascii="Arial" w:hAnsi="Arial" w:cs="Arial"/>
          <w:sz w:val="22"/>
          <w:szCs w:val="22"/>
        </w:rPr>
        <w:t>.</w:t>
      </w:r>
      <w:r w:rsidR="00453814">
        <w:rPr>
          <w:rFonts w:ascii="Arial" w:hAnsi="Arial" w:cs="Arial"/>
          <w:sz w:val="22"/>
          <w:szCs w:val="22"/>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701"/>
        <w:gridCol w:w="1843"/>
        <w:gridCol w:w="4649"/>
      </w:tblGrid>
      <w:tr w:rsidR="00B473E2" w14:paraId="5746526A" w14:textId="77777777" w:rsidTr="00B473E2">
        <w:tc>
          <w:tcPr>
            <w:tcW w:w="1271" w:type="dxa"/>
            <w:shd w:val="clear" w:color="auto" w:fill="C0C0C0"/>
          </w:tcPr>
          <w:p w14:paraId="64F5CA04" w14:textId="27D471FD" w:rsidR="00B473E2" w:rsidRPr="000A3290" w:rsidRDefault="00B473E2" w:rsidP="00B473E2">
            <w:pPr>
              <w:rPr>
                <w:rFonts w:ascii="Arial" w:hAnsi="Arial" w:cs="Arial"/>
                <w:b/>
                <w:color w:val="000000"/>
                <w:sz w:val="22"/>
                <w:szCs w:val="22"/>
              </w:rPr>
            </w:pPr>
            <w:r>
              <w:rPr>
                <w:rFonts w:ascii="Arial" w:hAnsi="Arial" w:cs="Arial"/>
                <w:b/>
                <w:color w:val="000000"/>
                <w:sz w:val="22"/>
                <w:szCs w:val="22"/>
              </w:rPr>
              <w:t>Number</w:t>
            </w:r>
          </w:p>
        </w:tc>
        <w:tc>
          <w:tcPr>
            <w:tcW w:w="1701" w:type="dxa"/>
            <w:shd w:val="clear" w:color="auto" w:fill="C0C0C0"/>
          </w:tcPr>
          <w:p w14:paraId="4453F476" w14:textId="6F874149" w:rsidR="00B473E2" w:rsidRPr="000A3290" w:rsidRDefault="00B473E2" w:rsidP="00B473E2">
            <w:pPr>
              <w:rPr>
                <w:rFonts w:ascii="Arial" w:hAnsi="Arial" w:cs="Arial"/>
                <w:b/>
                <w:color w:val="000000"/>
                <w:sz w:val="22"/>
                <w:szCs w:val="22"/>
              </w:rPr>
            </w:pPr>
            <w:r>
              <w:rPr>
                <w:rFonts w:ascii="Arial" w:hAnsi="Arial" w:cs="Arial"/>
                <w:b/>
                <w:color w:val="000000"/>
                <w:sz w:val="22"/>
                <w:szCs w:val="22"/>
              </w:rPr>
              <w:t>Threat factor</w:t>
            </w:r>
          </w:p>
        </w:tc>
        <w:tc>
          <w:tcPr>
            <w:tcW w:w="1843" w:type="dxa"/>
            <w:shd w:val="clear" w:color="auto" w:fill="C0C0C0"/>
          </w:tcPr>
          <w:p w14:paraId="63D63A1E" w14:textId="68A1A6DF" w:rsidR="00B473E2" w:rsidRPr="000A3290" w:rsidRDefault="00B473E2" w:rsidP="00B473E2">
            <w:pPr>
              <w:rPr>
                <w:rFonts w:ascii="Arial" w:hAnsi="Arial" w:cs="Arial"/>
                <w:b/>
                <w:color w:val="000000"/>
                <w:sz w:val="22"/>
                <w:szCs w:val="22"/>
              </w:rPr>
            </w:pPr>
            <w:r>
              <w:rPr>
                <w:rFonts w:ascii="Arial" w:hAnsi="Arial" w:cs="Arial"/>
                <w:b/>
                <w:color w:val="000000"/>
                <w:sz w:val="22"/>
                <w:szCs w:val="22"/>
              </w:rPr>
              <w:t>Threat status</w:t>
            </w:r>
          </w:p>
        </w:tc>
        <w:tc>
          <w:tcPr>
            <w:tcW w:w="4649" w:type="dxa"/>
            <w:shd w:val="clear" w:color="auto" w:fill="C0C0C0"/>
          </w:tcPr>
          <w:p w14:paraId="2C807647" w14:textId="328D5B5C" w:rsidR="00B473E2" w:rsidRPr="000A3290" w:rsidRDefault="00B473E2" w:rsidP="00B473E2">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B473E2" w14:paraId="73B94B3D" w14:textId="77777777" w:rsidTr="00B473E2">
        <w:tc>
          <w:tcPr>
            <w:tcW w:w="1271" w:type="dxa"/>
          </w:tcPr>
          <w:p w14:paraId="3318F1B3" w14:textId="638B5B91" w:rsidR="00B473E2" w:rsidRPr="005334EA" w:rsidRDefault="00B473E2" w:rsidP="00B473E2">
            <w:pPr>
              <w:pStyle w:val="Tableheadingright"/>
              <w:spacing w:before="0"/>
              <w:jc w:val="left"/>
              <w:rPr>
                <w:rFonts w:cs="Arial"/>
                <w:b w:val="0"/>
                <w:sz w:val="22"/>
                <w:szCs w:val="22"/>
              </w:rPr>
            </w:pPr>
            <w:r>
              <w:rPr>
                <w:rFonts w:cs="Arial"/>
                <w:b w:val="0"/>
                <w:sz w:val="22"/>
                <w:szCs w:val="22"/>
              </w:rPr>
              <w:t>1.0</w:t>
            </w:r>
          </w:p>
        </w:tc>
        <w:tc>
          <w:tcPr>
            <w:tcW w:w="8193" w:type="dxa"/>
            <w:gridSpan w:val="3"/>
          </w:tcPr>
          <w:p w14:paraId="688CAD01" w14:textId="15E000B7" w:rsidR="00B473E2" w:rsidRPr="006F6DB2" w:rsidRDefault="00DC0F98" w:rsidP="00B473E2">
            <w:pPr>
              <w:rPr>
                <w:rFonts w:ascii="Arial" w:hAnsi="Arial" w:cs="Arial"/>
                <w:color w:val="000000"/>
                <w:sz w:val="22"/>
                <w:szCs w:val="22"/>
              </w:rPr>
            </w:pPr>
            <w:r w:rsidRPr="00721E46">
              <w:rPr>
                <w:rFonts w:ascii="Arial" w:hAnsi="Arial" w:cs="Arial"/>
                <w:sz w:val="22"/>
                <w:szCs w:val="22"/>
              </w:rPr>
              <w:t>Climate change</w:t>
            </w:r>
          </w:p>
          <w:p w14:paraId="4FE3DD9A" w14:textId="45D3A5C5" w:rsidR="00B473E2" w:rsidRDefault="00B473E2" w:rsidP="00B473E2">
            <w:pPr>
              <w:pStyle w:val="Tableheadingright"/>
              <w:spacing w:before="0"/>
              <w:jc w:val="left"/>
              <w:rPr>
                <w:rFonts w:cs="Arial"/>
                <w:b w:val="0"/>
                <w:sz w:val="22"/>
                <w:szCs w:val="22"/>
              </w:rPr>
            </w:pPr>
          </w:p>
        </w:tc>
      </w:tr>
      <w:tr w:rsidR="00B473E2" w14:paraId="5BC967E1" w14:textId="77777777" w:rsidTr="00B473E2">
        <w:tc>
          <w:tcPr>
            <w:tcW w:w="1271" w:type="dxa"/>
          </w:tcPr>
          <w:p w14:paraId="686D0866" w14:textId="3E906289" w:rsidR="00B473E2" w:rsidRPr="00E30E90" w:rsidRDefault="00B473E2" w:rsidP="00B473E2">
            <w:pPr>
              <w:pStyle w:val="Tableheadingright"/>
              <w:spacing w:before="0"/>
              <w:jc w:val="left"/>
              <w:rPr>
                <w:rFonts w:cs="Arial"/>
                <w:b w:val="0"/>
                <w:sz w:val="22"/>
                <w:szCs w:val="22"/>
              </w:rPr>
            </w:pPr>
            <w:r w:rsidRPr="006F6DB2">
              <w:rPr>
                <w:rFonts w:cs="Arial"/>
                <w:b w:val="0"/>
                <w:color w:val="000000"/>
                <w:sz w:val="22"/>
                <w:szCs w:val="22"/>
              </w:rPr>
              <w:t>1.1</w:t>
            </w:r>
          </w:p>
        </w:tc>
        <w:tc>
          <w:tcPr>
            <w:tcW w:w="1701" w:type="dxa"/>
          </w:tcPr>
          <w:p w14:paraId="39E815E9" w14:textId="77008FCB" w:rsidR="00B473E2" w:rsidRDefault="00B473E2" w:rsidP="00DC0F98">
            <w:pPr>
              <w:pStyle w:val="Tableheadingright"/>
              <w:spacing w:before="0"/>
              <w:jc w:val="left"/>
              <w:rPr>
                <w:rFonts w:cs="Arial"/>
                <w:b w:val="0"/>
                <w:sz w:val="22"/>
                <w:szCs w:val="22"/>
              </w:rPr>
            </w:pPr>
            <w:r w:rsidRPr="006F6DB2">
              <w:rPr>
                <w:rFonts w:cs="Arial"/>
                <w:b w:val="0"/>
                <w:sz w:val="22"/>
                <w:szCs w:val="22"/>
              </w:rPr>
              <w:t xml:space="preserve"> </w:t>
            </w:r>
            <w:r w:rsidR="00DC0F98">
              <w:rPr>
                <w:rFonts w:cs="Arial"/>
                <w:b w:val="0"/>
                <w:sz w:val="22"/>
                <w:szCs w:val="22"/>
              </w:rPr>
              <w:t>T</w:t>
            </w:r>
            <w:r w:rsidRPr="006F6DB2">
              <w:rPr>
                <w:rFonts w:cs="Arial"/>
                <w:b w:val="0"/>
                <w:sz w:val="22"/>
                <w:szCs w:val="22"/>
              </w:rPr>
              <w:t>emperature increase, extreme weather events e.g. cyclones, droughts</w:t>
            </w:r>
          </w:p>
        </w:tc>
        <w:tc>
          <w:tcPr>
            <w:tcW w:w="1843" w:type="dxa"/>
          </w:tcPr>
          <w:p w14:paraId="179D51DB" w14:textId="12865506" w:rsidR="00B473E2" w:rsidRDefault="00B473E2" w:rsidP="00B473E2">
            <w:pPr>
              <w:pStyle w:val="Tableheadingright"/>
              <w:spacing w:before="0"/>
              <w:jc w:val="left"/>
              <w:rPr>
                <w:rFonts w:cs="Arial"/>
                <w:b w:val="0"/>
                <w:sz w:val="22"/>
                <w:szCs w:val="22"/>
              </w:rPr>
            </w:pPr>
            <w:r w:rsidRPr="006F6DB2">
              <w:rPr>
                <w:rFonts w:cs="Arial"/>
                <w:b w:val="0"/>
                <w:color w:val="000000"/>
                <w:sz w:val="22"/>
                <w:szCs w:val="22"/>
              </w:rPr>
              <w:t>Known potential</w:t>
            </w:r>
          </w:p>
        </w:tc>
        <w:tc>
          <w:tcPr>
            <w:tcW w:w="4649" w:type="dxa"/>
          </w:tcPr>
          <w:p w14:paraId="4FB80145" w14:textId="3376B798" w:rsidR="00B473E2" w:rsidRDefault="00B473E2" w:rsidP="00B473E2">
            <w:pPr>
              <w:pStyle w:val="Tableheadingright"/>
              <w:spacing w:before="0"/>
              <w:jc w:val="left"/>
              <w:rPr>
                <w:rFonts w:cs="Arial"/>
                <w:b w:val="0"/>
                <w:sz w:val="22"/>
                <w:szCs w:val="22"/>
              </w:rPr>
            </w:pPr>
            <w:r w:rsidRPr="00CF5819">
              <w:rPr>
                <w:rFonts w:cs="Arial"/>
                <w:b w:val="0"/>
                <w:sz w:val="22"/>
                <w:szCs w:val="22"/>
              </w:rPr>
              <w:t xml:space="preserve">The </w:t>
            </w:r>
            <w:r w:rsidRPr="00B473E2">
              <w:rPr>
                <w:rFonts w:cs="Arial"/>
                <w:b w:val="0"/>
                <w:sz w:val="22"/>
                <w:szCs w:val="22"/>
              </w:rPr>
              <w:t>Neglected Nursery Frog</w:t>
            </w:r>
            <w:r>
              <w:rPr>
                <w:rFonts w:cs="Arial"/>
                <w:sz w:val="22"/>
                <w:szCs w:val="22"/>
              </w:rPr>
              <w:t xml:space="preserve"> </w:t>
            </w:r>
            <w:r w:rsidRPr="00CF5819">
              <w:rPr>
                <w:rFonts w:cs="Arial"/>
                <w:b w:val="0"/>
                <w:sz w:val="22"/>
                <w:szCs w:val="22"/>
              </w:rPr>
              <w:t xml:space="preserve">is found only at high altitude on a two mountain tops in the wet tropics of northern Queensland. </w:t>
            </w:r>
            <w:r w:rsidR="000F1B68" w:rsidRPr="00E9262D">
              <w:rPr>
                <w:rFonts w:cs="Arial"/>
                <w:b w:val="0"/>
                <w:sz w:val="22"/>
                <w:szCs w:val="22"/>
              </w:rPr>
              <w:t xml:space="preserve">Distribution modelling carried out by Williams and Hilbert (2006) suggests that five Cophixalus species (including </w:t>
            </w:r>
            <w:r w:rsidR="000F1B68" w:rsidRPr="004A15CA">
              <w:rPr>
                <w:rFonts w:cs="Arial"/>
                <w:b w:val="0"/>
                <w:i/>
                <w:sz w:val="22"/>
                <w:szCs w:val="22"/>
              </w:rPr>
              <w:t>C. neglectus</w:t>
            </w:r>
            <w:r w:rsidR="000F1B68" w:rsidRPr="00E9262D">
              <w:rPr>
                <w:rFonts w:cs="Arial"/>
                <w:b w:val="0"/>
                <w:sz w:val="22"/>
                <w:szCs w:val="22"/>
              </w:rPr>
              <w:t>) would lose more than 50 percent of their core habitat with a 1 °C increase in temperature. However an increase by 3 - 5 °C is predicted to be more likely in the next 50 years. All of these five species are restricted to mountain tops and are already at the limits of their potential elevational ranges.</w:t>
            </w:r>
          </w:p>
          <w:p w14:paraId="0959F99B" w14:textId="5EE04C9A" w:rsidR="00B473E2" w:rsidRDefault="00B473E2" w:rsidP="00B473E2">
            <w:pPr>
              <w:pStyle w:val="Tableheadingright"/>
              <w:spacing w:before="0"/>
              <w:jc w:val="left"/>
              <w:rPr>
                <w:rFonts w:cs="Arial"/>
                <w:b w:val="0"/>
                <w:sz w:val="22"/>
                <w:szCs w:val="22"/>
              </w:rPr>
            </w:pPr>
            <w:r w:rsidRPr="005334EA">
              <w:rPr>
                <w:rFonts w:cs="Arial"/>
                <w:b w:val="0"/>
                <w:sz w:val="22"/>
                <w:szCs w:val="22"/>
              </w:rPr>
              <w:t>Changes in hydrology and other effects of climate change (e.g. reduction in food supply) may also alter the susceptibility of frogs to disease, but these impacts are likely to be variable among species and sites (DoEE 2016).</w:t>
            </w:r>
          </w:p>
        </w:tc>
      </w:tr>
      <w:tr w:rsidR="00DC0F98" w14:paraId="0D0EE0ED" w14:textId="77777777" w:rsidTr="00DC0F98">
        <w:tc>
          <w:tcPr>
            <w:tcW w:w="1271" w:type="dxa"/>
          </w:tcPr>
          <w:p w14:paraId="7465133C" w14:textId="7EE53746" w:rsidR="00DC0F98" w:rsidRPr="006F6DB2" w:rsidRDefault="00DC0F98" w:rsidP="00B473E2">
            <w:pPr>
              <w:pStyle w:val="Tableheadingright"/>
              <w:spacing w:before="0"/>
              <w:jc w:val="left"/>
              <w:rPr>
                <w:rFonts w:cs="Arial"/>
                <w:b w:val="0"/>
                <w:sz w:val="22"/>
                <w:szCs w:val="22"/>
              </w:rPr>
            </w:pPr>
            <w:r>
              <w:rPr>
                <w:rFonts w:cs="Arial"/>
                <w:b w:val="0"/>
                <w:sz w:val="22"/>
                <w:szCs w:val="22"/>
              </w:rPr>
              <w:t>2.0</w:t>
            </w:r>
          </w:p>
        </w:tc>
        <w:tc>
          <w:tcPr>
            <w:tcW w:w="8193" w:type="dxa"/>
            <w:gridSpan w:val="3"/>
          </w:tcPr>
          <w:p w14:paraId="69C0306E" w14:textId="3A867C74" w:rsidR="00DC0F98" w:rsidRPr="006F6DB2" w:rsidRDefault="00DC0F98" w:rsidP="00B473E2">
            <w:pPr>
              <w:pStyle w:val="Tableheadingright"/>
              <w:spacing w:before="0"/>
              <w:jc w:val="left"/>
              <w:rPr>
                <w:rFonts w:cs="Arial"/>
                <w:b w:val="0"/>
                <w:sz w:val="22"/>
                <w:szCs w:val="22"/>
              </w:rPr>
            </w:pPr>
            <w:r>
              <w:rPr>
                <w:rFonts w:cs="Arial"/>
                <w:b w:val="0"/>
                <w:sz w:val="22"/>
                <w:szCs w:val="22"/>
              </w:rPr>
              <w:t>Habitat loss and degradation</w:t>
            </w:r>
          </w:p>
        </w:tc>
      </w:tr>
      <w:tr w:rsidR="00B473E2" w14:paraId="6C789EBD" w14:textId="77777777" w:rsidTr="00B473E2">
        <w:tc>
          <w:tcPr>
            <w:tcW w:w="1271" w:type="dxa"/>
          </w:tcPr>
          <w:p w14:paraId="5965C678" w14:textId="46B892CB" w:rsidR="00B473E2" w:rsidRDefault="00DC0F98" w:rsidP="00B473E2">
            <w:pPr>
              <w:pStyle w:val="Tableheadingright"/>
              <w:spacing w:before="0"/>
              <w:jc w:val="left"/>
              <w:rPr>
                <w:rFonts w:cs="Arial"/>
                <w:b w:val="0"/>
                <w:color w:val="000000"/>
                <w:sz w:val="22"/>
                <w:szCs w:val="22"/>
              </w:rPr>
            </w:pPr>
            <w:r>
              <w:rPr>
                <w:rFonts w:cs="Arial"/>
                <w:b w:val="0"/>
                <w:sz w:val="22"/>
                <w:szCs w:val="22"/>
              </w:rPr>
              <w:t>2.1</w:t>
            </w:r>
          </w:p>
        </w:tc>
        <w:tc>
          <w:tcPr>
            <w:tcW w:w="1701" w:type="dxa"/>
          </w:tcPr>
          <w:p w14:paraId="307BD2F2" w14:textId="22263E6B" w:rsidR="00B473E2" w:rsidRPr="006F6DB2" w:rsidRDefault="00B473E2" w:rsidP="00332C05">
            <w:pPr>
              <w:pStyle w:val="Tableheadingright"/>
              <w:spacing w:before="0"/>
              <w:jc w:val="left"/>
              <w:rPr>
                <w:rFonts w:cs="Arial"/>
                <w:b w:val="0"/>
                <w:sz w:val="22"/>
                <w:szCs w:val="22"/>
              </w:rPr>
            </w:pPr>
            <w:r w:rsidRPr="006F6DB2">
              <w:rPr>
                <w:rFonts w:cs="Arial"/>
                <w:b w:val="0"/>
                <w:color w:val="000000"/>
                <w:sz w:val="22"/>
                <w:szCs w:val="22"/>
              </w:rPr>
              <w:t xml:space="preserve">Clearing, trampling, fragmentation, altered </w:t>
            </w:r>
          </w:p>
        </w:tc>
        <w:tc>
          <w:tcPr>
            <w:tcW w:w="1843" w:type="dxa"/>
          </w:tcPr>
          <w:p w14:paraId="1958503A" w14:textId="766FDD48" w:rsidR="00B473E2" w:rsidRPr="006F6DB2" w:rsidRDefault="00B473E2" w:rsidP="00B473E2">
            <w:pPr>
              <w:pStyle w:val="Tableheadingright"/>
              <w:spacing w:before="0"/>
              <w:jc w:val="left"/>
              <w:rPr>
                <w:rFonts w:cs="Arial"/>
                <w:b w:val="0"/>
                <w:color w:val="000000"/>
                <w:sz w:val="22"/>
                <w:szCs w:val="22"/>
              </w:rPr>
            </w:pPr>
            <w:r w:rsidRPr="006F6DB2">
              <w:rPr>
                <w:rFonts w:cs="Arial"/>
                <w:b w:val="0"/>
                <w:color w:val="000000"/>
                <w:sz w:val="22"/>
                <w:szCs w:val="22"/>
              </w:rPr>
              <w:t>Known potential</w:t>
            </w:r>
          </w:p>
        </w:tc>
        <w:tc>
          <w:tcPr>
            <w:tcW w:w="4649" w:type="dxa"/>
          </w:tcPr>
          <w:p w14:paraId="6C0A9164" w14:textId="093E65C2" w:rsidR="00B473E2" w:rsidRPr="00CF5819" w:rsidRDefault="00B473E2" w:rsidP="000D39D4">
            <w:pPr>
              <w:pStyle w:val="Tableheadingright"/>
              <w:spacing w:before="0"/>
              <w:jc w:val="left"/>
              <w:rPr>
                <w:rFonts w:cs="Arial"/>
                <w:b w:val="0"/>
                <w:sz w:val="22"/>
                <w:szCs w:val="22"/>
              </w:rPr>
            </w:pPr>
            <w:r w:rsidRPr="006F6DB2">
              <w:rPr>
                <w:rFonts w:cs="Arial"/>
                <w:b w:val="0"/>
                <w:sz w:val="22"/>
                <w:szCs w:val="22"/>
              </w:rPr>
              <w:t xml:space="preserve">Feral pigs are responsible for habitat damage and potentially cause adult frog mortality </w:t>
            </w:r>
            <w:r w:rsidRPr="006F6DB2">
              <w:rPr>
                <w:rFonts w:cs="Arial"/>
                <w:b w:val="0"/>
                <w:sz w:val="22"/>
                <w:szCs w:val="22"/>
              </w:rPr>
              <w:fldChar w:fldCharType="begin"/>
            </w:r>
            <w:r w:rsidRPr="006F6DB2">
              <w:rPr>
                <w:rFonts w:cs="Arial"/>
                <w:b w:val="0"/>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sidRPr="006F6DB2">
              <w:rPr>
                <w:rFonts w:cs="Arial"/>
                <w:b w:val="0"/>
                <w:sz w:val="22"/>
                <w:szCs w:val="22"/>
              </w:rPr>
              <w:fldChar w:fldCharType="separate"/>
            </w:r>
            <w:r w:rsidRPr="006F6DB2">
              <w:rPr>
                <w:rFonts w:cs="Arial"/>
                <w:b w:val="0"/>
                <w:sz w:val="22"/>
                <w:szCs w:val="22"/>
              </w:rPr>
              <w:t>(</w:t>
            </w:r>
            <w:hyperlink w:anchor="_ENREF_15" w:tooltip="Richards, 1993 #104" w:history="1">
              <w:r w:rsidRPr="006F6DB2">
                <w:rPr>
                  <w:rFonts w:cs="Arial"/>
                  <w:b w:val="0"/>
                  <w:sz w:val="22"/>
                  <w:szCs w:val="22"/>
                </w:rPr>
                <w:t>Richards et al. 1993</w:t>
              </w:r>
            </w:hyperlink>
            <w:r w:rsidRPr="006F6DB2">
              <w:rPr>
                <w:rFonts w:cs="Arial"/>
                <w:b w:val="0"/>
                <w:sz w:val="22"/>
                <w:szCs w:val="22"/>
              </w:rPr>
              <w:t>)</w:t>
            </w:r>
            <w:r w:rsidRPr="006F6DB2">
              <w:rPr>
                <w:rFonts w:cs="Arial"/>
                <w:b w:val="0"/>
                <w:sz w:val="22"/>
                <w:szCs w:val="22"/>
              </w:rPr>
              <w:fldChar w:fldCharType="end"/>
            </w:r>
            <w:r w:rsidRPr="006F6DB2">
              <w:rPr>
                <w:rFonts w:cs="Arial"/>
                <w:b w:val="0"/>
                <w:sz w:val="22"/>
                <w:szCs w:val="22"/>
              </w:rPr>
              <w:t>.</w:t>
            </w:r>
          </w:p>
        </w:tc>
      </w:tr>
      <w:tr w:rsidR="00032F61" w14:paraId="69C5E97D" w14:textId="77777777" w:rsidTr="00682F78">
        <w:tc>
          <w:tcPr>
            <w:tcW w:w="1271" w:type="dxa"/>
          </w:tcPr>
          <w:p w14:paraId="405EBD6C" w14:textId="39D28AE2" w:rsidR="00032F61" w:rsidRDefault="00DC0F98" w:rsidP="00032F61">
            <w:pPr>
              <w:pStyle w:val="Tableheadingright"/>
              <w:spacing w:before="0"/>
              <w:jc w:val="left"/>
              <w:rPr>
                <w:rFonts w:cs="Arial"/>
                <w:b w:val="0"/>
                <w:sz w:val="22"/>
                <w:szCs w:val="22"/>
              </w:rPr>
            </w:pPr>
            <w:r>
              <w:rPr>
                <w:rFonts w:cs="Arial"/>
                <w:b w:val="0"/>
                <w:color w:val="000000"/>
                <w:sz w:val="22"/>
                <w:szCs w:val="22"/>
              </w:rPr>
              <w:t>3</w:t>
            </w:r>
            <w:r w:rsidR="00032F61" w:rsidRPr="006F6DB2">
              <w:rPr>
                <w:rFonts w:cs="Arial"/>
                <w:b w:val="0"/>
                <w:color w:val="000000"/>
                <w:sz w:val="22"/>
                <w:szCs w:val="22"/>
              </w:rPr>
              <w:t>.0</w:t>
            </w:r>
          </w:p>
        </w:tc>
        <w:tc>
          <w:tcPr>
            <w:tcW w:w="8193" w:type="dxa"/>
            <w:gridSpan w:val="3"/>
          </w:tcPr>
          <w:p w14:paraId="16407938" w14:textId="77777777" w:rsidR="00032F61" w:rsidRPr="006F6DB2" w:rsidRDefault="00032F61" w:rsidP="00032F61">
            <w:pPr>
              <w:rPr>
                <w:rFonts w:ascii="Arial" w:hAnsi="Arial" w:cs="Arial"/>
                <w:color w:val="000000"/>
                <w:sz w:val="22"/>
                <w:szCs w:val="22"/>
              </w:rPr>
            </w:pPr>
            <w:r w:rsidRPr="006F6DB2">
              <w:rPr>
                <w:rFonts w:ascii="Arial" w:hAnsi="Arial" w:cs="Arial"/>
                <w:sz w:val="22"/>
                <w:szCs w:val="22"/>
              </w:rPr>
              <w:t>Invasive species</w:t>
            </w:r>
          </w:p>
          <w:p w14:paraId="3E3A9DD6" w14:textId="10A4DFA2" w:rsidR="00032F61" w:rsidRPr="006F6DB2" w:rsidRDefault="00032F61" w:rsidP="00032F61">
            <w:pPr>
              <w:pStyle w:val="Tableheadingright"/>
              <w:spacing w:before="0"/>
              <w:jc w:val="left"/>
              <w:rPr>
                <w:rFonts w:cs="Arial"/>
                <w:b w:val="0"/>
                <w:sz w:val="22"/>
                <w:szCs w:val="22"/>
              </w:rPr>
            </w:pPr>
          </w:p>
        </w:tc>
      </w:tr>
      <w:tr w:rsidR="00032F61" w14:paraId="241FD63A" w14:textId="77777777" w:rsidTr="00B473E2">
        <w:tc>
          <w:tcPr>
            <w:tcW w:w="1271" w:type="dxa"/>
          </w:tcPr>
          <w:p w14:paraId="58A301E5" w14:textId="7CA8CA01" w:rsidR="00032F61" w:rsidRPr="00E30E90" w:rsidRDefault="00DC0F98" w:rsidP="00DC0F98">
            <w:pPr>
              <w:pStyle w:val="Tableheadingright"/>
              <w:spacing w:before="0"/>
              <w:jc w:val="left"/>
              <w:rPr>
                <w:rFonts w:cs="Arial"/>
                <w:b w:val="0"/>
                <w:sz w:val="22"/>
                <w:szCs w:val="22"/>
              </w:rPr>
            </w:pPr>
            <w:r>
              <w:rPr>
                <w:rFonts w:cs="Arial"/>
                <w:b w:val="0"/>
                <w:sz w:val="22"/>
                <w:szCs w:val="22"/>
              </w:rPr>
              <w:t>3</w:t>
            </w:r>
            <w:r w:rsidR="00032F61" w:rsidRPr="006F6DB2">
              <w:rPr>
                <w:rFonts w:cs="Arial"/>
                <w:b w:val="0"/>
                <w:sz w:val="22"/>
                <w:szCs w:val="22"/>
              </w:rPr>
              <w:t xml:space="preserve">.1 </w:t>
            </w:r>
          </w:p>
        </w:tc>
        <w:tc>
          <w:tcPr>
            <w:tcW w:w="1701" w:type="dxa"/>
          </w:tcPr>
          <w:p w14:paraId="4C11825D" w14:textId="77777777" w:rsidR="00032F61" w:rsidRPr="006F6DB2" w:rsidRDefault="00032F61" w:rsidP="00032F61">
            <w:pPr>
              <w:pStyle w:val="Tableheadingright"/>
              <w:spacing w:before="0"/>
              <w:jc w:val="left"/>
              <w:rPr>
                <w:rFonts w:cs="Arial"/>
                <w:b w:val="0"/>
                <w:sz w:val="22"/>
                <w:szCs w:val="22"/>
              </w:rPr>
            </w:pPr>
            <w:r w:rsidRPr="006F6DB2">
              <w:rPr>
                <w:rFonts w:cs="Arial"/>
                <w:b w:val="0"/>
                <w:sz w:val="22"/>
                <w:szCs w:val="22"/>
              </w:rPr>
              <w:t xml:space="preserve">Yellow Crazy Ants </w:t>
            </w:r>
            <w:r w:rsidRPr="006F6DB2">
              <w:rPr>
                <w:rFonts w:cs="Arial"/>
                <w:b w:val="0"/>
                <w:i/>
                <w:sz w:val="22"/>
                <w:szCs w:val="22"/>
              </w:rPr>
              <w:t>(Anoplolepis gracilipes)</w:t>
            </w:r>
          </w:p>
          <w:p w14:paraId="008CA242" w14:textId="44DC2202" w:rsidR="00032F61" w:rsidRDefault="00032F61" w:rsidP="00032F61">
            <w:pPr>
              <w:pStyle w:val="Tableheadingright"/>
              <w:spacing w:before="0"/>
              <w:jc w:val="left"/>
              <w:rPr>
                <w:rFonts w:cs="Arial"/>
                <w:b w:val="0"/>
                <w:sz w:val="22"/>
                <w:szCs w:val="22"/>
              </w:rPr>
            </w:pPr>
          </w:p>
        </w:tc>
        <w:tc>
          <w:tcPr>
            <w:tcW w:w="1843" w:type="dxa"/>
          </w:tcPr>
          <w:p w14:paraId="2E397F51" w14:textId="1346791A" w:rsidR="00032F61" w:rsidRDefault="00032F61" w:rsidP="00032F61">
            <w:pPr>
              <w:pStyle w:val="Tableheadingright"/>
              <w:spacing w:before="0"/>
              <w:jc w:val="left"/>
              <w:rPr>
                <w:rFonts w:cs="Arial"/>
                <w:b w:val="0"/>
                <w:sz w:val="22"/>
                <w:szCs w:val="22"/>
              </w:rPr>
            </w:pPr>
            <w:r w:rsidRPr="006F6DB2">
              <w:rPr>
                <w:rFonts w:cs="Arial"/>
                <w:b w:val="0"/>
                <w:sz w:val="22"/>
                <w:szCs w:val="22"/>
              </w:rPr>
              <w:t>Known potential</w:t>
            </w:r>
          </w:p>
        </w:tc>
        <w:tc>
          <w:tcPr>
            <w:tcW w:w="4649" w:type="dxa"/>
          </w:tcPr>
          <w:p w14:paraId="6ED608E3" w14:textId="3B79BA12" w:rsidR="00032F61" w:rsidRDefault="00032F61" w:rsidP="00032F61">
            <w:pPr>
              <w:pStyle w:val="Tableheadingright"/>
              <w:spacing w:before="0"/>
              <w:jc w:val="left"/>
              <w:rPr>
                <w:rFonts w:cs="Arial"/>
                <w:b w:val="0"/>
                <w:sz w:val="22"/>
                <w:szCs w:val="22"/>
              </w:rPr>
            </w:pPr>
            <w:r w:rsidRPr="005334EA">
              <w:rPr>
                <w:rFonts w:cs="Arial"/>
                <w:b w:val="0"/>
                <w:sz w:val="22"/>
                <w:szCs w:val="22"/>
              </w:rPr>
              <w:t>Yellow crazy ants spray formic acid to subdue prey, which causes burns and irritates the skin and eyes of animals. They can have severe impacts on a range of ecological processes and lead to significant loss of biodiversity. Yellow crazy ants were detected within the World Heritage Area and Little Mulgrave National Park in 2012 and now cover up to 61 ha (WTMA 2016) within these protected areas. In December 2013 yellow crazy ants were also detected in the Kuranda area (WTMA 2016).</w:t>
            </w:r>
          </w:p>
        </w:tc>
      </w:tr>
      <w:tr w:rsidR="00032F61" w14:paraId="579EC885" w14:textId="77777777" w:rsidTr="00682F78">
        <w:tc>
          <w:tcPr>
            <w:tcW w:w="1271" w:type="dxa"/>
          </w:tcPr>
          <w:p w14:paraId="746A4490" w14:textId="17231A0C" w:rsidR="00032F61" w:rsidRPr="00E30E90" w:rsidRDefault="00DC0F98" w:rsidP="00032F61">
            <w:pPr>
              <w:pStyle w:val="Tableheadingright"/>
              <w:spacing w:before="0"/>
              <w:jc w:val="left"/>
              <w:rPr>
                <w:rFonts w:cs="Arial"/>
                <w:b w:val="0"/>
                <w:sz w:val="22"/>
                <w:szCs w:val="22"/>
              </w:rPr>
            </w:pPr>
            <w:r>
              <w:rPr>
                <w:rFonts w:cs="Arial"/>
                <w:b w:val="0"/>
                <w:sz w:val="22"/>
                <w:szCs w:val="22"/>
              </w:rPr>
              <w:t>4</w:t>
            </w:r>
            <w:r w:rsidR="00032F61" w:rsidRPr="006F6DB2">
              <w:rPr>
                <w:rFonts w:cs="Arial"/>
                <w:b w:val="0"/>
                <w:sz w:val="22"/>
                <w:szCs w:val="22"/>
              </w:rPr>
              <w:t>.0</w:t>
            </w:r>
          </w:p>
        </w:tc>
        <w:tc>
          <w:tcPr>
            <w:tcW w:w="8193" w:type="dxa"/>
            <w:gridSpan w:val="3"/>
          </w:tcPr>
          <w:p w14:paraId="69F78463" w14:textId="631D261B" w:rsidR="00032F61" w:rsidRDefault="00032F61" w:rsidP="00032F61">
            <w:pPr>
              <w:pStyle w:val="Tableheadingright"/>
              <w:spacing w:before="0"/>
              <w:jc w:val="left"/>
              <w:rPr>
                <w:rFonts w:cs="Arial"/>
                <w:b w:val="0"/>
                <w:sz w:val="22"/>
                <w:szCs w:val="22"/>
              </w:rPr>
            </w:pPr>
            <w:r w:rsidRPr="006F6DB2">
              <w:rPr>
                <w:rFonts w:cs="Arial"/>
                <w:b w:val="0"/>
                <w:sz w:val="22"/>
                <w:szCs w:val="22"/>
              </w:rPr>
              <w:t>Disease</w:t>
            </w:r>
          </w:p>
        </w:tc>
      </w:tr>
      <w:tr w:rsidR="00032F61" w14:paraId="16630113" w14:textId="77777777" w:rsidTr="00B473E2">
        <w:tc>
          <w:tcPr>
            <w:tcW w:w="1271" w:type="dxa"/>
          </w:tcPr>
          <w:p w14:paraId="0FCAEE0B" w14:textId="48190695" w:rsidR="00032F61" w:rsidRPr="00E30E90" w:rsidRDefault="00DC0F98" w:rsidP="00DC0F98">
            <w:pPr>
              <w:pStyle w:val="Tableheadingright"/>
              <w:spacing w:before="0"/>
              <w:jc w:val="left"/>
              <w:rPr>
                <w:rFonts w:cs="Arial"/>
                <w:b w:val="0"/>
                <w:sz w:val="22"/>
                <w:szCs w:val="22"/>
              </w:rPr>
            </w:pPr>
            <w:r>
              <w:rPr>
                <w:rFonts w:cs="Arial"/>
                <w:b w:val="0"/>
                <w:sz w:val="22"/>
                <w:szCs w:val="22"/>
              </w:rPr>
              <w:t>4</w:t>
            </w:r>
            <w:r w:rsidR="00032F61" w:rsidRPr="006F6DB2">
              <w:rPr>
                <w:rFonts w:cs="Arial"/>
                <w:b w:val="0"/>
                <w:sz w:val="22"/>
                <w:szCs w:val="22"/>
              </w:rPr>
              <w:t>.1</w:t>
            </w:r>
          </w:p>
        </w:tc>
        <w:tc>
          <w:tcPr>
            <w:tcW w:w="1701" w:type="dxa"/>
          </w:tcPr>
          <w:p w14:paraId="771AE1FA" w14:textId="31135127" w:rsidR="00032F61" w:rsidRPr="0032033D" w:rsidRDefault="00032F61" w:rsidP="00032F61">
            <w:pPr>
              <w:pStyle w:val="Tableheadingright"/>
              <w:spacing w:before="0"/>
              <w:jc w:val="left"/>
              <w:rPr>
                <w:rFonts w:cs="Arial"/>
                <w:b w:val="0"/>
                <w:sz w:val="22"/>
                <w:szCs w:val="22"/>
              </w:rPr>
            </w:pPr>
            <w:r w:rsidRPr="006F6DB2">
              <w:rPr>
                <w:rFonts w:cs="Arial"/>
                <w:b w:val="0"/>
                <w:color w:val="000000"/>
                <w:sz w:val="22"/>
                <w:szCs w:val="22"/>
              </w:rPr>
              <w:t>Amphibian chytrid fungus</w:t>
            </w:r>
          </w:p>
        </w:tc>
        <w:tc>
          <w:tcPr>
            <w:tcW w:w="1843" w:type="dxa"/>
          </w:tcPr>
          <w:p w14:paraId="5D5C322F" w14:textId="6F279952" w:rsidR="00032F61" w:rsidRPr="0032033D" w:rsidRDefault="00032F61" w:rsidP="00032F61">
            <w:pPr>
              <w:pStyle w:val="Tableheadingright"/>
              <w:spacing w:before="0"/>
              <w:jc w:val="left"/>
              <w:rPr>
                <w:rFonts w:cs="Arial"/>
                <w:b w:val="0"/>
                <w:sz w:val="22"/>
                <w:szCs w:val="22"/>
              </w:rPr>
            </w:pPr>
            <w:r w:rsidRPr="006F6DB2">
              <w:rPr>
                <w:rFonts w:cs="Arial"/>
                <w:b w:val="0"/>
                <w:color w:val="000000"/>
                <w:sz w:val="22"/>
                <w:szCs w:val="22"/>
              </w:rPr>
              <w:t>Known current</w:t>
            </w:r>
          </w:p>
        </w:tc>
        <w:tc>
          <w:tcPr>
            <w:tcW w:w="4649" w:type="dxa"/>
          </w:tcPr>
          <w:p w14:paraId="34FE2F22" w14:textId="2CE0824F" w:rsidR="00032F61" w:rsidRPr="0032033D" w:rsidRDefault="00032F61" w:rsidP="00032F61">
            <w:pPr>
              <w:pStyle w:val="Tableheadingright"/>
              <w:spacing w:before="0"/>
              <w:jc w:val="left"/>
              <w:rPr>
                <w:rFonts w:cs="Arial"/>
                <w:b w:val="0"/>
                <w:sz w:val="22"/>
                <w:szCs w:val="22"/>
              </w:rPr>
            </w:pPr>
            <w:r w:rsidRPr="00453004">
              <w:rPr>
                <w:rFonts w:cs="Arial"/>
                <w:b w:val="0"/>
                <w:sz w:val="22"/>
                <w:szCs w:val="22"/>
              </w:rPr>
              <w:t>Chytridiomycosis is an infectious disease caused by the amphibian chytrid fungus (</w:t>
            </w:r>
            <w:r w:rsidRPr="00E54A36">
              <w:rPr>
                <w:rFonts w:cs="Arial"/>
                <w:b w:val="0"/>
                <w:i/>
                <w:sz w:val="22"/>
                <w:szCs w:val="22"/>
              </w:rPr>
              <w:t>Batrachochytrium dendrobatidis</w:t>
            </w:r>
            <w:r w:rsidRPr="00453004">
              <w:rPr>
                <w:rFonts w:cs="Arial"/>
                <w:b w:val="0"/>
                <w:sz w:val="22"/>
                <w:szCs w:val="22"/>
              </w:rPr>
              <w:t>) that affects amphibians worldwide, causing mass die-offs and some species extinctions (</w:t>
            </w:r>
            <w:r>
              <w:rPr>
                <w:rFonts w:cs="Arial"/>
                <w:b w:val="0"/>
                <w:sz w:val="22"/>
                <w:szCs w:val="22"/>
              </w:rPr>
              <w:t>DoEE</w:t>
            </w:r>
            <w:r w:rsidRPr="00453004">
              <w:rPr>
                <w:rFonts w:cs="Arial"/>
                <w:b w:val="0"/>
                <w:sz w:val="22"/>
                <w:szCs w:val="22"/>
              </w:rPr>
              <w:t xml:space="preserve"> 2016). However, the prevalence of chytrid is extremely low in direct-developing Australian microhylids </w:t>
            </w:r>
            <w:r w:rsidRPr="00453004">
              <w:rPr>
                <w:rFonts w:cs="Arial"/>
                <w:b w:val="0"/>
                <w:sz w:val="22"/>
                <w:szCs w:val="22"/>
              </w:rPr>
              <w:fldChar w:fldCharType="begin"/>
            </w:r>
            <w:r w:rsidRPr="00453004">
              <w:rPr>
                <w:rFonts w:cs="Arial"/>
                <w:b w:val="0"/>
                <w:sz w:val="22"/>
                <w:szCs w:val="22"/>
              </w:rPr>
              <w:instrText xml:space="preserve"> ADDIN EN.CITE &lt;EndNote&gt;&lt;Cite&gt;&lt;Author&gt;Hauselberger&lt;/Author&gt;&lt;Year&gt;2012&lt;/Year&gt;&lt;RecNum&gt;184&lt;/RecNum&gt;&lt;DisplayText&gt;(Hauselberger and Alford, 2012)&lt;/DisplayText&gt;&lt;record&gt;&lt;rec-number&gt;184&lt;/rec-number&gt;&lt;foreign-keys&gt;&lt;key app="EN" db-id="ta0rdr92ndv9x0e9sdapdzadfw29sw9r9xva"&gt;184&lt;/key&gt;&lt;/foreign-keys&gt;&lt;ref-type name="Journal Article"&gt;17&lt;/ref-type&gt;&lt;contributors&gt;&lt;authors&gt;&lt;author&gt;Hauselberger, K. F.&lt;/author&gt;&lt;author&gt;Alford, R. A.&lt;/author&gt;&lt;/authors&gt;&lt;/contributors&gt;&lt;titles&gt;&lt;title&gt;&lt;style face="normal" font="default" size="100%"&gt;Prevalence of &lt;/style&gt;&lt;style face="italic" font="default" size="100%"&gt;Batrachochytrium dendrobatidis &lt;/style&gt;&lt;style face="normal" font="default" size="100%"&gt;infection is extremely low in direct-developing Australian microhylids&lt;/style&gt;&lt;/title&gt;&lt;secondary-title&gt;Diseases of Aquatic Organisms&lt;/secondary-title&gt;&lt;/titles&gt;&lt;periodical&gt;&lt;full-title&gt;Diseases of Aquatic Organisms&lt;/full-title&gt;&lt;/periodical&gt;&lt;pages&gt;191-200&lt;/pages&gt;&lt;volume&gt;100&lt;/volume&gt;&lt;dates&gt;&lt;year&gt;2012&lt;/year&gt;&lt;/dates&gt;&lt;urls&gt;&lt;/urls&gt;&lt;/record&gt;&lt;/Cite&gt;&lt;/EndNote&gt;</w:instrText>
            </w:r>
            <w:r w:rsidRPr="00453004">
              <w:rPr>
                <w:rFonts w:cs="Arial"/>
                <w:b w:val="0"/>
                <w:sz w:val="22"/>
                <w:szCs w:val="22"/>
              </w:rPr>
              <w:fldChar w:fldCharType="separate"/>
            </w:r>
            <w:r w:rsidRPr="00453004">
              <w:rPr>
                <w:rFonts w:cs="Arial"/>
                <w:b w:val="0"/>
                <w:sz w:val="22"/>
                <w:szCs w:val="22"/>
              </w:rPr>
              <w:t>(</w:t>
            </w:r>
            <w:hyperlink w:anchor="_ENREF_1" w:tooltip="Hauselberger, 2012 #184" w:history="1">
              <w:r>
                <w:rPr>
                  <w:rFonts w:cs="Arial"/>
                  <w:b w:val="0"/>
                  <w:sz w:val="22"/>
                  <w:szCs w:val="22"/>
                </w:rPr>
                <w:t>Hauselberger &amp; Alford</w:t>
              </w:r>
              <w:r w:rsidRPr="00453004">
                <w:rPr>
                  <w:rFonts w:cs="Arial"/>
                  <w:b w:val="0"/>
                  <w:sz w:val="22"/>
                  <w:szCs w:val="22"/>
                </w:rPr>
                <w:t xml:space="preserve"> 2012</w:t>
              </w:r>
            </w:hyperlink>
            <w:r w:rsidRPr="00453004">
              <w:rPr>
                <w:rFonts w:cs="Arial"/>
                <w:b w:val="0"/>
                <w:sz w:val="22"/>
                <w:szCs w:val="22"/>
              </w:rPr>
              <w:t>)</w:t>
            </w:r>
            <w:r w:rsidRPr="00453004">
              <w:rPr>
                <w:rFonts w:cs="Arial"/>
                <w:b w:val="0"/>
                <w:sz w:val="22"/>
                <w:szCs w:val="22"/>
              </w:rPr>
              <w:fldChar w:fldCharType="end"/>
            </w:r>
            <w:r w:rsidRPr="00453004">
              <w:rPr>
                <w:rFonts w:cs="Arial"/>
                <w:b w:val="0"/>
                <w:sz w:val="22"/>
                <w:szCs w:val="22"/>
              </w:rPr>
              <w:t>.</w:t>
            </w:r>
          </w:p>
        </w:tc>
      </w:tr>
    </w:tbl>
    <w:p w14:paraId="234EC054" w14:textId="77777777" w:rsidR="000A3290" w:rsidRDefault="000A3290" w:rsidP="00AB638E">
      <w:pPr>
        <w:spacing w:after="240"/>
        <w:rPr>
          <w:rFonts w:ascii="Arial" w:hAnsi="Arial" w:cs="Arial"/>
          <w:color w:val="0000FF"/>
          <w:sz w:val="22"/>
          <w:szCs w:val="22"/>
        </w:rPr>
      </w:pPr>
    </w:p>
    <w:p w14:paraId="1F352890"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47FEB04A" w14:textId="77777777" w:rsidTr="00213CC4">
        <w:trPr>
          <w:trHeight w:val="606"/>
        </w:trPr>
        <w:tc>
          <w:tcPr>
            <w:tcW w:w="10117" w:type="dxa"/>
            <w:gridSpan w:val="5"/>
            <w:shd w:val="clear" w:color="auto" w:fill="595959" w:themeFill="text1" w:themeFillTint="A6"/>
            <w:vAlign w:val="center"/>
          </w:tcPr>
          <w:p w14:paraId="5561F22E"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2994AEB2"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48FED882"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10BDE79E"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606B5EF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1227A11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55AF9D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E309AA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9AAE7A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C86588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0FE0FE6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3C4C62B"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5EF362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3A200E6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AD6720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2E36437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458CDED5"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484D5F4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B4E09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5BD24F3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2276684E"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2C69BBE" w14:textId="4DF410FF" w:rsidR="003F4D21" w:rsidRPr="00715477" w:rsidRDefault="00CB3815"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EB0E901" wp14:editId="2EE623B1">
                      <wp:simplePos x="0" y="0"/>
                      <wp:positionH relativeFrom="column">
                        <wp:posOffset>2987040</wp:posOffset>
                      </wp:positionH>
                      <wp:positionV relativeFrom="paragraph">
                        <wp:posOffset>27305</wp:posOffset>
                      </wp:positionV>
                      <wp:extent cx="533400" cy="2133600"/>
                      <wp:effectExtent l="9525" t="13970" r="9525" b="50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1E65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4851C9B9"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04B4A83C"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21A6BA19"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143E22AF" w14:textId="77777777" w:rsidR="003F4D21" w:rsidRPr="00715477" w:rsidRDefault="003F4D21" w:rsidP="003F4D21">
            <w:pPr>
              <w:rPr>
                <w:rFonts w:ascii="Arial" w:hAnsi="Arial" w:cs="Arial"/>
                <w:sz w:val="18"/>
                <w:szCs w:val="18"/>
              </w:rPr>
            </w:pPr>
          </w:p>
          <w:p w14:paraId="2EC53FA2"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6026FC32" w14:textId="12FC4D74" w:rsidR="003F4D21" w:rsidRPr="00715477" w:rsidRDefault="00CB3815"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63E7CF9C" wp14:editId="520E8B21">
                      <wp:simplePos x="0" y="0"/>
                      <wp:positionH relativeFrom="column">
                        <wp:posOffset>353060</wp:posOffset>
                      </wp:positionH>
                      <wp:positionV relativeFrom="paragraph">
                        <wp:posOffset>316865</wp:posOffset>
                      </wp:positionV>
                      <wp:extent cx="571500" cy="609600"/>
                      <wp:effectExtent l="0" t="444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89B8C6" w14:textId="77777777" w:rsidR="00DC0F98" w:rsidRPr="00CE7C59" w:rsidRDefault="00DC0F98"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E7CF9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0989B8C6" w14:textId="77777777" w:rsidR="00DC0F98" w:rsidRPr="00CE7C59" w:rsidRDefault="00DC0F98"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52A5FBE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44BDC2C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3EE641C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338C393A" w14:textId="77777777" w:rsidR="003F4D21" w:rsidRDefault="003F4D21" w:rsidP="003F4D21">
      <w:pPr>
        <w:rPr>
          <w:rFonts w:ascii="Arial" w:hAnsi="Arial" w:cs="Arial"/>
          <w:b/>
          <w:sz w:val="22"/>
          <w:szCs w:val="22"/>
        </w:rPr>
      </w:pPr>
    </w:p>
    <w:p w14:paraId="257C2516"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26A78D9E" w14:textId="77777777" w:rsidR="00817CFB" w:rsidRDefault="00817CFB" w:rsidP="00BB548A">
      <w:pPr>
        <w:rPr>
          <w:rFonts w:ascii="Calibri" w:hAnsi="Calibri"/>
          <w:color w:val="000000"/>
          <w:sz w:val="22"/>
        </w:rPr>
      </w:pPr>
    </w:p>
    <w:p w14:paraId="1FDB5A90" w14:textId="7F831D77" w:rsidR="00A707D3" w:rsidRDefault="002F0D39" w:rsidP="001E1889">
      <w:pPr>
        <w:rPr>
          <w:rFonts w:ascii="Arial" w:hAnsi="Arial" w:cs="Arial"/>
          <w:color w:val="000000"/>
          <w:sz w:val="22"/>
        </w:rPr>
      </w:pPr>
      <w:r w:rsidRPr="00D51250">
        <w:rPr>
          <w:rFonts w:ascii="Arial" w:hAnsi="Arial" w:cs="Arial"/>
          <w:sz w:val="22"/>
          <w:szCs w:val="22"/>
        </w:rPr>
        <w:t xml:space="preserve">The generation length </w:t>
      </w:r>
      <w:r>
        <w:rPr>
          <w:rFonts w:ascii="Arial" w:hAnsi="Arial" w:cs="Arial"/>
          <w:sz w:val="22"/>
          <w:szCs w:val="22"/>
        </w:rPr>
        <w:t xml:space="preserve">has </w:t>
      </w:r>
      <w:r w:rsidRPr="00D51250">
        <w:rPr>
          <w:rFonts w:ascii="Arial" w:hAnsi="Arial" w:cs="Arial"/>
          <w:sz w:val="22"/>
          <w:szCs w:val="22"/>
        </w:rPr>
        <w:t>not been determined for any species of Australian microhylids (Williams 2007).</w:t>
      </w:r>
      <w:r w:rsidR="00E54A36">
        <w:rPr>
          <w:rFonts w:ascii="Arial" w:hAnsi="Arial" w:cs="Arial"/>
          <w:color w:val="000000"/>
          <w:sz w:val="22"/>
        </w:rPr>
        <w:t xml:space="preserve"> </w:t>
      </w:r>
      <w:r w:rsidR="00E54A36" w:rsidRPr="00D9126D">
        <w:rPr>
          <w:rFonts w:ascii="Arial" w:hAnsi="Arial" w:cs="Arial"/>
          <w:color w:val="000000"/>
          <w:sz w:val="22"/>
        </w:rPr>
        <w:t>There are</w:t>
      </w:r>
      <w:r w:rsidR="00E54A36">
        <w:rPr>
          <w:rFonts w:ascii="Arial" w:hAnsi="Arial" w:cs="Arial"/>
          <w:color w:val="000000"/>
          <w:sz w:val="22"/>
        </w:rPr>
        <w:t xml:space="preserve"> no data available to evaluate the population trend over any three generation period.</w:t>
      </w:r>
    </w:p>
    <w:p w14:paraId="4AB2F0F2" w14:textId="77777777" w:rsidR="00E54A36" w:rsidRPr="00D9126D" w:rsidRDefault="00E54A36" w:rsidP="001E1889">
      <w:pPr>
        <w:rPr>
          <w:rFonts w:ascii="Arial" w:hAnsi="Arial" w:cs="Arial"/>
          <w:sz w:val="22"/>
          <w:szCs w:val="22"/>
          <w:u w:val="single"/>
        </w:rPr>
      </w:pPr>
    </w:p>
    <w:p w14:paraId="3D2E0CD2" w14:textId="77777777"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be insufficient to demonstrate if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2AAEAB35"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126E800D" w14:textId="77777777" w:rsidTr="00064A65">
        <w:trPr>
          <w:trHeight w:val="350"/>
        </w:trPr>
        <w:tc>
          <w:tcPr>
            <w:tcW w:w="9633" w:type="dxa"/>
            <w:gridSpan w:val="4"/>
            <w:tcBorders>
              <w:bottom w:val="nil"/>
            </w:tcBorders>
            <w:shd w:val="clear" w:color="auto" w:fill="595959" w:themeFill="text1" w:themeFillTint="A6"/>
            <w:vAlign w:val="center"/>
          </w:tcPr>
          <w:p w14:paraId="09EADEB5"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2F577A35" w14:textId="77777777" w:rsidTr="00064A65">
        <w:tc>
          <w:tcPr>
            <w:tcW w:w="3557" w:type="dxa"/>
            <w:tcBorders>
              <w:top w:val="nil"/>
              <w:bottom w:val="nil"/>
              <w:right w:val="nil"/>
            </w:tcBorders>
          </w:tcPr>
          <w:p w14:paraId="34333256"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2B1EEF4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CCD343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4758937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C1D4D1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B241D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37BCC4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4FE9ADF"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49F81D9E"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4E95127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47F301F4"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509EBE7D"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05E1B101"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6688589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17BAA0C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DB592B4"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69CA02FE"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2419F5D7" w14:textId="77777777" w:rsidTr="00064A65">
        <w:tc>
          <w:tcPr>
            <w:tcW w:w="9633" w:type="dxa"/>
            <w:gridSpan w:val="4"/>
            <w:tcBorders>
              <w:top w:val="nil"/>
              <w:bottom w:val="nil"/>
            </w:tcBorders>
          </w:tcPr>
          <w:p w14:paraId="3E5027F7"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1925854D"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12F8FB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4C3A8D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113123C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2535B9C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3D01B10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4F77ABAB"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1DD80AED" w14:textId="77777777" w:rsidTr="00064A65">
        <w:tc>
          <w:tcPr>
            <w:tcW w:w="9633" w:type="dxa"/>
            <w:gridSpan w:val="4"/>
            <w:tcBorders>
              <w:top w:val="single" w:sz="4" w:space="0" w:color="FFFFFF" w:themeColor="background1"/>
            </w:tcBorders>
            <w:shd w:val="clear" w:color="auto" w:fill="BFBFBF" w:themeFill="background1" w:themeFillShade="BF"/>
          </w:tcPr>
          <w:p w14:paraId="04F09D8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0427F97F" w14:textId="77777777" w:rsidR="003F4D21" w:rsidRDefault="003F4D21" w:rsidP="003F4D21">
      <w:pPr>
        <w:rPr>
          <w:rFonts w:ascii="Arial" w:hAnsi="Arial"/>
          <w:sz w:val="22"/>
        </w:rPr>
      </w:pPr>
    </w:p>
    <w:p w14:paraId="0C9B36FC" w14:textId="77777777" w:rsidR="003F4D21" w:rsidRDefault="003F4D21" w:rsidP="003F4D21">
      <w:pPr>
        <w:rPr>
          <w:rFonts w:ascii="Arial" w:hAnsi="Arial"/>
          <w:b/>
          <w:sz w:val="22"/>
        </w:rPr>
      </w:pPr>
      <w:r w:rsidRPr="001C5B9D">
        <w:rPr>
          <w:rFonts w:ascii="Arial" w:hAnsi="Arial"/>
          <w:b/>
          <w:sz w:val="22"/>
        </w:rPr>
        <w:t>Evidence:</w:t>
      </w:r>
      <w:r w:rsidR="00BB548A">
        <w:rPr>
          <w:rFonts w:ascii="Arial" w:hAnsi="Arial"/>
          <w:b/>
          <w:sz w:val="22"/>
        </w:rPr>
        <w:t xml:space="preserve"> </w:t>
      </w:r>
    </w:p>
    <w:p w14:paraId="39991DB7" w14:textId="77777777" w:rsidR="00614DD4" w:rsidRDefault="00614DD4" w:rsidP="003F4D21">
      <w:pPr>
        <w:rPr>
          <w:rFonts w:ascii="Arial" w:hAnsi="Arial"/>
          <w:b/>
          <w:sz w:val="22"/>
        </w:rPr>
      </w:pPr>
    </w:p>
    <w:p w14:paraId="19CAEBCB" w14:textId="3DE09498" w:rsidR="00E54A36" w:rsidRPr="003C23E1" w:rsidRDefault="00E54A36" w:rsidP="00E54A36">
      <w:pPr>
        <w:rPr>
          <w:rFonts w:ascii="Arial" w:hAnsi="Arial" w:cs="Arial"/>
          <w:sz w:val="22"/>
          <w:szCs w:val="22"/>
        </w:rPr>
      </w:pPr>
      <w:r w:rsidRPr="003C23E1">
        <w:rPr>
          <w:rFonts w:ascii="Arial" w:hAnsi="Arial"/>
          <w:sz w:val="22"/>
        </w:rPr>
        <w:t>T</w:t>
      </w:r>
      <w:r w:rsidRPr="003C23E1">
        <w:rPr>
          <w:rFonts w:ascii="Arial" w:hAnsi="Arial" w:cs="Arial"/>
          <w:sz w:val="22"/>
          <w:szCs w:val="22"/>
        </w:rPr>
        <w:t xml:space="preserve">he calculated extent of occurrence </w:t>
      </w:r>
      <w:r w:rsidR="00B473E2">
        <w:rPr>
          <w:rFonts w:ascii="Arial" w:hAnsi="Arial" w:cs="Arial"/>
          <w:sz w:val="22"/>
          <w:szCs w:val="22"/>
        </w:rPr>
        <w:t xml:space="preserve">(EOO) </w:t>
      </w:r>
      <w:r w:rsidRPr="003C23E1">
        <w:rPr>
          <w:rFonts w:ascii="Arial" w:hAnsi="Arial" w:cs="Arial"/>
          <w:sz w:val="22"/>
          <w:szCs w:val="22"/>
        </w:rPr>
        <w:t xml:space="preserve">is </w:t>
      </w:r>
      <w:r>
        <w:rPr>
          <w:rFonts w:ascii="Arial" w:hAnsi="Arial" w:cs="Arial"/>
          <w:sz w:val="22"/>
          <w:szCs w:val="22"/>
        </w:rPr>
        <w:t>86</w:t>
      </w:r>
      <w:r w:rsidRPr="003C23E1">
        <w:rPr>
          <w:rFonts w:ascii="Arial" w:hAnsi="Arial"/>
          <w:sz w:val="22"/>
        </w:rPr>
        <w:t xml:space="preserve"> km</w:t>
      </w:r>
      <w:r w:rsidRPr="003C23E1">
        <w:rPr>
          <w:rFonts w:ascii="Arial" w:hAnsi="Arial"/>
          <w:sz w:val="20"/>
          <w:vertAlign w:val="superscript"/>
        </w:rPr>
        <w:t>2</w:t>
      </w:r>
      <w:r w:rsidRPr="003C23E1">
        <w:rPr>
          <w:rFonts w:ascii="Arial" w:hAnsi="Arial" w:cs="Arial"/>
          <w:sz w:val="22"/>
          <w:szCs w:val="22"/>
        </w:rPr>
        <w:t xml:space="preserve">, and the area of occupancy </w:t>
      </w:r>
      <w:r w:rsidR="00B473E2">
        <w:rPr>
          <w:rFonts w:ascii="Arial" w:hAnsi="Arial" w:cs="Arial"/>
          <w:sz w:val="22"/>
          <w:szCs w:val="22"/>
        </w:rPr>
        <w:t xml:space="preserve">(AOO) </w:t>
      </w:r>
      <w:r w:rsidRPr="003C23E1">
        <w:rPr>
          <w:rFonts w:ascii="Arial" w:hAnsi="Arial" w:cs="Arial"/>
          <w:sz w:val="22"/>
          <w:szCs w:val="22"/>
        </w:rPr>
        <w:t>is 20</w:t>
      </w:r>
      <w:r w:rsidR="00B473E2">
        <w:rPr>
          <w:rFonts w:ascii="Arial" w:hAnsi="Arial" w:cs="Arial"/>
          <w:sz w:val="22"/>
          <w:szCs w:val="22"/>
        </w:rPr>
        <w:t> </w:t>
      </w:r>
      <w:r w:rsidRPr="003C23E1">
        <w:rPr>
          <w:rFonts w:ascii="Arial" w:hAnsi="Arial"/>
          <w:sz w:val="22"/>
        </w:rPr>
        <w:t>km</w:t>
      </w:r>
      <w:r w:rsidRPr="003C23E1">
        <w:rPr>
          <w:rFonts w:ascii="Arial" w:hAnsi="Arial"/>
          <w:sz w:val="20"/>
          <w:vertAlign w:val="superscript"/>
        </w:rPr>
        <w:t>2</w:t>
      </w:r>
      <w:r w:rsidRPr="003C23E1">
        <w:rPr>
          <w:rFonts w:ascii="Arial" w:hAnsi="Arial" w:cs="Arial"/>
          <w:sz w:val="22"/>
          <w:szCs w:val="22"/>
        </w:rPr>
        <w:t xml:space="preserve"> (</w:t>
      </w:r>
      <w:r w:rsidR="00144BFD">
        <w:rPr>
          <w:rFonts w:ascii="Arial" w:hAnsi="Arial" w:cs="Arial"/>
          <w:sz w:val="22"/>
          <w:szCs w:val="22"/>
        </w:rPr>
        <w:t xml:space="preserve">unpublished data </w:t>
      </w:r>
      <w:r w:rsidRPr="003C23E1">
        <w:rPr>
          <w:rFonts w:ascii="Arial" w:hAnsi="Arial" w:cs="Arial"/>
          <w:sz w:val="22"/>
          <w:szCs w:val="22"/>
        </w:rPr>
        <w:t>DoEE 2017). These figures are based on the mapping of point records from post-1997 (20 year timeframe), compiled from state and Commonwealth agencies along with museums, research institutions and non-government organisations. The EOO was calculated using a minimum convex hull, and the AOO calculated using a 2x2 km grid cell method, based on the IUCN Red List Guidelines 2014.</w:t>
      </w:r>
    </w:p>
    <w:p w14:paraId="5BB6502B" w14:textId="77777777" w:rsidR="00E54A36" w:rsidRDefault="00E54A36" w:rsidP="00F3676D">
      <w:pPr>
        <w:rPr>
          <w:rFonts w:ascii="Arial" w:hAnsi="Arial"/>
          <w:sz w:val="22"/>
        </w:rPr>
      </w:pPr>
    </w:p>
    <w:p w14:paraId="4215C9DA" w14:textId="321ECEBA" w:rsidR="00F3676D" w:rsidRDefault="00F3676D" w:rsidP="00F3676D">
      <w:pPr>
        <w:rPr>
          <w:rFonts w:ascii="Arial" w:hAnsi="Arial"/>
          <w:sz w:val="22"/>
        </w:rPr>
      </w:pPr>
      <w:r w:rsidRPr="003B6492">
        <w:rPr>
          <w:rFonts w:ascii="Arial" w:hAnsi="Arial"/>
          <w:sz w:val="22"/>
        </w:rPr>
        <w:t xml:space="preserve">There </w:t>
      </w:r>
      <w:r w:rsidR="003B6492" w:rsidRPr="003B6492">
        <w:rPr>
          <w:rFonts w:ascii="Arial" w:hAnsi="Arial"/>
          <w:sz w:val="22"/>
        </w:rPr>
        <w:t xml:space="preserve">are </w:t>
      </w:r>
      <w:r w:rsidR="003B6492">
        <w:rPr>
          <w:rFonts w:ascii="Arial" w:hAnsi="Arial"/>
          <w:sz w:val="22"/>
        </w:rPr>
        <w:t>two populations of the species, one on Mt Bartle Frere and the other on Mt Bellenden Ker.</w:t>
      </w:r>
      <w:r w:rsidR="003B6492" w:rsidRPr="003B6492">
        <w:rPr>
          <w:rFonts w:ascii="Arial" w:hAnsi="Arial"/>
          <w:sz w:val="22"/>
        </w:rPr>
        <w:t xml:space="preserve"> </w:t>
      </w:r>
      <w:r w:rsidR="00C01DD3">
        <w:rPr>
          <w:rFonts w:ascii="Arial" w:hAnsi="Arial"/>
          <w:sz w:val="22"/>
        </w:rPr>
        <w:t xml:space="preserve">A continuing decline can be inferred based on climate change </w:t>
      </w:r>
      <w:r w:rsidR="00F27E37">
        <w:rPr>
          <w:rFonts w:ascii="Arial" w:hAnsi="Arial"/>
          <w:sz w:val="22"/>
        </w:rPr>
        <w:fldChar w:fldCharType="begin"/>
      </w:r>
      <w:r w:rsidR="00C01DD3">
        <w:rPr>
          <w:rFonts w:ascii="Arial" w:hAnsi="Arial"/>
          <w:sz w:val="22"/>
        </w:rPr>
        <w:instrText xml:space="preserve"> ADDIN EN.CITE &lt;EndNote&gt;&lt;Cite&gt;&lt;Author&gt;Meynecke&lt;/Author&gt;&lt;Year&gt;2004&lt;/Year&gt;&lt;RecNum&gt;189&lt;/RecNum&gt;&lt;DisplayText&gt;(Meynecke, 2004; Williams and Hilbert, 2006)&lt;/DisplayText&gt;&lt;record&gt;&lt;rec-number&gt;189&lt;/rec-number&gt;&lt;foreign-keys&gt;&lt;key app="EN" db-id="ta0rdr92ndv9x0e9sdapdzadfw29sw9r9xva"&gt;189&lt;/key&gt;&lt;/foreign-keys&gt;&lt;ref-type name="Journal Article"&gt;17&lt;/ref-type&gt;&lt;contributors&gt;&lt;authors&gt;&lt;author&gt;Meynecke, J-O&lt;/author&gt;&lt;/authors&gt;&lt;/contributors&gt;&lt;titles&gt;&lt;title&gt;Effects of global climate change on geographic distributions of vertebrates in North Queensland&lt;/title&gt;&lt;secondary-title&gt;Ecological Modelling&lt;/secondary-title&gt;&lt;/titles&gt;&lt;periodical&gt;&lt;full-title&gt;Ecological Modelling&lt;/full-title&gt;&lt;/periodical&gt;&lt;pages&gt;347-357&lt;/pages&gt;&lt;volume&gt;174&lt;/volume&gt;&lt;dates&gt;&lt;year&gt;2004&lt;/year&gt;&lt;/dates&gt;&lt;urls&gt;&lt;/urls&gt;&lt;/record&gt;&lt;/Cite&gt;&lt;Cite&gt;&lt;Author&gt;Williams&lt;/Author&gt;&lt;Year&gt;2006&lt;/Year&gt;&lt;RecNum&gt;186&lt;/RecNum&gt;&lt;record&gt;&lt;rec-number&gt;186&lt;/rec-number&gt;&lt;foreign-keys&gt;&lt;key app="EN" db-id="ta0rdr92ndv9x0e9sdapdzadfw29sw9r9xva"&gt;186&lt;/key&gt;&lt;/foreign-keys&gt;&lt;ref-type name="Book Section"&gt;5&lt;/ref-type&gt;&lt;contributors&gt;&lt;authors&gt;&lt;author&gt;Williams, S. E.&lt;/author&gt;&lt;author&gt;Hilbert, D. W.&lt;/author&gt;&lt;/authors&gt;&lt;secondary-authors&gt;&lt;author&gt;Laurance, W. F.&lt;/author&gt;&lt;author&gt;Peres, C. A.&lt;/author&gt;&lt;/secondary-authors&gt;&lt;/contributors&gt;&lt;titles&gt;&lt;title&gt;Climate change as a threat to the biodiversity of tropical rainforest in Australia&lt;/title&gt;&lt;secondary-title&gt;Emerging Threats to Tropical Forests&lt;/secondary-title&gt;&lt;/titles&gt;&lt;pages&gt;33-53&lt;/pages&gt;&lt;dates&gt;&lt;year&gt;2006&lt;/year&gt;&lt;/dates&gt;&lt;pub-location&gt;Chicago&lt;/pub-location&gt;&lt;publisher&gt;University of Chicago Press&lt;/publisher&gt;&lt;urls&gt;&lt;related-urls&gt;&lt;url&gt;https://books.google.com.au/books?hl=en&amp;amp;lr=&amp;amp;id=rVPTbEycT-oC&amp;amp;oi=fnd&amp;amp;pg=PR5&amp;amp;dq=Emerging+Threats+to+Tropical+Forests&amp;amp;ots=QmIBKsJeHY&amp;amp;sig=e-eB2ePvPCmP4c9Zt1C1outzu4E#v=onepage&amp;amp;q=Emerging%20Threats%20to%20Tropical%20Forests&amp;amp;f=false&lt;/url&gt;&lt;/related-urls&gt;&lt;/urls&gt;&lt;/record&gt;&lt;/Cite&gt;&lt;/EndNote&gt;</w:instrText>
      </w:r>
      <w:r w:rsidR="00F27E37">
        <w:rPr>
          <w:rFonts w:ascii="Arial" w:hAnsi="Arial"/>
          <w:sz w:val="22"/>
        </w:rPr>
        <w:fldChar w:fldCharType="separate"/>
      </w:r>
      <w:r w:rsidR="00C01DD3">
        <w:rPr>
          <w:rFonts w:ascii="Arial" w:hAnsi="Arial"/>
          <w:noProof/>
          <w:sz w:val="22"/>
        </w:rPr>
        <w:t>(</w:t>
      </w:r>
      <w:hyperlink w:anchor="_ENREF_4" w:tooltip="Meynecke, 2004 #189" w:history="1">
        <w:r w:rsidR="00F966DA">
          <w:rPr>
            <w:rFonts w:ascii="Arial" w:hAnsi="Arial"/>
            <w:noProof/>
            <w:sz w:val="22"/>
          </w:rPr>
          <w:t>Meynecke 2004</w:t>
        </w:r>
      </w:hyperlink>
      <w:r w:rsidR="00C01DD3">
        <w:rPr>
          <w:rFonts w:ascii="Arial" w:hAnsi="Arial"/>
          <w:noProof/>
          <w:sz w:val="22"/>
        </w:rPr>
        <w:t xml:space="preserve">; </w:t>
      </w:r>
      <w:hyperlink w:anchor="_ENREF_6" w:tooltip="Williams, 2006 #186" w:history="1">
        <w:r w:rsidR="00F966DA">
          <w:rPr>
            <w:rFonts w:ascii="Arial" w:hAnsi="Arial"/>
            <w:noProof/>
            <w:sz w:val="22"/>
          </w:rPr>
          <w:t xml:space="preserve">Williams </w:t>
        </w:r>
        <w:r w:rsidR="00A80A54">
          <w:rPr>
            <w:rFonts w:ascii="Arial" w:hAnsi="Arial"/>
            <w:noProof/>
            <w:sz w:val="22"/>
          </w:rPr>
          <w:t>&amp;</w:t>
        </w:r>
        <w:r w:rsidR="00F966DA">
          <w:rPr>
            <w:rFonts w:ascii="Arial" w:hAnsi="Arial"/>
            <w:noProof/>
            <w:sz w:val="22"/>
          </w:rPr>
          <w:t xml:space="preserve"> Hilbert 2006</w:t>
        </w:r>
      </w:hyperlink>
      <w:r w:rsidR="00C01DD3">
        <w:rPr>
          <w:rFonts w:ascii="Arial" w:hAnsi="Arial"/>
          <w:noProof/>
          <w:sz w:val="22"/>
        </w:rPr>
        <w:t>)</w:t>
      </w:r>
      <w:r w:rsidR="00F27E37">
        <w:rPr>
          <w:rFonts w:ascii="Arial" w:hAnsi="Arial"/>
          <w:sz w:val="22"/>
        </w:rPr>
        <w:fldChar w:fldCharType="end"/>
      </w:r>
      <w:r w:rsidR="00C01DD3">
        <w:rPr>
          <w:rFonts w:ascii="Arial" w:hAnsi="Arial"/>
          <w:sz w:val="22"/>
        </w:rPr>
        <w:t>.</w:t>
      </w:r>
      <w:r w:rsidR="00B40DB3">
        <w:rPr>
          <w:rFonts w:ascii="Arial" w:hAnsi="Arial"/>
          <w:sz w:val="22"/>
        </w:rPr>
        <w:t xml:space="preserve"> </w:t>
      </w:r>
      <w:r w:rsidR="00B40DB3" w:rsidRPr="00CF5819">
        <w:rPr>
          <w:rFonts w:ascii="Arial" w:hAnsi="Arial"/>
          <w:sz w:val="22"/>
        </w:rPr>
        <w:t xml:space="preserve">Species that are both geographically restricted and patchily distributed, such as </w:t>
      </w:r>
      <w:r w:rsidR="00B40DB3" w:rsidRPr="00CF5819">
        <w:rPr>
          <w:rFonts w:ascii="Arial" w:hAnsi="Arial"/>
          <w:i/>
          <w:sz w:val="22"/>
        </w:rPr>
        <w:t xml:space="preserve">C. </w:t>
      </w:r>
      <w:r w:rsidR="00CF5819" w:rsidRPr="00CF5819">
        <w:rPr>
          <w:rFonts w:ascii="Arial" w:hAnsi="Arial"/>
          <w:i/>
          <w:sz w:val="22"/>
        </w:rPr>
        <w:t>neglectus</w:t>
      </w:r>
      <w:r w:rsidR="00B40DB3" w:rsidRPr="00CF5819">
        <w:rPr>
          <w:rFonts w:ascii="Arial" w:hAnsi="Arial"/>
          <w:sz w:val="22"/>
        </w:rPr>
        <w:t>, are at a high risk of extinction, as local stochastic events may affect the entire population (Williams 2007).</w:t>
      </w:r>
    </w:p>
    <w:p w14:paraId="58ED77E7" w14:textId="77777777" w:rsidR="00D9126D" w:rsidRDefault="00D9126D" w:rsidP="003F4D21">
      <w:pPr>
        <w:rPr>
          <w:rFonts w:ascii="Arial" w:hAnsi="Arial"/>
          <w:b/>
          <w:sz w:val="22"/>
        </w:rPr>
      </w:pPr>
    </w:p>
    <w:p w14:paraId="291DAC3D" w14:textId="77FEA213" w:rsidR="004F6E9D" w:rsidRDefault="004F6E9D" w:rsidP="00817CFB">
      <w:pPr>
        <w:spacing w:after="360"/>
        <w:rPr>
          <w:rFonts w:ascii="Arial" w:hAnsi="Arial" w:cs="Arial"/>
          <w:sz w:val="22"/>
          <w:szCs w:val="22"/>
        </w:rPr>
      </w:pPr>
      <w:r w:rsidRPr="003659B1">
        <w:rPr>
          <w:rFonts w:ascii="Arial" w:hAnsi="Arial" w:cs="Arial"/>
          <w:sz w:val="22"/>
          <w:szCs w:val="22"/>
        </w:rPr>
        <w:t xml:space="preserve">The data presented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sidR="00E54A36">
        <w:rPr>
          <w:rFonts w:ascii="Arial" w:hAnsi="Arial" w:cs="Arial"/>
          <w:b/>
          <w:bCs/>
          <w:sz w:val="22"/>
          <w:szCs w:val="22"/>
        </w:rPr>
        <w:t xml:space="preserve">Critically </w:t>
      </w:r>
      <w:r w:rsidR="00817CFB">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39EF24B5"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2657966"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6DA2469B" w14:textId="77777777" w:rsidTr="00C55755">
        <w:tc>
          <w:tcPr>
            <w:tcW w:w="3601" w:type="dxa"/>
            <w:gridSpan w:val="2"/>
            <w:tcBorders>
              <w:top w:val="nil"/>
              <w:left w:val="single" w:sz="4" w:space="0" w:color="auto"/>
              <w:bottom w:val="nil"/>
              <w:right w:val="nil"/>
            </w:tcBorders>
          </w:tcPr>
          <w:p w14:paraId="266007E6"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4D1BDBB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0C9018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A4C702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1779F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45384DE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1C11B03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B9C2DC1"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057BA897"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3FF5B2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2657FC9F"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18832E84"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2FC001A1"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319440F9"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1F8D4DAD"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0AE9A8B0"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40F91C50" w14:textId="77777777" w:rsidR="003F4D21" w:rsidRPr="00715477" w:rsidRDefault="003F4D21" w:rsidP="003F4D21">
            <w:pPr>
              <w:jc w:val="center"/>
              <w:rPr>
                <w:rFonts w:ascii="Arial" w:hAnsi="Arial" w:cs="Arial"/>
                <w:b/>
                <w:sz w:val="18"/>
                <w:szCs w:val="18"/>
              </w:rPr>
            </w:pPr>
          </w:p>
        </w:tc>
      </w:tr>
      <w:tr w:rsidR="003F4D21" w:rsidRPr="003D4002" w14:paraId="43816428"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40B4BC9"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067571A"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47856EAA"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64F35116"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57AB752"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2FD7A812"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F5787DD"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5C041482"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2393965F"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6FFC7780"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0B3480F1"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55EC39B5"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626EB329"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4BDC2700"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57D1158C" w14:textId="77777777" w:rsidR="003F4D21" w:rsidRPr="00715477" w:rsidRDefault="003F4D21" w:rsidP="003F4D21">
            <w:pPr>
              <w:rPr>
                <w:rFonts w:ascii="Arial" w:hAnsi="Arial" w:cs="Arial"/>
                <w:sz w:val="18"/>
                <w:szCs w:val="18"/>
              </w:rPr>
            </w:pPr>
          </w:p>
        </w:tc>
      </w:tr>
      <w:tr w:rsidR="003F4D21" w:rsidRPr="00715477" w14:paraId="4F07DE19"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843524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49B92904"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F675E9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1BA47C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1037FD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21377161"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BE03BEC"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467BA94"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A6DA4B1"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B540DD7"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42A3CE8B"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1E54814B"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670569A2"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55B24C0F"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341CBDFB"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4DB11A8D" w14:textId="77777777" w:rsidR="003F4D21" w:rsidRPr="00715477" w:rsidRDefault="003F4D21" w:rsidP="003F4D21">
            <w:pPr>
              <w:tabs>
                <w:tab w:val="left" w:pos="426"/>
              </w:tabs>
              <w:ind w:left="426" w:hanging="426"/>
              <w:rPr>
                <w:rFonts w:ascii="Arial" w:hAnsi="Arial" w:cs="Arial"/>
                <w:sz w:val="18"/>
                <w:szCs w:val="18"/>
              </w:rPr>
            </w:pPr>
          </w:p>
        </w:tc>
      </w:tr>
    </w:tbl>
    <w:p w14:paraId="2AF0ED91" w14:textId="77777777" w:rsidR="00C55755" w:rsidRDefault="00C55755" w:rsidP="00C55755">
      <w:pPr>
        <w:rPr>
          <w:rFonts w:ascii="Arial" w:hAnsi="Arial" w:cs="Arial"/>
          <w:b/>
          <w:sz w:val="22"/>
          <w:szCs w:val="22"/>
        </w:rPr>
      </w:pPr>
    </w:p>
    <w:p w14:paraId="77D6ACEA" w14:textId="77777777" w:rsidR="00C55755" w:rsidRDefault="00C55755" w:rsidP="00C55755">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01B473AA" w14:textId="77777777" w:rsidR="005962B5" w:rsidRDefault="005962B5" w:rsidP="00C55755">
      <w:pPr>
        <w:rPr>
          <w:rFonts w:ascii="Arial" w:hAnsi="Arial" w:cs="Arial"/>
          <w:b/>
          <w:sz w:val="22"/>
          <w:szCs w:val="22"/>
        </w:rPr>
      </w:pPr>
    </w:p>
    <w:p w14:paraId="49FC21B4" w14:textId="477BB682" w:rsidR="00062E8E" w:rsidRPr="00A815F5" w:rsidRDefault="00CE45A0" w:rsidP="00C55755">
      <w:pPr>
        <w:rPr>
          <w:rFonts w:ascii="Arial" w:hAnsi="Arial" w:cs="Arial"/>
          <w:sz w:val="22"/>
          <w:szCs w:val="22"/>
        </w:rPr>
      </w:pPr>
      <w:r w:rsidRPr="00A815F5">
        <w:rPr>
          <w:rFonts w:ascii="Arial" w:hAnsi="Arial" w:cs="Arial"/>
          <w:sz w:val="22"/>
          <w:szCs w:val="22"/>
        </w:rPr>
        <w:t xml:space="preserve">Population density has been estimated during the breeding season to be approximately 18 calling males per hectare (Williams 2007). </w:t>
      </w:r>
      <w:r w:rsidR="00062E8E" w:rsidRPr="00A815F5">
        <w:rPr>
          <w:rFonts w:ascii="Arial" w:hAnsi="Arial" w:cs="Arial"/>
          <w:sz w:val="22"/>
          <w:szCs w:val="22"/>
        </w:rPr>
        <w:t>Williams also estimated that the species used approximately 0.2</w:t>
      </w:r>
      <w:r w:rsidR="00B473E2">
        <w:rPr>
          <w:rFonts w:ascii="Arial" w:hAnsi="Arial" w:cs="Arial"/>
          <w:sz w:val="22"/>
          <w:szCs w:val="22"/>
        </w:rPr>
        <w:t xml:space="preserve"> percent</w:t>
      </w:r>
      <w:r w:rsidR="00062E8E" w:rsidRPr="00A815F5">
        <w:rPr>
          <w:rFonts w:ascii="Arial" w:hAnsi="Arial" w:cs="Arial"/>
          <w:sz w:val="22"/>
          <w:szCs w:val="22"/>
        </w:rPr>
        <w:t xml:space="preserve"> of the available 19 800 km</w:t>
      </w:r>
      <w:r w:rsidR="00062E8E" w:rsidRPr="00A815F5">
        <w:rPr>
          <w:rFonts w:ascii="Arial" w:hAnsi="Arial" w:cs="Arial"/>
          <w:sz w:val="22"/>
          <w:szCs w:val="22"/>
          <w:vertAlign w:val="superscript"/>
        </w:rPr>
        <w:t>2</w:t>
      </w:r>
      <w:r w:rsidR="00062E8E" w:rsidRPr="00A815F5">
        <w:rPr>
          <w:rFonts w:ascii="Arial" w:hAnsi="Arial" w:cs="Arial"/>
          <w:sz w:val="22"/>
          <w:szCs w:val="22"/>
        </w:rPr>
        <w:t xml:space="preserve"> of the Wet Tropics. This equates to </w:t>
      </w:r>
      <w:r w:rsidR="00B473E2">
        <w:rPr>
          <w:rFonts w:ascii="Arial" w:hAnsi="Arial" w:cs="Arial"/>
          <w:sz w:val="22"/>
          <w:szCs w:val="22"/>
        </w:rPr>
        <w:t xml:space="preserve">greater than </w:t>
      </w:r>
      <w:r w:rsidR="00062E8E" w:rsidRPr="00A815F5">
        <w:rPr>
          <w:rFonts w:ascii="Arial" w:hAnsi="Arial" w:cs="Arial"/>
          <w:sz w:val="22"/>
          <w:szCs w:val="22"/>
        </w:rPr>
        <w:t xml:space="preserve">70 000 males in the population. </w:t>
      </w:r>
    </w:p>
    <w:p w14:paraId="3E48E10D" w14:textId="77777777" w:rsidR="00062E8E" w:rsidRPr="00A815F5" w:rsidRDefault="00062E8E" w:rsidP="00C55755">
      <w:pPr>
        <w:rPr>
          <w:rFonts w:ascii="Arial" w:hAnsi="Arial" w:cs="Arial"/>
          <w:sz w:val="22"/>
          <w:szCs w:val="22"/>
        </w:rPr>
      </w:pPr>
    </w:p>
    <w:p w14:paraId="552EC934" w14:textId="2DBF4E44" w:rsidR="00062E8E" w:rsidRPr="00A815F5" w:rsidDel="00062E8E" w:rsidRDefault="00062E8E">
      <w:pPr>
        <w:rPr>
          <w:rFonts w:ascii="Arial" w:hAnsi="Arial" w:cs="Arial"/>
          <w:sz w:val="22"/>
          <w:szCs w:val="22"/>
        </w:rPr>
      </w:pPr>
      <w:r w:rsidRPr="00A815F5">
        <w:rPr>
          <w:rFonts w:ascii="Arial" w:hAnsi="Arial" w:cs="Arial"/>
          <w:sz w:val="22"/>
          <w:szCs w:val="22"/>
        </w:rPr>
        <w:t>An alternative estimate can be derived from applying the population density of 18 males</w:t>
      </w:r>
      <w:r w:rsidR="00B473E2">
        <w:rPr>
          <w:rFonts w:ascii="Arial" w:hAnsi="Arial" w:cs="Arial"/>
          <w:sz w:val="22"/>
          <w:szCs w:val="22"/>
        </w:rPr>
        <w:t xml:space="preserve"> per hectare</w:t>
      </w:r>
      <w:r w:rsidRPr="00A815F5">
        <w:rPr>
          <w:rFonts w:ascii="Arial" w:hAnsi="Arial" w:cs="Arial"/>
          <w:sz w:val="22"/>
          <w:szCs w:val="22"/>
        </w:rPr>
        <w:t xml:space="preserve"> to the </w:t>
      </w:r>
      <w:r w:rsidR="00B473E2">
        <w:rPr>
          <w:rFonts w:ascii="Arial" w:hAnsi="Arial" w:cs="Arial"/>
          <w:sz w:val="22"/>
          <w:szCs w:val="22"/>
        </w:rPr>
        <w:t>AOO</w:t>
      </w:r>
      <w:r w:rsidR="00CE45A0" w:rsidRPr="00A815F5">
        <w:rPr>
          <w:rFonts w:ascii="Arial" w:hAnsi="Arial" w:cs="Arial"/>
          <w:sz w:val="22"/>
          <w:szCs w:val="22"/>
        </w:rPr>
        <w:t xml:space="preserve"> of 20 km</w:t>
      </w:r>
      <w:r w:rsidR="00CE45A0" w:rsidRPr="00A815F5">
        <w:rPr>
          <w:rFonts w:ascii="Arial" w:hAnsi="Arial" w:cs="Arial"/>
          <w:sz w:val="22"/>
          <w:szCs w:val="22"/>
          <w:vertAlign w:val="superscript"/>
        </w:rPr>
        <w:t>2</w:t>
      </w:r>
      <w:r w:rsidRPr="00A815F5">
        <w:rPr>
          <w:rFonts w:ascii="Arial" w:hAnsi="Arial" w:cs="Arial"/>
          <w:sz w:val="22"/>
          <w:szCs w:val="22"/>
        </w:rPr>
        <w:t>, equating to approximately 36 000 males.</w:t>
      </w:r>
    </w:p>
    <w:p w14:paraId="3F06DB2A" w14:textId="248A40F5" w:rsidR="00062E8E" w:rsidRPr="00A815F5" w:rsidRDefault="00062E8E" w:rsidP="00C55755">
      <w:pPr>
        <w:rPr>
          <w:rFonts w:ascii="Arial" w:hAnsi="Arial" w:cs="Arial"/>
          <w:sz w:val="22"/>
          <w:szCs w:val="22"/>
        </w:rPr>
      </w:pPr>
    </w:p>
    <w:p w14:paraId="02C5EE8B" w14:textId="0512BB85" w:rsidR="00B50A2B" w:rsidRPr="00C65503" w:rsidRDefault="00CE45A0" w:rsidP="00C55755">
      <w:pPr>
        <w:rPr>
          <w:rFonts w:ascii="Arial" w:hAnsi="Arial" w:cs="Arial"/>
          <w:sz w:val="22"/>
          <w:szCs w:val="22"/>
        </w:rPr>
      </w:pPr>
      <w:r w:rsidRPr="00A815F5">
        <w:rPr>
          <w:rFonts w:ascii="Arial" w:hAnsi="Arial" w:cs="Arial"/>
          <w:sz w:val="22"/>
          <w:szCs w:val="22"/>
        </w:rPr>
        <w:t>Even without taking females into account this is well in excess of the threshold of 10 000 individuals to be eligible under this criterion.</w:t>
      </w:r>
    </w:p>
    <w:p w14:paraId="7E5CFD4C" w14:textId="77777777" w:rsidR="009E1DD6" w:rsidRDefault="009E1DD6">
      <w:pPr>
        <w:rPr>
          <w:rFonts w:ascii="Arial" w:eastAsiaTheme="minorHAnsi" w:hAnsi="Arial" w:cs="Arial"/>
          <w:sz w:val="22"/>
          <w:szCs w:val="22"/>
        </w:rPr>
      </w:pPr>
    </w:p>
    <w:p w14:paraId="506E434A" w14:textId="77777777" w:rsidR="00C65503" w:rsidRDefault="00392D7D" w:rsidP="00C65503">
      <w:pPr>
        <w:rPr>
          <w:rFonts w:ascii="Arial" w:hAnsi="Arial" w:cs="Arial"/>
          <w:sz w:val="22"/>
          <w:szCs w:val="22"/>
        </w:rPr>
      </w:pPr>
      <w:r w:rsidRPr="00D9126D">
        <w:rPr>
          <w:rFonts w:ascii="Arial" w:hAnsi="Arial" w:cs="Arial"/>
          <w:sz w:val="22"/>
          <w:szCs w:val="22"/>
        </w:rPr>
        <w:t xml:space="preserve">The data presented above appear to be insufficient to demonstrate if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w:t>
      </w:r>
      <w:r w:rsidR="00C65503" w:rsidRPr="003659B1">
        <w:rPr>
          <w:rFonts w:ascii="Arial" w:hAnsi="Arial" w:cs="Arial"/>
          <w:sz w:val="22"/>
          <w:szCs w:val="22"/>
        </w:rPr>
        <w:t xml:space="preserve">However, the purpose of this consultation </w:t>
      </w:r>
      <w:r w:rsidR="00C65503">
        <w:rPr>
          <w:rFonts w:ascii="Arial" w:hAnsi="Arial" w:cs="Arial"/>
          <w:sz w:val="22"/>
          <w:szCs w:val="22"/>
        </w:rPr>
        <w:t>document</w:t>
      </w:r>
      <w:r w:rsidR="00C65503" w:rsidRPr="003659B1">
        <w:rPr>
          <w:rFonts w:ascii="Arial" w:hAnsi="Arial" w:cs="Arial"/>
          <w:sz w:val="22"/>
          <w:szCs w:val="22"/>
        </w:rPr>
        <w:t xml:space="preserve"> is to elicit additional information to better understand the species</w:t>
      </w:r>
      <w:r w:rsidR="00C65503">
        <w:rPr>
          <w:rFonts w:ascii="Arial" w:hAnsi="Arial" w:cs="Arial"/>
          <w:sz w:val="22"/>
          <w:szCs w:val="22"/>
        </w:rPr>
        <w:t>’</w:t>
      </w:r>
      <w:r w:rsidR="00C65503"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C65503">
        <w:rPr>
          <w:rFonts w:ascii="Arial" w:hAnsi="Arial" w:cs="Arial"/>
          <w:sz w:val="22"/>
          <w:szCs w:val="22"/>
        </w:rPr>
        <w:t>.</w:t>
      </w:r>
    </w:p>
    <w:p w14:paraId="31185BCE" w14:textId="77777777" w:rsidR="003F4D21" w:rsidRPr="009975EA" w:rsidRDefault="003F4D21" w:rsidP="005A021F">
      <w:pPr>
        <w:spacing w:after="120"/>
        <w:rPr>
          <w:rFonts w:ascii="Arial" w:hAnsi="Arial"/>
          <w:sz w:val="22"/>
        </w:rPr>
      </w:pPr>
    </w:p>
    <w:tbl>
      <w:tblPr>
        <w:tblW w:w="9634" w:type="dxa"/>
        <w:tblCellMar>
          <w:left w:w="0" w:type="dxa"/>
          <w:right w:w="0" w:type="dxa"/>
        </w:tblCellMar>
        <w:tblLook w:val="04A0" w:firstRow="1" w:lastRow="0" w:firstColumn="1" w:lastColumn="0" w:noHBand="0" w:noVBand="1"/>
      </w:tblPr>
      <w:tblGrid>
        <w:gridCol w:w="3823"/>
        <w:gridCol w:w="2126"/>
        <w:gridCol w:w="1559"/>
        <w:gridCol w:w="2126"/>
      </w:tblGrid>
      <w:tr w:rsidR="00B473E2" w14:paraId="0B491DF8" w14:textId="77777777" w:rsidTr="00B473E2">
        <w:trPr>
          <w:trHeight w:val="350"/>
        </w:trPr>
        <w:tc>
          <w:tcPr>
            <w:tcW w:w="9634" w:type="dxa"/>
            <w:gridSpan w:val="4"/>
            <w:tcBorders>
              <w:top w:val="single" w:sz="8" w:space="0" w:color="auto"/>
              <w:left w:val="single" w:sz="8" w:space="0" w:color="auto"/>
              <w:bottom w:val="nil"/>
              <w:right w:val="single" w:sz="8" w:space="0" w:color="auto"/>
            </w:tcBorders>
            <w:shd w:val="clear" w:color="auto" w:fill="595959"/>
            <w:tcMar>
              <w:top w:w="57" w:type="dxa"/>
              <w:left w:w="85" w:type="dxa"/>
              <w:bottom w:w="57" w:type="dxa"/>
              <w:right w:w="108" w:type="dxa"/>
            </w:tcMar>
            <w:vAlign w:val="center"/>
            <w:hideMark/>
          </w:tcPr>
          <w:p w14:paraId="03526714" w14:textId="77777777" w:rsidR="00B473E2" w:rsidRDefault="00B473E2" w:rsidP="00B473E2">
            <w:pPr>
              <w:rPr>
                <w:rFonts w:ascii="Arial" w:hAnsi="Arial" w:cs="Arial"/>
                <w:b/>
                <w:bCs/>
                <w:color w:val="FFFFFF"/>
              </w:rPr>
            </w:pPr>
            <w:r>
              <w:rPr>
                <w:rFonts w:ascii="Arial" w:hAnsi="Arial" w:cs="Arial"/>
                <w:b/>
                <w:bCs/>
                <w:color w:val="FFFFFF"/>
              </w:rPr>
              <w:t xml:space="preserve">Criterion 4.     Number of mature individuals </w:t>
            </w:r>
          </w:p>
        </w:tc>
      </w:tr>
      <w:tr w:rsidR="00B473E2" w14:paraId="6E76FB9F" w14:textId="77777777" w:rsidTr="00B473E2">
        <w:trPr>
          <w:trHeight w:val="524"/>
        </w:trPr>
        <w:tc>
          <w:tcPr>
            <w:tcW w:w="3823" w:type="dxa"/>
            <w:tcBorders>
              <w:top w:val="nil"/>
              <w:left w:val="single" w:sz="8" w:space="0" w:color="auto"/>
              <w:bottom w:val="nil"/>
              <w:right w:val="nil"/>
            </w:tcBorders>
            <w:tcMar>
              <w:top w:w="57" w:type="dxa"/>
              <w:left w:w="85" w:type="dxa"/>
              <w:bottom w:w="57" w:type="dxa"/>
              <w:right w:w="108" w:type="dxa"/>
            </w:tcMar>
          </w:tcPr>
          <w:p w14:paraId="0F0F7350" w14:textId="77777777" w:rsidR="00B473E2" w:rsidRDefault="00B473E2" w:rsidP="00B473E2">
            <w:pPr>
              <w:rPr>
                <w:rFonts w:ascii="Arial" w:hAnsi="Arial" w:cs="Arial"/>
                <w:sz w:val="18"/>
                <w:szCs w:val="18"/>
              </w:rPr>
            </w:pPr>
          </w:p>
        </w:tc>
        <w:tc>
          <w:tcPr>
            <w:tcW w:w="2126"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5EC781B8" w14:textId="77777777" w:rsidR="00B473E2" w:rsidRDefault="00B473E2" w:rsidP="00B473E2">
            <w:pPr>
              <w:jc w:val="center"/>
              <w:rPr>
                <w:rFonts w:ascii="Arial" w:hAnsi="Arial" w:cs="Arial"/>
                <w:b/>
                <w:bCs/>
                <w:sz w:val="18"/>
                <w:szCs w:val="18"/>
              </w:rPr>
            </w:pPr>
            <w:r>
              <w:rPr>
                <w:rFonts w:ascii="Arial" w:hAnsi="Arial" w:cs="Arial"/>
                <w:b/>
                <w:bCs/>
                <w:sz w:val="18"/>
                <w:szCs w:val="18"/>
              </w:rPr>
              <w:t>Critically Endangered</w:t>
            </w:r>
          </w:p>
          <w:p w14:paraId="26C84D3E" w14:textId="77777777" w:rsidR="00B473E2" w:rsidRDefault="00B473E2" w:rsidP="00B473E2">
            <w:pPr>
              <w:jc w:val="center"/>
              <w:rPr>
                <w:rFonts w:ascii="Arial" w:hAnsi="Arial" w:cs="Arial"/>
                <w:b/>
                <w:bCs/>
                <w:sz w:val="18"/>
                <w:szCs w:val="18"/>
              </w:rPr>
            </w:pPr>
            <w:r>
              <w:rPr>
                <w:rFonts w:ascii="Arial" w:hAnsi="Arial" w:cs="Arial"/>
                <w:b/>
                <w:bCs/>
                <w:sz w:val="18"/>
                <w:szCs w:val="18"/>
              </w:rPr>
              <w:t>Extremely low</w:t>
            </w:r>
          </w:p>
        </w:tc>
        <w:tc>
          <w:tcPr>
            <w:tcW w:w="1559"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6D481A23" w14:textId="77777777" w:rsidR="00B473E2" w:rsidRDefault="00B473E2" w:rsidP="00B473E2">
            <w:pPr>
              <w:jc w:val="center"/>
              <w:rPr>
                <w:rFonts w:ascii="Arial" w:hAnsi="Arial" w:cs="Arial"/>
                <w:b/>
                <w:bCs/>
                <w:sz w:val="18"/>
                <w:szCs w:val="18"/>
              </w:rPr>
            </w:pPr>
            <w:r>
              <w:rPr>
                <w:rFonts w:ascii="Arial" w:hAnsi="Arial" w:cs="Arial"/>
                <w:b/>
                <w:bCs/>
                <w:sz w:val="18"/>
                <w:szCs w:val="18"/>
              </w:rPr>
              <w:t>Endangered</w:t>
            </w:r>
          </w:p>
          <w:p w14:paraId="021FB006" w14:textId="77777777" w:rsidR="00B473E2" w:rsidRDefault="00B473E2" w:rsidP="00B473E2">
            <w:pPr>
              <w:jc w:val="center"/>
              <w:rPr>
                <w:rFonts w:ascii="Arial" w:hAnsi="Arial" w:cs="Arial"/>
                <w:b/>
                <w:bCs/>
                <w:sz w:val="18"/>
                <w:szCs w:val="18"/>
              </w:rPr>
            </w:pPr>
            <w:r>
              <w:rPr>
                <w:rFonts w:ascii="Arial" w:hAnsi="Arial" w:cs="Arial"/>
                <w:b/>
                <w:bCs/>
                <w:sz w:val="18"/>
                <w:szCs w:val="18"/>
              </w:rPr>
              <w:t>Very Low</w:t>
            </w:r>
          </w:p>
        </w:tc>
        <w:tc>
          <w:tcPr>
            <w:tcW w:w="2126" w:type="dxa"/>
            <w:tcBorders>
              <w:top w:val="single" w:sz="8" w:space="0" w:color="FFFFFF"/>
              <w:left w:val="nil"/>
              <w:bottom w:val="single" w:sz="8" w:space="0" w:color="FFFFFF"/>
              <w:right w:val="single" w:sz="8" w:space="0" w:color="FFFFFF"/>
            </w:tcBorders>
            <w:shd w:val="clear" w:color="auto" w:fill="FFFF00"/>
            <w:tcMar>
              <w:top w:w="57" w:type="dxa"/>
              <w:left w:w="85" w:type="dxa"/>
              <w:bottom w:w="57" w:type="dxa"/>
              <w:right w:w="108" w:type="dxa"/>
            </w:tcMar>
            <w:hideMark/>
          </w:tcPr>
          <w:p w14:paraId="14B07AAC" w14:textId="77777777" w:rsidR="00B473E2" w:rsidRDefault="00B473E2" w:rsidP="00B473E2">
            <w:pPr>
              <w:jc w:val="center"/>
              <w:rPr>
                <w:rFonts w:ascii="Arial" w:hAnsi="Arial" w:cs="Arial"/>
                <w:b/>
                <w:bCs/>
                <w:sz w:val="18"/>
                <w:szCs w:val="18"/>
              </w:rPr>
            </w:pPr>
            <w:r>
              <w:rPr>
                <w:rFonts w:ascii="Arial" w:hAnsi="Arial" w:cs="Arial"/>
                <w:b/>
                <w:bCs/>
                <w:sz w:val="18"/>
                <w:szCs w:val="18"/>
              </w:rPr>
              <w:t>Vulnerable</w:t>
            </w:r>
          </w:p>
          <w:p w14:paraId="515EDD92" w14:textId="77777777" w:rsidR="00B473E2" w:rsidRDefault="00B473E2" w:rsidP="00B473E2">
            <w:pPr>
              <w:jc w:val="center"/>
              <w:rPr>
                <w:rFonts w:ascii="Arial" w:hAnsi="Arial" w:cs="Arial"/>
                <w:b/>
                <w:bCs/>
                <w:sz w:val="18"/>
                <w:szCs w:val="18"/>
              </w:rPr>
            </w:pPr>
            <w:r>
              <w:rPr>
                <w:rFonts w:ascii="Arial" w:hAnsi="Arial" w:cs="Arial"/>
                <w:b/>
                <w:bCs/>
                <w:sz w:val="18"/>
                <w:szCs w:val="18"/>
              </w:rPr>
              <w:t>Low</w:t>
            </w:r>
          </w:p>
          <w:p w14:paraId="3F6706A7" w14:textId="77777777" w:rsidR="00B473E2" w:rsidRDefault="00B473E2" w:rsidP="00B473E2">
            <w:pPr>
              <w:jc w:val="center"/>
              <w:rPr>
                <w:rFonts w:ascii="Arial" w:hAnsi="Arial" w:cs="Arial"/>
                <w:b/>
                <w:bCs/>
                <w:sz w:val="18"/>
                <w:szCs w:val="18"/>
              </w:rPr>
            </w:pPr>
            <w:r>
              <w:rPr>
                <w:rFonts w:ascii="Arial" w:hAnsi="Arial" w:cs="Arial"/>
                <w:b/>
                <w:bCs/>
                <w:sz w:val="18"/>
                <w:szCs w:val="18"/>
              </w:rPr>
              <w:t>(Medium-term future)</w:t>
            </w:r>
            <w:r>
              <w:rPr>
                <w:rFonts w:ascii="Arial" w:hAnsi="Arial" w:cs="Arial"/>
                <w:b/>
                <w:bCs/>
                <w:sz w:val="18"/>
                <w:szCs w:val="18"/>
                <w:vertAlign w:val="superscript"/>
              </w:rPr>
              <w:t>1</w:t>
            </w:r>
          </w:p>
        </w:tc>
      </w:tr>
      <w:tr w:rsidR="00B473E2" w14:paraId="30869F57" w14:textId="77777777" w:rsidTr="00B473E2">
        <w:trPr>
          <w:trHeight w:val="442"/>
        </w:trPr>
        <w:tc>
          <w:tcPr>
            <w:tcW w:w="3823" w:type="dxa"/>
            <w:tcBorders>
              <w:top w:val="nil"/>
              <w:left w:val="single" w:sz="8" w:space="0" w:color="auto"/>
              <w:bottom w:val="nil"/>
              <w:right w:val="single" w:sz="8" w:space="0" w:color="FFFFFF"/>
            </w:tcBorders>
            <w:shd w:val="clear" w:color="auto" w:fill="BFBFBF"/>
            <w:tcMar>
              <w:top w:w="57" w:type="dxa"/>
              <w:left w:w="85" w:type="dxa"/>
              <w:bottom w:w="57" w:type="dxa"/>
              <w:right w:w="108" w:type="dxa"/>
            </w:tcMar>
            <w:vAlign w:val="center"/>
            <w:hideMark/>
          </w:tcPr>
          <w:p w14:paraId="65A0037D" w14:textId="77777777" w:rsidR="00B473E2" w:rsidRDefault="00B473E2" w:rsidP="00B473E2">
            <w:pPr>
              <w:rPr>
                <w:rFonts w:ascii="Arial" w:hAnsi="Arial" w:cs="Arial"/>
                <w:sz w:val="18"/>
                <w:szCs w:val="18"/>
              </w:rPr>
            </w:pPr>
            <w:r>
              <w:rPr>
                <w:rFonts w:ascii="Arial" w:hAnsi="Arial" w:cs="Arial"/>
                <w:sz w:val="18"/>
                <w:szCs w:val="18"/>
              </w:rPr>
              <w:t>Number of mature individuals</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46B2AEA6" w14:textId="77777777" w:rsidR="00B473E2" w:rsidRDefault="00B473E2" w:rsidP="00B473E2">
            <w:pPr>
              <w:jc w:val="center"/>
              <w:rPr>
                <w:rFonts w:ascii="Arial" w:hAnsi="Arial" w:cs="Arial"/>
                <w:b/>
                <w:bCs/>
                <w:sz w:val="18"/>
                <w:szCs w:val="18"/>
              </w:rPr>
            </w:pPr>
            <w:r>
              <w:rPr>
                <w:rFonts w:ascii="Arial" w:hAnsi="Arial" w:cs="Arial"/>
                <w:b/>
                <w:bCs/>
                <w:sz w:val="18"/>
                <w:szCs w:val="18"/>
              </w:rPr>
              <w:t>&lt; 50</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4FE2E0C8" w14:textId="77777777" w:rsidR="00B473E2" w:rsidRDefault="00B473E2" w:rsidP="00B473E2">
            <w:pPr>
              <w:jc w:val="center"/>
              <w:rPr>
                <w:sz w:val="18"/>
                <w:szCs w:val="18"/>
              </w:rPr>
            </w:pPr>
            <w:r>
              <w:rPr>
                <w:rFonts w:ascii="Arial" w:hAnsi="Arial" w:cs="Arial"/>
                <w:b/>
                <w:bCs/>
                <w:sz w:val="18"/>
                <w:szCs w:val="18"/>
              </w:rPr>
              <w:t>&lt; 250</w:t>
            </w:r>
          </w:p>
        </w:tc>
        <w:tc>
          <w:tcPr>
            <w:tcW w:w="2126" w:type="dxa"/>
            <w:tcBorders>
              <w:top w:val="nil"/>
              <w:left w:val="nil"/>
              <w:bottom w:val="single" w:sz="8" w:space="0" w:color="FFFFFF"/>
              <w:right w:val="single" w:sz="8" w:space="0" w:color="FFFFFF"/>
            </w:tcBorders>
            <w:shd w:val="clear" w:color="auto" w:fill="FFFF66"/>
            <w:tcMar>
              <w:top w:w="57" w:type="dxa"/>
              <w:left w:w="85" w:type="dxa"/>
              <w:bottom w:w="57" w:type="dxa"/>
              <w:right w:w="108" w:type="dxa"/>
            </w:tcMar>
            <w:vAlign w:val="center"/>
            <w:hideMark/>
          </w:tcPr>
          <w:p w14:paraId="4DD647A0" w14:textId="77777777" w:rsidR="00B473E2" w:rsidRDefault="00B473E2" w:rsidP="00B473E2">
            <w:pPr>
              <w:jc w:val="center"/>
              <w:rPr>
                <w:sz w:val="18"/>
                <w:szCs w:val="18"/>
              </w:rPr>
            </w:pPr>
            <w:r>
              <w:rPr>
                <w:rFonts w:ascii="Arial" w:hAnsi="Arial" w:cs="Arial"/>
                <w:b/>
                <w:bCs/>
                <w:sz w:val="18"/>
                <w:szCs w:val="18"/>
              </w:rPr>
              <w:t>&lt; 1,000</w:t>
            </w:r>
          </w:p>
        </w:tc>
      </w:tr>
      <w:tr w:rsidR="00B473E2" w14:paraId="6C2CAA55" w14:textId="77777777" w:rsidTr="00B473E2">
        <w:trPr>
          <w:trHeight w:val="442"/>
        </w:trPr>
        <w:tc>
          <w:tcPr>
            <w:tcW w:w="3823" w:type="dxa"/>
            <w:tcBorders>
              <w:top w:val="nil"/>
              <w:left w:val="single" w:sz="8" w:space="0" w:color="auto"/>
              <w:bottom w:val="single" w:sz="8" w:space="0" w:color="auto"/>
              <w:right w:val="single" w:sz="8" w:space="0" w:color="FFFFFF"/>
            </w:tcBorders>
            <w:shd w:val="clear" w:color="auto" w:fill="BFBFBF"/>
            <w:tcMar>
              <w:top w:w="57" w:type="dxa"/>
              <w:left w:w="85" w:type="dxa"/>
              <w:bottom w:w="57" w:type="dxa"/>
              <w:right w:w="108" w:type="dxa"/>
            </w:tcMar>
            <w:vAlign w:val="center"/>
            <w:hideMark/>
          </w:tcPr>
          <w:p w14:paraId="379B9AC2" w14:textId="77777777" w:rsidR="00B473E2" w:rsidRDefault="00B473E2" w:rsidP="00B473E2">
            <w:pPr>
              <w:rPr>
                <w:rFonts w:ascii="Arial" w:hAnsi="Arial" w:cs="Arial"/>
                <w:sz w:val="18"/>
                <w:szCs w:val="18"/>
              </w:rPr>
            </w:pPr>
            <w:r>
              <w:rPr>
                <w:rFonts w:ascii="Arial" w:hAnsi="Arial" w:cs="Arial"/>
                <w:sz w:val="18"/>
                <w:szCs w:val="18"/>
              </w:rPr>
              <w:t>D2</w:t>
            </w:r>
            <w:r>
              <w:rPr>
                <w:rFonts w:ascii="Arial" w:hAnsi="Arial" w:cs="Arial"/>
                <w:b/>
                <w:bCs/>
                <w:sz w:val="18"/>
                <w:szCs w:val="18"/>
                <w:vertAlign w:val="superscript"/>
              </w:rPr>
              <w:t>1</w:t>
            </w:r>
            <w:r>
              <w:rPr>
                <w:rFonts w:ascii="Arial" w:hAnsi="Arial" w:cs="Arial"/>
                <w:sz w:val="18"/>
                <w:szCs w:val="18"/>
              </w:rPr>
              <w:t xml:space="preserve"> Only applies to the Vulnerable category</w:t>
            </w:r>
          </w:p>
          <w:p w14:paraId="678CC942" w14:textId="77777777" w:rsidR="00B473E2" w:rsidRDefault="00B473E2" w:rsidP="00B473E2">
            <w:pPr>
              <w:rPr>
                <w:rFonts w:ascii="Arial" w:hAnsi="Arial" w:cs="Arial"/>
                <w:sz w:val="18"/>
                <w:szCs w:val="18"/>
              </w:rPr>
            </w:pPr>
            <w:r>
              <w:rPr>
                <w:rFonts w:ascii="Arial" w:hAnsi="Arial" w:cs="Arial"/>
                <w:sz w:val="18"/>
                <w:szCs w:val="18"/>
              </w:rPr>
              <w:t>Restricted area of occupancy or</w:t>
            </w:r>
          </w:p>
          <w:p w14:paraId="1F11DF71" w14:textId="77777777" w:rsidR="00B473E2" w:rsidRDefault="00B473E2" w:rsidP="00B473E2">
            <w:pPr>
              <w:rPr>
                <w:rFonts w:ascii="Arial" w:hAnsi="Arial" w:cs="Arial"/>
                <w:sz w:val="18"/>
                <w:szCs w:val="18"/>
              </w:rPr>
            </w:pPr>
            <w:r>
              <w:rPr>
                <w:rFonts w:ascii="Arial" w:hAnsi="Arial" w:cs="Arial"/>
                <w:sz w:val="18"/>
                <w:szCs w:val="18"/>
              </w:rPr>
              <w:t>number of locations with a plausible</w:t>
            </w:r>
          </w:p>
          <w:p w14:paraId="0BB5AC33" w14:textId="77777777" w:rsidR="00B473E2" w:rsidRDefault="00B473E2" w:rsidP="00B473E2">
            <w:pPr>
              <w:rPr>
                <w:rFonts w:ascii="Arial" w:hAnsi="Arial" w:cs="Arial"/>
                <w:sz w:val="18"/>
                <w:szCs w:val="18"/>
              </w:rPr>
            </w:pPr>
            <w:r>
              <w:rPr>
                <w:rFonts w:ascii="Arial" w:hAnsi="Arial" w:cs="Arial"/>
                <w:sz w:val="18"/>
                <w:szCs w:val="18"/>
              </w:rPr>
              <w:t>future threat that could drive the</w:t>
            </w:r>
          </w:p>
          <w:p w14:paraId="539BD234" w14:textId="77777777" w:rsidR="00B473E2" w:rsidRDefault="00B473E2" w:rsidP="00B473E2">
            <w:pPr>
              <w:rPr>
                <w:rFonts w:ascii="Arial" w:hAnsi="Arial" w:cs="Arial"/>
                <w:sz w:val="18"/>
                <w:szCs w:val="18"/>
              </w:rPr>
            </w:pPr>
            <w:r>
              <w:rPr>
                <w:rFonts w:ascii="Arial" w:hAnsi="Arial" w:cs="Arial"/>
                <w:sz w:val="18"/>
                <w:szCs w:val="18"/>
              </w:rPr>
              <w:t>species to critically endangered or</w:t>
            </w:r>
          </w:p>
          <w:p w14:paraId="1BDBFF24" w14:textId="77777777" w:rsidR="00B473E2" w:rsidRDefault="00B473E2" w:rsidP="00B473E2">
            <w:pPr>
              <w:rPr>
                <w:rFonts w:ascii="Arial" w:hAnsi="Arial" w:cs="Arial"/>
                <w:sz w:val="18"/>
                <w:szCs w:val="18"/>
              </w:rPr>
            </w:pPr>
            <w:r>
              <w:rPr>
                <w:rFonts w:ascii="Arial" w:hAnsi="Arial" w:cs="Arial"/>
                <w:sz w:val="18"/>
                <w:szCs w:val="18"/>
              </w:rPr>
              <w:t>Extinct in a very short time</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61D7D148" w14:textId="77777777" w:rsidR="00B473E2" w:rsidRDefault="00B473E2" w:rsidP="00B473E2">
            <w:pPr>
              <w:jc w:val="center"/>
              <w:rPr>
                <w:rFonts w:ascii="Arial" w:hAnsi="Arial" w:cs="Arial"/>
                <w:b/>
                <w:bCs/>
                <w:sz w:val="18"/>
                <w:szCs w:val="18"/>
              </w:rPr>
            </w:pPr>
            <w:r>
              <w:rPr>
                <w:rFonts w:ascii="Arial" w:hAnsi="Arial" w:cs="Arial"/>
                <w:b/>
                <w:bCs/>
                <w:sz w:val="18"/>
                <w:szCs w:val="18"/>
              </w:rPr>
              <w:t>-</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2F84A2C1" w14:textId="77777777" w:rsidR="00B473E2" w:rsidRDefault="00B473E2" w:rsidP="00B473E2">
            <w:pPr>
              <w:jc w:val="center"/>
              <w:rPr>
                <w:rFonts w:ascii="Arial" w:hAnsi="Arial" w:cs="Arial"/>
                <w:b/>
                <w:bCs/>
                <w:sz w:val="18"/>
                <w:szCs w:val="18"/>
              </w:rPr>
            </w:pPr>
            <w:r>
              <w:rPr>
                <w:rFonts w:ascii="Arial" w:hAnsi="Arial" w:cs="Arial"/>
                <w:b/>
                <w:bCs/>
                <w:sz w:val="18"/>
                <w:szCs w:val="18"/>
              </w:rPr>
              <w:t>-</w:t>
            </w:r>
          </w:p>
        </w:tc>
        <w:tc>
          <w:tcPr>
            <w:tcW w:w="2126" w:type="dxa"/>
            <w:tcBorders>
              <w:top w:val="nil"/>
              <w:left w:val="nil"/>
              <w:bottom w:val="single" w:sz="8" w:space="0" w:color="auto"/>
              <w:right w:val="single" w:sz="8" w:space="0" w:color="auto"/>
            </w:tcBorders>
            <w:shd w:val="clear" w:color="auto" w:fill="FFFF66"/>
            <w:tcMar>
              <w:top w:w="57" w:type="dxa"/>
              <w:left w:w="85" w:type="dxa"/>
              <w:bottom w:w="57" w:type="dxa"/>
              <w:right w:w="108" w:type="dxa"/>
            </w:tcMar>
            <w:vAlign w:val="center"/>
            <w:hideMark/>
          </w:tcPr>
          <w:p w14:paraId="0E6499A9" w14:textId="77777777" w:rsidR="00B473E2" w:rsidRDefault="00B473E2" w:rsidP="00B473E2">
            <w:pPr>
              <w:jc w:val="center"/>
              <w:rPr>
                <w:rFonts w:ascii="Arial" w:hAnsi="Arial" w:cs="Arial"/>
                <w:sz w:val="18"/>
                <w:szCs w:val="18"/>
              </w:rPr>
            </w:pPr>
            <w:r>
              <w:rPr>
                <w:rFonts w:ascii="Arial" w:hAnsi="Arial" w:cs="Arial"/>
                <w:b/>
                <w:bCs/>
                <w:sz w:val="18"/>
                <w:szCs w:val="18"/>
              </w:rPr>
              <w:t xml:space="preserve">D2. </w:t>
            </w:r>
            <w:r>
              <w:rPr>
                <w:rFonts w:ascii="Arial" w:hAnsi="Arial" w:cs="Arial"/>
                <w:sz w:val="18"/>
                <w:szCs w:val="18"/>
              </w:rPr>
              <w:t>Typically: area of</w:t>
            </w:r>
          </w:p>
          <w:p w14:paraId="4467B02D" w14:textId="77777777" w:rsidR="00B473E2" w:rsidRDefault="00B473E2" w:rsidP="00B473E2">
            <w:pPr>
              <w:jc w:val="center"/>
              <w:rPr>
                <w:rFonts w:ascii="Arial" w:hAnsi="Arial" w:cs="Arial"/>
                <w:sz w:val="18"/>
                <w:szCs w:val="18"/>
              </w:rPr>
            </w:pPr>
            <w:r>
              <w:rPr>
                <w:rFonts w:ascii="Arial" w:hAnsi="Arial" w:cs="Arial"/>
                <w:sz w:val="18"/>
                <w:szCs w:val="18"/>
              </w:rPr>
              <w:t>occupancy &lt; 20 km2 or</w:t>
            </w:r>
          </w:p>
          <w:p w14:paraId="58DE88A3" w14:textId="77777777" w:rsidR="00B473E2" w:rsidRDefault="00B473E2" w:rsidP="00B473E2">
            <w:pPr>
              <w:jc w:val="center"/>
              <w:rPr>
                <w:rFonts w:ascii="Arial" w:hAnsi="Arial" w:cs="Arial"/>
                <w:b/>
                <w:bCs/>
                <w:sz w:val="18"/>
                <w:szCs w:val="18"/>
              </w:rPr>
            </w:pPr>
            <w:r>
              <w:rPr>
                <w:rFonts w:ascii="Arial" w:hAnsi="Arial" w:cs="Arial"/>
                <w:sz w:val="18"/>
                <w:szCs w:val="18"/>
              </w:rPr>
              <w:t>number of locations ≤ 5</w:t>
            </w:r>
          </w:p>
        </w:tc>
      </w:tr>
    </w:tbl>
    <w:p w14:paraId="088F65E9" w14:textId="77777777" w:rsidR="00B473E2" w:rsidRDefault="00B473E2" w:rsidP="00B473E2">
      <w:pPr>
        <w:spacing w:before="240"/>
        <w:rPr>
          <w:rFonts w:ascii="Arial" w:hAnsi="Arial" w:cs="Arial"/>
          <w:i/>
          <w:iCs/>
          <w:sz w:val="18"/>
          <w:szCs w:val="18"/>
        </w:rPr>
      </w:pPr>
      <w:r>
        <w:rPr>
          <w:rFonts w:ascii="Arial" w:hAnsi="Arial" w:cs="Arial"/>
          <w:i/>
          <w:iCs/>
          <w:sz w:val="18"/>
          <w:szCs w:val="18"/>
          <w:vertAlign w:val="superscript"/>
        </w:rPr>
        <w:t>1</w:t>
      </w:r>
      <w:r>
        <w:rPr>
          <w:rFonts w:ascii="Arial"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5" w:history="1">
        <w:r>
          <w:rPr>
            <w:rStyle w:val="Hyperlink"/>
            <w:rFonts w:ascii="Arial" w:hAnsi="Arial" w:cs="Arial"/>
            <w:i/>
            <w:iCs/>
            <w:sz w:val="18"/>
            <w:szCs w:val="18"/>
          </w:rPr>
          <w:t>common assessment method</w:t>
        </w:r>
      </w:hyperlink>
      <w:r>
        <w:rPr>
          <w:rFonts w:ascii="Arial" w:hAnsi="Arial" w:cs="Arial"/>
          <w:i/>
          <w:iCs/>
          <w:sz w:val="18"/>
          <w:szCs w:val="18"/>
        </w:rPr>
        <w:t>.</w:t>
      </w:r>
    </w:p>
    <w:p w14:paraId="004545D5" w14:textId="77777777" w:rsidR="00B473E2" w:rsidRDefault="00B473E2" w:rsidP="00B473E2">
      <w:pPr>
        <w:rPr>
          <w:rFonts w:ascii="Arial" w:hAnsi="Arial"/>
          <w:b/>
          <w:sz w:val="22"/>
        </w:rPr>
      </w:pPr>
    </w:p>
    <w:p w14:paraId="7C94B9F7" w14:textId="77777777" w:rsidR="00B473E2" w:rsidRPr="003B006A" w:rsidRDefault="00B473E2" w:rsidP="00B473E2">
      <w:pPr>
        <w:rPr>
          <w:rFonts w:ascii="Arial" w:hAnsi="Arial"/>
          <w:sz w:val="22"/>
        </w:rPr>
      </w:pPr>
      <w:r w:rsidRPr="009975EA">
        <w:rPr>
          <w:rFonts w:ascii="Arial" w:hAnsi="Arial"/>
          <w:b/>
          <w:sz w:val="22"/>
        </w:rPr>
        <w:t>Evidence</w:t>
      </w:r>
      <w:r>
        <w:rPr>
          <w:rFonts w:ascii="Arial" w:hAnsi="Arial"/>
          <w:b/>
          <w:sz w:val="22"/>
        </w:rPr>
        <w:t>:</w:t>
      </w:r>
    </w:p>
    <w:p w14:paraId="1FC75E0D" w14:textId="77777777" w:rsidR="003F4D21" w:rsidRDefault="003F4D21" w:rsidP="003F4D21">
      <w:pPr>
        <w:rPr>
          <w:rFonts w:ascii="Arial" w:hAnsi="Arial" w:cs="Arial"/>
          <w:b/>
          <w:sz w:val="22"/>
          <w:szCs w:val="22"/>
        </w:rPr>
      </w:pPr>
    </w:p>
    <w:p w14:paraId="0201F7EA" w14:textId="29D0B47F" w:rsidR="00CF5819" w:rsidRPr="00A815F5" w:rsidRDefault="00CF5819" w:rsidP="00CF5819">
      <w:pPr>
        <w:spacing w:after="240"/>
        <w:rPr>
          <w:rFonts w:ascii="Arial" w:hAnsi="Arial" w:cs="Arial"/>
          <w:sz w:val="22"/>
          <w:szCs w:val="22"/>
        </w:rPr>
      </w:pPr>
      <w:r w:rsidRPr="00A815F5">
        <w:rPr>
          <w:rFonts w:ascii="Arial" w:hAnsi="Arial" w:cs="Arial"/>
          <w:sz w:val="22"/>
          <w:szCs w:val="22"/>
        </w:rPr>
        <w:t xml:space="preserve">As outlined under Criterion 3 the population of this species is well in excess of 1 000 individuals. </w:t>
      </w:r>
    </w:p>
    <w:p w14:paraId="55F7E753" w14:textId="77777777" w:rsidR="00392D7D" w:rsidRDefault="00392D7D" w:rsidP="00392D7D">
      <w:pPr>
        <w:rPr>
          <w:rFonts w:ascii="Arial" w:hAnsi="Arial" w:cs="Arial"/>
          <w:sz w:val="22"/>
          <w:szCs w:val="22"/>
        </w:rPr>
      </w:pPr>
      <w:r w:rsidRPr="00A815F5">
        <w:rPr>
          <w:rFonts w:ascii="Arial" w:hAnsi="Arial" w:cs="Arial"/>
          <w:sz w:val="22"/>
          <w:szCs w:val="22"/>
        </w:rPr>
        <w:t>The</w:t>
      </w:r>
      <w:r w:rsidRPr="00D9126D">
        <w:rPr>
          <w:rFonts w:ascii="Arial" w:hAnsi="Arial" w:cs="Arial"/>
          <w:sz w:val="22"/>
          <w:szCs w:val="22"/>
        </w:rPr>
        <w:t xml:space="preserve"> data presented above appear to be insufficient to demonstrate if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2272391D" w14:textId="77777777" w:rsidR="004F6E9D" w:rsidRDefault="004F6E9D" w:rsidP="005A021F">
      <w:pPr>
        <w:spacing w:after="36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63426E4A"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1305DED6"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5AA0405A" w14:textId="77777777" w:rsidTr="003F4D21">
        <w:trPr>
          <w:trHeight w:val="439"/>
        </w:trPr>
        <w:tc>
          <w:tcPr>
            <w:tcW w:w="3510" w:type="dxa"/>
            <w:tcBorders>
              <w:top w:val="nil"/>
              <w:left w:val="single" w:sz="4" w:space="0" w:color="auto"/>
              <w:bottom w:val="nil"/>
              <w:right w:val="nil"/>
            </w:tcBorders>
          </w:tcPr>
          <w:p w14:paraId="068DEFB8"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E32095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09DEC02"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573DD8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9070F03"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ED7C70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16FBF2DA"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25AE89A0"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50D1AE83"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1720AE0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5BC24073"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62F7529"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33E28FE6" w14:textId="77777777" w:rsidR="003F4D21" w:rsidRDefault="003F4D21" w:rsidP="003F4D21">
      <w:pPr>
        <w:rPr>
          <w:rFonts w:ascii="Arial" w:hAnsi="Arial"/>
          <w:b/>
          <w:sz w:val="22"/>
        </w:rPr>
      </w:pPr>
    </w:p>
    <w:p w14:paraId="15B73D0E"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31ADF50A" w14:textId="77777777" w:rsidR="003F4D21" w:rsidRDefault="003F4D21" w:rsidP="003F4D21">
      <w:pPr>
        <w:rPr>
          <w:rFonts w:ascii="Arial" w:hAnsi="Arial"/>
          <w:b/>
          <w:sz w:val="22"/>
        </w:rPr>
      </w:pPr>
    </w:p>
    <w:p w14:paraId="799E47E3"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4838C5B4"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45055625" w14:textId="77777777" w:rsidR="00615CF6" w:rsidRPr="00F328C0" w:rsidRDefault="00615CF6" w:rsidP="00615CF6">
      <w:pPr>
        <w:pStyle w:val="CAheading"/>
      </w:pPr>
      <w:r w:rsidRPr="00F328C0">
        <w:t>Recovery Plan</w:t>
      </w:r>
    </w:p>
    <w:p w14:paraId="78C6956A" w14:textId="77777777" w:rsidR="00615CF6" w:rsidRPr="00D720F5" w:rsidRDefault="00615CF6" w:rsidP="00615CF6">
      <w:pPr>
        <w:keepNext/>
        <w:keepLines/>
        <w:rPr>
          <w:rFonts w:ascii="Arial" w:hAnsi="Arial" w:cs="Arial"/>
          <w:sz w:val="22"/>
          <w:szCs w:val="22"/>
        </w:rPr>
      </w:pPr>
      <w:r w:rsidRPr="00D720F5">
        <w:rPr>
          <w:rFonts w:ascii="Arial" w:hAnsi="Arial" w:cs="Arial"/>
          <w:sz w:val="22"/>
          <w:szCs w:val="22"/>
        </w:rPr>
        <w:t xml:space="preserve">A decision about whether there should be a recovery plan for this species has not yet been determined. The purpose of this consultation </w:t>
      </w:r>
      <w:r w:rsidR="005416F2" w:rsidRPr="00D720F5">
        <w:rPr>
          <w:rFonts w:ascii="Arial" w:hAnsi="Arial" w:cs="Arial"/>
          <w:sz w:val="22"/>
          <w:szCs w:val="22"/>
        </w:rPr>
        <w:t>document</w:t>
      </w:r>
      <w:r w:rsidRPr="00D720F5">
        <w:rPr>
          <w:rFonts w:ascii="Arial" w:hAnsi="Arial" w:cs="Arial"/>
          <w:sz w:val="22"/>
          <w:szCs w:val="22"/>
        </w:rPr>
        <w:t xml:space="preserve"> is to elicit additional information to help inform this decision. </w:t>
      </w:r>
    </w:p>
    <w:p w14:paraId="755F0AC0" w14:textId="77777777" w:rsidR="00816631" w:rsidRPr="00326919" w:rsidRDefault="00816631" w:rsidP="00816631">
      <w:pPr>
        <w:pStyle w:val="CAIntextheading1"/>
      </w:pPr>
      <w:r w:rsidRPr="00392D7D">
        <w:t>Primary Conservation Actions</w:t>
      </w:r>
    </w:p>
    <w:p w14:paraId="5A2C62B5" w14:textId="34461EA3" w:rsidR="00C40A4A" w:rsidRPr="00E54A36" w:rsidRDefault="00326919" w:rsidP="00E54A36">
      <w:pPr>
        <w:pStyle w:val="CAdotminor"/>
        <w:numPr>
          <w:ilvl w:val="0"/>
          <w:numId w:val="28"/>
        </w:numPr>
        <w:rPr>
          <w:color w:val="auto"/>
        </w:rPr>
      </w:pPr>
      <w:r w:rsidRPr="00E54A36">
        <w:rPr>
          <w:color w:val="auto"/>
        </w:rPr>
        <w:t xml:space="preserve">The primary conservation action for </w:t>
      </w:r>
      <w:r w:rsidR="00B473E2">
        <w:rPr>
          <w:color w:val="auto"/>
        </w:rPr>
        <w:t xml:space="preserve">the </w:t>
      </w:r>
      <w:r w:rsidR="00B473E2">
        <w:t xml:space="preserve">Neglected Nursery Frog </w:t>
      </w:r>
      <w:r w:rsidRPr="00E54A36">
        <w:rPr>
          <w:color w:val="auto"/>
        </w:rPr>
        <w:t xml:space="preserve">is to </w:t>
      </w:r>
      <w:r w:rsidR="00332C05">
        <w:rPr>
          <w:color w:val="auto"/>
        </w:rPr>
        <w:t xml:space="preserve">manage known threats to the species, </w:t>
      </w:r>
      <w:r w:rsidR="00332C05" w:rsidRPr="00861F70">
        <w:rPr>
          <w:color w:val="auto"/>
        </w:rPr>
        <w:t xml:space="preserve">resolve knowledge gaps relating to potential threats to the species and prioritise conservation actions </w:t>
      </w:r>
      <w:r w:rsidR="00332C05">
        <w:rPr>
          <w:color w:val="auto"/>
        </w:rPr>
        <w:t>to address them</w:t>
      </w:r>
      <w:r w:rsidRPr="00E54A36">
        <w:rPr>
          <w:color w:val="auto"/>
        </w:rPr>
        <w:t>.</w:t>
      </w:r>
    </w:p>
    <w:p w14:paraId="73D39670" w14:textId="77777777" w:rsidR="00DC0B65" w:rsidRDefault="00DC0B65" w:rsidP="00DC0B65">
      <w:pPr>
        <w:pStyle w:val="CAIntextheading1"/>
      </w:pPr>
      <w:r>
        <w:t>Conservation and Management Priorities</w:t>
      </w:r>
    </w:p>
    <w:p w14:paraId="2748DB93" w14:textId="77777777" w:rsidR="00E54A36" w:rsidRDefault="00E54A36" w:rsidP="00E54A36">
      <w:pPr>
        <w:pStyle w:val="ListBullet"/>
        <w:numPr>
          <w:ilvl w:val="0"/>
          <w:numId w:val="0"/>
        </w:numPr>
        <w:tabs>
          <w:tab w:val="left" w:pos="720"/>
        </w:tabs>
        <w:spacing w:after="120"/>
        <w:ind w:left="786" w:hanging="786"/>
        <w:rPr>
          <w:rFonts w:ascii="Arial" w:hAnsi="Arial" w:cs="Arial"/>
          <w:bCs/>
          <w:sz w:val="22"/>
          <w:szCs w:val="22"/>
          <w:lang w:eastAsia="en-AU"/>
        </w:rPr>
      </w:pPr>
      <w:r>
        <w:rPr>
          <w:rFonts w:ascii="Arial" w:hAnsi="Arial" w:cs="Arial"/>
          <w:sz w:val="22"/>
          <w:szCs w:val="22"/>
        </w:rPr>
        <w:t>Habitat loss and disturbance</w:t>
      </w:r>
    </w:p>
    <w:p w14:paraId="311C63CE" w14:textId="7323429A" w:rsidR="00E54A36" w:rsidRDefault="00E54A36" w:rsidP="00E54A36">
      <w:pPr>
        <w:pStyle w:val="CAdotminor"/>
        <w:numPr>
          <w:ilvl w:val="0"/>
          <w:numId w:val="28"/>
        </w:numPr>
        <w:rPr>
          <w:color w:val="auto"/>
        </w:rPr>
      </w:pPr>
      <w:r>
        <w:t xml:space="preserve">Implement a program ensuring suitable habitat is maintained in areas currently supporting populations of </w:t>
      </w:r>
      <w:r>
        <w:rPr>
          <w:bCs/>
          <w:lang w:eastAsia="en-AU"/>
        </w:rPr>
        <w:t xml:space="preserve">the </w:t>
      </w:r>
      <w:r w:rsidR="00B473E2">
        <w:t xml:space="preserve">Neglected Nursery Frog </w:t>
      </w:r>
      <w:r>
        <w:rPr>
          <w:bCs/>
          <w:lang w:eastAsia="en-AU"/>
        </w:rPr>
        <w:t>and i</w:t>
      </w:r>
      <w:r>
        <w:rPr>
          <w:color w:val="auto"/>
        </w:rPr>
        <w:t xml:space="preserve">nvestigate options for enhancing the resilience of the species’ current habitat to climate change. </w:t>
      </w:r>
    </w:p>
    <w:p w14:paraId="69A5A778" w14:textId="5FFF4558" w:rsidR="00FC4F87" w:rsidRDefault="00FC4F87" w:rsidP="00FC4F87">
      <w:pPr>
        <w:pStyle w:val="CAdotminor"/>
        <w:numPr>
          <w:ilvl w:val="0"/>
          <w:numId w:val="28"/>
        </w:numPr>
        <w:rPr>
          <w:color w:val="auto"/>
        </w:rPr>
      </w:pPr>
      <w:r>
        <w:t xml:space="preserve">Investigate the development of </w:t>
      </w:r>
      <w:r w:rsidRPr="007E38C8">
        <w:t xml:space="preserve">a </w:t>
      </w:r>
      <w:r w:rsidR="000D39D4">
        <w:t>assisted colonisation (</w:t>
      </w:r>
      <w:r w:rsidRPr="007E38C8">
        <w:t>translocation</w:t>
      </w:r>
      <w:r w:rsidR="000D39D4">
        <w:t>)</w:t>
      </w:r>
      <w:r w:rsidRPr="007E38C8">
        <w:t xml:space="preserve"> strategy in response to the threat of climate change. </w:t>
      </w:r>
      <w:r>
        <w:t>The s</w:t>
      </w:r>
      <w:r w:rsidRPr="007E38C8">
        <w:t xml:space="preserve">trategy should include consideration of </w:t>
      </w:r>
      <w:r w:rsidR="000F1B68">
        <w:t xml:space="preserve">the benefits and risks of </w:t>
      </w:r>
      <w:r w:rsidRPr="007E38C8">
        <w:t xml:space="preserve">undertaking a coordinated series of translocations of </w:t>
      </w:r>
      <w:r w:rsidRPr="00326919">
        <w:rPr>
          <w:i/>
          <w:color w:val="000000"/>
          <w:lang w:val="en-US"/>
        </w:rPr>
        <w:t xml:space="preserve">Cophixalus </w:t>
      </w:r>
      <w:r w:rsidRPr="007E38C8">
        <w:t xml:space="preserve">species to mountain tops further south as increased temperatures impact on </w:t>
      </w:r>
      <w:r w:rsidR="000F1B68">
        <w:t xml:space="preserve">their </w:t>
      </w:r>
      <w:r w:rsidRPr="007E38C8">
        <w:t xml:space="preserve">survival and </w:t>
      </w:r>
      <w:r w:rsidR="000F1B68">
        <w:t>reproductive success</w:t>
      </w:r>
      <w:r w:rsidRPr="007E38C8">
        <w:t>.</w:t>
      </w:r>
    </w:p>
    <w:p w14:paraId="292DA1AA" w14:textId="77777777" w:rsidR="00E54A36" w:rsidRPr="00AA5591" w:rsidRDefault="00E54A36" w:rsidP="00E54A36">
      <w:pPr>
        <w:pStyle w:val="text"/>
        <w:spacing w:after="120"/>
      </w:pPr>
      <w:r w:rsidRPr="00AA5591">
        <w:t>Invasive species (including threats from grazing, trampling, predation)</w:t>
      </w:r>
    </w:p>
    <w:p w14:paraId="569FC9B4" w14:textId="77777777" w:rsidR="00E54A36" w:rsidRPr="00E357A3" w:rsidRDefault="00E54A36" w:rsidP="00E54A36">
      <w:pPr>
        <w:pStyle w:val="CAbulletmajor"/>
        <w:numPr>
          <w:ilvl w:val="0"/>
          <w:numId w:val="28"/>
        </w:numPr>
      </w:pPr>
      <w:r w:rsidRPr="0021132D">
        <w:t xml:space="preserve">Reduce the impacts of habitat destruction by feral pigs on existing populations by using fencing (where feasible) and </w:t>
      </w:r>
      <w:r>
        <w:t>reducing</w:t>
      </w:r>
      <w:r w:rsidRPr="0021132D">
        <w:t xml:space="preserve"> pig numbers.</w:t>
      </w:r>
    </w:p>
    <w:p w14:paraId="4B09DB27" w14:textId="77777777" w:rsidR="00E54A36" w:rsidRDefault="00E54A36" w:rsidP="00E54A36">
      <w:pPr>
        <w:pStyle w:val="CAbulletmajor"/>
        <w:numPr>
          <w:ilvl w:val="0"/>
          <w:numId w:val="28"/>
        </w:numPr>
      </w:pPr>
      <w:r w:rsidRPr="00E357A3">
        <w:t xml:space="preserve">Control yellow crazy ants by baiting at critical stages of the ants’ life cycle. </w:t>
      </w:r>
    </w:p>
    <w:p w14:paraId="69A45B62" w14:textId="77777777" w:rsidR="00FC4F87" w:rsidRPr="00AA5591" w:rsidRDefault="00FC4F87" w:rsidP="00FC4F87">
      <w:pPr>
        <w:pStyle w:val="text"/>
      </w:pPr>
      <w:r w:rsidRPr="00AA5591">
        <w:t>Disease</w:t>
      </w:r>
    </w:p>
    <w:p w14:paraId="6152BA4E" w14:textId="77777777" w:rsidR="00FC4F87" w:rsidRDefault="00FC4F87" w:rsidP="00FC4F87">
      <w:pPr>
        <w:pStyle w:val="CAbulletmajor"/>
        <w:numPr>
          <w:ilvl w:val="0"/>
          <w:numId w:val="28"/>
        </w:numPr>
      </w:pPr>
      <w:r>
        <w:t xml:space="preserve">Minimise the spread </w:t>
      </w:r>
      <w:r w:rsidRPr="001F22DB">
        <w:t xml:space="preserve">of the </w:t>
      </w:r>
      <w:r>
        <w:t xml:space="preserve">amphibian </w:t>
      </w:r>
      <w:r w:rsidRPr="001F22DB">
        <w:t xml:space="preserve">chytrid fungus </w:t>
      </w:r>
      <w:r>
        <w:t>by i</w:t>
      </w:r>
      <w:r w:rsidRPr="001F22DB">
        <w:t>mplement</w:t>
      </w:r>
      <w:r>
        <w:t>ing</w:t>
      </w:r>
      <w:r w:rsidRPr="001F22DB">
        <w:t xml:space="preserve"> suitable hygiene protocols (Murray 2011) to protect priority populations </w:t>
      </w:r>
      <w:r>
        <w:t xml:space="preserve">as described in the </w:t>
      </w:r>
      <w:r w:rsidRPr="00CB272C">
        <w:rPr>
          <w:i/>
        </w:rPr>
        <w:t>Threat abatement plan for infection of amphibians with chytrid fungus resulting in chytridiomycosis</w:t>
      </w:r>
      <w:r w:rsidRPr="001F22DB">
        <w:t xml:space="preserve"> (D</w:t>
      </w:r>
      <w:r>
        <w:t>epartment of the Environment and Energy</w:t>
      </w:r>
      <w:r w:rsidRPr="001F22DB">
        <w:t xml:space="preserve"> 2016).</w:t>
      </w:r>
    </w:p>
    <w:p w14:paraId="3DC23E45" w14:textId="77777777" w:rsidR="00FC4F87" w:rsidRDefault="00FC4F87" w:rsidP="00FC4F87">
      <w:pPr>
        <w:pStyle w:val="CAbulletmajor"/>
        <w:numPr>
          <w:ilvl w:val="0"/>
          <w:numId w:val="28"/>
        </w:numPr>
        <w:rPr>
          <w:rFonts w:ascii="Times New Roman" w:hAnsi="Times New Roman" w:cs="Times New Roman"/>
          <w:sz w:val="24"/>
          <w:szCs w:val="24"/>
        </w:rPr>
      </w:pPr>
      <w:r w:rsidRPr="00573F5E">
        <w:t>Provide disease identification and prevention protocols (methods of handling, diagnostic keys, etc.) to researchers and land managers for use in the field.</w:t>
      </w:r>
    </w:p>
    <w:p w14:paraId="54293C10" w14:textId="77777777" w:rsidR="00E54A36" w:rsidRDefault="00E54A36" w:rsidP="00E54A36">
      <w:pPr>
        <w:pStyle w:val="text"/>
        <w:spacing w:after="120"/>
      </w:pPr>
      <w:r>
        <w:t>Stakeholder Engagement</w:t>
      </w:r>
    </w:p>
    <w:p w14:paraId="4CF203EF" w14:textId="77777777" w:rsidR="00E54A36" w:rsidRPr="00E357A3" w:rsidRDefault="00E54A36" w:rsidP="00E54A36">
      <w:pPr>
        <w:pStyle w:val="CAbulletmajor"/>
        <w:numPr>
          <w:ilvl w:val="0"/>
          <w:numId w:val="28"/>
        </w:numPr>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6FC65F0F" w14:textId="2871E00C" w:rsidR="00DC0B65" w:rsidRPr="00E54A36" w:rsidRDefault="00E54A36" w:rsidP="00A80A54">
      <w:pPr>
        <w:pStyle w:val="CAbulletmajor"/>
        <w:numPr>
          <w:ilvl w:val="0"/>
          <w:numId w:val="28"/>
        </w:numPr>
      </w:pPr>
      <w:r w:rsidRPr="00DF0C10">
        <w:t xml:space="preserve">Inform </w:t>
      </w:r>
      <w:r>
        <w:t xml:space="preserve">the public about the status and recovery efforts for </w:t>
      </w:r>
      <w:r w:rsidRPr="00DF0C10">
        <w:t>the species, e.g. by providing information to visitors to the Wet Tropics</w:t>
      </w:r>
      <w:r>
        <w:t xml:space="preserve"> World Heritage Area and publicising the species through the media</w:t>
      </w:r>
      <w:r w:rsidRPr="00DF0C10">
        <w:t>.</w:t>
      </w:r>
      <w:r w:rsidR="00DC0B65" w:rsidRPr="00E54A36">
        <w:t xml:space="preserve"> </w:t>
      </w:r>
    </w:p>
    <w:p w14:paraId="2839C547" w14:textId="77777777" w:rsidR="00DC0B65" w:rsidRDefault="00DC0B65" w:rsidP="00DC0B65">
      <w:pPr>
        <w:pStyle w:val="Normal12pt"/>
        <w:tabs>
          <w:tab w:val="left" w:pos="426"/>
        </w:tabs>
        <w:ind w:left="426" w:hanging="426"/>
        <w:rPr>
          <w:rFonts w:ascii="Arial" w:hAnsi="Arial" w:cs="Arial"/>
          <w:b/>
          <w:sz w:val="22"/>
          <w:szCs w:val="22"/>
        </w:rPr>
      </w:pPr>
      <w:r>
        <w:rPr>
          <w:rFonts w:ascii="Arial" w:hAnsi="Arial" w:cs="Arial"/>
          <w:b/>
          <w:sz w:val="22"/>
          <w:szCs w:val="22"/>
        </w:rPr>
        <w:t>Survey and Monitoring priorities</w:t>
      </w:r>
    </w:p>
    <w:p w14:paraId="4B51EDF7" w14:textId="6CE7EECE" w:rsidR="00DC0B65" w:rsidRDefault="00DC0B65" w:rsidP="00DC0B65">
      <w:pPr>
        <w:pStyle w:val="CAdotmajor"/>
        <w:numPr>
          <w:ilvl w:val="0"/>
          <w:numId w:val="18"/>
        </w:numPr>
        <w:ind w:left="709" w:hanging="425"/>
      </w:pPr>
      <w:r>
        <w:t xml:space="preserve">More precisely assess the population size, distribution and ecological requirements of </w:t>
      </w:r>
      <w:r w:rsidR="00B40DB3">
        <w:t>the neglected nursery frog</w:t>
      </w:r>
      <w:r>
        <w:t>.</w:t>
      </w:r>
      <w:r w:rsidR="000C18E8">
        <w:t xml:space="preserve"> A particular focus should be to detect changes in the lower altitudinal limit of the species’ distribution.</w:t>
      </w:r>
    </w:p>
    <w:p w14:paraId="2122E6E9" w14:textId="24758F9A" w:rsidR="00DC0B65" w:rsidRPr="007E38C8" w:rsidRDefault="00DC0B65" w:rsidP="00DC0B65">
      <w:pPr>
        <w:pStyle w:val="CAdotmajor"/>
        <w:numPr>
          <w:ilvl w:val="0"/>
          <w:numId w:val="18"/>
        </w:numPr>
        <w:tabs>
          <w:tab w:val="clear" w:pos="786"/>
          <w:tab w:val="num" w:pos="851"/>
        </w:tabs>
        <w:ind w:left="709" w:hanging="425"/>
      </w:pPr>
      <w:r w:rsidRPr="007E38C8">
        <w:t xml:space="preserve">Design and implement a monitoring program for </w:t>
      </w:r>
      <w:r w:rsidR="00B40DB3">
        <w:t xml:space="preserve">the </w:t>
      </w:r>
      <w:r w:rsidR="00B473E2">
        <w:t>Neglected Nursery Frog</w:t>
      </w:r>
      <w:r w:rsidRPr="007E38C8">
        <w:t>.</w:t>
      </w:r>
    </w:p>
    <w:p w14:paraId="53014BBD" w14:textId="77777777" w:rsidR="00DC0B65" w:rsidRPr="007E38C8" w:rsidRDefault="00DC0B65" w:rsidP="00DC0B65">
      <w:pPr>
        <w:pStyle w:val="Normal12pt"/>
        <w:rPr>
          <w:rFonts w:ascii="Arial" w:hAnsi="Arial" w:cs="Arial"/>
          <w:sz w:val="22"/>
          <w:szCs w:val="22"/>
        </w:rPr>
      </w:pPr>
      <w:r w:rsidRPr="007E38C8">
        <w:rPr>
          <w:rFonts w:ascii="Arial" w:hAnsi="Arial" w:cs="Arial"/>
          <w:b/>
          <w:sz w:val="22"/>
          <w:szCs w:val="22"/>
        </w:rPr>
        <w:t>Information and Research priorities</w:t>
      </w:r>
      <w:r w:rsidRPr="007E38C8">
        <w:rPr>
          <w:rFonts w:ascii="Arial" w:hAnsi="Arial" w:cs="Arial"/>
          <w:sz w:val="22"/>
          <w:szCs w:val="22"/>
        </w:rPr>
        <w:t xml:space="preserve"> </w:t>
      </w:r>
    </w:p>
    <w:p w14:paraId="73C37C5B" w14:textId="6EDD338F" w:rsidR="00DC0B65" w:rsidRPr="007E38C8" w:rsidRDefault="00DC0B65" w:rsidP="00DC0B65">
      <w:pPr>
        <w:pStyle w:val="CAdotmajor"/>
        <w:numPr>
          <w:ilvl w:val="0"/>
          <w:numId w:val="18"/>
        </w:numPr>
        <w:tabs>
          <w:tab w:val="clear" w:pos="786"/>
          <w:tab w:val="num" w:pos="851"/>
        </w:tabs>
        <w:ind w:left="709" w:hanging="425"/>
      </w:pPr>
      <w:r w:rsidRPr="007E38C8">
        <w:t>Improve knowledge of the</w:t>
      </w:r>
      <w:r w:rsidRPr="007E38C8">
        <w:rPr>
          <w:lang w:eastAsia="en-AU"/>
        </w:rPr>
        <w:t xml:space="preserve"> reproductive biology, age structure and growth rates of </w:t>
      </w:r>
      <w:r w:rsidR="00B40DB3">
        <w:t xml:space="preserve">the </w:t>
      </w:r>
      <w:r w:rsidR="00B473E2">
        <w:t>Neglected Nursery Frog</w:t>
      </w:r>
      <w:r w:rsidRPr="007E38C8">
        <w:t>.</w:t>
      </w:r>
    </w:p>
    <w:p w14:paraId="2D86A213" w14:textId="64B775BC" w:rsidR="00DC0B65" w:rsidRPr="007E38C8" w:rsidRDefault="00DC0B65" w:rsidP="00DC0B65">
      <w:pPr>
        <w:pStyle w:val="CAdotmajor"/>
        <w:numPr>
          <w:ilvl w:val="0"/>
          <w:numId w:val="18"/>
        </w:numPr>
        <w:ind w:left="709" w:hanging="425"/>
      </w:pPr>
      <w:r w:rsidRPr="007E38C8">
        <w:t xml:space="preserve">Improve knowledge of the thermal tolerance limits of </w:t>
      </w:r>
      <w:r w:rsidR="00B40DB3">
        <w:t xml:space="preserve">the </w:t>
      </w:r>
      <w:r w:rsidR="00B473E2">
        <w:t xml:space="preserve">Neglected Nursery Frog </w:t>
      </w:r>
      <w:r w:rsidRPr="007E38C8">
        <w:t>and assess its possible response to future climate scenarios.</w:t>
      </w:r>
    </w:p>
    <w:p w14:paraId="5C7BBFF6" w14:textId="7F49AB73" w:rsidR="00FC4F87" w:rsidRDefault="00FC4F87" w:rsidP="00FC4F87">
      <w:pPr>
        <w:pStyle w:val="CAbulletmajor"/>
        <w:tabs>
          <w:tab w:val="clear" w:pos="786"/>
        </w:tabs>
        <w:ind w:left="709" w:hanging="425"/>
      </w:pPr>
      <w:r w:rsidRPr="00D573F2">
        <w:t xml:space="preserve">Improve understanding of how climate change will likely impact on the </w:t>
      </w:r>
      <w:r w:rsidR="00144BFD">
        <w:t xml:space="preserve">Neglected </w:t>
      </w:r>
      <w:r>
        <w:t>Nursery</w:t>
      </w:r>
      <w:r w:rsidRPr="00A005D1">
        <w:t xml:space="preserve"> </w:t>
      </w:r>
      <w:r>
        <w:t>F</w:t>
      </w:r>
      <w:r w:rsidRPr="00A005D1">
        <w:t>rog</w:t>
      </w:r>
      <w:r w:rsidRPr="00D573F2">
        <w:t xml:space="preserve"> due to altered temperatures, rainfall, environmental stressors and disease</w:t>
      </w:r>
      <w:r>
        <w:t xml:space="preserve"> virulence</w:t>
      </w:r>
      <w:r w:rsidRPr="00D573F2">
        <w:t>.</w:t>
      </w:r>
    </w:p>
    <w:p w14:paraId="12802A65" w14:textId="77777777" w:rsidR="00FC4F87" w:rsidRPr="007E38C8" w:rsidRDefault="00FC4F87" w:rsidP="00FC4F87">
      <w:pPr>
        <w:pStyle w:val="CAdotmajor"/>
        <w:numPr>
          <w:ilvl w:val="0"/>
          <w:numId w:val="18"/>
        </w:numPr>
        <w:ind w:left="709" w:hanging="425"/>
      </w:pPr>
      <w:r>
        <w:t>Improve understanding of husbandry methods for the species.</w:t>
      </w:r>
    </w:p>
    <w:p w14:paraId="458FB298" w14:textId="364ABEAC" w:rsidR="00DC33E0" w:rsidRPr="00B40DB3" w:rsidRDefault="00B40DB3" w:rsidP="00FC4F87">
      <w:pPr>
        <w:pStyle w:val="CAdotmajor"/>
        <w:numPr>
          <w:ilvl w:val="0"/>
          <w:numId w:val="18"/>
        </w:numPr>
        <w:ind w:left="709" w:hanging="425"/>
      </w:pPr>
      <w:r w:rsidRPr="00B40DB3">
        <w:t xml:space="preserve">Improve understanding of the impacts of feral pigs and yellow crazy ants on </w:t>
      </w:r>
      <w:r>
        <w:t xml:space="preserve">the </w:t>
      </w:r>
      <w:r w:rsidR="00B473E2">
        <w:t>Neglected Nursery Frog</w:t>
      </w:r>
      <w:r w:rsidRPr="00B40DB3">
        <w:t>.</w:t>
      </w:r>
    </w:p>
    <w:p w14:paraId="34C3461D" w14:textId="77777777" w:rsidR="003B2720" w:rsidRPr="005764C5" w:rsidRDefault="003B2720" w:rsidP="0046299A">
      <w:pPr>
        <w:pStyle w:val="Normal12ptCharCharCharCharCharChar"/>
        <w:spacing w:after="0"/>
        <w:rPr>
          <w:rFonts w:ascii="Arial" w:hAnsi="Arial" w:cs="Arial"/>
          <w:b/>
          <w:bCs/>
          <w:sz w:val="22"/>
          <w:szCs w:val="22"/>
          <w:u w:val="single"/>
        </w:rPr>
      </w:pPr>
      <w:r w:rsidRPr="00450121">
        <w:rPr>
          <w:rFonts w:ascii="Arial" w:hAnsi="Arial" w:cs="Arial"/>
          <w:b/>
          <w:bCs/>
          <w:sz w:val="22"/>
          <w:szCs w:val="22"/>
          <w:u w:val="single"/>
        </w:rPr>
        <w:t>Refere</w:t>
      </w:r>
      <w:r w:rsidRPr="005764C5">
        <w:rPr>
          <w:rFonts w:ascii="Arial" w:hAnsi="Arial" w:cs="Arial"/>
          <w:b/>
          <w:bCs/>
          <w:sz w:val="22"/>
          <w:szCs w:val="22"/>
          <w:u w:val="single"/>
        </w:rPr>
        <w:t>nces cited in the advice</w:t>
      </w:r>
    </w:p>
    <w:p w14:paraId="426598A8" w14:textId="77777777" w:rsidR="002A4C94" w:rsidRPr="009E3A92" w:rsidRDefault="002A4C94" w:rsidP="00855525">
      <w:pPr>
        <w:rPr>
          <w:rFonts w:ascii="Arial" w:hAnsi="Arial" w:cs="Arial"/>
          <w:color w:val="FF0000"/>
          <w:sz w:val="22"/>
          <w:szCs w:val="22"/>
        </w:rPr>
      </w:pPr>
    </w:p>
    <w:p w14:paraId="024D3A07" w14:textId="77777777" w:rsidR="000D39D4" w:rsidRDefault="000D39D4" w:rsidP="00F966DA">
      <w:pPr>
        <w:ind w:left="720" w:hanging="720"/>
        <w:rPr>
          <w:rFonts w:ascii="Arial" w:hAnsi="Arial" w:cs="Arial"/>
          <w:sz w:val="22"/>
          <w:szCs w:val="22"/>
        </w:rPr>
      </w:pPr>
      <w:r>
        <w:rPr>
          <w:rFonts w:ascii="Arial" w:hAnsi="Arial" w:cs="Arial"/>
          <w:sz w:val="22"/>
          <w:szCs w:val="22"/>
        </w:rPr>
        <w:t xml:space="preserve">Anstis M. (2017). </w:t>
      </w:r>
      <w:r w:rsidRPr="006375E5">
        <w:rPr>
          <w:rFonts w:ascii="Arial" w:hAnsi="Arial" w:cs="Arial"/>
          <w:i/>
          <w:sz w:val="22"/>
          <w:szCs w:val="22"/>
        </w:rPr>
        <w:t>Tadpoles and Frogs of Australia</w:t>
      </w:r>
      <w:r>
        <w:rPr>
          <w:rFonts w:ascii="Arial" w:hAnsi="Arial" w:cs="Arial"/>
          <w:sz w:val="22"/>
          <w:szCs w:val="22"/>
        </w:rPr>
        <w:t xml:space="preserve"> 2</w:t>
      </w:r>
      <w:r w:rsidRPr="006375E5">
        <w:rPr>
          <w:rFonts w:ascii="Arial" w:hAnsi="Arial" w:cs="Arial"/>
          <w:sz w:val="22"/>
          <w:szCs w:val="22"/>
          <w:vertAlign w:val="superscript"/>
        </w:rPr>
        <w:t>nd</w:t>
      </w:r>
      <w:r>
        <w:rPr>
          <w:rFonts w:ascii="Arial" w:hAnsi="Arial" w:cs="Arial"/>
          <w:sz w:val="22"/>
          <w:szCs w:val="22"/>
        </w:rPr>
        <w:t xml:space="preserve"> Edition. New Holland Publishers Pty Ltd, Australia.</w:t>
      </w:r>
    </w:p>
    <w:p w14:paraId="4E9E41DE" w14:textId="67B7CCD9" w:rsidR="00F966DA" w:rsidRDefault="00F27E37" w:rsidP="00F966DA">
      <w:pPr>
        <w:ind w:left="720" w:hanging="720"/>
        <w:rPr>
          <w:rFonts w:ascii="Arial" w:hAnsi="Arial" w:cs="Arial"/>
          <w:noProof/>
          <w:sz w:val="22"/>
          <w:szCs w:val="22"/>
        </w:rPr>
      </w:pPr>
      <w:r w:rsidRPr="00F966DA">
        <w:rPr>
          <w:rFonts w:ascii="Arial" w:hAnsi="Arial" w:cs="Arial"/>
          <w:sz w:val="22"/>
          <w:szCs w:val="22"/>
        </w:rPr>
        <w:fldChar w:fldCharType="begin"/>
      </w:r>
      <w:r w:rsidR="003C481E" w:rsidRPr="00F966DA">
        <w:rPr>
          <w:rFonts w:ascii="Arial" w:hAnsi="Arial" w:cs="Arial"/>
          <w:sz w:val="22"/>
          <w:szCs w:val="22"/>
        </w:rPr>
        <w:instrText xml:space="preserve"> ADDIN EN.REFLIST </w:instrText>
      </w:r>
      <w:r w:rsidRPr="00F966DA">
        <w:rPr>
          <w:rFonts w:ascii="Arial" w:hAnsi="Arial" w:cs="Arial"/>
          <w:sz w:val="22"/>
          <w:szCs w:val="22"/>
        </w:rPr>
        <w:fldChar w:fldCharType="separate"/>
      </w:r>
      <w:bookmarkStart w:id="2" w:name="_ENREF_1"/>
      <w:r w:rsidR="00F966DA" w:rsidRPr="00F966DA">
        <w:rPr>
          <w:rFonts w:ascii="Arial" w:hAnsi="Arial" w:cs="Arial"/>
          <w:noProof/>
          <w:sz w:val="22"/>
          <w:szCs w:val="22"/>
        </w:rPr>
        <w:t>Cogger H G (2014). Reptiles and Amphibians of Australia. 7th edn. CSIRO Publishing, Collingwood, Victoria.</w:t>
      </w:r>
      <w:bookmarkEnd w:id="2"/>
    </w:p>
    <w:p w14:paraId="398EC610" w14:textId="77777777" w:rsidR="00B40DB3" w:rsidRDefault="00B40DB3" w:rsidP="00B40DB3">
      <w:pPr>
        <w:ind w:left="720" w:hanging="720"/>
        <w:rPr>
          <w:rFonts w:ascii="Arial" w:hAnsi="Arial" w:cs="Arial"/>
          <w:sz w:val="22"/>
          <w:szCs w:val="22"/>
        </w:rPr>
      </w:pPr>
      <w:r>
        <w:rPr>
          <w:rFonts w:ascii="Arial" w:hAnsi="Arial" w:cs="Arial"/>
          <w:sz w:val="22"/>
          <w:szCs w:val="22"/>
        </w:rPr>
        <w:t xml:space="preserve">Felton A R, Alford R A &amp; Schwarzkopf L (2006). Multiple mate choice criteria and the importance of age for male mating success in the microhylid frog, </w:t>
      </w:r>
      <w:r w:rsidRPr="00FF3FF1">
        <w:rPr>
          <w:rFonts w:ascii="Arial" w:hAnsi="Arial" w:cs="Arial"/>
          <w:i/>
          <w:sz w:val="22"/>
          <w:szCs w:val="22"/>
        </w:rPr>
        <w:t>Cophixalus ornatus. Behavioural Ecology and Sciobiology</w:t>
      </w:r>
      <w:r>
        <w:rPr>
          <w:rFonts w:ascii="Arial" w:hAnsi="Arial" w:cs="Arial"/>
          <w:sz w:val="22"/>
          <w:szCs w:val="22"/>
        </w:rPr>
        <w:t xml:space="preserve"> 59:786-795.</w:t>
      </w:r>
    </w:p>
    <w:p w14:paraId="2851BD83" w14:textId="31BC3699" w:rsidR="00F966DA" w:rsidRPr="00F966DA" w:rsidRDefault="00F966DA" w:rsidP="00F966DA">
      <w:pPr>
        <w:ind w:left="720" w:hanging="720"/>
        <w:rPr>
          <w:rFonts w:ascii="Arial" w:hAnsi="Arial" w:cs="Arial"/>
          <w:noProof/>
          <w:sz w:val="22"/>
          <w:szCs w:val="22"/>
        </w:rPr>
      </w:pPr>
      <w:bookmarkStart w:id="3" w:name="_ENREF_2"/>
      <w:r w:rsidRPr="00F966DA">
        <w:rPr>
          <w:rFonts w:ascii="Arial" w:hAnsi="Arial" w:cs="Arial"/>
          <w:noProof/>
          <w:sz w:val="22"/>
          <w:szCs w:val="22"/>
        </w:rPr>
        <w:t>Hauselberger K F</w:t>
      </w:r>
      <w:r w:rsidR="00B40DB3">
        <w:rPr>
          <w:rFonts w:ascii="Arial" w:hAnsi="Arial" w:cs="Arial"/>
          <w:noProof/>
          <w:sz w:val="22"/>
          <w:szCs w:val="22"/>
        </w:rPr>
        <w:t xml:space="preserve"> &amp;</w:t>
      </w:r>
      <w:r w:rsidRPr="00F966DA">
        <w:rPr>
          <w:rFonts w:ascii="Arial" w:hAnsi="Arial" w:cs="Arial"/>
          <w:noProof/>
          <w:sz w:val="22"/>
          <w:szCs w:val="22"/>
        </w:rPr>
        <w:t xml:space="preserve"> Alford R A (2012). Prevalence of </w:t>
      </w:r>
      <w:r w:rsidRPr="00F966DA">
        <w:rPr>
          <w:rFonts w:ascii="Arial" w:hAnsi="Arial" w:cs="Arial"/>
          <w:i/>
          <w:noProof/>
          <w:sz w:val="22"/>
          <w:szCs w:val="22"/>
        </w:rPr>
        <w:t xml:space="preserve">Batrachochytrium dendrobatidis </w:t>
      </w:r>
      <w:r w:rsidRPr="00F966DA">
        <w:rPr>
          <w:rFonts w:ascii="Arial" w:hAnsi="Arial" w:cs="Arial"/>
          <w:noProof/>
          <w:sz w:val="22"/>
          <w:szCs w:val="22"/>
        </w:rPr>
        <w:t xml:space="preserve">infection is extremely low in direct-developing Australian microhylids. </w:t>
      </w:r>
      <w:r w:rsidRPr="00F966DA">
        <w:rPr>
          <w:rFonts w:ascii="Arial" w:hAnsi="Arial" w:cs="Arial"/>
          <w:i/>
          <w:noProof/>
          <w:sz w:val="22"/>
          <w:szCs w:val="22"/>
        </w:rPr>
        <w:t>Diseases of Aquatic Organisms</w:t>
      </w:r>
      <w:r w:rsidRPr="00F966DA">
        <w:rPr>
          <w:rFonts w:ascii="Arial" w:hAnsi="Arial" w:cs="Arial"/>
          <w:noProof/>
          <w:sz w:val="22"/>
          <w:szCs w:val="22"/>
        </w:rPr>
        <w:t xml:space="preserve"> </w:t>
      </w:r>
      <w:r w:rsidRPr="00F966DA">
        <w:rPr>
          <w:rFonts w:ascii="Arial" w:hAnsi="Arial" w:cs="Arial"/>
          <w:i/>
          <w:noProof/>
          <w:sz w:val="22"/>
          <w:szCs w:val="22"/>
        </w:rPr>
        <w:t>100</w:t>
      </w:r>
      <w:r w:rsidRPr="00F966DA">
        <w:rPr>
          <w:rFonts w:ascii="Arial" w:hAnsi="Arial" w:cs="Arial"/>
          <w:noProof/>
          <w:sz w:val="22"/>
          <w:szCs w:val="22"/>
        </w:rPr>
        <w:t>,191-200.</w:t>
      </w:r>
      <w:bookmarkEnd w:id="3"/>
    </w:p>
    <w:p w14:paraId="62E01897" w14:textId="7B7A9D18" w:rsidR="00F966DA" w:rsidRPr="00F966DA" w:rsidRDefault="00F966DA" w:rsidP="00F966DA">
      <w:pPr>
        <w:ind w:left="720" w:hanging="720"/>
        <w:rPr>
          <w:rFonts w:ascii="Arial" w:hAnsi="Arial" w:cs="Arial"/>
          <w:noProof/>
          <w:sz w:val="22"/>
          <w:szCs w:val="22"/>
        </w:rPr>
      </w:pPr>
      <w:bookmarkStart w:id="4" w:name="_ENREF_3"/>
      <w:r w:rsidRPr="00F966DA">
        <w:rPr>
          <w:rFonts w:ascii="Arial" w:hAnsi="Arial" w:cs="Arial"/>
          <w:noProof/>
          <w:sz w:val="22"/>
          <w:szCs w:val="22"/>
        </w:rPr>
        <w:t>Hoskin C J (2004). Australian microhylid frogs (</w:t>
      </w:r>
      <w:r w:rsidRPr="00F966DA">
        <w:rPr>
          <w:rFonts w:ascii="Arial" w:hAnsi="Arial" w:cs="Arial"/>
          <w:i/>
          <w:noProof/>
          <w:sz w:val="22"/>
          <w:szCs w:val="22"/>
        </w:rPr>
        <w:t xml:space="preserve">Cophixalus </w:t>
      </w:r>
      <w:r w:rsidRPr="00F966DA">
        <w:rPr>
          <w:rFonts w:ascii="Arial" w:hAnsi="Arial" w:cs="Arial"/>
          <w:noProof/>
          <w:sz w:val="22"/>
          <w:szCs w:val="22"/>
        </w:rPr>
        <w:t xml:space="preserve">and </w:t>
      </w:r>
      <w:r w:rsidRPr="00F966DA">
        <w:rPr>
          <w:rFonts w:ascii="Arial" w:hAnsi="Arial" w:cs="Arial"/>
          <w:i/>
          <w:noProof/>
          <w:sz w:val="22"/>
          <w:szCs w:val="22"/>
        </w:rPr>
        <w:t>Austrochaperina</w:t>
      </w:r>
      <w:r w:rsidRPr="00F966DA">
        <w:rPr>
          <w:rFonts w:ascii="Arial" w:hAnsi="Arial" w:cs="Arial"/>
          <w:noProof/>
          <w:sz w:val="22"/>
          <w:szCs w:val="22"/>
        </w:rPr>
        <w:t xml:space="preserve">): phylogeny, taxonomy, calls, distributions and breeding biology. </w:t>
      </w:r>
      <w:r w:rsidRPr="00F966DA">
        <w:rPr>
          <w:rFonts w:ascii="Arial" w:hAnsi="Arial" w:cs="Arial"/>
          <w:i/>
          <w:noProof/>
          <w:sz w:val="22"/>
          <w:szCs w:val="22"/>
        </w:rPr>
        <w:t>Australian Journal of Zoology</w:t>
      </w:r>
      <w:r w:rsidRPr="00F966DA">
        <w:rPr>
          <w:rFonts w:ascii="Arial" w:hAnsi="Arial" w:cs="Arial"/>
          <w:noProof/>
          <w:sz w:val="22"/>
          <w:szCs w:val="22"/>
        </w:rPr>
        <w:t xml:space="preserve"> </w:t>
      </w:r>
      <w:r w:rsidRPr="00F966DA">
        <w:rPr>
          <w:rFonts w:ascii="Arial" w:hAnsi="Arial" w:cs="Arial"/>
          <w:i/>
          <w:noProof/>
          <w:sz w:val="22"/>
          <w:szCs w:val="22"/>
        </w:rPr>
        <w:t>52</w:t>
      </w:r>
      <w:r w:rsidRPr="00F966DA">
        <w:rPr>
          <w:rFonts w:ascii="Arial" w:hAnsi="Arial" w:cs="Arial"/>
          <w:noProof/>
          <w:sz w:val="22"/>
          <w:szCs w:val="22"/>
        </w:rPr>
        <w:t>,237-269.</w:t>
      </w:r>
      <w:bookmarkEnd w:id="4"/>
    </w:p>
    <w:p w14:paraId="4A1C3611" w14:textId="3A9F127A" w:rsidR="00F966DA" w:rsidRDefault="00F966DA" w:rsidP="00F966DA">
      <w:pPr>
        <w:ind w:left="720" w:hanging="720"/>
        <w:rPr>
          <w:rFonts w:ascii="Arial" w:hAnsi="Arial" w:cs="Arial"/>
          <w:noProof/>
          <w:sz w:val="22"/>
          <w:szCs w:val="22"/>
        </w:rPr>
      </w:pPr>
      <w:bookmarkStart w:id="5" w:name="_ENREF_4"/>
      <w:r w:rsidRPr="00F966DA">
        <w:rPr>
          <w:rFonts w:ascii="Arial" w:hAnsi="Arial" w:cs="Arial"/>
          <w:noProof/>
          <w:sz w:val="22"/>
          <w:szCs w:val="22"/>
        </w:rPr>
        <w:t xml:space="preserve">Meynecke J-O (2004). Effects of global climate change on geographic distributions of vertebrates in North Queensland. </w:t>
      </w:r>
      <w:r w:rsidRPr="00F966DA">
        <w:rPr>
          <w:rFonts w:ascii="Arial" w:hAnsi="Arial" w:cs="Arial"/>
          <w:i/>
          <w:noProof/>
          <w:sz w:val="22"/>
          <w:szCs w:val="22"/>
        </w:rPr>
        <w:t>Ecological Modelling</w:t>
      </w:r>
      <w:r w:rsidRPr="00F966DA">
        <w:rPr>
          <w:rFonts w:ascii="Arial" w:hAnsi="Arial" w:cs="Arial"/>
          <w:noProof/>
          <w:sz w:val="22"/>
          <w:szCs w:val="22"/>
        </w:rPr>
        <w:t xml:space="preserve"> </w:t>
      </w:r>
      <w:r w:rsidRPr="00F966DA">
        <w:rPr>
          <w:rFonts w:ascii="Arial" w:hAnsi="Arial" w:cs="Arial"/>
          <w:i/>
          <w:noProof/>
          <w:sz w:val="22"/>
          <w:szCs w:val="22"/>
        </w:rPr>
        <w:t>174</w:t>
      </w:r>
      <w:r w:rsidRPr="00F966DA">
        <w:rPr>
          <w:rFonts w:ascii="Arial" w:hAnsi="Arial" w:cs="Arial"/>
          <w:noProof/>
          <w:sz w:val="22"/>
          <w:szCs w:val="22"/>
        </w:rPr>
        <w:t>,347-357.</w:t>
      </w:r>
      <w:bookmarkEnd w:id="5"/>
    </w:p>
    <w:p w14:paraId="42C45E07" w14:textId="77777777" w:rsidR="00B40DB3" w:rsidRPr="006B065E" w:rsidRDefault="00B40DB3" w:rsidP="00B40DB3">
      <w:pPr>
        <w:ind w:left="720" w:hanging="720"/>
        <w:rPr>
          <w:rFonts w:ascii="Arial" w:hAnsi="Arial" w:cs="Arial"/>
          <w:noProof/>
          <w:sz w:val="22"/>
          <w:szCs w:val="22"/>
        </w:rPr>
      </w:pPr>
      <w:bookmarkStart w:id="6" w:name="_ENREF_15"/>
      <w:r w:rsidRPr="008E3161">
        <w:rPr>
          <w:rFonts w:ascii="Arial" w:hAnsi="Arial" w:cs="Arial"/>
          <w:sz w:val="22"/>
          <w:szCs w:val="22"/>
        </w:rPr>
        <w:t xml:space="preserve">Richards SJ, McDonald KR &amp; Alford RA (1993). Declines in populations of Australia's endemic tropical rainforest frogs. </w:t>
      </w:r>
      <w:r w:rsidRPr="008E3161">
        <w:rPr>
          <w:rFonts w:ascii="Arial" w:hAnsi="Arial" w:cs="Arial"/>
          <w:i/>
          <w:sz w:val="22"/>
          <w:szCs w:val="22"/>
        </w:rPr>
        <w:t>Pacific Conservation Biology</w:t>
      </w:r>
      <w:r w:rsidRPr="008E3161">
        <w:rPr>
          <w:rFonts w:ascii="Arial" w:hAnsi="Arial" w:cs="Arial"/>
          <w:sz w:val="22"/>
          <w:szCs w:val="22"/>
        </w:rPr>
        <w:t xml:space="preserve"> </w:t>
      </w:r>
      <w:r w:rsidRPr="008E3161">
        <w:rPr>
          <w:rFonts w:ascii="Arial" w:hAnsi="Arial" w:cs="Arial"/>
          <w:i/>
          <w:sz w:val="22"/>
          <w:szCs w:val="22"/>
        </w:rPr>
        <w:t>1</w:t>
      </w:r>
      <w:r w:rsidRPr="008E3161">
        <w:rPr>
          <w:rFonts w:ascii="Arial" w:hAnsi="Arial" w:cs="Arial"/>
          <w:sz w:val="22"/>
          <w:szCs w:val="22"/>
        </w:rPr>
        <w:t>,66-77.</w:t>
      </w:r>
      <w:bookmarkEnd w:id="6"/>
    </w:p>
    <w:p w14:paraId="37530284" w14:textId="335B7F0C" w:rsidR="00F966DA" w:rsidRPr="00F966DA" w:rsidRDefault="00F966DA" w:rsidP="00F966DA">
      <w:pPr>
        <w:ind w:left="720" w:hanging="720"/>
        <w:rPr>
          <w:rFonts w:ascii="Arial" w:hAnsi="Arial" w:cs="Arial"/>
          <w:noProof/>
          <w:sz w:val="22"/>
          <w:szCs w:val="22"/>
        </w:rPr>
      </w:pPr>
      <w:bookmarkStart w:id="7" w:name="_ENREF_5"/>
      <w:r w:rsidRPr="00F966DA">
        <w:rPr>
          <w:rFonts w:ascii="Arial" w:hAnsi="Arial" w:cs="Arial"/>
          <w:noProof/>
          <w:sz w:val="22"/>
          <w:szCs w:val="22"/>
        </w:rPr>
        <w:t>Shoo L</w:t>
      </w:r>
      <w:r w:rsidR="00B40DB3">
        <w:rPr>
          <w:rFonts w:ascii="Arial" w:hAnsi="Arial" w:cs="Arial"/>
          <w:noProof/>
          <w:sz w:val="22"/>
          <w:szCs w:val="22"/>
        </w:rPr>
        <w:t xml:space="preserve"> &amp;</w:t>
      </w:r>
      <w:r w:rsidRPr="00F966DA">
        <w:rPr>
          <w:rFonts w:ascii="Arial" w:hAnsi="Arial" w:cs="Arial"/>
          <w:noProof/>
          <w:sz w:val="22"/>
          <w:szCs w:val="22"/>
        </w:rPr>
        <w:t xml:space="preserve"> Williams Y (2004). Altitudinal distribution and abundance of microhylid frogs (</w:t>
      </w:r>
      <w:r w:rsidRPr="00F966DA">
        <w:rPr>
          <w:rFonts w:ascii="Arial" w:hAnsi="Arial" w:cs="Arial"/>
          <w:i/>
          <w:noProof/>
          <w:sz w:val="22"/>
          <w:szCs w:val="22"/>
        </w:rPr>
        <w:t xml:space="preserve">Cophixalus </w:t>
      </w:r>
      <w:r w:rsidRPr="00F966DA">
        <w:rPr>
          <w:rFonts w:ascii="Arial" w:hAnsi="Arial" w:cs="Arial"/>
          <w:noProof/>
          <w:sz w:val="22"/>
          <w:szCs w:val="22"/>
        </w:rPr>
        <w:t xml:space="preserve">and </w:t>
      </w:r>
      <w:r w:rsidRPr="00F966DA">
        <w:rPr>
          <w:rFonts w:ascii="Arial" w:hAnsi="Arial" w:cs="Arial"/>
          <w:i/>
          <w:noProof/>
          <w:sz w:val="22"/>
          <w:szCs w:val="22"/>
        </w:rPr>
        <w:t>Austrochaperina</w:t>
      </w:r>
      <w:r w:rsidRPr="00F966DA">
        <w:rPr>
          <w:rFonts w:ascii="Arial" w:hAnsi="Arial" w:cs="Arial"/>
          <w:noProof/>
          <w:sz w:val="22"/>
          <w:szCs w:val="22"/>
        </w:rPr>
        <w:t xml:space="preserve">) of north-eastern Australia: baseline data for detecting biological responses to future climate change. </w:t>
      </w:r>
      <w:r w:rsidRPr="00F966DA">
        <w:rPr>
          <w:rFonts w:ascii="Arial" w:hAnsi="Arial" w:cs="Arial"/>
          <w:i/>
          <w:noProof/>
          <w:sz w:val="22"/>
          <w:szCs w:val="22"/>
        </w:rPr>
        <w:t>Australian Journal of Zoology</w:t>
      </w:r>
      <w:r w:rsidRPr="00F966DA">
        <w:rPr>
          <w:rFonts w:ascii="Arial" w:hAnsi="Arial" w:cs="Arial"/>
          <w:noProof/>
          <w:sz w:val="22"/>
          <w:szCs w:val="22"/>
        </w:rPr>
        <w:t xml:space="preserve"> </w:t>
      </w:r>
      <w:r w:rsidRPr="00F966DA">
        <w:rPr>
          <w:rFonts w:ascii="Arial" w:hAnsi="Arial" w:cs="Arial"/>
          <w:i/>
          <w:noProof/>
          <w:sz w:val="22"/>
          <w:szCs w:val="22"/>
        </w:rPr>
        <w:t>52</w:t>
      </w:r>
      <w:r w:rsidRPr="00F966DA">
        <w:rPr>
          <w:rFonts w:ascii="Arial" w:hAnsi="Arial" w:cs="Arial"/>
          <w:noProof/>
          <w:sz w:val="22"/>
          <w:szCs w:val="22"/>
        </w:rPr>
        <w:t>,667-676.</w:t>
      </w:r>
      <w:bookmarkEnd w:id="7"/>
    </w:p>
    <w:p w14:paraId="069461B7" w14:textId="172EF8BB" w:rsidR="00F966DA" w:rsidRDefault="00F966DA" w:rsidP="00F966DA">
      <w:pPr>
        <w:ind w:left="720" w:hanging="720"/>
        <w:rPr>
          <w:rFonts w:ascii="Arial" w:hAnsi="Arial" w:cs="Arial"/>
          <w:noProof/>
          <w:sz w:val="22"/>
          <w:szCs w:val="22"/>
        </w:rPr>
      </w:pPr>
      <w:bookmarkStart w:id="8" w:name="_ENREF_6"/>
      <w:r w:rsidRPr="00F966DA">
        <w:rPr>
          <w:rFonts w:ascii="Arial" w:hAnsi="Arial" w:cs="Arial"/>
          <w:noProof/>
          <w:sz w:val="22"/>
          <w:szCs w:val="22"/>
        </w:rPr>
        <w:t>Williams S E</w:t>
      </w:r>
      <w:r w:rsidR="00B40DB3">
        <w:rPr>
          <w:rFonts w:ascii="Arial" w:hAnsi="Arial" w:cs="Arial"/>
          <w:noProof/>
          <w:sz w:val="22"/>
          <w:szCs w:val="22"/>
        </w:rPr>
        <w:t xml:space="preserve"> &amp;</w:t>
      </w:r>
      <w:r w:rsidRPr="00F966DA">
        <w:rPr>
          <w:rFonts w:ascii="Arial" w:hAnsi="Arial" w:cs="Arial"/>
          <w:noProof/>
          <w:sz w:val="22"/>
          <w:szCs w:val="22"/>
        </w:rPr>
        <w:t xml:space="preserve"> Hilbert D W (2006). Climate change as a threat to the biodiversity of tropical rainforest in Australia. In: Laurance WF, CA Peres (eds) Emerging Threats to Tropical Forests. University of Chicago Press. Chicago. pp 33-53.</w:t>
      </w:r>
      <w:bookmarkEnd w:id="8"/>
    </w:p>
    <w:p w14:paraId="7F56F0EF" w14:textId="77777777" w:rsidR="00B40DB3" w:rsidRDefault="00B40DB3" w:rsidP="00B40DB3">
      <w:pPr>
        <w:ind w:left="720" w:hanging="720"/>
        <w:rPr>
          <w:rFonts w:ascii="Arial" w:hAnsi="Arial" w:cs="Arial"/>
          <w:noProof/>
          <w:sz w:val="22"/>
          <w:szCs w:val="22"/>
        </w:rPr>
      </w:pPr>
      <w:r w:rsidRPr="005764C5">
        <w:rPr>
          <w:rFonts w:ascii="Arial" w:hAnsi="Arial" w:cs="Arial"/>
          <w:noProof/>
          <w:sz w:val="22"/>
          <w:szCs w:val="22"/>
        </w:rPr>
        <w:t>Williams Y (2007). Ecological differences between rare and common species of microhylid frogs of the Wet tropics biogeographic region. Thesis. James Cook University.</w:t>
      </w:r>
    </w:p>
    <w:p w14:paraId="05756235" w14:textId="6F78A23E" w:rsidR="00F966DA" w:rsidRPr="00F966DA" w:rsidRDefault="00F966DA" w:rsidP="00F966DA">
      <w:pPr>
        <w:ind w:left="720" w:hanging="720"/>
        <w:rPr>
          <w:rFonts w:ascii="Arial" w:hAnsi="Arial" w:cs="Arial"/>
          <w:noProof/>
          <w:sz w:val="22"/>
          <w:szCs w:val="22"/>
        </w:rPr>
      </w:pPr>
      <w:bookmarkStart w:id="9" w:name="_ENREF_7"/>
      <w:r w:rsidRPr="00F966DA">
        <w:rPr>
          <w:rFonts w:ascii="Arial" w:hAnsi="Arial" w:cs="Arial"/>
          <w:noProof/>
          <w:sz w:val="22"/>
          <w:szCs w:val="22"/>
        </w:rPr>
        <w:t xml:space="preserve">Zweifel R G (1985). Australian frogs of the family Microhylidae. </w:t>
      </w:r>
      <w:r w:rsidRPr="00F966DA">
        <w:rPr>
          <w:rFonts w:ascii="Arial" w:hAnsi="Arial" w:cs="Arial"/>
          <w:i/>
          <w:noProof/>
          <w:sz w:val="22"/>
          <w:szCs w:val="22"/>
        </w:rPr>
        <w:t>Bulletin of the American Museum of Natural History</w:t>
      </w:r>
      <w:r w:rsidRPr="00F966DA">
        <w:rPr>
          <w:rFonts w:ascii="Arial" w:hAnsi="Arial" w:cs="Arial"/>
          <w:noProof/>
          <w:sz w:val="22"/>
          <w:szCs w:val="22"/>
        </w:rPr>
        <w:t xml:space="preserve"> </w:t>
      </w:r>
      <w:r w:rsidRPr="00F966DA">
        <w:rPr>
          <w:rFonts w:ascii="Arial" w:hAnsi="Arial" w:cs="Arial"/>
          <w:i/>
          <w:noProof/>
          <w:sz w:val="22"/>
          <w:szCs w:val="22"/>
        </w:rPr>
        <w:t>182</w:t>
      </w:r>
      <w:r w:rsidRPr="00F966DA">
        <w:rPr>
          <w:rFonts w:ascii="Arial" w:hAnsi="Arial" w:cs="Arial"/>
          <w:noProof/>
          <w:sz w:val="22"/>
          <w:szCs w:val="22"/>
        </w:rPr>
        <w:t>,265-388.</w:t>
      </w:r>
      <w:bookmarkEnd w:id="9"/>
    </w:p>
    <w:p w14:paraId="03452BA1" w14:textId="77777777" w:rsidR="00F966DA" w:rsidRPr="00F966DA" w:rsidRDefault="00F966DA" w:rsidP="00F966DA">
      <w:pPr>
        <w:rPr>
          <w:rFonts w:ascii="Arial" w:hAnsi="Arial" w:cs="Arial"/>
          <w:noProof/>
          <w:sz w:val="22"/>
          <w:szCs w:val="22"/>
        </w:rPr>
      </w:pPr>
    </w:p>
    <w:p w14:paraId="0FA75E96" w14:textId="77777777" w:rsidR="00555352" w:rsidRPr="00555352" w:rsidRDefault="00F27E37" w:rsidP="00555352">
      <w:pPr>
        <w:spacing w:after="200"/>
        <w:ind w:left="720" w:hanging="720"/>
        <w:rPr>
          <w:rFonts w:ascii="Arial" w:hAnsi="Arial" w:cs="Arial"/>
          <w:sz w:val="22"/>
          <w:szCs w:val="22"/>
        </w:rPr>
      </w:pPr>
      <w:r w:rsidRPr="00F966DA">
        <w:rPr>
          <w:rFonts w:ascii="Arial" w:hAnsi="Arial" w:cs="Arial"/>
          <w:sz w:val="22"/>
          <w:szCs w:val="22"/>
        </w:rPr>
        <w:fldChar w:fldCharType="end"/>
      </w:r>
    </w:p>
    <w:p w14:paraId="22E46295" w14:textId="77777777" w:rsidR="00555352" w:rsidRDefault="00555352" w:rsidP="00555352">
      <w:pPr>
        <w:pStyle w:val="Default"/>
      </w:pPr>
      <w:r>
        <w:rPr>
          <w:rFonts w:ascii="Arial" w:hAnsi="Arial" w:cs="Arial"/>
          <w:b/>
          <w:bCs/>
          <w:sz w:val="22"/>
          <w:szCs w:val="22"/>
          <w:u w:val="single"/>
        </w:rPr>
        <w:t>Other sources cited in the advice</w:t>
      </w:r>
    </w:p>
    <w:p w14:paraId="2EA6C08D" w14:textId="77777777" w:rsidR="00555352" w:rsidRDefault="00555352" w:rsidP="00555352">
      <w:pPr>
        <w:pStyle w:val="Normal12ptCharCharCharCharCharChar"/>
        <w:spacing w:after="0"/>
        <w:rPr>
          <w:rFonts w:ascii="Arial" w:hAnsi="Arial" w:cs="Arial"/>
          <w:b/>
          <w:sz w:val="22"/>
          <w:szCs w:val="22"/>
          <w:u w:val="single"/>
        </w:rPr>
      </w:pPr>
    </w:p>
    <w:p w14:paraId="4E35B391" w14:textId="77777777" w:rsidR="007E651D" w:rsidRPr="007E651D" w:rsidRDefault="00555352" w:rsidP="001F4014">
      <w:pPr>
        <w:pStyle w:val="Normal12ptCharCharCharCharCharChar"/>
        <w:spacing w:after="0"/>
        <w:ind w:left="720" w:hanging="720"/>
        <w:rPr>
          <w:rFonts w:ascii="Arial" w:hAnsi="Arial" w:cs="Arial"/>
          <w:sz w:val="22"/>
          <w:szCs w:val="22"/>
          <w:u w:val="single"/>
        </w:rPr>
      </w:pPr>
      <w:r>
        <w:rPr>
          <w:rFonts w:ascii="Arial" w:hAnsi="Arial"/>
          <w:sz w:val="22"/>
        </w:rPr>
        <w:t xml:space="preserve">Atlas of Living Australia </w:t>
      </w:r>
      <w:r w:rsidR="001F4014">
        <w:rPr>
          <w:rFonts w:ascii="Arial" w:hAnsi="Arial"/>
          <w:sz w:val="22"/>
        </w:rPr>
        <w:t>(</w:t>
      </w:r>
      <w:r>
        <w:rPr>
          <w:rFonts w:ascii="Arial" w:hAnsi="Arial"/>
          <w:sz w:val="22"/>
        </w:rPr>
        <w:t xml:space="preserve">2016) </w:t>
      </w:r>
      <w:hyperlink r:id="rId16" w:history="1">
        <w:r w:rsidR="007E651D" w:rsidRPr="00023E50">
          <w:rPr>
            <w:rStyle w:val="Hyperlink"/>
            <w:rFonts w:ascii="Arial" w:hAnsi="Arial" w:cs="Arial"/>
            <w:sz w:val="22"/>
            <w:szCs w:val="22"/>
          </w:rPr>
          <w:t>http://spatial.ala.org.au/?q=lsid%3Aurn%3Alsid%3Abiodiversity.org.au%3Aafd.taxon%3A4ca01bb0-bc9c-4f5a-bef4-160d09725a85#</w:t>
        </w:r>
      </w:hyperlink>
      <w:r w:rsidR="007E651D">
        <w:rPr>
          <w:rFonts w:ascii="Arial" w:hAnsi="Arial" w:cs="Arial"/>
          <w:sz w:val="22"/>
          <w:szCs w:val="22"/>
          <w:u w:val="single"/>
        </w:rPr>
        <w:t xml:space="preserve"> </w:t>
      </w:r>
    </w:p>
    <w:p w14:paraId="2B3CD643" w14:textId="77777777" w:rsidR="00B40DB3" w:rsidRDefault="00B40DB3" w:rsidP="00B40DB3">
      <w:pPr>
        <w:pStyle w:val="CAreference"/>
        <w:spacing w:line="240" w:lineRule="auto"/>
        <w:ind w:left="709" w:hanging="709"/>
      </w:pPr>
      <w:r w:rsidRPr="00365ECF">
        <w:t xml:space="preserve">Department of the Environment and Energy (2016). Threat abatement plan for infection of amphibians with chytrid fungus resulting in chytridiomycosis, Commonwealth of Australia 2016. Available from: </w:t>
      </w:r>
      <w:hyperlink r:id="rId17" w:history="1">
        <w:r w:rsidRPr="00FB529B">
          <w:rPr>
            <w:rStyle w:val="Hyperlink"/>
          </w:rPr>
          <w:t>http://www.environment.gov.au/biodiversity/threatened/publications/tap/infection-amphibians-chytrid-fungus-resulting-chytridiomycosis-2016</w:t>
        </w:r>
      </w:hyperlink>
    </w:p>
    <w:p w14:paraId="57F4803C" w14:textId="77777777" w:rsidR="00B40DB3" w:rsidRDefault="00B40DB3" w:rsidP="00B40DB3">
      <w:pPr>
        <w:pStyle w:val="Normal12ptCharCharCharCharCharChar"/>
        <w:spacing w:after="0"/>
        <w:ind w:left="720" w:hanging="720"/>
        <w:rPr>
          <w:rFonts w:ascii="Arial" w:hAnsi="Arial" w:cs="Arial"/>
          <w:sz w:val="22"/>
          <w:szCs w:val="22"/>
        </w:rPr>
      </w:pPr>
      <w:r w:rsidRPr="003C2AAC">
        <w:rPr>
          <w:rFonts w:ascii="Arial" w:hAnsi="Arial" w:cs="Arial"/>
          <w:sz w:val="22"/>
          <w:szCs w:val="22"/>
        </w:rPr>
        <w:t xml:space="preserve">Department of the Environment and Energy (2017). </w:t>
      </w:r>
      <w:r>
        <w:rPr>
          <w:rFonts w:ascii="Arial" w:hAnsi="Arial" w:cs="Arial"/>
          <w:sz w:val="22"/>
          <w:szCs w:val="22"/>
        </w:rPr>
        <w:t xml:space="preserve">Area of Occupancy and Extent of Occurrence for </w:t>
      </w:r>
      <w:r w:rsidRPr="003C2AAC">
        <w:rPr>
          <w:rFonts w:ascii="Arial" w:hAnsi="Arial" w:cs="Arial"/>
          <w:i/>
          <w:sz w:val="22"/>
          <w:szCs w:val="22"/>
        </w:rPr>
        <w:t>C</w:t>
      </w:r>
      <w:r>
        <w:rPr>
          <w:rFonts w:ascii="Arial" w:hAnsi="Arial" w:cs="Arial"/>
          <w:i/>
          <w:sz w:val="22"/>
          <w:szCs w:val="22"/>
        </w:rPr>
        <w:t>ophixalus monticola</w:t>
      </w:r>
      <w:r>
        <w:rPr>
          <w:rFonts w:ascii="Arial" w:hAnsi="Arial" w:cs="Arial"/>
          <w:sz w:val="22"/>
          <w:szCs w:val="22"/>
        </w:rPr>
        <w:t>. Unpublished report, Australian Government Department of the Environment, Canberra.</w:t>
      </w:r>
    </w:p>
    <w:p w14:paraId="59E86AF7" w14:textId="77777777" w:rsidR="00B40DB3" w:rsidRPr="00DB6870" w:rsidRDefault="00B40DB3" w:rsidP="00B40DB3">
      <w:pPr>
        <w:pStyle w:val="Normal12ptCharCharCharCharCharChar"/>
        <w:spacing w:after="0"/>
        <w:ind w:left="720" w:hanging="720"/>
        <w:rPr>
          <w:rFonts w:ascii="Arial" w:hAnsi="Arial" w:cs="Arial"/>
          <w:sz w:val="22"/>
          <w:szCs w:val="22"/>
          <w:u w:val="single"/>
        </w:rPr>
      </w:pPr>
      <w:r w:rsidRPr="00453004">
        <w:rPr>
          <w:rFonts w:ascii="Arial" w:hAnsi="Arial" w:cs="Arial"/>
          <w:sz w:val="22"/>
          <w:szCs w:val="22"/>
        </w:rPr>
        <w:t xml:space="preserve">Wet Tropics Management Authority (WTMA) (2016). Stamp Out Yellow Crazy Ants. Viewed 2 December 2016. Available on the internet at: </w:t>
      </w:r>
      <w:hyperlink r:id="rId18" w:history="1">
        <w:r w:rsidRPr="00453004">
          <w:rPr>
            <w:rStyle w:val="Hyperlink"/>
            <w:rFonts w:ascii="Arial" w:hAnsi="Arial" w:cs="Arial"/>
            <w:sz w:val="22"/>
            <w:szCs w:val="22"/>
          </w:rPr>
          <w:t>http://www.wettropics.gov.au/stamp-out-yellow-crazy-ants.html</w:t>
        </w:r>
      </w:hyperlink>
      <w:r w:rsidRPr="00453004">
        <w:rPr>
          <w:rStyle w:val="Hyperlink"/>
          <w:rFonts w:ascii="Arial" w:hAnsi="Arial" w:cs="Arial"/>
          <w:sz w:val="22"/>
          <w:szCs w:val="22"/>
        </w:rPr>
        <w:t>.</w:t>
      </w:r>
    </w:p>
    <w:p w14:paraId="368DDF5F" w14:textId="77777777" w:rsidR="00555352" w:rsidRDefault="00555352" w:rsidP="00555352">
      <w:pPr>
        <w:pStyle w:val="Normal12ptCharCharCharCharCharChar"/>
        <w:spacing w:after="0"/>
        <w:rPr>
          <w:rFonts w:ascii="Arial" w:hAnsi="Arial" w:cs="Arial"/>
          <w:b/>
          <w:sz w:val="22"/>
          <w:szCs w:val="22"/>
          <w:u w:val="single"/>
        </w:rPr>
      </w:pPr>
    </w:p>
    <w:p w14:paraId="7BBF0EB5" w14:textId="77777777" w:rsidR="00BB6AE0" w:rsidRDefault="00BB6AE0">
      <w:pPr>
        <w:rPr>
          <w:rFonts w:ascii="Arial" w:hAnsi="Arial" w:cs="Arial"/>
          <w:b/>
          <w:sz w:val="22"/>
          <w:szCs w:val="22"/>
          <w:u w:val="single"/>
        </w:rPr>
      </w:pPr>
      <w:r>
        <w:rPr>
          <w:rFonts w:ascii="Arial" w:hAnsi="Arial" w:cs="Arial"/>
          <w:b/>
          <w:sz w:val="22"/>
          <w:szCs w:val="22"/>
          <w:u w:val="single"/>
        </w:rPr>
        <w:br w:type="page"/>
      </w:r>
    </w:p>
    <w:p w14:paraId="6BA435BB" w14:textId="77777777" w:rsidR="00555352" w:rsidRDefault="00555352" w:rsidP="00555352">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15AE2A11" w14:textId="77777777" w:rsidR="00555352" w:rsidRPr="00121E1E" w:rsidRDefault="00555352" w:rsidP="00555352">
      <w:pPr>
        <w:pStyle w:val="Normal12ptCharCharCharCharCharChar"/>
        <w:spacing w:after="0"/>
        <w:rPr>
          <w:rFonts w:ascii="Arial" w:hAnsi="Arial" w:cs="Arial"/>
          <w:b/>
          <w:bCs/>
          <w:sz w:val="22"/>
          <w:szCs w:val="22"/>
          <w:u w:val="single"/>
        </w:rPr>
      </w:pPr>
    </w:p>
    <w:p w14:paraId="55908DA4" w14:textId="77777777" w:rsidR="00555352" w:rsidRPr="003B5BC1" w:rsidRDefault="00555352" w:rsidP="00555352">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10" w:name="top"/>
      <w:r w:rsidRPr="003B5BC1">
        <w:rPr>
          <w:rFonts w:ascii="Arial" w:hAnsi="Arial" w:cs="Arial"/>
          <w:bCs/>
          <w:sz w:val="22"/>
          <w:szCs w:val="22"/>
        </w:rPr>
        <w:t xml:space="preserve">Australian </w:t>
      </w:r>
      <w:bookmarkEnd w:id="10"/>
      <w:r w:rsidRPr="003B5BC1">
        <w:rPr>
          <w:rFonts w:ascii="Arial" w:hAnsi="Arial" w:cs="Arial"/>
          <w:bCs/>
          <w:sz w:val="22"/>
          <w:szCs w:val="22"/>
        </w:rPr>
        <w:t xml:space="preserve">Faunal Directory </w:t>
      </w:r>
      <w:r w:rsidRPr="003B5BC1">
        <w:rPr>
          <w:rFonts w:ascii="Arial" w:hAnsi="Arial" w:cs="Arial"/>
          <w:sz w:val="22"/>
          <w:szCs w:val="22"/>
        </w:rPr>
        <w:t>for this taxon (as identified in the draft conservation advice)</w:t>
      </w:r>
      <w:r>
        <w:rPr>
          <w:rFonts w:ascii="Arial" w:hAnsi="Arial" w:cs="Arial"/>
          <w:sz w:val="22"/>
          <w:szCs w:val="22"/>
        </w:rPr>
        <w:t>?</w:t>
      </w:r>
    </w:p>
    <w:p w14:paraId="2596A0A6" w14:textId="77777777" w:rsidR="00555352" w:rsidRPr="003B5BC1" w:rsidRDefault="00555352" w:rsidP="00555352">
      <w:pPr>
        <w:pStyle w:val="ListNumber"/>
        <w:numPr>
          <w:ilvl w:val="0"/>
          <w:numId w:val="0"/>
        </w:numPr>
        <w:ind w:left="360"/>
        <w:rPr>
          <w:rFonts w:ascii="Arial" w:hAnsi="Arial" w:cs="Arial"/>
          <w:sz w:val="22"/>
          <w:szCs w:val="22"/>
        </w:rPr>
      </w:pPr>
    </w:p>
    <w:p w14:paraId="1E9DD281" w14:textId="77777777" w:rsidR="00555352" w:rsidRDefault="00555352" w:rsidP="00555352">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14:paraId="27A15C4E" w14:textId="77777777" w:rsidR="00555352" w:rsidRDefault="00555352" w:rsidP="00555352">
      <w:pPr>
        <w:pStyle w:val="ListNumber"/>
        <w:numPr>
          <w:ilvl w:val="0"/>
          <w:numId w:val="0"/>
        </w:numPr>
        <w:ind w:left="360"/>
        <w:rPr>
          <w:rFonts w:ascii="Arial" w:hAnsi="Arial" w:cs="Arial"/>
          <w:sz w:val="22"/>
          <w:szCs w:val="22"/>
        </w:rPr>
      </w:pPr>
    </w:p>
    <w:p w14:paraId="745EF413"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14:paraId="79C671A3" w14:textId="77777777" w:rsidR="00555352" w:rsidRPr="003B5BC1" w:rsidRDefault="00555352" w:rsidP="00555352">
      <w:pPr>
        <w:pStyle w:val="ListNumber"/>
        <w:numPr>
          <w:ilvl w:val="0"/>
          <w:numId w:val="0"/>
        </w:numPr>
        <w:ind w:left="360"/>
        <w:rPr>
          <w:rFonts w:ascii="Arial" w:hAnsi="Arial" w:cs="Arial"/>
          <w:sz w:val="22"/>
          <w:szCs w:val="22"/>
        </w:rPr>
      </w:pPr>
    </w:p>
    <w:p w14:paraId="4D027A6B"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14:paraId="731F2C9D" w14:textId="77777777" w:rsidR="00555352" w:rsidRPr="003B5BC1" w:rsidRDefault="00555352" w:rsidP="00555352">
      <w:pPr>
        <w:pStyle w:val="ListNumber"/>
        <w:numPr>
          <w:ilvl w:val="0"/>
          <w:numId w:val="0"/>
        </w:numPr>
        <w:ind w:left="360"/>
        <w:rPr>
          <w:rFonts w:ascii="Arial" w:hAnsi="Arial" w:cs="Arial"/>
          <w:sz w:val="22"/>
          <w:szCs w:val="22"/>
        </w:rPr>
      </w:pPr>
    </w:p>
    <w:p w14:paraId="0DFF89C2"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1F54A1BC" w14:textId="77777777" w:rsidR="00555352" w:rsidRPr="003B5BC1" w:rsidRDefault="00555352" w:rsidP="00555352">
      <w:pPr>
        <w:pStyle w:val="ListParagraph"/>
        <w:rPr>
          <w:rFonts w:ascii="Arial" w:hAnsi="Arial" w:cs="Arial"/>
          <w:sz w:val="22"/>
          <w:szCs w:val="22"/>
        </w:rPr>
      </w:pPr>
      <w:r w:rsidRPr="003B5BC1">
        <w:rPr>
          <w:rFonts w:ascii="Arial" w:hAnsi="Arial" w:cs="Arial"/>
          <w:sz w:val="22"/>
          <w:szCs w:val="22"/>
        </w:rPr>
        <w:t>Lower bound (estimated minimum):</w:t>
      </w:r>
    </w:p>
    <w:p w14:paraId="0CCD5D00"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Upper bound (estimated maximum):</w:t>
      </w:r>
    </w:p>
    <w:p w14:paraId="3D758937"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Best Estimate:</w:t>
      </w:r>
    </w:p>
    <w:p w14:paraId="611DD001"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14:paraId="4FC1AC13" w14:textId="77777777" w:rsidR="00555352" w:rsidRPr="003B5BC1" w:rsidRDefault="00555352" w:rsidP="00555352">
      <w:pPr>
        <w:pStyle w:val="ListNumber"/>
        <w:numPr>
          <w:ilvl w:val="0"/>
          <w:numId w:val="0"/>
        </w:numPr>
        <w:rPr>
          <w:rFonts w:ascii="Arial" w:hAnsi="Arial" w:cs="Arial"/>
          <w:sz w:val="22"/>
          <w:szCs w:val="22"/>
        </w:rPr>
      </w:pPr>
    </w:p>
    <w:p w14:paraId="53F33C74"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35630908" w14:textId="77777777" w:rsidR="00555352" w:rsidRPr="003B5BC1" w:rsidRDefault="00555352" w:rsidP="00555352">
      <w:pPr>
        <w:pStyle w:val="ListNumber"/>
        <w:numPr>
          <w:ilvl w:val="0"/>
          <w:numId w:val="0"/>
        </w:numPr>
        <w:ind w:left="360"/>
        <w:rPr>
          <w:rFonts w:ascii="Arial" w:hAnsi="Arial" w:cs="Arial"/>
          <w:sz w:val="22"/>
          <w:szCs w:val="22"/>
        </w:rPr>
      </w:pPr>
    </w:p>
    <w:p w14:paraId="335E380C" w14:textId="77777777" w:rsidR="00555352" w:rsidRPr="003B5BC1" w:rsidRDefault="00555352" w:rsidP="00555352">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taxon? </w:t>
      </w:r>
    </w:p>
    <w:p w14:paraId="4098EA6B" w14:textId="77777777" w:rsidR="00555352" w:rsidRPr="003B5BC1" w:rsidRDefault="00555352" w:rsidP="00555352">
      <w:pPr>
        <w:pStyle w:val="ListNumber"/>
        <w:numPr>
          <w:ilvl w:val="0"/>
          <w:numId w:val="0"/>
        </w:numPr>
        <w:spacing w:before="240"/>
        <w:ind w:left="360"/>
        <w:rPr>
          <w:rFonts w:ascii="Arial" w:hAnsi="Arial" w:cs="Arial"/>
          <w:sz w:val="22"/>
          <w:szCs w:val="22"/>
        </w:rPr>
      </w:pPr>
    </w:p>
    <w:p w14:paraId="4565DE57" w14:textId="77777777" w:rsidR="00555352" w:rsidRPr="003B5BC1" w:rsidRDefault="00555352" w:rsidP="00555352">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14:paraId="700F96C7" w14:textId="77777777" w:rsidR="00555352" w:rsidRPr="003B5BC1" w:rsidRDefault="00555352" w:rsidP="00555352">
      <w:pPr>
        <w:pStyle w:val="ListNumber"/>
        <w:numPr>
          <w:ilvl w:val="0"/>
          <w:numId w:val="0"/>
        </w:numPr>
        <w:ind w:left="360"/>
        <w:rPr>
          <w:rFonts w:ascii="Arial" w:hAnsi="Arial" w:cs="Arial"/>
          <w:sz w:val="22"/>
          <w:szCs w:val="22"/>
        </w:rPr>
      </w:pPr>
    </w:p>
    <w:p w14:paraId="21185511"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14:paraId="3D8441EC" w14:textId="77777777" w:rsidR="00555352" w:rsidRPr="003B5BC1" w:rsidRDefault="00555352" w:rsidP="00555352">
      <w:pPr>
        <w:pStyle w:val="ListNumber"/>
        <w:numPr>
          <w:ilvl w:val="0"/>
          <w:numId w:val="0"/>
        </w:numPr>
        <w:ind w:left="360"/>
        <w:rPr>
          <w:rFonts w:ascii="Arial" w:hAnsi="Arial" w:cs="Arial"/>
          <w:sz w:val="22"/>
          <w:szCs w:val="22"/>
        </w:rPr>
      </w:pPr>
    </w:p>
    <w:p w14:paraId="15E1BEEC"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14:paraId="10662274" w14:textId="77777777" w:rsidR="00555352" w:rsidRPr="003B5BC1" w:rsidRDefault="00555352" w:rsidP="00555352">
      <w:pPr>
        <w:ind w:left="360"/>
        <w:rPr>
          <w:rFonts w:ascii="Arial" w:hAnsi="Arial" w:cs="Arial"/>
          <w:sz w:val="22"/>
          <w:szCs w:val="22"/>
        </w:rPr>
      </w:pPr>
    </w:p>
    <w:p w14:paraId="394470E4" w14:textId="77777777" w:rsidR="00555352" w:rsidRPr="003B5BC1" w:rsidRDefault="00555352" w:rsidP="00555352">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14:paraId="11ABAFE0" w14:textId="77777777" w:rsidR="00555352" w:rsidRPr="003B5BC1" w:rsidRDefault="00555352" w:rsidP="00555352">
      <w:pPr>
        <w:ind w:left="360"/>
        <w:rPr>
          <w:rFonts w:ascii="Arial" w:hAnsi="Arial" w:cs="Arial"/>
          <w:sz w:val="22"/>
          <w:szCs w:val="22"/>
        </w:rPr>
      </w:pPr>
    </w:p>
    <w:p w14:paraId="0286DE13" w14:textId="77777777" w:rsidR="00555352" w:rsidRPr="003B5BC1" w:rsidRDefault="00555352" w:rsidP="00555352">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14:paraId="0B022D23" w14:textId="77777777" w:rsidR="00555352" w:rsidRPr="003B5BC1" w:rsidRDefault="00555352" w:rsidP="00555352">
      <w:pPr>
        <w:pStyle w:val="ListNumber"/>
        <w:numPr>
          <w:ilvl w:val="0"/>
          <w:numId w:val="0"/>
        </w:numPr>
        <w:ind w:left="360"/>
        <w:rPr>
          <w:rFonts w:ascii="Arial" w:hAnsi="Arial" w:cs="Arial"/>
          <w:sz w:val="22"/>
          <w:szCs w:val="22"/>
        </w:rPr>
      </w:pPr>
    </w:p>
    <w:p w14:paraId="6D8A4DF6"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14:paraId="6DDDDAAE" w14:textId="77777777" w:rsidR="00555352" w:rsidRPr="003B5BC1"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14:paraId="731B2DBC" w14:textId="77777777" w:rsidR="00555352" w:rsidRPr="003B5BC1"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14:paraId="74B66E1E" w14:textId="77777777" w:rsidR="00555352" w:rsidRPr="00665CA5"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14:paraId="15AB7999" w14:textId="77777777" w:rsidR="00555352" w:rsidRDefault="00555352" w:rsidP="00555352">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14:paraId="6E64B06E" w14:textId="77777777" w:rsidR="00555352" w:rsidRDefault="00555352" w:rsidP="00555352">
      <w:pPr>
        <w:pStyle w:val="ListNumber"/>
        <w:numPr>
          <w:ilvl w:val="0"/>
          <w:numId w:val="0"/>
        </w:numPr>
        <w:spacing w:before="240" w:after="240"/>
        <w:ind w:left="360"/>
        <w:rPr>
          <w:rFonts w:ascii="Arial" w:hAnsi="Arial" w:cs="Arial"/>
          <w:sz w:val="22"/>
          <w:szCs w:val="22"/>
        </w:rPr>
      </w:pPr>
    </w:p>
    <w:p w14:paraId="269A0B51" w14:textId="3411CCB7" w:rsidR="005A7196" w:rsidRPr="00696A94" w:rsidRDefault="00555352" w:rsidP="00696A94">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r w:rsidR="00C7086A" w:rsidRPr="00696A94">
        <w:rPr>
          <w:rFonts w:ascii="Arial" w:hAnsi="Arial" w:cs="Arial"/>
          <w:sz w:val="22"/>
          <w:szCs w:val="22"/>
        </w:rPr>
        <w:fldChar w:fldCharType="begin"/>
      </w:r>
      <w:r w:rsidR="00C7086A" w:rsidRPr="00696A94">
        <w:rPr>
          <w:rFonts w:ascii="Arial" w:hAnsi="Arial" w:cs="Arial"/>
          <w:sz w:val="22"/>
          <w:szCs w:val="22"/>
        </w:rPr>
        <w:instrText xml:space="preserve"> ADDIN </w:instrText>
      </w:r>
      <w:r w:rsidR="00C7086A" w:rsidRPr="00696A94">
        <w:rPr>
          <w:rFonts w:ascii="Arial" w:hAnsi="Arial" w:cs="Arial"/>
          <w:sz w:val="22"/>
          <w:szCs w:val="22"/>
        </w:rPr>
        <w:fldChar w:fldCharType="end"/>
      </w:r>
    </w:p>
    <w:sectPr w:rsidR="005A7196" w:rsidRPr="00696A94" w:rsidSect="003F5EA3">
      <w:headerReference w:type="even" r:id="rId19"/>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F784A7" w14:textId="77777777" w:rsidR="00DC0F98" w:rsidRDefault="00DC0F98">
      <w:r>
        <w:separator/>
      </w:r>
    </w:p>
  </w:endnote>
  <w:endnote w:type="continuationSeparator" w:id="0">
    <w:p w14:paraId="19A548A0" w14:textId="77777777" w:rsidR="00DC0F98" w:rsidRDefault="00DC0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4E35F" w14:textId="77777777" w:rsidR="00DC0F98" w:rsidRDefault="00DC0F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B372D4" w14:textId="77777777" w:rsidR="00DC0F98" w:rsidRDefault="00DC0F9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1A43E" w14:textId="77777777" w:rsidR="00DC0F98" w:rsidRDefault="00DC0F98" w:rsidP="00F33606">
    <w:pPr>
      <w:jc w:val="center"/>
      <w:rPr>
        <w:rStyle w:val="Heading1Char"/>
        <w:rFonts w:ascii="Arial" w:hAnsi="Arial" w:cs="Arial"/>
        <w:i/>
        <w:sz w:val="18"/>
        <w:szCs w:val="18"/>
        <w:u w:val="none"/>
      </w:rPr>
    </w:pPr>
  </w:p>
  <w:p w14:paraId="7F3682E6" w14:textId="42B6C803" w:rsidR="00DC0F98" w:rsidRPr="002171FB" w:rsidRDefault="00DC0F98" w:rsidP="00F33606">
    <w:pPr>
      <w:jc w:val="center"/>
      <w:rPr>
        <w:rStyle w:val="Heading1Char"/>
        <w:rFonts w:ascii="Arial" w:hAnsi="Arial" w:cs="Arial"/>
        <w:sz w:val="18"/>
        <w:szCs w:val="18"/>
        <w:u w:val="none"/>
      </w:rPr>
    </w:pPr>
    <w:r w:rsidRPr="002171FB">
      <w:rPr>
        <w:rFonts w:ascii="Arial" w:hAnsi="Arial" w:cs="Arial"/>
        <w:i/>
        <w:sz w:val="18"/>
        <w:szCs w:val="18"/>
      </w:rPr>
      <w:t xml:space="preserve">Cophixalus </w:t>
    </w:r>
    <w:r>
      <w:rPr>
        <w:rFonts w:ascii="Arial" w:hAnsi="Arial" w:cs="Arial"/>
        <w:i/>
        <w:sz w:val="18"/>
        <w:szCs w:val="18"/>
      </w:rPr>
      <w:t>neglectus</w:t>
    </w:r>
    <w:r w:rsidRPr="002171FB">
      <w:rPr>
        <w:rFonts w:ascii="Arial" w:hAnsi="Arial" w:cs="Arial"/>
        <w:i/>
        <w:sz w:val="18"/>
        <w:szCs w:val="18"/>
      </w:rPr>
      <w:t xml:space="preserve"> </w:t>
    </w:r>
    <w:r w:rsidRPr="002171FB">
      <w:rPr>
        <w:rFonts w:ascii="Arial" w:hAnsi="Arial" w:cs="Arial"/>
        <w:sz w:val="18"/>
        <w:szCs w:val="18"/>
      </w:rPr>
      <w:t>(</w:t>
    </w:r>
    <w:r>
      <w:rPr>
        <w:rFonts w:ascii="Arial" w:hAnsi="Arial" w:cs="Arial"/>
        <w:sz w:val="18"/>
        <w:szCs w:val="18"/>
      </w:rPr>
      <w:t>Neglected Nursery Frog</w:t>
    </w:r>
    <w:r w:rsidRPr="002171FB">
      <w:rPr>
        <w:rFonts w:ascii="Arial" w:hAnsi="Arial" w:cs="Arial"/>
        <w:sz w:val="18"/>
        <w:szCs w:val="18"/>
      </w:rPr>
      <w:t>)</w:t>
    </w:r>
    <w:r w:rsidRPr="002171FB">
      <w:rPr>
        <w:rFonts w:ascii="Arial" w:hAnsi="Arial" w:cs="Arial"/>
        <w:sz w:val="22"/>
        <w:szCs w:val="22"/>
      </w:rPr>
      <w:t xml:space="preserve"> </w:t>
    </w:r>
    <w:r w:rsidRPr="002171FB">
      <w:rPr>
        <w:rStyle w:val="Heading1Char"/>
        <w:rFonts w:ascii="Arial" w:hAnsi="Arial" w:cs="Arial"/>
        <w:sz w:val="18"/>
        <w:szCs w:val="18"/>
        <w:u w:val="none"/>
      </w:rPr>
      <w:t>consultation</w:t>
    </w:r>
  </w:p>
  <w:p w14:paraId="6948A5BB" w14:textId="77777777" w:rsidR="00DC0F98" w:rsidRPr="00F33606" w:rsidRDefault="00DC0F98"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514701">
      <w:rPr>
        <w:rStyle w:val="PageNumber"/>
        <w:rFonts w:ascii="Arial" w:hAnsi="Arial" w:cs="Arial"/>
        <w:noProof/>
        <w:sz w:val="18"/>
        <w:szCs w:val="18"/>
      </w:rPr>
      <w:t>12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514701">
      <w:rPr>
        <w:rStyle w:val="PageNumber"/>
        <w:rFonts w:ascii="Arial" w:hAnsi="Arial" w:cs="Arial"/>
        <w:noProof/>
        <w:sz w:val="18"/>
        <w:szCs w:val="18"/>
      </w:rPr>
      <w:t>12</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DEDBD" w14:textId="77777777" w:rsidR="00DC0F98" w:rsidRDefault="00DC0F98" w:rsidP="00AE49C1">
    <w:pPr>
      <w:jc w:val="center"/>
      <w:rPr>
        <w:rStyle w:val="Heading1Char"/>
        <w:rFonts w:ascii="Arial" w:hAnsi="Arial" w:cs="Arial"/>
        <w:i/>
        <w:sz w:val="18"/>
        <w:szCs w:val="18"/>
        <w:u w:val="none"/>
      </w:rPr>
    </w:pPr>
  </w:p>
  <w:p w14:paraId="71E62E0B" w14:textId="1FC379E3" w:rsidR="00DC0F98" w:rsidRDefault="00DC0F98" w:rsidP="00AE49C1">
    <w:pPr>
      <w:jc w:val="center"/>
      <w:rPr>
        <w:rStyle w:val="Heading1Char"/>
        <w:rFonts w:ascii="Arial" w:hAnsi="Arial" w:cs="Arial"/>
        <w:sz w:val="18"/>
        <w:szCs w:val="18"/>
        <w:u w:val="none"/>
      </w:rPr>
    </w:pPr>
    <w:r>
      <w:rPr>
        <w:rFonts w:ascii="Arial" w:hAnsi="Arial" w:cs="Arial"/>
        <w:i/>
        <w:sz w:val="18"/>
        <w:szCs w:val="18"/>
      </w:rPr>
      <w:t xml:space="preserve">Cophixalus neglectus </w:t>
    </w:r>
    <w:r w:rsidRPr="002171FB">
      <w:rPr>
        <w:rFonts w:ascii="Arial" w:hAnsi="Arial" w:cs="Arial"/>
        <w:sz w:val="18"/>
        <w:szCs w:val="18"/>
      </w:rPr>
      <w:t>(</w:t>
    </w:r>
    <w:r>
      <w:rPr>
        <w:rFonts w:ascii="Arial" w:hAnsi="Arial" w:cs="Arial"/>
        <w:sz w:val="18"/>
        <w:szCs w:val="18"/>
      </w:rPr>
      <w:t>Neglected Nursery Frog</w:t>
    </w:r>
    <w:r w:rsidRPr="002171FB">
      <w:rPr>
        <w:rFonts w:ascii="Arial" w:hAnsi="Arial" w:cs="Arial"/>
        <w:sz w:val="18"/>
        <w:szCs w:val="18"/>
      </w:rPr>
      <w:t>)</w:t>
    </w:r>
    <w:r w:rsidRPr="002171FB">
      <w:rPr>
        <w:rFonts w:ascii="Arial" w:hAnsi="Arial" w:cs="Arial"/>
        <w:sz w:val="22"/>
        <w:szCs w:val="22"/>
      </w:rPr>
      <w:t xml:space="preserve"> </w:t>
    </w:r>
    <w:r w:rsidRPr="002171FB">
      <w:rPr>
        <w:rStyle w:val="Heading1Char"/>
        <w:rFonts w:ascii="Arial" w:hAnsi="Arial" w:cs="Arial"/>
        <w:sz w:val="18"/>
        <w:szCs w:val="18"/>
        <w:u w:val="none"/>
      </w:rPr>
      <w:t>consultation</w:t>
    </w:r>
  </w:p>
  <w:p w14:paraId="268159A7" w14:textId="77777777" w:rsidR="00DC0F98" w:rsidRPr="00D034DA" w:rsidRDefault="00DC0F98"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514701">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514701">
      <w:rPr>
        <w:rStyle w:val="PageNumber"/>
        <w:rFonts w:ascii="Arial" w:hAnsi="Arial" w:cs="Arial"/>
        <w:noProof/>
        <w:sz w:val="18"/>
        <w:szCs w:val="18"/>
      </w:rPr>
      <w:t>12</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9A4B0" w14:textId="77777777" w:rsidR="00DC0F98" w:rsidRDefault="00DC0F98">
      <w:r>
        <w:separator/>
      </w:r>
    </w:p>
  </w:footnote>
  <w:footnote w:type="continuationSeparator" w:id="0">
    <w:p w14:paraId="2F529535" w14:textId="77777777" w:rsidR="00DC0F98" w:rsidRDefault="00DC0F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DB27B" w14:textId="77777777" w:rsidR="00514701" w:rsidRDefault="005147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8FF1E" w14:textId="77777777" w:rsidR="00DC0F98" w:rsidRPr="006115F8" w:rsidRDefault="00DC0F98"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1448C" w14:textId="77777777" w:rsidR="00DC0F98" w:rsidRDefault="00DC0F98">
    <w:pPr>
      <w:pStyle w:val="Heading2"/>
      <w:jc w:val="center"/>
      <w:rPr>
        <w:color w:val="808080"/>
        <w:sz w:val="32"/>
      </w:rPr>
    </w:pPr>
    <w:r w:rsidRPr="003F5EA3">
      <w:rPr>
        <w:noProof/>
        <w:color w:val="808080"/>
        <w:sz w:val="32"/>
        <w:lang w:eastAsia="en-AU"/>
      </w:rPr>
      <w:drawing>
        <wp:inline distT="0" distB="0" distL="0" distR="0" wp14:anchorId="06E8A399" wp14:editId="25D8CEFE">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5"/>
  </w:num>
  <w:num w:numId="4">
    <w:abstractNumId w:val="10"/>
  </w:num>
  <w:num w:numId="5">
    <w:abstractNumId w:val="18"/>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17"/>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pt Env TSSC&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a0rdr92ndv9x0e9sdapdzadfw29sw9r9xva&quot;&gt;Frog papers Ivan&lt;record-ids&gt;&lt;item&gt;36&lt;/item&gt;&lt;item&gt;37&lt;/item&gt;&lt;item&gt;40&lt;/item&gt;&lt;item&gt;184&lt;/item&gt;&lt;item&gt;186&lt;/item&gt;&lt;item&gt;189&lt;/item&gt;&lt;item&gt;190&lt;/item&gt;&lt;/record-ids&gt;&lt;/item&gt;&lt;/Libraries&gt;"/>
  </w:docVars>
  <w:rsids>
    <w:rsidRoot w:val="00420228"/>
    <w:rsid w:val="00000113"/>
    <w:rsid w:val="00002E28"/>
    <w:rsid w:val="000046F9"/>
    <w:rsid w:val="00020101"/>
    <w:rsid w:val="000279C3"/>
    <w:rsid w:val="00032F61"/>
    <w:rsid w:val="00033ED5"/>
    <w:rsid w:val="00036E06"/>
    <w:rsid w:val="00041235"/>
    <w:rsid w:val="00045FDE"/>
    <w:rsid w:val="0005187C"/>
    <w:rsid w:val="000541E4"/>
    <w:rsid w:val="00055CB2"/>
    <w:rsid w:val="00056EBF"/>
    <w:rsid w:val="00057925"/>
    <w:rsid w:val="00061960"/>
    <w:rsid w:val="00062E62"/>
    <w:rsid w:val="00062E8E"/>
    <w:rsid w:val="00063273"/>
    <w:rsid w:val="000637EF"/>
    <w:rsid w:val="00063D8D"/>
    <w:rsid w:val="00064A65"/>
    <w:rsid w:val="00066389"/>
    <w:rsid w:val="00076AE8"/>
    <w:rsid w:val="00087900"/>
    <w:rsid w:val="00087FD1"/>
    <w:rsid w:val="000920F6"/>
    <w:rsid w:val="0009403D"/>
    <w:rsid w:val="000954EC"/>
    <w:rsid w:val="00095FC0"/>
    <w:rsid w:val="00096EB7"/>
    <w:rsid w:val="000A277F"/>
    <w:rsid w:val="000A3290"/>
    <w:rsid w:val="000B23B0"/>
    <w:rsid w:val="000C18E8"/>
    <w:rsid w:val="000D14F8"/>
    <w:rsid w:val="000D39D4"/>
    <w:rsid w:val="000E3723"/>
    <w:rsid w:val="000E4036"/>
    <w:rsid w:val="000E59E6"/>
    <w:rsid w:val="000E7DD5"/>
    <w:rsid w:val="000F0708"/>
    <w:rsid w:val="000F1B68"/>
    <w:rsid w:val="000F49A2"/>
    <w:rsid w:val="000F5DD8"/>
    <w:rsid w:val="000F710E"/>
    <w:rsid w:val="001024DD"/>
    <w:rsid w:val="001035E7"/>
    <w:rsid w:val="00107756"/>
    <w:rsid w:val="00107ABC"/>
    <w:rsid w:val="00115212"/>
    <w:rsid w:val="00116F45"/>
    <w:rsid w:val="00121E1E"/>
    <w:rsid w:val="00137631"/>
    <w:rsid w:val="00137655"/>
    <w:rsid w:val="001404C2"/>
    <w:rsid w:val="00144BFD"/>
    <w:rsid w:val="00147598"/>
    <w:rsid w:val="00156DBE"/>
    <w:rsid w:val="00157B78"/>
    <w:rsid w:val="00171A75"/>
    <w:rsid w:val="00172BD0"/>
    <w:rsid w:val="00175138"/>
    <w:rsid w:val="0018317F"/>
    <w:rsid w:val="001838F6"/>
    <w:rsid w:val="00183C90"/>
    <w:rsid w:val="001914D9"/>
    <w:rsid w:val="00194847"/>
    <w:rsid w:val="001973B5"/>
    <w:rsid w:val="001A1B46"/>
    <w:rsid w:val="001A2500"/>
    <w:rsid w:val="001A33BE"/>
    <w:rsid w:val="001A67B4"/>
    <w:rsid w:val="001B10E7"/>
    <w:rsid w:val="001B2487"/>
    <w:rsid w:val="001C5B9D"/>
    <w:rsid w:val="001C78A0"/>
    <w:rsid w:val="001D05BF"/>
    <w:rsid w:val="001D2385"/>
    <w:rsid w:val="001D3D6A"/>
    <w:rsid w:val="001D450C"/>
    <w:rsid w:val="001D49A1"/>
    <w:rsid w:val="001E1889"/>
    <w:rsid w:val="001F012E"/>
    <w:rsid w:val="001F4014"/>
    <w:rsid w:val="001F68F9"/>
    <w:rsid w:val="00204BFF"/>
    <w:rsid w:val="002067F2"/>
    <w:rsid w:val="00213CC4"/>
    <w:rsid w:val="00216073"/>
    <w:rsid w:val="002171FB"/>
    <w:rsid w:val="00230AA9"/>
    <w:rsid w:val="0023394C"/>
    <w:rsid w:val="002359FD"/>
    <w:rsid w:val="00240F7D"/>
    <w:rsid w:val="00241FA1"/>
    <w:rsid w:val="002454A8"/>
    <w:rsid w:val="00252CFE"/>
    <w:rsid w:val="0025367C"/>
    <w:rsid w:val="00254CE0"/>
    <w:rsid w:val="00254E78"/>
    <w:rsid w:val="00257462"/>
    <w:rsid w:val="0025771A"/>
    <w:rsid w:val="00260405"/>
    <w:rsid w:val="0026047A"/>
    <w:rsid w:val="00267C6A"/>
    <w:rsid w:val="00271D64"/>
    <w:rsid w:val="002733B0"/>
    <w:rsid w:val="00273EF5"/>
    <w:rsid w:val="00276BA8"/>
    <w:rsid w:val="00276E44"/>
    <w:rsid w:val="0028003E"/>
    <w:rsid w:val="0028018D"/>
    <w:rsid w:val="00280BDC"/>
    <w:rsid w:val="00281913"/>
    <w:rsid w:val="002939A8"/>
    <w:rsid w:val="00296620"/>
    <w:rsid w:val="002A2B15"/>
    <w:rsid w:val="002A385F"/>
    <w:rsid w:val="002A4C94"/>
    <w:rsid w:val="002A5804"/>
    <w:rsid w:val="002B1013"/>
    <w:rsid w:val="002B7EA2"/>
    <w:rsid w:val="002C0879"/>
    <w:rsid w:val="002C62D9"/>
    <w:rsid w:val="002D0F42"/>
    <w:rsid w:val="002D5313"/>
    <w:rsid w:val="002D6BA1"/>
    <w:rsid w:val="002D6F98"/>
    <w:rsid w:val="002D7D45"/>
    <w:rsid w:val="002E214D"/>
    <w:rsid w:val="002E7DDE"/>
    <w:rsid w:val="002E7F8F"/>
    <w:rsid w:val="002F0A52"/>
    <w:rsid w:val="002F0D39"/>
    <w:rsid w:val="00302BDB"/>
    <w:rsid w:val="00303ECD"/>
    <w:rsid w:val="00310903"/>
    <w:rsid w:val="00311224"/>
    <w:rsid w:val="00315516"/>
    <w:rsid w:val="00316460"/>
    <w:rsid w:val="0032033D"/>
    <w:rsid w:val="00323730"/>
    <w:rsid w:val="00324E9B"/>
    <w:rsid w:val="00326919"/>
    <w:rsid w:val="00332C05"/>
    <w:rsid w:val="00333C82"/>
    <w:rsid w:val="003351E0"/>
    <w:rsid w:val="00343936"/>
    <w:rsid w:val="003445DF"/>
    <w:rsid w:val="00346FE7"/>
    <w:rsid w:val="0034720F"/>
    <w:rsid w:val="00347982"/>
    <w:rsid w:val="003517C6"/>
    <w:rsid w:val="0035614B"/>
    <w:rsid w:val="003609F1"/>
    <w:rsid w:val="00360B63"/>
    <w:rsid w:val="003659B1"/>
    <w:rsid w:val="00365A5D"/>
    <w:rsid w:val="00373110"/>
    <w:rsid w:val="003737AB"/>
    <w:rsid w:val="00375D24"/>
    <w:rsid w:val="0037725A"/>
    <w:rsid w:val="00385F1B"/>
    <w:rsid w:val="00390ABC"/>
    <w:rsid w:val="00392D7D"/>
    <w:rsid w:val="00393A08"/>
    <w:rsid w:val="00395ED9"/>
    <w:rsid w:val="00396855"/>
    <w:rsid w:val="0039708C"/>
    <w:rsid w:val="003978E0"/>
    <w:rsid w:val="003A021F"/>
    <w:rsid w:val="003A28F6"/>
    <w:rsid w:val="003B2089"/>
    <w:rsid w:val="003B2720"/>
    <w:rsid w:val="003B2795"/>
    <w:rsid w:val="003B4E91"/>
    <w:rsid w:val="003B5A9E"/>
    <w:rsid w:val="003B6492"/>
    <w:rsid w:val="003C2688"/>
    <w:rsid w:val="003C2E69"/>
    <w:rsid w:val="003C3494"/>
    <w:rsid w:val="003C481E"/>
    <w:rsid w:val="003C6972"/>
    <w:rsid w:val="003C7A14"/>
    <w:rsid w:val="003D27B8"/>
    <w:rsid w:val="003D52A9"/>
    <w:rsid w:val="003F2CC5"/>
    <w:rsid w:val="003F4463"/>
    <w:rsid w:val="003F4D21"/>
    <w:rsid w:val="003F5EA3"/>
    <w:rsid w:val="003F72E3"/>
    <w:rsid w:val="003F7EA5"/>
    <w:rsid w:val="004039E4"/>
    <w:rsid w:val="00405C09"/>
    <w:rsid w:val="004109D9"/>
    <w:rsid w:val="004121E7"/>
    <w:rsid w:val="0041474E"/>
    <w:rsid w:val="00420228"/>
    <w:rsid w:val="00420CB1"/>
    <w:rsid w:val="004225FF"/>
    <w:rsid w:val="00424584"/>
    <w:rsid w:val="004251C0"/>
    <w:rsid w:val="004373EE"/>
    <w:rsid w:val="00442196"/>
    <w:rsid w:val="00444FDB"/>
    <w:rsid w:val="0044620A"/>
    <w:rsid w:val="00450121"/>
    <w:rsid w:val="00453814"/>
    <w:rsid w:val="00456559"/>
    <w:rsid w:val="004607E2"/>
    <w:rsid w:val="0046299A"/>
    <w:rsid w:val="00465715"/>
    <w:rsid w:val="00465C67"/>
    <w:rsid w:val="00465E16"/>
    <w:rsid w:val="004665F8"/>
    <w:rsid w:val="00471798"/>
    <w:rsid w:val="00474C15"/>
    <w:rsid w:val="004839D6"/>
    <w:rsid w:val="00484095"/>
    <w:rsid w:val="00486432"/>
    <w:rsid w:val="00490C47"/>
    <w:rsid w:val="00491DC6"/>
    <w:rsid w:val="004928B1"/>
    <w:rsid w:val="004A3780"/>
    <w:rsid w:val="004A79E6"/>
    <w:rsid w:val="004B1D49"/>
    <w:rsid w:val="004B1F15"/>
    <w:rsid w:val="004C1A90"/>
    <w:rsid w:val="004C378B"/>
    <w:rsid w:val="004C3C82"/>
    <w:rsid w:val="004C5904"/>
    <w:rsid w:val="004C69AB"/>
    <w:rsid w:val="004D65A5"/>
    <w:rsid w:val="004E1118"/>
    <w:rsid w:val="004E19C3"/>
    <w:rsid w:val="004F4C47"/>
    <w:rsid w:val="004F64E7"/>
    <w:rsid w:val="004F6803"/>
    <w:rsid w:val="004F6E9D"/>
    <w:rsid w:val="005001DA"/>
    <w:rsid w:val="005013BD"/>
    <w:rsid w:val="005058B0"/>
    <w:rsid w:val="00512A6F"/>
    <w:rsid w:val="005138E9"/>
    <w:rsid w:val="005146E6"/>
    <w:rsid w:val="00514701"/>
    <w:rsid w:val="00515D98"/>
    <w:rsid w:val="00517C96"/>
    <w:rsid w:val="0052132F"/>
    <w:rsid w:val="0052340E"/>
    <w:rsid w:val="0052457B"/>
    <w:rsid w:val="005255E2"/>
    <w:rsid w:val="00530252"/>
    <w:rsid w:val="00536214"/>
    <w:rsid w:val="005416F2"/>
    <w:rsid w:val="00544478"/>
    <w:rsid w:val="005501BC"/>
    <w:rsid w:val="00555352"/>
    <w:rsid w:val="00557732"/>
    <w:rsid w:val="00564CC7"/>
    <w:rsid w:val="00570F9A"/>
    <w:rsid w:val="005718D1"/>
    <w:rsid w:val="005736C1"/>
    <w:rsid w:val="0057451A"/>
    <w:rsid w:val="005764C5"/>
    <w:rsid w:val="005800EF"/>
    <w:rsid w:val="005830B7"/>
    <w:rsid w:val="00591525"/>
    <w:rsid w:val="0059233B"/>
    <w:rsid w:val="00594DA5"/>
    <w:rsid w:val="005962B5"/>
    <w:rsid w:val="005969C3"/>
    <w:rsid w:val="005A021F"/>
    <w:rsid w:val="005A07EF"/>
    <w:rsid w:val="005A1AF0"/>
    <w:rsid w:val="005A7196"/>
    <w:rsid w:val="005B1A95"/>
    <w:rsid w:val="005B4224"/>
    <w:rsid w:val="005C0958"/>
    <w:rsid w:val="005C225B"/>
    <w:rsid w:val="005C3ACE"/>
    <w:rsid w:val="005C5BD6"/>
    <w:rsid w:val="005C7D6D"/>
    <w:rsid w:val="005D3A56"/>
    <w:rsid w:val="005D3FD8"/>
    <w:rsid w:val="005D4B90"/>
    <w:rsid w:val="005E7430"/>
    <w:rsid w:val="005F0314"/>
    <w:rsid w:val="005F37B3"/>
    <w:rsid w:val="005F445E"/>
    <w:rsid w:val="005F5B02"/>
    <w:rsid w:val="005F6AF9"/>
    <w:rsid w:val="0060264C"/>
    <w:rsid w:val="00606AD1"/>
    <w:rsid w:val="0060766E"/>
    <w:rsid w:val="006115F8"/>
    <w:rsid w:val="00614DD4"/>
    <w:rsid w:val="00615CF6"/>
    <w:rsid w:val="00623325"/>
    <w:rsid w:val="00623EF4"/>
    <w:rsid w:val="006275F5"/>
    <w:rsid w:val="006308F6"/>
    <w:rsid w:val="006324C4"/>
    <w:rsid w:val="00633584"/>
    <w:rsid w:val="006411D2"/>
    <w:rsid w:val="00642FC6"/>
    <w:rsid w:val="0064488C"/>
    <w:rsid w:val="00660581"/>
    <w:rsid w:val="00661FF3"/>
    <w:rsid w:val="00663097"/>
    <w:rsid w:val="00663E86"/>
    <w:rsid w:val="006658AC"/>
    <w:rsid w:val="00667DEE"/>
    <w:rsid w:val="00667EAB"/>
    <w:rsid w:val="0068145D"/>
    <w:rsid w:val="00681850"/>
    <w:rsid w:val="006826F6"/>
    <w:rsid w:val="00682BEB"/>
    <w:rsid w:val="00682F78"/>
    <w:rsid w:val="0068333E"/>
    <w:rsid w:val="006929FE"/>
    <w:rsid w:val="00694C0C"/>
    <w:rsid w:val="00696A94"/>
    <w:rsid w:val="0069720B"/>
    <w:rsid w:val="006A554C"/>
    <w:rsid w:val="006B0939"/>
    <w:rsid w:val="006B449C"/>
    <w:rsid w:val="006B6CF2"/>
    <w:rsid w:val="006B72F6"/>
    <w:rsid w:val="006C13E7"/>
    <w:rsid w:val="006C1D9B"/>
    <w:rsid w:val="006C2087"/>
    <w:rsid w:val="006C6378"/>
    <w:rsid w:val="006E156B"/>
    <w:rsid w:val="006E26BA"/>
    <w:rsid w:val="006E6643"/>
    <w:rsid w:val="006E7387"/>
    <w:rsid w:val="006F00A2"/>
    <w:rsid w:val="006F3E4B"/>
    <w:rsid w:val="006F41E9"/>
    <w:rsid w:val="006F543E"/>
    <w:rsid w:val="00703CF9"/>
    <w:rsid w:val="00705F8A"/>
    <w:rsid w:val="00707752"/>
    <w:rsid w:val="007077B6"/>
    <w:rsid w:val="00712EA0"/>
    <w:rsid w:val="00721E46"/>
    <w:rsid w:val="007231CA"/>
    <w:rsid w:val="00723D08"/>
    <w:rsid w:val="00724C46"/>
    <w:rsid w:val="00731AC2"/>
    <w:rsid w:val="007343E2"/>
    <w:rsid w:val="007355C9"/>
    <w:rsid w:val="007365DE"/>
    <w:rsid w:val="007473BC"/>
    <w:rsid w:val="00751935"/>
    <w:rsid w:val="00755BC6"/>
    <w:rsid w:val="007570DC"/>
    <w:rsid w:val="00764CC3"/>
    <w:rsid w:val="007666F4"/>
    <w:rsid w:val="00767523"/>
    <w:rsid w:val="00767CCC"/>
    <w:rsid w:val="007703B4"/>
    <w:rsid w:val="00771C0A"/>
    <w:rsid w:val="007740AE"/>
    <w:rsid w:val="007761D8"/>
    <w:rsid w:val="00784320"/>
    <w:rsid w:val="007901E5"/>
    <w:rsid w:val="00791739"/>
    <w:rsid w:val="00792C8C"/>
    <w:rsid w:val="00796134"/>
    <w:rsid w:val="007A2F19"/>
    <w:rsid w:val="007B2118"/>
    <w:rsid w:val="007B65AE"/>
    <w:rsid w:val="007D1DB2"/>
    <w:rsid w:val="007D6F60"/>
    <w:rsid w:val="007D7E49"/>
    <w:rsid w:val="007E146B"/>
    <w:rsid w:val="007E6278"/>
    <w:rsid w:val="007E651D"/>
    <w:rsid w:val="007F432F"/>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200A"/>
    <w:rsid w:val="00835348"/>
    <w:rsid w:val="00840EDC"/>
    <w:rsid w:val="00844182"/>
    <w:rsid w:val="0084491E"/>
    <w:rsid w:val="0085016E"/>
    <w:rsid w:val="00855525"/>
    <w:rsid w:val="00856AFA"/>
    <w:rsid w:val="00857D0E"/>
    <w:rsid w:val="00860E65"/>
    <w:rsid w:val="00861BA4"/>
    <w:rsid w:val="00870AA8"/>
    <w:rsid w:val="00871AD6"/>
    <w:rsid w:val="00877690"/>
    <w:rsid w:val="008828D2"/>
    <w:rsid w:val="00896D01"/>
    <w:rsid w:val="00896DB6"/>
    <w:rsid w:val="008A0076"/>
    <w:rsid w:val="008A2676"/>
    <w:rsid w:val="008A333A"/>
    <w:rsid w:val="008A3E6D"/>
    <w:rsid w:val="008A40EA"/>
    <w:rsid w:val="008B1251"/>
    <w:rsid w:val="008B130F"/>
    <w:rsid w:val="008B41C8"/>
    <w:rsid w:val="008B5D5A"/>
    <w:rsid w:val="008C0E53"/>
    <w:rsid w:val="008C1409"/>
    <w:rsid w:val="008C70B3"/>
    <w:rsid w:val="008C7FEA"/>
    <w:rsid w:val="008D087C"/>
    <w:rsid w:val="008D4B23"/>
    <w:rsid w:val="008E05C5"/>
    <w:rsid w:val="008E28E2"/>
    <w:rsid w:val="008F30A3"/>
    <w:rsid w:val="008F45CA"/>
    <w:rsid w:val="008F7178"/>
    <w:rsid w:val="00902C26"/>
    <w:rsid w:val="0091021B"/>
    <w:rsid w:val="00911116"/>
    <w:rsid w:val="00925427"/>
    <w:rsid w:val="009304AA"/>
    <w:rsid w:val="009343EB"/>
    <w:rsid w:val="00937754"/>
    <w:rsid w:val="0094073E"/>
    <w:rsid w:val="00946719"/>
    <w:rsid w:val="0094696A"/>
    <w:rsid w:val="009530D5"/>
    <w:rsid w:val="00953407"/>
    <w:rsid w:val="009545DC"/>
    <w:rsid w:val="00955E85"/>
    <w:rsid w:val="00962D8D"/>
    <w:rsid w:val="0096796F"/>
    <w:rsid w:val="00970680"/>
    <w:rsid w:val="009772B5"/>
    <w:rsid w:val="0099504B"/>
    <w:rsid w:val="009975EA"/>
    <w:rsid w:val="009A47CD"/>
    <w:rsid w:val="009B549B"/>
    <w:rsid w:val="009B58A6"/>
    <w:rsid w:val="009C0FAC"/>
    <w:rsid w:val="009C701A"/>
    <w:rsid w:val="009D051F"/>
    <w:rsid w:val="009D39D5"/>
    <w:rsid w:val="009D423E"/>
    <w:rsid w:val="009D45F6"/>
    <w:rsid w:val="009D4715"/>
    <w:rsid w:val="009E1DD6"/>
    <w:rsid w:val="009E3A92"/>
    <w:rsid w:val="009E4CE1"/>
    <w:rsid w:val="009E5E7D"/>
    <w:rsid w:val="009E7EF6"/>
    <w:rsid w:val="00A0347D"/>
    <w:rsid w:val="00A230F3"/>
    <w:rsid w:val="00A2313B"/>
    <w:rsid w:val="00A256C7"/>
    <w:rsid w:val="00A30B0A"/>
    <w:rsid w:val="00A30F0D"/>
    <w:rsid w:val="00A3101B"/>
    <w:rsid w:val="00A44897"/>
    <w:rsid w:val="00A471FC"/>
    <w:rsid w:val="00A5591C"/>
    <w:rsid w:val="00A57783"/>
    <w:rsid w:val="00A6774C"/>
    <w:rsid w:val="00A70639"/>
    <w:rsid w:val="00A707D3"/>
    <w:rsid w:val="00A716C9"/>
    <w:rsid w:val="00A7780A"/>
    <w:rsid w:val="00A80A54"/>
    <w:rsid w:val="00A815F5"/>
    <w:rsid w:val="00A81861"/>
    <w:rsid w:val="00A82DDE"/>
    <w:rsid w:val="00A8689D"/>
    <w:rsid w:val="00A92F98"/>
    <w:rsid w:val="00AA04B9"/>
    <w:rsid w:val="00AA13F0"/>
    <w:rsid w:val="00AA1AFA"/>
    <w:rsid w:val="00AA204A"/>
    <w:rsid w:val="00AA5591"/>
    <w:rsid w:val="00AB638E"/>
    <w:rsid w:val="00AB7A7B"/>
    <w:rsid w:val="00AC1790"/>
    <w:rsid w:val="00AD0AF7"/>
    <w:rsid w:val="00AD4B47"/>
    <w:rsid w:val="00AD4F04"/>
    <w:rsid w:val="00AD7D68"/>
    <w:rsid w:val="00AE2704"/>
    <w:rsid w:val="00AE49C1"/>
    <w:rsid w:val="00AE707E"/>
    <w:rsid w:val="00AF46F0"/>
    <w:rsid w:val="00AF624F"/>
    <w:rsid w:val="00B01B1D"/>
    <w:rsid w:val="00B04BE4"/>
    <w:rsid w:val="00B06352"/>
    <w:rsid w:val="00B11181"/>
    <w:rsid w:val="00B158D5"/>
    <w:rsid w:val="00B179BC"/>
    <w:rsid w:val="00B2454B"/>
    <w:rsid w:val="00B2521F"/>
    <w:rsid w:val="00B26262"/>
    <w:rsid w:val="00B30277"/>
    <w:rsid w:val="00B32539"/>
    <w:rsid w:val="00B37C37"/>
    <w:rsid w:val="00B40DB3"/>
    <w:rsid w:val="00B473E2"/>
    <w:rsid w:val="00B50A2B"/>
    <w:rsid w:val="00B51177"/>
    <w:rsid w:val="00B609E2"/>
    <w:rsid w:val="00B64B89"/>
    <w:rsid w:val="00B67828"/>
    <w:rsid w:val="00B70207"/>
    <w:rsid w:val="00B744F8"/>
    <w:rsid w:val="00B75278"/>
    <w:rsid w:val="00B77301"/>
    <w:rsid w:val="00B81848"/>
    <w:rsid w:val="00B81EB8"/>
    <w:rsid w:val="00BA18A6"/>
    <w:rsid w:val="00BA64C8"/>
    <w:rsid w:val="00BB548A"/>
    <w:rsid w:val="00BB6AE0"/>
    <w:rsid w:val="00BC7FEB"/>
    <w:rsid w:val="00BD2CF7"/>
    <w:rsid w:val="00BE2FFD"/>
    <w:rsid w:val="00BE4CBC"/>
    <w:rsid w:val="00BE7D61"/>
    <w:rsid w:val="00BF07E7"/>
    <w:rsid w:val="00BF0865"/>
    <w:rsid w:val="00C01DD3"/>
    <w:rsid w:val="00C03343"/>
    <w:rsid w:val="00C04D0C"/>
    <w:rsid w:val="00C06205"/>
    <w:rsid w:val="00C06231"/>
    <w:rsid w:val="00C117A7"/>
    <w:rsid w:val="00C14C53"/>
    <w:rsid w:val="00C175C5"/>
    <w:rsid w:val="00C218EF"/>
    <w:rsid w:val="00C22F7A"/>
    <w:rsid w:val="00C24D9C"/>
    <w:rsid w:val="00C25AA7"/>
    <w:rsid w:val="00C35D98"/>
    <w:rsid w:val="00C40A4A"/>
    <w:rsid w:val="00C45B1B"/>
    <w:rsid w:val="00C45E75"/>
    <w:rsid w:val="00C503A8"/>
    <w:rsid w:val="00C522F0"/>
    <w:rsid w:val="00C5333A"/>
    <w:rsid w:val="00C5412E"/>
    <w:rsid w:val="00C55755"/>
    <w:rsid w:val="00C55DF1"/>
    <w:rsid w:val="00C630C5"/>
    <w:rsid w:val="00C64075"/>
    <w:rsid w:val="00C64884"/>
    <w:rsid w:val="00C64E58"/>
    <w:rsid w:val="00C65503"/>
    <w:rsid w:val="00C7086A"/>
    <w:rsid w:val="00C70976"/>
    <w:rsid w:val="00C77AC3"/>
    <w:rsid w:val="00C80DD0"/>
    <w:rsid w:val="00C82BE5"/>
    <w:rsid w:val="00C83B6B"/>
    <w:rsid w:val="00C870C5"/>
    <w:rsid w:val="00C87594"/>
    <w:rsid w:val="00C9781C"/>
    <w:rsid w:val="00CA0FB9"/>
    <w:rsid w:val="00CB2FFD"/>
    <w:rsid w:val="00CB3815"/>
    <w:rsid w:val="00CB4A31"/>
    <w:rsid w:val="00CB5EEC"/>
    <w:rsid w:val="00CB753E"/>
    <w:rsid w:val="00CB7F26"/>
    <w:rsid w:val="00CC4497"/>
    <w:rsid w:val="00CC466C"/>
    <w:rsid w:val="00CC67A1"/>
    <w:rsid w:val="00CE45A0"/>
    <w:rsid w:val="00CE6B12"/>
    <w:rsid w:val="00CF31F4"/>
    <w:rsid w:val="00CF5819"/>
    <w:rsid w:val="00CF5E39"/>
    <w:rsid w:val="00D034DA"/>
    <w:rsid w:val="00D04A4C"/>
    <w:rsid w:val="00D07416"/>
    <w:rsid w:val="00D12024"/>
    <w:rsid w:val="00D1400D"/>
    <w:rsid w:val="00D145BE"/>
    <w:rsid w:val="00D24361"/>
    <w:rsid w:val="00D348C2"/>
    <w:rsid w:val="00D34FAF"/>
    <w:rsid w:val="00D40E1E"/>
    <w:rsid w:val="00D41164"/>
    <w:rsid w:val="00D42580"/>
    <w:rsid w:val="00D45A2A"/>
    <w:rsid w:val="00D47341"/>
    <w:rsid w:val="00D4742A"/>
    <w:rsid w:val="00D51250"/>
    <w:rsid w:val="00D52BA2"/>
    <w:rsid w:val="00D55479"/>
    <w:rsid w:val="00D57182"/>
    <w:rsid w:val="00D636FC"/>
    <w:rsid w:val="00D720F5"/>
    <w:rsid w:val="00D72197"/>
    <w:rsid w:val="00D77D30"/>
    <w:rsid w:val="00D80708"/>
    <w:rsid w:val="00D81C4C"/>
    <w:rsid w:val="00D83382"/>
    <w:rsid w:val="00D8524B"/>
    <w:rsid w:val="00D9126D"/>
    <w:rsid w:val="00D92391"/>
    <w:rsid w:val="00D94BC3"/>
    <w:rsid w:val="00DA1195"/>
    <w:rsid w:val="00DA1554"/>
    <w:rsid w:val="00DA2CAD"/>
    <w:rsid w:val="00DA5667"/>
    <w:rsid w:val="00DB3547"/>
    <w:rsid w:val="00DC0B65"/>
    <w:rsid w:val="00DC0F98"/>
    <w:rsid w:val="00DC1482"/>
    <w:rsid w:val="00DC33E0"/>
    <w:rsid w:val="00DC78B5"/>
    <w:rsid w:val="00DD2A02"/>
    <w:rsid w:val="00DD398A"/>
    <w:rsid w:val="00DE29A0"/>
    <w:rsid w:val="00DE6D5C"/>
    <w:rsid w:val="00DE7A3B"/>
    <w:rsid w:val="00DE7EDF"/>
    <w:rsid w:val="00DF2307"/>
    <w:rsid w:val="00DF2DA0"/>
    <w:rsid w:val="00DF3321"/>
    <w:rsid w:val="00E0312F"/>
    <w:rsid w:val="00E0799C"/>
    <w:rsid w:val="00E13B62"/>
    <w:rsid w:val="00E15DE0"/>
    <w:rsid w:val="00E30264"/>
    <w:rsid w:val="00E30A51"/>
    <w:rsid w:val="00E30E90"/>
    <w:rsid w:val="00E53549"/>
    <w:rsid w:val="00E54A36"/>
    <w:rsid w:val="00E551DB"/>
    <w:rsid w:val="00E57688"/>
    <w:rsid w:val="00E60782"/>
    <w:rsid w:val="00E6083B"/>
    <w:rsid w:val="00E623EF"/>
    <w:rsid w:val="00E72631"/>
    <w:rsid w:val="00E73840"/>
    <w:rsid w:val="00E75216"/>
    <w:rsid w:val="00E80F89"/>
    <w:rsid w:val="00E8228E"/>
    <w:rsid w:val="00E82D7C"/>
    <w:rsid w:val="00E847FF"/>
    <w:rsid w:val="00E84DBF"/>
    <w:rsid w:val="00E92755"/>
    <w:rsid w:val="00E97DE0"/>
    <w:rsid w:val="00E97F39"/>
    <w:rsid w:val="00EB5264"/>
    <w:rsid w:val="00EC17D4"/>
    <w:rsid w:val="00EC68C9"/>
    <w:rsid w:val="00ED1205"/>
    <w:rsid w:val="00ED31A7"/>
    <w:rsid w:val="00ED336B"/>
    <w:rsid w:val="00ED528F"/>
    <w:rsid w:val="00EE4C43"/>
    <w:rsid w:val="00EF024E"/>
    <w:rsid w:val="00EF02F7"/>
    <w:rsid w:val="00EF074B"/>
    <w:rsid w:val="00EF0FA7"/>
    <w:rsid w:val="00EF2619"/>
    <w:rsid w:val="00EF6AA1"/>
    <w:rsid w:val="00F01B6F"/>
    <w:rsid w:val="00F113FA"/>
    <w:rsid w:val="00F1150B"/>
    <w:rsid w:val="00F17CC1"/>
    <w:rsid w:val="00F2253B"/>
    <w:rsid w:val="00F262EE"/>
    <w:rsid w:val="00F27E37"/>
    <w:rsid w:val="00F328C0"/>
    <w:rsid w:val="00F33606"/>
    <w:rsid w:val="00F33C34"/>
    <w:rsid w:val="00F35F2A"/>
    <w:rsid w:val="00F3676D"/>
    <w:rsid w:val="00F36DB9"/>
    <w:rsid w:val="00F451F4"/>
    <w:rsid w:val="00F51E8F"/>
    <w:rsid w:val="00F546D0"/>
    <w:rsid w:val="00F62825"/>
    <w:rsid w:val="00F632DE"/>
    <w:rsid w:val="00F65892"/>
    <w:rsid w:val="00F65A8C"/>
    <w:rsid w:val="00F66332"/>
    <w:rsid w:val="00F743DE"/>
    <w:rsid w:val="00F76D14"/>
    <w:rsid w:val="00F80200"/>
    <w:rsid w:val="00F80E16"/>
    <w:rsid w:val="00F81EA0"/>
    <w:rsid w:val="00F82D76"/>
    <w:rsid w:val="00F93529"/>
    <w:rsid w:val="00F952AA"/>
    <w:rsid w:val="00F966DA"/>
    <w:rsid w:val="00F97CEC"/>
    <w:rsid w:val="00FA44C7"/>
    <w:rsid w:val="00FB0094"/>
    <w:rsid w:val="00FB1142"/>
    <w:rsid w:val="00FB3A60"/>
    <w:rsid w:val="00FB5138"/>
    <w:rsid w:val="00FC4F87"/>
    <w:rsid w:val="00FD0916"/>
    <w:rsid w:val="00FD12E9"/>
    <w:rsid w:val="00FD2D19"/>
    <w:rsid w:val="00FD3C0C"/>
    <w:rsid w:val="00FD487B"/>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A35F37"/>
  <w15:docId w15:val="{62801FC3-81EA-4BBA-A03C-1DF5E09D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5039"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text">
    <w:name w:val="text"/>
    <w:basedOn w:val="Normal"/>
    <w:link w:val="textChar"/>
    <w:qFormat/>
    <w:rsid w:val="00E54A36"/>
    <w:pPr>
      <w:spacing w:after="200"/>
    </w:pPr>
    <w:rPr>
      <w:rFonts w:ascii="Arial" w:hAnsi="Arial" w:cs="Arial"/>
      <w:bCs/>
      <w:sz w:val="22"/>
      <w:szCs w:val="22"/>
    </w:rPr>
  </w:style>
  <w:style w:type="character" w:customStyle="1" w:styleId="textChar">
    <w:name w:val="text Char"/>
    <w:basedOn w:val="DefaultParagraphFont"/>
    <w:link w:val="text"/>
    <w:rsid w:val="00E54A36"/>
    <w:rPr>
      <w:rFonts w:ascii="Arial" w:hAnsi="Arial" w:cs="Arial"/>
      <w:bCs/>
      <w:sz w:val="22"/>
      <w:szCs w:val="22"/>
      <w:lang w:eastAsia="en-US"/>
    </w:rPr>
  </w:style>
  <w:style w:type="paragraph" w:customStyle="1" w:styleId="CAbulletmajor">
    <w:name w:val="CA bullet major"/>
    <w:basedOn w:val="ListBullet"/>
    <w:link w:val="CAbulletmajorChar"/>
    <w:qFormat/>
    <w:rsid w:val="00E54A36"/>
    <w:pPr>
      <w:spacing w:after="120" w:line="276" w:lineRule="auto"/>
      <w:contextualSpacing w:val="0"/>
    </w:pPr>
    <w:rPr>
      <w:rFonts w:ascii="Arial" w:hAnsi="Arial" w:cs="Arial"/>
      <w:sz w:val="22"/>
      <w:szCs w:val="22"/>
    </w:rPr>
  </w:style>
  <w:style w:type="character" w:customStyle="1" w:styleId="CAbulletmajorChar">
    <w:name w:val="CA bullet major Char"/>
    <w:basedOn w:val="DefaultParagraphFont"/>
    <w:link w:val="CAbulletmajor"/>
    <w:rsid w:val="00E54A36"/>
    <w:rPr>
      <w:rFonts w:ascii="Arial" w:hAnsi="Arial" w:cs="Arial"/>
      <w:sz w:val="22"/>
      <w:szCs w:val="22"/>
      <w:lang w:eastAsia="en-US"/>
    </w:rPr>
  </w:style>
  <w:style w:type="paragraph" w:customStyle="1" w:styleId="CAreference">
    <w:name w:val="CA reference"/>
    <w:basedOn w:val="ListBullet"/>
    <w:qFormat/>
    <w:rsid w:val="00B40DB3"/>
    <w:pPr>
      <w:numPr>
        <w:numId w:val="0"/>
      </w:numPr>
      <w:spacing w:before="120" w:after="40" w:line="360" w:lineRule="auto"/>
      <w:ind w:left="357" w:hanging="357"/>
      <w:contextualSpacing w:val="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www.wettropics.gov.au/stamp-out-yellow-crazy-ant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environment.gov.au/biodiversity/threatened/publications/tap/infection-amphibians-chytrid-fungus-resulting-chytridiomycosis-201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atial.ala.org.au/?q=lsid%3Aurn%3Alsid%3Abiodiversity.org.au%3Aafd.taxon%3A4ca01bb0-bc9c-4f5a-bef4-160d09725a85"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nvironment.gov.au/biodiversity/threatened/cam" TargetMode="External"/><Relationship Id="rId23" Type="http://schemas.openxmlformats.org/officeDocument/2006/relationships/header" Target="header3.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21C571-5662-4D28-B2AE-12E40384D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83530411.dotm</Template>
  <TotalTime>0</TotalTime>
  <Pages>12</Pages>
  <Words>4609</Words>
  <Characters>36824</Characters>
  <Application>Microsoft Office Word</Application>
  <DocSecurity>0</DocSecurity>
  <Lines>944</Lines>
  <Paragraphs>455</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40978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Cophixalus neglectus (Neglected Nursery Frog)</dc:title>
  <dc:creator>Department of the Environment and Energy</dc:creator>
  <cp:lastModifiedBy>Durack, Bec</cp:lastModifiedBy>
  <cp:revision>2</cp:revision>
  <dcterms:created xsi:type="dcterms:W3CDTF">2018-09-04T08:41:00Z</dcterms:created>
  <dcterms:modified xsi:type="dcterms:W3CDTF">2018-09-04T08:41:00Z</dcterms:modified>
</cp:coreProperties>
</file>