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484424645"/>
        <w:docPartObj>
          <w:docPartGallery w:val="Cover Pages"/>
          <w:docPartUnique/>
        </w:docPartObj>
      </w:sdtPr>
      <w:sdtEndPr/>
      <w:sdtContent>
        <w:p w14:paraId="5737C971" w14:textId="77777777" w:rsidR="00C21848" w:rsidRPr="005C7D6B" w:rsidRDefault="00C21848" w:rsidP="00CC1CF7">
          <w:pPr>
            <w:spacing w:after="0" w:line="240" w:lineRule="auto"/>
          </w:pPr>
          <w:r>
            <w:rPr>
              <w:noProof/>
            </w:rPr>
            <mc:AlternateContent>
              <mc:Choice Requires="wps">
                <w:drawing>
                  <wp:anchor distT="0" distB="0" distL="114300" distR="114300" simplePos="0" relativeHeight="251664384" behindDoc="0" locked="0" layoutInCell="1" allowOverlap="1" wp14:anchorId="5412B448" wp14:editId="6C9B1601">
                    <wp:simplePos x="0" y="0"/>
                    <wp:positionH relativeFrom="column">
                      <wp:posOffset>4106145</wp:posOffset>
                    </wp:positionH>
                    <wp:positionV relativeFrom="paragraph">
                      <wp:posOffset>9048115</wp:posOffset>
                    </wp:positionV>
                    <wp:extent cx="2374265" cy="280537"/>
                    <wp:effectExtent l="0" t="0" r="0" b="5715"/>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80537"/>
                            </a:xfrm>
                            <a:prstGeom prst="rect">
                              <a:avLst/>
                            </a:prstGeom>
                            <a:solidFill>
                              <a:srgbClr val="FFFFFF"/>
                            </a:solidFill>
                            <a:ln w="9525">
                              <a:noFill/>
                              <a:miter lim="800000"/>
                              <a:headEnd/>
                              <a:tailEnd/>
                            </a:ln>
                          </wps:spPr>
                          <wps:txbx>
                            <w:txbxContent>
                              <w:p w14:paraId="622ED149" w14:textId="77777777" w:rsidR="00FA1AC7" w:rsidRDefault="00FA1AC7" w:rsidP="00CC1CF7">
                                <w:pPr>
                                  <w:jc w:val="right"/>
                                </w:pPr>
                                <w:r>
                                  <w:rPr>
                                    <w:rFonts w:cs="Arial"/>
                                  </w:rPr>
                                  <w:t>©</w:t>
                                </w:r>
                                <w:r>
                                  <w:t xml:space="preserve"> </w:t>
                                </w:r>
                                <w:bookmarkStart w:id="0" w:name="_GoBack"/>
                                <w:r>
                                  <w:t xml:space="preserve">Aither </w:t>
                                </w:r>
                                <w:bookmarkEnd w:id="0"/>
                                <w:r>
                                  <w:t>2018</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412B448" id="_x0000_t202" coordsize="21600,21600" o:spt="202" path="m,l,21600r21600,l21600,xe">
                    <v:stroke joinstyle="miter"/>
                    <v:path gradientshapeok="t" o:connecttype="rect"/>
                  </v:shapetype>
                  <v:shape id="Text Box 39" o:spid="_x0000_s1026" type="#_x0000_t202" style="position:absolute;margin-left:323.3pt;margin-top:712.45pt;width:186.95pt;height:22.1pt;z-index:25166438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" stroked="f">
                    <v:textbox>
                      <w:txbxContent>
                        <w:p w14:paraId="622ED149" w14:textId="77777777" w:rsidR="00FA1AC7" w:rsidRDefault="00FA1AC7" w:rsidP="00CC1CF7">
                          <w:pPr>
                            <w:jc w:val="right"/>
                          </w:pPr>
                          <w:r>
                            <w:rPr>
                              <w:rFonts w:cs="Arial"/>
                            </w:rPr>
                            <w:t>©</w:t>
                          </w:r>
                          <w:r>
                            <w:t xml:space="preserve"> Aither 2018</w:t>
                          </w:r>
                        </w:p>
                      </w:txbxContent>
                    </v:textbox>
                  </v:shape>
                </w:pict>
              </mc:Fallback>
            </mc:AlternateContent>
          </w:r>
          <w:r>
            <w:rPr>
              <w:noProof/>
            </w:rPr>
            <mc:AlternateContent>
              <mc:Choice Requires="wps">
                <w:drawing>
                  <wp:anchor distT="0" distB="0" distL="114300" distR="114300" simplePos="0" relativeHeight="251659264" behindDoc="0" locked="1" layoutInCell="0" allowOverlap="1" wp14:anchorId="14A81B21" wp14:editId="102570B9">
                    <wp:simplePos x="0" y="0"/>
                    <wp:positionH relativeFrom="page">
                      <wp:posOffset>171450</wp:posOffset>
                    </wp:positionH>
                    <wp:positionV relativeFrom="page">
                      <wp:posOffset>4448175</wp:posOffset>
                    </wp:positionV>
                    <wp:extent cx="7219950" cy="1562100"/>
                    <wp:effectExtent l="0" t="0" r="0" b="0"/>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19950" cy="1562100"/>
                            </a:xfrm>
                            <a:prstGeom prst="rect">
                              <a:avLst/>
                            </a:prstGeom>
                            <a:solidFill>
                              <a:schemeClr val="accent6"/>
                            </a:solidFill>
                            <a:ln>
                              <a:noFill/>
                            </a:ln>
                            <a:extLst/>
                          </wps:spPr>
                          <wps:txbx>
                            <w:txbxContent>
                              <w:p w14:paraId="136D97B5" w14:textId="6D79EF61" w:rsidR="00FA1AC7" w:rsidRDefault="00FA1AC7" w:rsidP="00CC1CF7">
                                <w:pPr>
                                  <w:pStyle w:val="Title"/>
                                </w:pPr>
                                <w:r>
                                  <w:t>An independent review of interactions between the EPBC Act and the agriculture sector</w:t>
                                </w:r>
                              </w:p>
                            </w:txbxContent>
                          </wps:txbx>
                          <wps:bodyPr rot="0" vert="horz" wrap="square" lIns="228600" tIns="45720" rIns="914400" bIns="45720" anchor="b" anchorCtr="0" upright="1">
                            <a:noAutofit/>
                          </wps:bodyPr>
                        </wps:wsp>
                      </a:graphicData>
                    </a:graphic>
                    <wp14:sizeRelH relativeFrom="page">
                      <wp14:pctWidth>0</wp14:pctWidth>
                    </wp14:sizeRelH>
                    <wp14:sizeRelV relativeFrom="page">
                      <wp14:pctHeight>0</wp14:pctHeight>
                    </wp14:sizeRelV>
                  </wp:anchor>
                </w:drawing>
              </mc:Choice>
              <mc:Fallback>
                <w:pict>
                  <v:rect w14:anchorId="14A81B21" id="Rectangle 40" o:spid="_x0000_s1027" style="position:absolute;margin-left:13.5pt;margin-top:350.25pt;width:568.5pt;height:12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" o:allowincell="f" fillcolor="#ccbf9b [3209]" stroked="f">
                    <v:textbox inset="18pt,,1in">
                      <w:txbxContent>
                        <w:p w14:paraId="136D97B5" w14:textId="6D79EF61" w:rsidR="00FA1AC7" w:rsidRDefault="00FA1AC7" w:rsidP="00CC1CF7">
                          <w:pPr>
                            <w:pStyle w:val="Title"/>
                          </w:pPr>
                          <w:r>
                            <w:t>An independent review of interactions between the EPBC Act and the agriculture sector</w:t>
                          </w:r>
                        </w:p>
                      </w:txbxContent>
                    </v:textbox>
                    <w10:wrap anchorx="page" anchory="page"/>
                    <w10:anchorlock/>
                  </v:rect>
                </w:pict>
              </mc:Fallback>
            </mc:AlternateContent>
          </w:r>
          <w:r>
            <w:rPr>
              <w:noProof/>
            </w:rPr>
            <mc:AlternateContent>
              <mc:Choice Requires="wpg">
                <w:drawing>
                  <wp:anchor distT="0" distB="0" distL="114300" distR="114300" simplePos="0" relativeHeight="251660288" behindDoc="0" locked="0" layoutInCell="1" allowOverlap="1" wp14:anchorId="0762115F" wp14:editId="58412AC6">
                    <wp:simplePos x="0" y="0"/>
                    <wp:positionH relativeFrom="column">
                      <wp:posOffset>3790950</wp:posOffset>
                    </wp:positionH>
                    <wp:positionV relativeFrom="paragraph">
                      <wp:posOffset>7862570</wp:posOffset>
                    </wp:positionV>
                    <wp:extent cx="2640330" cy="367665"/>
                    <wp:effectExtent l="0" t="0" r="4693920" b="8776335"/>
                    <wp:wrapNone/>
                    <wp:docPr id="41" name="Group 41"/>
                    <wp:cNvGraphicFramePr/>
                    <a:graphic xmlns:a="http://schemas.openxmlformats.org/drawingml/2006/main">
                      <a:graphicData uri="http://schemas.microsoft.com/office/word/2010/wordprocessingGroup">
                        <wpg:wgp>
                          <wpg:cNvGrpSpPr/>
                          <wpg:grpSpPr>
                            <a:xfrm>
                              <a:off x="0" y="0"/>
                              <a:ext cx="7345680" cy="9144635"/>
                              <a:chOff x="0" y="0"/>
                              <a:chExt cx="7345680" cy="9144635"/>
                            </a:xfrm>
                          </wpg:grpSpPr>
                          <wps:wsp>
                            <wps:cNvPr id="42" name="Rectangle 42"/>
                            <wps:cNvSpPr/>
                            <wps:spPr>
                              <a:xfrm>
                                <a:off x="4705350" y="8776970"/>
                                <a:ext cx="2640330" cy="367665"/>
                              </a:xfrm>
                              <a:prstGeom prst="rect">
                                <a:avLst/>
                              </a:prstGeom>
                              <a:noFill/>
                              <a:ln>
                                <a:noFill/>
                              </a:ln>
                            </wps:spPr>
                            <wps:bodyPr/>
                          </wps:wsp>
                          <wps:wsp>
                            <wps:cNvPr id="43" name="Freeform 43"/>
                            <wps:cNvSpPr>
                              <a:spLocks noEditPoints="1"/>
                            </wps:cNvSpPr>
                            <wps:spPr bwMode="auto">
                              <a:xfrm>
                                <a:off x="0" y="0"/>
                                <a:ext cx="335280" cy="367665"/>
                              </a:xfrm>
                              <a:custGeom>
                                <a:avLst/>
                                <a:gdLst>
                                  <a:gd name="T0" fmla="*/ 253 w 528"/>
                                  <a:gd name="T1" fmla="*/ 0 h 579"/>
                                  <a:gd name="T2" fmla="*/ 263 w 528"/>
                                  <a:gd name="T3" fmla="*/ 0 h 579"/>
                                  <a:gd name="T4" fmla="*/ 528 w 528"/>
                                  <a:gd name="T5" fmla="*/ 579 h 579"/>
                                  <a:gd name="T6" fmla="*/ 403 w 528"/>
                                  <a:gd name="T7" fmla="*/ 579 h 579"/>
                                  <a:gd name="T8" fmla="*/ 375 w 528"/>
                                  <a:gd name="T9" fmla="*/ 514 h 579"/>
                                  <a:gd name="T10" fmla="*/ 143 w 528"/>
                                  <a:gd name="T11" fmla="*/ 514 h 579"/>
                                  <a:gd name="T12" fmla="*/ 114 w 528"/>
                                  <a:gd name="T13" fmla="*/ 579 h 579"/>
                                  <a:gd name="T14" fmla="*/ 0 w 528"/>
                                  <a:gd name="T15" fmla="*/ 579 h 579"/>
                                  <a:gd name="T16" fmla="*/ 253 w 528"/>
                                  <a:gd name="T17" fmla="*/ 0 h 579"/>
                                  <a:gd name="T18" fmla="*/ 334 w 528"/>
                                  <a:gd name="T19" fmla="*/ 415 h 579"/>
                                  <a:gd name="T20" fmla="*/ 291 w 528"/>
                                  <a:gd name="T21" fmla="*/ 316 h 579"/>
                                  <a:gd name="T22" fmla="*/ 291 w 528"/>
                                  <a:gd name="T23" fmla="*/ 316 h 579"/>
                                  <a:gd name="T24" fmla="*/ 279 w 528"/>
                                  <a:gd name="T25" fmla="*/ 283 h 579"/>
                                  <a:gd name="T26" fmla="*/ 269 w 528"/>
                                  <a:gd name="T27" fmla="*/ 249 h 579"/>
                                  <a:gd name="T28" fmla="*/ 257 w 528"/>
                                  <a:gd name="T29" fmla="*/ 213 h 579"/>
                                  <a:gd name="T30" fmla="*/ 257 w 528"/>
                                  <a:gd name="T31" fmla="*/ 213 h 579"/>
                                  <a:gd name="T32" fmla="*/ 247 w 528"/>
                                  <a:gd name="T33" fmla="*/ 249 h 579"/>
                                  <a:gd name="T34" fmla="*/ 236 w 528"/>
                                  <a:gd name="T35" fmla="*/ 283 h 579"/>
                                  <a:gd name="T36" fmla="*/ 222 w 528"/>
                                  <a:gd name="T37" fmla="*/ 316 h 579"/>
                                  <a:gd name="T38" fmla="*/ 181 w 528"/>
                                  <a:gd name="T39" fmla="*/ 415 h 579"/>
                                  <a:gd name="T40" fmla="*/ 334 w 528"/>
                                  <a:gd name="T41" fmla="*/ 415 h 5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528" h="579">
                                    <a:moveTo>
                                      <a:pt x="253" y="0"/>
                                    </a:moveTo>
                                    <a:lnTo>
                                      <a:pt x="263" y="0"/>
                                    </a:lnTo>
                                    <a:lnTo>
                                      <a:pt x="528" y="579"/>
                                    </a:lnTo>
                                    <a:lnTo>
                                      <a:pt x="403" y="579"/>
                                    </a:lnTo>
                                    <a:lnTo>
                                      <a:pt x="375" y="514"/>
                                    </a:lnTo>
                                    <a:lnTo>
                                      <a:pt x="143" y="514"/>
                                    </a:lnTo>
                                    <a:lnTo>
                                      <a:pt x="114" y="579"/>
                                    </a:lnTo>
                                    <a:lnTo>
                                      <a:pt x="0" y="579"/>
                                    </a:lnTo>
                                    <a:lnTo>
                                      <a:pt x="253" y="0"/>
                                    </a:lnTo>
                                    <a:close/>
                                    <a:moveTo>
                                      <a:pt x="334" y="415"/>
                                    </a:moveTo>
                                    <a:lnTo>
                                      <a:pt x="291" y="316"/>
                                    </a:lnTo>
                                    <a:lnTo>
                                      <a:pt x="291" y="316"/>
                                    </a:lnTo>
                                    <a:lnTo>
                                      <a:pt x="279" y="283"/>
                                    </a:lnTo>
                                    <a:lnTo>
                                      <a:pt x="269" y="249"/>
                                    </a:lnTo>
                                    <a:lnTo>
                                      <a:pt x="257" y="213"/>
                                    </a:lnTo>
                                    <a:lnTo>
                                      <a:pt x="257" y="213"/>
                                    </a:lnTo>
                                    <a:lnTo>
                                      <a:pt x="247" y="249"/>
                                    </a:lnTo>
                                    <a:lnTo>
                                      <a:pt x="236" y="283"/>
                                    </a:lnTo>
                                    <a:lnTo>
                                      <a:pt x="222" y="316"/>
                                    </a:lnTo>
                                    <a:lnTo>
                                      <a:pt x="181" y="415"/>
                                    </a:lnTo>
                                    <a:lnTo>
                                      <a:pt x="334" y="415"/>
                                    </a:lnTo>
                                    <a:close/>
                                  </a:path>
                                </a:pathLst>
                              </a:custGeom>
                              <a:solidFill>
                                <a:srgbClr val="4A535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Rectangle 44"/>
                            <wps:cNvSpPr>
                              <a:spLocks noChangeArrowheads="1"/>
                            </wps:cNvSpPr>
                            <wps:spPr bwMode="auto">
                              <a:xfrm>
                                <a:off x="547370" y="3810"/>
                                <a:ext cx="76200" cy="363855"/>
                              </a:xfrm>
                              <a:prstGeom prst="rect">
                                <a:avLst/>
                              </a:prstGeom>
                              <a:solidFill>
                                <a:srgbClr val="4A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Freeform 45"/>
                            <wps:cNvSpPr>
                              <a:spLocks/>
                            </wps:cNvSpPr>
                            <wps:spPr bwMode="auto">
                              <a:xfrm>
                                <a:off x="840740" y="3810"/>
                                <a:ext cx="284480" cy="363855"/>
                              </a:xfrm>
                              <a:custGeom>
                                <a:avLst/>
                                <a:gdLst>
                                  <a:gd name="T0" fmla="*/ 165 w 448"/>
                                  <a:gd name="T1" fmla="*/ 103 h 573"/>
                                  <a:gd name="T2" fmla="*/ 0 w 448"/>
                                  <a:gd name="T3" fmla="*/ 103 h 573"/>
                                  <a:gd name="T4" fmla="*/ 0 w 448"/>
                                  <a:gd name="T5" fmla="*/ 0 h 573"/>
                                  <a:gd name="T6" fmla="*/ 448 w 448"/>
                                  <a:gd name="T7" fmla="*/ 0 h 573"/>
                                  <a:gd name="T8" fmla="*/ 448 w 448"/>
                                  <a:gd name="T9" fmla="*/ 103 h 573"/>
                                  <a:gd name="T10" fmla="*/ 283 w 448"/>
                                  <a:gd name="T11" fmla="*/ 103 h 573"/>
                                  <a:gd name="T12" fmla="*/ 283 w 448"/>
                                  <a:gd name="T13" fmla="*/ 573 h 573"/>
                                  <a:gd name="T14" fmla="*/ 165 w 448"/>
                                  <a:gd name="T15" fmla="*/ 573 h 573"/>
                                  <a:gd name="T16" fmla="*/ 165 w 448"/>
                                  <a:gd name="T17" fmla="*/ 103 h 5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48" h="573">
                                    <a:moveTo>
                                      <a:pt x="165" y="103"/>
                                    </a:moveTo>
                                    <a:lnTo>
                                      <a:pt x="0" y="103"/>
                                    </a:lnTo>
                                    <a:lnTo>
                                      <a:pt x="0" y="0"/>
                                    </a:lnTo>
                                    <a:lnTo>
                                      <a:pt x="448" y="0"/>
                                    </a:lnTo>
                                    <a:lnTo>
                                      <a:pt x="448" y="103"/>
                                    </a:lnTo>
                                    <a:lnTo>
                                      <a:pt x="283" y="103"/>
                                    </a:lnTo>
                                    <a:lnTo>
                                      <a:pt x="283" y="573"/>
                                    </a:lnTo>
                                    <a:lnTo>
                                      <a:pt x="165" y="573"/>
                                    </a:lnTo>
                                    <a:lnTo>
                                      <a:pt x="165" y="103"/>
                                    </a:lnTo>
                                    <a:close/>
                                  </a:path>
                                </a:pathLst>
                              </a:custGeom>
                              <a:solidFill>
                                <a:srgbClr val="4A535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46"/>
                            <wps:cNvSpPr>
                              <a:spLocks/>
                            </wps:cNvSpPr>
                            <wps:spPr bwMode="auto">
                              <a:xfrm>
                                <a:off x="1343025" y="3810"/>
                                <a:ext cx="307975" cy="363855"/>
                              </a:xfrm>
                              <a:custGeom>
                                <a:avLst/>
                                <a:gdLst>
                                  <a:gd name="T0" fmla="*/ 0 w 485"/>
                                  <a:gd name="T1" fmla="*/ 0 h 573"/>
                                  <a:gd name="T2" fmla="*/ 118 w 485"/>
                                  <a:gd name="T3" fmla="*/ 0 h 573"/>
                                  <a:gd name="T4" fmla="*/ 118 w 485"/>
                                  <a:gd name="T5" fmla="*/ 294 h 573"/>
                                  <a:gd name="T6" fmla="*/ 364 w 485"/>
                                  <a:gd name="T7" fmla="*/ 294 h 573"/>
                                  <a:gd name="T8" fmla="*/ 364 w 485"/>
                                  <a:gd name="T9" fmla="*/ 0 h 573"/>
                                  <a:gd name="T10" fmla="*/ 485 w 485"/>
                                  <a:gd name="T11" fmla="*/ 0 h 573"/>
                                  <a:gd name="T12" fmla="*/ 485 w 485"/>
                                  <a:gd name="T13" fmla="*/ 573 h 573"/>
                                  <a:gd name="T14" fmla="*/ 364 w 485"/>
                                  <a:gd name="T15" fmla="*/ 573 h 573"/>
                                  <a:gd name="T16" fmla="*/ 364 w 485"/>
                                  <a:gd name="T17" fmla="*/ 399 h 573"/>
                                  <a:gd name="T18" fmla="*/ 118 w 485"/>
                                  <a:gd name="T19" fmla="*/ 399 h 573"/>
                                  <a:gd name="T20" fmla="*/ 118 w 485"/>
                                  <a:gd name="T21" fmla="*/ 573 h 573"/>
                                  <a:gd name="T22" fmla="*/ 0 w 485"/>
                                  <a:gd name="T23" fmla="*/ 573 h 573"/>
                                  <a:gd name="T24" fmla="*/ 0 w 485"/>
                                  <a:gd name="T25" fmla="*/ 0 h 5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85" h="573">
                                    <a:moveTo>
                                      <a:pt x="0" y="0"/>
                                    </a:moveTo>
                                    <a:lnTo>
                                      <a:pt x="118" y="0"/>
                                    </a:lnTo>
                                    <a:lnTo>
                                      <a:pt x="118" y="294"/>
                                    </a:lnTo>
                                    <a:lnTo>
                                      <a:pt x="364" y="294"/>
                                    </a:lnTo>
                                    <a:lnTo>
                                      <a:pt x="364" y="0"/>
                                    </a:lnTo>
                                    <a:lnTo>
                                      <a:pt x="485" y="0"/>
                                    </a:lnTo>
                                    <a:lnTo>
                                      <a:pt x="485" y="573"/>
                                    </a:lnTo>
                                    <a:lnTo>
                                      <a:pt x="364" y="573"/>
                                    </a:lnTo>
                                    <a:lnTo>
                                      <a:pt x="364" y="399"/>
                                    </a:lnTo>
                                    <a:lnTo>
                                      <a:pt x="118" y="399"/>
                                    </a:lnTo>
                                    <a:lnTo>
                                      <a:pt x="118" y="573"/>
                                    </a:lnTo>
                                    <a:lnTo>
                                      <a:pt x="0" y="573"/>
                                    </a:lnTo>
                                    <a:lnTo>
                                      <a:pt x="0" y="0"/>
                                    </a:lnTo>
                                    <a:close/>
                                  </a:path>
                                </a:pathLst>
                              </a:custGeom>
                              <a:solidFill>
                                <a:srgbClr val="4A535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47"/>
                            <wps:cNvSpPr>
                              <a:spLocks/>
                            </wps:cNvSpPr>
                            <wps:spPr bwMode="auto">
                              <a:xfrm>
                                <a:off x="1888490" y="3810"/>
                                <a:ext cx="250190" cy="363855"/>
                              </a:xfrm>
                              <a:custGeom>
                                <a:avLst/>
                                <a:gdLst>
                                  <a:gd name="T0" fmla="*/ 0 w 394"/>
                                  <a:gd name="T1" fmla="*/ 0 h 573"/>
                                  <a:gd name="T2" fmla="*/ 381 w 394"/>
                                  <a:gd name="T3" fmla="*/ 0 h 573"/>
                                  <a:gd name="T4" fmla="*/ 381 w 394"/>
                                  <a:gd name="T5" fmla="*/ 103 h 573"/>
                                  <a:gd name="T6" fmla="*/ 119 w 394"/>
                                  <a:gd name="T7" fmla="*/ 103 h 573"/>
                                  <a:gd name="T8" fmla="*/ 119 w 394"/>
                                  <a:gd name="T9" fmla="*/ 286 h 573"/>
                                  <a:gd name="T10" fmla="*/ 351 w 394"/>
                                  <a:gd name="T11" fmla="*/ 286 h 573"/>
                                  <a:gd name="T12" fmla="*/ 351 w 394"/>
                                  <a:gd name="T13" fmla="*/ 387 h 573"/>
                                  <a:gd name="T14" fmla="*/ 119 w 394"/>
                                  <a:gd name="T15" fmla="*/ 387 h 573"/>
                                  <a:gd name="T16" fmla="*/ 119 w 394"/>
                                  <a:gd name="T17" fmla="*/ 470 h 573"/>
                                  <a:gd name="T18" fmla="*/ 394 w 394"/>
                                  <a:gd name="T19" fmla="*/ 470 h 573"/>
                                  <a:gd name="T20" fmla="*/ 394 w 394"/>
                                  <a:gd name="T21" fmla="*/ 573 h 573"/>
                                  <a:gd name="T22" fmla="*/ 0 w 394"/>
                                  <a:gd name="T23" fmla="*/ 573 h 573"/>
                                  <a:gd name="T24" fmla="*/ 0 w 394"/>
                                  <a:gd name="T25" fmla="*/ 0 h 5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394" h="573">
                                    <a:moveTo>
                                      <a:pt x="0" y="0"/>
                                    </a:moveTo>
                                    <a:lnTo>
                                      <a:pt x="381" y="0"/>
                                    </a:lnTo>
                                    <a:lnTo>
                                      <a:pt x="381" y="103"/>
                                    </a:lnTo>
                                    <a:lnTo>
                                      <a:pt x="119" y="103"/>
                                    </a:lnTo>
                                    <a:lnTo>
                                      <a:pt x="119" y="286"/>
                                    </a:lnTo>
                                    <a:lnTo>
                                      <a:pt x="351" y="286"/>
                                    </a:lnTo>
                                    <a:lnTo>
                                      <a:pt x="351" y="387"/>
                                    </a:lnTo>
                                    <a:lnTo>
                                      <a:pt x="119" y="387"/>
                                    </a:lnTo>
                                    <a:lnTo>
                                      <a:pt x="119" y="470"/>
                                    </a:lnTo>
                                    <a:lnTo>
                                      <a:pt x="394" y="470"/>
                                    </a:lnTo>
                                    <a:lnTo>
                                      <a:pt x="394" y="573"/>
                                    </a:lnTo>
                                    <a:lnTo>
                                      <a:pt x="0" y="573"/>
                                    </a:lnTo>
                                    <a:lnTo>
                                      <a:pt x="0" y="0"/>
                                    </a:lnTo>
                                    <a:close/>
                                  </a:path>
                                </a:pathLst>
                              </a:custGeom>
                              <a:solidFill>
                                <a:srgbClr val="4A535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48"/>
                            <wps:cNvSpPr>
                              <a:spLocks noEditPoints="1"/>
                            </wps:cNvSpPr>
                            <wps:spPr bwMode="auto">
                              <a:xfrm>
                                <a:off x="2367915" y="3810"/>
                                <a:ext cx="270510" cy="363855"/>
                              </a:xfrm>
                              <a:custGeom>
                                <a:avLst/>
                                <a:gdLst>
                                  <a:gd name="T0" fmla="*/ 287 w 426"/>
                                  <a:gd name="T1" fmla="*/ 573 h 573"/>
                                  <a:gd name="T2" fmla="*/ 194 w 426"/>
                                  <a:gd name="T3" fmla="*/ 427 h 573"/>
                                  <a:gd name="T4" fmla="*/ 159 w 426"/>
                                  <a:gd name="T5" fmla="*/ 431 h 573"/>
                                  <a:gd name="T6" fmla="*/ 118 w 426"/>
                                  <a:gd name="T7" fmla="*/ 573 h 573"/>
                                  <a:gd name="T8" fmla="*/ 0 w 426"/>
                                  <a:gd name="T9" fmla="*/ 0 h 573"/>
                                  <a:gd name="T10" fmla="*/ 159 w 426"/>
                                  <a:gd name="T11" fmla="*/ 0 h 573"/>
                                  <a:gd name="T12" fmla="*/ 216 w 426"/>
                                  <a:gd name="T13" fmla="*/ 4 h 573"/>
                                  <a:gd name="T14" fmla="*/ 267 w 426"/>
                                  <a:gd name="T15" fmla="*/ 14 h 573"/>
                                  <a:gd name="T16" fmla="*/ 312 w 426"/>
                                  <a:gd name="T17" fmla="*/ 30 h 573"/>
                                  <a:gd name="T18" fmla="*/ 349 w 426"/>
                                  <a:gd name="T19" fmla="*/ 55 h 573"/>
                                  <a:gd name="T20" fmla="*/ 379 w 426"/>
                                  <a:gd name="T21" fmla="*/ 87 h 573"/>
                                  <a:gd name="T22" fmla="*/ 400 w 426"/>
                                  <a:gd name="T23" fmla="*/ 124 h 573"/>
                                  <a:gd name="T24" fmla="*/ 414 w 426"/>
                                  <a:gd name="T25" fmla="*/ 166 h 573"/>
                                  <a:gd name="T26" fmla="*/ 418 w 426"/>
                                  <a:gd name="T27" fmla="*/ 217 h 573"/>
                                  <a:gd name="T28" fmla="*/ 416 w 426"/>
                                  <a:gd name="T29" fmla="*/ 249 h 573"/>
                                  <a:gd name="T30" fmla="*/ 402 w 426"/>
                                  <a:gd name="T31" fmla="*/ 304 h 573"/>
                                  <a:gd name="T32" fmla="*/ 373 w 426"/>
                                  <a:gd name="T33" fmla="*/ 348 h 573"/>
                                  <a:gd name="T34" fmla="*/ 332 w 426"/>
                                  <a:gd name="T35" fmla="*/ 381 h 573"/>
                                  <a:gd name="T36" fmla="*/ 426 w 426"/>
                                  <a:gd name="T37" fmla="*/ 573 h 573"/>
                                  <a:gd name="T38" fmla="*/ 155 w 426"/>
                                  <a:gd name="T39" fmla="*/ 328 h 573"/>
                                  <a:gd name="T40" fmla="*/ 218 w 426"/>
                                  <a:gd name="T41" fmla="*/ 322 h 573"/>
                                  <a:gd name="T42" fmla="*/ 253 w 426"/>
                                  <a:gd name="T43" fmla="*/ 308 h 573"/>
                                  <a:gd name="T44" fmla="*/ 269 w 426"/>
                                  <a:gd name="T45" fmla="*/ 296 h 573"/>
                                  <a:gd name="T46" fmla="*/ 281 w 426"/>
                                  <a:gd name="T47" fmla="*/ 277 h 573"/>
                                  <a:gd name="T48" fmla="*/ 292 w 426"/>
                                  <a:gd name="T49" fmla="*/ 257 h 573"/>
                                  <a:gd name="T50" fmla="*/ 296 w 426"/>
                                  <a:gd name="T51" fmla="*/ 217 h 573"/>
                                  <a:gd name="T52" fmla="*/ 294 w 426"/>
                                  <a:gd name="T53" fmla="*/ 188 h 573"/>
                                  <a:gd name="T54" fmla="*/ 287 w 426"/>
                                  <a:gd name="T55" fmla="*/ 164 h 573"/>
                                  <a:gd name="T56" fmla="*/ 275 w 426"/>
                                  <a:gd name="T57" fmla="*/ 146 h 573"/>
                                  <a:gd name="T58" fmla="*/ 261 w 426"/>
                                  <a:gd name="T59" fmla="*/ 130 h 573"/>
                                  <a:gd name="T60" fmla="*/ 243 w 426"/>
                                  <a:gd name="T61" fmla="*/ 117 h 573"/>
                                  <a:gd name="T62" fmla="*/ 190 w 426"/>
                                  <a:gd name="T63" fmla="*/ 105 h 573"/>
                                  <a:gd name="T64" fmla="*/ 118 w 426"/>
                                  <a:gd name="T65" fmla="*/ 103 h 573"/>
                                  <a:gd name="T66" fmla="*/ 155 w 426"/>
                                  <a:gd name="T67" fmla="*/ 328 h 5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26" h="573">
                                    <a:moveTo>
                                      <a:pt x="426" y="573"/>
                                    </a:moveTo>
                                    <a:lnTo>
                                      <a:pt x="287" y="573"/>
                                    </a:lnTo>
                                    <a:lnTo>
                                      <a:pt x="194" y="427"/>
                                    </a:lnTo>
                                    <a:lnTo>
                                      <a:pt x="194" y="427"/>
                                    </a:lnTo>
                                    <a:lnTo>
                                      <a:pt x="175" y="429"/>
                                    </a:lnTo>
                                    <a:lnTo>
                                      <a:pt x="159" y="431"/>
                                    </a:lnTo>
                                    <a:lnTo>
                                      <a:pt x="118" y="431"/>
                                    </a:lnTo>
                                    <a:lnTo>
                                      <a:pt x="118" y="573"/>
                                    </a:lnTo>
                                    <a:lnTo>
                                      <a:pt x="0" y="573"/>
                                    </a:lnTo>
                                    <a:lnTo>
                                      <a:pt x="0" y="0"/>
                                    </a:lnTo>
                                    <a:lnTo>
                                      <a:pt x="159" y="0"/>
                                    </a:lnTo>
                                    <a:lnTo>
                                      <a:pt x="159" y="0"/>
                                    </a:lnTo>
                                    <a:lnTo>
                                      <a:pt x="190" y="0"/>
                                    </a:lnTo>
                                    <a:lnTo>
                                      <a:pt x="216" y="4"/>
                                    </a:lnTo>
                                    <a:lnTo>
                                      <a:pt x="243" y="8"/>
                                    </a:lnTo>
                                    <a:lnTo>
                                      <a:pt x="267" y="14"/>
                                    </a:lnTo>
                                    <a:lnTo>
                                      <a:pt x="292" y="22"/>
                                    </a:lnTo>
                                    <a:lnTo>
                                      <a:pt x="312" y="30"/>
                                    </a:lnTo>
                                    <a:lnTo>
                                      <a:pt x="330" y="43"/>
                                    </a:lnTo>
                                    <a:lnTo>
                                      <a:pt x="349" y="55"/>
                                    </a:lnTo>
                                    <a:lnTo>
                                      <a:pt x="365" y="71"/>
                                    </a:lnTo>
                                    <a:lnTo>
                                      <a:pt x="379" y="87"/>
                                    </a:lnTo>
                                    <a:lnTo>
                                      <a:pt x="389" y="103"/>
                                    </a:lnTo>
                                    <a:lnTo>
                                      <a:pt x="400" y="124"/>
                                    </a:lnTo>
                                    <a:lnTo>
                                      <a:pt x="408" y="144"/>
                                    </a:lnTo>
                                    <a:lnTo>
                                      <a:pt x="414" y="166"/>
                                    </a:lnTo>
                                    <a:lnTo>
                                      <a:pt x="416" y="190"/>
                                    </a:lnTo>
                                    <a:lnTo>
                                      <a:pt x="418" y="217"/>
                                    </a:lnTo>
                                    <a:lnTo>
                                      <a:pt x="418" y="217"/>
                                    </a:lnTo>
                                    <a:lnTo>
                                      <a:pt x="416" y="249"/>
                                    </a:lnTo>
                                    <a:lnTo>
                                      <a:pt x="410" y="277"/>
                                    </a:lnTo>
                                    <a:lnTo>
                                      <a:pt x="402" y="304"/>
                                    </a:lnTo>
                                    <a:lnTo>
                                      <a:pt x="389" y="326"/>
                                    </a:lnTo>
                                    <a:lnTo>
                                      <a:pt x="373" y="348"/>
                                    </a:lnTo>
                                    <a:lnTo>
                                      <a:pt x="353" y="367"/>
                                    </a:lnTo>
                                    <a:lnTo>
                                      <a:pt x="332" y="381"/>
                                    </a:lnTo>
                                    <a:lnTo>
                                      <a:pt x="306" y="395"/>
                                    </a:lnTo>
                                    <a:lnTo>
                                      <a:pt x="426" y="573"/>
                                    </a:lnTo>
                                    <a:close/>
                                    <a:moveTo>
                                      <a:pt x="155" y="328"/>
                                    </a:moveTo>
                                    <a:lnTo>
                                      <a:pt x="155" y="328"/>
                                    </a:lnTo>
                                    <a:lnTo>
                                      <a:pt x="190" y="326"/>
                                    </a:lnTo>
                                    <a:lnTo>
                                      <a:pt x="218" y="322"/>
                                    </a:lnTo>
                                    <a:lnTo>
                                      <a:pt x="243" y="314"/>
                                    </a:lnTo>
                                    <a:lnTo>
                                      <a:pt x="253" y="308"/>
                                    </a:lnTo>
                                    <a:lnTo>
                                      <a:pt x="261" y="302"/>
                                    </a:lnTo>
                                    <a:lnTo>
                                      <a:pt x="269" y="296"/>
                                    </a:lnTo>
                                    <a:lnTo>
                                      <a:pt x="277" y="288"/>
                                    </a:lnTo>
                                    <a:lnTo>
                                      <a:pt x="281" y="277"/>
                                    </a:lnTo>
                                    <a:lnTo>
                                      <a:pt x="287" y="267"/>
                                    </a:lnTo>
                                    <a:lnTo>
                                      <a:pt x="292" y="257"/>
                                    </a:lnTo>
                                    <a:lnTo>
                                      <a:pt x="294" y="245"/>
                                    </a:lnTo>
                                    <a:lnTo>
                                      <a:pt x="296" y="217"/>
                                    </a:lnTo>
                                    <a:lnTo>
                                      <a:pt x="296" y="217"/>
                                    </a:lnTo>
                                    <a:lnTo>
                                      <a:pt x="294" y="188"/>
                                    </a:lnTo>
                                    <a:lnTo>
                                      <a:pt x="290" y="176"/>
                                    </a:lnTo>
                                    <a:lnTo>
                                      <a:pt x="287" y="164"/>
                                    </a:lnTo>
                                    <a:lnTo>
                                      <a:pt x="281" y="154"/>
                                    </a:lnTo>
                                    <a:lnTo>
                                      <a:pt x="275" y="146"/>
                                    </a:lnTo>
                                    <a:lnTo>
                                      <a:pt x="269" y="138"/>
                                    </a:lnTo>
                                    <a:lnTo>
                                      <a:pt x="261" y="130"/>
                                    </a:lnTo>
                                    <a:lnTo>
                                      <a:pt x="253" y="124"/>
                                    </a:lnTo>
                                    <a:lnTo>
                                      <a:pt x="243" y="117"/>
                                    </a:lnTo>
                                    <a:lnTo>
                                      <a:pt x="218" y="109"/>
                                    </a:lnTo>
                                    <a:lnTo>
                                      <a:pt x="190" y="105"/>
                                    </a:lnTo>
                                    <a:lnTo>
                                      <a:pt x="155" y="103"/>
                                    </a:lnTo>
                                    <a:lnTo>
                                      <a:pt x="118" y="103"/>
                                    </a:lnTo>
                                    <a:lnTo>
                                      <a:pt x="118" y="328"/>
                                    </a:lnTo>
                                    <a:lnTo>
                                      <a:pt x="155" y="328"/>
                                    </a:lnTo>
                                    <a:close/>
                                  </a:path>
                                </a:pathLst>
                              </a:custGeom>
                              <a:solidFill>
                                <a:srgbClr val="4A535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26A5F87" id="Group 41" o:spid="_x0000_s1026" style="position:absolute;margin-left:298.5pt;margin-top:619.1pt;width:207.9pt;height:28.95pt;z-index:251660288" coordsize="73456,9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">
                    <v:rect id="Rectangle 42" o:spid="_x0000_s1027" style="position:absolute;left:47053;top:87769;width:26403;height:3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" filled="f" stroked="f"/>
                    <v:shape id="Freeform 43" o:spid="_x0000_s1028" style="position:absolute;width:3352;height:3676;visibility:visible;mso-wrap-style:square;v-text-anchor:top" coordsize="528,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" path="m253,r10,l528,579r-125,l375,514r-232,l114,579,,579,253,xm334,415l291,316r,l279,283,269,249,257,213r,l247,249r-11,34l222,316r-41,99l334,415xe" fillcolor="#4a5358" stroked="f">
                      <v:path arrowok="t" o:connecttype="custom" o:connectlocs="160655,0;167005,0;335280,367665;255905,367665;238125,326390;90805,326390;72390,367665;0,367665;160655,0;212090,263525;184785,200660;184785,200660;177165,179705;170815,158115;163195,135255;163195,135255;156845,158115;149860,179705;140970,200660;114935,263525;212090,263525" o:connectangles="0,0,0,0,0,0,0,0,0,0,0,0,0,0,0,0,0,0,0,0,0"/>
                      <o:lock v:ext="edit" verticies="t"/>
                    </v:shape>
                    <v:rect id="Rectangle 44" o:spid="_x0000_s1029" style="position:absolute;left:5473;top:38;width:762;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" fillcolor="#4a5358" stroked="f"/>
                    <v:shape id="Freeform 45" o:spid="_x0000_s1030" style="position:absolute;left:8407;top:38;width:2845;height:3638;visibility:visible;mso-wrap-style:square;v-text-anchor:top" coordsize="448,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" path="m165,103l,103,,,448,r,103l283,103r,470l165,573r,-470xe" fillcolor="#4a5358" stroked="f">
                      <v:path arrowok="t" o:connecttype="custom" o:connectlocs="104775,65405;0,65405;0,0;284480,0;284480,65405;179705,65405;179705,363855;104775,363855;104775,65405" o:connectangles="0,0,0,0,0,0,0,0,0"/>
                    </v:shape>
                    <v:shape id="Freeform 46" o:spid="_x0000_s1031" style="position:absolute;left:13430;top:38;width:3080;height:3638;visibility:visible;mso-wrap-style:square;v-text-anchor:top" coordsize="485,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" path="m,l118,r,294l364,294,364,,485,r,573l364,573r,-174l118,399r,174l,573,,xe" fillcolor="#4a5358" stroked="f">
                      <v:path arrowok="t" o:connecttype="custom" o:connectlocs="0,0;74930,0;74930,186690;231140,186690;231140,0;307975,0;307975,363855;231140,363855;231140,253365;74930,253365;74930,363855;0,363855;0,0" o:connectangles="0,0,0,0,0,0,0,0,0,0,0,0,0"/>
                    </v:shape>
                    <v:shape id="Freeform 47" o:spid="_x0000_s1032" style="position:absolute;left:18884;top:38;width:2502;height:3638;visibility:visible;mso-wrap-style:square;v-text-anchor:top" coordsize="394,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" path="m,l381,r,103l119,103r,183l351,286r,101l119,387r,83l394,470r,103l,573,,xe" fillcolor="#4a5358" stroked="f">
                      <v:path arrowok="t" o:connecttype="custom" o:connectlocs="0,0;241935,0;241935,65405;75565,65405;75565,181610;222885,181610;222885,245745;75565,245745;75565,298450;250190,298450;250190,363855;0,363855;0,0" o:connectangles="0,0,0,0,0,0,0,0,0,0,0,0,0"/>
                    </v:shape>
                    <v:shape id="Freeform 48" o:spid="_x0000_s1033" style="position:absolute;left:23679;top:38;width:2705;height:3638;visibility:visible;mso-wrap-style:square;v-text-anchor:top" coordsize="426,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" path="m426,573r-139,l194,427r,l175,429r-16,2l118,431r,142l,573,,,159,r,l190,r26,4l243,8r24,6l292,22r20,8l330,43r19,12l365,71r14,16l389,103r11,21l408,144r6,22l416,190r2,27l418,217r-2,32l410,277r-8,27l389,326r-16,22l353,367r-21,14l306,395,426,573xm155,328r,l190,326r28,-4l243,314r10,-6l261,302r8,-6l277,288r4,-11l287,267r5,-10l294,245r2,-28l296,217r-2,-29l290,176r-3,-12l281,154r-6,-8l269,138r-8,-8l253,124r-10,-7l218,109r-28,-4l155,103r-37,l118,328r37,xe" fillcolor="#4a5358" stroked="f">
                      <v:path arrowok="t" o:connecttype="custom" o:connectlocs="182245,363855;123190,271145;100965,273685;74930,363855;0,0;100965,0;137160,2540;169545,8890;198120,19050;221615,34925;240665,55245;254000,78740;262890,105410;265430,137795;264160,158115;255270,193040;236855,220980;210820,241935;270510,363855;98425,208280;138430,204470;160655,195580;170815,187960;178435,175895;185420,163195;187960,137795;186690,119380;182245,104140;174625,92710;165735,82550;154305,74295;120650,66675;74930,65405;98425,208280" o:connectangles="0,0,0,0,0,0,0,0,0,0,0,0,0,0,0,0,0,0,0,0,0,0,0,0,0,0,0,0,0,0,0,0,0,0"/>
                      <o:lock v:ext="edit" verticies="t"/>
                    </v:shape>
                  </v:group>
                </w:pict>
              </mc:Fallback>
            </mc:AlternateContent>
          </w:r>
          <w:r>
            <w:rPr>
              <w:noProof/>
            </w:rPr>
            <w:drawing>
              <wp:anchor distT="0" distB="0" distL="114300" distR="114300" simplePos="0" relativeHeight="251661312" behindDoc="1" locked="1" layoutInCell="0" allowOverlap="1" wp14:anchorId="5712CFC9" wp14:editId="07BA3467">
                <wp:simplePos x="0" y="0"/>
                <wp:positionH relativeFrom="page">
                  <wp:posOffset>177165</wp:posOffset>
                </wp:positionH>
                <wp:positionV relativeFrom="page">
                  <wp:posOffset>639445</wp:posOffset>
                </wp:positionV>
                <wp:extent cx="7209155" cy="3811905"/>
                <wp:effectExtent l="0" t="0" r="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
                        <pic:cNvPicPr>
                          <a:picLocks noChangeAspect="1" noChangeArrowheads="1"/>
                        </pic:cNvPicPr>
                      </pic:nvPicPr>
                      <pic:blipFill rotWithShape="1">
                        <a:blip r:embed="rId8">
                          <a:extLst>
                            <a:ext uri="{28A0092B-C50C-407E-A947-70E740481C1C}">
                              <a14:useLocalDpi xmlns:a14="http://schemas.microsoft.com/office/drawing/2010/main" val="0"/>
                            </a:ext>
                          </a:extLst>
                        </a:blip>
                        <a:srcRect l="4566" r="11153"/>
                        <a:stretch/>
                      </pic:blipFill>
                      <pic:spPr bwMode="auto">
                        <a:xfrm>
                          <a:off x="0" y="0"/>
                          <a:ext cx="7209155" cy="381190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2336" behindDoc="1" locked="1" layoutInCell="0" allowOverlap="1" wp14:anchorId="0D7919DB" wp14:editId="79E19024">
                    <wp:simplePos x="0" y="0"/>
                    <wp:positionH relativeFrom="page">
                      <wp:posOffset>177800</wp:posOffset>
                    </wp:positionH>
                    <wp:positionV relativeFrom="page">
                      <wp:posOffset>189865</wp:posOffset>
                    </wp:positionV>
                    <wp:extent cx="7207885" cy="450850"/>
                    <wp:effectExtent l="0" t="0" r="0" b="6350"/>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7885" cy="450850"/>
                            </a:xfrm>
                            <a:prstGeom prst="rect">
                              <a:avLst/>
                            </a:prstGeom>
                            <a:solidFill>
                              <a:schemeClr val="bg2"/>
                            </a:solidFill>
                            <a:ln>
                              <a:noFill/>
                            </a:ln>
                            <a:effectLs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330EE98" id="Rectangle 49" o:spid="_x0000_s1026" style="position:absolute;margin-left:14pt;margin-top:14.95pt;width:567.55pt;height:35.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" o:allowincell="f" fillcolor="#72929b [3214]" stroked="f">
                    <v:textbox inset=",7.2pt,,7.2pt"/>
                    <w10:wrap anchorx="page" anchory="page"/>
                    <w10:anchorlock/>
                  </v:rect>
                </w:pict>
              </mc:Fallback>
            </mc:AlternateContent>
          </w:r>
          <w:r>
            <w:rPr>
              <w:noProof/>
            </w:rPr>
            <mc:AlternateContent>
              <mc:Choice Requires="wps">
                <w:drawing>
                  <wp:anchor distT="0" distB="0" distL="114300" distR="114300" simplePos="0" relativeHeight="251663360" behindDoc="1" locked="1" layoutInCell="0" allowOverlap="1" wp14:anchorId="5D63AE03" wp14:editId="54178986">
                    <wp:simplePos x="0" y="0"/>
                    <wp:positionH relativeFrom="page">
                      <wp:posOffset>171450</wp:posOffset>
                    </wp:positionH>
                    <wp:positionV relativeFrom="page">
                      <wp:posOffset>6000750</wp:posOffset>
                    </wp:positionV>
                    <wp:extent cx="7219950" cy="2466975"/>
                    <wp:effectExtent l="0" t="0" r="0" b="9525"/>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19950" cy="2466975"/>
                            </a:xfrm>
                            <a:prstGeom prst="rect">
                              <a:avLst/>
                            </a:prstGeom>
                            <a:solidFill>
                              <a:schemeClr val="accent1"/>
                            </a:solidFill>
                            <a:ln>
                              <a:noFill/>
                            </a:ln>
                            <a:effectLst/>
                            <a:extLst/>
                          </wps:spPr>
                          <wps:txbx>
                            <w:txbxContent>
                              <w:p w14:paraId="32ED500C" w14:textId="3AD2549A" w:rsidR="00FA1AC7" w:rsidRDefault="00FA1AC7" w:rsidP="00CC1CF7">
                                <w:pPr>
                                  <w:pStyle w:val="Subtitle"/>
                                  <w:rPr>
                                    <w:rStyle w:val="Whitetext"/>
                                  </w:rPr>
                                </w:pPr>
                                <w:r>
                                  <w:rPr>
                                    <w:rStyle w:val="Whitetext"/>
                                  </w:rPr>
                                  <w:t>Briefing paper to inform public consultations</w:t>
                                </w:r>
                              </w:p>
                              <w:p w14:paraId="5B6A2132" w14:textId="703ED6C4" w:rsidR="00FA1AC7" w:rsidRDefault="00FA1AC7" w:rsidP="00C21848">
                                <w:pPr>
                                  <w:rPr>
                                    <w:color w:val="FFFFFF" w:themeColor="background1"/>
                                    <w:sz w:val="32"/>
                                  </w:rPr>
                                </w:pPr>
                              </w:p>
                              <w:p w14:paraId="35C2147D" w14:textId="77777777" w:rsidR="00FA1AC7" w:rsidRPr="00726479" w:rsidRDefault="00FA1AC7" w:rsidP="00C21848">
                                <w:pPr>
                                  <w:rPr>
                                    <w:color w:val="FFFFFF" w:themeColor="background1"/>
                                    <w:sz w:val="32"/>
                                  </w:rPr>
                                </w:pPr>
                              </w:p>
                              <w:p w14:paraId="7CCA900F" w14:textId="4818C28C" w:rsidR="00FA1AC7" w:rsidRPr="00C21848" w:rsidRDefault="008812F8" w:rsidP="00C21848">
                                <w:pPr>
                                  <w:rPr>
                                    <w:color w:val="FFFFFF" w:themeColor="background1"/>
                                    <w:sz w:val="32"/>
                                  </w:rPr>
                                </w:pPr>
                                <w:r>
                                  <w:rPr>
                                    <w:color w:val="FFFFFF" w:themeColor="background1"/>
                                    <w:sz w:val="32"/>
                                  </w:rPr>
                                  <w:t>Friday</w:t>
                                </w:r>
                                <w:r w:rsidR="00FA1AC7" w:rsidRPr="00726479">
                                  <w:rPr>
                                    <w:color w:val="FFFFFF" w:themeColor="background1"/>
                                    <w:sz w:val="32"/>
                                  </w:rPr>
                                  <w:t xml:space="preserve"> </w:t>
                                </w:r>
                                <w:r>
                                  <w:rPr>
                                    <w:color w:val="FFFFFF" w:themeColor="background1"/>
                                    <w:sz w:val="32"/>
                                  </w:rPr>
                                  <w:t>4</w:t>
                                </w:r>
                                <w:r w:rsidR="00FA1AC7" w:rsidRPr="00726479">
                                  <w:rPr>
                                    <w:color w:val="FFFFFF" w:themeColor="background1"/>
                                    <w:sz w:val="32"/>
                                  </w:rPr>
                                  <w:t xml:space="preserve"> </w:t>
                                </w:r>
                                <w:r w:rsidR="00FA1AC7">
                                  <w:rPr>
                                    <w:color w:val="FFFFFF" w:themeColor="background1"/>
                                    <w:sz w:val="32"/>
                                  </w:rPr>
                                  <w:t>May</w:t>
                                </w:r>
                                <w:r w:rsidR="00FA1AC7" w:rsidRPr="00726479">
                                  <w:rPr>
                                    <w:color w:val="FFFFFF" w:themeColor="background1"/>
                                    <w:sz w:val="32"/>
                                  </w:rPr>
                                  <w:t xml:space="preserve"> 2018</w:t>
                                </w:r>
                              </w:p>
                              <w:p w14:paraId="02057E6C" w14:textId="77777777" w:rsidR="00FA1AC7" w:rsidRDefault="00FA1AC7" w:rsidP="00CC1CF7">
                                <w:pPr>
                                  <w:rPr>
                                    <w:rFonts w:cstheme="minorHAnsi"/>
                                  </w:rPr>
                                </w:pPr>
                              </w:p>
                            </w:txbxContent>
                          </wps:txbx>
                          <wps:bodyPr rot="0" vert="horz" wrap="square" lIns="228600" tIns="228600" rIns="914400" bIns="22860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D63AE03" id="Rectangle 50" o:spid="_x0000_s1028" style="position:absolute;margin-left:13.5pt;margin-top:472.5pt;width:568.5pt;height:194.2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" o:allowincell="f" fillcolor="#4a5358 [3204]" stroked="f">
                    <v:textbox inset="18pt,18pt,1in,18pt">
                      <w:txbxContent>
                        <w:p w14:paraId="32ED500C" w14:textId="3AD2549A" w:rsidR="00FA1AC7" w:rsidRDefault="00FA1AC7" w:rsidP="00CC1CF7">
                          <w:pPr>
                            <w:pStyle w:val="Subtitle"/>
                            <w:rPr>
                              <w:rStyle w:val="Whitetext"/>
                            </w:rPr>
                          </w:pPr>
                          <w:r>
                            <w:rPr>
                              <w:rStyle w:val="Whitetext"/>
                            </w:rPr>
                            <w:t>Briefing paper to inform public consultations</w:t>
                          </w:r>
                        </w:p>
                        <w:p w14:paraId="5B6A2132" w14:textId="703ED6C4" w:rsidR="00FA1AC7" w:rsidRDefault="00FA1AC7" w:rsidP="00C21848">
                          <w:pPr>
                            <w:rPr>
                              <w:color w:val="FFFFFF" w:themeColor="background1"/>
                              <w:sz w:val="32"/>
                            </w:rPr>
                          </w:pPr>
                        </w:p>
                        <w:p w14:paraId="35C2147D" w14:textId="77777777" w:rsidR="00FA1AC7" w:rsidRPr="00726479" w:rsidRDefault="00FA1AC7" w:rsidP="00C21848">
                          <w:pPr>
                            <w:rPr>
                              <w:color w:val="FFFFFF" w:themeColor="background1"/>
                              <w:sz w:val="32"/>
                            </w:rPr>
                          </w:pPr>
                        </w:p>
                        <w:p w14:paraId="7CCA900F" w14:textId="4818C28C" w:rsidR="00FA1AC7" w:rsidRPr="00C21848" w:rsidRDefault="008812F8" w:rsidP="00C21848">
                          <w:pPr>
                            <w:rPr>
                              <w:color w:val="FFFFFF" w:themeColor="background1"/>
                              <w:sz w:val="32"/>
                            </w:rPr>
                          </w:pPr>
                          <w:r>
                            <w:rPr>
                              <w:color w:val="FFFFFF" w:themeColor="background1"/>
                              <w:sz w:val="32"/>
                            </w:rPr>
                            <w:t>Friday</w:t>
                          </w:r>
                          <w:r w:rsidR="00FA1AC7" w:rsidRPr="00726479">
                            <w:rPr>
                              <w:color w:val="FFFFFF" w:themeColor="background1"/>
                              <w:sz w:val="32"/>
                            </w:rPr>
                            <w:t xml:space="preserve"> </w:t>
                          </w:r>
                          <w:r>
                            <w:rPr>
                              <w:color w:val="FFFFFF" w:themeColor="background1"/>
                              <w:sz w:val="32"/>
                            </w:rPr>
                            <w:t>4</w:t>
                          </w:r>
                          <w:r w:rsidR="00FA1AC7" w:rsidRPr="00726479">
                            <w:rPr>
                              <w:color w:val="FFFFFF" w:themeColor="background1"/>
                              <w:sz w:val="32"/>
                            </w:rPr>
                            <w:t xml:space="preserve"> </w:t>
                          </w:r>
                          <w:r w:rsidR="00FA1AC7">
                            <w:rPr>
                              <w:color w:val="FFFFFF" w:themeColor="background1"/>
                              <w:sz w:val="32"/>
                            </w:rPr>
                            <w:t>May</w:t>
                          </w:r>
                          <w:r w:rsidR="00FA1AC7" w:rsidRPr="00726479">
                            <w:rPr>
                              <w:color w:val="FFFFFF" w:themeColor="background1"/>
                              <w:sz w:val="32"/>
                            </w:rPr>
                            <w:t xml:space="preserve"> 2018</w:t>
                          </w:r>
                        </w:p>
                        <w:p w14:paraId="02057E6C" w14:textId="77777777" w:rsidR="00FA1AC7" w:rsidRDefault="00FA1AC7" w:rsidP="00CC1CF7">
                          <w:pPr>
                            <w:rPr>
                              <w:rFonts w:cstheme="minorHAnsi"/>
                            </w:rPr>
                          </w:pPr>
                        </w:p>
                      </w:txbxContent>
                    </v:textbox>
                    <w10:wrap anchorx="page" anchory="page"/>
                    <w10:anchorlock/>
                  </v:rect>
                </w:pict>
              </mc:Fallback>
            </mc:AlternateContent>
          </w:r>
        </w:p>
        <w:p w14:paraId="1237D05E" w14:textId="77777777" w:rsidR="00C21848" w:rsidRDefault="00C21848">
          <w:pPr>
            <w:spacing w:after="0" w:line="240" w:lineRule="auto"/>
          </w:pPr>
          <w:r>
            <w:br w:type="page"/>
          </w:r>
        </w:p>
      </w:sdtContent>
    </w:sdt>
    <w:p w14:paraId="1ED62F49" w14:textId="77777777" w:rsidR="0087019A" w:rsidRDefault="0087019A" w:rsidP="00C03EF5">
      <w:pPr>
        <w:pStyle w:val="ImprintText"/>
        <w:sectPr w:rsidR="0087019A" w:rsidSect="00C21848">
          <w:headerReference w:type="even" r:id="rId9"/>
          <w:headerReference w:type="default" r:id="rId10"/>
          <w:footerReference w:type="even" r:id="rId11"/>
          <w:footerReference w:type="default" r:id="rId12"/>
          <w:headerReference w:type="first" r:id="rId13"/>
          <w:footerReference w:type="first" r:id="rId14"/>
          <w:pgSz w:w="11906" w:h="16838" w:code="9"/>
          <w:pgMar w:top="1440" w:right="1416" w:bottom="1440" w:left="1440" w:header="576" w:footer="576" w:gutter="0"/>
          <w:pgNumType w:fmt="lowerRoman" w:start="0"/>
          <w:cols w:space="720"/>
          <w:titlePg/>
          <w:docGrid w:linePitch="272"/>
        </w:sectPr>
      </w:pPr>
    </w:p>
    <w:sdt>
      <w:sdtPr>
        <w:rPr>
          <w:rFonts w:ascii="Arial" w:eastAsia="Times New Roman" w:hAnsi="Arial" w:cs="Times New Roman"/>
          <w:b w:val="0"/>
          <w:bCs w:val="0"/>
          <w:color w:val="404040" w:themeColor="text1" w:themeTint="BF"/>
          <w:sz w:val="20"/>
          <w:szCs w:val="20"/>
          <w:lang w:val="en-AU" w:eastAsia="en-AU"/>
        </w:rPr>
        <w:id w:val="-2105493951"/>
        <w:docPartObj>
          <w:docPartGallery w:val="Table of Contents"/>
          <w:docPartUnique/>
        </w:docPartObj>
      </w:sdtPr>
      <w:sdtEndPr>
        <w:rPr>
          <w:noProof/>
          <w:color w:val="595959" w:themeColor="text1" w:themeTint="A6"/>
        </w:rPr>
      </w:sdtEndPr>
      <w:sdtContent>
        <w:p w14:paraId="19E0B7C0" w14:textId="0882C607" w:rsidR="00DD0FFE" w:rsidRDefault="00DD0FFE" w:rsidP="00C03EF5">
          <w:pPr>
            <w:pStyle w:val="TOCHeading"/>
          </w:pPr>
          <w:r>
            <w:t>Contents</w:t>
          </w:r>
        </w:p>
        <w:p w14:paraId="50D09582" w14:textId="00075C0B" w:rsidR="004D1925" w:rsidRDefault="001031E5">
          <w:pPr>
            <w:pStyle w:val="TOC1"/>
            <w:rPr>
              <w:rFonts w:asciiTheme="minorHAnsi" w:eastAsiaTheme="minorEastAsia" w:hAnsiTheme="minorHAnsi" w:cstheme="minorBidi"/>
              <w:b w:val="0"/>
              <w:bCs w:val="0"/>
              <w:i w:val="0"/>
              <w:color w:val="auto"/>
              <w:sz w:val="22"/>
              <w:szCs w:val="22"/>
              <w:lang w:eastAsia="zh-CN"/>
            </w:rPr>
          </w:pPr>
          <w:r>
            <w:fldChar w:fldCharType="begin"/>
          </w:r>
          <w:r>
            <w:instrText xml:space="preserve"> TOC \o "2-2" \h \z \t "Heading 1,1" </w:instrText>
          </w:r>
          <w:r>
            <w:fldChar w:fldCharType="separate"/>
          </w:r>
          <w:hyperlink w:anchor="_Toc513114753" w:history="1">
            <w:r w:rsidR="004D1925" w:rsidRPr="00BB1C4C">
              <w:rPr>
                <w:rStyle w:val="Hyperlink"/>
              </w:rPr>
              <w:t>1.</w:t>
            </w:r>
            <w:r w:rsidR="004D1925">
              <w:rPr>
                <w:rFonts w:asciiTheme="minorHAnsi" w:eastAsiaTheme="minorEastAsia" w:hAnsiTheme="minorHAnsi" w:cstheme="minorBidi"/>
                <w:b w:val="0"/>
                <w:bCs w:val="0"/>
                <w:i w:val="0"/>
                <w:color w:val="auto"/>
                <w:sz w:val="22"/>
                <w:szCs w:val="22"/>
                <w:lang w:eastAsia="zh-CN"/>
              </w:rPr>
              <w:tab/>
            </w:r>
            <w:r w:rsidR="004D1925" w:rsidRPr="00BB1C4C">
              <w:rPr>
                <w:rStyle w:val="Hyperlink"/>
              </w:rPr>
              <w:t>Background and scope of the independent review</w:t>
            </w:r>
            <w:r w:rsidR="004D1925">
              <w:rPr>
                <w:webHidden/>
              </w:rPr>
              <w:tab/>
            </w:r>
            <w:r w:rsidR="004D1925">
              <w:rPr>
                <w:webHidden/>
              </w:rPr>
              <w:fldChar w:fldCharType="begin"/>
            </w:r>
            <w:r w:rsidR="004D1925">
              <w:rPr>
                <w:webHidden/>
              </w:rPr>
              <w:instrText xml:space="preserve"> PAGEREF _Toc513114753 \h </w:instrText>
            </w:r>
            <w:r w:rsidR="004D1925">
              <w:rPr>
                <w:webHidden/>
              </w:rPr>
            </w:r>
            <w:r w:rsidR="004D1925">
              <w:rPr>
                <w:webHidden/>
              </w:rPr>
              <w:fldChar w:fldCharType="separate"/>
            </w:r>
            <w:r w:rsidR="009D22FB">
              <w:rPr>
                <w:webHidden/>
              </w:rPr>
              <w:t>1</w:t>
            </w:r>
            <w:r w:rsidR="004D1925">
              <w:rPr>
                <w:webHidden/>
              </w:rPr>
              <w:fldChar w:fldCharType="end"/>
            </w:r>
          </w:hyperlink>
        </w:p>
        <w:p w14:paraId="6D0485A6" w14:textId="1EDD0AA4" w:rsidR="004D1925" w:rsidRDefault="00D00F38">
          <w:pPr>
            <w:pStyle w:val="TOC2"/>
            <w:rPr>
              <w:rFonts w:asciiTheme="minorHAnsi" w:eastAsiaTheme="minorEastAsia" w:hAnsiTheme="minorHAnsi" w:cstheme="minorBidi"/>
              <w:color w:val="auto"/>
              <w:sz w:val="22"/>
              <w:szCs w:val="22"/>
              <w:lang w:eastAsia="zh-CN"/>
            </w:rPr>
          </w:pPr>
          <w:hyperlink w:anchor="_Toc513114754" w:history="1">
            <w:r w:rsidR="004D1925" w:rsidRPr="00BB1C4C">
              <w:rPr>
                <w:rStyle w:val="Hyperlink"/>
              </w:rPr>
              <w:t>1.1.</w:t>
            </w:r>
            <w:r w:rsidR="004D1925">
              <w:rPr>
                <w:rFonts w:asciiTheme="minorHAnsi" w:eastAsiaTheme="minorEastAsia" w:hAnsiTheme="minorHAnsi" w:cstheme="minorBidi"/>
                <w:color w:val="auto"/>
                <w:sz w:val="22"/>
                <w:szCs w:val="22"/>
                <w:lang w:eastAsia="zh-CN"/>
              </w:rPr>
              <w:tab/>
            </w:r>
            <w:r w:rsidR="004D1925" w:rsidRPr="00BB1C4C">
              <w:rPr>
                <w:rStyle w:val="Hyperlink"/>
              </w:rPr>
              <w:t>Background</w:t>
            </w:r>
            <w:r w:rsidR="004D1925">
              <w:rPr>
                <w:webHidden/>
              </w:rPr>
              <w:tab/>
            </w:r>
            <w:r w:rsidR="004D1925">
              <w:rPr>
                <w:webHidden/>
              </w:rPr>
              <w:fldChar w:fldCharType="begin"/>
            </w:r>
            <w:r w:rsidR="004D1925">
              <w:rPr>
                <w:webHidden/>
              </w:rPr>
              <w:instrText xml:space="preserve"> PAGEREF _Toc513114754 \h </w:instrText>
            </w:r>
            <w:r w:rsidR="004D1925">
              <w:rPr>
                <w:webHidden/>
              </w:rPr>
            </w:r>
            <w:r w:rsidR="004D1925">
              <w:rPr>
                <w:webHidden/>
              </w:rPr>
              <w:fldChar w:fldCharType="separate"/>
            </w:r>
            <w:r w:rsidR="009D22FB">
              <w:rPr>
                <w:webHidden/>
              </w:rPr>
              <w:t>1</w:t>
            </w:r>
            <w:r w:rsidR="004D1925">
              <w:rPr>
                <w:webHidden/>
              </w:rPr>
              <w:fldChar w:fldCharType="end"/>
            </w:r>
          </w:hyperlink>
        </w:p>
        <w:p w14:paraId="618820F2" w14:textId="63AD9D43" w:rsidR="004D1925" w:rsidRDefault="00D00F38">
          <w:pPr>
            <w:pStyle w:val="TOC2"/>
            <w:rPr>
              <w:rFonts w:asciiTheme="minorHAnsi" w:eastAsiaTheme="minorEastAsia" w:hAnsiTheme="minorHAnsi" w:cstheme="minorBidi"/>
              <w:color w:val="auto"/>
              <w:sz w:val="22"/>
              <w:szCs w:val="22"/>
              <w:lang w:eastAsia="zh-CN"/>
            </w:rPr>
          </w:pPr>
          <w:hyperlink w:anchor="_Toc513114755" w:history="1">
            <w:r w:rsidR="004D1925" w:rsidRPr="00BB1C4C">
              <w:rPr>
                <w:rStyle w:val="Hyperlink"/>
              </w:rPr>
              <w:t>1.2.</w:t>
            </w:r>
            <w:r w:rsidR="004D1925">
              <w:rPr>
                <w:rFonts w:asciiTheme="minorHAnsi" w:eastAsiaTheme="minorEastAsia" w:hAnsiTheme="minorHAnsi" w:cstheme="minorBidi"/>
                <w:color w:val="auto"/>
                <w:sz w:val="22"/>
                <w:szCs w:val="22"/>
                <w:lang w:eastAsia="zh-CN"/>
              </w:rPr>
              <w:tab/>
            </w:r>
            <w:r w:rsidR="004D1925" w:rsidRPr="00BB1C4C">
              <w:rPr>
                <w:rStyle w:val="Hyperlink"/>
              </w:rPr>
              <w:t>Scope</w:t>
            </w:r>
            <w:r w:rsidR="004D1925">
              <w:rPr>
                <w:webHidden/>
              </w:rPr>
              <w:tab/>
            </w:r>
            <w:r w:rsidR="004D1925">
              <w:rPr>
                <w:webHidden/>
              </w:rPr>
              <w:fldChar w:fldCharType="begin"/>
            </w:r>
            <w:r w:rsidR="004D1925">
              <w:rPr>
                <w:webHidden/>
              </w:rPr>
              <w:instrText xml:space="preserve"> PAGEREF _Toc513114755 \h </w:instrText>
            </w:r>
            <w:r w:rsidR="004D1925">
              <w:rPr>
                <w:webHidden/>
              </w:rPr>
            </w:r>
            <w:r w:rsidR="004D1925">
              <w:rPr>
                <w:webHidden/>
              </w:rPr>
              <w:fldChar w:fldCharType="separate"/>
            </w:r>
            <w:r w:rsidR="009D22FB">
              <w:rPr>
                <w:webHidden/>
              </w:rPr>
              <w:t>2</w:t>
            </w:r>
            <w:r w:rsidR="004D1925">
              <w:rPr>
                <w:webHidden/>
              </w:rPr>
              <w:fldChar w:fldCharType="end"/>
            </w:r>
          </w:hyperlink>
        </w:p>
        <w:p w14:paraId="3E64D6A1" w14:textId="6F1085DE" w:rsidR="004D1925" w:rsidRDefault="00D00F38">
          <w:pPr>
            <w:pStyle w:val="TOC2"/>
            <w:rPr>
              <w:rFonts w:asciiTheme="minorHAnsi" w:eastAsiaTheme="minorEastAsia" w:hAnsiTheme="minorHAnsi" w:cstheme="minorBidi"/>
              <w:color w:val="auto"/>
              <w:sz w:val="22"/>
              <w:szCs w:val="22"/>
              <w:lang w:eastAsia="zh-CN"/>
            </w:rPr>
          </w:pPr>
          <w:hyperlink w:anchor="_Toc513114756" w:history="1">
            <w:r w:rsidR="004D1925" w:rsidRPr="00BB1C4C">
              <w:rPr>
                <w:rStyle w:val="Hyperlink"/>
              </w:rPr>
              <w:t>1.3.</w:t>
            </w:r>
            <w:r w:rsidR="004D1925">
              <w:rPr>
                <w:rFonts w:asciiTheme="minorHAnsi" w:eastAsiaTheme="minorEastAsia" w:hAnsiTheme="minorHAnsi" w:cstheme="minorBidi"/>
                <w:color w:val="auto"/>
                <w:sz w:val="22"/>
                <w:szCs w:val="22"/>
                <w:lang w:eastAsia="zh-CN"/>
              </w:rPr>
              <w:tab/>
            </w:r>
            <w:r w:rsidR="004D1925" w:rsidRPr="00BB1C4C">
              <w:rPr>
                <w:rStyle w:val="Hyperlink"/>
              </w:rPr>
              <w:t>The independent reviewer</w:t>
            </w:r>
            <w:r w:rsidR="004D1925">
              <w:rPr>
                <w:webHidden/>
              </w:rPr>
              <w:tab/>
            </w:r>
            <w:r w:rsidR="004D1925">
              <w:rPr>
                <w:webHidden/>
              </w:rPr>
              <w:fldChar w:fldCharType="begin"/>
            </w:r>
            <w:r w:rsidR="004D1925">
              <w:rPr>
                <w:webHidden/>
              </w:rPr>
              <w:instrText xml:space="preserve"> PAGEREF _Toc513114756 \h </w:instrText>
            </w:r>
            <w:r w:rsidR="004D1925">
              <w:rPr>
                <w:webHidden/>
              </w:rPr>
            </w:r>
            <w:r w:rsidR="004D1925">
              <w:rPr>
                <w:webHidden/>
              </w:rPr>
              <w:fldChar w:fldCharType="separate"/>
            </w:r>
            <w:r w:rsidR="009D22FB">
              <w:rPr>
                <w:webHidden/>
              </w:rPr>
              <w:t>3</w:t>
            </w:r>
            <w:r w:rsidR="004D1925">
              <w:rPr>
                <w:webHidden/>
              </w:rPr>
              <w:fldChar w:fldCharType="end"/>
            </w:r>
          </w:hyperlink>
        </w:p>
        <w:p w14:paraId="3D8ABBD9" w14:textId="77665EBC" w:rsidR="004D1925" w:rsidRDefault="00D00F38">
          <w:pPr>
            <w:pStyle w:val="TOC1"/>
            <w:rPr>
              <w:rFonts w:asciiTheme="minorHAnsi" w:eastAsiaTheme="minorEastAsia" w:hAnsiTheme="minorHAnsi" w:cstheme="minorBidi"/>
              <w:b w:val="0"/>
              <w:bCs w:val="0"/>
              <w:i w:val="0"/>
              <w:color w:val="auto"/>
              <w:sz w:val="22"/>
              <w:szCs w:val="22"/>
              <w:lang w:eastAsia="zh-CN"/>
            </w:rPr>
          </w:pPr>
          <w:hyperlink w:anchor="_Toc513114757" w:history="1">
            <w:r w:rsidR="004D1925" w:rsidRPr="00BB1C4C">
              <w:rPr>
                <w:rStyle w:val="Hyperlink"/>
              </w:rPr>
              <w:t>2.</w:t>
            </w:r>
            <w:r w:rsidR="004D1925">
              <w:rPr>
                <w:rFonts w:asciiTheme="minorHAnsi" w:eastAsiaTheme="minorEastAsia" w:hAnsiTheme="minorHAnsi" w:cstheme="minorBidi"/>
                <w:b w:val="0"/>
                <w:bCs w:val="0"/>
                <w:i w:val="0"/>
                <w:color w:val="auto"/>
                <w:sz w:val="22"/>
                <w:szCs w:val="22"/>
                <w:lang w:eastAsia="zh-CN"/>
              </w:rPr>
              <w:tab/>
            </w:r>
            <w:r w:rsidR="004D1925" w:rsidRPr="00BB1C4C">
              <w:rPr>
                <w:rStyle w:val="Hyperlink"/>
              </w:rPr>
              <w:t>Emerging issues and concerns</w:t>
            </w:r>
            <w:r w:rsidR="004D1925">
              <w:rPr>
                <w:webHidden/>
              </w:rPr>
              <w:tab/>
            </w:r>
            <w:r w:rsidR="004D1925">
              <w:rPr>
                <w:webHidden/>
              </w:rPr>
              <w:fldChar w:fldCharType="begin"/>
            </w:r>
            <w:r w:rsidR="004D1925">
              <w:rPr>
                <w:webHidden/>
              </w:rPr>
              <w:instrText xml:space="preserve"> PAGEREF _Toc513114757 \h </w:instrText>
            </w:r>
            <w:r w:rsidR="004D1925">
              <w:rPr>
                <w:webHidden/>
              </w:rPr>
            </w:r>
            <w:r w:rsidR="004D1925">
              <w:rPr>
                <w:webHidden/>
              </w:rPr>
              <w:fldChar w:fldCharType="separate"/>
            </w:r>
            <w:r w:rsidR="009D22FB">
              <w:rPr>
                <w:webHidden/>
              </w:rPr>
              <w:t>5</w:t>
            </w:r>
            <w:r w:rsidR="004D1925">
              <w:rPr>
                <w:webHidden/>
              </w:rPr>
              <w:fldChar w:fldCharType="end"/>
            </w:r>
          </w:hyperlink>
        </w:p>
        <w:p w14:paraId="0E555A1D" w14:textId="07AE097E" w:rsidR="004D1925" w:rsidRDefault="00D00F38">
          <w:pPr>
            <w:pStyle w:val="TOC2"/>
            <w:rPr>
              <w:rFonts w:asciiTheme="minorHAnsi" w:eastAsiaTheme="minorEastAsia" w:hAnsiTheme="minorHAnsi" w:cstheme="minorBidi"/>
              <w:color w:val="auto"/>
              <w:sz w:val="22"/>
              <w:szCs w:val="22"/>
              <w:lang w:eastAsia="zh-CN"/>
            </w:rPr>
          </w:pPr>
          <w:hyperlink w:anchor="_Toc513114758" w:history="1">
            <w:r w:rsidR="004D1925" w:rsidRPr="00BB1C4C">
              <w:rPr>
                <w:rStyle w:val="Hyperlink"/>
              </w:rPr>
              <w:t>2.1.</w:t>
            </w:r>
            <w:r w:rsidR="004D1925">
              <w:rPr>
                <w:rFonts w:asciiTheme="minorHAnsi" w:eastAsiaTheme="minorEastAsia" w:hAnsiTheme="minorHAnsi" w:cstheme="minorBidi"/>
                <w:color w:val="auto"/>
                <w:sz w:val="22"/>
                <w:szCs w:val="22"/>
                <w:lang w:eastAsia="zh-CN"/>
              </w:rPr>
              <w:tab/>
            </w:r>
            <w:r w:rsidR="004D1925" w:rsidRPr="00BB1C4C">
              <w:rPr>
                <w:rStyle w:val="Hyperlink"/>
              </w:rPr>
              <w:t>Understanding the obligations of individual farmers under the EPBC Act</w:t>
            </w:r>
            <w:r w:rsidR="004D1925">
              <w:rPr>
                <w:webHidden/>
              </w:rPr>
              <w:tab/>
            </w:r>
            <w:r w:rsidR="004D1925">
              <w:rPr>
                <w:webHidden/>
              </w:rPr>
              <w:fldChar w:fldCharType="begin"/>
            </w:r>
            <w:r w:rsidR="004D1925">
              <w:rPr>
                <w:webHidden/>
              </w:rPr>
              <w:instrText xml:space="preserve"> PAGEREF _Toc513114758 \h </w:instrText>
            </w:r>
            <w:r w:rsidR="004D1925">
              <w:rPr>
                <w:webHidden/>
              </w:rPr>
            </w:r>
            <w:r w:rsidR="004D1925">
              <w:rPr>
                <w:webHidden/>
              </w:rPr>
              <w:fldChar w:fldCharType="separate"/>
            </w:r>
            <w:r w:rsidR="009D22FB">
              <w:rPr>
                <w:webHidden/>
              </w:rPr>
              <w:t>5</w:t>
            </w:r>
            <w:r w:rsidR="004D1925">
              <w:rPr>
                <w:webHidden/>
              </w:rPr>
              <w:fldChar w:fldCharType="end"/>
            </w:r>
          </w:hyperlink>
        </w:p>
        <w:p w14:paraId="7B6EBBAF" w14:textId="62592B03" w:rsidR="004D1925" w:rsidRDefault="00D00F38">
          <w:pPr>
            <w:pStyle w:val="TOC2"/>
            <w:rPr>
              <w:rFonts w:asciiTheme="minorHAnsi" w:eastAsiaTheme="minorEastAsia" w:hAnsiTheme="minorHAnsi" w:cstheme="minorBidi"/>
              <w:color w:val="auto"/>
              <w:sz w:val="22"/>
              <w:szCs w:val="22"/>
              <w:lang w:eastAsia="zh-CN"/>
            </w:rPr>
          </w:pPr>
          <w:hyperlink w:anchor="_Toc513114759" w:history="1">
            <w:r w:rsidR="004D1925" w:rsidRPr="00BB1C4C">
              <w:rPr>
                <w:rStyle w:val="Hyperlink"/>
              </w:rPr>
              <w:t>2.2.</w:t>
            </w:r>
            <w:r w:rsidR="004D1925">
              <w:rPr>
                <w:rFonts w:asciiTheme="minorHAnsi" w:eastAsiaTheme="minorEastAsia" w:hAnsiTheme="minorHAnsi" w:cstheme="minorBidi"/>
                <w:color w:val="auto"/>
                <w:sz w:val="22"/>
                <w:szCs w:val="22"/>
                <w:lang w:eastAsia="zh-CN"/>
              </w:rPr>
              <w:tab/>
            </w:r>
            <w:r w:rsidR="004D1925" w:rsidRPr="00BB1C4C">
              <w:rPr>
                <w:rStyle w:val="Hyperlink"/>
              </w:rPr>
              <w:t>Time and cost implications for farmers</w:t>
            </w:r>
            <w:r w:rsidR="004D1925">
              <w:rPr>
                <w:webHidden/>
              </w:rPr>
              <w:tab/>
            </w:r>
            <w:r w:rsidR="004D1925">
              <w:rPr>
                <w:webHidden/>
              </w:rPr>
              <w:fldChar w:fldCharType="begin"/>
            </w:r>
            <w:r w:rsidR="004D1925">
              <w:rPr>
                <w:webHidden/>
              </w:rPr>
              <w:instrText xml:space="preserve"> PAGEREF _Toc513114759 \h </w:instrText>
            </w:r>
            <w:r w:rsidR="004D1925">
              <w:rPr>
                <w:webHidden/>
              </w:rPr>
            </w:r>
            <w:r w:rsidR="004D1925">
              <w:rPr>
                <w:webHidden/>
              </w:rPr>
              <w:fldChar w:fldCharType="separate"/>
            </w:r>
            <w:r w:rsidR="009D22FB">
              <w:rPr>
                <w:webHidden/>
              </w:rPr>
              <w:t>6</w:t>
            </w:r>
            <w:r w:rsidR="004D1925">
              <w:rPr>
                <w:webHidden/>
              </w:rPr>
              <w:fldChar w:fldCharType="end"/>
            </w:r>
          </w:hyperlink>
        </w:p>
        <w:p w14:paraId="62232EC5" w14:textId="0E8407CB" w:rsidR="004D1925" w:rsidRDefault="00D00F38">
          <w:pPr>
            <w:pStyle w:val="TOC2"/>
            <w:rPr>
              <w:rFonts w:asciiTheme="minorHAnsi" w:eastAsiaTheme="minorEastAsia" w:hAnsiTheme="minorHAnsi" w:cstheme="minorBidi"/>
              <w:color w:val="auto"/>
              <w:sz w:val="22"/>
              <w:szCs w:val="22"/>
              <w:lang w:eastAsia="zh-CN"/>
            </w:rPr>
          </w:pPr>
          <w:hyperlink w:anchor="_Toc513114760" w:history="1">
            <w:r w:rsidR="004D1925" w:rsidRPr="00BB1C4C">
              <w:rPr>
                <w:rStyle w:val="Hyperlink"/>
              </w:rPr>
              <w:t>2.3.</w:t>
            </w:r>
            <w:r w:rsidR="004D1925">
              <w:rPr>
                <w:rFonts w:asciiTheme="minorHAnsi" w:eastAsiaTheme="minorEastAsia" w:hAnsiTheme="minorHAnsi" w:cstheme="minorBidi"/>
                <w:color w:val="auto"/>
                <w:sz w:val="22"/>
                <w:szCs w:val="22"/>
                <w:lang w:eastAsia="zh-CN"/>
              </w:rPr>
              <w:tab/>
            </w:r>
            <w:r w:rsidR="004D1925" w:rsidRPr="00BB1C4C">
              <w:rPr>
                <w:rStyle w:val="Hyperlink"/>
              </w:rPr>
              <w:t>Possible impacts of the listing process for threatened species and ecological communities</w:t>
            </w:r>
            <w:r w:rsidR="004D1925">
              <w:rPr>
                <w:webHidden/>
              </w:rPr>
              <w:tab/>
            </w:r>
            <w:r w:rsidR="004D1925">
              <w:rPr>
                <w:webHidden/>
              </w:rPr>
              <w:fldChar w:fldCharType="begin"/>
            </w:r>
            <w:r w:rsidR="004D1925">
              <w:rPr>
                <w:webHidden/>
              </w:rPr>
              <w:instrText xml:space="preserve"> PAGEREF _Toc513114760 \h </w:instrText>
            </w:r>
            <w:r w:rsidR="004D1925">
              <w:rPr>
                <w:webHidden/>
              </w:rPr>
            </w:r>
            <w:r w:rsidR="004D1925">
              <w:rPr>
                <w:webHidden/>
              </w:rPr>
              <w:fldChar w:fldCharType="separate"/>
            </w:r>
            <w:r w:rsidR="009D22FB">
              <w:rPr>
                <w:webHidden/>
              </w:rPr>
              <w:t>6</w:t>
            </w:r>
            <w:r w:rsidR="004D1925">
              <w:rPr>
                <w:webHidden/>
              </w:rPr>
              <w:fldChar w:fldCharType="end"/>
            </w:r>
          </w:hyperlink>
        </w:p>
        <w:p w14:paraId="7AC621B1" w14:textId="7A2527BE" w:rsidR="004D1925" w:rsidRDefault="00D00F38">
          <w:pPr>
            <w:pStyle w:val="TOC2"/>
            <w:rPr>
              <w:rFonts w:asciiTheme="minorHAnsi" w:eastAsiaTheme="minorEastAsia" w:hAnsiTheme="minorHAnsi" w:cstheme="minorBidi"/>
              <w:color w:val="auto"/>
              <w:sz w:val="22"/>
              <w:szCs w:val="22"/>
              <w:lang w:eastAsia="zh-CN"/>
            </w:rPr>
          </w:pPr>
          <w:hyperlink w:anchor="_Toc513114761" w:history="1">
            <w:r w:rsidR="004D1925" w:rsidRPr="00BB1C4C">
              <w:rPr>
                <w:rStyle w:val="Hyperlink"/>
              </w:rPr>
              <w:t>2.4.</w:t>
            </w:r>
            <w:r w:rsidR="004D1925">
              <w:rPr>
                <w:rFonts w:asciiTheme="minorHAnsi" w:eastAsiaTheme="minorEastAsia" w:hAnsiTheme="minorHAnsi" w:cstheme="minorBidi"/>
                <w:color w:val="auto"/>
                <w:sz w:val="22"/>
                <w:szCs w:val="22"/>
                <w:lang w:eastAsia="zh-CN"/>
              </w:rPr>
              <w:tab/>
            </w:r>
            <w:r w:rsidR="004D1925" w:rsidRPr="00BB1C4C">
              <w:rPr>
                <w:rStyle w:val="Hyperlink"/>
              </w:rPr>
              <w:t>Determining how ‘significant’ an impact is as part of a risk-based approach</w:t>
            </w:r>
            <w:r w:rsidR="004D1925">
              <w:rPr>
                <w:webHidden/>
              </w:rPr>
              <w:tab/>
            </w:r>
            <w:r w:rsidR="004D1925">
              <w:rPr>
                <w:webHidden/>
              </w:rPr>
              <w:fldChar w:fldCharType="begin"/>
            </w:r>
            <w:r w:rsidR="004D1925">
              <w:rPr>
                <w:webHidden/>
              </w:rPr>
              <w:instrText xml:space="preserve"> PAGEREF _Toc513114761 \h </w:instrText>
            </w:r>
            <w:r w:rsidR="004D1925">
              <w:rPr>
                <w:webHidden/>
              </w:rPr>
            </w:r>
            <w:r w:rsidR="004D1925">
              <w:rPr>
                <w:webHidden/>
              </w:rPr>
              <w:fldChar w:fldCharType="separate"/>
            </w:r>
            <w:r w:rsidR="009D22FB">
              <w:rPr>
                <w:webHidden/>
              </w:rPr>
              <w:t>7</w:t>
            </w:r>
            <w:r w:rsidR="004D1925">
              <w:rPr>
                <w:webHidden/>
              </w:rPr>
              <w:fldChar w:fldCharType="end"/>
            </w:r>
          </w:hyperlink>
        </w:p>
        <w:p w14:paraId="1E07733F" w14:textId="102CCA25" w:rsidR="004D1925" w:rsidRDefault="00D00F38">
          <w:pPr>
            <w:pStyle w:val="TOC2"/>
            <w:rPr>
              <w:rFonts w:asciiTheme="minorHAnsi" w:eastAsiaTheme="minorEastAsia" w:hAnsiTheme="minorHAnsi" w:cstheme="minorBidi"/>
              <w:color w:val="auto"/>
              <w:sz w:val="22"/>
              <w:szCs w:val="22"/>
              <w:lang w:eastAsia="zh-CN"/>
            </w:rPr>
          </w:pPr>
          <w:hyperlink w:anchor="_Toc513114762" w:history="1">
            <w:r w:rsidR="004D1925" w:rsidRPr="00BB1C4C">
              <w:rPr>
                <w:rStyle w:val="Hyperlink"/>
              </w:rPr>
              <w:t>2.5.</w:t>
            </w:r>
            <w:r w:rsidR="004D1925">
              <w:rPr>
                <w:rFonts w:asciiTheme="minorHAnsi" w:eastAsiaTheme="minorEastAsia" w:hAnsiTheme="minorHAnsi" w:cstheme="minorBidi"/>
                <w:color w:val="auto"/>
                <w:sz w:val="22"/>
                <w:szCs w:val="22"/>
                <w:lang w:eastAsia="zh-CN"/>
              </w:rPr>
              <w:tab/>
            </w:r>
            <w:r w:rsidR="004D1925" w:rsidRPr="00BB1C4C">
              <w:rPr>
                <w:rStyle w:val="Hyperlink"/>
              </w:rPr>
              <w:t>Alignment between State and Commonwealth law</w:t>
            </w:r>
            <w:r w:rsidR="004D1925">
              <w:rPr>
                <w:webHidden/>
              </w:rPr>
              <w:tab/>
            </w:r>
            <w:r w:rsidR="004D1925">
              <w:rPr>
                <w:webHidden/>
              </w:rPr>
              <w:fldChar w:fldCharType="begin"/>
            </w:r>
            <w:r w:rsidR="004D1925">
              <w:rPr>
                <w:webHidden/>
              </w:rPr>
              <w:instrText xml:space="preserve"> PAGEREF _Toc513114762 \h </w:instrText>
            </w:r>
            <w:r w:rsidR="004D1925">
              <w:rPr>
                <w:webHidden/>
              </w:rPr>
            </w:r>
            <w:r w:rsidR="004D1925">
              <w:rPr>
                <w:webHidden/>
              </w:rPr>
              <w:fldChar w:fldCharType="separate"/>
            </w:r>
            <w:r w:rsidR="009D22FB">
              <w:rPr>
                <w:webHidden/>
              </w:rPr>
              <w:t>8</w:t>
            </w:r>
            <w:r w:rsidR="004D1925">
              <w:rPr>
                <w:webHidden/>
              </w:rPr>
              <w:fldChar w:fldCharType="end"/>
            </w:r>
          </w:hyperlink>
        </w:p>
        <w:p w14:paraId="1EDCF9C0" w14:textId="2405BE5E" w:rsidR="004D1925" w:rsidRDefault="00D00F38">
          <w:pPr>
            <w:pStyle w:val="TOC1"/>
            <w:rPr>
              <w:rFonts w:asciiTheme="minorHAnsi" w:eastAsiaTheme="minorEastAsia" w:hAnsiTheme="minorHAnsi" w:cstheme="minorBidi"/>
              <w:b w:val="0"/>
              <w:bCs w:val="0"/>
              <w:i w:val="0"/>
              <w:color w:val="auto"/>
              <w:sz w:val="22"/>
              <w:szCs w:val="22"/>
              <w:lang w:eastAsia="zh-CN"/>
            </w:rPr>
          </w:pPr>
          <w:hyperlink w:anchor="_Toc513114763" w:history="1">
            <w:r w:rsidR="004D1925" w:rsidRPr="00BB1C4C">
              <w:rPr>
                <w:rStyle w:val="Hyperlink"/>
              </w:rPr>
              <w:t>3.</w:t>
            </w:r>
            <w:r w:rsidR="004D1925">
              <w:rPr>
                <w:rFonts w:asciiTheme="minorHAnsi" w:eastAsiaTheme="minorEastAsia" w:hAnsiTheme="minorHAnsi" w:cstheme="minorBidi"/>
                <w:b w:val="0"/>
                <w:bCs w:val="0"/>
                <w:i w:val="0"/>
                <w:color w:val="auto"/>
                <w:sz w:val="22"/>
                <w:szCs w:val="22"/>
                <w:lang w:eastAsia="zh-CN"/>
              </w:rPr>
              <w:tab/>
            </w:r>
            <w:r w:rsidR="004D1925" w:rsidRPr="00BB1C4C">
              <w:rPr>
                <w:rStyle w:val="Hyperlink"/>
              </w:rPr>
              <w:t>Key questions for consultations</w:t>
            </w:r>
            <w:r w:rsidR="004D1925">
              <w:rPr>
                <w:webHidden/>
              </w:rPr>
              <w:tab/>
            </w:r>
            <w:r w:rsidR="004D1925">
              <w:rPr>
                <w:webHidden/>
              </w:rPr>
              <w:fldChar w:fldCharType="begin"/>
            </w:r>
            <w:r w:rsidR="004D1925">
              <w:rPr>
                <w:webHidden/>
              </w:rPr>
              <w:instrText xml:space="preserve"> PAGEREF _Toc513114763 \h </w:instrText>
            </w:r>
            <w:r w:rsidR="004D1925">
              <w:rPr>
                <w:webHidden/>
              </w:rPr>
            </w:r>
            <w:r w:rsidR="004D1925">
              <w:rPr>
                <w:webHidden/>
              </w:rPr>
              <w:fldChar w:fldCharType="separate"/>
            </w:r>
            <w:r w:rsidR="009D22FB">
              <w:rPr>
                <w:webHidden/>
              </w:rPr>
              <w:t>10</w:t>
            </w:r>
            <w:r w:rsidR="004D1925">
              <w:rPr>
                <w:webHidden/>
              </w:rPr>
              <w:fldChar w:fldCharType="end"/>
            </w:r>
          </w:hyperlink>
        </w:p>
        <w:p w14:paraId="1E6607A1" w14:textId="38975B1B" w:rsidR="004D1925" w:rsidRDefault="00D00F38">
          <w:pPr>
            <w:pStyle w:val="TOC1"/>
            <w:rPr>
              <w:rFonts w:asciiTheme="minorHAnsi" w:eastAsiaTheme="minorEastAsia" w:hAnsiTheme="minorHAnsi" w:cstheme="minorBidi"/>
              <w:b w:val="0"/>
              <w:bCs w:val="0"/>
              <w:i w:val="0"/>
              <w:color w:val="auto"/>
              <w:sz w:val="22"/>
              <w:szCs w:val="22"/>
              <w:lang w:eastAsia="zh-CN"/>
            </w:rPr>
          </w:pPr>
          <w:hyperlink w:anchor="_Toc513114764" w:history="1">
            <w:r w:rsidR="004D1925" w:rsidRPr="00BB1C4C">
              <w:rPr>
                <w:rStyle w:val="Hyperlink"/>
              </w:rPr>
              <w:t>4.</w:t>
            </w:r>
            <w:r w:rsidR="004D1925">
              <w:rPr>
                <w:rFonts w:asciiTheme="minorHAnsi" w:eastAsiaTheme="minorEastAsia" w:hAnsiTheme="minorHAnsi" w:cstheme="minorBidi"/>
                <w:b w:val="0"/>
                <w:bCs w:val="0"/>
                <w:i w:val="0"/>
                <w:color w:val="auto"/>
                <w:sz w:val="22"/>
                <w:szCs w:val="22"/>
                <w:lang w:eastAsia="zh-CN"/>
              </w:rPr>
              <w:tab/>
            </w:r>
            <w:r w:rsidR="004D1925" w:rsidRPr="00BB1C4C">
              <w:rPr>
                <w:rStyle w:val="Hyperlink"/>
              </w:rPr>
              <w:t>Review process and next steps</w:t>
            </w:r>
            <w:r w:rsidR="004D1925">
              <w:rPr>
                <w:webHidden/>
              </w:rPr>
              <w:tab/>
            </w:r>
            <w:r w:rsidR="004D1925">
              <w:rPr>
                <w:webHidden/>
              </w:rPr>
              <w:fldChar w:fldCharType="begin"/>
            </w:r>
            <w:r w:rsidR="004D1925">
              <w:rPr>
                <w:webHidden/>
              </w:rPr>
              <w:instrText xml:space="preserve"> PAGEREF _Toc513114764 \h </w:instrText>
            </w:r>
            <w:r w:rsidR="004D1925">
              <w:rPr>
                <w:webHidden/>
              </w:rPr>
            </w:r>
            <w:r w:rsidR="004D1925">
              <w:rPr>
                <w:webHidden/>
              </w:rPr>
              <w:fldChar w:fldCharType="separate"/>
            </w:r>
            <w:r w:rsidR="009D22FB">
              <w:rPr>
                <w:webHidden/>
              </w:rPr>
              <w:t>11</w:t>
            </w:r>
            <w:r w:rsidR="004D1925">
              <w:rPr>
                <w:webHidden/>
              </w:rPr>
              <w:fldChar w:fldCharType="end"/>
            </w:r>
          </w:hyperlink>
        </w:p>
        <w:p w14:paraId="574067A5" w14:textId="5A8F9193" w:rsidR="00DD0FFE" w:rsidRPr="002A4616" w:rsidRDefault="001031E5" w:rsidP="002A4616">
          <w:pPr>
            <w:tabs>
              <w:tab w:val="left" w:pos="1247"/>
            </w:tabs>
          </w:pPr>
          <w:r>
            <w:rPr>
              <w:rFonts w:ascii="Cambria" w:hAnsi="Cambria"/>
              <w:b/>
              <w:bCs/>
              <w:i/>
              <w:noProof/>
              <w:color w:val="72929B" w:themeColor="background2"/>
              <w:sz w:val="24"/>
            </w:rPr>
            <w:fldChar w:fldCharType="end"/>
          </w:r>
        </w:p>
      </w:sdtContent>
    </w:sdt>
    <w:p w14:paraId="3F84059C" w14:textId="77777777" w:rsidR="006A445D" w:rsidRDefault="006A445D" w:rsidP="002A4616">
      <w:pPr>
        <w:pStyle w:val="Heading3a"/>
        <w:keepNext w:val="0"/>
      </w:pPr>
      <w:bookmarkStart w:id="1" w:name="_Toc340238749"/>
      <w:r>
        <w:br w:type="page"/>
      </w:r>
    </w:p>
    <w:p w14:paraId="59A3AD43" w14:textId="0BCFD751" w:rsidR="00213768" w:rsidRDefault="00213768" w:rsidP="002A4616">
      <w:pPr>
        <w:pStyle w:val="Heading3a"/>
        <w:keepNext w:val="0"/>
      </w:pPr>
      <w:r>
        <w:lastRenderedPageBreak/>
        <w:t>Abbreviations</w:t>
      </w:r>
    </w:p>
    <w:tbl>
      <w:tblPr>
        <w:tblStyle w:val="Aither"/>
        <w:tblW w:w="0" w:type="auto"/>
        <w:tblLook w:val="0480" w:firstRow="0" w:lastRow="0" w:firstColumn="1" w:lastColumn="0" w:noHBand="0" w:noVBand="1"/>
      </w:tblPr>
      <w:tblGrid>
        <w:gridCol w:w="1923"/>
        <w:gridCol w:w="7093"/>
      </w:tblGrid>
      <w:tr w:rsidR="001C648A" w:rsidRPr="00D65BF2" w14:paraId="743F00FA" w14:textId="77777777" w:rsidTr="00E75EE6">
        <w:trPr>
          <w:cnfStyle w:val="000000100000" w:firstRow="0" w:lastRow="0" w:firstColumn="0" w:lastColumn="0" w:oddVBand="0" w:evenVBand="0" w:oddHBand="1" w:evenHBand="0" w:firstRowFirstColumn="0" w:firstRowLastColumn="0" w:lastRowFirstColumn="0" w:lastRowLastColumn="0"/>
        </w:trPr>
        <w:tc>
          <w:tcPr>
            <w:tcW w:w="1923" w:type="dxa"/>
          </w:tcPr>
          <w:p w14:paraId="40A5565F" w14:textId="5AE9517A" w:rsidR="001C648A" w:rsidRDefault="001C648A" w:rsidP="00D65BF2">
            <w:pPr>
              <w:pStyle w:val="TableText"/>
            </w:pPr>
            <w:r>
              <w:t>CAM</w:t>
            </w:r>
          </w:p>
        </w:tc>
        <w:tc>
          <w:tcPr>
            <w:tcW w:w="7093" w:type="dxa"/>
          </w:tcPr>
          <w:p w14:paraId="21EF4BE3" w14:textId="72CDE6C3" w:rsidR="001C648A" w:rsidRDefault="001C648A" w:rsidP="00C21848">
            <w:pPr>
              <w:pStyle w:val="TableText"/>
            </w:pPr>
            <w:r>
              <w:t>Common Assessment Method</w:t>
            </w:r>
          </w:p>
        </w:tc>
      </w:tr>
      <w:tr w:rsidR="00BC7456" w:rsidRPr="00D65BF2" w14:paraId="0D6C9EDF" w14:textId="77777777" w:rsidTr="00E75EE6">
        <w:tc>
          <w:tcPr>
            <w:tcW w:w="1923" w:type="dxa"/>
          </w:tcPr>
          <w:p w14:paraId="1ED0DEE7" w14:textId="5A282B93" w:rsidR="00BC7456" w:rsidRPr="00E20189" w:rsidRDefault="00BC7456" w:rsidP="00D65BF2">
            <w:pPr>
              <w:pStyle w:val="TableText"/>
            </w:pPr>
            <w:r>
              <w:t>DoEE</w:t>
            </w:r>
          </w:p>
        </w:tc>
        <w:tc>
          <w:tcPr>
            <w:tcW w:w="7093" w:type="dxa"/>
          </w:tcPr>
          <w:p w14:paraId="4E04137E" w14:textId="792B8CEB" w:rsidR="00BC7456" w:rsidRPr="00E20189" w:rsidRDefault="00BC7456" w:rsidP="00C21848">
            <w:pPr>
              <w:pStyle w:val="TableText"/>
            </w:pPr>
            <w:r>
              <w:t>Commonwealth Department of the Environment and Energy</w:t>
            </w:r>
          </w:p>
        </w:tc>
      </w:tr>
      <w:tr w:rsidR="004E7E38" w:rsidRPr="00D65BF2" w14:paraId="669205ED" w14:textId="77777777" w:rsidTr="00E75EE6">
        <w:trPr>
          <w:cnfStyle w:val="000000100000" w:firstRow="0" w:lastRow="0" w:firstColumn="0" w:lastColumn="0" w:oddVBand="0" w:evenVBand="0" w:oddHBand="1" w:evenHBand="0" w:firstRowFirstColumn="0" w:firstRowLastColumn="0" w:lastRowFirstColumn="0" w:lastRowLastColumn="0"/>
        </w:trPr>
        <w:tc>
          <w:tcPr>
            <w:tcW w:w="1923" w:type="dxa"/>
          </w:tcPr>
          <w:p w14:paraId="33F795C0" w14:textId="34DE765A" w:rsidR="004E7E38" w:rsidRDefault="004E7E38" w:rsidP="00D65BF2">
            <w:pPr>
              <w:pStyle w:val="TableText"/>
            </w:pPr>
            <w:r>
              <w:t>EIS</w:t>
            </w:r>
          </w:p>
        </w:tc>
        <w:tc>
          <w:tcPr>
            <w:tcW w:w="7093" w:type="dxa"/>
          </w:tcPr>
          <w:p w14:paraId="3C38B55A" w14:textId="65AABFAB" w:rsidR="004E7E38" w:rsidRDefault="00192C42" w:rsidP="00C21848">
            <w:pPr>
              <w:pStyle w:val="TableText"/>
            </w:pPr>
            <w:r>
              <w:t>E</w:t>
            </w:r>
            <w:r w:rsidR="004E7E38">
              <w:t>nvironmental impact statement</w:t>
            </w:r>
          </w:p>
        </w:tc>
      </w:tr>
      <w:tr w:rsidR="00410B4A" w:rsidRPr="00D65BF2" w14:paraId="3FBB18C8" w14:textId="77777777" w:rsidTr="00E75EE6">
        <w:tc>
          <w:tcPr>
            <w:tcW w:w="1923" w:type="dxa"/>
          </w:tcPr>
          <w:p w14:paraId="773AD6BA" w14:textId="3B6DC838" w:rsidR="00410B4A" w:rsidRPr="00E20189" w:rsidRDefault="00E20189" w:rsidP="00D65BF2">
            <w:pPr>
              <w:pStyle w:val="TableText"/>
            </w:pPr>
            <w:r w:rsidRPr="00E20189">
              <w:t>EPBC Act</w:t>
            </w:r>
          </w:p>
        </w:tc>
        <w:tc>
          <w:tcPr>
            <w:tcW w:w="7093" w:type="dxa"/>
          </w:tcPr>
          <w:p w14:paraId="274C9349" w14:textId="2A88DD83" w:rsidR="00410B4A" w:rsidRPr="00E20189" w:rsidRDefault="00E20189" w:rsidP="00C21848">
            <w:pPr>
              <w:pStyle w:val="TableText"/>
            </w:pPr>
            <w:r w:rsidRPr="00E20189">
              <w:t>Environment Protection and Biodiversity Conservation Act 1999</w:t>
            </w:r>
            <w:r w:rsidR="00BC7456">
              <w:t xml:space="preserve"> [Cth]</w:t>
            </w:r>
          </w:p>
        </w:tc>
      </w:tr>
      <w:tr w:rsidR="00BC7456" w:rsidRPr="00D65BF2" w14:paraId="7180C75D" w14:textId="77777777" w:rsidTr="00E75EE6">
        <w:trPr>
          <w:cnfStyle w:val="000000100000" w:firstRow="0" w:lastRow="0" w:firstColumn="0" w:lastColumn="0" w:oddVBand="0" w:evenVBand="0" w:oddHBand="1" w:evenHBand="0" w:firstRowFirstColumn="0" w:firstRowLastColumn="0" w:lastRowFirstColumn="0" w:lastRowLastColumn="0"/>
        </w:trPr>
        <w:tc>
          <w:tcPr>
            <w:tcW w:w="1923" w:type="dxa"/>
          </w:tcPr>
          <w:p w14:paraId="1FD83E4C" w14:textId="6557819D" w:rsidR="00BC7456" w:rsidRPr="00E20189" w:rsidRDefault="008655B6" w:rsidP="00D65BF2">
            <w:pPr>
              <w:pStyle w:val="TableText"/>
            </w:pPr>
            <w:r>
              <w:t>MNES</w:t>
            </w:r>
          </w:p>
        </w:tc>
        <w:tc>
          <w:tcPr>
            <w:tcW w:w="7093" w:type="dxa"/>
          </w:tcPr>
          <w:p w14:paraId="45DAAF38" w14:textId="6287FA55" w:rsidR="00BC7456" w:rsidRPr="00E20189" w:rsidRDefault="00192C42" w:rsidP="00C21848">
            <w:pPr>
              <w:pStyle w:val="TableText"/>
            </w:pPr>
            <w:r>
              <w:t>M</w:t>
            </w:r>
            <w:r w:rsidR="008655B6">
              <w:t>atter</w:t>
            </w:r>
            <w:r w:rsidR="004D1B58">
              <w:t>(</w:t>
            </w:r>
            <w:r w:rsidR="008655B6">
              <w:t>s</w:t>
            </w:r>
            <w:r w:rsidR="004D1B58">
              <w:t>)</w:t>
            </w:r>
            <w:r w:rsidR="008655B6">
              <w:t xml:space="preserve"> of national environmental significance</w:t>
            </w:r>
          </w:p>
        </w:tc>
      </w:tr>
      <w:tr w:rsidR="004E7E38" w:rsidRPr="00D65BF2" w14:paraId="6E22EFD2" w14:textId="77777777" w:rsidTr="00E75EE6">
        <w:tc>
          <w:tcPr>
            <w:tcW w:w="1923" w:type="dxa"/>
          </w:tcPr>
          <w:p w14:paraId="444819A0" w14:textId="0346C9F6" w:rsidR="004E7E38" w:rsidRDefault="004E7E38" w:rsidP="00D65BF2">
            <w:pPr>
              <w:pStyle w:val="TableText"/>
            </w:pPr>
            <w:r>
              <w:t>PER</w:t>
            </w:r>
          </w:p>
        </w:tc>
        <w:tc>
          <w:tcPr>
            <w:tcW w:w="7093" w:type="dxa"/>
          </w:tcPr>
          <w:p w14:paraId="1D0BF0D5" w14:textId="159B6859" w:rsidR="004E7E38" w:rsidRDefault="00192C42" w:rsidP="00C21848">
            <w:pPr>
              <w:pStyle w:val="TableText"/>
            </w:pPr>
            <w:r>
              <w:t>P</w:t>
            </w:r>
            <w:r w:rsidR="004E7E38">
              <w:t>ublic environment report</w:t>
            </w:r>
          </w:p>
        </w:tc>
      </w:tr>
      <w:tr w:rsidR="00925041" w:rsidRPr="00D65BF2" w14:paraId="1D14E1D9" w14:textId="77777777" w:rsidTr="00E75EE6">
        <w:trPr>
          <w:cnfStyle w:val="000000100000" w:firstRow="0" w:lastRow="0" w:firstColumn="0" w:lastColumn="0" w:oddVBand="0" w:evenVBand="0" w:oddHBand="1" w:evenHBand="0" w:firstRowFirstColumn="0" w:firstRowLastColumn="0" w:lastRowFirstColumn="0" w:lastRowLastColumn="0"/>
        </w:trPr>
        <w:tc>
          <w:tcPr>
            <w:tcW w:w="1923" w:type="dxa"/>
          </w:tcPr>
          <w:p w14:paraId="745D5894" w14:textId="492CF505" w:rsidR="00925041" w:rsidRDefault="00925041" w:rsidP="00D65BF2">
            <w:pPr>
              <w:pStyle w:val="TableText"/>
            </w:pPr>
            <w:r>
              <w:t>RFA</w:t>
            </w:r>
          </w:p>
        </w:tc>
        <w:tc>
          <w:tcPr>
            <w:tcW w:w="7093" w:type="dxa"/>
          </w:tcPr>
          <w:p w14:paraId="3C1C19C1" w14:textId="10826AA8" w:rsidR="00925041" w:rsidRDefault="00925041" w:rsidP="00C21848">
            <w:pPr>
              <w:pStyle w:val="TableText"/>
            </w:pPr>
            <w:r>
              <w:t>Regional Forest Agreement</w:t>
            </w:r>
          </w:p>
        </w:tc>
      </w:tr>
    </w:tbl>
    <w:p w14:paraId="14CD4B2B" w14:textId="545C66D4" w:rsidR="00D51A9F" w:rsidRDefault="00D51A9F" w:rsidP="00D549E8">
      <w:pPr>
        <w:pStyle w:val="Heading3a"/>
        <w:keepNext w:val="0"/>
      </w:pPr>
      <w:r>
        <w:t>Glossary</w:t>
      </w:r>
    </w:p>
    <w:tbl>
      <w:tblPr>
        <w:tblStyle w:val="Aither"/>
        <w:tblpPr w:leftFromText="180" w:rightFromText="180" w:vertAnchor="text" w:tblpY="1"/>
        <w:tblOverlap w:val="never"/>
        <w:tblW w:w="0" w:type="auto"/>
        <w:tblLook w:val="0480" w:firstRow="0" w:lastRow="0" w:firstColumn="1" w:lastColumn="0" w:noHBand="0" w:noVBand="1"/>
      </w:tblPr>
      <w:tblGrid>
        <w:gridCol w:w="1923"/>
        <w:gridCol w:w="7093"/>
      </w:tblGrid>
      <w:tr w:rsidR="0064230D" w:rsidRPr="00D65BF2" w14:paraId="1C14A926" w14:textId="77777777" w:rsidTr="00D549E8">
        <w:trPr>
          <w:cnfStyle w:val="000000100000" w:firstRow="0" w:lastRow="0" w:firstColumn="0" w:lastColumn="0" w:oddVBand="0" w:evenVBand="0" w:oddHBand="1" w:evenHBand="0" w:firstRowFirstColumn="0" w:firstRowLastColumn="0" w:lastRowFirstColumn="0" w:lastRowLastColumn="0"/>
        </w:trPr>
        <w:tc>
          <w:tcPr>
            <w:tcW w:w="1923" w:type="dxa"/>
          </w:tcPr>
          <w:p w14:paraId="6CEBA18C" w14:textId="78251AE7" w:rsidR="0064230D" w:rsidRDefault="0064230D" w:rsidP="00D549E8">
            <w:pPr>
              <w:pStyle w:val="TableText"/>
            </w:pPr>
            <w:r>
              <w:t>Action</w:t>
            </w:r>
          </w:p>
        </w:tc>
        <w:tc>
          <w:tcPr>
            <w:tcW w:w="7093" w:type="dxa"/>
          </w:tcPr>
          <w:p w14:paraId="26A17BBC" w14:textId="0D5ECE50" w:rsidR="0064230D" w:rsidRPr="00E20189" w:rsidRDefault="0095475B" w:rsidP="004D1B58">
            <w:pPr>
              <w:pStyle w:val="TableText"/>
            </w:pPr>
            <w:r>
              <w:t>Action is defined broadly in the EPBC Act and includes a project, a development, an undertaking, an activity or a series of activities, or an alteration of any of these thing</w:t>
            </w:r>
            <w:r w:rsidR="004D1B58">
              <w:t xml:space="preserve">s. </w:t>
            </w:r>
            <w:r w:rsidR="004D1B58" w:rsidRPr="009E3844">
              <w:t>A lawful continuation of an existing use is not an action</w:t>
            </w:r>
            <w:r w:rsidR="004D1B58">
              <w:t xml:space="preserve">. </w:t>
            </w:r>
            <w:r w:rsidR="004D1B58" w:rsidRPr="007D0066">
              <w:rPr>
                <w:i/>
              </w:rPr>
              <w:t>Source: EPBC Act 1999, Section 523</w:t>
            </w:r>
            <w:r w:rsidR="004D1B58">
              <w:rPr>
                <w:i/>
              </w:rPr>
              <w:t>.</w:t>
            </w:r>
          </w:p>
        </w:tc>
      </w:tr>
      <w:tr w:rsidR="0064230D" w:rsidRPr="00D65BF2" w14:paraId="218857CE" w14:textId="77777777" w:rsidTr="00D549E8">
        <w:tc>
          <w:tcPr>
            <w:tcW w:w="1923" w:type="dxa"/>
          </w:tcPr>
          <w:p w14:paraId="3AC99A12" w14:textId="2280508C" w:rsidR="0064230D" w:rsidRDefault="0064230D" w:rsidP="00D549E8">
            <w:pPr>
              <w:pStyle w:val="TableText"/>
            </w:pPr>
            <w:r>
              <w:t>Assessment</w:t>
            </w:r>
          </w:p>
        </w:tc>
        <w:tc>
          <w:tcPr>
            <w:tcW w:w="7093" w:type="dxa"/>
          </w:tcPr>
          <w:p w14:paraId="09007FF8" w14:textId="22572AFB" w:rsidR="0064230D" w:rsidRDefault="002A4616" w:rsidP="00D549E8">
            <w:pPr>
              <w:pStyle w:val="TableText"/>
            </w:pPr>
            <w:r>
              <w:t xml:space="preserve">An environmental assessment of a controlled action under the EPBC Act. </w:t>
            </w:r>
            <w:r w:rsidRPr="002A4616">
              <w:t>There are five different levels of assessment, depending on the significance of the project and how much information is already available. Each level involves considering technical information assembled by the proponent and comments made by the public.</w:t>
            </w:r>
            <w:r w:rsidR="007F0361">
              <w:t xml:space="preserve"> </w:t>
            </w:r>
            <w:r w:rsidR="007F0361" w:rsidRPr="007D0066">
              <w:rPr>
                <w:i/>
              </w:rPr>
              <w:t>Source: DoEE website.</w:t>
            </w:r>
          </w:p>
          <w:p w14:paraId="6328711D" w14:textId="2F0347D9" w:rsidR="007F0361" w:rsidRPr="00E20189" w:rsidRDefault="007F0361" w:rsidP="00D549E8">
            <w:pPr>
              <w:pStyle w:val="TableText"/>
            </w:pPr>
            <w:r>
              <w:t>Assessing an action includes assessing the impacts that the action has or will have, or is likely to have</w:t>
            </w:r>
            <w:r w:rsidR="00192C42">
              <w:t xml:space="preserve"> on the relevant matters of national environmental significance</w:t>
            </w:r>
            <w:r>
              <w:t xml:space="preserve">. </w:t>
            </w:r>
            <w:r w:rsidRPr="007D0066">
              <w:rPr>
                <w:i/>
              </w:rPr>
              <w:t xml:space="preserve">Source: </w:t>
            </w:r>
            <w:r w:rsidRPr="007F0361">
              <w:rPr>
                <w:i/>
              </w:rPr>
              <w:t>EPBC Act 1999</w:t>
            </w:r>
            <w:r w:rsidRPr="009D41A4">
              <w:rPr>
                <w:i/>
              </w:rPr>
              <w:t>, Section 52</w:t>
            </w:r>
            <w:r>
              <w:rPr>
                <w:i/>
              </w:rPr>
              <w:t>8</w:t>
            </w:r>
            <w:r w:rsidRPr="009D41A4">
              <w:rPr>
                <w:i/>
              </w:rPr>
              <w:t>.</w:t>
            </w:r>
          </w:p>
        </w:tc>
      </w:tr>
      <w:tr w:rsidR="009335BE" w:rsidRPr="00D65BF2" w14:paraId="3D77D510" w14:textId="77777777" w:rsidTr="00D549E8">
        <w:trPr>
          <w:cnfStyle w:val="000000100000" w:firstRow="0" w:lastRow="0" w:firstColumn="0" w:lastColumn="0" w:oddVBand="0" w:evenVBand="0" w:oddHBand="1" w:evenHBand="0" w:firstRowFirstColumn="0" w:firstRowLastColumn="0" w:lastRowFirstColumn="0" w:lastRowLastColumn="0"/>
        </w:trPr>
        <w:tc>
          <w:tcPr>
            <w:tcW w:w="1923" w:type="dxa"/>
          </w:tcPr>
          <w:p w14:paraId="238A6263" w14:textId="54B683B7" w:rsidR="009335BE" w:rsidRDefault="009335BE" w:rsidP="00D549E8">
            <w:pPr>
              <w:pStyle w:val="TableText"/>
            </w:pPr>
            <w:r>
              <w:t>Assessment bilateral agreement</w:t>
            </w:r>
          </w:p>
        </w:tc>
        <w:tc>
          <w:tcPr>
            <w:tcW w:w="7093" w:type="dxa"/>
          </w:tcPr>
          <w:p w14:paraId="0EED3786" w14:textId="2D460172" w:rsidR="009335BE" w:rsidRPr="00E20189" w:rsidRDefault="002A4616" w:rsidP="00192C42">
            <w:pPr>
              <w:pStyle w:val="TableText"/>
            </w:pPr>
            <w:r>
              <w:t xml:space="preserve">An agreement, entered into by the </w:t>
            </w:r>
            <w:r w:rsidR="004D1B58">
              <w:t xml:space="preserve">Commonwealth Environment </w:t>
            </w:r>
            <w:r>
              <w:t xml:space="preserve">Minister with a State or Territory </w:t>
            </w:r>
            <w:r w:rsidR="00970509">
              <w:t>government that</w:t>
            </w:r>
            <w:r>
              <w:t xml:space="preserve"> </w:t>
            </w:r>
            <w:r w:rsidRPr="002A4616">
              <w:t>provide</w:t>
            </w:r>
            <w:r>
              <w:t>s</w:t>
            </w:r>
            <w:r w:rsidRPr="002A4616">
              <w:t xml:space="preserve"> for a single environmental assessment process conducted by </w:t>
            </w:r>
            <w:r>
              <w:t>that</w:t>
            </w:r>
            <w:r w:rsidRPr="002A4616">
              <w:t xml:space="preserve"> State or Territory government</w:t>
            </w:r>
            <w:r w:rsidR="00192C42">
              <w:t xml:space="preserve">. Based on the proponent’s environmental assessment, that </w:t>
            </w:r>
            <w:r w:rsidR="004D1B58">
              <w:t>S</w:t>
            </w:r>
            <w:r w:rsidR="00192C42">
              <w:t xml:space="preserve">tate or </w:t>
            </w:r>
            <w:r w:rsidR="004D1B58">
              <w:t>T</w:t>
            </w:r>
            <w:r w:rsidR="00192C42">
              <w:t>erritory government provides</w:t>
            </w:r>
            <w:r w:rsidRPr="002A4616">
              <w:t xml:space="preserve"> a report to the Australian Government assessing the likely impacts of an action on </w:t>
            </w:r>
            <w:r w:rsidR="00192C42">
              <w:t xml:space="preserve">the relevant </w:t>
            </w:r>
            <w:r>
              <w:t>matters of national environmental significance.</w:t>
            </w:r>
            <w:r w:rsidR="007F0361">
              <w:t xml:space="preserve"> </w:t>
            </w:r>
            <w:r w:rsidR="00192C42">
              <w:t xml:space="preserve">The Commonwealth Environment Minister and the relevant </w:t>
            </w:r>
            <w:r w:rsidR="004D1B58">
              <w:t>S</w:t>
            </w:r>
            <w:r w:rsidR="00192C42">
              <w:t xml:space="preserve">tate or </w:t>
            </w:r>
            <w:r w:rsidR="004D1B58">
              <w:t>T</w:t>
            </w:r>
            <w:r w:rsidR="00192C42">
              <w:t>erritory government then make separate decisions about whether or not to approve the action</w:t>
            </w:r>
            <w:r w:rsidR="004D1B58">
              <w:t>.</w:t>
            </w:r>
            <w:r w:rsidR="00192C42">
              <w:t xml:space="preserve"> </w:t>
            </w:r>
            <w:r w:rsidR="007F0361" w:rsidRPr="007D0066">
              <w:rPr>
                <w:i/>
              </w:rPr>
              <w:t>Source: DoEE website.</w:t>
            </w:r>
          </w:p>
        </w:tc>
      </w:tr>
      <w:tr w:rsidR="00A17671" w:rsidRPr="00D65BF2" w14:paraId="7A7C27CD" w14:textId="77777777" w:rsidTr="00D549E8">
        <w:tc>
          <w:tcPr>
            <w:tcW w:w="1923" w:type="dxa"/>
          </w:tcPr>
          <w:p w14:paraId="7646E8C0" w14:textId="0A5789B4" w:rsidR="00A17671" w:rsidRDefault="00A17671" w:rsidP="00D549E8">
            <w:pPr>
              <w:pStyle w:val="TableText"/>
            </w:pPr>
            <w:r>
              <w:t>Common Assessment Method</w:t>
            </w:r>
          </w:p>
        </w:tc>
        <w:tc>
          <w:tcPr>
            <w:tcW w:w="7093" w:type="dxa"/>
          </w:tcPr>
          <w:p w14:paraId="195C06C3" w14:textId="5143C6CE" w:rsidR="00A17671" w:rsidRPr="00E20189" w:rsidRDefault="006C158B" w:rsidP="00D549E8">
            <w:pPr>
              <w:pStyle w:val="TableText"/>
            </w:pPr>
            <w:r>
              <w:t xml:space="preserve">A collaborative agreement between the Australian Government and the states and territories on a consistent method for the assessment </w:t>
            </w:r>
            <w:r w:rsidR="0095475B">
              <w:t xml:space="preserve">and listing </w:t>
            </w:r>
            <w:r>
              <w:t>of nationally threatened species and ecological communities.</w:t>
            </w:r>
            <w:r w:rsidR="007F0361">
              <w:t xml:space="preserve"> </w:t>
            </w:r>
            <w:r w:rsidR="007F0361" w:rsidRPr="009D41A4">
              <w:rPr>
                <w:i/>
              </w:rPr>
              <w:t>Source: DoEE website.</w:t>
            </w:r>
          </w:p>
        </w:tc>
      </w:tr>
      <w:tr w:rsidR="009335BE" w:rsidRPr="00D65BF2" w14:paraId="6DEA4C17" w14:textId="77777777" w:rsidTr="00D549E8">
        <w:trPr>
          <w:cnfStyle w:val="000000100000" w:firstRow="0" w:lastRow="0" w:firstColumn="0" w:lastColumn="0" w:oddVBand="0" w:evenVBand="0" w:oddHBand="1" w:evenHBand="0" w:firstRowFirstColumn="0" w:firstRowLastColumn="0" w:lastRowFirstColumn="0" w:lastRowLastColumn="0"/>
        </w:trPr>
        <w:tc>
          <w:tcPr>
            <w:tcW w:w="1923" w:type="dxa"/>
          </w:tcPr>
          <w:p w14:paraId="42F831D2" w14:textId="7D12443B" w:rsidR="009335BE" w:rsidRDefault="009335BE" w:rsidP="00D549E8">
            <w:pPr>
              <w:pStyle w:val="TableText"/>
            </w:pPr>
            <w:r w:rsidRPr="00E47A5B">
              <w:t xml:space="preserve">Condition </w:t>
            </w:r>
            <w:r w:rsidR="00766F41" w:rsidRPr="00304DAC">
              <w:t xml:space="preserve">classes and </w:t>
            </w:r>
            <w:r w:rsidRPr="00304DAC">
              <w:t>thresh</w:t>
            </w:r>
            <w:r w:rsidRPr="00E47A5B">
              <w:t>old</w:t>
            </w:r>
            <w:r w:rsidR="00B6071C" w:rsidRPr="00E47A5B">
              <w:t>s</w:t>
            </w:r>
          </w:p>
        </w:tc>
        <w:tc>
          <w:tcPr>
            <w:tcW w:w="7093" w:type="dxa"/>
          </w:tcPr>
          <w:p w14:paraId="469C1BFB" w14:textId="6833B69B" w:rsidR="009335BE" w:rsidRPr="006A6E6F" w:rsidRDefault="00766F41" w:rsidP="00D549E8">
            <w:pPr>
              <w:pStyle w:val="TableText"/>
            </w:pPr>
            <w:r w:rsidRPr="00304DAC">
              <w:rPr>
                <w:rFonts w:cs="Arial"/>
              </w:rPr>
              <w:t xml:space="preserve">Condition classes and thresholds are specified for many ecological communities listed under the EPBC Act. </w:t>
            </w:r>
            <w:r w:rsidR="00B6071C">
              <w:rPr>
                <w:rFonts w:cs="Arial"/>
              </w:rPr>
              <w:t>A</w:t>
            </w:r>
            <w:r w:rsidRPr="00304DAC">
              <w:rPr>
                <w:rFonts w:cs="Arial"/>
              </w:rPr>
              <w:t xml:space="preserve"> threshold represent</w:t>
            </w:r>
            <w:r w:rsidR="00B6071C">
              <w:rPr>
                <w:rFonts w:cs="Arial"/>
              </w:rPr>
              <w:t>s</w:t>
            </w:r>
            <w:r w:rsidRPr="00304DAC">
              <w:rPr>
                <w:rFonts w:cs="Arial"/>
              </w:rPr>
              <w:t xml:space="preserve"> a point at which an ecological community changes from one reference condition, or class, to another. These help define which areas of an ecological community may be subject to significant impact considerations under the EPBC Act because areas that fall below specified minimum condition thresholds, and are in </w:t>
            </w:r>
            <w:r w:rsidRPr="00304DAC">
              <w:t>lower condition classes, are excluded from national protection (for example, very small and or degraded woodland patches that do not meet the minimum thresholds for size, native vegetation cover or species diversity). They also may be used by a land manager to guide management decisions (e.g. thresholds may be used as targets to improve the condition of a particular area to a higher condition class).</w:t>
            </w:r>
            <w:r w:rsidR="007F0361" w:rsidRPr="006A6E6F">
              <w:t xml:space="preserve"> </w:t>
            </w:r>
            <w:r w:rsidR="007F0361" w:rsidRPr="006A6E6F">
              <w:rPr>
                <w:i/>
              </w:rPr>
              <w:t>Source: DoEE website.</w:t>
            </w:r>
          </w:p>
        </w:tc>
      </w:tr>
      <w:tr w:rsidR="0064230D" w:rsidRPr="00D65BF2" w14:paraId="67C1566B" w14:textId="77777777" w:rsidTr="00D549E8">
        <w:tc>
          <w:tcPr>
            <w:tcW w:w="1923" w:type="dxa"/>
          </w:tcPr>
          <w:p w14:paraId="2C627D21" w14:textId="008B84AE" w:rsidR="0064230D" w:rsidRDefault="0064230D" w:rsidP="00D549E8">
            <w:pPr>
              <w:pStyle w:val="TableText"/>
            </w:pPr>
            <w:r>
              <w:t>Controlled action</w:t>
            </w:r>
          </w:p>
        </w:tc>
        <w:tc>
          <w:tcPr>
            <w:tcW w:w="7093" w:type="dxa"/>
          </w:tcPr>
          <w:p w14:paraId="5967374C" w14:textId="0228FBA4" w:rsidR="0064230D" w:rsidRPr="00E20189" w:rsidRDefault="00B213CD" w:rsidP="0095475B">
            <w:pPr>
              <w:pStyle w:val="TableText"/>
            </w:pPr>
            <w:r>
              <w:t>A</w:t>
            </w:r>
            <w:r w:rsidR="00192C42">
              <w:t xml:space="preserve"> </w:t>
            </w:r>
            <w:r w:rsidR="0095475B">
              <w:t>proposed action</w:t>
            </w:r>
            <w:r w:rsidR="00E47A5B">
              <w:t xml:space="preserve"> that</w:t>
            </w:r>
            <w:r>
              <w:t xml:space="preserve"> </w:t>
            </w:r>
            <w:r w:rsidR="00192C42">
              <w:t xml:space="preserve">has been </w:t>
            </w:r>
            <w:r>
              <w:t xml:space="preserve">determined by </w:t>
            </w:r>
            <w:r w:rsidRPr="00B213CD">
              <w:t xml:space="preserve">the </w:t>
            </w:r>
            <w:r w:rsidR="00192C42">
              <w:t xml:space="preserve">Commonwealth </w:t>
            </w:r>
            <w:r w:rsidR="0095475B">
              <w:t>Environment</w:t>
            </w:r>
            <w:r w:rsidR="00192C42">
              <w:t xml:space="preserve"> </w:t>
            </w:r>
            <w:r w:rsidRPr="00B213CD">
              <w:t xml:space="preserve">Minister </w:t>
            </w:r>
            <w:r w:rsidR="00192C42">
              <w:t xml:space="preserve">(or their delegate) </w:t>
            </w:r>
            <w:r>
              <w:t xml:space="preserve">to </w:t>
            </w:r>
            <w:r w:rsidR="00192C42">
              <w:t xml:space="preserve">have, or </w:t>
            </w:r>
            <w:r>
              <w:t>be likely to have</w:t>
            </w:r>
            <w:r w:rsidR="00192C42">
              <w:t xml:space="preserve">, </w:t>
            </w:r>
            <w:r w:rsidR="0095475B">
              <w:t>s</w:t>
            </w:r>
            <w:r w:rsidR="0095475B" w:rsidRPr="00B213CD">
              <w:t>ignificant</w:t>
            </w:r>
            <w:r w:rsidRPr="00B213CD">
              <w:t xml:space="preserve"> impacts </w:t>
            </w:r>
            <w:r>
              <w:t>on a matter of national environmental significance. Controlled actions</w:t>
            </w:r>
            <w:r w:rsidRPr="00B213CD">
              <w:t xml:space="preserve"> require approval under the EPBC Act</w:t>
            </w:r>
            <w:r w:rsidR="00192C42">
              <w:t xml:space="preserve"> before </w:t>
            </w:r>
            <w:r w:rsidR="00E47A5B">
              <w:t>they</w:t>
            </w:r>
            <w:r w:rsidR="00192C42">
              <w:t xml:space="preserve"> can commence</w:t>
            </w:r>
            <w:r>
              <w:t>.</w:t>
            </w:r>
            <w:r w:rsidR="007F0361" w:rsidRPr="009D41A4">
              <w:rPr>
                <w:i/>
              </w:rPr>
              <w:t xml:space="preserve"> Source: DoEE website.</w:t>
            </w:r>
          </w:p>
        </w:tc>
      </w:tr>
      <w:tr w:rsidR="00A57778" w:rsidRPr="00D65BF2" w14:paraId="1668D3DE" w14:textId="77777777" w:rsidTr="00D549E8">
        <w:trPr>
          <w:cnfStyle w:val="000000100000" w:firstRow="0" w:lastRow="0" w:firstColumn="0" w:lastColumn="0" w:oddVBand="0" w:evenVBand="0" w:oddHBand="1" w:evenHBand="0" w:firstRowFirstColumn="0" w:firstRowLastColumn="0" w:lastRowFirstColumn="0" w:lastRowLastColumn="0"/>
        </w:trPr>
        <w:tc>
          <w:tcPr>
            <w:tcW w:w="1923" w:type="dxa"/>
          </w:tcPr>
          <w:p w14:paraId="7737736A" w14:textId="4FFA70B3" w:rsidR="00A57778" w:rsidRDefault="00A57778" w:rsidP="00D549E8">
            <w:pPr>
              <w:pStyle w:val="TableText"/>
            </w:pPr>
            <w:r>
              <w:t>Ecological community</w:t>
            </w:r>
          </w:p>
        </w:tc>
        <w:tc>
          <w:tcPr>
            <w:tcW w:w="7093" w:type="dxa"/>
          </w:tcPr>
          <w:p w14:paraId="30236717" w14:textId="794A6FE8" w:rsidR="00A57778" w:rsidRDefault="00A57778" w:rsidP="00D549E8">
            <w:pPr>
              <w:pStyle w:val="TableText"/>
              <w:rPr>
                <w:i/>
              </w:rPr>
            </w:pPr>
            <w:r>
              <w:t>A</w:t>
            </w:r>
            <w:r w:rsidRPr="00A57778">
              <w:t xml:space="preserve"> group of native plants, animals and other organisms that naturally occur together and interact in a unique habitat. Its structure, composition and distribution are determined by environmental factors such as soil type, position within the landscape/seascape (e.g. altitude/depth), climate, and water availability, chemistry and movement (e.g. oceanic currents). Species within each ecological </w:t>
            </w:r>
            <w:r w:rsidRPr="00E47A5B">
              <w:t xml:space="preserve">community interact with and depend on each other – </w:t>
            </w:r>
            <w:r w:rsidRPr="006A6E6F">
              <w:t xml:space="preserve">for example, for food or shelter. </w:t>
            </w:r>
            <w:r w:rsidR="00766F41" w:rsidRPr="006A6E6F">
              <w:t xml:space="preserve">EPBC Act </w:t>
            </w:r>
            <w:r w:rsidR="00E47A5B" w:rsidRPr="006A6E6F">
              <w:t>l</w:t>
            </w:r>
            <w:r w:rsidRPr="006A6E6F">
              <w:t>isted</w:t>
            </w:r>
            <w:r w:rsidRPr="00A57778">
              <w:t xml:space="preserve"> ecological communities include grasslands, woodlands, shrublands, forests, wetlands, marine, ground springs and cave communities.</w:t>
            </w:r>
            <w:r w:rsidR="006A445D">
              <w:t xml:space="preserve"> </w:t>
            </w:r>
            <w:r w:rsidR="006A445D" w:rsidRPr="007D0066">
              <w:rPr>
                <w:i/>
              </w:rPr>
              <w:t>Source: DoEE website.</w:t>
            </w:r>
          </w:p>
          <w:p w14:paraId="2553AEE2" w14:textId="34EEED8D" w:rsidR="006A445D" w:rsidRPr="006A445D" w:rsidRDefault="006A445D" w:rsidP="006A445D">
            <w:pPr>
              <w:pStyle w:val="TableText"/>
            </w:pPr>
            <w:r>
              <w:t xml:space="preserve">The </w:t>
            </w:r>
            <w:r w:rsidRPr="007D0066">
              <w:t>extent in nature in the Australian jurisdiction of an assemblage of native species that</w:t>
            </w:r>
            <w:r>
              <w:t xml:space="preserve"> </w:t>
            </w:r>
            <w:r w:rsidRPr="007D0066">
              <w:t>inhabits a particular area in nature</w:t>
            </w:r>
            <w:r>
              <w:t xml:space="preserve"> and </w:t>
            </w:r>
            <w:r w:rsidRPr="007D0066">
              <w:t>meets the additional criteria specified in the regulations (if any) made for the purposes of this definition.</w:t>
            </w:r>
            <w:r>
              <w:t xml:space="preserve"> </w:t>
            </w:r>
            <w:r w:rsidRPr="007D0066">
              <w:rPr>
                <w:i/>
              </w:rPr>
              <w:t>Source: EPBC Act 1999, Section 528.</w:t>
            </w:r>
          </w:p>
        </w:tc>
      </w:tr>
      <w:tr w:rsidR="00AA4BE8" w:rsidRPr="00D65BF2" w14:paraId="3810BC4E" w14:textId="77777777" w:rsidTr="00D549E8">
        <w:tc>
          <w:tcPr>
            <w:tcW w:w="1923" w:type="dxa"/>
          </w:tcPr>
          <w:p w14:paraId="423BD4CA" w14:textId="5846CEA6" w:rsidR="00AA4BE8" w:rsidRDefault="00AA4BE8" w:rsidP="00D549E8">
            <w:pPr>
              <w:pStyle w:val="TableText"/>
            </w:pPr>
            <w:r>
              <w:t>Environmental offset</w:t>
            </w:r>
          </w:p>
        </w:tc>
        <w:tc>
          <w:tcPr>
            <w:tcW w:w="7093" w:type="dxa"/>
          </w:tcPr>
          <w:p w14:paraId="0C5F1E0E" w14:textId="4190BC32" w:rsidR="00AA4BE8" w:rsidRPr="00E20189" w:rsidRDefault="002A4616" w:rsidP="00D549E8">
            <w:pPr>
              <w:pStyle w:val="TableText"/>
            </w:pPr>
            <w:r>
              <w:t xml:space="preserve">A measure that compensates for the residual adverse impacts of an action on the </w:t>
            </w:r>
            <w:r w:rsidRPr="00E47A5B">
              <w:t>environment</w:t>
            </w:r>
            <w:r w:rsidR="00192C42" w:rsidRPr="00E47A5B">
              <w:t xml:space="preserve">, </w:t>
            </w:r>
            <w:r w:rsidR="00192C42" w:rsidRPr="00304DAC">
              <w:t>after avoidance and mitigation measures are taken.</w:t>
            </w:r>
            <w:r>
              <w:t xml:space="preserve"> Where appropriate, offsets are considered during the assessment phase of an environmental impact assessment under the EPBC Act.</w:t>
            </w:r>
            <w:r w:rsidR="006A445D">
              <w:t xml:space="preserve"> </w:t>
            </w:r>
            <w:r w:rsidR="006A445D" w:rsidRPr="007D0066">
              <w:rPr>
                <w:i/>
              </w:rPr>
              <w:t xml:space="preserve">Source: DoEE </w:t>
            </w:r>
            <w:r w:rsidR="00E47A5B">
              <w:rPr>
                <w:i/>
              </w:rPr>
              <w:t xml:space="preserve">EPBC Act environmental offsets policy - </w:t>
            </w:r>
            <w:r w:rsidR="00E47A5B">
              <w:t xml:space="preserve"> </w:t>
            </w:r>
            <w:hyperlink r:id="rId15" w:history="1">
              <w:r w:rsidR="00E47A5B" w:rsidRPr="00665ADF">
                <w:rPr>
                  <w:rStyle w:val="Hyperlink"/>
                  <w:i/>
                </w:rPr>
                <w:t>http://www.environment.gov.au/epbc/publications/epbc-act-environmental-offsets-policy</w:t>
              </w:r>
            </w:hyperlink>
          </w:p>
        </w:tc>
      </w:tr>
      <w:tr w:rsidR="00D51A9F" w:rsidRPr="00D65BF2" w14:paraId="07FE0CA8" w14:textId="77777777" w:rsidTr="00D549E8">
        <w:trPr>
          <w:cnfStyle w:val="000000100000" w:firstRow="0" w:lastRow="0" w:firstColumn="0" w:lastColumn="0" w:oddVBand="0" w:evenVBand="0" w:oddHBand="1" w:evenHBand="0" w:firstRowFirstColumn="0" w:firstRowLastColumn="0" w:lastRowFirstColumn="0" w:lastRowLastColumn="0"/>
        </w:trPr>
        <w:tc>
          <w:tcPr>
            <w:tcW w:w="1923" w:type="dxa"/>
          </w:tcPr>
          <w:p w14:paraId="22C973C2" w14:textId="48AD2130" w:rsidR="00D51A9F" w:rsidRPr="00E20189" w:rsidRDefault="0064230D" w:rsidP="00D549E8">
            <w:pPr>
              <w:pStyle w:val="TableText"/>
            </w:pPr>
            <w:r>
              <w:t>Matter of national environmental significance</w:t>
            </w:r>
          </w:p>
        </w:tc>
        <w:tc>
          <w:tcPr>
            <w:tcW w:w="7093" w:type="dxa"/>
          </w:tcPr>
          <w:p w14:paraId="680A02AB" w14:textId="77777777" w:rsidR="00D51A9F" w:rsidRDefault="001B66C1" w:rsidP="00D549E8">
            <w:pPr>
              <w:pStyle w:val="TableText"/>
            </w:pPr>
            <w:r>
              <w:t>N</w:t>
            </w:r>
            <w:r w:rsidRPr="001B66C1">
              <w:t>ationally and internationally important flora, fauna, ecological communities and heritage places</w:t>
            </w:r>
            <w:r w:rsidR="006C158B">
              <w:t xml:space="preserve"> to which the EPBC Act applies. These are:</w:t>
            </w:r>
          </w:p>
          <w:p w14:paraId="4C095B17" w14:textId="77777777" w:rsidR="006C158B" w:rsidRDefault="006C158B" w:rsidP="00D549E8">
            <w:pPr>
              <w:pStyle w:val="TableBullet"/>
            </w:pPr>
            <w:r>
              <w:t>world heritage properties</w:t>
            </w:r>
          </w:p>
          <w:p w14:paraId="1DF8538E" w14:textId="77777777" w:rsidR="006C158B" w:rsidRDefault="006C158B" w:rsidP="00D549E8">
            <w:pPr>
              <w:pStyle w:val="TableBullet"/>
            </w:pPr>
            <w:r>
              <w:t>national heritage places</w:t>
            </w:r>
          </w:p>
          <w:p w14:paraId="5AAA2C07" w14:textId="6F9B1398" w:rsidR="006C158B" w:rsidRDefault="006C158B" w:rsidP="00D549E8">
            <w:pPr>
              <w:pStyle w:val="TableBullet"/>
            </w:pPr>
            <w:r>
              <w:t>wetlands of international importance</w:t>
            </w:r>
          </w:p>
          <w:p w14:paraId="4D67E049" w14:textId="77777777" w:rsidR="006C158B" w:rsidRDefault="006C158B" w:rsidP="00D549E8">
            <w:pPr>
              <w:pStyle w:val="TableBullet"/>
            </w:pPr>
            <w:r>
              <w:t>nationally threatened species and ecological communities</w:t>
            </w:r>
          </w:p>
          <w:p w14:paraId="25141EE6" w14:textId="77777777" w:rsidR="006C158B" w:rsidRDefault="006C158B" w:rsidP="00D549E8">
            <w:pPr>
              <w:pStyle w:val="TableBullet"/>
            </w:pPr>
            <w:r>
              <w:t>migratory species</w:t>
            </w:r>
          </w:p>
          <w:p w14:paraId="0FF210E2" w14:textId="77777777" w:rsidR="006C158B" w:rsidRDefault="006C158B" w:rsidP="00D549E8">
            <w:pPr>
              <w:pStyle w:val="TableBullet"/>
            </w:pPr>
            <w:r>
              <w:t>Commonwealth marine areas</w:t>
            </w:r>
          </w:p>
          <w:p w14:paraId="547E71D6" w14:textId="77777777" w:rsidR="006C158B" w:rsidRDefault="006C158B" w:rsidP="00D549E8">
            <w:pPr>
              <w:pStyle w:val="TableBullet"/>
            </w:pPr>
            <w:r>
              <w:t>the Great Barrier Reef Marine Park</w:t>
            </w:r>
          </w:p>
          <w:p w14:paraId="11E20060" w14:textId="77777777" w:rsidR="006C158B" w:rsidRDefault="006C158B" w:rsidP="00D549E8">
            <w:pPr>
              <w:pStyle w:val="TableBullet"/>
            </w:pPr>
            <w:r>
              <w:t>nuclear actions (including uranium mining)</w:t>
            </w:r>
          </w:p>
          <w:p w14:paraId="397D4EDC" w14:textId="3DFF2366" w:rsidR="00137C98" w:rsidRDefault="006C158B" w:rsidP="00137C98">
            <w:pPr>
              <w:pStyle w:val="TableBullet"/>
            </w:pPr>
            <w:r>
              <w:t>a water resource, in relation to coal seam gas development and large coal mining development.</w:t>
            </w:r>
          </w:p>
          <w:p w14:paraId="7FFDD4CC" w14:textId="4A0A7A4D" w:rsidR="00137C98" w:rsidRDefault="00137C98" w:rsidP="00304DAC">
            <w:pPr>
              <w:pStyle w:val="TableText"/>
            </w:pPr>
            <w:r>
              <w:t>Other protected matters</w:t>
            </w:r>
            <w:r w:rsidR="00E47A5B">
              <w:t xml:space="preserve"> are</w:t>
            </w:r>
            <w:r>
              <w:t>:</w:t>
            </w:r>
          </w:p>
          <w:p w14:paraId="43B7384B" w14:textId="0E27809A" w:rsidR="00137C98" w:rsidRPr="00137C98" w:rsidRDefault="00E47A5B" w:rsidP="00137C98">
            <w:pPr>
              <w:pStyle w:val="TableBullet"/>
              <w:tabs>
                <w:tab w:val="clear" w:pos="360"/>
              </w:tabs>
              <w:ind w:left="216" w:hanging="216"/>
            </w:pPr>
            <w:r>
              <w:t>t</w:t>
            </w:r>
            <w:r w:rsidR="00137C98" w:rsidRPr="00137C98">
              <w:t>he environment, where actions proposed are on, or will affect</w:t>
            </w:r>
            <w:r>
              <w:t>,</w:t>
            </w:r>
            <w:r w:rsidR="00137C98" w:rsidRPr="00137C98">
              <w:t xml:space="preserve"> Commonwealth land and the environment</w:t>
            </w:r>
          </w:p>
          <w:p w14:paraId="1C5D9D17" w14:textId="0D8E6762" w:rsidR="00137C98" w:rsidRDefault="00E47A5B" w:rsidP="00304DAC">
            <w:pPr>
              <w:pStyle w:val="TableBullet"/>
              <w:tabs>
                <w:tab w:val="clear" w:pos="360"/>
              </w:tabs>
              <w:ind w:left="216" w:hanging="216"/>
            </w:pPr>
            <w:r>
              <w:t>t</w:t>
            </w:r>
            <w:r w:rsidR="00137C98" w:rsidRPr="00137C98">
              <w:t>he environment, where Commonwealth agencies are proposing to take an action.</w:t>
            </w:r>
          </w:p>
          <w:p w14:paraId="256AA9BA" w14:textId="25DEF7CF" w:rsidR="006A445D" w:rsidRPr="007D0066" w:rsidRDefault="006A445D" w:rsidP="00137C98">
            <w:pPr>
              <w:pStyle w:val="TableText"/>
              <w:rPr>
                <w:i/>
              </w:rPr>
            </w:pPr>
            <w:r w:rsidRPr="007D0066">
              <w:rPr>
                <w:i/>
              </w:rPr>
              <w:t xml:space="preserve">Source: </w:t>
            </w:r>
            <w:r w:rsidR="00192C42">
              <w:rPr>
                <w:i/>
              </w:rPr>
              <w:t>EPBC Act</w:t>
            </w:r>
            <w:r w:rsidR="00E47A5B">
              <w:rPr>
                <w:i/>
              </w:rPr>
              <w:t xml:space="preserve"> 1999, Part 3.</w:t>
            </w:r>
          </w:p>
        </w:tc>
      </w:tr>
      <w:tr w:rsidR="00D51A9F" w:rsidRPr="00D65BF2" w14:paraId="74CA9B98" w14:textId="77777777" w:rsidTr="00D549E8">
        <w:tc>
          <w:tcPr>
            <w:tcW w:w="1923" w:type="dxa"/>
          </w:tcPr>
          <w:p w14:paraId="38383278" w14:textId="281905AB" w:rsidR="00D51A9F" w:rsidRPr="00E20189" w:rsidRDefault="0064230D" w:rsidP="00D549E8">
            <w:pPr>
              <w:pStyle w:val="TableText"/>
            </w:pPr>
            <w:r>
              <w:t>Referral</w:t>
            </w:r>
          </w:p>
        </w:tc>
        <w:tc>
          <w:tcPr>
            <w:tcW w:w="7093" w:type="dxa"/>
          </w:tcPr>
          <w:p w14:paraId="5EF4EA3A" w14:textId="6132C511" w:rsidR="00137C98" w:rsidRPr="00304DAC" w:rsidRDefault="00137C98" w:rsidP="00304DAC">
            <w:pPr>
              <w:pStyle w:val="TableText"/>
            </w:pPr>
            <w:r w:rsidRPr="00304DAC">
              <w:t>A person who is proposing to take an action that has, will have or is likely to have a significant impact on a matter of national environmental significance must refer their action to the Commonwealth Environment Minister. On receipt of a referral, the Minister (or their delegate) will determine whether or not further assessment and approval is required under the EPBC Act.</w:t>
            </w:r>
          </w:p>
        </w:tc>
      </w:tr>
      <w:tr w:rsidR="00D51A9F" w:rsidRPr="00D65BF2" w14:paraId="72B62BA2" w14:textId="77777777" w:rsidTr="00D549E8">
        <w:trPr>
          <w:cnfStyle w:val="000000100000" w:firstRow="0" w:lastRow="0" w:firstColumn="0" w:lastColumn="0" w:oddVBand="0" w:evenVBand="0" w:oddHBand="1" w:evenHBand="0" w:firstRowFirstColumn="0" w:firstRowLastColumn="0" w:lastRowFirstColumn="0" w:lastRowLastColumn="0"/>
        </w:trPr>
        <w:tc>
          <w:tcPr>
            <w:tcW w:w="1923" w:type="dxa"/>
          </w:tcPr>
          <w:p w14:paraId="1BBFFEF9" w14:textId="0DB09775" w:rsidR="00D51A9F" w:rsidRPr="00E20189" w:rsidRDefault="009335BE" w:rsidP="00D549E8">
            <w:pPr>
              <w:pStyle w:val="TableText"/>
            </w:pPr>
            <w:r>
              <w:t>Significant impact</w:t>
            </w:r>
          </w:p>
        </w:tc>
        <w:tc>
          <w:tcPr>
            <w:tcW w:w="7093" w:type="dxa"/>
          </w:tcPr>
          <w:p w14:paraId="476A8358" w14:textId="074E828D" w:rsidR="0095475B" w:rsidRDefault="0095475B" w:rsidP="001A6A05">
            <w:pPr>
              <w:pStyle w:val="TableText"/>
            </w:pPr>
            <w:r w:rsidRPr="00304DAC">
              <w:t>A significant impact is an impact which is important, notable, or of consequence, having regard to its context or intensity. Whether or not an action is likely to have a significant impact depends upon the sensitivity, value, and quality of the environment which is impacted, and upon the intensity, duration, magnitude and geographic extent of the impacts to the relevant matter of national environmental significance.</w:t>
            </w:r>
            <w:r w:rsidR="006A6E6F">
              <w:t xml:space="preserve"> The Department has significant impact guidelines available on its website - </w:t>
            </w:r>
            <w:hyperlink r:id="rId16" w:history="1">
              <w:r w:rsidR="006A6E6F" w:rsidRPr="00665ADF">
                <w:rPr>
                  <w:rStyle w:val="Hyperlink"/>
                </w:rPr>
                <w:t>http://www.environment.gov.au/epbc/publications/significant-impact-guidelines-11-matters-national-environmental-significance</w:t>
              </w:r>
            </w:hyperlink>
            <w:r w:rsidR="006A6E6F">
              <w:t xml:space="preserve"> </w:t>
            </w:r>
          </w:p>
          <w:p w14:paraId="2FA54789" w14:textId="18FFA597" w:rsidR="00D51A9F" w:rsidRPr="007D0066" w:rsidRDefault="006A445D" w:rsidP="00D549E8">
            <w:pPr>
              <w:pStyle w:val="TableText"/>
              <w:rPr>
                <w:i/>
              </w:rPr>
            </w:pPr>
            <w:r>
              <w:rPr>
                <w:i/>
              </w:rPr>
              <w:t>Source: DoEE website.</w:t>
            </w:r>
          </w:p>
        </w:tc>
      </w:tr>
      <w:tr w:rsidR="00D51A9F" w:rsidRPr="00D65BF2" w14:paraId="504CC7E2" w14:textId="77777777" w:rsidTr="00D549E8">
        <w:tc>
          <w:tcPr>
            <w:tcW w:w="1923" w:type="dxa"/>
          </w:tcPr>
          <w:p w14:paraId="51B4D006" w14:textId="67F2B78D" w:rsidR="00D51A9F" w:rsidRDefault="009335BE" w:rsidP="00D549E8">
            <w:pPr>
              <w:pStyle w:val="TableText"/>
            </w:pPr>
            <w:r>
              <w:t>Strategic assessment</w:t>
            </w:r>
          </w:p>
        </w:tc>
        <w:tc>
          <w:tcPr>
            <w:tcW w:w="7093" w:type="dxa"/>
          </w:tcPr>
          <w:p w14:paraId="2288FEA4" w14:textId="3F979F20" w:rsidR="00AE039E" w:rsidRDefault="00024E5B" w:rsidP="00AE039E">
            <w:pPr>
              <w:pStyle w:val="TableText"/>
            </w:pPr>
            <w:r>
              <w:t xml:space="preserve">A </w:t>
            </w:r>
            <w:r w:rsidRPr="00024E5B">
              <w:t xml:space="preserve">landscape scale assessment </w:t>
            </w:r>
            <w:r w:rsidR="006A445D">
              <w:t xml:space="preserve">of a policy, plan or program </w:t>
            </w:r>
            <w:r>
              <w:t>that</w:t>
            </w:r>
            <w:r w:rsidRPr="00024E5B">
              <w:t xml:space="preserve"> </w:t>
            </w:r>
            <w:r w:rsidR="00AE039E">
              <w:t xml:space="preserve">can </w:t>
            </w:r>
            <w:r w:rsidRPr="00024E5B">
              <w:t>consider a much broader set of actions</w:t>
            </w:r>
            <w:r w:rsidR="00AE039E">
              <w:t xml:space="preserve"> and their impacts on matters of national environmental significance</w:t>
            </w:r>
            <w:r>
              <w:t xml:space="preserve"> than </w:t>
            </w:r>
            <w:r w:rsidR="00AE039E">
              <w:t xml:space="preserve">individual ‘project by </w:t>
            </w:r>
            <w:r>
              <w:t>project</w:t>
            </w:r>
            <w:r w:rsidR="00AE039E">
              <w:t>’</w:t>
            </w:r>
            <w:r>
              <w:t xml:space="preserve"> assessment</w:t>
            </w:r>
            <w:r w:rsidR="00AE039E">
              <w:t xml:space="preserve"> </w:t>
            </w:r>
            <w:r>
              <w:t>does.</w:t>
            </w:r>
            <w:r w:rsidR="006A445D">
              <w:t xml:space="preserve"> </w:t>
            </w:r>
            <w:r w:rsidR="00AE039E">
              <w:t>O</w:t>
            </w:r>
            <w:r w:rsidR="006D0652">
              <w:t>n</w:t>
            </w:r>
            <w:r w:rsidR="00AE039E">
              <w:t xml:space="preserve">ce finalised, an action undertaken in accordance with an endorsed policy, plan or program does not </w:t>
            </w:r>
            <w:r w:rsidR="006D0652">
              <w:t xml:space="preserve">require </w:t>
            </w:r>
            <w:r w:rsidR="00AE039E">
              <w:t>further approval under the EPBC Act.</w:t>
            </w:r>
          </w:p>
          <w:p w14:paraId="209D5EDB" w14:textId="55EDE578" w:rsidR="00D51A9F" w:rsidRDefault="006A445D" w:rsidP="00AE039E">
            <w:pPr>
              <w:pStyle w:val="TableText"/>
            </w:pPr>
            <w:r w:rsidRPr="007D0066">
              <w:rPr>
                <w:i/>
              </w:rPr>
              <w:t>Source: DoEE website.</w:t>
            </w:r>
          </w:p>
        </w:tc>
      </w:tr>
    </w:tbl>
    <w:p w14:paraId="1BD69F2B" w14:textId="77777777" w:rsidR="009B4B1F" w:rsidRDefault="009B4B1F" w:rsidP="00C03EF5">
      <w:pPr>
        <w:pStyle w:val="TFIHolderLargeSpace"/>
        <w:sectPr w:rsidR="009B4B1F" w:rsidSect="007714D6">
          <w:footerReference w:type="default" r:id="rId17"/>
          <w:pgSz w:w="11906" w:h="16838" w:code="9"/>
          <w:pgMar w:top="1440" w:right="1440" w:bottom="1440" w:left="1440" w:header="578" w:footer="567" w:gutter="0"/>
          <w:pgNumType w:fmt="lowerRoman" w:start="1"/>
          <w:cols w:space="720"/>
          <w:docGrid w:linePitch="299"/>
        </w:sectPr>
      </w:pPr>
    </w:p>
    <w:p w14:paraId="65E1F9CD" w14:textId="39BE6137" w:rsidR="00C15CFF" w:rsidRPr="00720798" w:rsidRDefault="00B11C44" w:rsidP="00C03EF5">
      <w:pPr>
        <w:pStyle w:val="Heading1"/>
        <w:numPr>
          <w:ilvl w:val="0"/>
          <w:numId w:val="35"/>
        </w:numPr>
      </w:pPr>
      <w:bookmarkStart w:id="2" w:name="_Toc513114753"/>
      <w:bookmarkEnd w:id="1"/>
      <w:r>
        <w:t>Background and s</w:t>
      </w:r>
      <w:r w:rsidR="007D7625">
        <w:t>cope of the independent review</w:t>
      </w:r>
      <w:bookmarkEnd w:id="2"/>
    </w:p>
    <w:p w14:paraId="3C87086D" w14:textId="305EF4F5" w:rsidR="0005526A" w:rsidRDefault="00BC7456" w:rsidP="00BC7456">
      <w:r>
        <w:t xml:space="preserve">This </w:t>
      </w:r>
      <w:r w:rsidR="00A61ED7">
        <w:t xml:space="preserve">briefing paper </w:t>
      </w:r>
      <w:r>
        <w:t xml:space="preserve">has been prepared to inform stakeholders of the purpose, scope and timing of an independent review of interactions between the </w:t>
      </w:r>
      <w:r>
        <w:rPr>
          <w:i/>
        </w:rPr>
        <w:t xml:space="preserve">Environment Protection and Biodiversity Conservation Act 1999 </w:t>
      </w:r>
      <w:r w:rsidR="000578CA">
        <w:t xml:space="preserve">(hereafter, EPBC Act) </w:t>
      </w:r>
      <w:r>
        <w:t xml:space="preserve">and the agriculture sector. </w:t>
      </w:r>
      <w:r w:rsidR="006A6E6F" w:rsidRPr="006A6E6F">
        <w:t>In March 2018</w:t>
      </w:r>
      <w:r w:rsidR="006A6E6F">
        <w:t>, t</w:t>
      </w:r>
      <w:r w:rsidR="006A6E6F" w:rsidRPr="006A6E6F">
        <w:t xml:space="preserve">he </w:t>
      </w:r>
      <w:r w:rsidR="006A6E6F">
        <w:t xml:space="preserve">Commonwealth </w:t>
      </w:r>
      <w:r w:rsidR="006A6E6F" w:rsidRPr="006A6E6F">
        <w:t>Minister for the Environment and Energy</w:t>
      </w:r>
      <w:r w:rsidR="006A6E6F">
        <w:t xml:space="preserve"> and the </w:t>
      </w:r>
      <w:r w:rsidR="006A6E6F" w:rsidRPr="006A6E6F">
        <w:t xml:space="preserve">Commonwealth Minister for Agriculture and Water Resources jointly announced </w:t>
      </w:r>
      <w:r w:rsidR="006A6E6F">
        <w:t>that</w:t>
      </w:r>
      <w:r w:rsidR="006A6E6F" w:rsidRPr="006A6E6F">
        <w:t xml:space="preserve"> Dr Wendy Craik </w:t>
      </w:r>
      <w:r w:rsidR="006A6E6F">
        <w:t>would</w:t>
      </w:r>
      <w:r w:rsidR="006A6E6F" w:rsidRPr="006A6E6F">
        <w:t xml:space="preserve"> undertake the independent review.</w:t>
      </w:r>
      <w:r w:rsidR="000578CA">
        <w:t xml:space="preserve"> </w:t>
      </w:r>
    </w:p>
    <w:p w14:paraId="6049CC90" w14:textId="374BC5FA" w:rsidR="00BC7456" w:rsidRPr="00BC7456" w:rsidRDefault="00BC7456" w:rsidP="00BC7456">
      <w:r>
        <w:t xml:space="preserve">The </w:t>
      </w:r>
      <w:r w:rsidR="00A61ED7">
        <w:t>paper</w:t>
      </w:r>
      <w:r>
        <w:t xml:space="preserve"> describes several issues </w:t>
      </w:r>
      <w:r w:rsidR="00AE599E">
        <w:t xml:space="preserve">resulting </w:t>
      </w:r>
      <w:r w:rsidR="007D0066">
        <w:t>from the</w:t>
      </w:r>
      <w:r w:rsidR="006F45CD">
        <w:t xml:space="preserve"> interaction between the EPBC Act and the agriculture sector </w:t>
      </w:r>
      <w:r>
        <w:t xml:space="preserve">that have arisen </w:t>
      </w:r>
      <w:r w:rsidR="007D0066">
        <w:t>in initial</w:t>
      </w:r>
      <w:r>
        <w:t xml:space="preserve"> conversations </w:t>
      </w:r>
      <w:r w:rsidR="000578CA">
        <w:t xml:space="preserve">with </w:t>
      </w:r>
      <w:r w:rsidR="00A23A2F">
        <w:t>government officials and key industry stakeholders</w:t>
      </w:r>
      <w:r w:rsidR="000578CA">
        <w:t xml:space="preserve"> and in a desktop review of available documentation. It sets out key questions that will frame targeted consultations with </w:t>
      </w:r>
      <w:r w:rsidR="00AE5899">
        <w:t>farmers</w:t>
      </w:r>
      <w:r w:rsidR="000578CA">
        <w:t>, industry groups and other stakeholders through the course of the review.</w:t>
      </w:r>
      <w:r w:rsidR="004342FA">
        <w:rPr>
          <w:rStyle w:val="FootnoteReference"/>
        </w:rPr>
        <w:footnoteReference w:id="1"/>
      </w:r>
      <w:r w:rsidR="000578CA">
        <w:t xml:space="preserve"> These questions will also serve as the framework for a call for public submissions to the review. The</w:t>
      </w:r>
      <w:r w:rsidR="00AE599E">
        <w:t xml:space="preserve">re will be </w:t>
      </w:r>
      <w:r w:rsidR="000578CA">
        <w:t>opportunit</w:t>
      </w:r>
      <w:r w:rsidR="00AE599E">
        <w:t>ies</w:t>
      </w:r>
      <w:r w:rsidR="000578CA">
        <w:t xml:space="preserve"> to discuss these, and other, issues, concerns and questions with a wide range of stakeholders over coming weeks.</w:t>
      </w:r>
    </w:p>
    <w:p w14:paraId="11049E3F" w14:textId="16CA0C62" w:rsidR="00D20FD9" w:rsidRDefault="00B201D9" w:rsidP="00B201D9">
      <w:pPr>
        <w:pStyle w:val="Heading2"/>
      </w:pPr>
      <w:bookmarkStart w:id="3" w:name="_Toc513114754"/>
      <w:r>
        <w:t>Background</w:t>
      </w:r>
      <w:bookmarkEnd w:id="3"/>
    </w:p>
    <w:p w14:paraId="65737A8B" w14:textId="4D79CE2C" w:rsidR="0009306F" w:rsidRDefault="0009306F" w:rsidP="0009306F">
      <w:r>
        <w:t xml:space="preserve">The EPBC Act came into effect on 16 July 2000 and is the Australian Government’s principal piece of environmental management legislation. It is administered by </w:t>
      </w:r>
      <w:r w:rsidR="00E37FFA">
        <w:t>the Commonwealth Department of the Environment and Energy (</w:t>
      </w:r>
      <w:r>
        <w:t>DoEE</w:t>
      </w:r>
      <w:r w:rsidR="00E37FFA">
        <w:t>)</w:t>
      </w:r>
      <w:r>
        <w:t xml:space="preserve">. The EPBC Act is </w:t>
      </w:r>
      <w:r w:rsidR="008655B6">
        <w:t>intended</w:t>
      </w:r>
      <w:r>
        <w:t xml:space="preserve"> to protect </w:t>
      </w:r>
      <w:r w:rsidRPr="00D51A9F">
        <w:rPr>
          <w:b/>
        </w:rPr>
        <w:t xml:space="preserve">matters of </w:t>
      </w:r>
      <w:r w:rsidR="008655B6" w:rsidRPr="00D51A9F">
        <w:rPr>
          <w:b/>
        </w:rPr>
        <w:t>national environmental significance</w:t>
      </w:r>
      <w:r w:rsidR="008655B6">
        <w:t xml:space="preserve"> (MNES). At present, the nine MNES are:</w:t>
      </w:r>
    </w:p>
    <w:p w14:paraId="74FFD6D9" w14:textId="77777777" w:rsidR="008655B6" w:rsidRDefault="008655B6" w:rsidP="008655B6">
      <w:pPr>
        <w:pStyle w:val="Bullet"/>
      </w:pPr>
      <w:r>
        <w:t>world heritage properties</w:t>
      </w:r>
    </w:p>
    <w:p w14:paraId="15E24952" w14:textId="77777777" w:rsidR="008655B6" w:rsidRDefault="008655B6" w:rsidP="008655B6">
      <w:pPr>
        <w:pStyle w:val="Bullet"/>
      </w:pPr>
      <w:r>
        <w:t>national heritage places</w:t>
      </w:r>
    </w:p>
    <w:p w14:paraId="25239B25" w14:textId="77777777" w:rsidR="008655B6" w:rsidRDefault="008655B6" w:rsidP="008655B6">
      <w:pPr>
        <w:pStyle w:val="Bullet"/>
      </w:pPr>
      <w:r>
        <w:t>wetlands of international importance (often called 'Ramsar' wetlands after the international treaty under which such wetlands are listed)</w:t>
      </w:r>
    </w:p>
    <w:p w14:paraId="62039170" w14:textId="77777777" w:rsidR="008655B6" w:rsidRDefault="008655B6" w:rsidP="008655B6">
      <w:pPr>
        <w:pStyle w:val="Bullet"/>
      </w:pPr>
      <w:r>
        <w:t>nationally threatened species and ecological communities</w:t>
      </w:r>
    </w:p>
    <w:p w14:paraId="3DEF5BF7" w14:textId="0EA12122" w:rsidR="008655B6" w:rsidRDefault="00445C54" w:rsidP="008655B6">
      <w:pPr>
        <w:pStyle w:val="Bullet"/>
      </w:pPr>
      <w:r>
        <w:t xml:space="preserve">listed </w:t>
      </w:r>
      <w:r w:rsidR="008655B6">
        <w:t>migratory species</w:t>
      </w:r>
    </w:p>
    <w:p w14:paraId="22A7EA40" w14:textId="77777777" w:rsidR="008655B6" w:rsidRDefault="008655B6" w:rsidP="008655B6">
      <w:pPr>
        <w:pStyle w:val="Bullet"/>
      </w:pPr>
      <w:r>
        <w:t>Commonwealth marine areas</w:t>
      </w:r>
    </w:p>
    <w:p w14:paraId="1ED252B9" w14:textId="77777777" w:rsidR="008655B6" w:rsidRDefault="008655B6" w:rsidP="008655B6">
      <w:pPr>
        <w:pStyle w:val="Bullet"/>
      </w:pPr>
      <w:r>
        <w:t>the Great Barrier Reef Marine Park</w:t>
      </w:r>
    </w:p>
    <w:p w14:paraId="05BC42E6" w14:textId="77777777" w:rsidR="008655B6" w:rsidRDefault="008655B6" w:rsidP="008655B6">
      <w:pPr>
        <w:pStyle w:val="Bullet"/>
      </w:pPr>
      <w:r>
        <w:t>nuclear actions (including uranium mining)</w:t>
      </w:r>
    </w:p>
    <w:p w14:paraId="225F342B" w14:textId="77777777" w:rsidR="008655B6" w:rsidRDefault="008655B6" w:rsidP="008655B6">
      <w:pPr>
        <w:pStyle w:val="Bullet"/>
      </w:pPr>
      <w:r>
        <w:t>a water resource, in relation to coal seam gas development and large coal mining development.</w:t>
      </w:r>
    </w:p>
    <w:p w14:paraId="7FBFEA3B" w14:textId="5958AE54" w:rsidR="006A6E6F" w:rsidRDefault="006A6E6F" w:rsidP="00304DAC">
      <w:r>
        <w:t>Other matters protected under Part 3 of the EPBC Act are:</w:t>
      </w:r>
    </w:p>
    <w:p w14:paraId="2A3B7833" w14:textId="2CEECD22" w:rsidR="00445C54" w:rsidRPr="00137C98" w:rsidRDefault="006A6E6F" w:rsidP="00304DAC">
      <w:pPr>
        <w:pStyle w:val="Bullet"/>
      </w:pPr>
      <w:r>
        <w:t>t</w:t>
      </w:r>
      <w:r w:rsidR="00445C54" w:rsidRPr="00137C98">
        <w:t>he environment, where actions proposed are on, or will affect Commonwealth land and the environment</w:t>
      </w:r>
    </w:p>
    <w:p w14:paraId="1E83D2C3" w14:textId="22A4E53E" w:rsidR="00445C54" w:rsidRDefault="006A6E6F" w:rsidP="006A6E6F">
      <w:pPr>
        <w:pStyle w:val="Bullet"/>
      </w:pPr>
      <w:r>
        <w:t>t</w:t>
      </w:r>
      <w:r w:rsidR="00445C54" w:rsidRPr="00137C98">
        <w:t>he environment, where Commonwealth agencies are proposing to take an action.</w:t>
      </w:r>
    </w:p>
    <w:p w14:paraId="0C15C859" w14:textId="2AFB3A9D" w:rsidR="008F21B7" w:rsidRDefault="008F21B7" w:rsidP="008F21B7">
      <w:r>
        <w:t xml:space="preserve">These </w:t>
      </w:r>
      <w:r w:rsidR="00E63BBB">
        <w:t>MNES</w:t>
      </w:r>
      <w:r>
        <w:t xml:space="preserve"> are important</w:t>
      </w:r>
      <w:r w:rsidR="00DA3929">
        <w:t xml:space="preserve"> and give effect to Australia’s obligations under international conventions</w:t>
      </w:r>
      <w:r>
        <w:t xml:space="preserve">. The EPBC Act aims to protect crucial environmental and cultural values, at the local, regional, national and international level, for the long-term benefit of Australia. It does this by </w:t>
      </w:r>
      <w:r w:rsidRPr="008F21B7">
        <w:t xml:space="preserve">providing </w:t>
      </w:r>
      <w:r>
        <w:t>a framework for balancing MNES with Australians’ economic and social needs, directing</w:t>
      </w:r>
      <w:r w:rsidRPr="008F21B7">
        <w:t xml:space="preserve"> </w:t>
      </w:r>
      <w:r>
        <w:t>which</w:t>
      </w:r>
      <w:r w:rsidRPr="008F21B7">
        <w:t xml:space="preserve"> </w:t>
      </w:r>
      <w:r>
        <w:t xml:space="preserve">development </w:t>
      </w:r>
      <w:r w:rsidRPr="008F21B7">
        <w:t xml:space="preserve">activities can occur, </w:t>
      </w:r>
      <w:r>
        <w:t>which</w:t>
      </w:r>
      <w:r w:rsidRPr="008F21B7">
        <w:t xml:space="preserve"> can</w:t>
      </w:r>
      <w:r>
        <w:t>not</w:t>
      </w:r>
      <w:r w:rsidRPr="008F21B7">
        <w:t xml:space="preserve">, and where </w:t>
      </w:r>
      <w:r>
        <w:t>offsets and mitigation measures can</w:t>
      </w:r>
      <w:r w:rsidRPr="008F21B7">
        <w:t xml:space="preserve"> enable </w:t>
      </w:r>
      <w:r>
        <w:t xml:space="preserve">development without significantly impacting </w:t>
      </w:r>
      <w:r w:rsidR="00445C54">
        <w:t xml:space="preserve">nationally important </w:t>
      </w:r>
      <w:r w:rsidR="00970509">
        <w:t>environment</w:t>
      </w:r>
      <w:r w:rsidR="006A6E6F">
        <w:t>al</w:t>
      </w:r>
      <w:r w:rsidR="00970509">
        <w:t xml:space="preserve"> </w:t>
      </w:r>
      <w:r>
        <w:t>and cultural values.</w:t>
      </w:r>
      <w:r w:rsidRPr="008F21B7">
        <w:t xml:space="preserve"> </w:t>
      </w:r>
    </w:p>
    <w:p w14:paraId="550193A2" w14:textId="77777777" w:rsidR="00195F11" w:rsidRDefault="008655B6" w:rsidP="008F21B7">
      <w:r>
        <w:t xml:space="preserve">The EPBC Act creates environmental protection and biodiversity conservation obligations that potentially impact on many different parts of the Australian economy. One of the sectors that </w:t>
      </w:r>
      <w:r w:rsidR="00AE599E">
        <w:t xml:space="preserve">is </w:t>
      </w:r>
      <w:r>
        <w:t>impacted in various ways is the agriculture sector</w:t>
      </w:r>
      <w:r w:rsidR="00857CDB">
        <w:t xml:space="preserve">. </w:t>
      </w:r>
      <w:r w:rsidR="006F45CD">
        <w:t xml:space="preserve">These impacts can be short-term or long-term, and positive or negative. </w:t>
      </w:r>
    </w:p>
    <w:p w14:paraId="56E7BB83" w14:textId="435D1DFB" w:rsidR="0009306F" w:rsidRDefault="00857CDB" w:rsidP="008F21B7">
      <w:r>
        <w:t xml:space="preserve">In March 2018, the </w:t>
      </w:r>
      <w:r w:rsidR="00445C54">
        <w:t xml:space="preserve">Commonwealth </w:t>
      </w:r>
      <w:r>
        <w:t xml:space="preserve">Minister for the Environment and Energy and the </w:t>
      </w:r>
      <w:r w:rsidR="006A6E6F">
        <w:t xml:space="preserve">Commonwealth </w:t>
      </w:r>
      <w:r>
        <w:t xml:space="preserve">Minister for Agriculture and Water Resources jointly announced that </w:t>
      </w:r>
      <w:r w:rsidR="00AE599E">
        <w:t xml:space="preserve">there would be </w:t>
      </w:r>
      <w:r>
        <w:t xml:space="preserve">a short-term targeted </w:t>
      </w:r>
      <w:r w:rsidR="004055E9">
        <w:t xml:space="preserve">independent </w:t>
      </w:r>
      <w:r>
        <w:t xml:space="preserve">review </w:t>
      </w:r>
      <w:r w:rsidR="00AE599E">
        <w:t xml:space="preserve">led by Dr Wendy Craik </w:t>
      </w:r>
      <w:r>
        <w:t>to find practical ways to help farmers fulfil their obligations under the EPBC Act. The commissioning of this independent review follows the publication by DoEE</w:t>
      </w:r>
      <w:r w:rsidR="0009306F">
        <w:t xml:space="preserve"> </w:t>
      </w:r>
      <w:r>
        <w:t>in 2017 of</w:t>
      </w:r>
      <w:r w:rsidR="0009306F">
        <w:t xml:space="preserve"> its Regulatory Maturity Framework, committing to working in partnership with stakeholders to improve how </w:t>
      </w:r>
      <w:r>
        <w:t>the Department</w:t>
      </w:r>
      <w:r w:rsidR="0009306F">
        <w:t xml:space="preserve"> regulate</w:t>
      </w:r>
      <w:r>
        <w:t>s</w:t>
      </w:r>
      <w:r w:rsidR="0009306F">
        <w:t>.</w:t>
      </w:r>
      <w:r w:rsidR="006A6E6F">
        <w:rPr>
          <w:rStyle w:val="FootnoteReference"/>
        </w:rPr>
        <w:footnoteReference w:id="2"/>
      </w:r>
    </w:p>
    <w:p w14:paraId="5880BEAF" w14:textId="512610BB" w:rsidR="00B201D9" w:rsidRDefault="00B11C44" w:rsidP="00B201D9">
      <w:pPr>
        <w:pStyle w:val="Heading2"/>
      </w:pPr>
      <w:bookmarkStart w:id="4" w:name="_Toc513114755"/>
      <w:r>
        <w:t>Scope</w:t>
      </w:r>
      <w:bookmarkEnd w:id="4"/>
    </w:p>
    <w:p w14:paraId="229311F4" w14:textId="4BBF6F30" w:rsidR="00B201D9" w:rsidRDefault="00B201D9" w:rsidP="00B201D9">
      <w:r>
        <w:t>T</w:t>
      </w:r>
      <w:r w:rsidR="004055E9">
        <w:t xml:space="preserve">he independent review </w:t>
      </w:r>
      <w:r w:rsidR="005C303D">
        <w:t>of interactions between the EPBC Act and the agriculture</w:t>
      </w:r>
      <w:r w:rsidR="007715D8">
        <w:t xml:space="preserve"> and food production</w:t>
      </w:r>
      <w:r w:rsidR="005C303D">
        <w:t xml:space="preserve"> sector has been commissioned to</w:t>
      </w:r>
      <w:r w:rsidR="006B4C4A">
        <w:t xml:space="preserve"> ‘</w:t>
      </w:r>
      <w:r w:rsidR="006B4C4A" w:rsidRPr="006B4C4A">
        <w:t>identify regulatory and non-regulatory improvements to assist this sector while maintaining environmental standards</w:t>
      </w:r>
      <w:r w:rsidR="00B11C44">
        <w:t>’.</w:t>
      </w:r>
      <w:r w:rsidR="00B11C44">
        <w:rPr>
          <w:rStyle w:val="FootnoteReference"/>
        </w:rPr>
        <w:footnoteReference w:id="3"/>
      </w:r>
    </w:p>
    <w:p w14:paraId="4F78F4C7" w14:textId="4E64A14F" w:rsidR="005C303D" w:rsidRDefault="00B11C44" w:rsidP="00B201D9">
      <w:r>
        <w:t xml:space="preserve">Specifically, </w:t>
      </w:r>
      <w:r w:rsidR="00DA3929">
        <w:t xml:space="preserve">the review </w:t>
      </w:r>
      <w:r w:rsidR="00AE599E">
        <w:t>is</w:t>
      </w:r>
      <w:r>
        <w:t xml:space="preserve"> to complete the following tasks:</w:t>
      </w:r>
    </w:p>
    <w:p w14:paraId="1137484A" w14:textId="5C6190ED" w:rsidR="008367AF" w:rsidRDefault="008367AF" w:rsidP="00B11C44">
      <w:pPr>
        <w:pStyle w:val="NumberList"/>
      </w:pPr>
      <w:r>
        <w:t xml:space="preserve">Understand where real and perceived barriers </w:t>
      </w:r>
      <w:r w:rsidR="00A17735">
        <w:t>exist</w:t>
      </w:r>
      <w:r>
        <w:t xml:space="preserve"> for farmers in navigating the requirements of the EPBC Act, with a particular focus on environmental referrals, assessment and approvals, and the listing and delisting process for threatened species and ecological communities</w:t>
      </w:r>
      <w:r w:rsidR="00A17735">
        <w:t>.</w:t>
      </w:r>
    </w:p>
    <w:p w14:paraId="159EA25D" w14:textId="1EF6AD66" w:rsidR="00B11C44" w:rsidRDefault="00B11C44" w:rsidP="00B11C44">
      <w:pPr>
        <w:pStyle w:val="NumberList"/>
      </w:pPr>
      <w:r>
        <w:t>Undertake targeted consultation with agriculture sector stakeholders and other interested parties to identify concerns in the interaction between the EPBC Act and the sector and highlight areas where efficiencies might be realised.</w:t>
      </w:r>
    </w:p>
    <w:p w14:paraId="01C798B0" w14:textId="213F106E" w:rsidR="00B11C44" w:rsidRDefault="00B11C44" w:rsidP="00B11C44">
      <w:pPr>
        <w:pStyle w:val="NumberList"/>
      </w:pPr>
      <w:r>
        <w:t>Provide an overview of the appropriateness of the current regulatory settings of the EPBC Act in regard to their impact on the agriculture sector, with consideration to the objects of the EPBC Act.</w:t>
      </w:r>
    </w:p>
    <w:p w14:paraId="48B43913" w14:textId="330A3152" w:rsidR="00B11C44" w:rsidRDefault="00B11C44" w:rsidP="00B11C44">
      <w:pPr>
        <w:pStyle w:val="NumberList"/>
      </w:pPr>
      <w:r>
        <w:t xml:space="preserve">Outline options to </w:t>
      </w:r>
      <w:r w:rsidR="007715D8">
        <w:t xml:space="preserve">practically </w:t>
      </w:r>
      <w:r>
        <w:t>improve how the agriculture sector is regulated under the EPBC Act and to reduce the regulatory burden faced by farmers and applicants.</w:t>
      </w:r>
    </w:p>
    <w:p w14:paraId="40590476" w14:textId="02072537" w:rsidR="00B11C44" w:rsidRDefault="00B11C44" w:rsidP="00B11C44">
      <w:pPr>
        <w:pStyle w:val="NumberList"/>
      </w:pPr>
      <w:r>
        <w:t>As far as possible, consider the costs and benefits of the recommendations as required by the Australian Government.</w:t>
      </w:r>
    </w:p>
    <w:p w14:paraId="2C127A1C" w14:textId="5528B644" w:rsidR="00925041" w:rsidRDefault="00925041" w:rsidP="00E75EE6">
      <w:r>
        <w:t xml:space="preserve">The following further clarifications to the scope of the review have been </w:t>
      </w:r>
      <w:r w:rsidR="00CE1D80">
        <w:t>advised</w:t>
      </w:r>
      <w:r w:rsidR="00062C83">
        <w:t xml:space="preserve"> </w:t>
      </w:r>
      <w:r>
        <w:t>since the initial publication of the terms of reference:</w:t>
      </w:r>
    </w:p>
    <w:p w14:paraId="258418A3" w14:textId="2601B608" w:rsidR="00DA3929" w:rsidRDefault="00925041" w:rsidP="00925041">
      <w:pPr>
        <w:pStyle w:val="Bullet"/>
      </w:pPr>
      <w:r>
        <w:t xml:space="preserve">The review will </w:t>
      </w:r>
      <w:r w:rsidR="003B0328">
        <w:t>focus on</w:t>
      </w:r>
      <w:r>
        <w:t xml:space="preserve"> terrestrial food and fibre production</w:t>
      </w:r>
      <w:r w:rsidR="00DA3929">
        <w:t>.</w:t>
      </w:r>
    </w:p>
    <w:p w14:paraId="2E49E07B" w14:textId="6FCCBC5E" w:rsidR="00FE20F8" w:rsidRDefault="00DA3929" w:rsidP="00A17735">
      <w:pPr>
        <w:pStyle w:val="Bullet"/>
      </w:pPr>
      <w:r>
        <w:t>F</w:t>
      </w:r>
      <w:r w:rsidR="00E75EE6">
        <w:t xml:space="preserve">isheries </w:t>
      </w:r>
      <w:r w:rsidR="003B0328">
        <w:t xml:space="preserve">activities </w:t>
      </w:r>
      <w:r w:rsidR="00E75EE6">
        <w:t>are out of scope</w:t>
      </w:r>
      <w:r w:rsidR="003B0328">
        <w:t xml:space="preserve"> as these actions are regulated through accredited management </w:t>
      </w:r>
      <w:r w:rsidR="003B0328" w:rsidRPr="006C18C2">
        <w:t xml:space="preserve">plans </w:t>
      </w:r>
      <w:r w:rsidR="00FE20F8" w:rsidRPr="00304DAC">
        <w:t>and approve</w:t>
      </w:r>
      <w:r w:rsidR="004C298D">
        <w:t>d</w:t>
      </w:r>
      <w:r w:rsidR="00FE20F8" w:rsidRPr="00304DAC">
        <w:t xml:space="preserve"> wildlife trade operations under the EPBC Act</w:t>
      </w:r>
      <w:r w:rsidR="00925041" w:rsidRPr="006C18C2">
        <w:t>. H</w:t>
      </w:r>
      <w:r w:rsidR="00E75EE6" w:rsidRPr="006C18C2">
        <w:t>owever</w:t>
      </w:r>
      <w:r w:rsidR="00925041">
        <w:t>,</w:t>
      </w:r>
      <w:r w:rsidR="00E75EE6">
        <w:t xml:space="preserve"> aquaculture </w:t>
      </w:r>
      <w:r w:rsidR="003B0328">
        <w:t xml:space="preserve">developments </w:t>
      </w:r>
      <w:r w:rsidR="00925041">
        <w:t xml:space="preserve">may be considered </w:t>
      </w:r>
      <w:r w:rsidR="00AE5899">
        <w:t xml:space="preserve">where there are interactions with the </w:t>
      </w:r>
      <w:r w:rsidR="003B0328">
        <w:t xml:space="preserve">referral, assessment and approval provisions of the </w:t>
      </w:r>
      <w:r w:rsidR="00AE5899">
        <w:t xml:space="preserve">EPBC </w:t>
      </w:r>
      <w:r w:rsidR="00970509">
        <w:t>Act and</w:t>
      </w:r>
      <w:r w:rsidR="00AE5899">
        <w:t xml:space="preserve"> </w:t>
      </w:r>
      <w:r w:rsidR="00F30D32">
        <w:t>when</w:t>
      </w:r>
      <w:r w:rsidR="00925041">
        <w:t xml:space="preserve"> deemed appropriate by the independent reviewer</w:t>
      </w:r>
      <w:r w:rsidR="00E75EE6">
        <w:t>.</w:t>
      </w:r>
    </w:p>
    <w:p w14:paraId="25736466" w14:textId="293FE535" w:rsidR="00925041" w:rsidRDefault="008367AF" w:rsidP="00925041">
      <w:pPr>
        <w:pStyle w:val="Bullet"/>
      </w:pPr>
      <w:r>
        <w:t xml:space="preserve">Forestry operations undertaken in areas covered by a </w:t>
      </w:r>
      <w:r w:rsidR="00925041">
        <w:t xml:space="preserve">Regional Forest Agreement (RFA) are out of scope. However, private native forestry (where not covered by an RFA) may be considered in the review </w:t>
      </w:r>
      <w:r w:rsidR="00AE5899">
        <w:t xml:space="preserve">where there are interactions with the EPBC Act and </w:t>
      </w:r>
      <w:r w:rsidR="00F30D32">
        <w:t>when</w:t>
      </w:r>
      <w:r w:rsidR="00925041">
        <w:t xml:space="preserve"> deemed appropriate by the independent reviewer.</w:t>
      </w:r>
    </w:p>
    <w:p w14:paraId="7524CE41" w14:textId="445A1F34" w:rsidR="00925041" w:rsidRDefault="00925041" w:rsidP="00925041">
      <w:pPr>
        <w:pStyle w:val="Bullet"/>
      </w:pPr>
      <w:r>
        <w:t xml:space="preserve">Coal seam gas development, and the relationship between this industry and protection of water resources, is out of scope. However, mining activities, as far as they impact on the agriculture sector, </w:t>
      </w:r>
      <w:r w:rsidR="00F30D32">
        <w:t xml:space="preserve">may be considered in the review </w:t>
      </w:r>
      <w:r w:rsidR="00AE5899">
        <w:t xml:space="preserve">where there are interactions with the EPBC Act </w:t>
      </w:r>
      <w:r w:rsidR="003B0328">
        <w:t xml:space="preserve">(such as through offsetting requirements) </w:t>
      </w:r>
      <w:r w:rsidR="00AE5899">
        <w:t xml:space="preserve">and </w:t>
      </w:r>
      <w:r w:rsidR="00F30D32">
        <w:t>when deemed appropriate by the independent reviewer</w:t>
      </w:r>
      <w:r>
        <w:t>.</w:t>
      </w:r>
    </w:p>
    <w:p w14:paraId="506BE495" w14:textId="2BFA8CE8" w:rsidR="003B0328" w:rsidRDefault="003B0328" w:rsidP="00925041">
      <w:pPr>
        <w:pStyle w:val="Bullet"/>
      </w:pPr>
      <w:r>
        <w:t>Changes or proposed amendments to state and territory vegetation management legislation</w:t>
      </w:r>
      <w:r w:rsidR="006C18C2">
        <w:t xml:space="preserve"> </w:t>
      </w:r>
      <w:r w:rsidR="00BF5C33">
        <w:t xml:space="preserve">are outside the scope of this </w:t>
      </w:r>
      <w:r w:rsidR="006C18C2">
        <w:t>review</w:t>
      </w:r>
      <w:r w:rsidR="00BF5C33">
        <w:t>, though the independent reviewer recognises that</w:t>
      </w:r>
      <w:r>
        <w:t xml:space="preserve"> </w:t>
      </w:r>
      <w:r w:rsidR="00BF5C33">
        <w:t>farmers may have concerns about how these changes may impact the way that they interact with the EPBC Act</w:t>
      </w:r>
      <w:r>
        <w:t>.</w:t>
      </w:r>
    </w:p>
    <w:p w14:paraId="6765DBB2" w14:textId="77777777" w:rsidR="003B0328" w:rsidRDefault="00AB2446" w:rsidP="00B201D9">
      <w:r>
        <w:t>Many stakeholders are likely to hold views on the operation of the EPBC Act that touch on issues beyond the scope of this review</w:t>
      </w:r>
      <w:r w:rsidR="00703E18">
        <w:t>, including issues relating to the interaction between the EPBC Act and the mining or urban land development sectors, among other parts of the Australian economy</w:t>
      </w:r>
      <w:r>
        <w:t xml:space="preserve">. </w:t>
      </w:r>
    </w:p>
    <w:p w14:paraId="750B0E84" w14:textId="1F069606" w:rsidR="005377F7" w:rsidRDefault="005377F7" w:rsidP="00B201D9">
      <w:r>
        <w:t>There will be opportunities for all Australians to share their ideas on how best to improve the operation of the EPBC Act more broadly as part of the next statutory independent review of the EPBC Act, which must commence no later than October 2019.</w:t>
      </w:r>
      <w:r w:rsidR="005C3A67">
        <w:t xml:space="preserve"> </w:t>
      </w:r>
      <w:r w:rsidR="00FA71C0">
        <w:t xml:space="preserve">This will be the second statutory review of the EPBC Act, the first having been provided to the </w:t>
      </w:r>
      <w:r w:rsidR="003B0328">
        <w:t xml:space="preserve">then Commonwealth Environment </w:t>
      </w:r>
      <w:r w:rsidR="00FA71C0">
        <w:t>Minister by Dr Allan Hawke in October 2009.</w:t>
      </w:r>
      <w:r w:rsidR="00FA71C0">
        <w:rPr>
          <w:rStyle w:val="FootnoteReference"/>
        </w:rPr>
        <w:footnoteReference w:id="4"/>
      </w:r>
      <w:r w:rsidR="00FA71C0">
        <w:t xml:space="preserve"> </w:t>
      </w:r>
      <w:r w:rsidR="005C3A67">
        <w:t>The f</w:t>
      </w:r>
      <w:r w:rsidR="005C3A67" w:rsidRPr="005C3A67">
        <w:t xml:space="preserve">ocus </w:t>
      </w:r>
      <w:r w:rsidR="005C3A67">
        <w:t xml:space="preserve">of the present review is </w:t>
      </w:r>
      <w:r w:rsidR="005C3A67" w:rsidRPr="005C3A67">
        <w:t>on practical, feasible solutions</w:t>
      </w:r>
      <w:r w:rsidR="005C3A67">
        <w:t xml:space="preserve"> to issues facing the agriculture sector</w:t>
      </w:r>
      <w:r w:rsidR="005C3A67" w:rsidRPr="005C3A67">
        <w:t xml:space="preserve">, </w:t>
      </w:r>
      <w:r w:rsidR="005C3A67">
        <w:t>with</w:t>
      </w:r>
      <w:r w:rsidR="005C3A67" w:rsidRPr="005C3A67">
        <w:t xml:space="preserve"> larger and more </w:t>
      </w:r>
      <w:r w:rsidR="005C3A67">
        <w:t>complex</w:t>
      </w:r>
      <w:r w:rsidR="005C3A67" w:rsidRPr="005C3A67">
        <w:t xml:space="preserve"> issues </w:t>
      </w:r>
      <w:r w:rsidR="005C3A67">
        <w:t xml:space="preserve">potentially able to be addressed through the forthcoming </w:t>
      </w:r>
      <w:r w:rsidR="005C3A67" w:rsidRPr="005C3A67">
        <w:t>statutory review</w:t>
      </w:r>
      <w:r w:rsidR="005C3A67">
        <w:t>.</w:t>
      </w:r>
    </w:p>
    <w:p w14:paraId="7E8B9B0C" w14:textId="0DCC42D0" w:rsidR="00AB2446" w:rsidRPr="00B201D9" w:rsidRDefault="00DA3929" w:rsidP="00B201D9">
      <w:r>
        <w:t>The review</w:t>
      </w:r>
      <w:r w:rsidR="00AB2446">
        <w:t xml:space="preserve"> will consider relevant publicly available material and documentation provided by DoEE, in addition to the views expressed by stakeholders during targeted consultations in multiple states and territories. A final report will be provided to the Australian Government in </w:t>
      </w:r>
      <w:r w:rsidR="003B0328">
        <w:t>mid</w:t>
      </w:r>
      <w:r w:rsidR="006C18C2">
        <w:t>-</w:t>
      </w:r>
      <w:r w:rsidR="00AB2446">
        <w:t>2018.</w:t>
      </w:r>
    </w:p>
    <w:p w14:paraId="038BB703" w14:textId="21071DDD" w:rsidR="00B201D9" w:rsidRDefault="00B201D9" w:rsidP="00B201D9">
      <w:pPr>
        <w:pStyle w:val="Heading2"/>
      </w:pPr>
      <w:bookmarkStart w:id="5" w:name="_Toc513114756"/>
      <w:r>
        <w:t>The independent reviewer</w:t>
      </w:r>
      <w:bookmarkEnd w:id="5"/>
    </w:p>
    <w:p w14:paraId="0CE209F0" w14:textId="6DABFB8B" w:rsidR="00B201D9" w:rsidRDefault="005377F7" w:rsidP="005377F7">
      <w:r>
        <w:t xml:space="preserve">Dr Wendy Craik is one of Australia’s leading independent public policy advisors and is well versed in the key issues facing farming businesses across Australia. Dr Craik </w:t>
      </w:r>
      <w:r w:rsidR="00AE599E">
        <w:t xml:space="preserve">has been </w:t>
      </w:r>
      <w:r>
        <w:t xml:space="preserve">Executive Director of the National Farmers’ Federation, President of the National Competition Council, board member </w:t>
      </w:r>
      <w:r w:rsidR="00C87698">
        <w:t xml:space="preserve">of </w:t>
      </w:r>
      <w:r>
        <w:t>Dairy Australia</w:t>
      </w:r>
      <w:r w:rsidR="00AE599E">
        <w:t>,</w:t>
      </w:r>
      <w:r>
        <w:t xml:space="preserve"> Chair of the National Rural Advisory Council</w:t>
      </w:r>
      <w:r w:rsidR="00AE599E">
        <w:t xml:space="preserve"> and Chair of the Australian Rural Leadership Foundation</w:t>
      </w:r>
      <w:r>
        <w:t xml:space="preserve">. </w:t>
      </w:r>
      <w:r w:rsidR="00CC7453">
        <w:t xml:space="preserve">She has previously been CEO of the Murray-Darling Basin Commission and a Commissioner of the Productivity Commission. Dr Craik </w:t>
      </w:r>
      <w:r>
        <w:t>was appointed a Member of the Order of Australia in 2007 for her service to the natural resource sector and for her contributions to policies affecting rural and regional Australia. Dr Craik will be supported in her role as independent reviewer by a team from Aither, a leading Australian natural resource</w:t>
      </w:r>
      <w:r w:rsidR="00AB2446">
        <w:t>s</w:t>
      </w:r>
      <w:r>
        <w:t xml:space="preserve"> management advisory firm.</w:t>
      </w:r>
    </w:p>
    <w:p w14:paraId="46235E4E" w14:textId="024CAEBE" w:rsidR="00B201D9" w:rsidRDefault="00B201D9" w:rsidP="00B201D9">
      <w:pPr>
        <w:pStyle w:val="Heading1"/>
      </w:pPr>
      <w:bookmarkStart w:id="6" w:name="_Toc513114757"/>
      <w:r>
        <w:t>Emerging issues</w:t>
      </w:r>
      <w:r w:rsidR="00803499">
        <w:t xml:space="preserve"> and concerns</w:t>
      </w:r>
      <w:bookmarkEnd w:id="6"/>
    </w:p>
    <w:p w14:paraId="0B696B55" w14:textId="5B3DFCCE" w:rsidR="00376530" w:rsidRDefault="00067B3C" w:rsidP="00B201D9">
      <w:r>
        <w:t xml:space="preserve">Since the EPBC Act came into effect in 2000, project </w:t>
      </w:r>
      <w:r w:rsidR="001816F5">
        <w:t xml:space="preserve">(or </w:t>
      </w:r>
      <w:r w:rsidR="001816F5" w:rsidRPr="00D51A9F">
        <w:rPr>
          <w:b/>
        </w:rPr>
        <w:t>action</w:t>
      </w:r>
      <w:r w:rsidR="001816F5">
        <w:t xml:space="preserve">) </w:t>
      </w:r>
      <w:r>
        <w:t xml:space="preserve">proponents have been required to refer projects to DoEE (or its predecessors) </w:t>
      </w:r>
      <w:r w:rsidR="001816F5">
        <w:t xml:space="preserve">for a decision about whether further </w:t>
      </w:r>
      <w:r w:rsidR="001816F5" w:rsidRPr="00D51A9F">
        <w:rPr>
          <w:b/>
        </w:rPr>
        <w:t>assessment</w:t>
      </w:r>
      <w:r w:rsidR="001816F5">
        <w:t xml:space="preserve"> of the project’s likely environmental impacts is required, if </w:t>
      </w:r>
      <w:r w:rsidR="00EF3764">
        <w:t xml:space="preserve">the proponent </w:t>
      </w:r>
      <w:r w:rsidR="001816F5">
        <w:t>determine</w:t>
      </w:r>
      <w:r w:rsidR="00EF3764">
        <w:t>s</w:t>
      </w:r>
      <w:r w:rsidR="001816F5">
        <w:t xml:space="preserve"> that the action </w:t>
      </w:r>
      <w:r w:rsidR="001816F5" w:rsidRPr="001816F5">
        <w:t xml:space="preserve">has the potential to have a </w:t>
      </w:r>
      <w:r w:rsidR="001816F5" w:rsidRPr="00582332">
        <w:t>significant impact</w:t>
      </w:r>
      <w:r w:rsidR="001816F5" w:rsidRPr="001816F5">
        <w:t xml:space="preserve"> on a matter of national environmental significanc</w:t>
      </w:r>
      <w:r w:rsidR="001816F5">
        <w:t xml:space="preserve">e. This decision about whether </w:t>
      </w:r>
      <w:r w:rsidR="001816F5" w:rsidRPr="00D51A9F">
        <w:rPr>
          <w:b/>
        </w:rPr>
        <w:t>referral</w:t>
      </w:r>
      <w:r w:rsidR="001816F5">
        <w:t xml:space="preserve"> is </w:t>
      </w:r>
      <w:r w:rsidR="00376530">
        <w:t>warranted</w:t>
      </w:r>
      <w:r w:rsidR="001816F5">
        <w:t xml:space="preserve"> is </w:t>
      </w:r>
      <w:r w:rsidR="00376530">
        <w:t xml:space="preserve">generally </w:t>
      </w:r>
      <w:r w:rsidR="001816F5">
        <w:t xml:space="preserve">made by the proponent of the action, </w:t>
      </w:r>
      <w:r w:rsidR="00376530">
        <w:t xml:space="preserve">though </w:t>
      </w:r>
      <w:r w:rsidR="00280823">
        <w:t>S</w:t>
      </w:r>
      <w:r w:rsidR="00376530">
        <w:t xml:space="preserve">tate, </w:t>
      </w:r>
      <w:r w:rsidR="00280823">
        <w:t>T</w:t>
      </w:r>
      <w:r w:rsidR="00376530">
        <w:t>erritory and Australian Government agencies or ministers can also make a referral or request a proponent to make a referral</w:t>
      </w:r>
      <w:r w:rsidR="001816F5">
        <w:t>. Th</w:t>
      </w:r>
      <w:r w:rsidR="00376530">
        <w:t>e</w:t>
      </w:r>
      <w:r w:rsidR="001816F5">
        <w:t xml:space="preserve"> decision </w:t>
      </w:r>
      <w:r w:rsidR="00376530">
        <w:t xml:space="preserve">on whether or not further assessment is needed </w:t>
      </w:r>
      <w:r w:rsidR="001816F5">
        <w:t xml:space="preserve">is </w:t>
      </w:r>
      <w:r w:rsidR="00376530">
        <w:t xml:space="preserve">then </w:t>
      </w:r>
      <w:r w:rsidR="001816F5">
        <w:t xml:space="preserve">made by the </w:t>
      </w:r>
      <w:r w:rsidR="008F28A0">
        <w:t>Commonwealth Environment M</w:t>
      </w:r>
      <w:r w:rsidR="001816F5">
        <w:t xml:space="preserve">inister or the </w:t>
      </w:r>
      <w:r w:rsidR="006C18C2">
        <w:t>M</w:t>
      </w:r>
      <w:r w:rsidR="001816F5">
        <w:t xml:space="preserve">inister’s delegate. </w:t>
      </w:r>
      <w:r w:rsidR="00376530">
        <w:t>If it is determined that significant impacts are likely</w:t>
      </w:r>
      <w:r w:rsidR="008F28A0">
        <w:t xml:space="preserve"> to occur to a matter of national environmental significance</w:t>
      </w:r>
      <w:r w:rsidR="00376530">
        <w:t xml:space="preserve">, the action requires approval under the EPBC Act and is referred to as a </w:t>
      </w:r>
      <w:r w:rsidR="00376530" w:rsidRPr="00D51A9F">
        <w:rPr>
          <w:b/>
        </w:rPr>
        <w:t>controlled action</w:t>
      </w:r>
      <w:r w:rsidR="00376530">
        <w:t xml:space="preserve">. </w:t>
      </w:r>
    </w:p>
    <w:p w14:paraId="6AE33A7D" w14:textId="79DDEF2A" w:rsidR="004D1925" w:rsidRDefault="001816F5" w:rsidP="00B201D9">
      <w:r>
        <w:t xml:space="preserve">Since 2000, the number of referrals </w:t>
      </w:r>
      <w:r w:rsidR="00A548B3">
        <w:t xml:space="preserve">under the EPBC Act </w:t>
      </w:r>
      <w:r>
        <w:t xml:space="preserve">from the agriculture sector has </w:t>
      </w:r>
      <w:r w:rsidR="00376530">
        <w:t xml:space="preserve">remained consistently low, compared </w:t>
      </w:r>
      <w:r w:rsidR="00C87698">
        <w:t>with</w:t>
      </w:r>
      <w:r w:rsidR="00376530">
        <w:t xml:space="preserve"> referrals </w:t>
      </w:r>
      <w:r w:rsidR="00A548B3">
        <w:t>from</w:t>
      </w:r>
      <w:r w:rsidR="00376530">
        <w:t xml:space="preserve"> other sectors.</w:t>
      </w:r>
      <w:r w:rsidR="00A548B3">
        <w:t xml:space="preserve"> Most referred actions in the agriculture sector have been determined not to require further assessment under the EPBC Act. Almost all controlled actions in the agriculture sector assessed over the past 18 years have ultimately been approved</w:t>
      </w:r>
      <w:r w:rsidR="004342FA">
        <w:t>.</w:t>
      </w:r>
    </w:p>
    <w:p w14:paraId="7945751B" w14:textId="61A75135" w:rsidR="00A548B3" w:rsidRDefault="00A548B3" w:rsidP="00B201D9">
      <w:r>
        <w:t xml:space="preserve">Acknowledging the comparatively low number of referrals and assessments in the agriculture sector, it remains the case that </w:t>
      </w:r>
      <w:r w:rsidR="00FE148E">
        <w:t>farmers and industry groups</w:t>
      </w:r>
      <w:r>
        <w:t xml:space="preserve"> have voiced concerns about the EPBC Act </w:t>
      </w:r>
      <w:r w:rsidR="00CC7453">
        <w:t xml:space="preserve">and the way in which it </w:t>
      </w:r>
      <w:r>
        <w:t xml:space="preserve">has been administered by the Australian Government. This relates in particular to </w:t>
      </w:r>
      <w:r w:rsidR="00FE148E">
        <w:t xml:space="preserve">achievement of </w:t>
      </w:r>
      <w:r w:rsidR="00FE148E" w:rsidRPr="00FE148E">
        <w:t xml:space="preserve">improved efficiency in agricultural practices </w:t>
      </w:r>
      <w:r w:rsidR="00FE148E">
        <w:t xml:space="preserve">and </w:t>
      </w:r>
      <w:r>
        <w:t>the management of native vegetation on farms. The following sub-sections of this paper provide an early overview of some of the concerns raised.</w:t>
      </w:r>
    </w:p>
    <w:p w14:paraId="325C3B7A" w14:textId="00BB91A5" w:rsidR="00B201D9" w:rsidRDefault="00B201D9" w:rsidP="00803499">
      <w:pPr>
        <w:pStyle w:val="Heading2"/>
      </w:pPr>
      <w:bookmarkStart w:id="7" w:name="_Toc513114758"/>
      <w:r>
        <w:t xml:space="preserve">Understanding </w:t>
      </w:r>
      <w:r w:rsidR="00803499">
        <w:t>the obligations of</w:t>
      </w:r>
      <w:r>
        <w:t xml:space="preserve"> individual </w:t>
      </w:r>
      <w:r w:rsidR="00AE5899">
        <w:t xml:space="preserve">farmers </w:t>
      </w:r>
      <w:r w:rsidR="00803499">
        <w:t>under the EPBC Act</w:t>
      </w:r>
      <w:bookmarkEnd w:id="7"/>
    </w:p>
    <w:p w14:paraId="20FE53F2" w14:textId="500C2643" w:rsidR="00803499" w:rsidRDefault="006D42CD" w:rsidP="00803499">
      <w:r>
        <w:t xml:space="preserve">Some </w:t>
      </w:r>
      <w:r w:rsidR="0038376F">
        <w:t xml:space="preserve">industry groups </w:t>
      </w:r>
      <w:r>
        <w:t xml:space="preserve">have </w:t>
      </w:r>
      <w:r w:rsidR="0000561E">
        <w:t xml:space="preserve">stated that farmers do not sufficiently understand their obligations under the EPBC Act and/or are not </w:t>
      </w:r>
      <w:r w:rsidR="00EF3764">
        <w:t xml:space="preserve">able </w:t>
      </w:r>
      <w:r w:rsidR="0000561E">
        <w:t xml:space="preserve">to make an informed decision about whether proposed projects should be referred under the Act. Unlike </w:t>
      </w:r>
      <w:r w:rsidR="00A20A92">
        <w:t xml:space="preserve">some </w:t>
      </w:r>
      <w:r w:rsidR="00D05A6F">
        <w:t>mining or property development firm</w:t>
      </w:r>
      <w:r w:rsidR="00A20A92">
        <w:t>s</w:t>
      </w:r>
      <w:r w:rsidR="00D05A6F">
        <w:t xml:space="preserve"> that may </w:t>
      </w:r>
      <w:r w:rsidR="00A20A92">
        <w:t xml:space="preserve">operate at a scale sufficient to </w:t>
      </w:r>
      <w:r w:rsidR="00D05A6F">
        <w:t xml:space="preserve">employ staff to ensure the firm’s compliance with </w:t>
      </w:r>
      <w:r w:rsidR="000469EA">
        <w:t>the EPBC Act</w:t>
      </w:r>
      <w:r w:rsidR="00D05A6F">
        <w:t xml:space="preserve">, most </w:t>
      </w:r>
      <w:r w:rsidR="00EF3764">
        <w:t>farms</w:t>
      </w:r>
      <w:r w:rsidR="00D05A6F">
        <w:t xml:space="preserve"> do not employ such individuals</w:t>
      </w:r>
      <w:r w:rsidR="00FF6289">
        <w:t xml:space="preserve">, </w:t>
      </w:r>
      <w:r w:rsidR="00552A3B">
        <w:t>acknowledging</w:t>
      </w:r>
      <w:r w:rsidR="00FF6289">
        <w:t xml:space="preserve"> that there is </w:t>
      </w:r>
      <w:r w:rsidR="00552A3B">
        <w:t xml:space="preserve">significant diversity in the scale of farming operations in Australia, </w:t>
      </w:r>
      <w:r w:rsidR="00552A3B" w:rsidRPr="00552A3B">
        <w:t xml:space="preserve">from </w:t>
      </w:r>
      <w:r w:rsidR="00552A3B">
        <w:t xml:space="preserve">family </w:t>
      </w:r>
      <w:r w:rsidR="00552A3B" w:rsidRPr="00552A3B">
        <w:t>farm</w:t>
      </w:r>
      <w:r w:rsidR="00552A3B">
        <w:t xml:space="preserve">s </w:t>
      </w:r>
      <w:r w:rsidR="00552A3B" w:rsidRPr="00552A3B">
        <w:t xml:space="preserve">to </w:t>
      </w:r>
      <w:r w:rsidR="00552A3B">
        <w:t xml:space="preserve">large </w:t>
      </w:r>
      <w:r w:rsidR="00552A3B" w:rsidRPr="00552A3B">
        <w:t xml:space="preserve">corporate </w:t>
      </w:r>
      <w:r w:rsidR="00552A3B">
        <w:t>operations</w:t>
      </w:r>
      <w:r w:rsidR="00D05A6F">
        <w:t xml:space="preserve">. In many cases, a farmer may only have a need to consider their obligations under the EPBC Act once or twice in the course of their </w:t>
      </w:r>
      <w:r w:rsidR="00A20A92">
        <w:t>working life, if at all</w:t>
      </w:r>
      <w:r w:rsidR="00D05A6F">
        <w:t xml:space="preserve">. </w:t>
      </w:r>
      <w:r w:rsidR="001A6B3C">
        <w:t>W</w:t>
      </w:r>
      <w:r w:rsidR="001A6B3C" w:rsidRPr="001A6B3C">
        <w:t>here farmers are aware (and sometimes they appear not to be) that an activity may intersect with the EPBC Act</w:t>
      </w:r>
      <w:r w:rsidR="001A6B3C">
        <w:t>,</w:t>
      </w:r>
      <w:r w:rsidR="001A6B3C" w:rsidRPr="001A6B3C">
        <w:t xml:space="preserve"> they will seek to understand this by engaging expert agronomic or botanical assistance</w:t>
      </w:r>
      <w:r w:rsidR="001A6B3C">
        <w:t xml:space="preserve">. </w:t>
      </w:r>
      <w:r w:rsidR="00D05A6F">
        <w:t>Many agricultural actions are likely to be routine land management activities or ongoing cropping or grazing practices; these will generally not require referral as they do not constitute new, expanded or intensified agricultural developments that are likely to have a significant impact on an MNES.</w:t>
      </w:r>
      <w:r w:rsidR="001A6B3C">
        <w:t xml:space="preserve"> </w:t>
      </w:r>
    </w:p>
    <w:p w14:paraId="30E6430C" w14:textId="6D6123CE" w:rsidR="00D05A6F" w:rsidRDefault="0054494E" w:rsidP="00803499">
      <w:r>
        <w:t>Nonetheless, there have been some instances of agricultural actions that require referral under the EPBC Act. It is likely that some of these actions have not been referred in the past where they should have been. This supports th</w:t>
      </w:r>
      <w:r w:rsidR="0038376F">
        <w:t xml:space="preserve">e assertion by some </w:t>
      </w:r>
      <w:r>
        <w:t xml:space="preserve">that many farmers </w:t>
      </w:r>
      <w:r w:rsidR="001A6B3C">
        <w:t>have not become aware of, or are not confident in understanding, their obligations</w:t>
      </w:r>
      <w:r>
        <w:t xml:space="preserve"> under the Act.</w:t>
      </w:r>
    </w:p>
    <w:p w14:paraId="36F233CF" w14:textId="50F02B83" w:rsidR="009663BF" w:rsidRDefault="0000561E" w:rsidP="00803499">
      <w:r>
        <w:t xml:space="preserve">The independent review will seek to better understand </w:t>
      </w:r>
      <w:r w:rsidR="00AE5899">
        <w:t xml:space="preserve">farmer </w:t>
      </w:r>
      <w:r>
        <w:t xml:space="preserve">and industry group concerns, and the implications of these concerns for achievement of the objectives of the EPBC Act. Options for improved communication of </w:t>
      </w:r>
      <w:r w:rsidR="00AE5899">
        <w:t xml:space="preserve">farmer </w:t>
      </w:r>
      <w:r>
        <w:t xml:space="preserve">responsibilities and tools for helping farmers make decisions about referrals </w:t>
      </w:r>
      <w:r w:rsidR="00D05A6F">
        <w:t>will be considered.</w:t>
      </w:r>
    </w:p>
    <w:p w14:paraId="7A541C98" w14:textId="3D5F52E3" w:rsidR="006F653B" w:rsidRDefault="006F653B" w:rsidP="006F653B">
      <w:pPr>
        <w:pStyle w:val="Heading2"/>
      </w:pPr>
      <w:bookmarkStart w:id="8" w:name="_Toc513114759"/>
      <w:r>
        <w:t xml:space="preserve">Time and cost implications for </w:t>
      </w:r>
      <w:r w:rsidR="00AE5899">
        <w:t>farmers</w:t>
      </w:r>
      <w:bookmarkEnd w:id="8"/>
    </w:p>
    <w:p w14:paraId="1246E375" w14:textId="43CDCD2C" w:rsidR="00430E8E" w:rsidRDefault="0054494E" w:rsidP="00803499">
      <w:r>
        <w:t xml:space="preserve">Some </w:t>
      </w:r>
      <w:r w:rsidR="0038376F">
        <w:t>farmers</w:t>
      </w:r>
      <w:r>
        <w:t xml:space="preserve"> are unsure of or concerned about the time and costs associated with ensuring compliance of their agricultural activity with the EPBC Act. Decisions on referrals </w:t>
      </w:r>
      <w:r w:rsidR="00101E81">
        <w:t>occur within</w:t>
      </w:r>
      <w:r>
        <w:t xml:space="preserve"> 20 business days</w:t>
      </w:r>
      <w:r w:rsidR="00101E81">
        <w:t xml:space="preserve"> (</w:t>
      </w:r>
      <w:r w:rsidR="00430E8E">
        <w:t>this timeframe may be extended if</w:t>
      </w:r>
      <w:r w:rsidR="00430E8E" w:rsidRPr="00101E81">
        <w:t xml:space="preserve"> </w:t>
      </w:r>
      <w:r w:rsidR="00430E8E">
        <w:t>further information is required to be provided by the proponent</w:t>
      </w:r>
      <w:r w:rsidR="00101E81">
        <w:t>)</w:t>
      </w:r>
      <w:r>
        <w:t xml:space="preserve">, while assessments </w:t>
      </w:r>
      <w:r w:rsidR="004B5019">
        <w:t>(depending on the assessment method required)</w:t>
      </w:r>
      <w:r>
        <w:t xml:space="preserve"> </w:t>
      </w:r>
      <w:r w:rsidR="004C4906">
        <w:t>can take months</w:t>
      </w:r>
      <w:r w:rsidR="00D60D7A">
        <w:t xml:space="preserve"> </w:t>
      </w:r>
      <w:r w:rsidR="004B5019">
        <w:t>or years for complex referrals</w:t>
      </w:r>
      <w:r w:rsidR="00E37FFA">
        <w:t xml:space="preserve"> </w:t>
      </w:r>
      <w:r>
        <w:t>(</w:t>
      </w:r>
      <w:r w:rsidR="004C4906">
        <w:t xml:space="preserve">assessments </w:t>
      </w:r>
      <w:r>
        <w:t xml:space="preserve">are undertaken by the </w:t>
      </w:r>
      <w:r w:rsidR="00AE5899">
        <w:t xml:space="preserve">farmer </w:t>
      </w:r>
      <w:r>
        <w:t>or their consultant)</w:t>
      </w:r>
      <w:r w:rsidR="00430E8E">
        <w:t xml:space="preserve">. </w:t>
      </w:r>
      <w:r w:rsidR="00E37FFA">
        <w:t>A d</w:t>
      </w:r>
      <w:r w:rsidR="00430E8E">
        <w:t>ecision on whether or not to approv</w:t>
      </w:r>
      <w:r w:rsidR="00E37FFA">
        <w:t>e</w:t>
      </w:r>
      <w:r w:rsidR="00430E8E">
        <w:t xml:space="preserve"> a project </w:t>
      </w:r>
      <w:r w:rsidR="00E37FFA">
        <w:t xml:space="preserve">is </w:t>
      </w:r>
      <w:r w:rsidR="00430E8E">
        <w:t xml:space="preserve">made </w:t>
      </w:r>
      <w:r w:rsidR="004C4906">
        <w:t>within</w:t>
      </w:r>
      <w:r w:rsidR="00497C18">
        <w:t xml:space="preserve"> 40 business days. </w:t>
      </w:r>
    </w:p>
    <w:p w14:paraId="2E61D5CE" w14:textId="4944EA13" w:rsidR="006F653B" w:rsidRDefault="00430E8E" w:rsidP="00803499">
      <w:r>
        <w:t xml:space="preserve">In 2014, the Australian </w:t>
      </w:r>
      <w:r w:rsidRPr="00477E57">
        <w:t xml:space="preserve">Government </w:t>
      </w:r>
      <w:r w:rsidRPr="00304DAC">
        <w:t>introduce</w:t>
      </w:r>
      <w:r w:rsidR="00F41FA3" w:rsidRPr="00304DAC">
        <w:t>d</w:t>
      </w:r>
      <w:r w:rsidRPr="00304DAC">
        <w:t xml:space="preserve"> cost recovery arrangements for selected regulatory activities under the </w:t>
      </w:r>
      <w:r w:rsidRPr="00477E57">
        <w:t>EPBC</w:t>
      </w:r>
      <w:r w:rsidRPr="00304DAC">
        <w:t> Act, including environmental impact assessments and some strategic assessments</w:t>
      </w:r>
      <w:r w:rsidRPr="00477E57">
        <w:t xml:space="preserve">. </w:t>
      </w:r>
      <w:r w:rsidR="00497C18" w:rsidRPr="00477E57">
        <w:t>DoEE states</w:t>
      </w:r>
      <w:r w:rsidR="00497C18">
        <w:t xml:space="preserve"> that fee exemptions are available for most individuals or small businesses with an aggregated turnover of less than $10 million per year. There is a need to better understand the specific nature of </w:t>
      </w:r>
      <w:r w:rsidR="00AE5899">
        <w:t xml:space="preserve">farmer </w:t>
      </w:r>
      <w:r w:rsidR="00497C18">
        <w:t xml:space="preserve">concerns about the time and cost implications of </w:t>
      </w:r>
      <w:r w:rsidR="004C4906">
        <w:t xml:space="preserve">seeking and gaining approvals </w:t>
      </w:r>
      <w:r w:rsidR="00497C18">
        <w:t xml:space="preserve">(see Section 2.4). </w:t>
      </w:r>
    </w:p>
    <w:p w14:paraId="3122D8D4" w14:textId="71F47CCE" w:rsidR="00FA1FAE" w:rsidRDefault="00816B09" w:rsidP="00803499">
      <w:r>
        <w:t xml:space="preserve">It is also possible that </w:t>
      </w:r>
      <w:r w:rsidR="00520E86">
        <w:t>farmers</w:t>
      </w:r>
      <w:r>
        <w:t xml:space="preserve"> are not </w:t>
      </w:r>
      <w:r w:rsidR="0038376F">
        <w:t>aware of</w:t>
      </w:r>
      <w:r w:rsidR="00FA1FAE">
        <w:t xml:space="preserve"> the financial benefits that may</w:t>
      </w:r>
      <w:r w:rsidR="0038376F">
        <w:t>, in theory at least,</w:t>
      </w:r>
      <w:r w:rsidR="00FA1FAE">
        <w:t xml:space="preserve"> flow from fulfilment of their responsibilities under the EPBC Act. Having a MNES on your property – for example, a threatened ecological community or species – can </w:t>
      </w:r>
      <w:r w:rsidR="0038376F">
        <w:t xml:space="preserve">potentially </w:t>
      </w:r>
      <w:r w:rsidR="00FA1FAE">
        <w:t xml:space="preserve">be a source of income if you are able to negotiate with project proponents to have this MNES classified as an </w:t>
      </w:r>
      <w:r w:rsidR="00FA1FAE" w:rsidRPr="00D51A9F">
        <w:rPr>
          <w:b/>
        </w:rPr>
        <w:t>environmental o</w:t>
      </w:r>
      <w:r w:rsidR="009663BF" w:rsidRPr="00D51A9F">
        <w:rPr>
          <w:b/>
        </w:rPr>
        <w:t>ffset</w:t>
      </w:r>
      <w:r w:rsidR="00FA1FAE">
        <w:t xml:space="preserve"> in future</w:t>
      </w:r>
      <w:r w:rsidR="0038376F">
        <w:t xml:space="preserve">. </w:t>
      </w:r>
      <w:r w:rsidR="00FA1FAE">
        <w:t xml:space="preserve">The payment and income structure </w:t>
      </w:r>
      <w:r w:rsidR="00135970">
        <w:t>are</w:t>
      </w:r>
      <w:r w:rsidR="00FA1FAE">
        <w:t xml:space="preserve"> negotiated directly between </w:t>
      </w:r>
      <w:r w:rsidR="00A20A92">
        <w:t xml:space="preserve">the </w:t>
      </w:r>
      <w:r w:rsidR="004342FA">
        <w:t xml:space="preserve">farmer </w:t>
      </w:r>
      <w:r w:rsidR="00FA1FAE">
        <w:t>and the project proponent (e.g. a property developer seeking an offset for MNES impacted by new urban development on the fringes of a city).</w:t>
      </w:r>
      <w:r w:rsidR="00A77DE9">
        <w:t xml:space="preserve"> </w:t>
      </w:r>
      <w:r w:rsidR="00A77DE9" w:rsidRPr="00A77DE9">
        <w:t xml:space="preserve">For example, a landowner </w:t>
      </w:r>
      <w:r w:rsidR="00E37FFA">
        <w:t xml:space="preserve">on </w:t>
      </w:r>
      <w:r w:rsidR="00A77DE9" w:rsidRPr="00A77DE9">
        <w:t>a 220</w:t>
      </w:r>
      <w:r w:rsidR="00304DAC">
        <w:t>-</w:t>
      </w:r>
      <w:r w:rsidR="00A77DE9" w:rsidRPr="00A77DE9">
        <w:t>h</w:t>
      </w:r>
      <w:r w:rsidR="00E37FFA">
        <w:t>ect</w:t>
      </w:r>
      <w:r w:rsidR="00A77DE9" w:rsidRPr="00A77DE9">
        <w:t>a</w:t>
      </w:r>
      <w:r w:rsidR="00E37FFA">
        <w:t>re</w:t>
      </w:r>
      <w:r w:rsidR="00A77DE9" w:rsidRPr="00A77DE9">
        <w:t xml:space="preserve"> property in Victoria agreed to covenant 100</w:t>
      </w:r>
      <w:r w:rsidR="00477E57">
        <w:t xml:space="preserve"> </w:t>
      </w:r>
      <w:r w:rsidR="00A77DE9" w:rsidRPr="00A77DE9">
        <w:t>h</w:t>
      </w:r>
      <w:r w:rsidR="00477E57">
        <w:t>ect</w:t>
      </w:r>
      <w:r w:rsidR="00A77DE9" w:rsidRPr="00A77DE9">
        <w:t>a</w:t>
      </w:r>
      <w:r w:rsidR="00477E57">
        <w:t>res of</w:t>
      </w:r>
      <w:r w:rsidR="00A77DE9" w:rsidRPr="00A77DE9">
        <w:t xml:space="preserve"> their property as an offset site. Ongoing funding was provided by </w:t>
      </w:r>
      <w:r w:rsidR="00477E57">
        <w:t xml:space="preserve">an </w:t>
      </w:r>
      <w:r w:rsidR="00A77DE9">
        <w:t>EPBC approval holder</w:t>
      </w:r>
      <w:r w:rsidR="00A77DE9" w:rsidRPr="00A77DE9">
        <w:t xml:space="preserve"> to the </w:t>
      </w:r>
      <w:r w:rsidR="00A77DE9">
        <w:t>landowner</w:t>
      </w:r>
      <w:r w:rsidR="00A77DE9" w:rsidRPr="00A77DE9">
        <w:t xml:space="preserve"> for activities such as ecological monitoring and weed control. In addition, the landowner has been able to continue using the offset site for rotational sheep grazing, as this is an appropriate tool for managing biomass for the relevant species</w:t>
      </w:r>
      <w:r w:rsidR="00477E57">
        <w:t>/</w:t>
      </w:r>
      <w:r w:rsidR="00A77DE9" w:rsidRPr="00A77DE9">
        <w:t>ecological community.</w:t>
      </w:r>
      <w:r w:rsidR="0003484F">
        <w:t xml:space="preserve"> It is not yet clear to the independent reviewer how common such arrangements are in the agriculture sector under the EPBC Act.</w:t>
      </w:r>
    </w:p>
    <w:p w14:paraId="13662407" w14:textId="4E957B7E" w:rsidR="00FA1FAE" w:rsidRPr="00803499" w:rsidRDefault="00FA1FAE" w:rsidP="00803499">
      <w:r>
        <w:t xml:space="preserve">The independent review will seek to better understand how </w:t>
      </w:r>
      <w:r w:rsidR="004342FA">
        <w:t xml:space="preserve">farmers </w:t>
      </w:r>
      <w:r>
        <w:t>and industry groups view the time and cost implications of fulfilling their obligations under the EPBC Act, and how they leverage (or do not leverage) MNES on their properties as offsets. Options for improved communication and streamlining of regulatory processes will be considered.</w:t>
      </w:r>
    </w:p>
    <w:p w14:paraId="774CA91A" w14:textId="47CE10ED" w:rsidR="00803499" w:rsidRDefault="00803499" w:rsidP="00803499">
      <w:pPr>
        <w:pStyle w:val="Heading2"/>
      </w:pPr>
      <w:bookmarkStart w:id="9" w:name="_Toc513114760"/>
      <w:r>
        <w:t>Possible impacts of the listing process for threatened species and ecological communities</w:t>
      </w:r>
      <w:bookmarkEnd w:id="9"/>
    </w:p>
    <w:p w14:paraId="476C4264" w14:textId="3590080C" w:rsidR="00803499" w:rsidRDefault="003A5345" w:rsidP="00803499">
      <w:r>
        <w:t xml:space="preserve">The referral, assessment and approval requirements of the EPBC Act relate to matters of national environmental significance. In the case of agricultural </w:t>
      </w:r>
      <w:r w:rsidR="00572281">
        <w:t xml:space="preserve">activity or </w:t>
      </w:r>
      <w:r>
        <w:t xml:space="preserve">development, the principal MNES likely to be significantly impacted by development actions </w:t>
      </w:r>
      <w:r w:rsidRPr="00477E57">
        <w:t xml:space="preserve">are </w:t>
      </w:r>
      <w:r w:rsidR="00766F41" w:rsidRPr="00477E57">
        <w:t>Ramsar (wetland) sites,</w:t>
      </w:r>
      <w:r w:rsidR="00766F41">
        <w:t xml:space="preserve"> </w:t>
      </w:r>
      <w:r w:rsidRPr="00A57778">
        <w:t>nationally threatened species and</w:t>
      </w:r>
      <w:r w:rsidRPr="00582332">
        <w:rPr>
          <w:b/>
        </w:rPr>
        <w:t xml:space="preserve"> ecological communities</w:t>
      </w:r>
      <w:r>
        <w:t xml:space="preserve">. These </w:t>
      </w:r>
      <w:r w:rsidR="00665E35">
        <w:t xml:space="preserve">species and communities </w:t>
      </w:r>
      <w:r>
        <w:t xml:space="preserve">are listed </w:t>
      </w:r>
      <w:r w:rsidR="00665E35">
        <w:t xml:space="preserve">through a process </w:t>
      </w:r>
      <w:r w:rsidR="00BE4405">
        <w:t xml:space="preserve">set out in </w:t>
      </w:r>
      <w:r w:rsidR="00665E35">
        <w:t>the EPBC Act. The list</w:t>
      </w:r>
      <w:r w:rsidR="008B07E5">
        <w:t>s</w:t>
      </w:r>
      <w:r w:rsidR="00665E35">
        <w:t xml:space="preserve"> (which </w:t>
      </w:r>
      <w:r w:rsidR="008B07E5">
        <w:t xml:space="preserve">group species and ecological communities into categories such as ‘threatened’, ‘endangered’ and ‘critically endangered’) are able to be revised </w:t>
      </w:r>
      <w:r w:rsidR="00BE4405">
        <w:t xml:space="preserve">by the </w:t>
      </w:r>
      <w:r w:rsidR="009D54AB">
        <w:t xml:space="preserve">Commonwealth Environment </w:t>
      </w:r>
      <w:r w:rsidR="00BE4405">
        <w:t>Minister at</w:t>
      </w:r>
      <w:r w:rsidR="008B07E5">
        <w:t xml:space="preserve"> the recommendation of </w:t>
      </w:r>
      <w:r w:rsidR="00474FA5">
        <w:t xml:space="preserve">the </w:t>
      </w:r>
      <w:r w:rsidR="009D54AB">
        <w:t>T</w:t>
      </w:r>
      <w:r w:rsidR="00474FA5">
        <w:t xml:space="preserve">hreatened </w:t>
      </w:r>
      <w:r w:rsidR="009D54AB">
        <w:t>S</w:t>
      </w:r>
      <w:r w:rsidR="00572EE3">
        <w:t>pecies</w:t>
      </w:r>
      <w:r w:rsidR="008B07E5">
        <w:t xml:space="preserve"> </w:t>
      </w:r>
      <w:r w:rsidR="009D54AB">
        <w:t>S</w:t>
      </w:r>
      <w:r w:rsidR="008B07E5">
        <w:t xml:space="preserve">cientific </w:t>
      </w:r>
      <w:r w:rsidR="009D54AB">
        <w:t>C</w:t>
      </w:r>
      <w:r w:rsidR="008B07E5">
        <w:t>ommittee and in response to nominations</w:t>
      </w:r>
      <w:r w:rsidR="00BE4405">
        <w:t>, including those</w:t>
      </w:r>
      <w:r w:rsidR="008B07E5">
        <w:t xml:space="preserve"> made by any member of the public.</w:t>
      </w:r>
    </w:p>
    <w:p w14:paraId="0A02420D" w14:textId="5C5036C0" w:rsidR="008B07E5" w:rsidRDefault="008B07E5" w:rsidP="00803499">
      <w:r>
        <w:t xml:space="preserve">Some </w:t>
      </w:r>
      <w:r w:rsidR="00BE4405">
        <w:t>farmers</w:t>
      </w:r>
      <w:r>
        <w:t xml:space="preserve"> are concerned that the listing process for threatened species and ecological communities creates uncertainty as lists change over time. For example, at present, some </w:t>
      </w:r>
      <w:r w:rsidR="0038376F">
        <w:t xml:space="preserve">farmers </w:t>
      </w:r>
      <w:r>
        <w:t xml:space="preserve">are discussing their concerns with DoEE in relation to the </w:t>
      </w:r>
      <w:r w:rsidR="000C1FD9">
        <w:t xml:space="preserve">2016 revision to the status of the ‘Natural Temperate Grassland of the South Eastern Highlands’ ecological community. There is a perception among some </w:t>
      </w:r>
      <w:r w:rsidR="0038376F">
        <w:t xml:space="preserve">farmers and industry groups </w:t>
      </w:r>
      <w:r w:rsidR="000C1FD9">
        <w:t xml:space="preserve">that the implications of listing changes such as these are not easily understood by </w:t>
      </w:r>
      <w:r w:rsidR="004342FA">
        <w:t xml:space="preserve">farmers </w:t>
      </w:r>
      <w:r w:rsidR="000C1FD9">
        <w:t xml:space="preserve">and that related conservation advice is difficult to apply and may not advance the objectives of the listing itself. Sometimes, </w:t>
      </w:r>
      <w:r w:rsidR="000C1FD9" w:rsidRPr="00D51A9F">
        <w:rPr>
          <w:b/>
        </w:rPr>
        <w:t>condition thresholds</w:t>
      </w:r>
      <w:r w:rsidR="000C1FD9">
        <w:t xml:space="preserve"> (which are </w:t>
      </w:r>
      <w:r w:rsidR="000C1FD9" w:rsidRPr="000C1FD9">
        <w:t>intended to focus national legal protection on patches or occurrences of a</w:t>
      </w:r>
      <w:r w:rsidR="000C1FD9">
        <w:t xml:space="preserve"> threatened ecological community</w:t>
      </w:r>
      <w:r w:rsidR="000C1FD9" w:rsidRPr="000C1FD9">
        <w:t xml:space="preserve"> that are functional, relatively natural and in relatively good condition</w:t>
      </w:r>
      <w:r w:rsidR="000C1FD9">
        <w:t xml:space="preserve">) </w:t>
      </w:r>
      <w:r w:rsidR="00A3070D">
        <w:t xml:space="preserve">have caused confusion and concern among </w:t>
      </w:r>
      <w:r w:rsidR="0038376F">
        <w:t xml:space="preserve">farmers </w:t>
      </w:r>
      <w:r w:rsidR="00A3070D">
        <w:t>seeking to understand how these will be applied in practice.</w:t>
      </w:r>
      <w:r w:rsidR="00C02AB9">
        <w:t xml:space="preserve"> Additionally, industry groups seem concerned by the entity reviewing a listing being the same as the entity which made the initial listing or upgrade recommendation.</w:t>
      </w:r>
    </w:p>
    <w:p w14:paraId="04D7F7CD" w14:textId="7769AD07" w:rsidR="00766F41" w:rsidRDefault="00477E57" w:rsidP="00803499">
      <w:r>
        <w:t>In the case of the ‘Natural Temperate Grassland of the South Eastern Highlands’ ecological community, t</w:t>
      </w:r>
      <w:r w:rsidR="00766F41" w:rsidRPr="00477E57">
        <w:t>he 2016 revised listing focused protection on the best examples of remnant grassland, by introducing condition thresholds to exclude areas of lowe</w:t>
      </w:r>
      <w:r>
        <w:t>r</w:t>
      </w:r>
      <w:r w:rsidR="00766F41" w:rsidRPr="00477E57">
        <w:t xml:space="preserve"> quality, and hence reduce the potential area</w:t>
      </w:r>
      <w:r w:rsidR="00766F41" w:rsidRPr="00572281">
        <w:t xml:space="preserve"> subject to the EPBC Act in the Monaro region. As for other ecological community listings, these condition thresholds were introduced primarily to provide more certainty for landholders about when the listed grassland is present and to explicitly exclude are</w:t>
      </w:r>
      <w:r w:rsidR="00766F41" w:rsidRPr="00304DAC">
        <w:t xml:space="preserve">as of farmland that are of less significant conservation value. However, </w:t>
      </w:r>
      <w:r>
        <w:t xml:space="preserve">there is evidence that </w:t>
      </w:r>
      <w:r w:rsidR="00766F41" w:rsidRPr="00477E57">
        <w:t>the new condition thresholds have been confused by some people with thresholds for significant impact (see Section</w:t>
      </w:r>
      <w:r>
        <w:t xml:space="preserve"> 2.4</w:t>
      </w:r>
      <w:r w:rsidR="00766F41" w:rsidRPr="00477E57">
        <w:t xml:space="preserve">). Condition thresholds are welcomed by some </w:t>
      </w:r>
      <w:r>
        <w:t>stakeholders</w:t>
      </w:r>
      <w:r w:rsidR="00766F41" w:rsidRPr="00477E57">
        <w:t xml:space="preserve">, who are looking for certainty around when an EPBC matter is present, but the Monaro </w:t>
      </w:r>
      <w:r>
        <w:t xml:space="preserve">example </w:t>
      </w:r>
      <w:r w:rsidR="00766F41" w:rsidRPr="00477E57">
        <w:t xml:space="preserve">also highlights that it can be difficult for some </w:t>
      </w:r>
      <w:r>
        <w:t>farmers</w:t>
      </w:r>
      <w:r w:rsidR="00766F41" w:rsidRPr="00477E57">
        <w:t xml:space="preserve"> to identify when they may have an area </w:t>
      </w:r>
      <w:r>
        <w:t xml:space="preserve">on their property </w:t>
      </w:r>
      <w:r w:rsidR="00766F41" w:rsidRPr="00477E57">
        <w:t xml:space="preserve">that is subject to the EPBC Act as a threatened ecological community or as threatened species habitat. </w:t>
      </w:r>
      <w:r>
        <w:t>D</w:t>
      </w:r>
      <w:r w:rsidR="00766F41" w:rsidRPr="00477E57">
        <w:t>etermining whether the EPBC Act applies to a particular activity due to the continuing</w:t>
      </w:r>
      <w:r>
        <w:t xml:space="preserve"> </w:t>
      </w:r>
      <w:r w:rsidR="00766F41" w:rsidRPr="00477E57">
        <w:t xml:space="preserve">use exemption or significant impact considerations can also be </w:t>
      </w:r>
      <w:r w:rsidR="00766F41" w:rsidRPr="00572281">
        <w:t>difficult.</w:t>
      </w:r>
    </w:p>
    <w:p w14:paraId="1CA86D9E" w14:textId="578101B4" w:rsidR="000C1FD9" w:rsidRPr="00803499" w:rsidRDefault="000C1FD9" w:rsidP="00803499">
      <w:r>
        <w:t xml:space="preserve">The independent review will seek to better understand </w:t>
      </w:r>
      <w:r w:rsidR="004342FA">
        <w:t xml:space="preserve">farmer </w:t>
      </w:r>
      <w:r>
        <w:t xml:space="preserve">and industry group concerns in relation to listing processes and outcomes, and </w:t>
      </w:r>
      <w:r w:rsidR="000F65AB">
        <w:t>pu</w:t>
      </w:r>
      <w:r w:rsidR="00BE4405">
        <w:t>r</w:t>
      </w:r>
      <w:r w:rsidR="000F65AB">
        <w:t>sue</w:t>
      </w:r>
      <w:r w:rsidR="00BE4405">
        <w:t xml:space="preserve"> suggestions </w:t>
      </w:r>
      <w:r>
        <w:t xml:space="preserve">for </w:t>
      </w:r>
      <w:r w:rsidR="00BE4405">
        <w:t xml:space="preserve">how to </w:t>
      </w:r>
      <w:r>
        <w:t>ensur</w:t>
      </w:r>
      <w:r w:rsidR="00BE4405">
        <w:t>e</w:t>
      </w:r>
      <w:r>
        <w:t xml:space="preserve"> that</w:t>
      </w:r>
      <w:r w:rsidR="000469EA">
        <w:t xml:space="preserve"> clear and</w:t>
      </w:r>
      <w:r>
        <w:t xml:space="preserve"> relevant information </w:t>
      </w:r>
      <w:r w:rsidR="000469EA">
        <w:t xml:space="preserve">is </w:t>
      </w:r>
      <w:r>
        <w:t xml:space="preserve">available to, and discussed with, potentially affected </w:t>
      </w:r>
      <w:r w:rsidR="004342FA">
        <w:t>farmers</w:t>
      </w:r>
      <w:r>
        <w:t>.</w:t>
      </w:r>
    </w:p>
    <w:p w14:paraId="3961C345" w14:textId="56D5BA76" w:rsidR="00803499" w:rsidRPr="00C86C40" w:rsidRDefault="00803499" w:rsidP="00803499">
      <w:pPr>
        <w:pStyle w:val="Heading2"/>
      </w:pPr>
      <w:bookmarkStart w:id="10" w:name="_Toc513114761"/>
      <w:r w:rsidRPr="00C86C40">
        <w:t>Determining how ‘significant’ an impact is as part of a risk-based approach</w:t>
      </w:r>
      <w:bookmarkEnd w:id="10"/>
    </w:p>
    <w:p w14:paraId="605F28A4" w14:textId="09706E53" w:rsidR="00803499" w:rsidRDefault="00D51A9F" w:rsidP="00803499">
      <w:r>
        <w:t xml:space="preserve">The threshold for whether or not an agricultural development triggers </w:t>
      </w:r>
      <w:r w:rsidR="00BE4405">
        <w:t>the EPBC Act</w:t>
      </w:r>
      <w:r>
        <w:t xml:space="preserve">, and associated </w:t>
      </w:r>
      <w:r w:rsidR="004342FA">
        <w:t xml:space="preserve">farmer </w:t>
      </w:r>
      <w:r>
        <w:t>obligations, is the significance of the likely impact of that development</w:t>
      </w:r>
      <w:r w:rsidR="009D54AB">
        <w:t xml:space="preserve"> on a MNES</w:t>
      </w:r>
      <w:r>
        <w:t xml:space="preserve">. </w:t>
      </w:r>
      <w:r w:rsidR="007A20DF">
        <w:t>‘</w:t>
      </w:r>
      <w:r w:rsidR="007A20DF" w:rsidRPr="00304DAC">
        <w:rPr>
          <w:b/>
        </w:rPr>
        <w:t>Significant impact</w:t>
      </w:r>
      <w:r w:rsidR="007A20DF" w:rsidRPr="007A20DF">
        <w:t>’ is used in the EPBC Act to determine when an action must be referred to the Commonwealth Environment Minister</w:t>
      </w:r>
      <w:r w:rsidR="007A20DF">
        <w:t>. Actions not requiring referral under the EPBC Act include those that are routine land management activities, are ongoing activities commenced prior to July 2000 (i.e. ‘continuing use’) or are activities that received all required environmental authorisations prior to July 2000.</w:t>
      </w:r>
      <w:r w:rsidR="007A20DF" w:rsidRPr="007A20DF">
        <w:t xml:space="preserve"> </w:t>
      </w:r>
      <w:r w:rsidR="007A20DF">
        <w:t>A</w:t>
      </w:r>
      <w:r w:rsidR="0004588C">
        <w:t xml:space="preserve">s a </w:t>
      </w:r>
      <w:r w:rsidR="004342FA">
        <w:t>farmer</w:t>
      </w:r>
      <w:r w:rsidR="0004588C">
        <w:t xml:space="preserve">, making an assessment of how significant the impact of undertaking new, expanded or intensified agricultural development is likely to be can be difficult. In general, a significant impact is something that can affect the overall health and survival of a MNES. In the case of agricultural developments, this usually means a threatened species or ecological community. Significance </w:t>
      </w:r>
      <w:r w:rsidR="009D54AB">
        <w:t xml:space="preserve">generally </w:t>
      </w:r>
      <w:r w:rsidR="0004588C">
        <w:t>only takes into account impacts on whole populations (not individual animals or birds, for example) and considers:</w:t>
      </w:r>
    </w:p>
    <w:p w14:paraId="3CEFA7D5" w14:textId="5225D156" w:rsidR="0004588C" w:rsidRDefault="0004588C" w:rsidP="0004588C">
      <w:pPr>
        <w:pStyle w:val="Bullet"/>
      </w:pPr>
      <w:r>
        <w:t>Status of the protected matter (example: is the species threatened, endangered or critically endangered</w:t>
      </w:r>
      <w:r w:rsidR="009D54AB">
        <w:t xml:space="preserve"> under the EPBC Act</w:t>
      </w:r>
      <w:r>
        <w:t>?)</w:t>
      </w:r>
    </w:p>
    <w:p w14:paraId="3A44F1C2" w14:textId="197978AB" w:rsidR="0004588C" w:rsidRDefault="0004588C" w:rsidP="0004588C">
      <w:pPr>
        <w:pStyle w:val="Bullet"/>
      </w:pPr>
      <w:r>
        <w:t>Intensity (example: does the development involve targeted weed control or land clearing?)</w:t>
      </w:r>
    </w:p>
    <w:p w14:paraId="231674F2" w14:textId="3987C89F" w:rsidR="0004588C" w:rsidRDefault="0004588C" w:rsidP="0004588C">
      <w:pPr>
        <w:pStyle w:val="Bullet"/>
      </w:pPr>
      <w:r>
        <w:t>Extent (example: is the area to be developed a single hectare or a hundred hectares?)</w:t>
      </w:r>
    </w:p>
    <w:p w14:paraId="29284857" w14:textId="44E01B6F" w:rsidR="0004588C" w:rsidRDefault="0004588C" w:rsidP="0004588C">
      <w:pPr>
        <w:pStyle w:val="Bullet"/>
      </w:pPr>
      <w:r>
        <w:t xml:space="preserve">Duration (example: will the </w:t>
      </w:r>
      <w:r w:rsidR="00C47263">
        <w:t>species or ecological communities likely</w:t>
      </w:r>
      <w:r>
        <w:t xml:space="preserve"> </w:t>
      </w:r>
      <w:r w:rsidR="00C47263">
        <w:t>affected by the development be temporarily affected or permanently and irreversibly affected?)</w:t>
      </w:r>
    </w:p>
    <w:p w14:paraId="33A05DFF" w14:textId="01EAE954" w:rsidR="009663BF" w:rsidRDefault="0004588C" w:rsidP="00803499">
      <w:r>
        <w:t xml:space="preserve">Some </w:t>
      </w:r>
      <w:r w:rsidR="00520E86">
        <w:t>farmers</w:t>
      </w:r>
      <w:r>
        <w:t xml:space="preserve"> are concerned that significance is hard to determine and </w:t>
      </w:r>
      <w:r w:rsidR="00C47263">
        <w:t>worry that actions perceived to be low-impact in nature (e.g. felling of individual p</w:t>
      </w:r>
      <w:r w:rsidR="009663BF">
        <w:t>addock trees</w:t>
      </w:r>
      <w:r w:rsidR="00C47263">
        <w:t xml:space="preserve">) may require extensive scientific assessment and bureaucratic process </w:t>
      </w:r>
      <w:r w:rsidR="00605B80">
        <w:t xml:space="preserve">to ensure compliance with the EPBC Act. DoEE is currently working to improve clarity around the specific issue of paddock tree management, including by providing </w:t>
      </w:r>
      <w:r w:rsidR="00BE4405">
        <w:t xml:space="preserve">guidance when the clearing </w:t>
      </w:r>
      <w:r w:rsidR="00605B80">
        <w:t xml:space="preserve">of paddock trees </w:t>
      </w:r>
      <w:r w:rsidR="00BE4405">
        <w:t>would not trigger the EPBC Act</w:t>
      </w:r>
      <w:r w:rsidR="00605B80">
        <w:t>.</w:t>
      </w:r>
    </w:p>
    <w:p w14:paraId="3363C670" w14:textId="77777777" w:rsidR="00DA54B1" w:rsidRDefault="005B7032" w:rsidP="00803499">
      <w:r>
        <w:t xml:space="preserve">Another tool available to the Australian Government under the EPBC Act, which can be used to facilitate a risk-based approach to considering impacts on MNES, is the </w:t>
      </w:r>
      <w:r w:rsidRPr="00582332">
        <w:rPr>
          <w:b/>
        </w:rPr>
        <w:t>strategic assessment</w:t>
      </w:r>
      <w:r>
        <w:t xml:space="preserve">. Strategic assessments </w:t>
      </w:r>
      <w:r w:rsidRPr="005B7032">
        <w:t>are landscape scale assessments</w:t>
      </w:r>
      <w:r>
        <w:t>. U</w:t>
      </w:r>
      <w:r w:rsidRPr="005B7032">
        <w:t>nlike project-by-project assessments, which look at individual actions, they can consider a much broader set of actions</w:t>
      </w:r>
      <w:r>
        <w:t>, such as a</w:t>
      </w:r>
      <w:r w:rsidRPr="005B7032">
        <w:t xml:space="preserve"> large urban growth area that will be developed over many years.</w:t>
      </w:r>
      <w:r>
        <w:t xml:space="preserve"> </w:t>
      </w:r>
    </w:p>
    <w:p w14:paraId="03DE1C2B" w14:textId="1506AB6F" w:rsidR="005B7032" w:rsidRDefault="005B7032" w:rsidP="00803499">
      <w:r>
        <w:t xml:space="preserve">Some </w:t>
      </w:r>
      <w:r w:rsidR="00520E86">
        <w:t>farmers</w:t>
      </w:r>
      <w:r>
        <w:t xml:space="preserve"> believe that strategic assessments should often be undertaken in preference to individual project assessments for agricultural developments, as they are more suited to the breadth and nature of the impacts often associated with agricultural development.</w:t>
      </w:r>
      <w:r w:rsidR="00F643A2">
        <w:t xml:space="preserve"> However, strategic assessments are costly and need </w:t>
      </w:r>
      <w:r w:rsidR="000469EA">
        <w:t xml:space="preserve">to be </w:t>
      </w:r>
      <w:r w:rsidR="00DA54B1">
        <w:t xml:space="preserve">led </w:t>
      </w:r>
      <w:r w:rsidR="000469EA">
        <w:t>by a</w:t>
      </w:r>
      <w:r w:rsidR="00572EE3">
        <w:t>n authority</w:t>
      </w:r>
      <w:r w:rsidR="000469EA">
        <w:t xml:space="preserve"> responsible </w:t>
      </w:r>
      <w:r w:rsidR="009D54AB">
        <w:t xml:space="preserve">(such as a state or territory government or industry body) </w:t>
      </w:r>
      <w:r w:rsidR="000469EA">
        <w:t xml:space="preserve">for the adoption </w:t>
      </w:r>
      <w:r w:rsidR="00DA54B1">
        <w:t xml:space="preserve">and </w:t>
      </w:r>
      <w:r w:rsidR="000469EA">
        <w:t xml:space="preserve">implementation of the policy, </w:t>
      </w:r>
      <w:r w:rsidR="00F643A2">
        <w:t>plan</w:t>
      </w:r>
      <w:r w:rsidR="000469EA">
        <w:t xml:space="preserve"> </w:t>
      </w:r>
      <w:r w:rsidR="00F643A2">
        <w:t xml:space="preserve">or program </w:t>
      </w:r>
      <w:r w:rsidR="00DA54B1">
        <w:t>that would oversee the approved agricultural actions.</w:t>
      </w:r>
    </w:p>
    <w:p w14:paraId="3C709123" w14:textId="729EB290" w:rsidR="00605B80" w:rsidRPr="00803499" w:rsidRDefault="00B432A6" w:rsidP="00803499">
      <w:r>
        <w:t xml:space="preserve">The independent review will seek to better understand how </w:t>
      </w:r>
      <w:r w:rsidR="004342FA">
        <w:t xml:space="preserve">farmers </w:t>
      </w:r>
      <w:r>
        <w:t xml:space="preserve">are assessing the significance of proposed agricultural developments and how they are engaging with and interpreting available advice from DoEE and others. Options for closing the gap between the scientific nature of available conservation advice and the on-ground experiences of individual </w:t>
      </w:r>
      <w:r w:rsidR="004342FA">
        <w:t xml:space="preserve">farmers </w:t>
      </w:r>
      <w:r>
        <w:t>will be considered</w:t>
      </w:r>
      <w:r w:rsidR="00855F8B">
        <w:t>, as will options for increased use of the strategic assessment mechanism</w:t>
      </w:r>
      <w:r>
        <w:t>.</w:t>
      </w:r>
    </w:p>
    <w:p w14:paraId="718C65CD" w14:textId="1D5A0B37" w:rsidR="00B201D9" w:rsidRDefault="00803499" w:rsidP="00803499">
      <w:pPr>
        <w:pStyle w:val="Heading2"/>
      </w:pPr>
      <w:bookmarkStart w:id="11" w:name="_Toc513114762"/>
      <w:r>
        <w:t xml:space="preserve">Alignment between </w:t>
      </w:r>
      <w:r w:rsidR="00280823">
        <w:t>S</w:t>
      </w:r>
      <w:r>
        <w:t xml:space="preserve">tate and </w:t>
      </w:r>
      <w:r w:rsidR="00280823">
        <w:t>Commonwealth</w:t>
      </w:r>
      <w:r>
        <w:t xml:space="preserve"> law</w:t>
      </w:r>
      <w:bookmarkEnd w:id="11"/>
    </w:p>
    <w:p w14:paraId="4608DC91" w14:textId="553713C3" w:rsidR="00F41FA3" w:rsidRDefault="00280823" w:rsidP="00862EEA">
      <w:r>
        <w:t>The EPBC Act is Commonwealth legislation, but management of native vegetation is primarily the responsibility of State</w:t>
      </w:r>
      <w:r w:rsidR="003968CD">
        <w:t xml:space="preserve"> and </w:t>
      </w:r>
      <w:r>
        <w:t xml:space="preserve">Territory </w:t>
      </w:r>
      <w:r w:rsidR="003968CD">
        <w:t xml:space="preserve">or local </w:t>
      </w:r>
      <w:r>
        <w:t xml:space="preserve">governments. </w:t>
      </w:r>
      <w:r w:rsidR="00B772D9">
        <w:t xml:space="preserve">Some </w:t>
      </w:r>
      <w:r w:rsidR="00520E86">
        <w:t>farmers</w:t>
      </w:r>
      <w:r w:rsidR="00B772D9">
        <w:t xml:space="preserve"> are frustrated </w:t>
      </w:r>
      <w:r w:rsidR="00F643A2">
        <w:t>by poor</w:t>
      </w:r>
      <w:r w:rsidR="00B772D9">
        <w:t xml:space="preserve"> coordination between Commonwealth and State regulatory authorities in the provision of conservation advice and approvals for </w:t>
      </w:r>
      <w:r w:rsidR="004342FA">
        <w:t>farmers</w:t>
      </w:r>
      <w:r w:rsidR="00B772D9">
        <w:t>.</w:t>
      </w:r>
      <w:r w:rsidR="00862EEA">
        <w:t xml:space="preserve"> Significant effort has been expended in recent years to make progress on this front. </w:t>
      </w:r>
      <w:r w:rsidR="00862EEA" w:rsidRPr="00862EEA">
        <w:rPr>
          <w:b/>
        </w:rPr>
        <w:t>Assessment bilateral agreements</w:t>
      </w:r>
      <w:r w:rsidR="00862EEA">
        <w:t xml:space="preserve">, which </w:t>
      </w:r>
      <w:r w:rsidR="00A825FC" w:rsidRPr="00A825FC">
        <w:t xml:space="preserve">provide for a single environmental assessment process conducted by </w:t>
      </w:r>
      <w:r w:rsidR="00A825FC">
        <w:t>a</w:t>
      </w:r>
      <w:r w:rsidR="00A825FC" w:rsidRPr="00A825FC">
        <w:t xml:space="preserve"> </w:t>
      </w:r>
      <w:r w:rsidR="00A825FC">
        <w:t>S</w:t>
      </w:r>
      <w:r w:rsidR="00A825FC" w:rsidRPr="00A825FC">
        <w:t>tate</w:t>
      </w:r>
      <w:r w:rsidR="00A825FC">
        <w:t xml:space="preserve"> or Territory government, resulting in</w:t>
      </w:r>
      <w:r w:rsidR="00A825FC" w:rsidRPr="00A825FC">
        <w:t xml:space="preserve"> a report to the Australian Government assessing the likely impacts of </w:t>
      </w:r>
      <w:r w:rsidR="00A825FC">
        <w:t>an action on MNES</w:t>
      </w:r>
      <w:r w:rsidR="00862EEA">
        <w:t xml:space="preserve">, have been agreed with several States and Territories. </w:t>
      </w:r>
    </w:p>
    <w:p w14:paraId="42400E30" w14:textId="61F0F3C7" w:rsidR="00F41FA3" w:rsidRDefault="00FE20F8" w:rsidP="00862EEA">
      <w:r w:rsidRPr="00304DAC">
        <w:t xml:space="preserve">As at April 2018, </w:t>
      </w:r>
      <w:r w:rsidR="007A20DF" w:rsidRPr="00304DAC">
        <w:t>t</w:t>
      </w:r>
      <w:r w:rsidR="001C648A" w:rsidRPr="00304DAC">
        <w:t xml:space="preserve">he Australian Government and </w:t>
      </w:r>
      <w:r w:rsidRPr="00304DAC">
        <w:t xml:space="preserve">seven </w:t>
      </w:r>
      <w:r w:rsidR="001C648A" w:rsidRPr="00304DAC">
        <w:t xml:space="preserve">State </w:t>
      </w:r>
      <w:r w:rsidRPr="00304DAC">
        <w:t xml:space="preserve">and </w:t>
      </w:r>
      <w:r w:rsidR="001C648A" w:rsidRPr="007A20DF">
        <w:t>Territory Governments</w:t>
      </w:r>
      <w:r w:rsidR="001C648A">
        <w:t xml:space="preserve"> have signed a memorandum of understanding to develop and implement a </w:t>
      </w:r>
      <w:r w:rsidR="001C648A" w:rsidRPr="001C648A">
        <w:rPr>
          <w:b/>
        </w:rPr>
        <w:t>Common Assessment Method</w:t>
      </w:r>
      <w:r w:rsidR="001C648A">
        <w:t xml:space="preserve"> (CAM). A key aim of the CAM is to align listings of threatened species and ecological communities across jurisdictions.</w:t>
      </w:r>
      <w:r w:rsidR="00A825FC">
        <w:t xml:space="preserve"> New South Wales and the Australian Capital Territory have agreed to apply the CAM to ecological communities. </w:t>
      </w:r>
    </w:p>
    <w:p w14:paraId="21A5CD6A" w14:textId="633EE885" w:rsidR="00803499" w:rsidRDefault="007A20DF" w:rsidP="00862EEA">
      <w:r>
        <w:t>Another proposal to streamline interactions between Commonwealth and state and territory systems is a</w:t>
      </w:r>
      <w:r w:rsidR="00A825FC">
        <w:t xml:space="preserve"> One-Stop Shop </w:t>
      </w:r>
      <w:r w:rsidR="00A825FC" w:rsidRPr="00A825FC">
        <w:t>for environmental approvals</w:t>
      </w:r>
      <w:r>
        <w:t>, which</w:t>
      </w:r>
      <w:r w:rsidR="00A825FC" w:rsidRPr="00A825FC">
        <w:t xml:space="preserve"> </w:t>
      </w:r>
      <w:r w:rsidR="000625AE">
        <w:t>would</w:t>
      </w:r>
      <w:r w:rsidR="00A825FC" w:rsidRPr="00A825FC">
        <w:t xml:space="preserve"> accredit state </w:t>
      </w:r>
      <w:r w:rsidR="000625AE">
        <w:t xml:space="preserve">or territory </w:t>
      </w:r>
      <w:r w:rsidR="00A825FC" w:rsidRPr="00A825FC">
        <w:t xml:space="preserve">planning systems under </w:t>
      </w:r>
      <w:r w:rsidR="000469EA">
        <w:t>the EPBC Act</w:t>
      </w:r>
      <w:r w:rsidR="00A825FC" w:rsidRPr="00A825FC">
        <w:t xml:space="preserve"> to create a single environmental assessment and approval process for </w:t>
      </w:r>
      <w:r w:rsidR="000625AE">
        <w:t>MNES</w:t>
      </w:r>
      <w:r w:rsidR="00A825FC">
        <w:t>.</w:t>
      </w:r>
      <w:r w:rsidR="000625AE">
        <w:t xml:space="preserve"> The </w:t>
      </w:r>
      <w:r>
        <w:t xml:space="preserve">establishment of a </w:t>
      </w:r>
      <w:r w:rsidR="000625AE">
        <w:t xml:space="preserve">One-Stop Shop </w:t>
      </w:r>
      <w:r>
        <w:t>is</w:t>
      </w:r>
      <w:r w:rsidR="000625AE">
        <w:t xml:space="preserve"> government policy but has</w:t>
      </w:r>
      <w:r>
        <w:t xml:space="preserve"> not yet</w:t>
      </w:r>
      <w:r w:rsidR="000625AE">
        <w:t xml:space="preserve"> </w:t>
      </w:r>
      <w:r>
        <w:t>received</w:t>
      </w:r>
      <w:r w:rsidR="000625AE">
        <w:t xml:space="preserve"> </w:t>
      </w:r>
      <w:r>
        <w:t xml:space="preserve">the </w:t>
      </w:r>
      <w:r w:rsidR="000625AE">
        <w:t xml:space="preserve">support </w:t>
      </w:r>
      <w:r>
        <w:t>of</w:t>
      </w:r>
      <w:r w:rsidR="000625AE">
        <w:t xml:space="preserve"> the Australian </w:t>
      </w:r>
      <w:r>
        <w:t>G</w:t>
      </w:r>
      <w:r w:rsidR="000625AE">
        <w:t xml:space="preserve">overnment Senate and some </w:t>
      </w:r>
      <w:r>
        <w:t>S</w:t>
      </w:r>
      <w:r w:rsidR="000625AE">
        <w:t xml:space="preserve">tate and </w:t>
      </w:r>
      <w:r>
        <w:t>T</w:t>
      </w:r>
      <w:r w:rsidR="000625AE">
        <w:t xml:space="preserve">erritory governments </w:t>
      </w:r>
      <w:r>
        <w:t xml:space="preserve">that is </w:t>
      </w:r>
      <w:r w:rsidR="000625AE">
        <w:t>required to implement this policy.</w:t>
      </w:r>
    </w:p>
    <w:p w14:paraId="1FFF8264" w14:textId="28132553" w:rsidR="00194FF3" w:rsidRPr="00803499" w:rsidRDefault="00194FF3" w:rsidP="00194FF3">
      <w:r>
        <w:t xml:space="preserve">The independent review will seek to better understand how </w:t>
      </w:r>
      <w:r w:rsidR="004342FA">
        <w:t xml:space="preserve">farmers </w:t>
      </w:r>
      <w:r>
        <w:t xml:space="preserve">are engaging with multiple levels of government in applying for and receiving approvals and participating in assessment processes. </w:t>
      </w:r>
      <w:r w:rsidR="00304DAC">
        <w:t>Practical o</w:t>
      </w:r>
      <w:r>
        <w:t>ptions for improving coordination</w:t>
      </w:r>
      <w:r w:rsidR="00F82790">
        <w:t>, i</w:t>
      </w:r>
      <w:r w:rsidR="00304DAC">
        <w:t>n addition to existing</w:t>
      </w:r>
      <w:r w:rsidR="00F82790">
        <w:t xml:space="preserve"> bilateral </w:t>
      </w:r>
      <w:r w:rsidR="00D54EAB">
        <w:t xml:space="preserve">agreement </w:t>
      </w:r>
      <w:r w:rsidR="00F82790">
        <w:t>processes</w:t>
      </w:r>
      <w:r w:rsidR="00D54EAB">
        <w:t xml:space="preserve"> already in place</w:t>
      </w:r>
      <w:r w:rsidR="00F82790">
        <w:t>,</w:t>
      </w:r>
      <w:r>
        <w:t xml:space="preserve"> will be considered.</w:t>
      </w:r>
    </w:p>
    <w:p w14:paraId="48BAC233" w14:textId="0FFF9083" w:rsidR="00B201D9" w:rsidRDefault="00B201D9" w:rsidP="00B201D9">
      <w:pPr>
        <w:pStyle w:val="Heading1"/>
      </w:pPr>
      <w:bookmarkStart w:id="12" w:name="_Toc513114763"/>
      <w:r>
        <w:t>Key questions for consultations</w:t>
      </w:r>
      <w:bookmarkEnd w:id="12"/>
    </w:p>
    <w:p w14:paraId="5A57A9A3" w14:textId="49F37015" w:rsidR="00B201D9" w:rsidRDefault="00B201D9" w:rsidP="00B201D9">
      <w:r>
        <w:t>T</w:t>
      </w:r>
      <w:r w:rsidR="008D3F89">
        <w:t xml:space="preserve">here are several key questions that will guide consultations with </w:t>
      </w:r>
      <w:r w:rsidR="004342FA">
        <w:t>farmers</w:t>
      </w:r>
      <w:r w:rsidR="008D3F89">
        <w:t>, industry groups and other interested parties</w:t>
      </w:r>
      <w:r w:rsidR="00E63BBB">
        <w:t xml:space="preserve"> during the independent review</w:t>
      </w:r>
      <w:r w:rsidR="008D3F89">
        <w:t>.</w:t>
      </w:r>
      <w:r w:rsidR="00097DEB">
        <w:t xml:space="preserve"> These questions should also be considered by those individuals and organisations seeking to make a public submission to the independent review. Submissions framed around these key questions will </w:t>
      </w:r>
      <w:r w:rsidR="009F2043">
        <w:t xml:space="preserve">assist </w:t>
      </w:r>
      <w:r w:rsidR="00097DEB">
        <w:t>consider</w:t>
      </w:r>
      <w:r w:rsidR="009F2043">
        <w:t xml:space="preserve">ation </w:t>
      </w:r>
      <w:r w:rsidR="00097DEB">
        <w:t>and integrat</w:t>
      </w:r>
      <w:r w:rsidR="009F2043">
        <w:t>ion of</w:t>
      </w:r>
      <w:r w:rsidR="007D0066">
        <w:t xml:space="preserve"> </w:t>
      </w:r>
      <w:r w:rsidR="00097DEB">
        <w:t>ideas and feedback from stakeholders as appr</w:t>
      </w:r>
      <w:r w:rsidR="00607A3E">
        <w:t>o</w:t>
      </w:r>
      <w:r w:rsidR="00097DEB">
        <w:t>priate.</w:t>
      </w:r>
    </w:p>
    <w:p w14:paraId="4D4CCDFB" w14:textId="45DA236D" w:rsidR="00803499" w:rsidRPr="008C1CF1" w:rsidRDefault="00F643A2" w:rsidP="003F36BF">
      <w:pPr>
        <w:pStyle w:val="NumberList"/>
        <w:numPr>
          <w:ilvl w:val="0"/>
          <w:numId w:val="39"/>
        </w:numPr>
      </w:pPr>
      <w:r>
        <w:t>H</w:t>
      </w:r>
      <w:r w:rsidR="00F4372F" w:rsidRPr="008C1CF1">
        <w:t xml:space="preserve">ave you interacted with the EPBC Act in the past? Please be as specific as possible, </w:t>
      </w:r>
      <w:r w:rsidR="008C1CF1" w:rsidRPr="008C1CF1">
        <w:t xml:space="preserve">including if you have </w:t>
      </w:r>
      <w:r w:rsidR="000469EA">
        <w:t xml:space="preserve">previously </w:t>
      </w:r>
      <w:r w:rsidR="008C1CF1" w:rsidRPr="008C1CF1">
        <w:t xml:space="preserve">referred actions, </w:t>
      </w:r>
      <w:r w:rsidR="00F4372F" w:rsidRPr="008C1CF1">
        <w:t>noting that submissions will be made public unless confidentiality is specifically requested.</w:t>
      </w:r>
    </w:p>
    <w:p w14:paraId="4F1F30B0" w14:textId="5C8DF7F8" w:rsidR="00803499" w:rsidRPr="008C1CF1" w:rsidRDefault="00F4372F" w:rsidP="00803499">
      <w:pPr>
        <w:pStyle w:val="NumberList"/>
      </w:pPr>
      <w:r w:rsidRPr="008C1CF1">
        <w:t xml:space="preserve">Do you feel that you have an adequate understanding of your obligations under </w:t>
      </w:r>
      <w:r w:rsidR="00F643A2">
        <w:t>the EPBC Act</w:t>
      </w:r>
      <w:r w:rsidRPr="008C1CF1">
        <w:t>?</w:t>
      </w:r>
    </w:p>
    <w:p w14:paraId="5F6A4CDF" w14:textId="30BC6582" w:rsidR="00803499" w:rsidRDefault="00F4372F" w:rsidP="00803499">
      <w:pPr>
        <w:pStyle w:val="NumberList"/>
      </w:pPr>
      <w:r w:rsidRPr="008C1CF1">
        <w:t xml:space="preserve">Where have you sought advice on your obligations </w:t>
      </w:r>
      <w:r w:rsidR="00895042">
        <w:t xml:space="preserve">under the EPBC Act </w:t>
      </w:r>
      <w:r w:rsidRPr="008C1CF1">
        <w:t>in the past</w:t>
      </w:r>
      <w:r w:rsidR="00895042">
        <w:t xml:space="preserve"> (e.g. from DoEE, </w:t>
      </w:r>
      <w:r w:rsidR="000469EA">
        <w:t>a</w:t>
      </w:r>
      <w:r w:rsidR="00895042">
        <w:t xml:space="preserve"> State Government, </w:t>
      </w:r>
      <w:r w:rsidR="000469EA">
        <w:t>a</w:t>
      </w:r>
      <w:r w:rsidR="00895042">
        <w:t xml:space="preserve"> local government, a consultant, your neighbour etc.)</w:t>
      </w:r>
      <w:r w:rsidRPr="008C1CF1">
        <w:t>? How would you assess the quality and usefulness of the advice you received?</w:t>
      </w:r>
    </w:p>
    <w:p w14:paraId="468F09D0" w14:textId="55CBB758" w:rsidR="00F82790" w:rsidRPr="008C1CF1" w:rsidRDefault="00F82790" w:rsidP="00F82790">
      <w:pPr>
        <w:pStyle w:val="NumberList"/>
      </w:pPr>
      <w:r>
        <w:t>Ideally, how would you like to receive information about the EPBC Act and your obligations under it?</w:t>
      </w:r>
    </w:p>
    <w:p w14:paraId="5894CC16" w14:textId="2E4BF53A" w:rsidR="00803499" w:rsidRPr="008C1CF1" w:rsidRDefault="00895042" w:rsidP="00803499">
      <w:pPr>
        <w:pStyle w:val="NumberList"/>
      </w:pPr>
      <w:r>
        <w:t xml:space="preserve">What </w:t>
      </w:r>
      <w:r w:rsidR="000469EA">
        <w:t>has been</w:t>
      </w:r>
      <w:r w:rsidR="00F4372F" w:rsidRPr="008C1CF1">
        <w:t xml:space="preserve"> the time or cost involved in ensuring your compliance with the EPBC Act</w:t>
      </w:r>
      <w:r w:rsidR="000469EA">
        <w:t xml:space="preserve"> in the past</w:t>
      </w:r>
      <w:r w:rsidR="00F4372F" w:rsidRPr="008C1CF1">
        <w:t xml:space="preserve">? </w:t>
      </w:r>
      <w:r w:rsidR="000469EA">
        <w:t>Please be as specific as possible.</w:t>
      </w:r>
    </w:p>
    <w:p w14:paraId="5A12744E" w14:textId="7F8DB2CC" w:rsidR="00803499" w:rsidRPr="008C1CF1" w:rsidRDefault="00F4372F" w:rsidP="00803499">
      <w:pPr>
        <w:pStyle w:val="NumberList"/>
      </w:pPr>
      <w:r w:rsidRPr="008C1CF1">
        <w:t xml:space="preserve">Are you aware of the threatened species and ecological communities that may be present on your property? </w:t>
      </w:r>
      <w:r w:rsidR="00895042">
        <w:t>What measures, if any, d</w:t>
      </w:r>
      <w:r w:rsidRPr="008C1CF1">
        <w:t>o you undertake to manage your impact on these species and communities?</w:t>
      </w:r>
    </w:p>
    <w:p w14:paraId="1D1BFDE6" w14:textId="0004B4AE" w:rsidR="008C1CF1" w:rsidRDefault="00F4372F" w:rsidP="008C1CF1">
      <w:pPr>
        <w:pStyle w:val="NumberList"/>
      </w:pPr>
      <w:r w:rsidRPr="008C1CF1">
        <w:t xml:space="preserve">Have you ever gained any direct </w:t>
      </w:r>
      <w:r w:rsidR="008C1CF1" w:rsidRPr="008C1CF1">
        <w:t>financial</w:t>
      </w:r>
      <w:r w:rsidRPr="008C1CF1">
        <w:t xml:space="preserve"> benefits from</w:t>
      </w:r>
      <w:r w:rsidR="00895042">
        <w:t xml:space="preserve"> </w:t>
      </w:r>
      <w:r w:rsidR="000469EA">
        <w:t xml:space="preserve">managing </w:t>
      </w:r>
      <w:r w:rsidRPr="008C1CF1">
        <w:t xml:space="preserve">the threatened species and ecological communities present on your property (e.g. through </w:t>
      </w:r>
      <w:r w:rsidR="00895042">
        <w:t>EPBC Act</w:t>
      </w:r>
      <w:r w:rsidR="00895042" w:rsidRPr="008C1CF1">
        <w:t xml:space="preserve"> </w:t>
      </w:r>
      <w:r w:rsidRPr="008C1CF1">
        <w:t>offsets</w:t>
      </w:r>
      <w:r w:rsidR="00895042">
        <w:t xml:space="preserve"> or other government grants</w:t>
      </w:r>
      <w:r w:rsidRPr="008C1CF1">
        <w:t>)?</w:t>
      </w:r>
    </w:p>
    <w:p w14:paraId="65605D35" w14:textId="3A4672FF" w:rsidR="00895042" w:rsidRPr="008C1CF1" w:rsidRDefault="00895042">
      <w:pPr>
        <w:pStyle w:val="NumberList"/>
      </w:pPr>
      <w:r>
        <w:t xml:space="preserve">Have you </w:t>
      </w:r>
      <w:r w:rsidR="000469EA">
        <w:t xml:space="preserve">ever </w:t>
      </w:r>
      <w:r>
        <w:t>been deterred from proceeding with an agricultural development due to your understanding of the requirements of the EPBC Act? Have you ever withdrawn or let lapse a referral under the EPBC Act? If so, why?</w:t>
      </w:r>
    </w:p>
    <w:p w14:paraId="69CC8CAA" w14:textId="520B0185" w:rsidR="00F4372F" w:rsidRDefault="008C1CF1" w:rsidP="00803499">
      <w:pPr>
        <w:pStyle w:val="NumberList"/>
      </w:pPr>
      <w:r w:rsidRPr="008C1CF1">
        <w:t xml:space="preserve">How do you think the Australian Government can improve achievement of its environmental protection and biodiversity conservation objectives </w:t>
      </w:r>
      <w:r w:rsidR="00AD7DAD">
        <w:t>through</w:t>
      </w:r>
      <w:r w:rsidRPr="008C1CF1">
        <w:t xml:space="preserve"> it</w:t>
      </w:r>
      <w:r w:rsidR="00AD7DAD">
        <w:t>s</w:t>
      </w:r>
      <w:r w:rsidRPr="008C1CF1">
        <w:t xml:space="preserve"> </w:t>
      </w:r>
      <w:r w:rsidR="00AD7DAD" w:rsidRPr="008C1CF1">
        <w:t>interact</w:t>
      </w:r>
      <w:r w:rsidR="00AD7DAD">
        <w:t>ions</w:t>
      </w:r>
      <w:r w:rsidRPr="008C1CF1">
        <w:t xml:space="preserve"> with the agriculture sector?</w:t>
      </w:r>
    </w:p>
    <w:p w14:paraId="2DF7D646" w14:textId="1B1FB2C4" w:rsidR="00895042" w:rsidRDefault="00895042" w:rsidP="00803499">
      <w:pPr>
        <w:pStyle w:val="NumberList"/>
      </w:pPr>
      <w:r>
        <w:t xml:space="preserve">Is there anything else you would like to </w:t>
      </w:r>
      <w:r w:rsidR="009F2043">
        <w:t>raise</w:t>
      </w:r>
      <w:r>
        <w:t xml:space="preserve"> in relation to the </w:t>
      </w:r>
      <w:r w:rsidR="00480990">
        <w:t xml:space="preserve">interaction between the </w:t>
      </w:r>
      <w:r>
        <w:t>EPBC Act</w:t>
      </w:r>
      <w:r w:rsidR="00480990">
        <w:t xml:space="preserve"> and the agriculture sector</w:t>
      </w:r>
      <w:r>
        <w:t>?</w:t>
      </w:r>
    </w:p>
    <w:p w14:paraId="5CDF60CE" w14:textId="3246A628" w:rsidR="00B201D9" w:rsidRDefault="00E75EE6" w:rsidP="00B201D9">
      <w:pPr>
        <w:pStyle w:val="Heading1"/>
      </w:pPr>
      <w:bookmarkStart w:id="13" w:name="_Toc512607219"/>
      <w:bookmarkStart w:id="14" w:name="_Toc513114764"/>
      <w:bookmarkEnd w:id="13"/>
      <w:r>
        <w:t>R</w:t>
      </w:r>
      <w:r w:rsidR="00B201D9">
        <w:t>eview process and next steps</w:t>
      </w:r>
      <w:bookmarkEnd w:id="14"/>
    </w:p>
    <w:p w14:paraId="7810EDE8" w14:textId="6378AD4A" w:rsidR="00B201D9" w:rsidRDefault="00DA4C99" w:rsidP="00B201D9">
      <w:r>
        <w:t xml:space="preserve">This briefing paper is the first step in the completion of an independent review of interactions between the EPBC Act and the agriculture sector. </w:t>
      </w:r>
      <w:r w:rsidR="00E63BBB">
        <w:t>The review team</w:t>
      </w:r>
      <w:r>
        <w:t xml:space="preserve"> will now seek input from a wide range of stakeholders, including individual </w:t>
      </w:r>
      <w:r w:rsidR="004342FA">
        <w:t>farmers</w:t>
      </w:r>
      <w:r>
        <w:t xml:space="preserve">, industry groups and other interested parties (e.g. environmental groups). This will be achieved through targeted face-to-face consultations in multiple states and territories, through telephone consultations and potentially through other means (e.g. surveys or online consultations). </w:t>
      </w:r>
      <w:r w:rsidR="00AD7DAD">
        <w:t xml:space="preserve">These </w:t>
      </w:r>
      <w:r w:rsidR="000B5FEA">
        <w:t>consultation</w:t>
      </w:r>
      <w:r w:rsidR="00AD7DAD">
        <w:t>s</w:t>
      </w:r>
      <w:r w:rsidR="000B5FEA">
        <w:t xml:space="preserve"> will occur in May and June 2018.</w:t>
      </w:r>
    </w:p>
    <w:p w14:paraId="1FA45ADE" w14:textId="77777777" w:rsidR="00F34909" w:rsidRDefault="009F2043" w:rsidP="00DA4C99">
      <w:r>
        <w:t>Simultaneously</w:t>
      </w:r>
      <w:r w:rsidR="00DA4C99">
        <w:t xml:space="preserve">, a public submissions process will ensure that </w:t>
      </w:r>
      <w:r w:rsidR="00DA4C99" w:rsidRPr="00E75EE6">
        <w:t>all interested individuals</w:t>
      </w:r>
      <w:r w:rsidR="00DA4C99">
        <w:t xml:space="preserve"> have an opportunity to contribute to the independent review.</w:t>
      </w:r>
      <w:r w:rsidR="000B5FEA">
        <w:t xml:space="preserve"> A call for </w:t>
      </w:r>
      <w:r w:rsidR="008C4E52">
        <w:t xml:space="preserve">written </w:t>
      </w:r>
      <w:r w:rsidR="000B5FEA">
        <w:t>submissions has been advertised nationally</w:t>
      </w:r>
      <w:r w:rsidR="00AD7DAD">
        <w:t xml:space="preserve">, including </w:t>
      </w:r>
      <w:r w:rsidR="00F34909">
        <w:t xml:space="preserve">in regional papers and </w:t>
      </w:r>
      <w:r w:rsidR="00AD7DAD">
        <w:t>on DoEE’s website</w:t>
      </w:r>
      <w:r w:rsidR="000B5FEA">
        <w:t xml:space="preserve">. </w:t>
      </w:r>
    </w:p>
    <w:p w14:paraId="7EEE23A7" w14:textId="66F81EF0" w:rsidR="000B5FEA" w:rsidRDefault="000B5FEA" w:rsidP="00DA4C99">
      <w:r>
        <w:t xml:space="preserve">Electronic submissions, in .doc or .pdf format, can be submitted </w:t>
      </w:r>
      <w:r w:rsidR="00B72547">
        <w:t xml:space="preserve">to Aither </w:t>
      </w:r>
      <w:r>
        <w:t xml:space="preserve">at </w:t>
      </w:r>
      <w:hyperlink r:id="rId18" w:history="1">
        <w:r w:rsidRPr="0035058C">
          <w:rPr>
            <w:rStyle w:val="Hyperlink"/>
          </w:rPr>
          <w:t>agreview@aither.com.au</w:t>
        </w:r>
      </w:hyperlink>
      <w:r w:rsidR="0045070F">
        <w:t>. P</w:t>
      </w:r>
      <w:r>
        <w:t>ostal submissions should be mailed to:</w:t>
      </w:r>
    </w:p>
    <w:p w14:paraId="0E3DA87B" w14:textId="1391E841" w:rsidR="000B5FEA" w:rsidRDefault="000B5FEA">
      <w:pPr>
        <w:spacing w:after="0"/>
        <w:ind w:firstLine="720"/>
      </w:pPr>
      <w:r>
        <w:t>Agriculture Review</w:t>
      </w:r>
      <w:r w:rsidR="00497952">
        <w:t xml:space="preserve"> (</w:t>
      </w:r>
      <w:r>
        <w:t>Aither</w:t>
      </w:r>
      <w:r w:rsidR="00497952">
        <w:t>)</w:t>
      </w:r>
    </w:p>
    <w:p w14:paraId="11FBC0E6" w14:textId="57C4C906" w:rsidR="000B5FEA" w:rsidRDefault="000B5FEA" w:rsidP="000B5FEA">
      <w:pPr>
        <w:spacing w:after="0"/>
        <w:ind w:firstLine="720"/>
      </w:pPr>
      <w:r>
        <w:t>Level 2, 45 Exhibition St</w:t>
      </w:r>
    </w:p>
    <w:p w14:paraId="3360D102" w14:textId="3466E7C9" w:rsidR="000B5FEA" w:rsidRDefault="000B5FEA" w:rsidP="000B5FEA">
      <w:pPr>
        <w:spacing w:after="0"/>
        <w:ind w:firstLine="720"/>
      </w:pPr>
      <w:r>
        <w:t>Melbourne</w:t>
      </w:r>
    </w:p>
    <w:p w14:paraId="4402121A" w14:textId="77777777" w:rsidR="00B72547" w:rsidRDefault="000B5FEA" w:rsidP="000B5FEA">
      <w:pPr>
        <w:ind w:firstLine="720"/>
      </w:pPr>
      <w:r>
        <w:t>VIC 3000</w:t>
      </w:r>
      <w:r w:rsidR="00B72547" w:rsidRPr="00B72547">
        <w:t xml:space="preserve"> </w:t>
      </w:r>
    </w:p>
    <w:p w14:paraId="19D33103" w14:textId="57C7D8BE" w:rsidR="00B72547" w:rsidRDefault="00B72547" w:rsidP="00B72547">
      <w:r>
        <w:t xml:space="preserve">Submissions </w:t>
      </w:r>
      <w:r w:rsidR="00307133">
        <w:t xml:space="preserve">close </w:t>
      </w:r>
      <w:r w:rsidR="00F82790">
        <w:t>on</w:t>
      </w:r>
      <w:r w:rsidR="00307133">
        <w:t xml:space="preserve"> </w:t>
      </w:r>
      <w:r>
        <w:t>Friday 15 June 2018</w:t>
      </w:r>
      <w:r w:rsidR="0006684F">
        <w:t>. If you have special communication needs and wish to make a submission, please contact</w:t>
      </w:r>
      <w:r w:rsidR="0006684F" w:rsidRPr="00E24ADE">
        <w:t xml:space="preserve"> Aither </w:t>
      </w:r>
      <w:r w:rsidR="0006684F">
        <w:t xml:space="preserve">directly </w:t>
      </w:r>
      <w:r w:rsidR="0006684F" w:rsidRPr="00E24ADE">
        <w:t xml:space="preserve">on </w:t>
      </w:r>
      <w:r w:rsidR="0006684F">
        <w:t>0456 421 942</w:t>
      </w:r>
      <w:r w:rsidR="0006684F" w:rsidRPr="00E24ADE">
        <w:t xml:space="preserve"> </w:t>
      </w:r>
      <w:r w:rsidR="0006684F">
        <w:t xml:space="preserve">(during business hours) </w:t>
      </w:r>
      <w:r w:rsidR="0006684F" w:rsidRPr="00E24ADE">
        <w:t xml:space="preserve">or </w:t>
      </w:r>
      <w:r w:rsidR="0006684F">
        <w:t xml:space="preserve">by email at </w:t>
      </w:r>
      <w:hyperlink r:id="rId19" w:history="1">
        <w:r w:rsidR="0006684F" w:rsidRPr="00665ADF">
          <w:rPr>
            <w:rStyle w:val="Hyperlink"/>
          </w:rPr>
          <w:t>agreview@aither.com.au</w:t>
        </w:r>
      </w:hyperlink>
      <w:r w:rsidR="0006684F">
        <w:t>.</w:t>
      </w:r>
    </w:p>
    <w:p w14:paraId="5C4FFFA4" w14:textId="77777777" w:rsidR="00B72547" w:rsidRDefault="00AD7DAD" w:rsidP="0092706C">
      <w:r>
        <w:t xml:space="preserve">Participants in consultations and those seeking to make submissions to the review should be aware of </w:t>
      </w:r>
      <w:r w:rsidR="0092706C">
        <w:t>the way in which</w:t>
      </w:r>
      <w:r w:rsidR="00D110C5">
        <w:t xml:space="preserve"> their input will be handled by </w:t>
      </w:r>
      <w:r w:rsidR="00E63BBB">
        <w:t>the review team</w:t>
      </w:r>
      <w:r w:rsidR="00D110C5">
        <w:t xml:space="preserve"> and </w:t>
      </w:r>
      <w:r w:rsidR="0092706C">
        <w:t xml:space="preserve">by </w:t>
      </w:r>
      <w:r w:rsidR="00D110C5">
        <w:t xml:space="preserve">DoEE. </w:t>
      </w:r>
    </w:p>
    <w:p w14:paraId="7C6516C2" w14:textId="59394907" w:rsidR="00222803" w:rsidRDefault="00D110C5" w:rsidP="00222803">
      <w:r w:rsidRPr="00D110C5">
        <w:t>Once a submission</w:t>
      </w:r>
      <w:r w:rsidR="00E63BBB">
        <w:t xml:space="preserve"> has been </w:t>
      </w:r>
      <w:r w:rsidR="00E63BBB" w:rsidRPr="00D110C5">
        <w:t>received</w:t>
      </w:r>
      <w:r>
        <w:t xml:space="preserve">, </w:t>
      </w:r>
      <w:r w:rsidR="00E63BBB">
        <w:t xml:space="preserve">the independent reviewer </w:t>
      </w:r>
      <w:r w:rsidRPr="00D110C5">
        <w:t>will decide whether</w:t>
      </w:r>
      <w:r w:rsidR="00B72547">
        <w:t xml:space="preserve"> it contains feedback </w:t>
      </w:r>
      <w:r w:rsidR="004C298D">
        <w:t xml:space="preserve">that is </w:t>
      </w:r>
      <w:r w:rsidR="00B72547">
        <w:t xml:space="preserve">within the scope of the Review </w:t>
      </w:r>
      <w:r w:rsidR="00970509">
        <w:t xml:space="preserve">and </w:t>
      </w:r>
      <w:r w:rsidR="004C298D">
        <w:t>will then</w:t>
      </w:r>
      <w:r w:rsidRPr="00D110C5">
        <w:t xml:space="preserve"> accept it as a submission and authorise its publication. </w:t>
      </w:r>
      <w:r>
        <w:t>Submissions</w:t>
      </w:r>
      <w:r w:rsidRPr="00D110C5">
        <w:t xml:space="preserve"> </w:t>
      </w:r>
      <w:r>
        <w:t>regarded as</w:t>
      </w:r>
      <w:r w:rsidRPr="00D110C5">
        <w:t xml:space="preserve"> </w:t>
      </w:r>
      <w:r>
        <w:t>not</w:t>
      </w:r>
      <w:r w:rsidRPr="00D110C5">
        <w:t xml:space="preserve"> address</w:t>
      </w:r>
      <w:r>
        <w:t>ing</w:t>
      </w:r>
      <w:r w:rsidRPr="00D110C5">
        <w:t xml:space="preserve"> the </w:t>
      </w:r>
      <w:r>
        <w:t>review’s</w:t>
      </w:r>
      <w:r w:rsidRPr="00D110C5">
        <w:t xml:space="preserve"> terms of reference</w:t>
      </w:r>
      <w:r>
        <w:t xml:space="preserve"> may not be considered in the review </w:t>
      </w:r>
      <w:r w:rsidR="004C298D">
        <w:t xml:space="preserve">but will still be published. </w:t>
      </w:r>
      <w:r w:rsidR="00222803">
        <w:t xml:space="preserve">All submissions will be provided to DoEE and published on </w:t>
      </w:r>
      <w:r w:rsidR="004C298D">
        <w:t>the Department’s</w:t>
      </w:r>
      <w:r w:rsidR="00222803">
        <w:t xml:space="preserve"> website </w:t>
      </w:r>
    </w:p>
    <w:p w14:paraId="42C6A141" w14:textId="7143A579" w:rsidR="0092706C" w:rsidRDefault="0092706C" w:rsidP="0092706C">
      <w:r>
        <w:t xml:space="preserve">To protect the privacy of submitters, the review team will remove </w:t>
      </w:r>
      <w:r w:rsidR="007F3E1E">
        <w:t>you</w:t>
      </w:r>
      <w:r w:rsidR="004C298D">
        <w:t>r</w:t>
      </w:r>
      <w:r w:rsidR="007F3E1E">
        <w:t xml:space="preserve"> postal address, email address and/or phone number from your submission prior to publication. Unless requested, your name and </w:t>
      </w:r>
      <w:r w:rsidR="004C298D">
        <w:t xml:space="preserve">the </w:t>
      </w:r>
      <w:r w:rsidR="007F3E1E">
        <w:t xml:space="preserve">state </w:t>
      </w:r>
      <w:r w:rsidR="00222803">
        <w:t xml:space="preserve">you reside </w:t>
      </w:r>
      <w:r w:rsidR="004C298D">
        <w:t xml:space="preserve">in </w:t>
      </w:r>
      <w:r w:rsidR="007F3E1E">
        <w:t xml:space="preserve">will be published on the DoEE website </w:t>
      </w:r>
      <w:r w:rsidR="003025B7">
        <w:t>alongside</w:t>
      </w:r>
      <w:r w:rsidR="007F3E1E">
        <w:t xml:space="preserve"> your submission</w:t>
      </w:r>
      <w:r w:rsidR="00304DAC">
        <w:t xml:space="preserve">. </w:t>
      </w:r>
      <w:r>
        <w:t xml:space="preserve">To assist </w:t>
      </w:r>
      <w:r w:rsidR="00E63BBB">
        <w:t>the review</w:t>
      </w:r>
      <w:r>
        <w:t xml:space="preserve">, we encourage you to include </w:t>
      </w:r>
      <w:r w:rsidR="004C298D">
        <w:t xml:space="preserve">your </w:t>
      </w:r>
      <w:r w:rsidR="007F3E1E">
        <w:t>postal address, email address and/or phone number</w:t>
      </w:r>
      <w:r>
        <w:t xml:space="preserve"> in a covering letter</w:t>
      </w:r>
      <w:r w:rsidR="007F3E1E">
        <w:t xml:space="preserve"> or email</w:t>
      </w:r>
      <w:r>
        <w:t>, not in the body of your submission.</w:t>
      </w:r>
      <w:r w:rsidR="007F3E1E">
        <w:t xml:space="preserve"> </w:t>
      </w:r>
    </w:p>
    <w:p w14:paraId="7B463234" w14:textId="0B813BAE" w:rsidR="003025B7" w:rsidRPr="00A77DE9" w:rsidRDefault="003025B7" w:rsidP="00304DAC">
      <w:pPr>
        <w:pStyle w:val="Heading2"/>
        <w:numPr>
          <w:ilvl w:val="0"/>
          <w:numId w:val="0"/>
        </w:numPr>
      </w:pPr>
      <w:bookmarkStart w:id="15" w:name="_Toc513049237"/>
      <w:bookmarkStart w:id="16" w:name="_Toc513114530"/>
      <w:bookmarkStart w:id="17" w:name="_Toc513114715"/>
      <w:bookmarkStart w:id="18" w:name="_Toc513114765"/>
      <w:r w:rsidRPr="00A77DE9">
        <w:t>Commercial</w:t>
      </w:r>
      <w:r w:rsidR="004C298D">
        <w:t>-</w:t>
      </w:r>
      <w:r w:rsidRPr="00A77DE9">
        <w:t>in</w:t>
      </w:r>
      <w:r w:rsidR="004C298D">
        <w:t>-</w:t>
      </w:r>
      <w:r w:rsidRPr="00A77DE9">
        <w:t>confidence material</w:t>
      </w:r>
      <w:bookmarkEnd w:id="15"/>
      <w:bookmarkEnd w:id="16"/>
      <w:bookmarkEnd w:id="17"/>
      <w:bookmarkEnd w:id="18"/>
    </w:p>
    <w:p w14:paraId="66008326" w14:textId="09B29A3C" w:rsidR="003025B7" w:rsidRDefault="00497952" w:rsidP="00497952">
      <w:r>
        <w:t xml:space="preserve">All submissions will be treated as public documents, unless the author of the submission has requested the submission not be published because its publication could reasonably be expected to substantially prejudice the commercial interests of the author or another person. Confidential submissions will not be published but will be provided to DoEE. </w:t>
      </w:r>
      <w:r w:rsidRPr="00497952">
        <w:t xml:space="preserve">While it will not be published, a detailed account of consultations undertaken will be provided to DoEE in the form of a consultation outcomes report. </w:t>
      </w:r>
      <w:r>
        <w:t>If any part of a submission should be treated as confidential</w:t>
      </w:r>
      <w:r w:rsidR="00474CCB">
        <w:t>,</w:t>
      </w:r>
      <w:r>
        <w:t xml:space="preserve"> please provide two versions of the submission, one with the confidential information removed for publication. If you choose not to use this template </w:t>
      </w:r>
      <w:r w:rsidR="00474CCB">
        <w:t>(provided on DoEE’s website</w:t>
      </w:r>
      <w:r w:rsidR="008812F8">
        <w:t xml:space="preserve">: </w:t>
      </w:r>
      <w:hyperlink r:id="rId20" w:history="1">
        <w:r w:rsidR="008812F8" w:rsidRPr="00504CAF">
          <w:rPr>
            <w:rStyle w:val="Hyperlink"/>
          </w:rPr>
          <w:t>http://www.environment.gov.au/</w:t>
        </w:r>
      </w:hyperlink>
      <w:r w:rsidR="008812F8">
        <w:t>)</w:t>
      </w:r>
      <w:r w:rsidR="00474CCB">
        <w:t xml:space="preserve"> </w:t>
      </w:r>
      <w:r>
        <w:t xml:space="preserve">and wish your submission to remain confidential then the document should be clearly marked as confidential. </w:t>
      </w:r>
    </w:p>
    <w:p w14:paraId="66F5165A" w14:textId="2F42D723" w:rsidR="003025B7" w:rsidRDefault="003025B7" w:rsidP="00304DAC">
      <w:pPr>
        <w:pStyle w:val="Heading2"/>
        <w:numPr>
          <w:ilvl w:val="0"/>
          <w:numId w:val="0"/>
        </w:numPr>
      </w:pPr>
      <w:bookmarkStart w:id="19" w:name="_Toc513049238"/>
      <w:bookmarkStart w:id="20" w:name="_Toc513114531"/>
      <w:bookmarkStart w:id="21" w:name="_Toc513114716"/>
      <w:bookmarkStart w:id="22" w:name="_Toc513114766"/>
      <w:r w:rsidRPr="00A77DE9">
        <w:t>Freedom of Information</w:t>
      </w:r>
      <w:bookmarkEnd w:id="19"/>
      <w:bookmarkEnd w:id="20"/>
      <w:bookmarkEnd w:id="21"/>
      <w:bookmarkEnd w:id="22"/>
    </w:p>
    <w:p w14:paraId="0287EBBE" w14:textId="63676085" w:rsidR="00497952" w:rsidRDefault="00497952" w:rsidP="00497952">
      <w:r>
        <w:t xml:space="preserve">A request made under the </w:t>
      </w:r>
      <w:r w:rsidRPr="007D0066">
        <w:rPr>
          <w:i/>
        </w:rPr>
        <w:t>Freedom of Information Act 1982</w:t>
      </w:r>
      <w:r>
        <w:t xml:space="preserve"> for access to a submission marked confidential will be determined in accordance with that Act. If your submission includes matters of a private nature that could lead to the identification of individuals, you should contact the review team at </w:t>
      </w:r>
      <w:hyperlink r:id="rId21" w:history="1">
        <w:r w:rsidRPr="009D36A5">
          <w:rPr>
            <w:rStyle w:val="Hyperlink"/>
          </w:rPr>
          <w:t>agreview@aither.com.au</w:t>
        </w:r>
      </w:hyperlink>
      <w:r>
        <w:t xml:space="preserve"> before lodging your submission.</w:t>
      </w:r>
    </w:p>
    <w:p w14:paraId="789C8D0F" w14:textId="5317B844" w:rsidR="00307133" w:rsidRPr="00A77DE9" w:rsidRDefault="00474CCB" w:rsidP="00304DAC">
      <w:pPr>
        <w:pStyle w:val="Heading2"/>
        <w:numPr>
          <w:ilvl w:val="0"/>
          <w:numId w:val="0"/>
        </w:numPr>
      </w:pPr>
      <w:bookmarkStart w:id="23" w:name="_Toc513049239"/>
      <w:bookmarkStart w:id="24" w:name="_Toc513114532"/>
      <w:bookmarkStart w:id="25" w:name="_Toc513114717"/>
      <w:bookmarkStart w:id="26" w:name="_Toc513114767"/>
      <w:r>
        <w:t>Next steps</w:t>
      </w:r>
      <w:bookmarkEnd w:id="23"/>
      <w:bookmarkEnd w:id="24"/>
      <w:bookmarkEnd w:id="25"/>
      <w:bookmarkEnd w:id="26"/>
    </w:p>
    <w:p w14:paraId="1FA74CA7" w14:textId="4EC05D83" w:rsidR="000B5FEA" w:rsidRDefault="000B5FEA" w:rsidP="00B201D9">
      <w:r>
        <w:t xml:space="preserve">After the completion of the consultation phase of the independent review, and following the closure of public submissions, </w:t>
      </w:r>
      <w:r w:rsidR="00E63BBB">
        <w:t>the review team</w:t>
      </w:r>
      <w:r>
        <w:t xml:space="preserve"> will prepare a report for the Australian Government. This is expected to be provided to the</w:t>
      </w:r>
      <w:r w:rsidR="0087772C">
        <w:t xml:space="preserve"> Commonwealth</w:t>
      </w:r>
      <w:r>
        <w:t xml:space="preserve"> Minister for the Environment and Energy and the</w:t>
      </w:r>
      <w:r w:rsidR="0087772C">
        <w:t xml:space="preserve"> Commonwealth</w:t>
      </w:r>
      <w:r>
        <w:t xml:space="preserve"> Minister for Agriculture and Water Resources </w:t>
      </w:r>
      <w:r w:rsidR="00474CCB">
        <w:t xml:space="preserve">in </w:t>
      </w:r>
      <w:r w:rsidR="003025B7">
        <w:t>mid</w:t>
      </w:r>
      <w:r w:rsidR="00474CCB">
        <w:t>-</w:t>
      </w:r>
      <w:r>
        <w:t>2018.</w:t>
      </w:r>
    </w:p>
    <w:p w14:paraId="389A5233" w14:textId="48005F23" w:rsidR="0009306F" w:rsidRDefault="00E63BBB" w:rsidP="00B201D9">
      <w:r>
        <w:t>The independent reviewer</w:t>
      </w:r>
      <w:r w:rsidR="000B5FEA">
        <w:t xml:space="preserve"> is interested to keep stakeholders informed of the progress of the review over coming months. Individuals</w:t>
      </w:r>
      <w:r w:rsidR="0009306F" w:rsidRPr="0009306F">
        <w:t xml:space="preserve"> interested in being kept informed about the </w:t>
      </w:r>
      <w:r w:rsidR="000B5FEA">
        <w:t>r</w:t>
      </w:r>
      <w:r w:rsidR="0009306F" w:rsidRPr="0009306F">
        <w:t xml:space="preserve">eview can register their interest by sending an email to </w:t>
      </w:r>
      <w:hyperlink r:id="rId22" w:history="1">
        <w:r w:rsidR="00E75EE6" w:rsidRPr="0035058C">
          <w:rPr>
            <w:rStyle w:val="Hyperlink"/>
          </w:rPr>
          <w:t>agreview@aither.com.au</w:t>
        </w:r>
      </w:hyperlink>
      <w:r w:rsidR="0009306F" w:rsidRPr="0009306F">
        <w:t>.</w:t>
      </w:r>
    </w:p>
    <w:p w14:paraId="6EB00CC7" w14:textId="77777777" w:rsidR="00A5234C" w:rsidRDefault="00A5234C" w:rsidP="00C03EF5">
      <w:pPr>
        <w:sectPr w:rsidR="00A5234C" w:rsidSect="009B4B1F">
          <w:pgSz w:w="11906" w:h="16838" w:code="9"/>
          <w:pgMar w:top="1440" w:right="1440" w:bottom="1440" w:left="1440" w:header="578" w:footer="567" w:gutter="0"/>
          <w:pgNumType w:start="1"/>
          <w:cols w:space="720"/>
          <w:docGrid w:linePitch="299"/>
        </w:sectPr>
      </w:pPr>
    </w:p>
    <w:p w14:paraId="72E70E93" w14:textId="77777777" w:rsidR="008800A3" w:rsidRPr="000A7B26" w:rsidRDefault="008800A3" w:rsidP="008800A3">
      <w:pPr>
        <w:pStyle w:val="ImprintText"/>
      </w:pPr>
      <w:r w:rsidRPr="000A7B26">
        <w:t>© 201</w:t>
      </w:r>
      <w:r w:rsidR="00AF21D2">
        <w:t>8</w:t>
      </w:r>
      <w:r w:rsidRPr="000A7B26">
        <w:t xml:space="preserve"> Aither Pty Ltd. All rights reserved.</w:t>
      </w:r>
    </w:p>
    <w:p w14:paraId="68FD2F76" w14:textId="13774C03" w:rsidR="0072565F" w:rsidRPr="005C7D6B" w:rsidRDefault="008800A3" w:rsidP="007D0066">
      <w:pPr>
        <w:pStyle w:val="ImprintText"/>
      </w:pPr>
      <w:r w:rsidRPr="000A7B26">
        <w:t>This document has been prepared on the basis of information available to Aither Pty Ltd at the date of publication. Aither Pty Ltd makes no warranties, expressed or implied, in relation to any information contained in this document. This document does not purport to represent commercial, financial or legal advice, and should not be relied upon as such. Aither Pty Ltd does not accept responsibility or liability for any loss, damage, cost or expense incurred or arising by reason of any party using or relying on information provided in this document. Any party that uses information contained in this document for any purpose does so at its own risk.</w:t>
      </w:r>
    </w:p>
    <w:sectPr w:rsidR="0072565F" w:rsidRPr="005C7D6B" w:rsidSect="00FA7964">
      <w:footerReference w:type="default" r:id="rId23"/>
      <w:pgSz w:w="11906" w:h="16838" w:code="9"/>
      <w:pgMar w:top="1440" w:right="1440" w:bottom="1440" w:left="1440" w:header="578" w:footer="567"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FD8F20" w14:textId="77777777" w:rsidR="008914D4" w:rsidRDefault="008914D4" w:rsidP="00C03EF5">
      <w:r>
        <w:separator/>
      </w:r>
    </w:p>
  </w:endnote>
  <w:endnote w:type="continuationSeparator" w:id="0">
    <w:p w14:paraId="09AFE54D" w14:textId="77777777" w:rsidR="008914D4" w:rsidRDefault="008914D4" w:rsidP="00C03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6E61B4" w14:textId="77777777" w:rsidR="00D00F38" w:rsidRDefault="00D00F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2901F4" w14:textId="77777777" w:rsidR="00D00F38" w:rsidRDefault="00D00F3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EF7BF" w14:textId="77777777" w:rsidR="00D00F38" w:rsidRDefault="00D00F3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468B2" w14:textId="77777777" w:rsidR="00FA1AC7" w:rsidRPr="003F3553" w:rsidRDefault="00FA1AC7" w:rsidP="005E4138">
    <w:pPr>
      <w:pStyle w:val="Footerline"/>
      <w:spacing w:before="120"/>
    </w:pPr>
  </w:p>
  <w:p w14:paraId="38D144FD" w14:textId="534E29D4" w:rsidR="00FA1AC7" w:rsidRDefault="00FA1AC7" w:rsidP="00B3488B">
    <w:pPr>
      <w:pStyle w:val="Footer"/>
      <w:rPr>
        <w:noProof/>
      </w:rPr>
    </w:pPr>
    <w:r>
      <w:rPr>
        <w:noProof/>
      </w:rPr>
      <w:ptab w:relativeTo="margin" w:alignment="left" w:leader="none"/>
    </w:r>
    <w:r w:rsidRPr="00DF15AE">
      <w:rPr>
        <w:rStyle w:val="Aitherfooter"/>
      </w:rPr>
      <w:t>AITHER</w:t>
    </w:r>
    <w:r>
      <w:rPr>
        <w:rStyle w:val="PageNumber"/>
      </w:rPr>
      <w:t xml:space="preserve"> | </w:t>
    </w:r>
    <w:r w:rsidR="007714D6">
      <w:rPr>
        <w:rStyle w:val="PageNumber"/>
      </w:rPr>
      <w:t>B</w:t>
    </w:r>
    <w:r>
      <w:rPr>
        <w:rStyle w:val="PageNumber"/>
      </w:rPr>
      <w:t>riefing paper</w:t>
    </w:r>
    <w:r>
      <w:rPr>
        <w:rStyle w:val="PageNumber"/>
      </w:rPr>
      <w:ptab w:relativeTo="margin" w:alignment="right" w:leader="none"/>
    </w:r>
    <w:r w:rsidRPr="00A85E68">
      <w:t xml:space="preserve"> </w:t>
    </w:r>
    <w:sdt>
      <w:sdtPr>
        <w:id w:val="1897162529"/>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D00F38">
          <w:rPr>
            <w:noProof/>
          </w:rPr>
          <w:t>i</w:t>
        </w:r>
        <w:r>
          <w:rPr>
            <w:noProof/>
          </w:rPr>
          <w:fldChar w:fldCharType="end"/>
        </w:r>
      </w:sdtContent>
    </w:sdt>
  </w:p>
  <w:p w14:paraId="4F506CF5" w14:textId="5173FD1C" w:rsidR="00FA1AC7" w:rsidRPr="002266AD" w:rsidRDefault="00FA1AC7" w:rsidP="00B3488B">
    <w:pPr>
      <w:pStyle w:val="FooterTitle"/>
      <w:rPr>
        <w:noProof/>
      </w:rPr>
    </w:pPr>
    <w:r>
      <w:rPr>
        <w:noProof/>
      </w:rPr>
      <w:t>An independent review of interactions between the EPBC Act and the agriculture sector</w:t>
    </w:r>
  </w:p>
  <w:p w14:paraId="5B70E50B" w14:textId="77777777" w:rsidR="00FA1AC7" w:rsidRPr="00B3488B" w:rsidRDefault="00FA1AC7" w:rsidP="00B3488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07528" w14:textId="77777777" w:rsidR="00FA1AC7" w:rsidRPr="002266AD" w:rsidRDefault="00FA1AC7" w:rsidP="00C864AF">
    <w:pPr>
      <w:pStyle w:val="FooterTitle"/>
      <w:jc w:val="center"/>
      <w:rPr>
        <w:noProof/>
      </w:rPr>
    </w:pPr>
    <w:r>
      <w:rPr>
        <w:noProof/>
      </w:rPr>
      <w:drawing>
        <wp:inline distT="0" distB="0" distL="0" distR="0" wp14:anchorId="470EA3C1" wp14:editId="17ACFB3B">
          <wp:extent cx="2083981" cy="292072"/>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ther-stone.wmf"/>
                  <pic:cNvPicPr/>
                </pic:nvPicPr>
                <pic:blipFill>
                  <a:blip r:embed="rId1">
                    <a:extLst>
                      <a:ext uri="{28A0092B-C50C-407E-A947-70E740481C1C}">
                        <a14:useLocalDpi xmlns:a14="http://schemas.microsoft.com/office/drawing/2010/main" val="0"/>
                      </a:ext>
                    </a:extLst>
                  </a:blip>
                  <a:stretch>
                    <a:fillRect/>
                  </a:stretch>
                </pic:blipFill>
                <pic:spPr>
                  <a:xfrm>
                    <a:off x="0" y="0"/>
                    <a:ext cx="2099477" cy="29424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CE686D" w14:textId="77777777" w:rsidR="008914D4" w:rsidRDefault="008914D4" w:rsidP="00C03EF5">
      <w:r>
        <w:separator/>
      </w:r>
    </w:p>
  </w:footnote>
  <w:footnote w:type="continuationSeparator" w:id="0">
    <w:p w14:paraId="4BAC2AD4" w14:textId="77777777" w:rsidR="008914D4" w:rsidRDefault="008914D4" w:rsidP="00C03EF5">
      <w:r>
        <w:continuationSeparator/>
      </w:r>
    </w:p>
  </w:footnote>
  <w:footnote w:id="1">
    <w:p w14:paraId="7CF75A9D" w14:textId="5B2CD3C0" w:rsidR="00FA1AC7" w:rsidRDefault="00FA1AC7">
      <w:pPr>
        <w:pStyle w:val="FootnoteText"/>
      </w:pPr>
      <w:r>
        <w:rPr>
          <w:rStyle w:val="FootnoteReference"/>
        </w:rPr>
        <w:footnoteRef/>
      </w:r>
      <w:r>
        <w:t xml:space="preserve"> </w:t>
      </w:r>
      <w:r>
        <w:tab/>
        <w:t>The term ‘farmer’, used in this briefing paper for convenience, refers to a wide range of agricultural stakeholders, including landholders, agricultural business operators and corporate farmers.</w:t>
      </w:r>
    </w:p>
  </w:footnote>
  <w:footnote w:id="2">
    <w:p w14:paraId="66540604" w14:textId="2AF02569" w:rsidR="00FA1AC7" w:rsidRDefault="00FA1AC7" w:rsidP="006A6E6F">
      <w:pPr>
        <w:pStyle w:val="FootnoteText"/>
      </w:pPr>
      <w:r>
        <w:rPr>
          <w:rStyle w:val="FootnoteReference"/>
        </w:rPr>
        <w:footnoteRef/>
      </w:r>
      <w:r>
        <w:t xml:space="preserve"> </w:t>
      </w:r>
      <w:r>
        <w:tab/>
        <w:t xml:space="preserve">The final report of the Regulatory Maturity Project is available at </w:t>
      </w:r>
      <w:hyperlink r:id="rId1" w:history="1">
        <w:r w:rsidRPr="00665ADF">
          <w:rPr>
            <w:rStyle w:val="Hyperlink"/>
          </w:rPr>
          <w:t>http://www.environment.gov.au/epbc/publications/regulatory-maturity-project-final-report</w:t>
        </w:r>
      </w:hyperlink>
      <w:r>
        <w:t xml:space="preserve"> and the Department’s response is available at </w:t>
      </w:r>
      <w:hyperlink r:id="rId2" w:history="1">
        <w:r w:rsidRPr="00665ADF">
          <w:rPr>
            <w:rStyle w:val="Hyperlink"/>
          </w:rPr>
          <w:t>http://www.environment.gov.au/epbc/publications/departmental-response-regulatory-maturity-project-final-report</w:t>
        </w:r>
      </w:hyperlink>
      <w:r>
        <w:t xml:space="preserve"> </w:t>
      </w:r>
    </w:p>
  </w:footnote>
  <w:footnote w:id="3">
    <w:p w14:paraId="4D184049" w14:textId="1A20C7D2" w:rsidR="00FA1AC7" w:rsidRDefault="00FA1AC7">
      <w:pPr>
        <w:pStyle w:val="FootnoteText"/>
      </w:pPr>
      <w:r>
        <w:rPr>
          <w:rStyle w:val="FootnoteReference"/>
        </w:rPr>
        <w:footnoteRef/>
      </w:r>
      <w:r>
        <w:t xml:space="preserve"> </w:t>
      </w:r>
      <w:r>
        <w:tab/>
        <w:t xml:space="preserve">The full terms of reference for the independent review are available at </w:t>
      </w:r>
      <w:hyperlink r:id="rId3" w:history="1">
        <w:r w:rsidRPr="0035058C">
          <w:rPr>
            <w:rStyle w:val="Hyperlink"/>
          </w:rPr>
          <w:t>http://www.environment.gov.au/epbc/publications/agriculture-review-tor</w:t>
        </w:r>
      </w:hyperlink>
      <w:r>
        <w:t xml:space="preserve"> </w:t>
      </w:r>
    </w:p>
  </w:footnote>
  <w:footnote w:id="4">
    <w:p w14:paraId="7B4C985B" w14:textId="145C9B93" w:rsidR="00FA1AC7" w:rsidRDefault="00FA1AC7">
      <w:pPr>
        <w:pStyle w:val="FootnoteText"/>
      </w:pPr>
      <w:r>
        <w:rPr>
          <w:rStyle w:val="FootnoteReference"/>
        </w:rPr>
        <w:footnoteRef/>
      </w:r>
      <w:r>
        <w:t xml:space="preserve"> </w:t>
      </w:r>
      <w:r>
        <w:tab/>
        <w:t xml:space="preserve">The 2009 Report of the </w:t>
      </w:r>
      <w:r w:rsidRPr="00FA71C0">
        <w:t xml:space="preserve">Independent </w:t>
      </w:r>
      <w:r>
        <w:t>R</w:t>
      </w:r>
      <w:r w:rsidRPr="00FA71C0">
        <w:t>eview of the Environment Protection and Biodiversity Conservation Act 1999</w:t>
      </w:r>
      <w:r>
        <w:t xml:space="preserve"> is available at </w:t>
      </w:r>
      <w:hyperlink r:id="rId4" w:history="1">
        <w:r w:rsidRPr="009D36A5">
          <w:rPr>
            <w:rStyle w:val="Hyperlink"/>
          </w:rPr>
          <w:t>http://www.environment.gov.au/system/files/resources/5f3fdad6-30ba-48f7-ab17-c99e8bcc8d78/files/final-report.pdf</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C4FEB" w14:textId="77777777" w:rsidR="00D00F38" w:rsidRDefault="00D00F3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539878" w14:textId="77777777" w:rsidR="00D00F38" w:rsidRDefault="00D00F3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1BB90C" w14:textId="77777777" w:rsidR="00D00F38" w:rsidRDefault="00D00F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CA4E8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A8CD40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3D36C4E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155CAFC0"/>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4DC96D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73E8B9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D1D4473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BACA49A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B7E0986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6A2C89C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EE0071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2" w15:restartNumberingAfterBreak="0">
    <w:nsid w:val="006971CA"/>
    <w:multiLevelType w:val="hybridMultilevel"/>
    <w:tmpl w:val="C2F02C9C"/>
    <w:lvl w:ilvl="0" w:tplc="44303C18">
      <w:start w:val="1"/>
      <w:numFmt w:val="bullet"/>
      <w:pStyle w:val="BoxBullet2"/>
      <w:lvlText w:val=""/>
      <w:lvlJc w:val="left"/>
      <w:pPr>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105138"/>
    <w:multiLevelType w:val="hybridMultilevel"/>
    <w:tmpl w:val="88C6AA3E"/>
    <w:lvl w:ilvl="0" w:tplc="2CD8CBF2">
      <w:start w:val="4"/>
      <w:numFmt w:val="bullet"/>
      <w:pStyle w:val="Bullet2"/>
      <w:lvlText w:val="-"/>
      <w:lvlJc w:val="left"/>
      <w:pPr>
        <w:ind w:left="717" w:hanging="360"/>
      </w:pPr>
      <w:rPr>
        <w:rFonts w:ascii="Arial" w:eastAsia="Times New Roman" w:hAnsi="Arial" w:cs="Arial" w:hint="default"/>
        <w:sz w:val="16"/>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7C68C8"/>
    <w:multiLevelType w:val="hybridMultilevel"/>
    <w:tmpl w:val="D43202F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0B95130A"/>
    <w:multiLevelType w:val="hybridMultilevel"/>
    <w:tmpl w:val="1AFA6AA8"/>
    <w:lvl w:ilvl="0" w:tplc="0D70D70C">
      <w:start w:val="1"/>
      <w:numFmt w:val="decimal"/>
      <w:pStyle w:val="NumberList"/>
      <w:lvlText w:val="%1."/>
      <w:lvlJc w:val="left"/>
      <w:pPr>
        <w:ind w:left="644" w:hanging="360"/>
      </w:pPr>
      <w:rPr>
        <w:rFonts w:hint="default"/>
        <w:b w:val="0"/>
        <w:i w:val="0"/>
        <w:caps w:val="0"/>
        <w:smallCaps w:val="0"/>
        <w:strike w:val="0"/>
        <w:dstrike w:val="0"/>
        <w:noProof w:val="0"/>
        <w:vanish w:val="0"/>
        <w:color w:val="595959" w:themeColor="text1" w:themeTint="A6"/>
        <w:spacing w:val="0"/>
        <w:kern w:val="0"/>
        <w:position w:val="0"/>
        <w:u w:val="none"/>
        <w:effect w:val="none"/>
        <w:vertAlign w:val="baseline"/>
        <w:em w:val="none"/>
        <w:specVanish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16BB4224"/>
    <w:multiLevelType w:val="hybridMultilevel"/>
    <w:tmpl w:val="9A809E82"/>
    <w:lvl w:ilvl="0" w:tplc="288E36DA">
      <w:start w:val="1"/>
      <w:numFmt w:val="bullet"/>
      <w:pStyle w:val="BoxBullet"/>
      <w:lvlText w:val=""/>
      <w:lvlJc w:val="left"/>
      <w:pPr>
        <w:tabs>
          <w:tab w:val="num" w:pos="357"/>
        </w:tabs>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745BC2"/>
    <w:multiLevelType w:val="multilevel"/>
    <w:tmpl w:val="E5E89F92"/>
    <w:numStyleLink w:val="BulletList"/>
  </w:abstractNum>
  <w:abstractNum w:abstractNumId="18" w15:restartNumberingAfterBreak="0">
    <w:nsid w:val="20AA613F"/>
    <w:multiLevelType w:val="hybridMultilevel"/>
    <w:tmpl w:val="72467972"/>
    <w:lvl w:ilvl="0" w:tplc="7A34BC7C">
      <w:start w:val="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358291C"/>
    <w:multiLevelType w:val="hybridMultilevel"/>
    <w:tmpl w:val="07D255F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5FC5EFF"/>
    <w:multiLevelType w:val="hybridMultilevel"/>
    <w:tmpl w:val="38A0C8C6"/>
    <w:lvl w:ilvl="0" w:tplc="69FE925C">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15:restartNumberingAfterBreak="0">
    <w:nsid w:val="2BFD4DC7"/>
    <w:multiLevelType w:val="hybridMultilevel"/>
    <w:tmpl w:val="035E74BC"/>
    <w:lvl w:ilvl="0" w:tplc="F4E46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EF52A31"/>
    <w:multiLevelType w:val="multilevel"/>
    <w:tmpl w:val="55C83A44"/>
    <w:lvl w:ilvl="0">
      <w:start w:val="1"/>
      <w:numFmt w:val="decimal"/>
      <w:pStyle w:val="Heading1"/>
      <w:lvlText w:val="%1."/>
      <w:lvlJc w:val="left"/>
      <w:pPr>
        <w:ind w:left="851" w:hanging="851"/>
      </w:pPr>
      <w:rPr>
        <w:rFonts w:hint="default"/>
      </w:rPr>
    </w:lvl>
    <w:lvl w:ilvl="1">
      <w:start w:val="1"/>
      <w:numFmt w:val="decimal"/>
      <w:pStyle w:val="Heading2"/>
      <w:lvlText w:val="%1.%2."/>
      <w:lvlJc w:val="left"/>
      <w:pPr>
        <w:ind w:left="851" w:hanging="851"/>
      </w:pPr>
      <w:rPr>
        <w:rFonts w:hint="default"/>
      </w:rPr>
    </w:lvl>
    <w:lvl w:ilvl="2">
      <w:start w:val="1"/>
      <w:numFmt w:val="decimal"/>
      <w:pStyle w:val="Heading3"/>
      <w:lvlText w:val="%1.%2.%3."/>
      <w:lvlJc w:val="left"/>
      <w:pPr>
        <w:ind w:left="3970" w:hanging="851"/>
      </w:pPr>
      <w:rPr>
        <w:i w:val="0"/>
        <w:caps w:val="0"/>
        <w:smallCaps w:val="0"/>
        <w:strike w:val="0"/>
        <w:dstrike w:val="0"/>
        <w:noProof w:val="0"/>
        <w:vanish w:val="0"/>
        <w:color w:val="3583AA" w:themeColor="accent3"/>
        <w:spacing w:val="0"/>
        <w:kern w:val="0"/>
        <w:position w:val="0"/>
        <w:szCs w:val="20"/>
        <w:u w:val="none"/>
        <w:effect w:val="none"/>
        <w:vertAlign w:val="baseline"/>
        <w:em w:val="none"/>
        <w:specVanish w:val="0"/>
      </w:rPr>
    </w:lvl>
    <w:lvl w:ilvl="3">
      <w:start w:val="1"/>
      <w:numFmt w:val="decimal"/>
      <w:lvlText w:val="%1.%2.%3.%4."/>
      <w:lvlJc w:val="left"/>
      <w:pPr>
        <w:ind w:left="851" w:hanging="851"/>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3" w15:restartNumberingAfterBreak="0">
    <w:nsid w:val="33C372F4"/>
    <w:multiLevelType w:val="multilevel"/>
    <w:tmpl w:val="4988683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713210C"/>
    <w:multiLevelType w:val="hybridMultilevel"/>
    <w:tmpl w:val="E0A81C54"/>
    <w:lvl w:ilvl="0" w:tplc="F4E46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37D47304"/>
    <w:multiLevelType w:val="multilevel"/>
    <w:tmpl w:val="C7546528"/>
    <w:lvl w:ilvl="0">
      <w:start w:val="1"/>
      <w:numFmt w:val="bullet"/>
      <w:lvlText w:val="•"/>
      <w:lvlJc w:val="left"/>
      <w:pPr>
        <w:tabs>
          <w:tab w:val="num" w:pos="360"/>
        </w:tabs>
        <w:ind w:left="36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62F4A0B"/>
    <w:multiLevelType w:val="hybridMultilevel"/>
    <w:tmpl w:val="8230ED46"/>
    <w:lvl w:ilvl="0" w:tplc="37762F46">
      <w:start w:val="1"/>
      <w:numFmt w:val="bullet"/>
      <w:pStyle w:val="TableBullet"/>
      <w:lvlText w:val="•"/>
      <w:lvlJc w:val="left"/>
      <w:pPr>
        <w:tabs>
          <w:tab w:val="num" w:pos="360"/>
        </w:tabs>
        <w:ind w:left="360" w:hanging="360"/>
      </w:pPr>
      <w:rPr>
        <w:rFonts w:ascii="Verdana" w:hAnsi="Verdana" w:hint="default"/>
        <w:sz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8367AC9"/>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AC40A9B"/>
    <w:multiLevelType w:val="hybridMultilevel"/>
    <w:tmpl w:val="BB94D404"/>
    <w:lvl w:ilvl="0" w:tplc="76003964">
      <w:start w:val="1"/>
      <w:numFmt w:val="decimal"/>
      <w:lvlText w:val="%1.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BC617A2"/>
    <w:multiLevelType w:val="hybridMultilevel"/>
    <w:tmpl w:val="0CECFF24"/>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0" w15:restartNumberingAfterBreak="0">
    <w:nsid w:val="5C6264B4"/>
    <w:multiLevelType w:val="hybridMultilevel"/>
    <w:tmpl w:val="04C2F852"/>
    <w:lvl w:ilvl="0" w:tplc="2E5E2236">
      <w:start w:val="1"/>
      <w:numFmt w:val="bullet"/>
      <w:pStyle w:val="TableBullet2"/>
      <w:lvlText w:val="–"/>
      <w:lvlJc w:val="left"/>
      <w:pPr>
        <w:tabs>
          <w:tab w:val="num" w:pos="216"/>
        </w:tabs>
        <w:ind w:left="432" w:hanging="216"/>
      </w:pPr>
      <w:rPr>
        <w:rFonts w:ascii="Times New Roman" w:hAnsi="Times New Roman" w:cs="Times New Roman" w:hint="default"/>
        <w:sz w:val="16"/>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37927"/>
    <w:multiLevelType w:val="hybridMultilevel"/>
    <w:tmpl w:val="26B68266"/>
    <w:lvl w:ilvl="0" w:tplc="0A4E9454">
      <w:start w:val="1"/>
      <w:numFmt w:val="bullet"/>
      <w:lvlText w:val="•"/>
      <w:lvlJc w:val="left"/>
      <w:pPr>
        <w:tabs>
          <w:tab w:val="num" w:pos="720"/>
        </w:tabs>
        <w:ind w:left="720" w:hanging="360"/>
      </w:pPr>
      <w:rPr>
        <w:rFonts w:ascii="Arial" w:hAnsi="Arial" w:hint="default"/>
      </w:rPr>
    </w:lvl>
    <w:lvl w:ilvl="1" w:tplc="E1B21884" w:tentative="1">
      <w:start w:val="1"/>
      <w:numFmt w:val="bullet"/>
      <w:lvlText w:val="•"/>
      <w:lvlJc w:val="left"/>
      <w:pPr>
        <w:tabs>
          <w:tab w:val="num" w:pos="1440"/>
        </w:tabs>
        <w:ind w:left="1440" w:hanging="360"/>
      </w:pPr>
      <w:rPr>
        <w:rFonts w:ascii="Arial" w:hAnsi="Arial" w:hint="default"/>
      </w:rPr>
    </w:lvl>
    <w:lvl w:ilvl="2" w:tplc="FA7C1722" w:tentative="1">
      <w:start w:val="1"/>
      <w:numFmt w:val="bullet"/>
      <w:lvlText w:val="•"/>
      <w:lvlJc w:val="left"/>
      <w:pPr>
        <w:tabs>
          <w:tab w:val="num" w:pos="2160"/>
        </w:tabs>
        <w:ind w:left="2160" w:hanging="360"/>
      </w:pPr>
      <w:rPr>
        <w:rFonts w:ascii="Arial" w:hAnsi="Arial" w:hint="default"/>
      </w:rPr>
    </w:lvl>
    <w:lvl w:ilvl="3" w:tplc="ECA28872" w:tentative="1">
      <w:start w:val="1"/>
      <w:numFmt w:val="bullet"/>
      <w:lvlText w:val="•"/>
      <w:lvlJc w:val="left"/>
      <w:pPr>
        <w:tabs>
          <w:tab w:val="num" w:pos="2880"/>
        </w:tabs>
        <w:ind w:left="2880" w:hanging="360"/>
      </w:pPr>
      <w:rPr>
        <w:rFonts w:ascii="Arial" w:hAnsi="Arial" w:hint="default"/>
      </w:rPr>
    </w:lvl>
    <w:lvl w:ilvl="4" w:tplc="25E4DE70" w:tentative="1">
      <w:start w:val="1"/>
      <w:numFmt w:val="bullet"/>
      <w:lvlText w:val="•"/>
      <w:lvlJc w:val="left"/>
      <w:pPr>
        <w:tabs>
          <w:tab w:val="num" w:pos="3600"/>
        </w:tabs>
        <w:ind w:left="3600" w:hanging="360"/>
      </w:pPr>
      <w:rPr>
        <w:rFonts w:ascii="Arial" w:hAnsi="Arial" w:hint="default"/>
      </w:rPr>
    </w:lvl>
    <w:lvl w:ilvl="5" w:tplc="2BCEF79A" w:tentative="1">
      <w:start w:val="1"/>
      <w:numFmt w:val="bullet"/>
      <w:lvlText w:val="•"/>
      <w:lvlJc w:val="left"/>
      <w:pPr>
        <w:tabs>
          <w:tab w:val="num" w:pos="4320"/>
        </w:tabs>
        <w:ind w:left="4320" w:hanging="360"/>
      </w:pPr>
      <w:rPr>
        <w:rFonts w:ascii="Arial" w:hAnsi="Arial" w:hint="default"/>
      </w:rPr>
    </w:lvl>
    <w:lvl w:ilvl="6" w:tplc="6054F690" w:tentative="1">
      <w:start w:val="1"/>
      <w:numFmt w:val="bullet"/>
      <w:lvlText w:val="•"/>
      <w:lvlJc w:val="left"/>
      <w:pPr>
        <w:tabs>
          <w:tab w:val="num" w:pos="5040"/>
        </w:tabs>
        <w:ind w:left="5040" w:hanging="360"/>
      </w:pPr>
      <w:rPr>
        <w:rFonts w:ascii="Arial" w:hAnsi="Arial" w:hint="default"/>
      </w:rPr>
    </w:lvl>
    <w:lvl w:ilvl="7" w:tplc="8BC45424" w:tentative="1">
      <w:start w:val="1"/>
      <w:numFmt w:val="bullet"/>
      <w:lvlText w:val="•"/>
      <w:lvlJc w:val="left"/>
      <w:pPr>
        <w:tabs>
          <w:tab w:val="num" w:pos="5760"/>
        </w:tabs>
        <w:ind w:left="5760" w:hanging="360"/>
      </w:pPr>
      <w:rPr>
        <w:rFonts w:ascii="Arial" w:hAnsi="Arial" w:hint="default"/>
      </w:rPr>
    </w:lvl>
    <w:lvl w:ilvl="8" w:tplc="84702A94"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1A96687"/>
    <w:multiLevelType w:val="multilevel"/>
    <w:tmpl w:val="F8DE0C3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2C030B8"/>
    <w:multiLevelType w:val="hybridMultilevel"/>
    <w:tmpl w:val="11761F0A"/>
    <w:lvl w:ilvl="0" w:tplc="15C0CC68">
      <w:start w:val="1"/>
      <w:numFmt w:val="decimal"/>
      <w:lvlText w:val="%1."/>
      <w:lvlJc w:val="left"/>
      <w:pPr>
        <w:ind w:left="3447" w:hanging="360"/>
      </w:pPr>
    </w:lvl>
    <w:lvl w:ilvl="1" w:tplc="0C090019" w:tentative="1">
      <w:start w:val="1"/>
      <w:numFmt w:val="lowerLetter"/>
      <w:lvlText w:val="%2."/>
      <w:lvlJc w:val="left"/>
      <w:pPr>
        <w:ind w:left="4167" w:hanging="360"/>
      </w:pPr>
    </w:lvl>
    <w:lvl w:ilvl="2" w:tplc="0C09001B" w:tentative="1">
      <w:start w:val="1"/>
      <w:numFmt w:val="lowerRoman"/>
      <w:lvlText w:val="%3."/>
      <w:lvlJc w:val="right"/>
      <w:pPr>
        <w:ind w:left="4887" w:hanging="180"/>
      </w:pPr>
    </w:lvl>
    <w:lvl w:ilvl="3" w:tplc="0C09000F" w:tentative="1">
      <w:start w:val="1"/>
      <w:numFmt w:val="decimal"/>
      <w:lvlText w:val="%4."/>
      <w:lvlJc w:val="left"/>
      <w:pPr>
        <w:ind w:left="5607" w:hanging="360"/>
      </w:pPr>
    </w:lvl>
    <w:lvl w:ilvl="4" w:tplc="0C090019" w:tentative="1">
      <w:start w:val="1"/>
      <w:numFmt w:val="lowerLetter"/>
      <w:lvlText w:val="%5."/>
      <w:lvlJc w:val="left"/>
      <w:pPr>
        <w:ind w:left="6327" w:hanging="360"/>
      </w:pPr>
    </w:lvl>
    <w:lvl w:ilvl="5" w:tplc="0C09001B" w:tentative="1">
      <w:start w:val="1"/>
      <w:numFmt w:val="lowerRoman"/>
      <w:lvlText w:val="%6."/>
      <w:lvlJc w:val="right"/>
      <w:pPr>
        <w:ind w:left="7047" w:hanging="180"/>
      </w:pPr>
    </w:lvl>
    <w:lvl w:ilvl="6" w:tplc="0C09000F" w:tentative="1">
      <w:start w:val="1"/>
      <w:numFmt w:val="decimal"/>
      <w:lvlText w:val="%7."/>
      <w:lvlJc w:val="left"/>
      <w:pPr>
        <w:ind w:left="7767" w:hanging="360"/>
      </w:pPr>
    </w:lvl>
    <w:lvl w:ilvl="7" w:tplc="0C090019" w:tentative="1">
      <w:start w:val="1"/>
      <w:numFmt w:val="lowerLetter"/>
      <w:lvlText w:val="%8."/>
      <w:lvlJc w:val="left"/>
      <w:pPr>
        <w:ind w:left="8487" w:hanging="360"/>
      </w:pPr>
    </w:lvl>
    <w:lvl w:ilvl="8" w:tplc="0C09001B" w:tentative="1">
      <w:start w:val="1"/>
      <w:numFmt w:val="lowerRoman"/>
      <w:lvlText w:val="%9."/>
      <w:lvlJc w:val="right"/>
      <w:pPr>
        <w:ind w:left="9207" w:hanging="180"/>
      </w:pPr>
    </w:lvl>
  </w:abstractNum>
  <w:abstractNum w:abstractNumId="34" w15:restartNumberingAfterBreak="0">
    <w:nsid w:val="634A5BB2"/>
    <w:multiLevelType w:val="hybridMultilevel"/>
    <w:tmpl w:val="0A2EC3E2"/>
    <w:lvl w:ilvl="0" w:tplc="DF183732">
      <w:start w:val="1"/>
      <w:numFmt w:val="bullet"/>
      <w:pStyle w:val="BulletChecklist"/>
      <w:lvlText w:val=""/>
      <w:lvlJc w:val="left"/>
      <w:pPr>
        <w:ind w:left="720" w:hanging="360"/>
      </w:pPr>
      <w:rPr>
        <w:rFonts w:ascii="Wingdings" w:hAnsi="Wingding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4A14859"/>
    <w:multiLevelType w:val="hybridMultilevel"/>
    <w:tmpl w:val="9796D414"/>
    <w:lvl w:ilvl="0" w:tplc="F30EFE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45474D"/>
    <w:multiLevelType w:val="hybridMultilevel"/>
    <w:tmpl w:val="7CB6DD1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78082ABC"/>
    <w:multiLevelType w:val="multilevel"/>
    <w:tmpl w:val="5F2A3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8E81FDC"/>
    <w:multiLevelType w:val="hybridMultilevel"/>
    <w:tmpl w:val="6206F784"/>
    <w:lvl w:ilvl="0" w:tplc="0C461D56">
      <w:start w:val="1"/>
      <w:numFmt w:val="bullet"/>
      <w:pStyle w:val="Bullet"/>
      <w:lvlText w:val="•"/>
      <w:lvlJc w:val="left"/>
      <w:pPr>
        <w:tabs>
          <w:tab w:val="num" w:pos="360"/>
        </w:tabs>
        <w:ind w:left="360" w:hanging="360"/>
      </w:pPr>
      <w:rPr>
        <w:rFonts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30"/>
  </w:num>
  <w:num w:numId="3">
    <w:abstractNumId w:val="38"/>
  </w:num>
  <w:num w:numId="4">
    <w:abstractNumId w:val="13"/>
  </w:num>
  <w:num w:numId="5">
    <w:abstractNumId w:val="12"/>
  </w:num>
  <w:num w:numId="6">
    <w:abstractNumId w:val="10"/>
  </w:num>
  <w:num w:numId="7">
    <w:abstractNumId w:val="8"/>
  </w:num>
  <w:num w:numId="8">
    <w:abstractNumId w:val="7"/>
  </w:num>
  <w:num w:numId="9">
    <w:abstractNumId w:val="6"/>
  </w:num>
  <w:num w:numId="10">
    <w:abstractNumId w:val="5"/>
  </w:num>
  <w:num w:numId="11">
    <w:abstractNumId w:val="9"/>
  </w:num>
  <w:num w:numId="12">
    <w:abstractNumId w:val="4"/>
  </w:num>
  <w:num w:numId="13">
    <w:abstractNumId w:val="3"/>
  </w:num>
  <w:num w:numId="14">
    <w:abstractNumId w:val="2"/>
  </w:num>
  <w:num w:numId="15">
    <w:abstractNumId w:val="1"/>
  </w:num>
  <w:num w:numId="16">
    <w:abstractNumId w:val="34"/>
  </w:num>
  <w:num w:numId="17">
    <w:abstractNumId w:val="0"/>
  </w:num>
  <w:num w:numId="18">
    <w:abstractNumId w:val="20"/>
  </w:num>
  <w:num w:numId="19">
    <w:abstractNumId w:val="35"/>
  </w:num>
  <w:num w:numId="20">
    <w:abstractNumId w:val="21"/>
  </w:num>
  <w:num w:numId="21">
    <w:abstractNumId w:val="35"/>
  </w:num>
  <w:num w:numId="22">
    <w:abstractNumId w:val="24"/>
  </w:num>
  <w:num w:numId="23">
    <w:abstractNumId w:val="25"/>
  </w:num>
  <w:num w:numId="24">
    <w:abstractNumId w:val="16"/>
  </w:num>
  <w:num w:numId="25">
    <w:abstractNumId w:val="23"/>
  </w:num>
  <w:num w:numId="26">
    <w:abstractNumId w:val="32"/>
  </w:num>
  <w:num w:numId="27">
    <w:abstractNumId w:val="33"/>
  </w:num>
  <w:num w:numId="28">
    <w:abstractNumId w:val="28"/>
  </w:num>
  <w:num w:numId="29">
    <w:abstractNumId w:val="22"/>
  </w:num>
  <w:num w:numId="30">
    <w:abstractNumId w:val="27"/>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2"/>
  </w:num>
  <w:num w:numId="34">
    <w:abstractNumId w:val="22"/>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num>
  <w:num w:numId="37">
    <w:abstractNumId w:val="18"/>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num>
  <w:num w:numId="40">
    <w:abstractNumId w:val="37"/>
  </w:num>
  <w:num w:numId="41">
    <w:abstractNumId w:val="26"/>
  </w:num>
  <w:num w:numId="42">
    <w:abstractNumId w:val="31"/>
  </w:num>
  <w:num w:numId="43">
    <w:abstractNumId w:val="11"/>
  </w:num>
  <w:num w:numId="44">
    <w:abstractNumId w:val="17"/>
  </w:num>
  <w:num w:numId="45">
    <w:abstractNumId w:val="14"/>
  </w:num>
  <w:num w:numId="46">
    <w:abstractNumId w:val="36"/>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SortMethod w:val="0000"/>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s7QwMLE0NzK3sDQ2MDNW0lEKTi0uzszPAykwqgUAC2Zo5iwAAAA="/>
  </w:docVars>
  <w:rsids>
    <w:rsidRoot w:val="00630407"/>
    <w:rsid w:val="0000561E"/>
    <w:rsid w:val="00010F8A"/>
    <w:rsid w:val="0001202D"/>
    <w:rsid w:val="00013A29"/>
    <w:rsid w:val="00016E14"/>
    <w:rsid w:val="000232C8"/>
    <w:rsid w:val="00023EA1"/>
    <w:rsid w:val="00024E5B"/>
    <w:rsid w:val="00033389"/>
    <w:rsid w:val="0003484F"/>
    <w:rsid w:val="0004588C"/>
    <w:rsid w:val="000469EA"/>
    <w:rsid w:val="0005021D"/>
    <w:rsid w:val="0005526A"/>
    <w:rsid w:val="00056209"/>
    <w:rsid w:val="000569DF"/>
    <w:rsid w:val="000578CA"/>
    <w:rsid w:val="00061C57"/>
    <w:rsid w:val="000625AE"/>
    <w:rsid w:val="00062C83"/>
    <w:rsid w:val="00063FB9"/>
    <w:rsid w:val="0006684F"/>
    <w:rsid w:val="00067B3C"/>
    <w:rsid w:val="00072AF9"/>
    <w:rsid w:val="0007619D"/>
    <w:rsid w:val="00077095"/>
    <w:rsid w:val="00077133"/>
    <w:rsid w:val="00080EA9"/>
    <w:rsid w:val="000849B6"/>
    <w:rsid w:val="00086EF0"/>
    <w:rsid w:val="00090F9B"/>
    <w:rsid w:val="00091D95"/>
    <w:rsid w:val="0009306F"/>
    <w:rsid w:val="00097D6E"/>
    <w:rsid w:val="00097DEB"/>
    <w:rsid w:val="000A2ABC"/>
    <w:rsid w:val="000A53D9"/>
    <w:rsid w:val="000A55C6"/>
    <w:rsid w:val="000A7B26"/>
    <w:rsid w:val="000B570D"/>
    <w:rsid w:val="000B5FEA"/>
    <w:rsid w:val="000C10BA"/>
    <w:rsid w:val="000C1FD9"/>
    <w:rsid w:val="000C33B3"/>
    <w:rsid w:val="000C7C10"/>
    <w:rsid w:val="000D381C"/>
    <w:rsid w:val="000D7225"/>
    <w:rsid w:val="000E732F"/>
    <w:rsid w:val="000F0114"/>
    <w:rsid w:val="000F0A7D"/>
    <w:rsid w:val="000F1020"/>
    <w:rsid w:val="000F1654"/>
    <w:rsid w:val="000F181F"/>
    <w:rsid w:val="000F555E"/>
    <w:rsid w:val="000F65AB"/>
    <w:rsid w:val="00100909"/>
    <w:rsid w:val="00101E81"/>
    <w:rsid w:val="001029AB"/>
    <w:rsid w:val="001031E5"/>
    <w:rsid w:val="00104E39"/>
    <w:rsid w:val="00106EA9"/>
    <w:rsid w:val="001134C2"/>
    <w:rsid w:val="00114BAC"/>
    <w:rsid w:val="001173DC"/>
    <w:rsid w:val="001220BB"/>
    <w:rsid w:val="001252AD"/>
    <w:rsid w:val="00135970"/>
    <w:rsid w:val="00135F3F"/>
    <w:rsid w:val="00137C98"/>
    <w:rsid w:val="00142EC9"/>
    <w:rsid w:val="00145460"/>
    <w:rsid w:val="00150C89"/>
    <w:rsid w:val="00155668"/>
    <w:rsid w:val="00155BC6"/>
    <w:rsid w:val="00157610"/>
    <w:rsid w:val="0016044A"/>
    <w:rsid w:val="001664C8"/>
    <w:rsid w:val="0017612A"/>
    <w:rsid w:val="001763E4"/>
    <w:rsid w:val="001816F5"/>
    <w:rsid w:val="001865A3"/>
    <w:rsid w:val="00190867"/>
    <w:rsid w:val="00190AB9"/>
    <w:rsid w:val="00192C42"/>
    <w:rsid w:val="00194FF3"/>
    <w:rsid w:val="00195F11"/>
    <w:rsid w:val="001A2FFC"/>
    <w:rsid w:val="001A6A05"/>
    <w:rsid w:val="001A6B3C"/>
    <w:rsid w:val="001B0ED7"/>
    <w:rsid w:val="001B5C5F"/>
    <w:rsid w:val="001B66C1"/>
    <w:rsid w:val="001B710E"/>
    <w:rsid w:val="001C437E"/>
    <w:rsid w:val="001C648A"/>
    <w:rsid w:val="001D38FB"/>
    <w:rsid w:val="001D4D1F"/>
    <w:rsid w:val="001F0FF2"/>
    <w:rsid w:val="001F161E"/>
    <w:rsid w:val="002022A6"/>
    <w:rsid w:val="0020319C"/>
    <w:rsid w:val="002072C7"/>
    <w:rsid w:val="00210677"/>
    <w:rsid w:val="00213768"/>
    <w:rsid w:val="00214247"/>
    <w:rsid w:val="00222498"/>
    <w:rsid w:val="00222803"/>
    <w:rsid w:val="00223521"/>
    <w:rsid w:val="002266AD"/>
    <w:rsid w:val="00231012"/>
    <w:rsid w:val="00237D22"/>
    <w:rsid w:val="00241BD1"/>
    <w:rsid w:val="00242EBE"/>
    <w:rsid w:val="00254A54"/>
    <w:rsid w:val="00261A99"/>
    <w:rsid w:val="00262A49"/>
    <w:rsid w:val="00271B40"/>
    <w:rsid w:val="0027564B"/>
    <w:rsid w:val="00276127"/>
    <w:rsid w:val="00280823"/>
    <w:rsid w:val="00281507"/>
    <w:rsid w:val="002819CF"/>
    <w:rsid w:val="00284611"/>
    <w:rsid w:val="002866CD"/>
    <w:rsid w:val="002868A9"/>
    <w:rsid w:val="0029345F"/>
    <w:rsid w:val="00297B5F"/>
    <w:rsid w:val="002A44CB"/>
    <w:rsid w:val="002A4616"/>
    <w:rsid w:val="002B2256"/>
    <w:rsid w:val="002B3808"/>
    <w:rsid w:val="002C19BF"/>
    <w:rsid w:val="002C3F92"/>
    <w:rsid w:val="002C4805"/>
    <w:rsid w:val="002C61F5"/>
    <w:rsid w:val="002C7311"/>
    <w:rsid w:val="002D0313"/>
    <w:rsid w:val="002D7C78"/>
    <w:rsid w:val="002E40C1"/>
    <w:rsid w:val="002E52DD"/>
    <w:rsid w:val="002E6060"/>
    <w:rsid w:val="002F27AA"/>
    <w:rsid w:val="003025B7"/>
    <w:rsid w:val="00302B12"/>
    <w:rsid w:val="00304DAC"/>
    <w:rsid w:val="00305520"/>
    <w:rsid w:val="00307133"/>
    <w:rsid w:val="00324278"/>
    <w:rsid w:val="00324CAE"/>
    <w:rsid w:val="0033188B"/>
    <w:rsid w:val="003326DE"/>
    <w:rsid w:val="00333B38"/>
    <w:rsid w:val="003366FD"/>
    <w:rsid w:val="003375F1"/>
    <w:rsid w:val="00340A4A"/>
    <w:rsid w:val="0034483F"/>
    <w:rsid w:val="003461C9"/>
    <w:rsid w:val="00350BB2"/>
    <w:rsid w:val="00350FE0"/>
    <w:rsid w:val="003650EF"/>
    <w:rsid w:val="003660D9"/>
    <w:rsid w:val="00374E25"/>
    <w:rsid w:val="00376530"/>
    <w:rsid w:val="00382574"/>
    <w:rsid w:val="00382D62"/>
    <w:rsid w:val="00382EBD"/>
    <w:rsid w:val="0038376F"/>
    <w:rsid w:val="0039361E"/>
    <w:rsid w:val="003968CD"/>
    <w:rsid w:val="00397E23"/>
    <w:rsid w:val="003A1FE7"/>
    <w:rsid w:val="003A5345"/>
    <w:rsid w:val="003A5FF6"/>
    <w:rsid w:val="003B0328"/>
    <w:rsid w:val="003B0D74"/>
    <w:rsid w:val="003B22BF"/>
    <w:rsid w:val="003C13A1"/>
    <w:rsid w:val="003C4B09"/>
    <w:rsid w:val="003C5A7F"/>
    <w:rsid w:val="003D0620"/>
    <w:rsid w:val="003D16FE"/>
    <w:rsid w:val="003D1F8B"/>
    <w:rsid w:val="003D3771"/>
    <w:rsid w:val="003E3749"/>
    <w:rsid w:val="003E3EC5"/>
    <w:rsid w:val="003F3553"/>
    <w:rsid w:val="003F36BF"/>
    <w:rsid w:val="003F6FF6"/>
    <w:rsid w:val="004055E9"/>
    <w:rsid w:val="00410B4A"/>
    <w:rsid w:val="0041492C"/>
    <w:rsid w:val="00422EF0"/>
    <w:rsid w:val="00425AF5"/>
    <w:rsid w:val="00430D62"/>
    <w:rsid w:val="00430E8E"/>
    <w:rsid w:val="004342FA"/>
    <w:rsid w:val="004413C6"/>
    <w:rsid w:val="0044143B"/>
    <w:rsid w:val="00444FF4"/>
    <w:rsid w:val="00445985"/>
    <w:rsid w:val="00445C54"/>
    <w:rsid w:val="004468B5"/>
    <w:rsid w:val="0045070F"/>
    <w:rsid w:val="004516E8"/>
    <w:rsid w:val="00455062"/>
    <w:rsid w:val="00455DDA"/>
    <w:rsid w:val="00455EA2"/>
    <w:rsid w:val="00474CCB"/>
    <w:rsid w:val="00474FA5"/>
    <w:rsid w:val="004758E1"/>
    <w:rsid w:val="00477E57"/>
    <w:rsid w:val="00480990"/>
    <w:rsid w:val="004822BC"/>
    <w:rsid w:val="0048295D"/>
    <w:rsid w:val="00484254"/>
    <w:rsid w:val="0048618C"/>
    <w:rsid w:val="0048675D"/>
    <w:rsid w:val="0048716B"/>
    <w:rsid w:val="004875FB"/>
    <w:rsid w:val="004877F5"/>
    <w:rsid w:val="004900B9"/>
    <w:rsid w:val="004957C3"/>
    <w:rsid w:val="004963C2"/>
    <w:rsid w:val="00497952"/>
    <w:rsid w:val="00497C18"/>
    <w:rsid w:val="00497D20"/>
    <w:rsid w:val="00497F4D"/>
    <w:rsid w:val="004B17B1"/>
    <w:rsid w:val="004B1823"/>
    <w:rsid w:val="004B5019"/>
    <w:rsid w:val="004C1719"/>
    <w:rsid w:val="004C1868"/>
    <w:rsid w:val="004C23B6"/>
    <w:rsid w:val="004C298D"/>
    <w:rsid w:val="004C4906"/>
    <w:rsid w:val="004D1925"/>
    <w:rsid w:val="004D1B58"/>
    <w:rsid w:val="004D4B62"/>
    <w:rsid w:val="004D7681"/>
    <w:rsid w:val="004D79BE"/>
    <w:rsid w:val="004E7E38"/>
    <w:rsid w:val="005020DA"/>
    <w:rsid w:val="00504A01"/>
    <w:rsid w:val="00514040"/>
    <w:rsid w:val="00520E86"/>
    <w:rsid w:val="00522653"/>
    <w:rsid w:val="005377F7"/>
    <w:rsid w:val="00537D1D"/>
    <w:rsid w:val="00543C96"/>
    <w:rsid w:val="0054494E"/>
    <w:rsid w:val="005501E3"/>
    <w:rsid w:val="005529A9"/>
    <w:rsid w:val="00552A3B"/>
    <w:rsid w:val="00554147"/>
    <w:rsid w:val="00560794"/>
    <w:rsid w:val="00565E8C"/>
    <w:rsid w:val="00570516"/>
    <w:rsid w:val="00570D63"/>
    <w:rsid w:val="00572281"/>
    <w:rsid w:val="00572EE3"/>
    <w:rsid w:val="00582332"/>
    <w:rsid w:val="005A3244"/>
    <w:rsid w:val="005A44C7"/>
    <w:rsid w:val="005A72C4"/>
    <w:rsid w:val="005B188E"/>
    <w:rsid w:val="005B2F95"/>
    <w:rsid w:val="005B627F"/>
    <w:rsid w:val="005B7032"/>
    <w:rsid w:val="005B7395"/>
    <w:rsid w:val="005C04C0"/>
    <w:rsid w:val="005C1818"/>
    <w:rsid w:val="005C303D"/>
    <w:rsid w:val="005C3A67"/>
    <w:rsid w:val="005C45CC"/>
    <w:rsid w:val="005C5D8D"/>
    <w:rsid w:val="005C7D6B"/>
    <w:rsid w:val="005D537E"/>
    <w:rsid w:val="005E4138"/>
    <w:rsid w:val="005E53C1"/>
    <w:rsid w:val="005E5DE0"/>
    <w:rsid w:val="005F0E50"/>
    <w:rsid w:val="005F1827"/>
    <w:rsid w:val="005F2D5B"/>
    <w:rsid w:val="005F59D9"/>
    <w:rsid w:val="00600D70"/>
    <w:rsid w:val="00604A72"/>
    <w:rsid w:val="00605B80"/>
    <w:rsid w:val="00605E2F"/>
    <w:rsid w:val="00607A3E"/>
    <w:rsid w:val="00614086"/>
    <w:rsid w:val="006157D9"/>
    <w:rsid w:val="00627F3D"/>
    <w:rsid w:val="00630407"/>
    <w:rsid w:val="00637823"/>
    <w:rsid w:val="0064230D"/>
    <w:rsid w:val="00642841"/>
    <w:rsid w:val="006463B8"/>
    <w:rsid w:val="00651199"/>
    <w:rsid w:val="00657BF9"/>
    <w:rsid w:val="00663EB4"/>
    <w:rsid w:val="00665336"/>
    <w:rsid w:val="00665E35"/>
    <w:rsid w:val="00667609"/>
    <w:rsid w:val="0067321A"/>
    <w:rsid w:val="00677A17"/>
    <w:rsid w:val="00681E0F"/>
    <w:rsid w:val="006823A7"/>
    <w:rsid w:val="006825BB"/>
    <w:rsid w:val="006835FA"/>
    <w:rsid w:val="00686D24"/>
    <w:rsid w:val="006928ED"/>
    <w:rsid w:val="00692B58"/>
    <w:rsid w:val="00692CAC"/>
    <w:rsid w:val="00695BBA"/>
    <w:rsid w:val="006962F9"/>
    <w:rsid w:val="00697080"/>
    <w:rsid w:val="006A01CA"/>
    <w:rsid w:val="006A3A42"/>
    <w:rsid w:val="006A445D"/>
    <w:rsid w:val="006A6E6F"/>
    <w:rsid w:val="006A75DF"/>
    <w:rsid w:val="006A7C7F"/>
    <w:rsid w:val="006B04B3"/>
    <w:rsid w:val="006B4086"/>
    <w:rsid w:val="006B4C4A"/>
    <w:rsid w:val="006B52C9"/>
    <w:rsid w:val="006C158B"/>
    <w:rsid w:val="006C18C2"/>
    <w:rsid w:val="006C62B2"/>
    <w:rsid w:val="006C6FE7"/>
    <w:rsid w:val="006C7909"/>
    <w:rsid w:val="006D0652"/>
    <w:rsid w:val="006D42CD"/>
    <w:rsid w:val="006E105C"/>
    <w:rsid w:val="006E5698"/>
    <w:rsid w:val="006F3E72"/>
    <w:rsid w:val="006F45CD"/>
    <w:rsid w:val="006F5743"/>
    <w:rsid w:val="006F5CFE"/>
    <w:rsid w:val="006F653B"/>
    <w:rsid w:val="006F74EC"/>
    <w:rsid w:val="00700967"/>
    <w:rsid w:val="007009C3"/>
    <w:rsid w:val="00702EFC"/>
    <w:rsid w:val="00703E18"/>
    <w:rsid w:val="00704FE3"/>
    <w:rsid w:val="00711B96"/>
    <w:rsid w:val="0071642B"/>
    <w:rsid w:val="00720798"/>
    <w:rsid w:val="00721310"/>
    <w:rsid w:val="00723FF9"/>
    <w:rsid w:val="0072565F"/>
    <w:rsid w:val="00726479"/>
    <w:rsid w:val="00726B0E"/>
    <w:rsid w:val="007532F6"/>
    <w:rsid w:val="00754154"/>
    <w:rsid w:val="00756220"/>
    <w:rsid w:val="00756AED"/>
    <w:rsid w:val="00766661"/>
    <w:rsid w:val="00766F41"/>
    <w:rsid w:val="00770969"/>
    <w:rsid w:val="007714D6"/>
    <w:rsid w:val="007715D8"/>
    <w:rsid w:val="00772D67"/>
    <w:rsid w:val="00773806"/>
    <w:rsid w:val="007754ED"/>
    <w:rsid w:val="00775999"/>
    <w:rsid w:val="0078672E"/>
    <w:rsid w:val="00793655"/>
    <w:rsid w:val="00793721"/>
    <w:rsid w:val="007940AB"/>
    <w:rsid w:val="0079621B"/>
    <w:rsid w:val="00796EB0"/>
    <w:rsid w:val="007A12AA"/>
    <w:rsid w:val="007A20DF"/>
    <w:rsid w:val="007A2199"/>
    <w:rsid w:val="007A4103"/>
    <w:rsid w:val="007A763A"/>
    <w:rsid w:val="007B14D5"/>
    <w:rsid w:val="007B2538"/>
    <w:rsid w:val="007B2A3A"/>
    <w:rsid w:val="007B5342"/>
    <w:rsid w:val="007B6376"/>
    <w:rsid w:val="007B6AD2"/>
    <w:rsid w:val="007B787B"/>
    <w:rsid w:val="007C1D1B"/>
    <w:rsid w:val="007C3B62"/>
    <w:rsid w:val="007D0066"/>
    <w:rsid w:val="007D471D"/>
    <w:rsid w:val="007D5AF9"/>
    <w:rsid w:val="007D5BDD"/>
    <w:rsid w:val="007D7625"/>
    <w:rsid w:val="007E6233"/>
    <w:rsid w:val="007F0361"/>
    <w:rsid w:val="007F14A8"/>
    <w:rsid w:val="007F1D92"/>
    <w:rsid w:val="007F3E1E"/>
    <w:rsid w:val="00800AE5"/>
    <w:rsid w:val="00801493"/>
    <w:rsid w:val="00803499"/>
    <w:rsid w:val="00805728"/>
    <w:rsid w:val="0080701B"/>
    <w:rsid w:val="00807149"/>
    <w:rsid w:val="00811310"/>
    <w:rsid w:val="00816B09"/>
    <w:rsid w:val="00816FD3"/>
    <w:rsid w:val="008204B1"/>
    <w:rsid w:val="008206B8"/>
    <w:rsid w:val="00821E44"/>
    <w:rsid w:val="008316A9"/>
    <w:rsid w:val="008367AF"/>
    <w:rsid w:val="00841752"/>
    <w:rsid w:val="0084650A"/>
    <w:rsid w:val="00851D45"/>
    <w:rsid w:val="00855F8B"/>
    <w:rsid w:val="00856208"/>
    <w:rsid w:val="00857CDB"/>
    <w:rsid w:val="008620F5"/>
    <w:rsid w:val="00862EEA"/>
    <w:rsid w:val="008655B6"/>
    <w:rsid w:val="0087019A"/>
    <w:rsid w:val="00873FFC"/>
    <w:rsid w:val="0087772C"/>
    <w:rsid w:val="008800A3"/>
    <w:rsid w:val="0088030E"/>
    <w:rsid w:val="008812F8"/>
    <w:rsid w:val="00882AB3"/>
    <w:rsid w:val="00886057"/>
    <w:rsid w:val="00890CC1"/>
    <w:rsid w:val="00890D33"/>
    <w:rsid w:val="008914D4"/>
    <w:rsid w:val="0089430A"/>
    <w:rsid w:val="00894869"/>
    <w:rsid w:val="00895042"/>
    <w:rsid w:val="008A1494"/>
    <w:rsid w:val="008B07E5"/>
    <w:rsid w:val="008B7077"/>
    <w:rsid w:val="008C1CF1"/>
    <w:rsid w:val="008C4E52"/>
    <w:rsid w:val="008C5C66"/>
    <w:rsid w:val="008C5CE0"/>
    <w:rsid w:val="008D09FB"/>
    <w:rsid w:val="008D2C6A"/>
    <w:rsid w:val="008D32BA"/>
    <w:rsid w:val="008D3F89"/>
    <w:rsid w:val="008D5825"/>
    <w:rsid w:val="008E3538"/>
    <w:rsid w:val="008F21B7"/>
    <w:rsid w:val="008F28A0"/>
    <w:rsid w:val="008F3393"/>
    <w:rsid w:val="008F3AA8"/>
    <w:rsid w:val="00902536"/>
    <w:rsid w:val="00902E6B"/>
    <w:rsid w:val="00911F85"/>
    <w:rsid w:val="0091448B"/>
    <w:rsid w:val="00925041"/>
    <w:rsid w:val="00925EF7"/>
    <w:rsid w:val="0092706C"/>
    <w:rsid w:val="00927A66"/>
    <w:rsid w:val="00932C6D"/>
    <w:rsid w:val="009335BE"/>
    <w:rsid w:val="0094255A"/>
    <w:rsid w:val="00945E3D"/>
    <w:rsid w:val="009500AF"/>
    <w:rsid w:val="00951C8F"/>
    <w:rsid w:val="0095475B"/>
    <w:rsid w:val="00956FD4"/>
    <w:rsid w:val="0096081E"/>
    <w:rsid w:val="00961243"/>
    <w:rsid w:val="0096472F"/>
    <w:rsid w:val="009663BF"/>
    <w:rsid w:val="009664CB"/>
    <w:rsid w:val="00970509"/>
    <w:rsid w:val="00976D59"/>
    <w:rsid w:val="009805C2"/>
    <w:rsid w:val="009847DE"/>
    <w:rsid w:val="00985BD8"/>
    <w:rsid w:val="00991041"/>
    <w:rsid w:val="00991E5D"/>
    <w:rsid w:val="009922FC"/>
    <w:rsid w:val="009A60B7"/>
    <w:rsid w:val="009A686C"/>
    <w:rsid w:val="009B4B1F"/>
    <w:rsid w:val="009B747A"/>
    <w:rsid w:val="009C0525"/>
    <w:rsid w:val="009C1E82"/>
    <w:rsid w:val="009C37F1"/>
    <w:rsid w:val="009C4675"/>
    <w:rsid w:val="009C5CA1"/>
    <w:rsid w:val="009C7BA5"/>
    <w:rsid w:val="009D22FB"/>
    <w:rsid w:val="009D321B"/>
    <w:rsid w:val="009D54AB"/>
    <w:rsid w:val="009D58EA"/>
    <w:rsid w:val="009E04A0"/>
    <w:rsid w:val="009E3844"/>
    <w:rsid w:val="009E3B68"/>
    <w:rsid w:val="009F2043"/>
    <w:rsid w:val="009F6456"/>
    <w:rsid w:val="00A03815"/>
    <w:rsid w:val="00A1050E"/>
    <w:rsid w:val="00A11639"/>
    <w:rsid w:val="00A12ACD"/>
    <w:rsid w:val="00A154AD"/>
    <w:rsid w:val="00A155DC"/>
    <w:rsid w:val="00A17671"/>
    <w:rsid w:val="00A17735"/>
    <w:rsid w:val="00A17986"/>
    <w:rsid w:val="00A20A92"/>
    <w:rsid w:val="00A20F42"/>
    <w:rsid w:val="00A21A19"/>
    <w:rsid w:val="00A225F3"/>
    <w:rsid w:val="00A23A2F"/>
    <w:rsid w:val="00A3070D"/>
    <w:rsid w:val="00A37D0E"/>
    <w:rsid w:val="00A410BC"/>
    <w:rsid w:val="00A42217"/>
    <w:rsid w:val="00A44A8B"/>
    <w:rsid w:val="00A5234C"/>
    <w:rsid w:val="00A548B3"/>
    <w:rsid w:val="00A54D7D"/>
    <w:rsid w:val="00A564A7"/>
    <w:rsid w:val="00A56EF3"/>
    <w:rsid w:val="00A57057"/>
    <w:rsid w:val="00A57778"/>
    <w:rsid w:val="00A61ED7"/>
    <w:rsid w:val="00A66938"/>
    <w:rsid w:val="00A66A1D"/>
    <w:rsid w:val="00A66A7F"/>
    <w:rsid w:val="00A66DB6"/>
    <w:rsid w:val="00A74AD1"/>
    <w:rsid w:val="00A75267"/>
    <w:rsid w:val="00A77BDD"/>
    <w:rsid w:val="00A77DE9"/>
    <w:rsid w:val="00A80030"/>
    <w:rsid w:val="00A825FC"/>
    <w:rsid w:val="00A85E68"/>
    <w:rsid w:val="00A865B6"/>
    <w:rsid w:val="00A86D02"/>
    <w:rsid w:val="00A9331B"/>
    <w:rsid w:val="00A94593"/>
    <w:rsid w:val="00AA4BE8"/>
    <w:rsid w:val="00AA5B57"/>
    <w:rsid w:val="00AB2446"/>
    <w:rsid w:val="00AB5AA3"/>
    <w:rsid w:val="00AC3164"/>
    <w:rsid w:val="00AD04F3"/>
    <w:rsid w:val="00AD0CD0"/>
    <w:rsid w:val="00AD19AA"/>
    <w:rsid w:val="00AD453B"/>
    <w:rsid w:val="00AD75FE"/>
    <w:rsid w:val="00AD7DAD"/>
    <w:rsid w:val="00AE039E"/>
    <w:rsid w:val="00AE0D18"/>
    <w:rsid w:val="00AE463E"/>
    <w:rsid w:val="00AE5899"/>
    <w:rsid w:val="00AE599E"/>
    <w:rsid w:val="00AF134A"/>
    <w:rsid w:val="00AF21D2"/>
    <w:rsid w:val="00AF58E6"/>
    <w:rsid w:val="00B00161"/>
    <w:rsid w:val="00B11C44"/>
    <w:rsid w:val="00B15EE8"/>
    <w:rsid w:val="00B1647E"/>
    <w:rsid w:val="00B201D9"/>
    <w:rsid w:val="00B202BC"/>
    <w:rsid w:val="00B213CD"/>
    <w:rsid w:val="00B31D22"/>
    <w:rsid w:val="00B34762"/>
    <w:rsid w:val="00B3488B"/>
    <w:rsid w:val="00B35D26"/>
    <w:rsid w:val="00B35E37"/>
    <w:rsid w:val="00B37EF6"/>
    <w:rsid w:val="00B432A6"/>
    <w:rsid w:val="00B45377"/>
    <w:rsid w:val="00B472C6"/>
    <w:rsid w:val="00B503FC"/>
    <w:rsid w:val="00B50D30"/>
    <w:rsid w:val="00B5232C"/>
    <w:rsid w:val="00B54DFF"/>
    <w:rsid w:val="00B555B9"/>
    <w:rsid w:val="00B55F41"/>
    <w:rsid w:val="00B6071C"/>
    <w:rsid w:val="00B64994"/>
    <w:rsid w:val="00B7037D"/>
    <w:rsid w:val="00B72547"/>
    <w:rsid w:val="00B743B7"/>
    <w:rsid w:val="00B772D9"/>
    <w:rsid w:val="00B83C0F"/>
    <w:rsid w:val="00B859E2"/>
    <w:rsid w:val="00B85BC6"/>
    <w:rsid w:val="00B95729"/>
    <w:rsid w:val="00BA36A2"/>
    <w:rsid w:val="00BA4350"/>
    <w:rsid w:val="00BA5887"/>
    <w:rsid w:val="00BA7CAC"/>
    <w:rsid w:val="00BB1574"/>
    <w:rsid w:val="00BB17C5"/>
    <w:rsid w:val="00BB1CE4"/>
    <w:rsid w:val="00BB24AF"/>
    <w:rsid w:val="00BB5800"/>
    <w:rsid w:val="00BB74CF"/>
    <w:rsid w:val="00BC1046"/>
    <w:rsid w:val="00BC2173"/>
    <w:rsid w:val="00BC7456"/>
    <w:rsid w:val="00BD346C"/>
    <w:rsid w:val="00BD3A5B"/>
    <w:rsid w:val="00BE4405"/>
    <w:rsid w:val="00BE5D8F"/>
    <w:rsid w:val="00BF45A0"/>
    <w:rsid w:val="00BF5C33"/>
    <w:rsid w:val="00C02AB9"/>
    <w:rsid w:val="00C03EF5"/>
    <w:rsid w:val="00C049B6"/>
    <w:rsid w:val="00C102B6"/>
    <w:rsid w:val="00C15CFF"/>
    <w:rsid w:val="00C164EC"/>
    <w:rsid w:val="00C21848"/>
    <w:rsid w:val="00C245FB"/>
    <w:rsid w:val="00C24D29"/>
    <w:rsid w:val="00C30D6C"/>
    <w:rsid w:val="00C35984"/>
    <w:rsid w:val="00C36466"/>
    <w:rsid w:val="00C43C60"/>
    <w:rsid w:val="00C45C28"/>
    <w:rsid w:val="00C47263"/>
    <w:rsid w:val="00C527F0"/>
    <w:rsid w:val="00C5638B"/>
    <w:rsid w:val="00C6284C"/>
    <w:rsid w:val="00C75DE5"/>
    <w:rsid w:val="00C831DF"/>
    <w:rsid w:val="00C864AF"/>
    <w:rsid w:val="00C86C40"/>
    <w:rsid w:val="00C87698"/>
    <w:rsid w:val="00C9181D"/>
    <w:rsid w:val="00C92341"/>
    <w:rsid w:val="00C9562E"/>
    <w:rsid w:val="00CA15C8"/>
    <w:rsid w:val="00CA7072"/>
    <w:rsid w:val="00CB0052"/>
    <w:rsid w:val="00CB5AE1"/>
    <w:rsid w:val="00CB5B28"/>
    <w:rsid w:val="00CC1CF7"/>
    <w:rsid w:val="00CC4F85"/>
    <w:rsid w:val="00CC6B8E"/>
    <w:rsid w:val="00CC7453"/>
    <w:rsid w:val="00CD1BF2"/>
    <w:rsid w:val="00CD4E02"/>
    <w:rsid w:val="00CD59A5"/>
    <w:rsid w:val="00CD798C"/>
    <w:rsid w:val="00CE1D80"/>
    <w:rsid w:val="00CE4F3E"/>
    <w:rsid w:val="00CF3F66"/>
    <w:rsid w:val="00CF4C32"/>
    <w:rsid w:val="00CF553C"/>
    <w:rsid w:val="00CF64D9"/>
    <w:rsid w:val="00CF6C64"/>
    <w:rsid w:val="00CF6F75"/>
    <w:rsid w:val="00CF775C"/>
    <w:rsid w:val="00D00F38"/>
    <w:rsid w:val="00D03C40"/>
    <w:rsid w:val="00D05A6F"/>
    <w:rsid w:val="00D100A3"/>
    <w:rsid w:val="00D10F22"/>
    <w:rsid w:val="00D110C5"/>
    <w:rsid w:val="00D123DD"/>
    <w:rsid w:val="00D14075"/>
    <w:rsid w:val="00D20FD9"/>
    <w:rsid w:val="00D348D7"/>
    <w:rsid w:val="00D36B50"/>
    <w:rsid w:val="00D36C08"/>
    <w:rsid w:val="00D36C63"/>
    <w:rsid w:val="00D37EEB"/>
    <w:rsid w:val="00D40154"/>
    <w:rsid w:val="00D41ED3"/>
    <w:rsid w:val="00D41FFF"/>
    <w:rsid w:val="00D44FE3"/>
    <w:rsid w:val="00D51A9F"/>
    <w:rsid w:val="00D526CC"/>
    <w:rsid w:val="00D549E8"/>
    <w:rsid w:val="00D54EAB"/>
    <w:rsid w:val="00D60D7A"/>
    <w:rsid w:val="00D65BF2"/>
    <w:rsid w:val="00D672E8"/>
    <w:rsid w:val="00D678D9"/>
    <w:rsid w:val="00D768C4"/>
    <w:rsid w:val="00D8207A"/>
    <w:rsid w:val="00D83909"/>
    <w:rsid w:val="00D85147"/>
    <w:rsid w:val="00D92BB0"/>
    <w:rsid w:val="00D95E12"/>
    <w:rsid w:val="00D96F7C"/>
    <w:rsid w:val="00D9725B"/>
    <w:rsid w:val="00DA2DAD"/>
    <w:rsid w:val="00DA3929"/>
    <w:rsid w:val="00DA4C99"/>
    <w:rsid w:val="00DA54B1"/>
    <w:rsid w:val="00DB0AF7"/>
    <w:rsid w:val="00DB7DFF"/>
    <w:rsid w:val="00DC122C"/>
    <w:rsid w:val="00DD0FFE"/>
    <w:rsid w:val="00DD305F"/>
    <w:rsid w:val="00DD6CC3"/>
    <w:rsid w:val="00DE3281"/>
    <w:rsid w:val="00DE3FBF"/>
    <w:rsid w:val="00DF15AE"/>
    <w:rsid w:val="00DF56DD"/>
    <w:rsid w:val="00E035C7"/>
    <w:rsid w:val="00E0476F"/>
    <w:rsid w:val="00E11A31"/>
    <w:rsid w:val="00E13347"/>
    <w:rsid w:val="00E136C1"/>
    <w:rsid w:val="00E13F7B"/>
    <w:rsid w:val="00E16802"/>
    <w:rsid w:val="00E20189"/>
    <w:rsid w:val="00E24D49"/>
    <w:rsid w:val="00E31DDC"/>
    <w:rsid w:val="00E35DF1"/>
    <w:rsid w:val="00E36C9D"/>
    <w:rsid w:val="00E37FFA"/>
    <w:rsid w:val="00E41C2D"/>
    <w:rsid w:val="00E47A5B"/>
    <w:rsid w:val="00E50689"/>
    <w:rsid w:val="00E50CBE"/>
    <w:rsid w:val="00E6057F"/>
    <w:rsid w:val="00E61CC5"/>
    <w:rsid w:val="00E63BBB"/>
    <w:rsid w:val="00E64159"/>
    <w:rsid w:val="00E6585F"/>
    <w:rsid w:val="00E675E1"/>
    <w:rsid w:val="00E73674"/>
    <w:rsid w:val="00E739FC"/>
    <w:rsid w:val="00E75EE6"/>
    <w:rsid w:val="00E77354"/>
    <w:rsid w:val="00E80108"/>
    <w:rsid w:val="00E83A0E"/>
    <w:rsid w:val="00E843FD"/>
    <w:rsid w:val="00E914CA"/>
    <w:rsid w:val="00E92F4E"/>
    <w:rsid w:val="00EA759A"/>
    <w:rsid w:val="00EB1802"/>
    <w:rsid w:val="00EC2E11"/>
    <w:rsid w:val="00EC4B2D"/>
    <w:rsid w:val="00ED1D7F"/>
    <w:rsid w:val="00ED1EAC"/>
    <w:rsid w:val="00ED48E4"/>
    <w:rsid w:val="00ED68C0"/>
    <w:rsid w:val="00EE1A52"/>
    <w:rsid w:val="00EE29A0"/>
    <w:rsid w:val="00EE7AFA"/>
    <w:rsid w:val="00EE7B06"/>
    <w:rsid w:val="00EE7C66"/>
    <w:rsid w:val="00EF2089"/>
    <w:rsid w:val="00EF3764"/>
    <w:rsid w:val="00EF5222"/>
    <w:rsid w:val="00F0288F"/>
    <w:rsid w:val="00F05CE0"/>
    <w:rsid w:val="00F0703F"/>
    <w:rsid w:val="00F106B1"/>
    <w:rsid w:val="00F106CE"/>
    <w:rsid w:val="00F220E9"/>
    <w:rsid w:val="00F23240"/>
    <w:rsid w:val="00F27C16"/>
    <w:rsid w:val="00F30D32"/>
    <w:rsid w:val="00F3206A"/>
    <w:rsid w:val="00F34909"/>
    <w:rsid w:val="00F364A4"/>
    <w:rsid w:val="00F4069E"/>
    <w:rsid w:val="00F41FA3"/>
    <w:rsid w:val="00F4372F"/>
    <w:rsid w:val="00F443DA"/>
    <w:rsid w:val="00F50C14"/>
    <w:rsid w:val="00F51783"/>
    <w:rsid w:val="00F643A2"/>
    <w:rsid w:val="00F66EA7"/>
    <w:rsid w:val="00F67FC4"/>
    <w:rsid w:val="00F710AA"/>
    <w:rsid w:val="00F77C3D"/>
    <w:rsid w:val="00F82790"/>
    <w:rsid w:val="00F82FD5"/>
    <w:rsid w:val="00F85AFD"/>
    <w:rsid w:val="00F8735F"/>
    <w:rsid w:val="00F87576"/>
    <w:rsid w:val="00F93B20"/>
    <w:rsid w:val="00F944EE"/>
    <w:rsid w:val="00F9550C"/>
    <w:rsid w:val="00FA1AC7"/>
    <w:rsid w:val="00FA1FAE"/>
    <w:rsid w:val="00FA5DE1"/>
    <w:rsid w:val="00FA68C9"/>
    <w:rsid w:val="00FA71C0"/>
    <w:rsid w:val="00FA7964"/>
    <w:rsid w:val="00FB0E12"/>
    <w:rsid w:val="00FB2918"/>
    <w:rsid w:val="00FB4BEA"/>
    <w:rsid w:val="00FB51BE"/>
    <w:rsid w:val="00FB798A"/>
    <w:rsid w:val="00FC146F"/>
    <w:rsid w:val="00FC49E1"/>
    <w:rsid w:val="00FC5CC0"/>
    <w:rsid w:val="00FC5D38"/>
    <w:rsid w:val="00FD0DDE"/>
    <w:rsid w:val="00FD2FAD"/>
    <w:rsid w:val="00FD61CE"/>
    <w:rsid w:val="00FE148E"/>
    <w:rsid w:val="00FE20F8"/>
    <w:rsid w:val="00FF6289"/>
    <w:rsid w:val="00FF7C7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6481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7133"/>
    <w:pPr>
      <w:spacing w:after="240" w:line="264" w:lineRule="auto"/>
    </w:pPr>
    <w:rPr>
      <w:color w:val="595959" w:themeColor="text1" w:themeTint="A6"/>
    </w:rPr>
  </w:style>
  <w:style w:type="paragraph" w:styleId="Heading1">
    <w:name w:val="heading 1"/>
    <w:basedOn w:val="Normal"/>
    <w:next w:val="Normal"/>
    <w:qFormat/>
    <w:rsid w:val="00FB51BE"/>
    <w:pPr>
      <w:keepNext/>
      <w:pageBreakBefore/>
      <w:numPr>
        <w:numId w:val="34"/>
      </w:numPr>
      <w:pBdr>
        <w:bottom w:val="single" w:sz="18" w:space="8" w:color="495257" w:themeColor="text2"/>
      </w:pBdr>
      <w:spacing w:after="480"/>
      <w:outlineLvl w:val="0"/>
    </w:pPr>
    <w:rPr>
      <w:rFonts w:cs="Arial"/>
      <w:b/>
      <w:bCs/>
      <w:color w:val="4A5358" w:themeColor="accent1"/>
      <w:kern w:val="32"/>
      <w:sz w:val="40"/>
      <w:szCs w:val="32"/>
    </w:rPr>
  </w:style>
  <w:style w:type="paragraph" w:styleId="Heading2">
    <w:name w:val="heading 2"/>
    <w:basedOn w:val="Normal"/>
    <w:next w:val="Normal"/>
    <w:qFormat/>
    <w:rsid w:val="004C23B6"/>
    <w:pPr>
      <w:keepNext/>
      <w:numPr>
        <w:ilvl w:val="1"/>
        <w:numId w:val="34"/>
      </w:numPr>
      <w:spacing w:before="480"/>
      <w:outlineLvl w:val="1"/>
    </w:pPr>
    <w:rPr>
      <w:rFonts w:cs="Arial"/>
      <w:b/>
      <w:bCs/>
      <w:iCs/>
      <w:color w:val="72929B" w:themeColor="background2"/>
      <w:sz w:val="28"/>
      <w:szCs w:val="28"/>
    </w:rPr>
  </w:style>
  <w:style w:type="paragraph" w:styleId="Heading3">
    <w:name w:val="heading 3"/>
    <w:basedOn w:val="Normal"/>
    <w:next w:val="Normal"/>
    <w:qFormat/>
    <w:rsid w:val="00B35E37"/>
    <w:pPr>
      <w:keepNext/>
      <w:numPr>
        <w:ilvl w:val="2"/>
        <w:numId w:val="34"/>
      </w:numPr>
      <w:spacing w:before="480"/>
      <w:ind w:left="851"/>
      <w:outlineLvl w:val="2"/>
    </w:pPr>
    <w:rPr>
      <w:rFonts w:cs="Arial"/>
      <w:b/>
      <w:bCs/>
      <w:color w:val="3583AA" w:themeColor="accent3"/>
      <w:szCs w:val="26"/>
    </w:rPr>
  </w:style>
  <w:style w:type="paragraph" w:styleId="Heading4">
    <w:name w:val="heading 4"/>
    <w:basedOn w:val="Normal"/>
    <w:next w:val="Normal"/>
    <w:rsid w:val="004963C2"/>
    <w:pPr>
      <w:keepNext/>
      <w:spacing w:before="360" w:after="120"/>
      <w:outlineLvl w:val="3"/>
    </w:pPr>
    <w:rPr>
      <w:b/>
      <w:bCs/>
      <w:i/>
      <w:color w:val="7DC0D1" w:themeColor="accent4"/>
      <w:szCs w:val="28"/>
    </w:rPr>
  </w:style>
  <w:style w:type="paragraph" w:styleId="Heading5">
    <w:name w:val="heading 5"/>
    <w:basedOn w:val="Normal"/>
    <w:next w:val="Normal"/>
    <w:rsid w:val="00BA5887"/>
    <w:pPr>
      <w:keepNext/>
      <w:spacing w:before="60" w:after="60"/>
      <w:outlineLvl w:val="4"/>
    </w:pPr>
    <w:rPr>
      <w:bCs/>
      <w:i/>
      <w:iCs/>
      <w:color w:val="7DC0D1" w:themeColor="accent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D526CC"/>
    <w:pPr>
      <w:numPr>
        <w:ilvl w:val="1"/>
      </w:numPr>
      <w:spacing w:after="480"/>
    </w:pPr>
    <w:rPr>
      <w:rFonts w:ascii="Cambria" w:eastAsiaTheme="majorEastAsia" w:hAnsi="Cambria" w:cstheme="majorBidi"/>
      <w:b/>
      <w:i/>
      <w:iCs/>
      <w:color w:val="72929B" w:themeColor="background2"/>
      <w:sz w:val="40"/>
      <w:szCs w:val="24"/>
    </w:rPr>
  </w:style>
  <w:style w:type="character" w:customStyle="1" w:styleId="SubtitleChar">
    <w:name w:val="Subtitle Char"/>
    <w:basedOn w:val="DefaultParagraphFont"/>
    <w:link w:val="Subtitle"/>
    <w:uiPriority w:val="11"/>
    <w:rsid w:val="00D526CC"/>
    <w:rPr>
      <w:rFonts w:ascii="Cambria" w:eastAsiaTheme="majorEastAsia" w:hAnsi="Cambria" w:cstheme="majorBidi"/>
      <w:b/>
      <w:i/>
      <w:iCs/>
      <w:color w:val="72929B" w:themeColor="background2"/>
      <w:sz w:val="40"/>
      <w:szCs w:val="24"/>
    </w:rPr>
  </w:style>
  <w:style w:type="paragraph" w:customStyle="1" w:styleId="PullQuote">
    <w:name w:val="PullQuote"/>
    <w:basedOn w:val="Normal"/>
    <w:next w:val="Normal"/>
    <w:rsid w:val="00063FB9"/>
    <w:pPr>
      <w:spacing w:after="360"/>
      <w:ind w:left="567" w:right="567"/>
    </w:pPr>
    <w:rPr>
      <w:rFonts w:ascii="Cambria" w:hAnsi="Cambria"/>
      <w:b/>
      <w:i/>
      <w:color w:val="AD985F" w:themeColor="accent6" w:themeShade="BF"/>
      <w:sz w:val="28"/>
    </w:rPr>
  </w:style>
  <w:style w:type="paragraph" w:customStyle="1" w:styleId="Heading2a">
    <w:name w:val="Heading 2a"/>
    <w:basedOn w:val="Heading2"/>
    <w:next w:val="Normal"/>
    <w:rsid w:val="00150C89"/>
    <w:pPr>
      <w:numPr>
        <w:ilvl w:val="0"/>
        <w:numId w:val="0"/>
      </w:numPr>
      <w:outlineLvl w:val="9"/>
    </w:pPr>
  </w:style>
  <w:style w:type="paragraph" w:customStyle="1" w:styleId="Heading3a">
    <w:name w:val="Heading 3a"/>
    <w:basedOn w:val="Heading3"/>
    <w:next w:val="Normal"/>
    <w:rsid w:val="00150C89"/>
    <w:pPr>
      <w:numPr>
        <w:ilvl w:val="0"/>
        <w:numId w:val="0"/>
      </w:numPr>
      <w:outlineLvl w:val="9"/>
    </w:pPr>
  </w:style>
  <w:style w:type="paragraph" w:styleId="Header">
    <w:name w:val="header"/>
    <w:basedOn w:val="Normal"/>
    <w:semiHidden/>
    <w:rsid w:val="00667609"/>
    <w:pPr>
      <w:tabs>
        <w:tab w:val="right" w:pos="9000"/>
      </w:tabs>
      <w:spacing w:after="0"/>
      <w:jc w:val="right"/>
    </w:pPr>
    <w:rPr>
      <w:sz w:val="18"/>
    </w:rPr>
  </w:style>
  <w:style w:type="paragraph" w:styleId="Footer">
    <w:name w:val="footer"/>
    <w:basedOn w:val="Normal"/>
    <w:link w:val="FooterChar"/>
    <w:uiPriority w:val="99"/>
    <w:rsid w:val="003F3553"/>
    <w:pPr>
      <w:tabs>
        <w:tab w:val="right" w:pos="9000"/>
      </w:tabs>
      <w:spacing w:after="0"/>
    </w:pPr>
    <w:rPr>
      <w:sz w:val="18"/>
    </w:rPr>
  </w:style>
  <w:style w:type="character" w:customStyle="1" w:styleId="FooterChar">
    <w:name w:val="Footer Char"/>
    <w:basedOn w:val="DefaultParagraphFont"/>
    <w:link w:val="Footer"/>
    <w:uiPriority w:val="99"/>
    <w:rsid w:val="003F3553"/>
    <w:rPr>
      <w:rFonts w:ascii="Arial" w:hAnsi="Arial"/>
      <w:color w:val="404040" w:themeColor="text1" w:themeTint="BF"/>
      <w:sz w:val="18"/>
    </w:rPr>
  </w:style>
  <w:style w:type="character" w:styleId="PageNumber">
    <w:name w:val="page number"/>
    <w:basedOn w:val="DefaultParagraphFont"/>
    <w:semiHidden/>
    <w:rsid w:val="00E035C7"/>
    <w:rPr>
      <w:rFonts w:ascii="Arial" w:hAnsi="Arial"/>
      <w:b w:val="0"/>
      <w:color w:val="495257" w:themeColor="text2"/>
      <w:sz w:val="20"/>
    </w:rPr>
  </w:style>
  <w:style w:type="paragraph" w:customStyle="1" w:styleId="TableText">
    <w:name w:val="TableText"/>
    <w:basedOn w:val="Normal"/>
    <w:rsid w:val="00D65BF2"/>
    <w:pPr>
      <w:keepNext/>
      <w:spacing w:before="60" w:after="60"/>
    </w:pPr>
    <w:rPr>
      <w:color w:val="4A5358" w:themeColor="accent1"/>
      <w:szCs w:val="21"/>
    </w:rPr>
  </w:style>
  <w:style w:type="paragraph" w:customStyle="1" w:styleId="TFNoteSourceList">
    <w:name w:val="TFNoteSource List"/>
    <w:basedOn w:val="Normal"/>
    <w:rsid w:val="00F77C3D"/>
    <w:pPr>
      <w:keepNext/>
      <w:keepLines/>
      <w:spacing w:after="0"/>
      <w:ind w:left="170" w:hanging="170"/>
    </w:pPr>
    <w:rPr>
      <w:sz w:val="16"/>
      <w:szCs w:val="18"/>
    </w:rPr>
  </w:style>
  <w:style w:type="paragraph" w:customStyle="1" w:styleId="TableHeading">
    <w:name w:val="TableHeading"/>
    <w:basedOn w:val="TableText"/>
    <w:rsid w:val="001134C2"/>
    <w:rPr>
      <w:b/>
    </w:rPr>
  </w:style>
  <w:style w:type="paragraph" w:customStyle="1" w:styleId="TableBullet">
    <w:name w:val="TableBullet"/>
    <w:basedOn w:val="TableText"/>
    <w:rsid w:val="00D20FD9"/>
    <w:pPr>
      <w:numPr>
        <w:numId w:val="1"/>
      </w:numPr>
      <w:tabs>
        <w:tab w:val="left" w:pos="216"/>
      </w:tabs>
    </w:pPr>
  </w:style>
  <w:style w:type="paragraph" w:customStyle="1" w:styleId="TableBullet2">
    <w:name w:val="TableBullet2"/>
    <w:basedOn w:val="TableText"/>
    <w:rsid w:val="00D20FD9"/>
    <w:pPr>
      <w:numPr>
        <w:numId w:val="2"/>
      </w:numPr>
      <w:tabs>
        <w:tab w:val="clear" w:pos="216"/>
        <w:tab w:val="num" w:pos="432"/>
      </w:tabs>
    </w:pPr>
  </w:style>
  <w:style w:type="paragraph" w:styleId="Quote">
    <w:name w:val="Quote"/>
    <w:basedOn w:val="Normal"/>
    <w:rsid w:val="002868A9"/>
    <w:pPr>
      <w:ind w:left="720" w:right="720"/>
    </w:pPr>
    <w:rPr>
      <w:i/>
    </w:rPr>
  </w:style>
  <w:style w:type="paragraph" w:customStyle="1" w:styleId="References">
    <w:name w:val="References"/>
    <w:basedOn w:val="Normal"/>
    <w:rsid w:val="00BD346C"/>
    <w:pPr>
      <w:keepLines/>
      <w:ind w:left="720" w:hanging="720"/>
    </w:pPr>
  </w:style>
  <w:style w:type="paragraph" w:styleId="FootnoteText">
    <w:name w:val="footnote text"/>
    <w:basedOn w:val="Normal"/>
    <w:semiHidden/>
    <w:rsid w:val="006F74EC"/>
    <w:pPr>
      <w:spacing w:after="60" w:line="240" w:lineRule="auto"/>
      <w:ind w:left="357" w:hanging="357"/>
    </w:pPr>
    <w:rPr>
      <w:sz w:val="17"/>
    </w:rPr>
  </w:style>
  <w:style w:type="character" w:styleId="FootnoteReference">
    <w:name w:val="footnote reference"/>
    <w:basedOn w:val="DefaultParagraphFont"/>
    <w:semiHidden/>
    <w:rsid w:val="00D20FD9"/>
    <w:rPr>
      <w:vertAlign w:val="superscript"/>
    </w:rPr>
  </w:style>
  <w:style w:type="paragraph" w:customStyle="1" w:styleId="TFNoteSourceStandard">
    <w:name w:val="TFNoteSource Standard"/>
    <w:basedOn w:val="TFNoteSourceList"/>
    <w:rsid w:val="00951C8F"/>
    <w:pPr>
      <w:spacing w:after="60"/>
      <w:ind w:left="0" w:firstLine="0"/>
    </w:pPr>
  </w:style>
  <w:style w:type="paragraph" w:styleId="TOC1">
    <w:name w:val="toc 1"/>
    <w:basedOn w:val="Normal"/>
    <w:next w:val="Normal"/>
    <w:autoRedefine/>
    <w:uiPriority w:val="39"/>
    <w:rsid w:val="00DD0FFE"/>
    <w:pPr>
      <w:tabs>
        <w:tab w:val="left" w:pos="284"/>
        <w:tab w:val="right" w:leader="dot" w:pos="9072"/>
      </w:tabs>
      <w:spacing w:before="480" w:after="60"/>
      <w:ind w:left="567" w:right="567" w:hanging="567"/>
    </w:pPr>
    <w:rPr>
      <w:rFonts w:ascii="Cambria" w:hAnsi="Cambria"/>
      <w:b/>
      <w:bCs/>
      <w:i/>
      <w:noProof/>
      <w:color w:val="72929B" w:themeColor="background2"/>
      <w:sz w:val="24"/>
    </w:rPr>
  </w:style>
  <w:style w:type="paragraph" w:styleId="TOC2">
    <w:name w:val="toc 2"/>
    <w:basedOn w:val="Normal"/>
    <w:next w:val="Normal"/>
    <w:autoRedefine/>
    <w:uiPriority w:val="39"/>
    <w:rsid w:val="00E739FC"/>
    <w:pPr>
      <w:tabs>
        <w:tab w:val="right" w:pos="1247"/>
        <w:tab w:val="right" w:leader="dot" w:pos="9072"/>
      </w:tabs>
      <w:spacing w:before="60" w:after="60" w:line="240" w:lineRule="auto"/>
      <w:ind w:left="1021" w:right="567" w:hanging="567"/>
    </w:pPr>
    <w:rPr>
      <w:noProof/>
      <w:color w:val="4A5358" w:themeColor="accent1"/>
    </w:rPr>
  </w:style>
  <w:style w:type="paragraph" w:customStyle="1" w:styleId="Heading1a">
    <w:name w:val="Heading 1a"/>
    <w:basedOn w:val="Heading1"/>
    <w:rsid w:val="00C15CFF"/>
    <w:pPr>
      <w:numPr>
        <w:numId w:val="0"/>
      </w:numPr>
    </w:pPr>
  </w:style>
  <w:style w:type="paragraph" w:styleId="TableofFigures">
    <w:name w:val="table of figures"/>
    <w:basedOn w:val="Normal"/>
    <w:next w:val="Normal"/>
    <w:rsid w:val="00E739FC"/>
    <w:pPr>
      <w:tabs>
        <w:tab w:val="right" w:leader="dot" w:pos="9072"/>
      </w:tabs>
      <w:spacing w:after="120" w:line="240" w:lineRule="auto"/>
      <w:ind w:left="400" w:right="720" w:hangingChars="400" w:hanging="400"/>
    </w:pPr>
    <w:rPr>
      <w:noProof/>
    </w:rPr>
  </w:style>
  <w:style w:type="paragraph" w:customStyle="1" w:styleId="Bullet">
    <w:name w:val="Bullet"/>
    <w:basedOn w:val="Normal"/>
    <w:qFormat/>
    <w:rsid w:val="0071642B"/>
    <w:pPr>
      <w:numPr>
        <w:numId w:val="3"/>
      </w:numPr>
      <w:spacing w:after="160"/>
      <w:ind w:left="357" w:hanging="357"/>
    </w:pPr>
  </w:style>
  <w:style w:type="paragraph" w:customStyle="1" w:styleId="Bullet2">
    <w:name w:val="Bullet2"/>
    <w:basedOn w:val="Normal"/>
    <w:rsid w:val="00231012"/>
    <w:pPr>
      <w:numPr>
        <w:numId w:val="4"/>
      </w:numPr>
      <w:tabs>
        <w:tab w:val="left" w:pos="720"/>
      </w:tabs>
      <w:spacing w:after="120"/>
    </w:pPr>
  </w:style>
  <w:style w:type="character" w:styleId="PlaceholderText">
    <w:name w:val="Placeholder Text"/>
    <w:basedOn w:val="DefaultParagraphFont"/>
    <w:uiPriority w:val="99"/>
    <w:semiHidden/>
    <w:rsid w:val="00231012"/>
    <w:rPr>
      <w:color w:val="808080"/>
    </w:rPr>
  </w:style>
  <w:style w:type="paragraph" w:customStyle="1" w:styleId="BoxText">
    <w:name w:val="BoxText"/>
    <w:basedOn w:val="Normal"/>
    <w:rsid w:val="00C03EF5"/>
    <w:pPr>
      <w:pBdr>
        <w:top w:val="single" w:sz="4" w:space="8" w:color="F4F2EA" w:themeColor="accent6" w:themeTint="33"/>
        <w:left w:val="single" w:sz="4" w:space="8" w:color="F4F2EA" w:themeColor="accent6" w:themeTint="33"/>
        <w:bottom w:val="single" w:sz="4" w:space="8" w:color="F4F2EA" w:themeColor="accent6" w:themeTint="33"/>
        <w:right w:val="single" w:sz="4" w:space="8" w:color="F4F2EA" w:themeColor="accent6" w:themeTint="33"/>
      </w:pBdr>
      <w:shd w:val="clear" w:color="auto" w:fill="F4F2EA" w:themeFill="accent6" w:themeFillTint="33"/>
      <w:spacing w:after="120"/>
      <w:ind w:left="113" w:right="113"/>
    </w:pPr>
  </w:style>
  <w:style w:type="paragraph" w:customStyle="1" w:styleId="BoxNotes">
    <w:name w:val="BoxNotes"/>
    <w:basedOn w:val="BoxText"/>
    <w:rsid w:val="00851D45"/>
    <w:pPr>
      <w:spacing w:before="360" w:after="360"/>
    </w:pPr>
    <w:rPr>
      <w:sz w:val="18"/>
    </w:rPr>
  </w:style>
  <w:style w:type="paragraph" w:customStyle="1" w:styleId="BoxName">
    <w:name w:val="BoxName"/>
    <w:basedOn w:val="BoxText"/>
    <w:rsid w:val="00F77C3D"/>
    <w:pPr>
      <w:keepNext/>
      <w:spacing w:before="180" w:after="240"/>
      <w:ind w:left="1190" w:hanging="1077"/>
    </w:pPr>
    <w:rPr>
      <w:b/>
      <w:bCs/>
      <w:color w:val="77673C" w:themeColor="accent6" w:themeShade="80"/>
      <w:sz w:val="24"/>
    </w:rPr>
  </w:style>
  <w:style w:type="paragraph" w:customStyle="1" w:styleId="BoxHeading">
    <w:name w:val="BoxHeading"/>
    <w:basedOn w:val="BoxText"/>
    <w:rsid w:val="00C03EF5"/>
    <w:pPr>
      <w:keepNext/>
      <w:spacing w:before="120" w:after="60"/>
    </w:pPr>
    <w:rPr>
      <w:b/>
      <w:bCs/>
    </w:rPr>
  </w:style>
  <w:style w:type="paragraph" w:customStyle="1" w:styleId="BoxBullet">
    <w:name w:val="BoxBullet"/>
    <w:basedOn w:val="BoxText"/>
    <w:rsid w:val="00A5234C"/>
    <w:pPr>
      <w:numPr>
        <w:numId w:val="24"/>
      </w:numPr>
      <w:ind w:left="368" w:hanging="255"/>
    </w:pPr>
  </w:style>
  <w:style w:type="table" w:customStyle="1" w:styleId="LightShading-Accent11">
    <w:name w:val="Light Shading - Accent 11"/>
    <w:basedOn w:val="TableNormal"/>
    <w:uiPriority w:val="60"/>
    <w:rsid w:val="00410B4A"/>
    <w:rPr>
      <w:color w:val="373E41" w:themeColor="accent1" w:themeShade="BF"/>
    </w:rPr>
    <w:tblPr>
      <w:tblStyleRowBandSize w:val="1"/>
      <w:tblStyleColBandSize w:val="1"/>
      <w:tblBorders>
        <w:top w:val="single" w:sz="8" w:space="0" w:color="4A5358" w:themeColor="accent1"/>
        <w:bottom w:val="single" w:sz="8" w:space="0" w:color="4A5358" w:themeColor="accent1"/>
      </w:tblBorders>
    </w:tblPr>
    <w:tblStylePr w:type="firstRow">
      <w:pPr>
        <w:spacing w:before="0" w:after="0" w:line="240" w:lineRule="auto"/>
      </w:pPr>
      <w:rPr>
        <w:b/>
        <w:bCs/>
      </w:rPr>
      <w:tblPr/>
      <w:tcPr>
        <w:tcBorders>
          <w:top w:val="single" w:sz="8" w:space="0" w:color="4A5358" w:themeColor="accent1"/>
          <w:left w:val="nil"/>
          <w:bottom w:val="single" w:sz="8" w:space="0" w:color="4A5358" w:themeColor="accent1"/>
          <w:right w:val="nil"/>
          <w:insideH w:val="nil"/>
          <w:insideV w:val="nil"/>
        </w:tcBorders>
      </w:tcPr>
    </w:tblStylePr>
    <w:tblStylePr w:type="lastRow">
      <w:pPr>
        <w:spacing w:before="0" w:after="0" w:line="240" w:lineRule="auto"/>
      </w:pPr>
      <w:rPr>
        <w:b/>
        <w:bCs/>
      </w:rPr>
      <w:tblPr/>
      <w:tcPr>
        <w:tcBorders>
          <w:top w:val="single" w:sz="8" w:space="0" w:color="4A5358" w:themeColor="accent1"/>
          <w:left w:val="nil"/>
          <w:bottom w:val="single" w:sz="8" w:space="0" w:color="4A5358"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5D7" w:themeFill="accent1" w:themeFillTint="3F"/>
      </w:tcPr>
    </w:tblStylePr>
    <w:tblStylePr w:type="band1Horz">
      <w:tblPr/>
      <w:tcPr>
        <w:tcBorders>
          <w:left w:val="nil"/>
          <w:right w:val="nil"/>
          <w:insideH w:val="nil"/>
          <w:insideV w:val="nil"/>
        </w:tcBorders>
        <w:shd w:val="clear" w:color="auto" w:fill="D0D5D7" w:themeFill="accent1" w:themeFillTint="3F"/>
      </w:tcPr>
    </w:tblStylePr>
  </w:style>
  <w:style w:type="character" w:customStyle="1" w:styleId="Aitherfooter">
    <w:name w:val="Aither footer"/>
    <w:basedOn w:val="DefaultParagraphFont"/>
    <w:uiPriority w:val="1"/>
    <w:rsid w:val="00DF15AE"/>
    <w:rPr>
      <w:rFonts w:ascii="Arial" w:hAnsi="Arial"/>
      <w:b/>
      <w:color w:val="495257" w:themeColor="text2"/>
      <w:sz w:val="18"/>
    </w:rPr>
  </w:style>
  <w:style w:type="paragraph" w:customStyle="1" w:styleId="TFIHolderSmallSpace">
    <w:name w:val="TFIHolder SmallSpace"/>
    <w:basedOn w:val="TFIHolderLargeSpace"/>
    <w:qFormat/>
    <w:rsid w:val="00756220"/>
    <w:pPr>
      <w:keepNext/>
      <w:spacing w:after="0" w:line="192" w:lineRule="auto"/>
    </w:pPr>
  </w:style>
  <w:style w:type="paragraph" w:customStyle="1" w:styleId="TFIHolderLargeSpace">
    <w:name w:val="TFIHolder LargeSpace"/>
    <w:basedOn w:val="Normal"/>
    <w:qFormat/>
    <w:rsid w:val="005C7D6B"/>
    <w:pPr>
      <w:keepLines/>
      <w:spacing w:after="480" w:line="240" w:lineRule="auto"/>
    </w:pPr>
    <w:rPr>
      <w:sz w:val="12"/>
      <w:szCs w:val="18"/>
    </w:rPr>
  </w:style>
  <w:style w:type="paragraph" w:styleId="TOC4">
    <w:name w:val="toc 4"/>
    <w:basedOn w:val="Normal"/>
    <w:next w:val="Normal"/>
    <w:autoRedefine/>
    <w:semiHidden/>
    <w:rsid w:val="00D20FD9"/>
    <w:pPr>
      <w:tabs>
        <w:tab w:val="right" w:leader="dot" w:pos="9016"/>
      </w:tabs>
      <w:spacing w:after="0"/>
      <w:ind w:left="2160" w:right="720"/>
    </w:pPr>
    <w:rPr>
      <w:noProof/>
      <w:szCs w:val="24"/>
    </w:rPr>
  </w:style>
  <w:style w:type="paragraph" w:customStyle="1" w:styleId="NumberList">
    <w:name w:val="NumberList"/>
    <w:basedOn w:val="Normal"/>
    <w:qFormat/>
    <w:rsid w:val="004516E8"/>
    <w:pPr>
      <w:numPr>
        <w:numId w:val="36"/>
      </w:numPr>
      <w:tabs>
        <w:tab w:val="left" w:pos="360"/>
      </w:tabs>
    </w:pPr>
  </w:style>
  <w:style w:type="paragraph" w:customStyle="1" w:styleId="TFNoteSourceTab">
    <w:name w:val="TFNoteSource Tab"/>
    <w:basedOn w:val="Normal"/>
    <w:rsid w:val="00951C8F"/>
    <w:pPr>
      <w:keepLines/>
      <w:spacing w:after="60"/>
      <w:ind w:left="624" w:hanging="624"/>
    </w:pPr>
    <w:rPr>
      <w:sz w:val="16"/>
      <w:szCs w:val="18"/>
    </w:rPr>
  </w:style>
  <w:style w:type="character" w:styleId="Strong">
    <w:name w:val="Strong"/>
    <w:basedOn w:val="DefaultParagraphFont"/>
    <w:qFormat/>
    <w:rsid w:val="00692B58"/>
    <w:rPr>
      <w:b/>
      <w:bCs/>
    </w:rPr>
  </w:style>
  <w:style w:type="character" w:styleId="Emphasis">
    <w:name w:val="Emphasis"/>
    <w:basedOn w:val="DefaultParagraphFont"/>
    <w:uiPriority w:val="20"/>
    <w:qFormat/>
    <w:rsid w:val="00692B58"/>
    <w:rPr>
      <w:i/>
      <w:iCs/>
    </w:rPr>
  </w:style>
  <w:style w:type="character" w:customStyle="1" w:styleId="Roman">
    <w:name w:val="Roman"/>
    <w:uiPriority w:val="1"/>
    <w:rsid w:val="00077133"/>
    <w:rPr>
      <w:b w:val="0"/>
      <w:i w:val="0"/>
    </w:rPr>
  </w:style>
  <w:style w:type="table" w:styleId="TableGrid">
    <w:name w:val="Table Grid"/>
    <w:basedOn w:val="TableNormal"/>
    <w:uiPriority w:val="59"/>
    <w:rsid w:val="00BB15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script">
    <w:name w:val="Subscript"/>
    <w:basedOn w:val="DefaultParagraphFont"/>
    <w:uiPriority w:val="1"/>
    <w:rsid w:val="00C92341"/>
    <w:rPr>
      <w:noProof/>
      <w:vertAlign w:val="subscript"/>
    </w:rPr>
  </w:style>
  <w:style w:type="character" w:customStyle="1" w:styleId="Superscript">
    <w:name w:val="Superscript"/>
    <w:basedOn w:val="DefaultParagraphFont"/>
    <w:uiPriority w:val="1"/>
    <w:rsid w:val="00C92341"/>
    <w:rPr>
      <w:noProof/>
      <w:vertAlign w:val="superscript"/>
    </w:rPr>
  </w:style>
  <w:style w:type="character" w:customStyle="1" w:styleId="Symbol">
    <w:name w:val="Symbol"/>
    <w:basedOn w:val="DefaultParagraphFont"/>
    <w:uiPriority w:val="1"/>
    <w:rsid w:val="00C92341"/>
    <w:rPr>
      <w:noProof/>
    </w:rPr>
  </w:style>
  <w:style w:type="paragraph" w:customStyle="1" w:styleId="BulletChecklist">
    <w:name w:val="BulletChecklist"/>
    <w:basedOn w:val="Bullet"/>
    <w:rsid w:val="0020319C"/>
    <w:pPr>
      <w:numPr>
        <w:numId w:val="16"/>
      </w:numPr>
    </w:pPr>
    <w:rPr>
      <w:noProof/>
    </w:rPr>
  </w:style>
  <w:style w:type="paragraph" w:customStyle="1" w:styleId="ImprintText">
    <w:name w:val="ImprintText"/>
    <w:basedOn w:val="Normal"/>
    <w:rsid w:val="00560794"/>
    <w:pPr>
      <w:spacing w:after="120"/>
    </w:pPr>
    <w:rPr>
      <w:sz w:val="18"/>
    </w:rPr>
  </w:style>
  <w:style w:type="paragraph" w:styleId="Caption">
    <w:name w:val="caption"/>
    <w:basedOn w:val="Normal"/>
    <w:next w:val="ImageCredit"/>
    <w:rsid w:val="005C04C0"/>
    <w:pPr>
      <w:keepNext/>
      <w:spacing w:before="120" w:after="120"/>
      <w:ind w:left="1077" w:hanging="1077"/>
    </w:pPr>
    <w:rPr>
      <w:rFonts w:asciiTheme="minorHAnsi" w:hAnsiTheme="minorHAnsi" w:cstheme="minorHAnsi"/>
      <w:b/>
      <w:bCs/>
      <w:color w:val="495257" w:themeColor="text2"/>
    </w:rPr>
  </w:style>
  <w:style w:type="paragraph" w:customStyle="1" w:styleId="ImageCredit">
    <w:name w:val="ImageCredit"/>
    <w:basedOn w:val="Caption"/>
    <w:next w:val="Normal"/>
    <w:rsid w:val="000E732F"/>
    <w:pPr>
      <w:spacing w:after="360"/>
    </w:pPr>
    <w:rPr>
      <w:rFonts w:ascii="Arial" w:hAnsi="Arial"/>
      <w:b w:val="0"/>
      <w:i/>
      <w:noProof/>
      <w:sz w:val="16"/>
    </w:rPr>
  </w:style>
  <w:style w:type="paragraph" w:customStyle="1" w:styleId="TableHeadingCA">
    <w:name w:val="TableHeadingCA"/>
    <w:basedOn w:val="TableHeading"/>
    <w:rsid w:val="001134C2"/>
    <w:pPr>
      <w:jc w:val="center"/>
    </w:pPr>
  </w:style>
  <w:style w:type="paragraph" w:customStyle="1" w:styleId="TableTextCA">
    <w:name w:val="TableTextCA"/>
    <w:basedOn w:val="TableText"/>
    <w:rsid w:val="001134C2"/>
    <w:pPr>
      <w:jc w:val="center"/>
    </w:pPr>
  </w:style>
  <w:style w:type="paragraph" w:customStyle="1" w:styleId="TableTextDA">
    <w:name w:val="TableTextDA"/>
    <w:basedOn w:val="TableText"/>
    <w:rsid w:val="009C7BA5"/>
    <w:pPr>
      <w:tabs>
        <w:tab w:val="decimal" w:pos="1119"/>
      </w:tabs>
    </w:pPr>
  </w:style>
  <w:style w:type="paragraph" w:styleId="BalloonText">
    <w:name w:val="Balloon Text"/>
    <w:basedOn w:val="Normal"/>
    <w:link w:val="BalloonTextChar"/>
    <w:uiPriority w:val="99"/>
    <w:semiHidden/>
    <w:unhideWhenUsed/>
    <w:rsid w:val="00704FE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4FE3"/>
    <w:rPr>
      <w:rFonts w:ascii="Tahoma" w:hAnsi="Tahoma" w:cs="Tahoma"/>
      <w:color w:val="000000"/>
      <w:sz w:val="16"/>
      <w:szCs w:val="16"/>
    </w:rPr>
  </w:style>
  <w:style w:type="paragraph" w:styleId="Title">
    <w:name w:val="Title"/>
    <w:basedOn w:val="Normal"/>
    <w:next w:val="Normal"/>
    <w:link w:val="TitleChar"/>
    <w:uiPriority w:val="10"/>
    <w:rsid w:val="001031E5"/>
    <w:pPr>
      <w:spacing w:after="300"/>
      <w:contextualSpacing/>
    </w:pPr>
    <w:rPr>
      <w:rFonts w:eastAsiaTheme="majorEastAsia" w:cstheme="majorBidi"/>
      <w:b/>
      <w:color w:val="495257" w:themeColor="text2"/>
      <w:spacing w:val="5"/>
      <w:kern w:val="28"/>
      <w:sz w:val="56"/>
      <w:szCs w:val="52"/>
    </w:rPr>
  </w:style>
  <w:style w:type="character" w:customStyle="1" w:styleId="TitleChar">
    <w:name w:val="Title Char"/>
    <w:basedOn w:val="DefaultParagraphFont"/>
    <w:link w:val="Title"/>
    <w:uiPriority w:val="10"/>
    <w:rsid w:val="001031E5"/>
    <w:rPr>
      <w:rFonts w:ascii="Arial" w:eastAsiaTheme="majorEastAsia" w:hAnsi="Arial" w:cstheme="majorBidi"/>
      <w:b/>
      <w:color w:val="495257" w:themeColor="text2"/>
      <w:spacing w:val="5"/>
      <w:kern w:val="28"/>
      <w:sz w:val="56"/>
      <w:szCs w:val="52"/>
    </w:rPr>
  </w:style>
  <w:style w:type="table" w:customStyle="1" w:styleId="Aither">
    <w:name w:val="Aither"/>
    <w:basedOn w:val="TableNormal"/>
    <w:uiPriority w:val="99"/>
    <w:rsid w:val="00CB5B28"/>
    <w:rPr>
      <w:color w:val="404040" w:themeColor="text1" w:themeTint="BF"/>
    </w:rPr>
    <w:tblPr>
      <w:tblStyleRowBandSize w:val="1"/>
      <w:tblBorders>
        <w:top w:val="single" w:sz="4" w:space="0" w:color="CCBF9B" w:themeColor="accent6"/>
        <w:left w:val="single" w:sz="4" w:space="0" w:color="CCBF9B" w:themeColor="accent6"/>
        <w:bottom w:val="single" w:sz="4" w:space="0" w:color="CCBF9B" w:themeColor="accent6"/>
        <w:right w:val="single" w:sz="4" w:space="0" w:color="CCBF9B" w:themeColor="accent6"/>
        <w:insideH w:val="single" w:sz="4" w:space="0" w:color="CCBF9B" w:themeColor="accent6"/>
        <w:insideV w:val="single" w:sz="4" w:space="0" w:color="CCBF9B" w:themeColor="accent6"/>
      </w:tblBorders>
    </w:tblPr>
    <w:tcPr>
      <w:shd w:val="clear" w:color="auto" w:fill="FCFCFA"/>
      <w:vAlign w:val="center"/>
    </w:tcPr>
    <w:tblStylePr w:type="firstRow">
      <w:pPr>
        <w:jc w:val="left"/>
      </w:pPr>
      <w:rPr>
        <w:rFonts w:ascii="Arial" w:hAnsi="Arial"/>
        <w:b w:val="0"/>
        <w:sz w:val="20"/>
      </w:rPr>
      <w:tblPr/>
      <w:tcPr>
        <w:shd w:val="clear" w:color="auto" w:fill="EAE5D6" w:themeFill="accent6" w:themeFillTint="66"/>
      </w:tcPr>
    </w:tblStylePr>
    <w:tblStylePr w:type="band1Horz">
      <w:pPr>
        <w:jc w:val="left"/>
      </w:pPr>
      <w:tblPr/>
      <w:tcPr>
        <w:tcBorders>
          <w:insideH w:val="nil"/>
        </w:tcBorders>
        <w:vAlign w:val="center"/>
      </w:tcPr>
    </w:tblStylePr>
  </w:style>
  <w:style w:type="paragraph" w:customStyle="1" w:styleId="FooterTitle">
    <w:name w:val="Footer Title"/>
    <w:basedOn w:val="Footer"/>
    <w:rsid w:val="00D123DD"/>
    <w:rPr>
      <w:rFonts w:ascii="Cambria" w:hAnsi="Cambria"/>
      <w:i/>
      <w:color w:val="72929B" w:themeColor="background2"/>
      <w:sz w:val="16"/>
    </w:rPr>
  </w:style>
  <w:style w:type="paragraph" w:customStyle="1" w:styleId="BoxBullet2">
    <w:name w:val="BoxBullet2"/>
    <w:basedOn w:val="BoxBullet"/>
    <w:rsid w:val="00E6585F"/>
    <w:pPr>
      <w:numPr>
        <w:numId w:val="5"/>
      </w:numPr>
      <w:ind w:left="470" w:hanging="357"/>
    </w:pPr>
  </w:style>
  <w:style w:type="character" w:customStyle="1" w:styleId="StrongEmphasis">
    <w:name w:val="StrongEmphasis"/>
    <w:basedOn w:val="DefaultParagraphFont"/>
    <w:rsid w:val="00D03C40"/>
    <w:rPr>
      <w:b/>
      <w:bCs/>
      <w:i/>
      <w:iCs/>
    </w:rPr>
  </w:style>
  <w:style w:type="paragraph" w:customStyle="1" w:styleId="Authornote">
    <w:name w:val="Author note"/>
    <w:basedOn w:val="Normal"/>
    <w:rsid w:val="00570516"/>
    <w:rPr>
      <w:rFonts w:ascii="Times" w:hAnsi="Times"/>
      <w:color w:val="9B2321"/>
    </w:rPr>
  </w:style>
  <w:style w:type="table" w:styleId="ColorfulList-Accent5">
    <w:name w:val="Colorful List Accent 5"/>
    <w:basedOn w:val="TableNormal"/>
    <w:uiPriority w:val="72"/>
    <w:rsid w:val="00410B4A"/>
    <w:rPr>
      <w:color w:val="000000" w:themeColor="text1"/>
    </w:rPr>
    <w:tblPr>
      <w:tblStyleRowBandSize w:val="1"/>
      <w:tblStyleColBandSize w:val="1"/>
    </w:tblPr>
    <w:tcPr>
      <w:shd w:val="clear" w:color="auto" w:fill="FAF7ED" w:themeFill="accent5" w:themeFillTint="19"/>
    </w:tcPr>
    <w:tblStylePr w:type="firstRow">
      <w:rPr>
        <w:b/>
        <w:bCs/>
        <w:color w:val="FFFFFF" w:themeColor="background1"/>
      </w:rPr>
      <w:tblPr/>
      <w:tcPr>
        <w:tcBorders>
          <w:bottom w:val="single" w:sz="12" w:space="0" w:color="FFFFFF" w:themeColor="background1"/>
        </w:tcBorders>
        <w:shd w:val="clear" w:color="auto" w:fill="B3A06B" w:themeFill="accent6" w:themeFillShade="CC"/>
      </w:tcPr>
    </w:tblStylePr>
    <w:tblStylePr w:type="lastRow">
      <w:rPr>
        <w:b/>
        <w:bCs/>
        <w:color w:val="B3A06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2ECD3" w:themeFill="accent5" w:themeFillTint="3F"/>
      </w:tcPr>
    </w:tblStylePr>
    <w:tblStylePr w:type="band1Horz">
      <w:tblPr/>
      <w:tcPr>
        <w:shd w:val="clear" w:color="auto" w:fill="F5F0DC" w:themeFill="accent5" w:themeFillTint="33"/>
      </w:tcPr>
    </w:tblStylePr>
  </w:style>
  <w:style w:type="table" w:styleId="ColorfulGrid-Accent6">
    <w:name w:val="Colorful Grid Accent 6"/>
    <w:basedOn w:val="TableNormal"/>
    <w:uiPriority w:val="73"/>
    <w:rsid w:val="00410B4A"/>
    <w:rPr>
      <w:color w:val="000000" w:themeColor="text1"/>
    </w:rPr>
    <w:tblPr>
      <w:tblStyleRowBandSize w:val="1"/>
      <w:tblStyleColBandSize w:val="1"/>
      <w:tblBorders>
        <w:insideH w:val="single" w:sz="4" w:space="0" w:color="FFFFFF" w:themeColor="background1"/>
      </w:tblBorders>
    </w:tblPr>
    <w:tcPr>
      <w:shd w:val="clear" w:color="auto" w:fill="F4F2EA" w:themeFill="accent6" w:themeFillTint="33"/>
    </w:tcPr>
    <w:tblStylePr w:type="firstRow">
      <w:rPr>
        <w:b/>
        <w:bCs/>
      </w:rPr>
      <w:tblPr/>
      <w:tcPr>
        <w:shd w:val="clear" w:color="auto" w:fill="EAE5D6" w:themeFill="accent6" w:themeFillTint="66"/>
      </w:tcPr>
    </w:tblStylePr>
    <w:tblStylePr w:type="lastRow">
      <w:rPr>
        <w:b/>
        <w:bCs/>
        <w:color w:val="000000" w:themeColor="text1"/>
      </w:rPr>
      <w:tblPr/>
      <w:tcPr>
        <w:shd w:val="clear" w:color="auto" w:fill="EAE5D6" w:themeFill="accent6" w:themeFillTint="66"/>
      </w:tcPr>
    </w:tblStylePr>
    <w:tblStylePr w:type="firstCol">
      <w:rPr>
        <w:color w:val="FFFFFF" w:themeColor="background1"/>
      </w:rPr>
      <w:tblPr/>
      <w:tcPr>
        <w:shd w:val="clear" w:color="auto" w:fill="AD985F" w:themeFill="accent6" w:themeFillShade="BF"/>
      </w:tcPr>
    </w:tblStylePr>
    <w:tblStylePr w:type="lastCol">
      <w:rPr>
        <w:color w:val="FFFFFF" w:themeColor="background1"/>
      </w:rPr>
      <w:tblPr/>
      <w:tcPr>
        <w:shd w:val="clear" w:color="auto" w:fill="AD985F" w:themeFill="accent6" w:themeFillShade="BF"/>
      </w:tcPr>
    </w:tblStylePr>
    <w:tblStylePr w:type="band1Vert">
      <w:tblPr/>
      <w:tcPr>
        <w:shd w:val="clear" w:color="auto" w:fill="E5DFCD" w:themeFill="accent6" w:themeFillTint="7F"/>
      </w:tcPr>
    </w:tblStylePr>
    <w:tblStylePr w:type="band1Horz">
      <w:tblPr/>
      <w:tcPr>
        <w:shd w:val="clear" w:color="auto" w:fill="E5DFCD" w:themeFill="accent6" w:themeFillTint="7F"/>
      </w:tcPr>
    </w:tblStylePr>
  </w:style>
  <w:style w:type="table" w:styleId="ColorfulList-Accent6">
    <w:name w:val="Colorful List Accent 6"/>
    <w:basedOn w:val="TableNormal"/>
    <w:uiPriority w:val="72"/>
    <w:rsid w:val="00410B4A"/>
    <w:rPr>
      <w:color w:val="000000" w:themeColor="text1"/>
    </w:rPr>
    <w:tblPr>
      <w:tblStyleRowBandSize w:val="1"/>
      <w:tblStyleColBandSize w:val="1"/>
    </w:tblPr>
    <w:tcPr>
      <w:shd w:val="clear" w:color="auto" w:fill="FAF8F5" w:themeFill="accent6" w:themeFillTint="19"/>
    </w:tcPr>
    <w:tblStylePr w:type="firstRow">
      <w:rPr>
        <w:b/>
        <w:bCs/>
        <w:color w:val="FFFFFF" w:themeColor="background1"/>
      </w:rPr>
      <w:tblPr/>
      <w:tcPr>
        <w:tcBorders>
          <w:bottom w:val="single" w:sz="12" w:space="0" w:color="FFFFFF" w:themeColor="background1"/>
        </w:tcBorders>
        <w:shd w:val="clear" w:color="auto" w:fill="B29A32" w:themeFill="accent5" w:themeFillShade="CC"/>
      </w:tcPr>
    </w:tblStylePr>
    <w:tblStylePr w:type="lastRow">
      <w:rPr>
        <w:b/>
        <w:bCs/>
        <w:color w:val="B29A3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2EFE6" w:themeFill="accent6" w:themeFillTint="3F"/>
      </w:tcPr>
    </w:tblStylePr>
    <w:tblStylePr w:type="band1Horz">
      <w:tblPr/>
      <w:tcPr>
        <w:shd w:val="clear" w:color="auto" w:fill="F4F2EA" w:themeFill="accent6" w:themeFillTint="33"/>
      </w:tcPr>
    </w:tblStylePr>
  </w:style>
  <w:style w:type="table" w:styleId="MediumList1-Accent6">
    <w:name w:val="Medium List 1 Accent 6"/>
    <w:basedOn w:val="TableNormal"/>
    <w:uiPriority w:val="65"/>
    <w:rsid w:val="00410B4A"/>
    <w:rPr>
      <w:color w:val="000000" w:themeColor="text1"/>
    </w:rPr>
    <w:tblPr>
      <w:tblStyleRowBandSize w:val="1"/>
      <w:tblStyleColBandSize w:val="1"/>
      <w:tblBorders>
        <w:top w:val="single" w:sz="8" w:space="0" w:color="CCBF9B" w:themeColor="accent6"/>
        <w:bottom w:val="single" w:sz="8" w:space="0" w:color="CCBF9B" w:themeColor="accent6"/>
      </w:tblBorders>
    </w:tblPr>
    <w:tblStylePr w:type="firstRow">
      <w:rPr>
        <w:rFonts w:asciiTheme="majorHAnsi" w:eastAsiaTheme="majorEastAsia" w:hAnsiTheme="majorHAnsi" w:cstheme="majorBidi"/>
      </w:rPr>
      <w:tblPr/>
      <w:tcPr>
        <w:tcBorders>
          <w:top w:val="nil"/>
          <w:bottom w:val="single" w:sz="8" w:space="0" w:color="CCBF9B" w:themeColor="accent6"/>
        </w:tcBorders>
      </w:tcPr>
    </w:tblStylePr>
    <w:tblStylePr w:type="lastRow">
      <w:rPr>
        <w:b/>
        <w:bCs/>
        <w:color w:val="495257" w:themeColor="text2"/>
      </w:rPr>
      <w:tblPr/>
      <w:tcPr>
        <w:tcBorders>
          <w:top w:val="single" w:sz="8" w:space="0" w:color="CCBF9B" w:themeColor="accent6"/>
          <w:bottom w:val="single" w:sz="8" w:space="0" w:color="CCBF9B" w:themeColor="accent6"/>
        </w:tcBorders>
      </w:tcPr>
    </w:tblStylePr>
    <w:tblStylePr w:type="firstCol">
      <w:rPr>
        <w:b/>
        <w:bCs/>
      </w:rPr>
    </w:tblStylePr>
    <w:tblStylePr w:type="lastCol">
      <w:rPr>
        <w:b/>
        <w:bCs/>
      </w:rPr>
      <w:tblPr/>
      <w:tcPr>
        <w:tcBorders>
          <w:top w:val="single" w:sz="8" w:space="0" w:color="CCBF9B" w:themeColor="accent6"/>
          <w:bottom w:val="single" w:sz="8" w:space="0" w:color="CCBF9B" w:themeColor="accent6"/>
        </w:tcBorders>
      </w:tcPr>
    </w:tblStylePr>
    <w:tblStylePr w:type="band1Vert">
      <w:tblPr/>
      <w:tcPr>
        <w:shd w:val="clear" w:color="auto" w:fill="F2EFE6" w:themeFill="accent6" w:themeFillTint="3F"/>
      </w:tcPr>
    </w:tblStylePr>
    <w:tblStylePr w:type="band1Horz">
      <w:tblPr/>
      <w:tcPr>
        <w:shd w:val="clear" w:color="auto" w:fill="F2EFE6" w:themeFill="accent6" w:themeFillTint="3F"/>
      </w:tcPr>
    </w:tblStylePr>
  </w:style>
  <w:style w:type="character" w:customStyle="1" w:styleId="Whitetext">
    <w:name w:val="White text"/>
    <w:basedOn w:val="DefaultParagraphFont"/>
    <w:uiPriority w:val="1"/>
    <w:rsid w:val="00D526CC"/>
    <w:rPr>
      <w:color w:val="FFFFFF" w:themeColor="background1"/>
    </w:rPr>
  </w:style>
  <w:style w:type="paragraph" w:styleId="TOCHeading">
    <w:name w:val="TOC Heading"/>
    <w:basedOn w:val="Heading1a"/>
    <w:next w:val="Normal"/>
    <w:uiPriority w:val="39"/>
    <w:rsid w:val="00FD61CE"/>
    <w:pPr>
      <w:keepLines/>
      <w:pageBreakBefore w:val="0"/>
      <w:pBdr>
        <w:bottom w:val="single" w:sz="18" w:space="4" w:color="495257" w:themeColor="text2"/>
      </w:pBdr>
      <w:spacing w:before="480" w:after="0" w:line="276" w:lineRule="auto"/>
      <w:outlineLvl w:val="9"/>
    </w:pPr>
    <w:rPr>
      <w:rFonts w:asciiTheme="majorHAnsi" w:eastAsiaTheme="majorEastAsia" w:hAnsiTheme="majorHAnsi" w:cstheme="majorBidi"/>
      <w:kern w:val="0"/>
      <w:szCs w:val="28"/>
      <w:lang w:val="en-US" w:eastAsia="ja-JP"/>
    </w:rPr>
  </w:style>
  <w:style w:type="paragraph" w:styleId="TOC3">
    <w:name w:val="toc 3"/>
    <w:basedOn w:val="Normal"/>
    <w:next w:val="Normal"/>
    <w:autoRedefine/>
    <w:uiPriority w:val="39"/>
    <w:unhideWhenUsed/>
    <w:rsid w:val="00DD305F"/>
    <w:pPr>
      <w:tabs>
        <w:tab w:val="left" w:pos="1985"/>
        <w:tab w:val="right" w:leader="dot" w:pos="9072"/>
      </w:tabs>
      <w:spacing w:after="100"/>
      <w:ind w:left="1304"/>
    </w:pPr>
    <w:rPr>
      <w:i/>
      <w:noProof/>
    </w:rPr>
  </w:style>
  <w:style w:type="character" w:styleId="Hyperlink">
    <w:name w:val="Hyperlink"/>
    <w:basedOn w:val="DefaultParagraphFont"/>
    <w:uiPriority w:val="99"/>
    <w:unhideWhenUsed/>
    <w:rsid w:val="00A225F3"/>
    <w:rPr>
      <w:color w:val="3583AA" w:themeColor="hyperlink"/>
      <w:u w:val="single"/>
    </w:rPr>
  </w:style>
  <w:style w:type="paragraph" w:customStyle="1" w:styleId="ImageCaption">
    <w:name w:val="ImageCaption"/>
    <w:basedOn w:val="Normal"/>
    <w:link w:val="ImageCaptionChar"/>
    <w:qFormat/>
    <w:rsid w:val="00072AF9"/>
    <w:pPr>
      <w:spacing w:after="0"/>
    </w:pPr>
    <w:rPr>
      <w:rFonts w:ascii="Cambria" w:hAnsi="Cambria"/>
      <w:b/>
      <w:i/>
      <w:sz w:val="18"/>
      <w:szCs w:val="18"/>
    </w:rPr>
  </w:style>
  <w:style w:type="character" w:customStyle="1" w:styleId="ImageCaptionChar">
    <w:name w:val="ImageCaption Char"/>
    <w:basedOn w:val="DefaultParagraphFont"/>
    <w:link w:val="ImageCaption"/>
    <w:rsid w:val="00072AF9"/>
    <w:rPr>
      <w:rFonts w:ascii="Cambria" w:hAnsi="Cambria"/>
      <w:b/>
      <w:i/>
      <w:color w:val="404040" w:themeColor="text1" w:themeTint="BF"/>
      <w:sz w:val="18"/>
      <w:szCs w:val="18"/>
    </w:rPr>
  </w:style>
  <w:style w:type="paragraph" w:styleId="EndnoteText">
    <w:name w:val="endnote text"/>
    <w:basedOn w:val="Normal"/>
    <w:link w:val="EndnoteTextChar"/>
    <w:uiPriority w:val="99"/>
    <w:semiHidden/>
    <w:unhideWhenUsed/>
    <w:rsid w:val="0072565F"/>
    <w:pPr>
      <w:spacing w:after="0" w:line="240" w:lineRule="auto"/>
    </w:pPr>
  </w:style>
  <w:style w:type="character" w:customStyle="1" w:styleId="EndnoteTextChar">
    <w:name w:val="Endnote Text Char"/>
    <w:basedOn w:val="DefaultParagraphFont"/>
    <w:link w:val="EndnoteText"/>
    <w:uiPriority w:val="99"/>
    <w:semiHidden/>
    <w:rsid w:val="0072565F"/>
    <w:rPr>
      <w:rFonts w:ascii="Arial" w:hAnsi="Arial"/>
      <w:color w:val="404040" w:themeColor="text1" w:themeTint="BF"/>
    </w:rPr>
  </w:style>
  <w:style w:type="table" w:customStyle="1" w:styleId="TableGrid1">
    <w:name w:val="Table Grid1"/>
    <w:basedOn w:val="TableNormal"/>
    <w:uiPriority w:val="59"/>
    <w:rsid w:val="006B52C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ndnoteReference">
    <w:name w:val="endnote reference"/>
    <w:basedOn w:val="DefaultParagraphFont"/>
    <w:uiPriority w:val="99"/>
    <w:semiHidden/>
    <w:unhideWhenUsed/>
    <w:rsid w:val="0072565F"/>
    <w:rPr>
      <w:vertAlign w:val="superscript"/>
    </w:rPr>
  </w:style>
  <w:style w:type="paragraph" w:styleId="CommentText">
    <w:name w:val="annotation text"/>
    <w:basedOn w:val="Normal"/>
    <w:link w:val="CommentTextChar"/>
    <w:uiPriority w:val="99"/>
    <w:unhideWhenUsed/>
    <w:rsid w:val="008800A3"/>
    <w:pPr>
      <w:spacing w:line="240" w:lineRule="auto"/>
    </w:pPr>
  </w:style>
  <w:style w:type="character" w:customStyle="1" w:styleId="CommentTextChar">
    <w:name w:val="Comment Text Char"/>
    <w:basedOn w:val="DefaultParagraphFont"/>
    <w:link w:val="CommentText"/>
    <w:uiPriority w:val="99"/>
    <w:rsid w:val="008800A3"/>
    <w:rPr>
      <w:rFonts w:ascii="Arial" w:hAnsi="Arial"/>
      <w:color w:val="404040" w:themeColor="text1" w:themeTint="BF"/>
    </w:rPr>
  </w:style>
  <w:style w:type="character" w:styleId="CommentReference">
    <w:name w:val="annotation reference"/>
    <w:basedOn w:val="DefaultParagraphFont"/>
    <w:uiPriority w:val="99"/>
    <w:semiHidden/>
    <w:unhideWhenUsed/>
    <w:rsid w:val="008800A3"/>
    <w:rPr>
      <w:sz w:val="16"/>
      <w:szCs w:val="16"/>
    </w:rPr>
  </w:style>
  <w:style w:type="paragraph" w:customStyle="1" w:styleId="Footerline">
    <w:name w:val="Footer line"/>
    <w:basedOn w:val="Footer"/>
    <w:rsid w:val="00B3488B"/>
    <w:pPr>
      <w:pBdr>
        <w:top w:val="single" w:sz="8" w:space="1" w:color="4A5358" w:themeColor="accent1"/>
      </w:pBdr>
      <w:jc w:val="right"/>
    </w:pPr>
    <w:rPr>
      <w:noProof/>
      <w:color w:val="404040" w:themeColor="text1" w:themeTint="BF"/>
    </w:rPr>
  </w:style>
  <w:style w:type="character" w:customStyle="1" w:styleId="UnresolvedMention1">
    <w:name w:val="Unresolved Mention1"/>
    <w:basedOn w:val="DefaultParagraphFont"/>
    <w:uiPriority w:val="99"/>
    <w:semiHidden/>
    <w:unhideWhenUsed/>
    <w:rsid w:val="00B11C44"/>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305520"/>
    <w:rPr>
      <w:b/>
      <w:bCs/>
    </w:rPr>
  </w:style>
  <w:style w:type="character" w:customStyle="1" w:styleId="CommentSubjectChar">
    <w:name w:val="Comment Subject Char"/>
    <w:basedOn w:val="CommentTextChar"/>
    <w:link w:val="CommentSubject"/>
    <w:uiPriority w:val="99"/>
    <w:semiHidden/>
    <w:rsid w:val="00305520"/>
    <w:rPr>
      <w:rFonts w:ascii="Arial" w:hAnsi="Arial"/>
      <w:b/>
      <w:bCs/>
      <w:color w:val="595959" w:themeColor="text1" w:themeTint="A6"/>
    </w:rPr>
  </w:style>
  <w:style w:type="paragraph" w:styleId="Revision">
    <w:name w:val="Revision"/>
    <w:hidden/>
    <w:uiPriority w:val="99"/>
    <w:semiHidden/>
    <w:rsid w:val="00CE1D80"/>
    <w:rPr>
      <w:color w:val="595959" w:themeColor="text1" w:themeTint="A6"/>
    </w:rPr>
  </w:style>
  <w:style w:type="numbering" w:customStyle="1" w:styleId="BulletList">
    <w:name w:val="Bullet List"/>
    <w:uiPriority w:val="99"/>
    <w:rsid w:val="00AE039E"/>
    <w:pPr>
      <w:numPr>
        <w:numId w:val="43"/>
      </w:numPr>
    </w:pPr>
  </w:style>
  <w:style w:type="paragraph" w:styleId="ListBullet">
    <w:name w:val="List Bullet"/>
    <w:basedOn w:val="Normal"/>
    <w:uiPriority w:val="99"/>
    <w:unhideWhenUsed/>
    <w:qFormat/>
    <w:rsid w:val="00AE039E"/>
    <w:pPr>
      <w:numPr>
        <w:numId w:val="44"/>
      </w:numPr>
      <w:spacing w:after="200" w:line="276" w:lineRule="auto"/>
    </w:pPr>
    <w:rPr>
      <w:rFonts w:eastAsia="Calibri"/>
      <w:color w:val="auto"/>
      <w:sz w:val="22"/>
      <w:szCs w:val="22"/>
      <w:lang w:eastAsia="en-US"/>
    </w:rPr>
  </w:style>
  <w:style w:type="paragraph" w:styleId="ListBullet2">
    <w:name w:val="List Bullet 2"/>
    <w:basedOn w:val="Normal"/>
    <w:uiPriority w:val="99"/>
    <w:unhideWhenUsed/>
    <w:rsid w:val="00AE039E"/>
    <w:pPr>
      <w:numPr>
        <w:ilvl w:val="1"/>
        <w:numId w:val="44"/>
      </w:numPr>
      <w:spacing w:after="200" w:line="276" w:lineRule="auto"/>
    </w:pPr>
    <w:rPr>
      <w:rFonts w:eastAsia="Calibri"/>
      <w:color w:val="auto"/>
      <w:sz w:val="22"/>
      <w:szCs w:val="22"/>
      <w:lang w:eastAsia="en-US"/>
    </w:rPr>
  </w:style>
  <w:style w:type="paragraph" w:styleId="ListBullet3">
    <w:name w:val="List Bullet 3"/>
    <w:basedOn w:val="Normal"/>
    <w:uiPriority w:val="99"/>
    <w:unhideWhenUsed/>
    <w:rsid w:val="00AE039E"/>
    <w:pPr>
      <w:numPr>
        <w:ilvl w:val="2"/>
        <w:numId w:val="44"/>
      </w:numPr>
      <w:spacing w:after="200" w:line="276" w:lineRule="auto"/>
    </w:pPr>
    <w:rPr>
      <w:rFonts w:eastAsia="Calibri"/>
      <w:color w:val="auto"/>
      <w:sz w:val="22"/>
      <w:szCs w:val="22"/>
      <w:lang w:eastAsia="en-US"/>
    </w:rPr>
  </w:style>
  <w:style w:type="paragraph" w:styleId="ListBullet4">
    <w:name w:val="List Bullet 4"/>
    <w:basedOn w:val="Normal"/>
    <w:uiPriority w:val="99"/>
    <w:unhideWhenUsed/>
    <w:rsid w:val="00AE039E"/>
    <w:pPr>
      <w:numPr>
        <w:ilvl w:val="3"/>
        <w:numId w:val="44"/>
      </w:numPr>
      <w:spacing w:after="200" w:line="276" w:lineRule="auto"/>
    </w:pPr>
    <w:rPr>
      <w:rFonts w:eastAsia="Calibri"/>
      <w:color w:val="auto"/>
      <w:sz w:val="22"/>
      <w:szCs w:val="22"/>
      <w:lang w:eastAsia="en-US"/>
    </w:rPr>
  </w:style>
  <w:style w:type="paragraph" w:styleId="ListBullet5">
    <w:name w:val="List Bullet 5"/>
    <w:basedOn w:val="Normal"/>
    <w:uiPriority w:val="99"/>
    <w:unhideWhenUsed/>
    <w:rsid w:val="00AE039E"/>
    <w:pPr>
      <w:numPr>
        <w:ilvl w:val="4"/>
        <w:numId w:val="44"/>
      </w:numPr>
      <w:spacing w:after="200" w:line="276" w:lineRule="auto"/>
    </w:pPr>
    <w:rPr>
      <w:rFonts w:eastAsia="Calibri"/>
      <w:color w:val="auto"/>
      <w:sz w:val="22"/>
      <w:szCs w:val="22"/>
      <w:lang w:eastAsia="en-US"/>
    </w:rPr>
  </w:style>
  <w:style w:type="character" w:customStyle="1" w:styleId="apple-converted-space">
    <w:name w:val="apple-converted-space"/>
    <w:basedOn w:val="DefaultParagraphFont"/>
    <w:rsid w:val="00430E8E"/>
  </w:style>
  <w:style w:type="character" w:customStyle="1" w:styleId="UnresolvedMention">
    <w:name w:val="Unresolved Mention"/>
    <w:basedOn w:val="DefaultParagraphFont"/>
    <w:uiPriority w:val="99"/>
    <w:semiHidden/>
    <w:unhideWhenUsed/>
    <w:rsid w:val="00E47A5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569165">
      <w:bodyDiv w:val="1"/>
      <w:marLeft w:val="0"/>
      <w:marRight w:val="0"/>
      <w:marTop w:val="0"/>
      <w:marBottom w:val="0"/>
      <w:divBdr>
        <w:top w:val="none" w:sz="0" w:space="0" w:color="auto"/>
        <w:left w:val="none" w:sz="0" w:space="0" w:color="auto"/>
        <w:bottom w:val="none" w:sz="0" w:space="0" w:color="auto"/>
        <w:right w:val="none" w:sz="0" w:space="0" w:color="auto"/>
      </w:divBdr>
    </w:div>
    <w:div w:id="676157880">
      <w:bodyDiv w:val="1"/>
      <w:marLeft w:val="0"/>
      <w:marRight w:val="0"/>
      <w:marTop w:val="0"/>
      <w:marBottom w:val="0"/>
      <w:divBdr>
        <w:top w:val="none" w:sz="0" w:space="0" w:color="auto"/>
        <w:left w:val="none" w:sz="0" w:space="0" w:color="auto"/>
        <w:bottom w:val="none" w:sz="0" w:space="0" w:color="auto"/>
        <w:right w:val="none" w:sz="0" w:space="0" w:color="auto"/>
      </w:divBdr>
    </w:div>
    <w:div w:id="835923660">
      <w:bodyDiv w:val="1"/>
      <w:marLeft w:val="0"/>
      <w:marRight w:val="0"/>
      <w:marTop w:val="0"/>
      <w:marBottom w:val="0"/>
      <w:divBdr>
        <w:top w:val="none" w:sz="0" w:space="0" w:color="auto"/>
        <w:left w:val="none" w:sz="0" w:space="0" w:color="auto"/>
        <w:bottom w:val="none" w:sz="0" w:space="0" w:color="auto"/>
        <w:right w:val="none" w:sz="0" w:space="0" w:color="auto"/>
      </w:divBdr>
    </w:div>
    <w:div w:id="844247236">
      <w:bodyDiv w:val="1"/>
      <w:marLeft w:val="0"/>
      <w:marRight w:val="0"/>
      <w:marTop w:val="0"/>
      <w:marBottom w:val="0"/>
      <w:divBdr>
        <w:top w:val="none" w:sz="0" w:space="0" w:color="auto"/>
        <w:left w:val="none" w:sz="0" w:space="0" w:color="auto"/>
        <w:bottom w:val="none" w:sz="0" w:space="0" w:color="auto"/>
        <w:right w:val="none" w:sz="0" w:space="0" w:color="auto"/>
      </w:divBdr>
    </w:div>
    <w:div w:id="852839985">
      <w:bodyDiv w:val="1"/>
      <w:marLeft w:val="0"/>
      <w:marRight w:val="0"/>
      <w:marTop w:val="0"/>
      <w:marBottom w:val="0"/>
      <w:divBdr>
        <w:top w:val="none" w:sz="0" w:space="0" w:color="auto"/>
        <w:left w:val="none" w:sz="0" w:space="0" w:color="auto"/>
        <w:bottom w:val="none" w:sz="0" w:space="0" w:color="auto"/>
        <w:right w:val="none" w:sz="0" w:space="0" w:color="auto"/>
      </w:divBdr>
    </w:div>
    <w:div w:id="984821557">
      <w:bodyDiv w:val="1"/>
      <w:marLeft w:val="0"/>
      <w:marRight w:val="0"/>
      <w:marTop w:val="0"/>
      <w:marBottom w:val="0"/>
      <w:divBdr>
        <w:top w:val="none" w:sz="0" w:space="0" w:color="auto"/>
        <w:left w:val="none" w:sz="0" w:space="0" w:color="auto"/>
        <w:bottom w:val="none" w:sz="0" w:space="0" w:color="auto"/>
        <w:right w:val="none" w:sz="0" w:space="0" w:color="auto"/>
      </w:divBdr>
    </w:div>
    <w:div w:id="1098212343">
      <w:bodyDiv w:val="1"/>
      <w:marLeft w:val="0"/>
      <w:marRight w:val="0"/>
      <w:marTop w:val="0"/>
      <w:marBottom w:val="0"/>
      <w:divBdr>
        <w:top w:val="none" w:sz="0" w:space="0" w:color="auto"/>
        <w:left w:val="none" w:sz="0" w:space="0" w:color="auto"/>
        <w:bottom w:val="none" w:sz="0" w:space="0" w:color="auto"/>
        <w:right w:val="none" w:sz="0" w:space="0" w:color="auto"/>
      </w:divBdr>
    </w:div>
    <w:div w:id="1150175383">
      <w:bodyDiv w:val="1"/>
      <w:marLeft w:val="0"/>
      <w:marRight w:val="0"/>
      <w:marTop w:val="0"/>
      <w:marBottom w:val="0"/>
      <w:divBdr>
        <w:top w:val="none" w:sz="0" w:space="0" w:color="auto"/>
        <w:left w:val="none" w:sz="0" w:space="0" w:color="auto"/>
        <w:bottom w:val="none" w:sz="0" w:space="0" w:color="auto"/>
        <w:right w:val="none" w:sz="0" w:space="0" w:color="auto"/>
      </w:divBdr>
    </w:div>
    <w:div w:id="1192689764">
      <w:bodyDiv w:val="1"/>
      <w:marLeft w:val="0"/>
      <w:marRight w:val="0"/>
      <w:marTop w:val="0"/>
      <w:marBottom w:val="0"/>
      <w:divBdr>
        <w:top w:val="none" w:sz="0" w:space="0" w:color="auto"/>
        <w:left w:val="none" w:sz="0" w:space="0" w:color="auto"/>
        <w:bottom w:val="none" w:sz="0" w:space="0" w:color="auto"/>
        <w:right w:val="none" w:sz="0" w:space="0" w:color="auto"/>
      </w:divBdr>
    </w:div>
    <w:div w:id="1252859958">
      <w:bodyDiv w:val="1"/>
      <w:marLeft w:val="0"/>
      <w:marRight w:val="0"/>
      <w:marTop w:val="0"/>
      <w:marBottom w:val="0"/>
      <w:divBdr>
        <w:top w:val="none" w:sz="0" w:space="0" w:color="auto"/>
        <w:left w:val="none" w:sz="0" w:space="0" w:color="auto"/>
        <w:bottom w:val="none" w:sz="0" w:space="0" w:color="auto"/>
        <w:right w:val="none" w:sz="0" w:space="0" w:color="auto"/>
      </w:divBdr>
    </w:div>
    <w:div w:id="1437363237">
      <w:bodyDiv w:val="1"/>
      <w:marLeft w:val="0"/>
      <w:marRight w:val="0"/>
      <w:marTop w:val="0"/>
      <w:marBottom w:val="0"/>
      <w:divBdr>
        <w:top w:val="none" w:sz="0" w:space="0" w:color="auto"/>
        <w:left w:val="none" w:sz="0" w:space="0" w:color="auto"/>
        <w:bottom w:val="none" w:sz="0" w:space="0" w:color="auto"/>
        <w:right w:val="none" w:sz="0" w:space="0" w:color="auto"/>
      </w:divBdr>
    </w:div>
    <w:div w:id="1753234040">
      <w:bodyDiv w:val="1"/>
      <w:marLeft w:val="0"/>
      <w:marRight w:val="0"/>
      <w:marTop w:val="0"/>
      <w:marBottom w:val="0"/>
      <w:divBdr>
        <w:top w:val="none" w:sz="0" w:space="0" w:color="auto"/>
        <w:left w:val="none" w:sz="0" w:space="0" w:color="auto"/>
        <w:bottom w:val="none" w:sz="0" w:space="0" w:color="auto"/>
        <w:right w:val="none" w:sz="0" w:space="0" w:color="auto"/>
      </w:divBdr>
    </w:div>
    <w:div w:id="1792240800">
      <w:bodyDiv w:val="1"/>
      <w:marLeft w:val="0"/>
      <w:marRight w:val="0"/>
      <w:marTop w:val="0"/>
      <w:marBottom w:val="0"/>
      <w:divBdr>
        <w:top w:val="none" w:sz="0" w:space="0" w:color="auto"/>
        <w:left w:val="none" w:sz="0" w:space="0" w:color="auto"/>
        <w:bottom w:val="none" w:sz="0" w:space="0" w:color="auto"/>
        <w:right w:val="none" w:sz="0" w:space="0" w:color="auto"/>
      </w:divBdr>
    </w:div>
    <w:div w:id="1813406047">
      <w:bodyDiv w:val="1"/>
      <w:marLeft w:val="0"/>
      <w:marRight w:val="0"/>
      <w:marTop w:val="0"/>
      <w:marBottom w:val="0"/>
      <w:divBdr>
        <w:top w:val="none" w:sz="0" w:space="0" w:color="auto"/>
        <w:left w:val="none" w:sz="0" w:space="0" w:color="auto"/>
        <w:bottom w:val="none" w:sz="0" w:space="0" w:color="auto"/>
        <w:right w:val="none" w:sz="0" w:space="0" w:color="auto"/>
      </w:divBdr>
    </w:div>
    <w:div w:id="1819952433">
      <w:bodyDiv w:val="1"/>
      <w:marLeft w:val="0"/>
      <w:marRight w:val="0"/>
      <w:marTop w:val="0"/>
      <w:marBottom w:val="0"/>
      <w:divBdr>
        <w:top w:val="none" w:sz="0" w:space="0" w:color="auto"/>
        <w:left w:val="none" w:sz="0" w:space="0" w:color="auto"/>
        <w:bottom w:val="none" w:sz="0" w:space="0" w:color="auto"/>
        <w:right w:val="none" w:sz="0" w:space="0" w:color="auto"/>
      </w:divBdr>
    </w:div>
    <w:div w:id="1909148406">
      <w:bodyDiv w:val="1"/>
      <w:marLeft w:val="0"/>
      <w:marRight w:val="0"/>
      <w:marTop w:val="0"/>
      <w:marBottom w:val="0"/>
      <w:divBdr>
        <w:top w:val="none" w:sz="0" w:space="0" w:color="auto"/>
        <w:left w:val="none" w:sz="0" w:space="0" w:color="auto"/>
        <w:bottom w:val="none" w:sz="0" w:space="0" w:color="auto"/>
        <w:right w:val="none" w:sz="0" w:space="0" w:color="auto"/>
      </w:divBdr>
      <w:divsChild>
        <w:div w:id="1861820006">
          <w:marLeft w:val="576"/>
          <w:marRight w:val="0"/>
          <w:marTop w:val="360"/>
          <w:marBottom w:val="0"/>
          <w:divBdr>
            <w:top w:val="none" w:sz="0" w:space="0" w:color="auto"/>
            <w:left w:val="none" w:sz="0" w:space="0" w:color="auto"/>
            <w:bottom w:val="none" w:sz="0" w:space="0" w:color="auto"/>
            <w:right w:val="none" w:sz="0" w:space="0" w:color="auto"/>
          </w:divBdr>
        </w:div>
        <w:div w:id="1359701989">
          <w:marLeft w:val="576"/>
          <w:marRight w:val="0"/>
          <w:marTop w:val="360"/>
          <w:marBottom w:val="0"/>
          <w:divBdr>
            <w:top w:val="none" w:sz="0" w:space="0" w:color="auto"/>
            <w:left w:val="none" w:sz="0" w:space="0" w:color="auto"/>
            <w:bottom w:val="none" w:sz="0" w:space="0" w:color="auto"/>
            <w:right w:val="none" w:sz="0" w:space="0" w:color="auto"/>
          </w:divBdr>
        </w:div>
        <w:div w:id="784301685">
          <w:marLeft w:val="576"/>
          <w:marRight w:val="0"/>
          <w:marTop w:val="360"/>
          <w:marBottom w:val="0"/>
          <w:divBdr>
            <w:top w:val="none" w:sz="0" w:space="0" w:color="auto"/>
            <w:left w:val="none" w:sz="0" w:space="0" w:color="auto"/>
            <w:bottom w:val="none" w:sz="0" w:space="0" w:color="auto"/>
            <w:right w:val="none" w:sz="0" w:space="0" w:color="auto"/>
          </w:divBdr>
        </w:div>
        <w:div w:id="867838371">
          <w:marLeft w:val="576"/>
          <w:marRight w:val="0"/>
          <w:marTop w:val="360"/>
          <w:marBottom w:val="0"/>
          <w:divBdr>
            <w:top w:val="none" w:sz="0" w:space="0" w:color="auto"/>
            <w:left w:val="none" w:sz="0" w:space="0" w:color="auto"/>
            <w:bottom w:val="none" w:sz="0" w:space="0" w:color="auto"/>
            <w:right w:val="none" w:sz="0" w:space="0" w:color="auto"/>
          </w:divBdr>
        </w:div>
      </w:divsChild>
    </w:div>
    <w:div w:id="2116558372">
      <w:bodyDiv w:val="1"/>
      <w:marLeft w:val="0"/>
      <w:marRight w:val="0"/>
      <w:marTop w:val="0"/>
      <w:marBottom w:val="0"/>
      <w:divBdr>
        <w:top w:val="none" w:sz="0" w:space="0" w:color="auto"/>
        <w:left w:val="none" w:sz="0" w:space="0" w:color="auto"/>
        <w:bottom w:val="none" w:sz="0" w:space="0" w:color="auto"/>
        <w:right w:val="none" w:sz="0" w:space="0" w:color="auto"/>
      </w:divBdr>
    </w:div>
    <w:div w:id="2146199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mailto:agreview@aither.com.au" TargetMode="External"/><Relationship Id="rId3" Type="http://schemas.openxmlformats.org/officeDocument/2006/relationships/styles" Target="styles.xml"/><Relationship Id="rId21" Type="http://schemas.openxmlformats.org/officeDocument/2006/relationships/hyperlink" Target="mailto:agreview@aither.com.au"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nvironment.gov.au/epbc/publications/significant-impact-guidelines-11-matters-national-environmental-significance" TargetMode="External"/><Relationship Id="rId20" Type="http://schemas.openxmlformats.org/officeDocument/2006/relationships/hyperlink" Target="http://www.environment.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nvironment.gov.au/epbc/publications/epbc-act-environmental-offsets-policy" TargetMode="Externa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hyperlink" Target="mailto:agreview@aither.com.a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mailto:agreview@aither.com.au" TargetMode="External"/></Relationships>
</file>

<file path=word/_rels/footer5.xml.rels><?xml version="1.0" encoding="UTF-8" standalone="yes"?>
<Relationships xmlns="http://schemas.openxmlformats.org/package/2006/relationships"><Relationship Id="rId1" Type="http://schemas.openxmlformats.org/officeDocument/2006/relationships/image" Target="media/image2.wmf"/></Relationships>
</file>

<file path=word/_rels/footnotes.xml.rels><?xml version="1.0" encoding="UTF-8" standalone="yes"?>
<Relationships xmlns="http://schemas.openxmlformats.org/package/2006/relationships"><Relationship Id="rId3" Type="http://schemas.openxmlformats.org/officeDocument/2006/relationships/hyperlink" Target="http://www.environment.gov.au/epbc/publications/agriculture-review-tor" TargetMode="External"/><Relationship Id="rId2" Type="http://schemas.openxmlformats.org/officeDocument/2006/relationships/hyperlink" Target="http://www.environment.gov.au/epbc/publications/departmental-response-regulatory-maturity-project-final-report" TargetMode="External"/><Relationship Id="rId1" Type="http://schemas.openxmlformats.org/officeDocument/2006/relationships/hyperlink" Target="http://www.environment.gov.au/epbc/publications/regulatory-maturity-project-final-report" TargetMode="External"/><Relationship Id="rId4" Type="http://schemas.openxmlformats.org/officeDocument/2006/relationships/hyperlink" Target="http://www.environment.gov.au/system/files/resources/5f3fdad6-30ba-48f7-ab17-c99e8bcc8d78/files/final-report.pdf" TargetMode="External"/></Relationships>
</file>

<file path=word/theme/theme1.xml><?xml version="1.0" encoding="utf-8"?>
<a:theme xmlns:a="http://schemas.openxmlformats.org/drawingml/2006/main" name="Aither-01">
  <a:themeElements>
    <a:clrScheme name="Aither">
      <a:dk1>
        <a:sysClr val="windowText" lastClr="000000"/>
      </a:dk1>
      <a:lt1>
        <a:sysClr val="window" lastClr="FFFFFF"/>
      </a:lt1>
      <a:dk2>
        <a:srgbClr val="495257"/>
      </a:dk2>
      <a:lt2>
        <a:srgbClr val="72929B"/>
      </a:lt2>
      <a:accent1>
        <a:srgbClr val="4A5358"/>
      </a:accent1>
      <a:accent2>
        <a:srgbClr val="72929B"/>
      </a:accent2>
      <a:accent3>
        <a:srgbClr val="3583AA"/>
      </a:accent3>
      <a:accent4>
        <a:srgbClr val="7DC0D1"/>
      </a:accent4>
      <a:accent5>
        <a:srgbClr val="CEB651"/>
      </a:accent5>
      <a:accent6>
        <a:srgbClr val="CCBF9B"/>
      </a:accent6>
      <a:hlink>
        <a:srgbClr val="3583AA"/>
      </a:hlink>
      <a:folHlink>
        <a:srgbClr val="7DC0D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8CB16340.dotm</Template>
  <TotalTime>0</TotalTime>
  <Pages>18</Pages>
  <Words>5920</Words>
  <Characters>34605</Characters>
  <Application>Microsoft Office Word</Application>
  <DocSecurity>4</DocSecurity>
  <Lines>288</Lines>
  <Paragraphs>80</Paragraphs>
  <ScaleCrop>false</ScaleCrop>
  <Company/>
  <LinksUpToDate>false</LinksUpToDate>
  <CharactersWithSpaces>40445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independent review of interactions between the EPBC Act and the agriculture sector</dc:title>
  <dc:subject/>
  <dc:creator/>
  <cp:keywords/>
  <dc:description/>
  <cp:lastModifiedBy/>
  <cp:revision>1</cp:revision>
  <dcterms:created xsi:type="dcterms:W3CDTF">2018-05-07T02:54:00Z</dcterms:created>
  <dcterms:modified xsi:type="dcterms:W3CDTF">2018-05-07T02:54:00Z</dcterms:modified>
  <cp:contentStatus/>
</cp:coreProperties>
</file>