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18639"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3996EE35" w14:textId="77777777" w:rsidR="00860E65" w:rsidRDefault="00860E65" w:rsidP="00860E65">
      <w:pPr>
        <w:jc w:val="center"/>
        <w:rPr>
          <w:rFonts w:ascii="Arial" w:hAnsi="Arial" w:cs="Arial"/>
          <w:sz w:val="28"/>
          <w:szCs w:val="28"/>
        </w:rPr>
      </w:pPr>
    </w:p>
    <w:p w14:paraId="6E3D3540" w14:textId="77777777" w:rsidR="00860E65" w:rsidRPr="008870DD" w:rsidRDefault="0019481D" w:rsidP="00860E65">
      <w:pPr>
        <w:pStyle w:val="Title"/>
        <w:rPr>
          <w:rFonts w:ascii="Arial" w:hAnsi="Arial" w:cs="Arial"/>
          <w:sz w:val="24"/>
          <w:szCs w:val="24"/>
          <w:lang w:val="en-US"/>
        </w:rPr>
      </w:pPr>
      <w:r w:rsidRPr="008870DD">
        <w:rPr>
          <w:rFonts w:ascii="Arial" w:hAnsi="Arial" w:cs="Arial"/>
          <w:i/>
          <w:iCs/>
          <w:sz w:val="24"/>
          <w:szCs w:val="24"/>
        </w:rPr>
        <w:t>Litoria myola</w:t>
      </w:r>
      <w:r w:rsidR="0098526F" w:rsidRPr="008870DD">
        <w:rPr>
          <w:rFonts w:ascii="Arial" w:hAnsi="Arial" w:cs="Arial"/>
          <w:i/>
          <w:iCs/>
          <w:sz w:val="24"/>
          <w:szCs w:val="24"/>
        </w:rPr>
        <w:t xml:space="preserve"> </w:t>
      </w:r>
      <w:r w:rsidR="0098526F" w:rsidRPr="008870DD">
        <w:rPr>
          <w:rFonts w:ascii="Arial" w:hAnsi="Arial" w:cs="Arial"/>
          <w:iCs/>
          <w:sz w:val="24"/>
          <w:szCs w:val="24"/>
        </w:rPr>
        <w:t>(</w:t>
      </w:r>
      <w:r w:rsidRPr="008870DD">
        <w:rPr>
          <w:rFonts w:ascii="Arial" w:hAnsi="Arial" w:cs="Arial"/>
          <w:iCs/>
          <w:sz w:val="24"/>
          <w:szCs w:val="24"/>
        </w:rPr>
        <w:t>Kuranda tree frog</w:t>
      </w:r>
      <w:r w:rsidR="0098526F" w:rsidRPr="008870DD">
        <w:rPr>
          <w:rFonts w:ascii="Arial" w:hAnsi="Arial" w:cs="Arial"/>
          <w:iCs/>
          <w:sz w:val="24"/>
          <w:szCs w:val="24"/>
        </w:rPr>
        <w:t>)</w:t>
      </w:r>
      <w:r w:rsidR="002171FB" w:rsidRPr="008870DD">
        <w:rPr>
          <w:rFonts w:ascii="Arial" w:hAnsi="Arial" w:cs="Arial"/>
          <w:iCs/>
          <w:sz w:val="24"/>
          <w:szCs w:val="24"/>
        </w:rPr>
        <w:t xml:space="preserve"> </w:t>
      </w:r>
      <w:r w:rsidR="00860E65" w:rsidRPr="008870DD">
        <w:rPr>
          <w:rFonts w:ascii="Arial" w:hAnsi="Arial" w:cs="Arial"/>
          <w:iCs/>
          <w:sz w:val="24"/>
          <w:szCs w:val="24"/>
        </w:rPr>
        <w:t xml:space="preserve"> </w:t>
      </w:r>
    </w:p>
    <w:p w14:paraId="3D30DBD3" w14:textId="77777777" w:rsidR="00860E65" w:rsidRPr="008870DD" w:rsidRDefault="00860E65" w:rsidP="00860E65">
      <w:pPr>
        <w:pStyle w:val="NormalWeb"/>
        <w:spacing w:before="120" w:after="240"/>
        <w:rPr>
          <w:rFonts w:ascii="Arial" w:hAnsi="Arial" w:cs="Arial"/>
          <w:sz w:val="22"/>
          <w:szCs w:val="22"/>
        </w:rPr>
      </w:pPr>
      <w:r w:rsidRPr="008870DD">
        <w:rPr>
          <w:rFonts w:ascii="Arial" w:hAnsi="Arial" w:cs="Arial"/>
          <w:sz w:val="22"/>
          <w:szCs w:val="22"/>
        </w:rPr>
        <w:t xml:space="preserve">You are invited to provide </w:t>
      </w:r>
      <w:r w:rsidR="0035614B" w:rsidRPr="008870DD">
        <w:rPr>
          <w:rFonts w:ascii="Arial" w:hAnsi="Arial" w:cs="Arial"/>
          <w:sz w:val="22"/>
          <w:szCs w:val="22"/>
        </w:rPr>
        <w:t xml:space="preserve">your views and </w:t>
      </w:r>
      <w:r w:rsidR="001B2487" w:rsidRPr="008870DD">
        <w:rPr>
          <w:rFonts w:ascii="Arial" w:hAnsi="Arial" w:cs="Arial"/>
          <w:sz w:val="22"/>
          <w:szCs w:val="22"/>
        </w:rPr>
        <w:t xml:space="preserve">supporting </w:t>
      </w:r>
      <w:r w:rsidR="0035614B" w:rsidRPr="008870DD">
        <w:rPr>
          <w:rFonts w:ascii="Arial" w:hAnsi="Arial" w:cs="Arial"/>
          <w:sz w:val="22"/>
          <w:szCs w:val="22"/>
        </w:rPr>
        <w:t xml:space="preserve">reasons </w:t>
      </w:r>
      <w:r w:rsidR="009D45F6" w:rsidRPr="008870DD">
        <w:rPr>
          <w:rFonts w:ascii="Arial" w:hAnsi="Arial" w:cs="Arial"/>
          <w:sz w:val="22"/>
          <w:szCs w:val="22"/>
        </w:rPr>
        <w:t>related to</w:t>
      </w:r>
      <w:r w:rsidRPr="008870DD">
        <w:rPr>
          <w:rFonts w:ascii="Arial" w:hAnsi="Arial" w:cs="Arial"/>
          <w:sz w:val="22"/>
          <w:szCs w:val="22"/>
        </w:rPr>
        <w:t>:</w:t>
      </w:r>
    </w:p>
    <w:p w14:paraId="166E05FF" w14:textId="0194833E" w:rsidR="00860E65" w:rsidRDefault="00860E65" w:rsidP="0080639E">
      <w:pPr>
        <w:pStyle w:val="NormalWeb"/>
        <w:tabs>
          <w:tab w:val="left" w:pos="426"/>
        </w:tabs>
        <w:spacing w:before="120" w:after="240"/>
        <w:ind w:left="426" w:hanging="426"/>
        <w:rPr>
          <w:rFonts w:ascii="Arial" w:hAnsi="Arial" w:cs="Arial"/>
          <w:sz w:val="22"/>
          <w:szCs w:val="22"/>
        </w:rPr>
      </w:pPr>
      <w:r w:rsidRPr="008870DD">
        <w:rPr>
          <w:rFonts w:ascii="Arial" w:hAnsi="Arial" w:cs="Arial"/>
          <w:sz w:val="22"/>
          <w:szCs w:val="22"/>
        </w:rPr>
        <w:t>1)</w:t>
      </w:r>
      <w:r w:rsidR="0080639E" w:rsidRPr="008870DD">
        <w:rPr>
          <w:rFonts w:ascii="Arial" w:hAnsi="Arial" w:cs="Arial"/>
          <w:sz w:val="22"/>
          <w:szCs w:val="22"/>
        </w:rPr>
        <w:tab/>
      </w:r>
      <w:r w:rsidRPr="008870DD">
        <w:rPr>
          <w:rFonts w:ascii="Arial" w:hAnsi="Arial" w:cs="Arial"/>
          <w:sz w:val="22"/>
          <w:szCs w:val="22"/>
        </w:rPr>
        <w:t xml:space="preserve">the eligibility of </w:t>
      </w:r>
      <w:r w:rsidR="0019481D" w:rsidRPr="008870DD">
        <w:rPr>
          <w:rFonts w:ascii="Arial" w:hAnsi="Arial" w:cs="Arial"/>
          <w:i/>
          <w:sz w:val="22"/>
          <w:szCs w:val="22"/>
        </w:rPr>
        <w:t>Litoria myola</w:t>
      </w:r>
      <w:r w:rsidR="00A556EB" w:rsidRPr="008870DD">
        <w:rPr>
          <w:rFonts w:ascii="Arial" w:hAnsi="Arial" w:cs="Arial"/>
          <w:i/>
          <w:sz w:val="22"/>
          <w:szCs w:val="22"/>
        </w:rPr>
        <w:t xml:space="preserve"> </w:t>
      </w:r>
      <w:r w:rsidR="00A556EB" w:rsidRPr="008870DD">
        <w:rPr>
          <w:rFonts w:ascii="Arial" w:hAnsi="Arial" w:cs="Arial"/>
          <w:sz w:val="22"/>
          <w:szCs w:val="22"/>
        </w:rPr>
        <w:t>(</w:t>
      </w:r>
      <w:r w:rsidR="0019481D" w:rsidRPr="008870DD">
        <w:rPr>
          <w:rFonts w:ascii="Arial" w:hAnsi="Arial" w:cs="Arial"/>
          <w:sz w:val="22"/>
          <w:szCs w:val="22"/>
        </w:rPr>
        <w:t>Kuranda tree frog</w:t>
      </w:r>
      <w:r w:rsidR="00A556EB" w:rsidRPr="008870DD">
        <w:rPr>
          <w:rFonts w:ascii="Arial" w:hAnsi="Arial" w:cs="Arial"/>
          <w:sz w:val="22"/>
          <w:szCs w:val="22"/>
        </w:rPr>
        <w:t xml:space="preserve">) </w:t>
      </w:r>
      <w:r w:rsidRPr="008870DD">
        <w:rPr>
          <w:rFonts w:ascii="Arial" w:hAnsi="Arial" w:cs="Arial"/>
          <w:sz w:val="22"/>
          <w:szCs w:val="22"/>
        </w:rPr>
        <w:t>for</w:t>
      </w:r>
      <w:r w:rsidRPr="002171FB">
        <w:rPr>
          <w:rFonts w:ascii="Arial" w:hAnsi="Arial" w:cs="Arial"/>
          <w:sz w:val="22"/>
          <w:szCs w:val="22"/>
        </w:rPr>
        <w:t xml:space="preserve">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0130C3">
        <w:rPr>
          <w:rFonts w:ascii="Arial" w:hAnsi="Arial" w:cs="Arial"/>
          <w:sz w:val="22"/>
          <w:szCs w:val="22"/>
        </w:rPr>
        <w:t>C</w:t>
      </w:r>
      <w:bookmarkStart w:id="0" w:name="_GoBack"/>
      <w:bookmarkEnd w:id="0"/>
      <w:r w:rsidR="000130C3">
        <w:rPr>
          <w:rFonts w:ascii="Arial" w:hAnsi="Arial" w:cs="Arial"/>
          <w:sz w:val="22"/>
          <w:szCs w:val="22"/>
        </w:rPr>
        <w:t xml:space="preserve">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15E8C109" w14:textId="28F5D393"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1D422EFE"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0F118D02"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2F5B4B30"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C603286" w14:textId="77777777" w:rsidR="00860E65" w:rsidRDefault="00860E65" w:rsidP="00860E65">
      <w:pPr>
        <w:rPr>
          <w:rFonts w:ascii="Arial" w:hAnsi="Arial" w:cs="Arial"/>
          <w:sz w:val="22"/>
          <w:szCs w:val="22"/>
        </w:rPr>
      </w:pPr>
    </w:p>
    <w:p w14:paraId="717F2075"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350D2A48" w14:textId="77777777" w:rsidR="00860E65" w:rsidRDefault="00860E65" w:rsidP="00860E65">
      <w:pPr>
        <w:rPr>
          <w:rFonts w:ascii="Arial" w:hAnsi="Arial" w:cs="Arial"/>
          <w:color w:val="000000"/>
          <w:sz w:val="22"/>
          <w:szCs w:val="22"/>
        </w:rPr>
      </w:pPr>
    </w:p>
    <w:p w14:paraId="551BD6B5"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808D3B1"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5AE036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2FC50838"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34D90D9B"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5EBD52B"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435D8EA4" w14:textId="77777777" w:rsidR="00860E65" w:rsidRDefault="00860E65" w:rsidP="00860E65">
      <w:pPr>
        <w:rPr>
          <w:rFonts w:ascii="Arial" w:hAnsi="Arial" w:cs="Arial"/>
          <w:color w:val="000000"/>
          <w:sz w:val="22"/>
          <w:szCs w:val="22"/>
        </w:rPr>
      </w:pPr>
    </w:p>
    <w:p w14:paraId="7735F002" w14:textId="1B6F1778"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A66BEF">
        <w:rPr>
          <w:rFonts w:ascii="Arial" w:hAnsi="Arial" w:cs="Arial"/>
          <w:b/>
          <w:sz w:val="22"/>
          <w:szCs w:val="22"/>
        </w:rPr>
        <w:t>2 March</w:t>
      </w:r>
      <w:r w:rsidR="00A66BEF" w:rsidRPr="009135EA">
        <w:rPr>
          <w:rFonts w:ascii="Verdana" w:hAnsi="Verdana"/>
          <w:b/>
          <w:bCs/>
          <w:sz w:val="19"/>
          <w:lang w:eastAsia="en-AU"/>
        </w:rPr>
        <w:t xml:space="preserve"> </w:t>
      </w:r>
      <w:r w:rsidR="00AA6F05">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5BE5A01E"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6B457309"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25B1947"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41660D43" w14:textId="77777777" w:rsidTr="006115F8">
        <w:tc>
          <w:tcPr>
            <w:tcW w:w="9039" w:type="dxa"/>
            <w:tcBorders>
              <w:top w:val="single" w:sz="4" w:space="0" w:color="auto"/>
              <w:left w:val="single" w:sz="4" w:space="0" w:color="auto"/>
              <w:bottom w:val="single" w:sz="4" w:space="0" w:color="auto"/>
              <w:right w:val="single" w:sz="4" w:space="0" w:color="auto"/>
            </w:tcBorders>
          </w:tcPr>
          <w:p w14:paraId="133C8B3F"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14B6BC64"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7D2315DE" w14:textId="77777777" w:rsidTr="006115F8">
        <w:tc>
          <w:tcPr>
            <w:tcW w:w="9039" w:type="dxa"/>
            <w:tcBorders>
              <w:top w:val="single" w:sz="4" w:space="0" w:color="auto"/>
              <w:left w:val="single" w:sz="4" w:space="0" w:color="auto"/>
              <w:bottom w:val="single" w:sz="4" w:space="0" w:color="auto"/>
              <w:right w:val="single" w:sz="4" w:space="0" w:color="auto"/>
            </w:tcBorders>
          </w:tcPr>
          <w:p w14:paraId="0317A161"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3C96B824"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29BCBFA8" w14:textId="77777777" w:rsidTr="006115F8">
        <w:tc>
          <w:tcPr>
            <w:tcW w:w="9039" w:type="dxa"/>
            <w:tcBorders>
              <w:top w:val="single" w:sz="4" w:space="0" w:color="auto"/>
              <w:left w:val="single" w:sz="4" w:space="0" w:color="auto"/>
              <w:bottom w:val="single" w:sz="4" w:space="0" w:color="auto"/>
              <w:right w:val="single" w:sz="4" w:space="0" w:color="auto"/>
            </w:tcBorders>
          </w:tcPr>
          <w:p w14:paraId="460ADFDB" w14:textId="62CDBB72" w:rsidR="00860E65" w:rsidRPr="00CE5A35" w:rsidRDefault="00860E65" w:rsidP="00A91834">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2A3AB84A" w14:textId="74100047" w:rsidR="00860E65" w:rsidRPr="003F2CC5" w:rsidRDefault="00A435AE" w:rsidP="00A435AE">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3116C6AE" w14:textId="77777777" w:rsidTr="006115F8">
        <w:tc>
          <w:tcPr>
            <w:tcW w:w="9039" w:type="dxa"/>
            <w:tcBorders>
              <w:top w:val="single" w:sz="4" w:space="0" w:color="auto"/>
              <w:left w:val="single" w:sz="4" w:space="0" w:color="auto"/>
              <w:bottom w:val="single" w:sz="4" w:space="0" w:color="auto"/>
              <w:right w:val="single" w:sz="4" w:space="0" w:color="auto"/>
            </w:tcBorders>
          </w:tcPr>
          <w:p w14:paraId="49116287" w14:textId="17B89C49" w:rsidR="00860E65" w:rsidRPr="00AE557F" w:rsidRDefault="00860E65" w:rsidP="00A91834">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3AFDAE5C" w14:textId="2554E0C9" w:rsidR="00860E65" w:rsidRPr="003F2CC5" w:rsidRDefault="00A435AE" w:rsidP="00A435AE">
            <w:pPr>
              <w:jc w:val="center"/>
              <w:rPr>
                <w:rFonts w:ascii="Arial" w:hAnsi="Arial" w:cs="Arial"/>
                <w:sz w:val="22"/>
                <w:szCs w:val="22"/>
                <w:highlight w:val="yellow"/>
              </w:rPr>
            </w:pPr>
            <w:r>
              <w:rPr>
                <w:rFonts w:ascii="Arial" w:hAnsi="Arial" w:cs="Arial"/>
                <w:sz w:val="22"/>
                <w:szCs w:val="22"/>
                <w:highlight w:val="yellow"/>
              </w:rPr>
              <w:t>10</w:t>
            </w:r>
          </w:p>
        </w:tc>
      </w:tr>
      <w:tr w:rsidR="00860E65" w:rsidRPr="00CE5A35" w14:paraId="29A71FA0" w14:textId="77777777" w:rsidTr="006115F8">
        <w:tc>
          <w:tcPr>
            <w:tcW w:w="9039" w:type="dxa"/>
            <w:tcBorders>
              <w:top w:val="single" w:sz="4" w:space="0" w:color="auto"/>
              <w:left w:val="single" w:sz="4" w:space="0" w:color="auto"/>
              <w:bottom w:val="single" w:sz="4" w:space="0" w:color="auto"/>
              <w:right w:val="single" w:sz="4" w:space="0" w:color="auto"/>
            </w:tcBorders>
          </w:tcPr>
          <w:p w14:paraId="51D0D115"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52F20498" w14:textId="4057A4DD" w:rsidR="00860E65" w:rsidRPr="003F2CC5" w:rsidRDefault="00C80DD0" w:rsidP="00A435AE">
            <w:pPr>
              <w:jc w:val="center"/>
              <w:rPr>
                <w:rFonts w:ascii="Arial" w:hAnsi="Arial" w:cs="Arial"/>
                <w:sz w:val="22"/>
                <w:szCs w:val="22"/>
                <w:highlight w:val="yellow"/>
              </w:rPr>
            </w:pPr>
            <w:r w:rsidRPr="003F2CC5">
              <w:rPr>
                <w:rFonts w:ascii="Arial" w:hAnsi="Arial" w:cs="Arial"/>
                <w:sz w:val="22"/>
                <w:szCs w:val="22"/>
                <w:highlight w:val="yellow"/>
              </w:rPr>
              <w:t>1</w:t>
            </w:r>
            <w:r w:rsidR="00A435AE">
              <w:rPr>
                <w:rFonts w:ascii="Arial" w:hAnsi="Arial" w:cs="Arial"/>
                <w:sz w:val="22"/>
                <w:szCs w:val="22"/>
                <w:highlight w:val="yellow"/>
              </w:rPr>
              <w:t>2</w:t>
            </w:r>
          </w:p>
        </w:tc>
      </w:tr>
      <w:tr w:rsidR="00860E65" w:rsidRPr="00CE5A35" w14:paraId="0F49897D" w14:textId="77777777" w:rsidTr="006115F8">
        <w:tc>
          <w:tcPr>
            <w:tcW w:w="9039" w:type="dxa"/>
            <w:tcBorders>
              <w:top w:val="single" w:sz="4" w:space="0" w:color="auto"/>
              <w:left w:val="single" w:sz="4" w:space="0" w:color="auto"/>
              <w:bottom w:val="single" w:sz="4" w:space="0" w:color="auto"/>
              <w:right w:val="single" w:sz="4" w:space="0" w:color="auto"/>
            </w:tcBorders>
          </w:tcPr>
          <w:p w14:paraId="0B74FFE4"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22897B3D" w14:textId="6609414D" w:rsidR="00860E65" w:rsidRPr="003F2CC5" w:rsidRDefault="00C80DD0" w:rsidP="00A435AE">
            <w:pPr>
              <w:jc w:val="center"/>
              <w:rPr>
                <w:rFonts w:ascii="Arial" w:hAnsi="Arial" w:cs="Arial"/>
                <w:sz w:val="22"/>
                <w:szCs w:val="22"/>
                <w:highlight w:val="yellow"/>
              </w:rPr>
            </w:pPr>
            <w:r w:rsidRPr="003F2CC5">
              <w:rPr>
                <w:rFonts w:ascii="Arial" w:hAnsi="Arial" w:cs="Arial"/>
                <w:sz w:val="22"/>
                <w:szCs w:val="22"/>
                <w:highlight w:val="yellow"/>
              </w:rPr>
              <w:t>1</w:t>
            </w:r>
            <w:r w:rsidR="00A435AE">
              <w:rPr>
                <w:rFonts w:ascii="Arial" w:hAnsi="Arial" w:cs="Arial"/>
                <w:sz w:val="22"/>
                <w:szCs w:val="22"/>
                <w:highlight w:val="yellow"/>
              </w:rPr>
              <w:t>3</w:t>
            </w:r>
          </w:p>
        </w:tc>
      </w:tr>
    </w:tbl>
    <w:p w14:paraId="132C27FA"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00651B4"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D791C7E" w14:textId="77777777" w:rsidR="00860E65" w:rsidRDefault="005C0CF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1A46C6CC"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28453C5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3292409"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5C5830DA"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3E57154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2DD74B56"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3771EB39"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38B2C966" w14:textId="77777777" w:rsidR="00A435AE" w:rsidRDefault="00A435AE" w:rsidP="00A435AE">
      <w:pPr>
        <w:spacing w:after="200"/>
        <w:rPr>
          <w:rFonts w:ascii="Arial" w:hAnsi="Arial" w:cs="Arial"/>
          <w:b/>
          <w:bCs/>
          <w:sz w:val="22"/>
          <w:szCs w:val="22"/>
        </w:rPr>
      </w:pPr>
      <w:r>
        <w:rPr>
          <w:rFonts w:ascii="Arial" w:hAnsi="Arial" w:cs="Arial"/>
          <w:b/>
          <w:bCs/>
          <w:sz w:val="22"/>
          <w:szCs w:val="22"/>
        </w:rPr>
        <w:t>Privacy notice</w:t>
      </w:r>
    </w:p>
    <w:p w14:paraId="3DE52ABE" w14:textId="77777777" w:rsidR="00A435AE" w:rsidRDefault="00A435AE" w:rsidP="00A435AE">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1BA588F4" w14:textId="77777777" w:rsidR="00A435AE" w:rsidRDefault="00A435AE" w:rsidP="00A435AE">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3883A885" w14:textId="77777777" w:rsidR="00A435AE" w:rsidRDefault="00A435AE" w:rsidP="00A435AE">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859C067" w14:textId="2DE4D2C8" w:rsidR="0080639E" w:rsidRDefault="00A435AE" w:rsidP="00A435AE">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1636E8F7" w14:textId="77777777" w:rsidR="00860E65" w:rsidRPr="008870DD" w:rsidRDefault="0019481D" w:rsidP="00860E65">
      <w:pPr>
        <w:jc w:val="center"/>
        <w:rPr>
          <w:rFonts w:ascii="Arial" w:hAnsi="Arial" w:cs="Arial"/>
          <w:i/>
          <w:sz w:val="32"/>
          <w:szCs w:val="32"/>
        </w:rPr>
      </w:pPr>
      <w:r w:rsidRPr="008870DD">
        <w:rPr>
          <w:rStyle w:val="Heading1Char"/>
          <w:rFonts w:ascii="Arial" w:hAnsi="Arial" w:cs="Arial"/>
          <w:i/>
          <w:sz w:val="32"/>
          <w:szCs w:val="32"/>
          <w:u w:val="none"/>
        </w:rPr>
        <w:t>Litoria myola</w:t>
      </w:r>
    </w:p>
    <w:p w14:paraId="53941263" w14:textId="77777777" w:rsidR="00860E65" w:rsidRPr="008870DD" w:rsidRDefault="00860E65" w:rsidP="00860E65">
      <w:pPr>
        <w:jc w:val="center"/>
        <w:rPr>
          <w:rFonts w:ascii="Arial" w:hAnsi="Arial" w:cs="Arial"/>
          <w:sz w:val="22"/>
          <w:szCs w:val="22"/>
        </w:rPr>
      </w:pPr>
    </w:p>
    <w:p w14:paraId="729244D1" w14:textId="77777777" w:rsidR="00860E65" w:rsidRDefault="002171FB" w:rsidP="002171FB">
      <w:pPr>
        <w:spacing w:after="120"/>
        <w:jc w:val="center"/>
        <w:rPr>
          <w:rFonts w:ascii="Arial" w:hAnsi="Arial" w:cs="Arial"/>
          <w:sz w:val="22"/>
          <w:szCs w:val="22"/>
        </w:rPr>
      </w:pPr>
      <w:r w:rsidRPr="008870DD">
        <w:rPr>
          <w:rStyle w:val="Heading1Char"/>
          <w:rFonts w:ascii="Arial" w:hAnsi="Arial" w:cs="Arial"/>
          <w:sz w:val="22"/>
          <w:szCs w:val="22"/>
          <w:u w:val="none"/>
        </w:rPr>
        <w:t>(</w:t>
      </w:r>
      <w:r w:rsidR="0019481D" w:rsidRPr="008870DD">
        <w:rPr>
          <w:rStyle w:val="Heading1Char"/>
          <w:rFonts w:ascii="Arial" w:hAnsi="Arial" w:cs="Arial"/>
          <w:sz w:val="22"/>
          <w:szCs w:val="22"/>
          <w:u w:val="none"/>
        </w:rPr>
        <w:t>Kuranda tree frog</w:t>
      </w:r>
      <w:r w:rsidRPr="008870DD">
        <w:rPr>
          <w:rStyle w:val="Heading1Char"/>
          <w:rFonts w:ascii="Arial" w:hAnsi="Arial" w:cs="Arial"/>
          <w:sz w:val="22"/>
          <w:szCs w:val="22"/>
          <w:u w:val="none"/>
        </w:rPr>
        <w:t>)</w:t>
      </w:r>
    </w:p>
    <w:p w14:paraId="7066F27F" w14:textId="77777777" w:rsidR="00856AFA" w:rsidRPr="008828D2" w:rsidRDefault="00856AFA" w:rsidP="00856AFA">
      <w:pPr>
        <w:spacing w:before="120"/>
        <w:rPr>
          <w:rFonts w:ascii="Arial" w:hAnsi="Arial" w:cs="Arial"/>
          <w:iCs/>
          <w:sz w:val="22"/>
          <w:szCs w:val="22"/>
        </w:rPr>
      </w:pPr>
    </w:p>
    <w:p w14:paraId="3871D39F"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01D03A61" w14:textId="77777777" w:rsidR="008C7FEA" w:rsidRPr="00A005D1" w:rsidRDefault="008C7FEA" w:rsidP="00AB638E">
      <w:pPr>
        <w:spacing w:after="120"/>
        <w:rPr>
          <w:rFonts w:ascii="Arial" w:hAnsi="Arial" w:cs="Arial"/>
          <w:sz w:val="22"/>
          <w:szCs w:val="22"/>
        </w:rPr>
      </w:pPr>
      <w:r w:rsidRPr="00A005D1">
        <w:rPr>
          <w:rFonts w:ascii="Arial" w:hAnsi="Arial" w:cs="Arial"/>
          <w:sz w:val="22"/>
          <w:szCs w:val="22"/>
        </w:rPr>
        <w:t xml:space="preserve">Conventionally accepted as </w:t>
      </w:r>
      <w:r w:rsidR="00A005D1" w:rsidRPr="00A005D1">
        <w:rPr>
          <w:rFonts w:ascii="Arial" w:hAnsi="Arial" w:cs="Arial"/>
          <w:i/>
          <w:iCs/>
          <w:sz w:val="22"/>
          <w:szCs w:val="22"/>
          <w:lang w:eastAsia="en-AU"/>
        </w:rPr>
        <w:t xml:space="preserve">Litoria myola </w:t>
      </w:r>
      <w:r w:rsidR="00A005D1" w:rsidRPr="00A005D1">
        <w:rPr>
          <w:rFonts w:ascii="Arial" w:hAnsi="Arial" w:cs="Arial"/>
          <w:sz w:val="22"/>
          <w:szCs w:val="22"/>
          <w:lang w:eastAsia="en-AU"/>
        </w:rPr>
        <w:t>(</w:t>
      </w:r>
      <w:r w:rsidR="00A005D1">
        <w:rPr>
          <w:rFonts w:ascii="Arial" w:hAnsi="Arial" w:cs="Arial"/>
          <w:sz w:val="22"/>
          <w:szCs w:val="22"/>
          <w:lang w:eastAsia="en-AU"/>
        </w:rPr>
        <w:t>Kuranda tree frog</w:t>
      </w:r>
      <w:r w:rsidR="00A005D1" w:rsidRPr="00A005D1">
        <w:rPr>
          <w:rFonts w:ascii="Arial" w:hAnsi="Arial" w:cs="Arial"/>
          <w:sz w:val="22"/>
          <w:szCs w:val="22"/>
          <w:lang w:eastAsia="en-AU"/>
        </w:rPr>
        <w:t>) (Hoskin, 2007)</w:t>
      </w:r>
      <w:r w:rsidR="00A005D1" w:rsidRPr="00A005D1">
        <w:rPr>
          <w:rFonts w:ascii="Arial" w:hAnsi="Arial" w:cs="Arial"/>
          <w:sz w:val="22"/>
          <w:szCs w:val="22"/>
        </w:rPr>
        <w:t>.</w:t>
      </w:r>
    </w:p>
    <w:p w14:paraId="2C5C56E2" w14:textId="77777777" w:rsidR="00A005D1" w:rsidRPr="008C7FEA" w:rsidRDefault="00A005D1" w:rsidP="00AB638E">
      <w:pPr>
        <w:spacing w:after="120"/>
        <w:rPr>
          <w:rFonts w:ascii="Arial" w:hAnsi="Arial" w:cs="Arial"/>
          <w:sz w:val="22"/>
          <w:szCs w:val="22"/>
        </w:rPr>
      </w:pPr>
    </w:p>
    <w:p w14:paraId="6D7DE60E"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11EFA2A5"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313F5BA6" w14:textId="51AA4D3F" w:rsidR="00A005D1" w:rsidRDefault="00A005D1" w:rsidP="00A005D1">
      <w:pPr>
        <w:spacing w:before="220" w:after="120"/>
        <w:rPr>
          <w:rFonts w:ascii="Arial" w:hAnsi="Arial" w:cs="Arial"/>
          <w:sz w:val="22"/>
          <w:szCs w:val="22"/>
        </w:rPr>
      </w:pPr>
      <w:r>
        <w:rPr>
          <w:rFonts w:ascii="Arial" w:hAnsi="Arial" w:cs="Arial"/>
          <w:sz w:val="22"/>
          <w:szCs w:val="22"/>
        </w:rPr>
        <w:t>The Kuranda t</w:t>
      </w:r>
      <w:r w:rsidRPr="00A005D1">
        <w:rPr>
          <w:rFonts w:ascii="Arial" w:hAnsi="Arial" w:cs="Arial"/>
          <w:sz w:val="22"/>
          <w:szCs w:val="22"/>
        </w:rPr>
        <w:t xml:space="preserve">ree </w:t>
      </w:r>
      <w:r>
        <w:rPr>
          <w:rFonts w:ascii="Arial" w:hAnsi="Arial" w:cs="Arial"/>
          <w:sz w:val="22"/>
          <w:szCs w:val="22"/>
        </w:rPr>
        <w:t>f</w:t>
      </w:r>
      <w:r w:rsidRPr="00A005D1">
        <w:rPr>
          <w:rFonts w:ascii="Arial" w:hAnsi="Arial" w:cs="Arial"/>
          <w:sz w:val="22"/>
          <w:szCs w:val="22"/>
        </w:rPr>
        <w:t>rog is a medium-sized stream and forest dwelling frog</w:t>
      </w:r>
      <w:r w:rsidR="007A6116">
        <w:rPr>
          <w:rFonts w:ascii="Arial" w:hAnsi="Arial" w:cs="Arial"/>
          <w:sz w:val="22"/>
          <w:szCs w:val="22"/>
        </w:rPr>
        <w:t xml:space="preserve"> </w:t>
      </w:r>
      <w:r w:rsidR="007A6116" w:rsidRPr="007A6116">
        <w:rPr>
          <w:rFonts w:ascii="Arial" w:hAnsi="Arial" w:cs="Arial"/>
          <w:sz w:val="22"/>
          <w:szCs w:val="22"/>
        </w:rPr>
        <w:t>with a broad, flattened head and slender body</w:t>
      </w:r>
      <w:r w:rsidRPr="00A005D1">
        <w:rPr>
          <w:rFonts w:ascii="Arial" w:hAnsi="Arial" w:cs="Arial"/>
          <w:sz w:val="22"/>
          <w:szCs w:val="22"/>
        </w:rPr>
        <w:t>. Males and females are generally a mottled</w:t>
      </w:r>
      <w:r>
        <w:rPr>
          <w:rFonts w:ascii="Arial" w:hAnsi="Arial" w:cs="Arial"/>
          <w:sz w:val="22"/>
          <w:szCs w:val="22"/>
        </w:rPr>
        <w:t xml:space="preserve"> </w:t>
      </w:r>
      <w:r w:rsidRPr="00A005D1">
        <w:rPr>
          <w:rFonts w:ascii="Arial" w:hAnsi="Arial" w:cs="Arial"/>
          <w:sz w:val="22"/>
          <w:szCs w:val="22"/>
        </w:rPr>
        <w:t>pattern of tan and brown on the upper surface and pale underneath. A green crescent is present in</w:t>
      </w:r>
      <w:r>
        <w:rPr>
          <w:rFonts w:ascii="Arial" w:hAnsi="Arial" w:cs="Arial"/>
          <w:sz w:val="22"/>
          <w:szCs w:val="22"/>
        </w:rPr>
        <w:t xml:space="preserve"> </w:t>
      </w:r>
      <w:r w:rsidRPr="00A005D1">
        <w:rPr>
          <w:rFonts w:ascii="Arial" w:hAnsi="Arial" w:cs="Arial"/>
          <w:sz w:val="22"/>
          <w:szCs w:val="22"/>
        </w:rPr>
        <w:t>the upper iris and the back edge of the forearms and legs is fringed with small skin extensions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sz w:val="22"/>
          <w:szCs w:val="22"/>
        </w:rPr>
        <w:t>(</w:t>
      </w:r>
      <w:hyperlink w:anchor="_ENREF_1" w:tooltip="Hoskin, 2007 #112" w:history="1">
        <w:r w:rsidR="005D62B2">
          <w:rPr>
            <w:rFonts w:ascii="Arial" w:hAnsi="Arial" w:cs="Arial"/>
            <w:sz w:val="22"/>
            <w:szCs w:val="22"/>
          </w:rPr>
          <w:t>Hoskin 2007</w:t>
        </w:r>
      </w:hyperlink>
      <w:r>
        <w:rPr>
          <w:rFonts w:ascii="Arial" w:hAnsi="Arial" w:cs="Arial"/>
          <w:sz w:val="22"/>
          <w:szCs w:val="22"/>
        </w:rPr>
        <w:t>)</w:t>
      </w:r>
      <w:r>
        <w:rPr>
          <w:rFonts w:ascii="Arial" w:hAnsi="Arial" w:cs="Arial"/>
          <w:sz w:val="22"/>
          <w:szCs w:val="22"/>
        </w:rPr>
        <w:fldChar w:fldCharType="end"/>
      </w:r>
      <w:r w:rsidRPr="00A005D1">
        <w:rPr>
          <w:rFonts w:ascii="Arial" w:hAnsi="Arial" w:cs="Arial"/>
          <w:sz w:val="22"/>
          <w:szCs w:val="22"/>
        </w:rPr>
        <w:t>.</w:t>
      </w:r>
      <w:r w:rsidR="00670858">
        <w:rPr>
          <w:rFonts w:ascii="Arial" w:hAnsi="Arial" w:cs="Arial"/>
          <w:sz w:val="22"/>
          <w:szCs w:val="22"/>
        </w:rPr>
        <w:t xml:space="preserve"> </w:t>
      </w:r>
      <w:r w:rsidR="007A6116" w:rsidRPr="007A6116">
        <w:rPr>
          <w:rFonts w:ascii="Arial" w:hAnsi="Arial" w:cs="Arial"/>
          <w:sz w:val="22"/>
          <w:szCs w:val="22"/>
        </w:rPr>
        <w:t xml:space="preserve">The skin on the back is smooth with scattered small tubercles and the skin on the belly is granular. </w:t>
      </w:r>
      <w:r w:rsidR="00670858" w:rsidRPr="00A005D1">
        <w:rPr>
          <w:rFonts w:ascii="Arial" w:hAnsi="Arial" w:cs="Arial"/>
          <w:sz w:val="22"/>
          <w:szCs w:val="22"/>
        </w:rPr>
        <w:t>There is considerable</w:t>
      </w:r>
      <w:r w:rsidR="00670858">
        <w:rPr>
          <w:rFonts w:ascii="Arial" w:hAnsi="Arial" w:cs="Arial"/>
          <w:sz w:val="22"/>
          <w:szCs w:val="22"/>
        </w:rPr>
        <w:t xml:space="preserve"> </w:t>
      </w:r>
      <w:r w:rsidR="00670858" w:rsidRPr="00A005D1">
        <w:rPr>
          <w:rFonts w:ascii="Arial" w:hAnsi="Arial" w:cs="Arial"/>
          <w:sz w:val="22"/>
          <w:szCs w:val="22"/>
        </w:rPr>
        <w:t xml:space="preserve">sexual dimorphism in size: males are 35–45 mm </w:t>
      </w:r>
      <w:r w:rsidR="00670858">
        <w:rPr>
          <w:rFonts w:ascii="Arial" w:hAnsi="Arial" w:cs="Arial"/>
          <w:sz w:val="22"/>
          <w:szCs w:val="22"/>
        </w:rPr>
        <w:t>snout-to-vent</w:t>
      </w:r>
      <w:r w:rsidR="00670858" w:rsidRPr="00A005D1">
        <w:rPr>
          <w:rFonts w:ascii="Arial" w:hAnsi="Arial" w:cs="Arial"/>
          <w:sz w:val="22"/>
          <w:szCs w:val="22"/>
        </w:rPr>
        <w:t xml:space="preserve"> length </w:t>
      </w:r>
      <w:r w:rsidR="00670858">
        <w:rPr>
          <w:rFonts w:ascii="Arial" w:hAnsi="Arial" w:cs="Arial"/>
          <w:sz w:val="22"/>
          <w:szCs w:val="22"/>
        </w:rPr>
        <w:t xml:space="preserve">(SVL) </w:t>
      </w:r>
      <w:r w:rsidR="00670858" w:rsidRPr="00A005D1">
        <w:rPr>
          <w:rFonts w:ascii="Arial" w:hAnsi="Arial" w:cs="Arial"/>
          <w:sz w:val="22"/>
          <w:szCs w:val="22"/>
        </w:rPr>
        <w:t>and weigh 2–5 g and females are</w:t>
      </w:r>
      <w:r w:rsidR="00670858">
        <w:rPr>
          <w:rFonts w:ascii="Arial" w:hAnsi="Arial" w:cs="Arial"/>
          <w:sz w:val="22"/>
          <w:szCs w:val="22"/>
        </w:rPr>
        <w:t xml:space="preserve"> </w:t>
      </w:r>
      <w:r w:rsidR="00670858" w:rsidRPr="00A005D1">
        <w:rPr>
          <w:rFonts w:ascii="Arial" w:hAnsi="Arial" w:cs="Arial"/>
          <w:sz w:val="22"/>
          <w:szCs w:val="22"/>
        </w:rPr>
        <w:t xml:space="preserve">57–69 mm </w:t>
      </w:r>
      <w:r w:rsidR="00670858">
        <w:rPr>
          <w:rFonts w:ascii="Arial" w:hAnsi="Arial" w:cs="Arial"/>
          <w:sz w:val="22"/>
          <w:szCs w:val="22"/>
        </w:rPr>
        <w:t>SVL</w:t>
      </w:r>
      <w:r w:rsidR="00670858" w:rsidRPr="00A005D1">
        <w:rPr>
          <w:rFonts w:ascii="Arial" w:hAnsi="Arial" w:cs="Arial"/>
          <w:sz w:val="22"/>
          <w:szCs w:val="22"/>
        </w:rPr>
        <w:t xml:space="preserve"> and weigh 9–19 g </w:t>
      </w:r>
      <w:r w:rsidR="00670858">
        <w:rPr>
          <w:rFonts w:ascii="Arial" w:hAnsi="Arial" w:cs="Arial"/>
          <w:sz w:val="22"/>
          <w:szCs w:val="22"/>
        </w:rPr>
        <w:fldChar w:fldCharType="begin"/>
      </w:r>
      <w:r w:rsidR="00670858">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670858">
        <w:rPr>
          <w:rFonts w:ascii="Arial" w:hAnsi="Arial" w:cs="Arial"/>
          <w:sz w:val="22"/>
          <w:szCs w:val="22"/>
        </w:rPr>
        <w:fldChar w:fldCharType="separate"/>
      </w:r>
      <w:r w:rsidR="00670858">
        <w:rPr>
          <w:rFonts w:ascii="Arial" w:hAnsi="Arial" w:cs="Arial"/>
          <w:sz w:val="22"/>
          <w:szCs w:val="22"/>
        </w:rPr>
        <w:t>(</w:t>
      </w:r>
      <w:hyperlink w:anchor="_ENREF_1" w:tooltip="Hoskin, 2007 #112" w:history="1">
        <w:r w:rsidR="00670858">
          <w:rPr>
            <w:rFonts w:ascii="Arial" w:hAnsi="Arial" w:cs="Arial"/>
            <w:sz w:val="22"/>
            <w:szCs w:val="22"/>
          </w:rPr>
          <w:t>Hoskin 2007</w:t>
        </w:r>
      </w:hyperlink>
      <w:r w:rsidR="00670858">
        <w:rPr>
          <w:rFonts w:ascii="Arial" w:hAnsi="Arial" w:cs="Arial"/>
          <w:sz w:val="22"/>
          <w:szCs w:val="22"/>
        </w:rPr>
        <w:t>)</w:t>
      </w:r>
      <w:r w:rsidR="00670858">
        <w:rPr>
          <w:rFonts w:ascii="Arial" w:hAnsi="Arial" w:cs="Arial"/>
          <w:sz w:val="22"/>
          <w:szCs w:val="22"/>
        </w:rPr>
        <w:fldChar w:fldCharType="end"/>
      </w:r>
      <w:r w:rsidR="00670858" w:rsidRPr="00A005D1">
        <w:rPr>
          <w:rFonts w:ascii="Arial" w:hAnsi="Arial" w:cs="Arial"/>
          <w:sz w:val="22"/>
          <w:szCs w:val="22"/>
        </w:rPr>
        <w:t>.</w:t>
      </w:r>
      <w:r w:rsidR="007A6116">
        <w:rPr>
          <w:rFonts w:ascii="Arial" w:hAnsi="Arial" w:cs="Arial"/>
          <w:sz w:val="22"/>
          <w:szCs w:val="22"/>
        </w:rPr>
        <w:t xml:space="preserve"> </w:t>
      </w:r>
      <w:r w:rsidR="007A6116" w:rsidRPr="007A6116">
        <w:rPr>
          <w:rFonts w:ascii="Arial" w:hAnsi="Arial" w:cs="Arial"/>
          <w:sz w:val="22"/>
          <w:szCs w:val="22"/>
        </w:rPr>
        <w:t>The male call is a short, fast series of relatively soft 'tocs'.</w:t>
      </w:r>
    </w:p>
    <w:p w14:paraId="6E336F7E" w14:textId="4B05C797" w:rsidR="00504151" w:rsidRPr="007A6116" w:rsidRDefault="007A6116" w:rsidP="003B2795">
      <w:pPr>
        <w:spacing w:before="220" w:after="120"/>
        <w:rPr>
          <w:rFonts w:ascii="Arial" w:hAnsi="Arial" w:cs="Arial"/>
          <w:sz w:val="22"/>
          <w:szCs w:val="22"/>
        </w:rPr>
      </w:pPr>
      <w:r>
        <w:rPr>
          <w:rFonts w:ascii="Arial" w:hAnsi="Arial" w:cs="Arial"/>
          <w:sz w:val="22"/>
          <w:szCs w:val="22"/>
        </w:rPr>
        <w:t xml:space="preserve">Eggs are laid in streams in a clutch of approximately 500 as cohesive clump. </w:t>
      </w:r>
      <w:r w:rsidRPr="007A6116">
        <w:rPr>
          <w:rFonts w:ascii="Arial" w:hAnsi="Arial" w:cs="Arial"/>
          <w:sz w:val="22"/>
          <w:szCs w:val="22"/>
        </w:rPr>
        <w:t>The tadpole</w:t>
      </w:r>
      <w:r>
        <w:rPr>
          <w:rFonts w:ascii="Arial" w:hAnsi="Arial" w:cs="Arial"/>
          <w:sz w:val="22"/>
          <w:szCs w:val="22"/>
        </w:rPr>
        <w:t>s</w:t>
      </w:r>
      <w:r w:rsidRPr="007A6116">
        <w:rPr>
          <w:rFonts w:ascii="Arial" w:hAnsi="Arial" w:cs="Arial"/>
          <w:sz w:val="22"/>
          <w:szCs w:val="22"/>
        </w:rPr>
        <w:t xml:space="preserve"> ha</w:t>
      </w:r>
      <w:r>
        <w:rPr>
          <w:rFonts w:ascii="Arial" w:hAnsi="Arial" w:cs="Arial"/>
          <w:sz w:val="22"/>
          <w:szCs w:val="22"/>
        </w:rPr>
        <w:t>ve</w:t>
      </w:r>
      <w:r w:rsidRPr="007A6116">
        <w:rPr>
          <w:rFonts w:ascii="Arial" w:hAnsi="Arial" w:cs="Arial"/>
          <w:sz w:val="22"/>
          <w:szCs w:val="22"/>
        </w:rPr>
        <w:t xml:space="preserve"> not been formally described, but are similar to those of </w:t>
      </w:r>
      <w:r w:rsidRPr="007A6116">
        <w:rPr>
          <w:rFonts w:ascii="Arial" w:hAnsi="Arial" w:cs="Arial"/>
          <w:i/>
          <w:sz w:val="22"/>
          <w:szCs w:val="22"/>
        </w:rPr>
        <w:t>L. genimaculata</w:t>
      </w:r>
      <w:r w:rsidRPr="007A6116">
        <w:rPr>
          <w:rFonts w:ascii="Arial" w:hAnsi="Arial" w:cs="Arial"/>
          <w:sz w:val="22"/>
          <w:szCs w:val="22"/>
        </w:rPr>
        <w:t xml:space="preserve"> (Hoskin 2007; Hoskin &amp; Hero 2008).</w:t>
      </w:r>
    </w:p>
    <w:p w14:paraId="46493400" w14:textId="77777777" w:rsidR="007D7E49" w:rsidRDefault="007D7E49" w:rsidP="00AB638E">
      <w:pPr>
        <w:pStyle w:val="CAheading"/>
        <w:rPr>
          <w:b w:val="0"/>
          <w:color w:val="0000FF"/>
        </w:rPr>
      </w:pPr>
      <w:r w:rsidRPr="00C77AC3">
        <w:t>Distribution</w:t>
      </w:r>
      <w:r w:rsidRPr="006658AC">
        <w:rPr>
          <w:color w:val="0000FF"/>
        </w:rPr>
        <w:t xml:space="preserve"> </w:t>
      </w:r>
    </w:p>
    <w:p w14:paraId="015CCE54" w14:textId="77777777" w:rsidR="00A005D1" w:rsidRPr="00A005D1" w:rsidRDefault="00A005D1" w:rsidP="00A005D1">
      <w:pPr>
        <w:rPr>
          <w:rFonts w:ascii="Arial" w:hAnsi="Arial" w:cs="Arial"/>
          <w:sz w:val="22"/>
          <w:szCs w:val="22"/>
        </w:rPr>
      </w:pPr>
      <w:r w:rsidRPr="00A005D1">
        <w:rPr>
          <w:rFonts w:ascii="Arial" w:hAnsi="Arial" w:cs="Arial"/>
          <w:sz w:val="22"/>
          <w:szCs w:val="22"/>
        </w:rPr>
        <w:t xml:space="preserve">The </w:t>
      </w:r>
      <w:r>
        <w:rPr>
          <w:rFonts w:ascii="Arial" w:hAnsi="Arial" w:cs="Arial"/>
          <w:sz w:val="22"/>
          <w:szCs w:val="22"/>
        </w:rPr>
        <w:t>Kuranda tree frog</w:t>
      </w:r>
      <w:r w:rsidRPr="00A005D1">
        <w:rPr>
          <w:rFonts w:ascii="Arial" w:hAnsi="Arial" w:cs="Arial"/>
          <w:sz w:val="22"/>
          <w:szCs w:val="22"/>
        </w:rPr>
        <w:t xml:space="preserve"> is endemic to a small area west of Cairns in north-east Queensland. The</w:t>
      </w:r>
      <w:r>
        <w:rPr>
          <w:rFonts w:ascii="Arial" w:hAnsi="Arial" w:cs="Arial"/>
          <w:sz w:val="22"/>
          <w:szCs w:val="22"/>
        </w:rPr>
        <w:t xml:space="preserve"> </w:t>
      </w:r>
      <w:r w:rsidRPr="00A005D1">
        <w:rPr>
          <w:rFonts w:ascii="Arial" w:hAnsi="Arial" w:cs="Arial"/>
          <w:sz w:val="22"/>
          <w:szCs w:val="22"/>
        </w:rPr>
        <w:t>species is known from 12 discrete breeding aggregations in the lower sections of streams entering</w:t>
      </w:r>
      <w:r>
        <w:rPr>
          <w:rFonts w:ascii="Arial" w:hAnsi="Arial" w:cs="Arial"/>
          <w:sz w:val="22"/>
          <w:szCs w:val="22"/>
        </w:rPr>
        <w:t xml:space="preserve"> </w:t>
      </w:r>
      <w:r w:rsidRPr="00A005D1">
        <w:rPr>
          <w:rFonts w:ascii="Arial" w:hAnsi="Arial" w:cs="Arial"/>
          <w:sz w:val="22"/>
          <w:szCs w:val="22"/>
        </w:rPr>
        <w:t>the Barron River between the localities of Kuranda, Myola, Mantaka, Kowrowa and Oak Forest.</w:t>
      </w:r>
      <w:r>
        <w:rPr>
          <w:rFonts w:ascii="Arial" w:hAnsi="Arial" w:cs="Arial"/>
          <w:sz w:val="22"/>
          <w:szCs w:val="22"/>
        </w:rPr>
        <w:t xml:space="preserve"> </w:t>
      </w:r>
      <w:r w:rsidRPr="00A005D1">
        <w:rPr>
          <w:rFonts w:ascii="Arial" w:hAnsi="Arial" w:cs="Arial"/>
          <w:sz w:val="22"/>
          <w:szCs w:val="22"/>
        </w:rPr>
        <w:t>This species occurs within the Wet Tropics IBRA Bioregion and the Wet Tropics Natural Resource</w:t>
      </w:r>
      <w:r>
        <w:rPr>
          <w:rFonts w:ascii="Arial" w:hAnsi="Arial" w:cs="Arial"/>
          <w:sz w:val="22"/>
          <w:szCs w:val="22"/>
        </w:rPr>
        <w:t xml:space="preserve"> </w:t>
      </w:r>
      <w:r w:rsidRPr="00A005D1">
        <w:rPr>
          <w:rFonts w:ascii="Arial" w:hAnsi="Arial" w:cs="Arial"/>
          <w:sz w:val="22"/>
          <w:szCs w:val="22"/>
        </w:rPr>
        <w:t>Management Region.</w:t>
      </w:r>
      <w:r>
        <w:rPr>
          <w:rFonts w:ascii="Arial" w:hAnsi="Arial" w:cs="Arial"/>
          <w:sz w:val="22"/>
          <w:szCs w:val="22"/>
        </w:rPr>
        <w:t xml:space="preserve"> </w:t>
      </w:r>
      <w:r w:rsidRPr="00A005D1">
        <w:rPr>
          <w:rFonts w:ascii="Arial" w:hAnsi="Arial" w:cs="Arial"/>
          <w:sz w:val="22"/>
          <w:szCs w:val="22"/>
        </w:rPr>
        <w:t xml:space="preserve">The largest breeding aggregation of </w:t>
      </w:r>
      <w:r>
        <w:rPr>
          <w:rFonts w:ascii="Arial" w:hAnsi="Arial" w:cs="Arial"/>
          <w:sz w:val="22"/>
          <w:szCs w:val="22"/>
        </w:rPr>
        <w:t>Kuranda tree frog</w:t>
      </w:r>
      <w:r w:rsidRPr="00A005D1">
        <w:rPr>
          <w:rFonts w:ascii="Arial" w:hAnsi="Arial" w:cs="Arial"/>
          <w:sz w:val="22"/>
          <w:szCs w:val="22"/>
        </w:rPr>
        <w:t xml:space="preserve"> is located partly in a reserve, Jumrum Creek</w:t>
      </w:r>
      <w:r>
        <w:rPr>
          <w:rFonts w:ascii="Arial" w:hAnsi="Arial" w:cs="Arial"/>
          <w:sz w:val="22"/>
          <w:szCs w:val="22"/>
        </w:rPr>
        <w:t xml:space="preserve"> </w:t>
      </w:r>
      <w:r w:rsidRPr="00A005D1">
        <w:rPr>
          <w:rFonts w:ascii="Arial" w:hAnsi="Arial" w:cs="Arial"/>
          <w:sz w:val="22"/>
          <w:szCs w:val="22"/>
        </w:rPr>
        <w:t>Conservation Park. Other breeding aggregations exist on private land and Mareeba Shire Council</w:t>
      </w:r>
      <w:r>
        <w:rPr>
          <w:rFonts w:ascii="Arial" w:hAnsi="Arial" w:cs="Arial"/>
          <w:sz w:val="22"/>
          <w:szCs w:val="22"/>
        </w:rPr>
        <w:t xml:space="preserve"> </w:t>
      </w:r>
      <w:r w:rsidRPr="00A005D1">
        <w:rPr>
          <w:rFonts w:ascii="Arial" w:hAnsi="Arial" w:cs="Arial"/>
          <w:sz w:val="22"/>
          <w:szCs w:val="22"/>
        </w:rPr>
        <w:t xml:space="preserve">Land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Pr>
          <w:rFonts w:ascii="Arial" w:hAnsi="Arial" w:cs="Arial"/>
          <w:noProof/>
          <w:sz w:val="22"/>
          <w:szCs w:val="22"/>
        </w:rPr>
        <w:t>)</w:t>
      </w:r>
      <w:r>
        <w:rPr>
          <w:rFonts w:ascii="Arial" w:hAnsi="Arial" w:cs="Arial"/>
          <w:sz w:val="22"/>
          <w:szCs w:val="22"/>
        </w:rPr>
        <w:fldChar w:fldCharType="end"/>
      </w:r>
      <w:r w:rsidRPr="00A005D1">
        <w:rPr>
          <w:rFonts w:ascii="Arial" w:hAnsi="Arial" w:cs="Arial"/>
          <w:sz w:val="22"/>
          <w:szCs w:val="22"/>
        </w:rPr>
        <w:t>.</w:t>
      </w:r>
    </w:p>
    <w:p w14:paraId="60641653" w14:textId="77777777" w:rsidR="00076068" w:rsidRPr="00A97A86" w:rsidRDefault="00076068" w:rsidP="00076068">
      <w:pPr>
        <w:pStyle w:val="CAheading"/>
        <w:rPr>
          <w:b w:val="0"/>
        </w:rPr>
      </w:pPr>
    </w:p>
    <w:p w14:paraId="7AB955A0" w14:textId="77777777" w:rsidR="006C13E7" w:rsidRPr="006C13E7" w:rsidRDefault="007D7E49" w:rsidP="006C13E7">
      <w:pPr>
        <w:pStyle w:val="CAheading"/>
      </w:pPr>
      <w:r w:rsidRPr="007D7E49">
        <w:t>Relevant Biology/Ecology</w:t>
      </w:r>
    </w:p>
    <w:p w14:paraId="3316E0E0" w14:textId="64A81BB0" w:rsidR="00A005D1" w:rsidRDefault="00A005D1" w:rsidP="00A005D1">
      <w:pPr>
        <w:autoSpaceDE w:val="0"/>
        <w:autoSpaceDN w:val="0"/>
        <w:adjustRightInd w:val="0"/>
        <w:rPr>
          <w:rFonts w:ascii="Arial" w:hAnsi="Arial" w:cs="Arial"/>
          <w:sz w:val="22"/>
          <w:szCs w:val="22"/>
          <w:lang w:eastAsia="en-AU"/>
        </w:rPr>
      </w:pPr>
      <w:r w:rsidRPr="00A005D1">
        <w:rPr>
          <w:rFonts w:ascii="Arial" w:hAnsi="Arial" w:cs="Arial"/>
          <w:sz w:val="22"/>
          <w:szCs w:val="22"/>
          <w:lang w:eastAsia="en-AU"/>
        </w:rPr>
        <w:t xml:space="preserve">The </w:t>
      </w:r>
      <w:r>
        <w:rPr>
          <w:rFonts w:ascii="Arial" w:hAnsi="Arial" w:cs="Arial"/>
          <w:sz w:val="22"/>
          <w:szCs w:val="22"/>
          <w:lang w:eastAsia="en-AU"/>
        </w:rPr>
        <w:t>Kuranda tree frog</w:t>
      </w:r>
      <w:r w:rsidRPr="00A005D1">
        <w:rPr>
          <w:rFonts w:ascii="Arial" w:hAnsi="Arial" w:cs="Arial"/>
          <w:sz w:val="22"/>
          <w:szCs w:val="22"/>
          <w:lang w:eastAsia="en-AU"/>
        </w:rPr>
        <w:t xml:space="preserve"> is </w:t>
      </w:r>
      <w:r w:rsidR="00976E3E">
        <w:rPr>
          <w:rFonts w:ascii="Arial" w:hAnsi="Arial" w:cs="Arial"/>
          <w:sz w:val="22"/>
          <w:szCs w:val="22"/>
          <w:lang w:eastAsia="en-AU"/>
        </w:rPr>
        <w:t>a nocturna</w:t>
      </w:r>
      <w:r w:rsidR="003F61EF">
        <w:rPr>
          <w:rFonts w:ascii="Arial" w:hAnsi="Arial" w:cs="Arial"/>
          <w:sz w:val="22"/>
          <w:szCs w:val="22"/>
          <w:lang w:eastAsia="en-AU"/>
        </w:rPr>
        <w:t>l</w:t>
      </w:r>
      <w:r w:rsidR="00976E3E">
        <w:rPr>
          <w:rFonts w:ascii="Arial" w:hAnsi="Arial" w:cs="Arial"/>
          <w:sz w:val="22"/>
          <w:szCs w:val="22"/>
          <w:lang w:eastAsia="en-AU"/>
        </w:rPr>
        <w:t xml:space="preserve">, arboreal species </w:t>
      </w:r>
      <w:r w:rsidRPr="00A005D1">
        <w:rPr>
          <w:rFonts w:ascii="Arial" w:hAnsi="Arial" w:cs="Arial"/>
          <w:sz w:val="22"/>
          <w:szCs w:val="22"/>
          <w:lang w:eastAsia="en-AU"/>
        </w:rPr>
        <w:t>found in rainforest near slow-moving permanent and ephemeral streams</w:t>
      </w:r>
      <w:r>
        <w:rPr>
          <w:rFonts w:ascii="Arial" w:hAnsi="Arial" w:cs="Arial"/>
          <w:sz w:val="22"/>
          <w:szCs w:val="22"/>
          <w:lang w:eastAsia="en-AU"/>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sidR="00976E3E">
        <w:rPr>
          <w:rFonts w:ascii="Arial" w:hAnsi="Arial" w:cs="Arial"/>
          <w:noProof/>
          <w:sz w:val="22"/>
          <w:szCs w:val="22"/>
        </w:rPr>
        <w:t>; Hoskin &amp; Hero 2008</w:t>
      </w:r>
      <w:r>
        <w:rPr>
          <w:rFonts w:ascii="Arial" w:hAnsi="Arial" w:cs="Arial"/>
          <w:noProof/>
          <w:sz w:val="22"/>
          <w:szCs w:val="22"/>
        </w:rPr>
        <w:t>)</w:t>
      </w:r>
      <w:r>
        <w:rPr>
          <w:rFonts w:ascii="Arial" w:hAnsi="Arial" w:cs="Arial"/>
          <w:sz w:val="22"/>
          <w:szCs w:val="22"/>
        </w:rPr>
        <w:fldChar w:fldCharType="end"/>
      </w:r>
      <w:r w:rsidRPr="00A005D1">
        <w:rPr>
          <w:rFonts w:ascii="Arial" w:hAnsi="Arial" w:cs="Arial"/>
          <w:sz w:val="22"/>
          <w:szCs w:val="22"/>
          <w:lang w:eastAsia="en-AU"/>
        </w:rPr>
        <w:t>. All sites from which the species is known are close to the Barron River and</w:t>
      </w:r>
      <w:r>
        <w:rPr>
          <w:rFonts w:ascii="Arial" w:hAnsi="Arial" w:cs="Arial"/>
          <w:sz w:val="22"/>
          <w:szCs w:val="22"/>
          <w:lang w:eastAsia="en-AU"/>
        </w:rPr>
        <w:t xml:space="preserve"> </w:t>
      </w:r>
      <w:r w:rsidRPr="00A005D1">
        <w:rPr>
          <w:rFonts w:ascii="Arial" w:hAnsi="Arial" w:cs="Arial"/>
          <w:sz w:val="22"/>
          <w:szCs w:val="22"/>
          <w:lang w:eastAsia="en-AU"/>
        </w:rPr>
        <w:t>between 300 and 400 m altitude. The sites are generally sheltered and experience little wind. At</w:t>
      </w:r>
      <w:r>
        <w:rPr>
          <w:rFonts w:ascii="Arial" w:hAnsi="Arial" w:cs="Arial"/>
          <w:sz w:val="22"/>
          <w:szCs w:val="22"/>
          <w:lang w:eastAsia="en-AU"/>
        </w:rPr>
        <w:t xml:space="preserve"> </w:t>
      </w:r>
      <w:r w:rsidRPr="00A005D1">
        <w:rPr>
          <w:rFonts w:ascii="Arial" w:hAnsi="Arial" w:cs="Arial"/>
          <w:sz w:val="22"/>
          <w:szCs w:val="22"/>
          <w:lang w:eastAsia="en-AU"/>
        </w:rPr>
        <w:t>these mid altitudes the climate is warm and humid. There are pronounced wet and dry seasons, with</w:t>
      </w:r>
      <w:r>
        <w:rPr>
          <w:rFonts w:ascii="Arial" w:hAnsi="Arial" w:cs="Arial"/>
          <w:sz w:val="22"/>
          <w:szCs w:val="22"/>
          <w:lang w:eastAsia="en-AU"/>
        </w:rPr>
        <w:t xml:space="preserve"> </w:t>
      </w:r>
      <w:r w:rsidRPr="00A005D1">
        <w:rPr>
          <w:rFonts w:ascii="Arial" w:hAnsi="Arial" w:cs="Arial"/>
          <w:sz w:val="22"/>
          <w:szCs w:val="22"/>
          <w:lang w:eastAsia="en-AU"/>
        </w:rPr>
        <w:t>most rain falling in the warmer ‘wet season’ between November and April. Streams inhabited by</w:t>
      </w:r>
      <w:r>
        <w:rPr>
          <w:rFonts w:ascii="Arial" w:hAnsi="Arial" w:cs="Arial"/>
          <w:sz w:val="22"/>
          <w:szCs w:val="22"/>
          <w:lang w:eastAsia="en-AU"/>
        </w:rPr>
        <w:t xml:space="preserve"> </w:t>
      </w:r>
      <w:r w:rsidRPr="00A005D1">
        <w:rPr>
          <w:rFonts w:ascii="Arial" w:hAnsi="Arial" w:cs="Arial"/>
          <w:sz w:val="22"/>
          <w:szCs w:val="22"/>
          <w:lang w:eastAsia="en-AU"/>
        </w:rPr>
        <w:t xml:space="preserve">the </w:t>
      </w:r>
      <w:r>
        <w:rPr>
          <w:rFonts w:ascii="Arial" w:hAnsi="Arial" w:cs="Arial"/>
          <w:sz w:val="22"/>
          <w:szCs w:val="22"/>
          <w:lang w:eastAsia="en-AU"/>
        </w:rPr>
        <w:t>Kuranda tree frog</w:t>
      </w:r>
      <w:r w:rsidRPr="00A005D1">
        <w:rPr>
          <w:rFonts w:ascii="Arial" w:hAnsi="Arial" w:cs="Arial"/>
          <w:sz w:val="22"/>
          <w:szCs w:val="22"/>
          <w:lang w:eastAsia="en-AU"/>
        </w:rPr>
        <w:t xml:space="preserve"> are meandering and </w:t>
      </w:r>
      <w:r w:rsidR="0072057E">
        <w:rPr>
          <w:rFonts w:ascii="Arial" w:hAnsi="Arial" w:cs="Arial"/>
          <w:sz w:val="22"/>
          <w:szCs w:val="22"/>
          <w:lang w:eastAsia="en-AU"/>
        </w:rPr>
        <w:t>consist of</w:t>
      </w:r>
      <w:r w:rsidRPr="00A005D1">
        <w:rPr>
          <w:rFonts w:ascii="Arial" w:hAnsi="Arial" w:cs="Arial"/>
          <w:sz w:val="22"/>
          <w:szCs w:val="22"/>
          <w:lang w:eastAsia="en-AU"/>
        </w:rPr>
        <w:t xml:space="preserve"> long, slow pools separated by short,</w:t>
      </w:r>
      <w:r>
        <w:rPr>
          <w:rFonts w:ascii="Arial" w:hAnsi="Arial" w:cs="Arial"/>
          <w:sz w:val="22"/>
          <w:szCs w:val="22"/>
          <w:lang w:eastAsia="en-AU"/>
        </w:rPr>
        <w:t xml:space="preserve"> </w:t>
      </w:r>
      <w:r w:rsidRPr="00A005D1">
        <w:rPr>
          <w:rFonts w:ascii="Arial" w:hAnsi="Arial" w:cs="Arial"/>
          <w:sz w:val="22"/>
          <w:szCs w:val="22"/>
          <w:lang w:eastAsia="en-AU"/>
        </w:rPr>
        <w:t>shallow sections of riffles or cascades. The streams are small to moderate-sized, with low levels of</w:t>
      </w:r>
      <w:r>
        <w:rPr>
          <w:rFonts w:ascii="Arial" w:hAnsi="Arial" w:cs="Arial"/>
          <w:sz w:val="22"/>
          <w:szCs w:val="22"/>
          <w:lang w:eastAsia="en-AU"/>
        </w:rPr>
        <w:t xml:space="preserve"> </w:t>
      </w:r>
      <w:r w:rsidRPr="00A005D1">
        <w:rPr>
          <w:rFonts w:ascii="Arial" w:hAnsi="Arial" w:cs="Arial"/>
          <w:sz w:val="22"/>
          <w:szCs w:val="22"/>
          <w:lang w:eastAsia="en-AU"/>
        </w:rPr>
        <w:t>flow (except following heavy rain)</w:t>
      </w:r>
      <w:r w:rsidRPr="00A005D1">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Pr>
          <w:rFonts w:ascii="Arial" w:hAnsi="Arial" w:cs="Arial"/>
          <w:noProof/>
          <w:sz w:val="22"/>
          <w:szCs w:val="22"/>
        </w:rPr>
        <w:t>)</w:t>
      </w:r>
      <w:r>
        <w:rPr>
          <w:rFonts w:ascii="Arial" w:hAnsi="Arial" w:cs="Arial"/>
          <w:sz w:val="22"/>
          <w:szCs w:val="22"/>
        </w:rPr>
        <w:fldChar w:fldCharType="end"/>
      </w:r>
      <w:r w:rsidRPr="00A005D1">
        <w:rPr>
          <w:rFonts w:ascii="Arial" w:hAnsi="Arial" w:cs="Arial"/>
          <w:sz w:val="22"/>
          <w:szCs w:val="22"/>
          <w:lang w:eastAsia="en-AU"/>
        </w:rPr>
        <w:t>.</w:t>
      </w:r>
    </w:p>
    <w:p w14:paraId="0FBDADB2" w14:textId="77777777" w:rsidR="00A005D1" w:rsidRPr="00A005D1" w:rsidRDefault="00A005D1" w:rsidP="00A005D1">
      <w:pPr>
        <w:autoSpaceDE w:val="0"/>
        <w:autoSpaceDN w:val="0"/>
        <w:adjustRightInd w:val="0"/>
        <w:rPr>
          <w:rFonts w:ascii="Arial" w:hAnsi="Arial" w:cs="Arial"/>
          <w:sz w:val="22"/>
          <w:szCs w:val="22"/>
          <w:lang w:eastAsia="en-AU"/>
        </w:rPr>
      </w:pPr>
    </w:p>
    <w:p w14:paraId="7ABD419A" w14:textId="5D7AC25C" w:rsidR="00A005D1" w:rsidRDefault="00A005D1" w:rsidP="00A005D1">
      <w:pPr>
        <w:autoSpaceDE w:val="0"/>
        <w:autoSpaceDN w:val="0"/>
        <w:adjustRightInd w:val="0"/>
        <w:rPr>
          <w:rFonts w:ascii="Arial" w:hAnsi="Arial" w:cs="Arial"/>
          <w:sz w:val="22"/>
          <w:szCs w:val="22"/>
          <w:lang w:eastAsia="en-AU"/>
        </w:rPr>
      </w:pPr>
      <w:r w:rsidRPr="00A005D1">
        <w:rPr>
          <w:rFonts w:ascii="Arial" w:hAnsi="Arial" w:cs="Arial"/>
          <w:sz w:val="22"/>
          <w:szCs w:val="22"/>
          <w:lang w:eastAsia="en-AU"/>
        </w:rPr>
        <w:t xml:space="preserve">Male </w:t>
      </w:r>
      <w:r>
        <w:rPr>
          <w:rFonts w:ascii="Arial" w:hAnsi="Arial" w:cs="Arial"/>
          <w:sz w:val="22"/>
          <w:szCs w:val="22"/>
          <w:lang w:eastAsia="en-AU"/>
        </w:rPr>
        <w:t>Kuranda tree frog</w:t>
      </w:r>
      <w:r w:rsidRPr="00A005D1">
        <w:rPr>
          <w:rFonts w:ascii="Arial" w:hAnsi="Arial" w:cs="Arial"/>
          <w:sz w:val="22"/>
          <w:szCs w:val="22"/>
          <w:lang w:eastAsia="en-AU"/>
        </w:rPr>
        <w:t>s are encountered calling along streams through the spring and summer</w:t>
      </w:r>
      <w:r>
        <w:rPr>
          <w:rFonts w:ascii="Arial" w:hAnsi="Arial" w:cs="Arial"/>
          <w:sz w:val="22"/>
          <w:szCs w:val="22"/>
          <w:lang w:eastAsia="en-AU"/>
        </w:rPr>
        <w:t xml:space="preserve"> </w:t>
      </w:r>
      <w:r w:rsidRPr="00A005D1">
        <w:rPr>
          <w:rFonts w:ascii="Arial" w:hAnsi="Arial" w:cs="Arial"/>
          <w:sz w:val="22"/>
          <w:szCs w:val="22"/>
          <w:lang w:eastAsia="en-AU"/>
        </w:rPr>
        <w:t xml:space="preserve">months, primarily near riffle areas and small cascades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Pr>
          <w:rFonts w:ascii="Arial" w:hAnsi="Arial" w:cs="Arial"/>
          <w:noProof/>
          <w:sz w:val="22"/>
          <w:szCs w:val="22"/>
        </w:rPr>
        <w:t>)</w:t>
      </w:r>
      <w:r>
        <w:rPr>
          <w:rFonts w:ascii="Arial" w:hAnsi="Arial" w:cs="Arial"/>
          <w:sz w:val="22"/>
          <w:szCs w:val="22"/>
        </w:rPr>
        <w:fldChar w:fldCharType="end"/>
      </w:r>
      <w:r w:rsidRPr="00A005D1">
        <w:rPr>
          <w:rFonts w:ascii="Arial" w:hAnsi="Arial" w:cs="Arial"/>
          <w:sz w:val="22"/>
          <w:szCs w:val="22"/>
          <w:lang w:eastAsia="en-AU"/>
        </w:rPr>
        <w:t>. Males are rarely encountered</w:t>
      </w:r>
      <w:r>
        <w:rPr>
          <w:rFonts w:ascii="Arial" w:hAnsi="Arial" w:cs="Arial"/>
          <w:sz w:val="22"/>
          <w:szCs w:val="22"/>
          <w:lang w:eastAsia="en-AU"/>
        </w:rPr>
        <w:t xml:space="preserve"> </w:t>
      </w:r>
      <w:r w:rsidRPr="00A005D1">
        <w:rPr>
          <w:rFonts w:ascii="Arial" w:hAnsi="Arial" w:cs="Arial"/>
          <w:sz w:val="22"/>
          <w:szCs w:val="22"/>
          <w:lang w:eastAsia="en-AU"/>
        </w:rPr>
        <w:t>away from streams. Calling males clump around the shallower, flowing sections of streams</w:t>
      </w:r>
      <w:r w:rsidR="003F61EF">
        <w:rPr>
          <w:rFonts w:ascii="Arial" w:hAnsi="Arial" w:cs="Arial"/>
          <w:sz w:val="22"/>
          <w:szCs w:val="22"/>
          <w:lang w:eastAsia="en-AU"/>
        </w:rPr>
        <w:t xml:space="preserve"> </w:t>
      </w:r>
      <w:r w:rsidR="00976E3E">
        <w:rPr>
          <w:rFonts w:ascii="Arial" w:hAnsi="Arial" w:cs="Arial"/>
          <w:sz w:val="22"/>
          <w:szCs w:val="22"/>
        </w:rPr>
        <w:fldChar w:fldCharType="begin"/>
      </w:r>
      <w:r w:rsidR="00976E3E">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976E3E">
        <w:rPr>
          <w:rFonts w:ascii="Arial" w:hAnsi="Arial" w:cs="Arial"/>
          <w:sz w:val="22"/>
          <w:szCs w:val="22"/>
        </w:rPr>
        <w:fldChar w:fldCharType="separate"/>
      </w:r>
      <w:r w:rsidR="00976E3E">
        <w:rPr>
          <w:rFonts w:ascii="Arial" w:hAnsi="Arial" w:cs="Arial"/>
          <w:noProof/>
          <w:sz w:val="22"/>
          <w:szCs w:val="22"/>
        </w:rPr>
        <w:t>(</w:t>
      </w:r>
      <w:hyperlink w:anchor="_ENREF_1" w:tooltip="Hoskin, 2007 #112" w:history="1">
        <w:r w:rsidR="00976E3E">
          <w:rPr>
            <w:rFonts w:ascii="Arial" w:hAnsi="Arial" w:cs="Arial"/>
            <w:noProof/>
            <w:sz w:val="22"/>
            <w:szCs w:val="22"/>
          </w:rPr>
          <w:t>Hoskin 2007</w:t>
        </w:r>
      </w:hyperlink>
      <w:r w:rsidR="00976E3E">
        <w:rPr>
          <w:rFonts w:ascii="Arial" w:hAnsi="Arial" w:cs="Arial"/>
          <w:noProof/>
          <w:sz w:val="22"/>
          <w:szCs w:val="22"/>
        </w:rPr>
        <w:t>)</w:t>
      </w:r>
      <w:r w:rsidR="00976E3E">
        <w:rPr>
          <w:rFonts w:ascii="Arial" w:hAnsi="Arial" w:cs="Arial"/>
          <w:sz w:val="22"/>
          <w:szCs w:val="22"/>
        </w:rPr>
        <w:fldChar w:fldCharType="end"/>
      </w:r>
      <w:r w:rsidRPr="00A005D1">
        <w:rPr>
          <w:rFonts w:ascii="Arial" w:hAnsi="Arial" w:cs="Arial"/>
          <w:sz w:val="22"/>
          <w:szCs w:val="22"/>
          <w:lang w:eastAsia="en-AU"/>
        </w:rPr>
        <w:t xml:space="preserve">. </w:t>
      </w:r>
    </w:p>
    <w:p w14:paraId="498ABD23" w14:textId="77777777" w:rsidR="00A005D1" w:rsidRDefault="00A005D1" w:rsidP="00A005D1">
      <w:pPr>
        <w:autoSpaceDE w:val="0"/>
        <w:autoSpaceDN w:val="0"/>
        <w:adjustRightInd w:val="0"/>
        <w:rPr>
          <w:rFonts w:ascii="Arial" w:hAnsi="Arial" w:cs="Arial"/>
          <w:sz w:val="22"/>
          <w:szCs w:val="22"/>
          <w:lang w:eastAsia="en-AU"/>
        </w:rPr>
      </w:pPr>
    </w:p>
    <w:p w14:paraId="4DE1C016" w14:textId="677ECC4C" w:rsidR="00A005D1" w:rsidRPr="00A005D1" w:rsidRDefault="003F61EF" w:rsidP="00A005D1">
      <w:pPr>
        <w:autoSpaceDE w:val="0"/>
        <w:autoSpaceDN w:val="0"/>
        <w:adjustRightInd w:val="0"/>
        <w:rPr>
          <w:rFonts w:ascii="Arial" w:hAnsi="Arial" w:cs="Arial"/>
          <w:sz w:val="22"/>
          <w:szCs w:val="22"/>
          <w:lang w:eastAsia="en-AU"/>
        </w:rPr>
      </w:pPr>
      <w:r w:rsidRPr="00A005D1">
        <w:rPr>
          <w:rFonts w:ascii="Arial" w:hAnsi="Arial" w:cs="Arial"/>
          <w:sz w:val="22"/>
          <w:szCs w:val="22"/>
          <w:lang w:eastAsia="en-AU"/>
        </w:rPr>
        <w:t xml:space="preserve">Males and females lead noticeably different lifestyles. </w:t>
      </w:r>
      <w:r w:rsidR="00A005D1" w:rsidRPr="00A005D1">
        <w:rPr>
          <w:rFonts w:ascii="Arial" w:hAnsi="Arial" w:cs="Arial"/>
          <w:sz w:val="22"/>
          <w:szCs w:val="22"/>
          <w:lang w:eastAsia="en-AU"/>
        </w:rPr>
        <w:t>A few females have been observed in the mid and upper strata of rainforest trees (both near</w:t>
      </w:r>
      <w:r w:rsidR="00A005D1">
        <w:rPr>
          <w:rFonts w:ascii="Arial" w:hAnsi="Arial" w:cs="Arial"/>
          <w:sz w:val="22"/>
          <w:szCs w:val="22"/>
          <w:lang w:eastAsia="en-AU"/>
        </w:rPr>
        <w:t xml:space="preserve"> </w:t>
      </w:r>
      <w:r w:rsidR="00A005D1" w:rsidRPr="00A005D1">
        <w:rPr>
          <w:rFonts w:ascii="Arial" w:hAnsi="Arial" w:cs="Arial"/>
          <w:sz w:val="22"/>
          <w:szCs w:val="22"/>
          <w:lang w:eastAsia="en-AU"/>
        </w:rPr>
        <w:t>and some distance from streams) and Hoskin (2007) suggests that this is where they live when not</w:t>
      </w:r>
      <w:r w:rsidR="00C1358F">
        <w:rPr>
          <w:rFonts w:ascii="Arial" w:hAnsi="Arial" w:cs="Arial"/>
          <w:sz w:val="22"/>
          <w:szCs w:val="22"/>
          <w:lang w:eastAsia="en-AU"/>
        </w:rPr>
        <w:t xml:space="preserve"> </w:t>
      </w:r>
      <w:r w:rsidR="00A005D1" w:rsidRPr="00A005D1">
        <w:rPr>
          <w:rFonts w:ascii="Arial" w:hAnsi="Arial" w:cs="Arial"/>
          <w:sz w:val="22"/>
          <w:szCs w:val="22"/>
          <w:lang w:eastAsia="en-AU"/>
        </w:rPr>
        <w:t>visiting streams to breed.</w:t>
      </w:r>
      <w:r w:rsidR="00A005D1">
        <w:rPr>
          <w:rFonts w:ascii="Arial" w:hAnsi="Arial" w:cs="Arial"/>
          <w:sz w:val="22"/>
          <w:szCs w:val="22"/>
          <w:lang w:eastAsia="en-AU"/>
        </w:rPr>
        <w:t xml:space="preserve"> </w:t>
      </w:r>
      <w:r w:rsidR="00A005D1" w:rsidRPr="00A005D1">
        <w:rPr>
          <w:rFonts w:ascii="Arial" w:hAnsi="Arial" w:cs="Arial"/>
          <w:sz w:val="22"/>
          <w:szCs w:val="22"/>
          <w:lang w:eastAsia="en-AU"/>
        </w:rPr>
        <w:t xml:space="preserve">The </w:t>
      </w:r>
      <w:r w:rsidR="00A005D1">
        <w:rPr>
          <w:rFonts w:ascii="Arial" w:hAnsi="Arial" w:cs="Arial"/>
          <w:sz w:val="22"/>
          <w:szCs w:val="22"/>
          <w:lang w:eastAsia="en-AU"/>
        </w:rPr>
        <w:t>Kuranda tree frog</w:t>
      </w:r>
      <w:r w:rsidR="00A005D1" w:rsidRPr="00A005D1">
        <w:rPr>
          <w:rFonts w:ascii="Arial" w:hAnsi="Arial" w:cs="Arial"/>
          <w:sz w:val="22"/>
          <w:szCs w:val="22"/>
          <w:lang w:eastAsia="en-AU"/>
        </w:rPr>
        <w:t xml:space="preserve"> breeds primarily in spring and summer. Tadpoles live in streams for about</w:t>
      </w:r>
      <w:r w:rsidR="00A005D1">
        <w:rPr>
          <w:rFonts w:ascii="Arial" w:hAnsi="Arial" w:cs="Arial"/>
          <w:sz w:val="22"/>
          <w:szCs w:val="22"/>
          <w:lang w:eastAsia="en-AU"/>
        </w:rPr>
        <w:t xml:space="preserve"> </w:t>
      </w:r>
      <w:r w:rsidR="00A005D1" w:rsidRPr="00A005D1">
        <w:rPr>
          <w:rFonts w:ascii="Arial" w:hAnsi="Arial" w:cs="Arial"/>
          <w:sz w:val="22"/>
          <w:szCs w:val="22"/>
          <w:lang w:eastAsia="en-AU"/>
        </w:rPr>
        <w:t>2 months. Metamorphs have been observed on stream-side vegetation but sub-adults have rarely been observed in streams, suggesting that they move into the forest to mature. The fact that</w:t>
      </w:r>
      <w:r w:rsidR="00A005D1">
        <w:rPr>
          <w:rFonts w:ascii="Arial" w:hAnsi="Arial" w:cs="Arial"/>
          <w:sz w:val="22"/>
          <w:szCs w:val="22"/>
          <w:lang w:eastAsia="en-AU"/>
        </w:rPr>
        <w:t xml:space="preserve"> </w:t>
      </w:r>
      <w:r w:rsidR="00A005D1" w:rsidRPr="00A005D1">
        <w:rPr>
          <w:rFonts w:ascii="Arial" w:hAnsi="Arial" w:cs="Arial"/>
          <w:sz w:val="22"/>
          <w:szCs w:val="22"/>
          <w:lang w:eastAsia="en-AU"/>
        </w:rPr>
        <w:t>the species breeds only in the lower sections of streams means that it is vulnerable to impacts not</w:t>
      </w:r>
      <w:r w:rsidR="00A005D1">
        <w:rPr>
          <w:rFonts w:ascii="Arial" w:hAnsi="Arial" w:cs="Arial"/>
          <w:sz w:val="22"/>
          <w:szCs w:val="22"/>
          <w:lang w:eastAsia="en-AU"/>
        </w:rPr>
        <w:t xml:space="preserve"> </w:t>
      </w:r>
      <w:r w:rsidR="00A005D1" w:rsidRPr="00A005D1">
        <w:rPr>
          <w:rFonts w:ascii="Arial" w:hAnsi="Arial" w:cs="Arial"/>
          <w:sz w:val="22"/>
          <w:szCs w:val="22"/>
          <w:lang w:eastAsia="en-AU"/>
        </w:rPr>
        <w:t xml:space="preserve">just at occupied sites but also in upstream areas of the catchments </w:t>
      </w:r>
      <w:r w:rsidR="00A005D1">
        <w:rPr>
          <w:rFonts w:ascii="Arial" w:hAnsi="Arial" w:cs="Arial"/>
          <w:sz w:val="22"/>
          <w:szCs w:val="22"/>
        </w:rPr>
        <w:fldChar w:fldCharType="begin"/>
      </w:r>
      <w:r w:rsidR="00A005D1">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A005D1">
        <w:rPr>
          <w:rFonts w:ascii="Arial" w:hAnsi="Arial" w:cs="Arial"/>
          <w:sz w:val="22"/>
          <w:szCs w:val="22"/>
        </w:rPr>
        <w:fldChar w:fldCharType="separate"/>
      </w:r>
      <w:r w:rsidR="00A005D1">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sidR="00A005D1">
        <w:rPr>
          <w:rFonts w:ascii="Arial" w:hAnsi="Arial" w:cs="Arial"/>
          <w:noProof/>
          <w:sz w:val="22"/>
          <w:szCs w:val="22"/>
        </w:rPr>
        <w:t>)</w:t>
      </w:r>
      <w:r w:rsidR="00A005D1">
        <w:rPr>
          <w:rFonts w:ascii="Arial" w:hAnsi="Arial" w:cs="Arial"/>
          <w:sz w:val="22"/>
          <w:szCs w:val="22"/>
        </w:rPr>
        <w:fldChar w:fldCharType="end"/>
      </w:r>
      <w:r w:rsidR="00A005D1" w:rsidRPr="00A005D1">
        <w:rPr>
          <w:rFonts w:ascii="Arial" w:hAnsi="Arial" w:cs="Arial"/>
          <w:sz w:val="22"/>
          <w:szCs w:val="22"/>
          <w:lang w:eastAsia="en-AU"/>
        </w:rPr>
        <w:t>.</w:t>
      </w:r>
    </w:p>
    <w:p w14:paraId="6892EBAC" w14:textId="77777777" w:rsidR="00A005D1" w:rsidRDefault="00A005D1" w:rsidP="00A005D1">
      <w:pPr>
        <w:autoSpaceDE w:val="0"/>
        <w:autoSpaceDN w:val="0"/>
        <w:adjustRightInd w:val="0"/>
        <w:rPr>
          <w:rFonts w:ascii="Arial" w:hAnsi="Arial" w:cs="Arial"/>
          <w:sz w:val="22"/>
          <w:szCs w:val="22"/>
          <w:lang w:eastAsia="en-AU"/>
        </w:rPr>
      </w:pPr>
    </w:p>
    <w:p w14:paraId="691189E5" w14:textId="06707C5E" w:rsidR="00A005D1" w:rsidRPr="00A005D1" w:rsidRDefault="00A005D1" w:rsidP="00A005D1">
      <w:pPr>
        <w:autoSpaceDE w:val="0"/>
        <w:autoSpaceDN w:val="0"/>
        <w:adjustRightInd w:val="0"/>
        <w:rPr>
          <w:rFonts w:ascii="Arial" w:hAnsi="Arial" w:cs="Arial"/>
          <w:sz w:val="22"/>
          <w:szCs w:val="22"/>
          <w:lang w:eastAsia="en-AU"/>
        </w:rPr>
      </w:pPr>
      <w:r w:rsidRPr="00A005D1">
        <w:rPr>
          <w:rFonts w:ascii="Arial" w:hAnsi="Arial" w:cs="Arial"/>
          <w:sz w:val="22"/>
          <w:szCs w:val="22"/>
          <w:lang w:eastAsia="en-AU"/>
        </w:rPr>
        <w:t>The species has been</w:t>
      </w:r>
      <w:r>
        <w:rPr>
          <w:rFonts w:ascii="Arial" w:hAnsi="Arial" w:cs="Arial"/>
          <w:sz w:val="22"/>
          <w:szCs w:val="22"/>
          <w:lang w:eastAsia="en-AU"/>
        </w:rPr>
        <w:t xml:space="preserve"> </w:t>
      </w:r>
      <w:r w:rsidRPr="00A005D1">
        <w:rPr>
          <w:rFonts w:ascii="Arial" w:hAnsi="Arial" w:cs="Arial"/>
          <w:sz w:val="22"/>
          <w:szCs w:val="22"/>
          <w:lang w:eastAsia="en-AU"/>
        </w:rPr>
        <w:t>observed in relatively mature rainforest as well as in areas of regenerating rainforest. The species</w:t>
      </w:r>
      <w:r>
        <w:rPr>
          <w:rFonts w:ascii="Arial" w:hAnsi="Arial" w:cs="Arial"/>
          <w:sz w:val="22"/>
          <w:szCs w:val="22"/>
          <w:lang w:eastAsia="en-AU"/>
        </w:rPr>
        <w:t xml:space="preserve"> </w:t>
      </w:r>
      <w:r w:rsidRPr="00A005D1">
        <w:rPr>
          <w:rFonts w:ascii="Arial" w:hAnsi="Arial" w:cs="Arial"/>
          <w:sz w:val="22"/>
          <w:szCs w:val="22"/>
          <w:lang w:eastAsia="en-AU"/>
        </w:rPr>
        <w:t>appears to require reasonably thick riparian forest and is generally absent from sites where only</w:t>
      </w:r>
      <w:r>
        <w:rPr>
          <w:rFonts w:ascii="Arial" w:hAnsi="Arial" w:cs="Arial"/>
          <w:sz w:val="22"/>
          <w:szCs w:val="22"/>
          <w:lang w:eastAsia="en-AU"/>
        </w:rPr>
        <w:t xml:space="preserve"> </w:t>
      </w:r>
      <w:r w:rsidRPr="00A005D1">
        <w:rPr>
          <w:rFonts w:ascii="Arial" w:hAnsi="Arial" w:cs="Arial"/>
          <w:sz w:val="22"/>
          <w:szCs w:val="22"/>
          <w:lang w:eastAsia="en-AU"/>
        </w:rPr>
        <w:t xml:space="preserve">narrow strips of riparian forest have been retained </w:t>
      </w:r>
      <w:r>
        <w:rPr>
          <w:rFonts w:ascii="Arial" w:hAnsi="Arial" w:cs="Arial"/>
          <w:sz w:val="22"/>
          <w:szCs w:val="22"/>
        </w:rPr>
        <w:fldChar w:fldCharType="begin"/>
      </w:r>
      <w:r>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Pr>
          <w:rFonts w:ascii="Arial" w:hAnsi="Arial" w:cs="Arial"/>
          <w:noProof/>
          <w:sz w:val="22"/>
          <w:szCs w:val="22"/>
        </w:rPr>
        <w:t>)</w:t>
      </w:r>
      <w:r>
        <w:rPr>
          <w:rFonts w:ascii="Arial" w:hAnsi="Arial" w:cs="Arial"/>
          <w:sz w:val="22"/>
          <w:szCs w:val="22"/>
        </w:rPr>
        <w:fldChar w:fldCharType="end"/>
      </w:r>
      <w:r w:rsidRPr="00A005D1">
        <w:rPr>
          <w:rFonts w:ascii="Arial" w:hAnsi="Arial" w:cs="Arial"/>
          <w:sz w:val="22"/>
          <w:szCs w:val="22"/>
          <w:lang w:eastAsia="en-AU"/>
        </w:rPr>
        <w:t>.</w:t>
      </w:r>
    </w:p>
    <w:p w14:paraId="60E41618" w14:textId="77777777" w:rsidR="00A005D1" w:rsidRDefault="00A005D1" w:rsidP="00A005D1">
      <w:pPr>
        <w:autoSpaceDE w:val="0"/>
        <w:autoSpaceDN w:val="0"/>
        <w:adjustRightInd w:val="0"/>
        <w:rPr>
          <w:rFonts w:ascii="Arial" w:hAnsi="Arial" w:cs="Arial"/>
          <w:sz w:val="22"/>
          <w:szCs w:val="22"/>
          <w:lang w:eastAsia="en-AU"/>
        </w:rPr>
      </w:pPr>
    </w:p>
    <w:p w14:paraId="102E52C4" w14:textId="77777777" w:rsidR="000A3290" w:rsidRPr="000A3290" w:rsidRDefault="000A3290" w:rsidP="00623EF4">
      <w:pPr>
        <w:pStyle w:val="CAheading"/>
        <w:spacing w:after="0"/>
      </w:pPr>
    </w:p>
    <w:p w14:paraId="5C29DCAD" w14:textId="77777777" w:rsidR="003445DF" w:rsidRPr="007D7E49" w:rsidRDefault="007D7E49" w:rsidP="00623EF4">
      <w:pPr>
        <w:pStyle w:val="CAheading"/>
      </w:pPr>
      <w:r w:rsidRPr="007D7E49">
        <w:t>Threats</w:t>
      </w:r>
    </w:p>
    <w:p w14:paraId="4D03D0E2" w14:textId="78EE0064" w:rsidR="000A3290" w:rsidRPr="007D7E49" w:rsidRDefault="000A3290" w:rsidP="000A3290">
      <w:pPr>
        <w:spacing w:after="240"/>
      </w:pPr>
      <w:r>
        <w:rPr>
          <w:rFonts w:ascii="Arial" w:hAnsi="Arial" w:cs="Arial"/>
          <w:sz w:val="22"/>
          <w:szCs w:val="22"/>
        </w:rPr>
        <w:t>Threats to the</w:t>
      </w:r>
      <w:r w:rsidR="00A005D1">
        <w:rPr>
          <w:rFonts w:ascii="Arial" w:hAnsi="Arial" w:cs="Arial"/>
          <w:sz w:val="22"/>
          <w:szCs w:val="22"/>
        </w:rPr>
        <w:t xml:space="preserve"> Kuranda tree frog</w:t>
      </w:r>
      <w:r>
        <w:rPr>
          <w:rFonts w:ascii="Arial" w:hAnsi="Arial" w:cs="Arial"/>
          <w:sz w:val="22"/>
          <w:szCs w:val="22"/>
        </w:rPr>
        <w:t xml:space="preserve"> </w:t>
      </w:r>
      <w:r w:rsidR="003F333E">
        <w:rPr>
          <w:rFonts w:ascii="Arial" w:hAnsi="Arial" w:cs="Arial"/>
          <w:sz w:val="22"/>
          <w:szCs w:val="22"/>
        </w:rPr>
        <w:t xml:space="preserve">include </w:t>
      </w:r>
      <w:r w:rsidR="00AA6F05">
        <w:rPr>
          <w:rFonts w:ascii="Arial" w:hAnsi="Arial" w:cs="Arial"/>
          <w:sz w:val="22"/>
          <w:szCs w:val="22"/>
        </w:rPr>
        <w:t>amphibian chytrid fungus (</w:t>
      </w:r>
      <w:r w:rsidR="00AA6F05" w:rsidRPr="000F4320">
        <w:rPr>
          <w:rFonts w:ascii="Arial" w:hAnsi="Arial" w:cs="Arial"/>
          <w:i/>
          <w:sz w:val="22"/>
          <w:szCs w:val="22"/>
        </w:rPr>
        <w:t>Batrachochytrium dendrobatidis</w:t>
      </w:r>
      <w:r w:rsidR="00AA6F05">
        <w:rPr>
          <w:rFonts w:ascii="Arial" w:hAnsi="Arial" w:cs="Arial"/>
          <w:sz w:val="22"/>
          <w:szCs w:val="22"/>
        </w:rPr>
        <w:t>)</w:t>
      </w:r>
      <w:r w:rsidR="003F333E">
        <w:rPr>
          <w:rFonts w:ascii="Arial" w:hAnsi="Arial" w:cs="Arial"/>
          <w:sz w:val="22"/>
          <w:szCs w:val="22"/>
        </w:rPr>
        <w:t>,</w:t>
      </w:r>
      <w:r w:rsidR="00516094">
        <w:rPr>
          <w:rFonts w:ascii="Arial" w:hAnsi="Arial" w:cs="Arial"/>
          <w:sz w:val="22"/>
          <w:szCs w:val="22"/>
        </w:rPr>
        <w:t xml:space="preserve"> hybridisation,</w:t>
      </w:r>
      <w:r w:rsidR="003F333E">
        <w:rPr>
          <w:rFonts w:ascii="Arial" w:hAnsi="Arial" w:cs="Arial"/>
          <w:sz w:val="22"/>
          <w:szCs w:val="22"/>
        </w:rPr>
        <w:t xml:space="preserve"> habitat degradation and introduced species.</w:t>
      </w:r>
      <w:r w:rsidR="00453814">
        <w:rPr>
          <w:rFonts w:ascii="Arial" w:hAnsi="Arial" w:cs="Arial"/>
          <w:sz w:val="22"/>
          <w:szCs w:val="22"/>
        </w:rPr>
        <w:t xml:space="preserve"> </w:t>
      </w:r>
      <w:r w:rsidR="006E1E60">
        <w:rPr>
          <w:rFonts w:ascii="Arial" w:hAnsi="Arial" w:cs="Arial"/>
          <w:sz w:val="22"/>
          <w:szCs w:val="22"/>
        </w:rPr>
        <w:t>The table below lists the t</w:t>
      </w:r>
      <w:r w:rsidR="006E1E60" w:rsidRPr="004023AD">
        <w:rPr>
          <w:rFonts w:ascii="Arial" w:hAnsi="Arial" w:cs="Arial"/>
          <w:sz w:val="22"/>
          <w:szCs w:val="22"/>
        </w:rPr>
        <w:t>hreats</w:t>
      </w:r>
      <w:r w:rsidR="006E1E60" w:rsidRPr="008837E3">
        <w:rPr>
          <w:rFonts w:ascii="Arial" w:hAnsi="Arial" w:cs="Arial"/>
          <w:sz w:val="22"/>
          <w:szCs w:val="22"/>
        </w:rPr>
        <w:t xml:space="preserve"> impacting the </w:t>
      </w:r>
      <w:r w:rsidR="006E1E60">
        <w:rPr>
          <w:rFonts w:ascii="Arial" w:hAnsi="Arial" w:cs="Arial"/>
          <w:sz w:val="22"/>
          <w:szCs w:val="22"/>
        </w:rPr>
        <w:t xml:space="preserve">species </w:t>
      </w:r>
      <w:r w:rsidR="006E1E60" w:rsidRPr="008837E3">
        <w:rPr>
          <w:rFonts w:ascii="Arial" w:hAnsi="Arial" w:cs="Arial"/>
          <w:sz w:val="22"/>
          <w:szCs w:val="22"/>
        </w:rPr>
        <w:t>in approximate order of severity of risk, based on available evidence</w:t>
      </w:r>
      <w:r w:rsidR="006E1E60">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0A3290" w14:paraId="7D9CF562" w14:textId="77777777" w:rsidTr="003F333E">
        <w:tc>
          <w:tcPr>
            <w:tcW w:w="1809" w:type="dxa"/>
            <w:shd w:val="clear" w:color="auto" w:fill="C0C0C0"/>
          </w:tcPr>
          <w:p w14:paraId="2671477E"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62D07AFF"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730B7AC0"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1A710A18" w14:textId="77777777" w:rsidR="000A3290" w:rsidRPr="000A3290" w:rsidRDefault="000A3290" w:rsidP="000A329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D823BE" w14:paraId="2B7EE8B8" w14:textId="77777777" w:rsidTr="003F333E">
        <w:tc>
          <w:tcPr>
            <w:tcW w:w="1809" w:type="dxa"/>
          </w:tcPr>
          <w:p w14:paraId="097EB96D" w14:textId="355C4F0C" w:rsidR="00D823BE" w:rsidRPr="00E92755" w:rsidRDefault="00D823BE" w:rsidP="00D823BE">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5D9C31C9" w14:textId="184AF18A" w:rsidR="00D823BE" w:rsidRPr="000A3290" w:rsidRDefault="00D823BE" w:rsidP="00D823BE">
            <w:pPr>
              <w:rPr>
                <w:rFonts w:ascii="Arial" w:hAnsi="Arial" w:cs="Arial"/>
                <w:color w:val="000000"/>
                <w:sz w:val="22"/>
                <w:szCs w:val="22"/>
              </w:rPr>
            </w:pPr>
            <w:r>
              <w:rPr>
                <w:rFonts w:ascii="Arial" w:hAnsi="Arial" w:cs="Arial"/>
                <w:color w:val="000000"/>
                <w:sz w:val="22"/>
                <w:szCs w:val="22"/>
              </w:rPr>
              <w:t>Severe</w:t>
            </w:r>
          </w:p>
        </w:tc>
        <w:tc>
          <w:tcPr>
            <w:tcW w:w="2374" w:type="dxa"/>
          </w:tcPr>
          <w:p w14:paraId="4C2EC5C9" w14:textId="21E177AA" w:rsidR="00D823BE" w:rsidRPr="00E92755" w:rsidRDefault="00D823BE" w:rsidP="00D823BE">
            <w:pPr>
              <w:rPr>
                <w:rFonts w:ascii="Arial" w:hAnsi="Arial" w:cs="Arial"/>
                <w:color w:val="000000"/>
                <w:sz w:val="22"/>
                <w:szCs w:val="22"/>
              </w:rPr>
            </w:pPr>
            <w:r>
              <w:rPr>
                <w:rFonts w:ascii="Arial" w:hAnsi="Arial" w:cs="Arial"/>
                <w:color w:val="000000"/>
                <w:sz w:val="22"/>
                <w:szCs w:val="22"/>
              </w:rPr>
              <w:t>Whole of range</w:t>
            </w:r>
          </w:p>
        </w:tc>
        <w:tc>
          <w:tcPr>
            <w:tcW w:w="3438" w:type="dxa"/>
          </w:tcPr>
          <w:p w14:paraId="39667AB9" w14:textId="47ED3906" w:rsidR="00D823BE" w:rsidRPr="00E92755" w:rsidRDefault="00D823BE" w:rsidP="00D823BE">
            <w:pPr>
              <w:spacing w:after="120"/>
              <w:rPr>
                <w:rFonts w:ascii="Arial" w:hAnsi="Arial" w:cs="Arial"/>
                <w:color w:val="000000"/>
                <w:sz w:val="22"/>
                <w:szCs w:val="22"/>
              </w:rPr>
            </w:pPr>
            <w:r w:rsidRPr="001F22DB">
              <w:rPr>
                <w:rFonts w:ascii="Arial" w:hAnsi="Arial" w:cs="Arial"/>
                <w:sz w:val="22"/>
                <w:szCs w:val="22"/>
              </w:rPr>
              <w:t xml:space="preserve">Chytridiomycosis is an infectious </w:t>
            </w:r>
            <w:r w:rsidR="00AA6F05" w:rsidRPr="006179D8">
              <w:rPr>
                <w:rFonts w:ascii="Arial" w:hAnsi="Arial" w:cs="Arial"/>
                <w:sz w:val="22"/>
                <w:szCs w:val="22"/>
              </w:rPr>
              <w:t xml:space="preserve">disease </w:t>
            </w:r>
            <w:r w:rsidR="00AA6F05">
              <w:rPr>
                <w:rFonts w:ascii="Arial" w:hAnsi="Arial" w:cs="Arial"/>
                <w:sz w:val="22"/>
                <w:szCs w:val="22"/>
              </w:rPr>
              <w:t xml:space="preserve">caused by the amphibian chytrid fungus </w:t>
            </w:r>
            <w:r w:rsidR="00AA6F05" w:rsidRPr="006179D8">
              <w:rPr>
                <w:rFonts w:ascii="Arial" w:hAnsi="Arial" w:cs="Arial"/>
                <w:sz w:val="22"/>
                <w:szCs w:val="22"/>
              </w:rPr>
              <w:t>that affects amphibians worldwide,</w:t>
            </w:r>
            <w:r w:rsidR="00AA6F05">
              <w:rPr>
                <w:rFonts w:ascii="Arial" w:hAnsi="Arial" w:cs="Arial"/>
                <w:sz w:val="22"/>
                <w:szCs w:val="22"/>
              </w:rPr>
              <w:t xml:space="preserve"> </w:t>
            </w:r>
            <w:r>
              <w:rPr>
                <w:rFonts w:ascii="Arial" w:hAnsi="Arial" w:cs="Arial"/>
                <w:sz w:val="22"/>
                <w:szCs w:val="22"/>
              </w:rPr>
              <w:t>causing mass die-offs and some species extinctions (</w:t>
            </w:r>
            <w:r w:rsidRPr="00BF079C">
              <w:rPr>
                <w:rFonts w:ascii="Arial" w:hAnsi="Arial" w:cs="Arial"/>
                <w:sz w:val="22"/>
                <w:szCs w:val="22"/>
              </w:rPr>
              <w:t>Department of the Environment and Energy 2016</w:t>
            </w:r>
            <w:r>
              <w:rPr>
                <w:rFonts w:ascii="Arial" w:hAnsi="Arial" w:cs="Arial"/>
                <w:sz w:val="22"/>
                <w:szCs w:val="22"/>
              </w:rPr>
              <w:t>)</w:t>
            </w:r>
            <w:r w:rsidRPr="001F22DB">
              <w:rPr>
                <w:rFonts w:ascii="Arial" w:hAnsi="Arial" w:cs="Arial"/>
                <w:sz w:val="22"/>
                <w:szCs w:val="22"/>
              </w:rPr>
              <w:t>.</w:t>
            </w:r>
            <w:r>
              <w:rPr>
                <w:rFonts w:ascii="Arial" w:hAnsi="Arial" w:cs="Arial"/>
                <w:sz w:val="22"/>
                <w:szCs w:val="22"/>
              </w:rPr>
              <w:t xml:space="preserve"> </w:t>
            </w:r>
            <w:r>
              <w:rPr>
                <w:rFonts w:ascii="Arial" w:hAnsi="Arial" w:cs="Arial"/>
                <w:color w:val="000000"/>
                <w:sz w:val="22"/>
                <w:szCs w:val="22"/>
              </w:rPr>
              <w:t>C</w:t>
            </w:r>
            <w:r w:rsidRPr="00593A73">
              <w:rPr>
                <w:rFonts w:ascii="Arial" w:hAnsi="Arial" w:cs="Arial"/>
                <w:color w:val="000000"/>
                <w:sz w:val="22"/>
                <w:szCs w:val="22"/>
              </w:rPr>
              <w:t xml:space="preserve">hytrid fungus, has been found on the </w:t>
            </w:r>
            <w:r>
              <w:rPr>
                <w:rFonts w:ascii="Arial" w:hAnsi="Arial" w:cs="Arial"/>
                <w:color w:val="000000"/>
                <w:sz w:val="22"/>
                <w:szCs w:val="22"/>
              </w:rPr>
              <w:t xml:space="preserve">sympatric, and </w:t>
            </w:r>
            <w:r w:rsidRPr="00593A73">
              <w:rPr>
                <w:rFonts w:ascii="Arial" w:hAnsi="Arial" w:cs="Arial"/>
                <w:color w:val="000000"/>
                <w:sz w:val="22"/>
                <w:szCs w:val="22"/>
              </w:rPr>
              <w:t>closely related</w:t>
            </w:r>
            <w:r>
              <w:rPr>
                <w:rFonts w:ascii="Arial" w:hAnsi="Arial" w:cs="Arial"/>
                <w:color w:val="000000"/>
                <w:sz w:val="22"/>
                <w:szCs w:val="22"/>
              </w:rPr>
              <w:t>, g</w:t>
            </w:r>
            <w:r w:rsidRPr="00593A73">
              <w:rPr>
                <w:rFonts w:ascii="Arial" w:hAnsi="Arial" w:cs="Arial"/>
                <w:color w:val="000000"/>
                <w:sz w:val="22"/>
                <w:szCs w:val="22"/>
              </w:rPr>
              <w:t>reen-eyed</w:t>
            </w:r>
            <w:r>
              <w:rPr>
                <w:rFonts w:ascii="Arial" w:hAnsi="Arial" w:cs="Arial"/>
                <w:color w:val="000000"/>
                <w:sz w:val="22"/>
                <w:szCs w:val="22"/>
              </w:rPr>
              <w:t xml:space="preserve"> t</w:t>
            </w:r>
            <w:r w:rsidRPr="00593A73">
              <w:rPr>
                <w:rFonts w:ascii="Arial" w:hAnsi="Arial" w:cs="Arial"/>
                <w:color w:val="000000"/>
                <w:sz w:val="22"/>
                <w:szCs w:val="22"/>
              </w:rPr>
              <w:t xml:space="preserve">ree </w:t>
            </w:r>
            <w:r>
              <w:rPr>
                <w:rFonts w:ascii="Arial" w:hAnsi="Arial" w:cs="Arial"/>
                <w:color w:val="000000"/>
                <w:sz w:val="22"/>
                <w:szCs w:val="22"/>
              </w:rPr>
              <w:t>f</w:t>
            </w:r>
            <w:r w:rsidRPr="00593A73">
              <w:rPr>
                <w:rFonts w:ascii="Arial" w:hAnsi="Arial" w:cs="Arial"/>
                <w:color w:val="000000"/>
                <w:sz w:val="22"/>
                <w:szCs w:val="22"/>
              </w:rPr>
              <w:t>rog</w:t>
            </w:r>
            <w:r>
              <w:rPr>
                <w:rFonts w:ascii="Arial" w:hAnsi="Arial" w:cs="Arial"/>
                <w:color w:val="000000"/>
                <w:sz w:val="22"/>
                <w:szCs w:val="22"/>
              </w:rPr>
              <w:t xml:space="preserve"> </w:t>
            </w:r>
            <w:r>
              <w:rPr>
                <w:rFonts w:ascii="Arial" w:hAnsi="Arial" w:cs="Arial"/>
                <w:color w:val="000000"/>
                <w:sz w:val="22"/>
                <w:szCs w:val="22"/>
              </w:rPr>
              <w:fldChar w:fldCharType="begin"/>
            </w:r>
            <w:r>
              <w:rPr>
                <w:rFonts w:ascii="Arial" w:hAnsi="Arial" w:cs="Arial"/>
                <w:color w:val="000000"/>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color w:val="000000"/>
                <w:sz w:val="22"/>
                <w:szCs w:val="22"/>
              </w:rPr>
              <w:fldChar w:fldCharType="separate"/>
            </w:r>
            <w:r>
              <w:rPr>
                <w:rFonts w:ascii="Arial" w:hAnsi="Arial" w:cs="Arial"/>
                <w:noProof/>
                <w:color w:val="000000"/>
                <w:sz w:val="22"/>
                <w:szCs w:val="22"/>
              </w:rPr>
              <w:t>(</w:t>
            </w:r>
            <w:hyperlink w:anchor="_ENREF_1" w:tooltip="Hoskin, 2007 #112" w:history="1">
              <w:r>
                <w:rPr>
                  <w:rFonts w:ascii="Arial" w:hAnsi="Arial" w:cs="Arial"/>
                  <w:noProof/>
                  <w:color w:val="000000"/>
                  <w:sz w:val="22"/>
                  <w:szCs w:val="22"/>
                </w:rPr>
                <w:t>Hoskin 2007</w:t>
              </w:r>
            </w:hyperlink>
            <w:r>
              <w:rPr>
                <w:rFonts w:ascii="Arial" w:hAnsi="Arial" w:cs="Arial"/>
                <w:noProof/>
                <w:color w:val="000000"/>
                <w:sz w:val="22"/>
                <w:szCs w:val="22"/>
              </w:rPr>
              <w:t>)</w:t>
            </w:r>
            <w:r>
              <w:rPr>
                <w:rFonts w:ascii="Arial" w:hAnsi="Arial" w:cs="Arial"/>
                <w:color w:val="000000"/>
                <w:sz w:val="22"/>
                <w:szCs w:val="22"/>
              </w:rPr>
              <w:fldChar w:fldCharType="end"/>
            </w:r>
            <w:r w:rsidRPr="00593A73">
              <w:rPr>
                <w:rFonts w:ascii="Arial" w:hAnsi="Arial" w:cs="Arial"/>
                <w:color w:val="000000"/>
                <w:sz w:val="22"/>
                <w:szCs w:val="22"/>
              </w:rPr>
              <w:t xml:space="preserve">. Female Kuranda </w:t>
            </w:r>
            <w:r>
              <w:rPr>
                <w:rFonts w:ascii="Arial" w:hAnsi="Arial" w:cs="Arial"/>
                <w:color w:val="000000"/>
                <w:sz w:val="22"/>
                <w:szCs w:val="22"/>
              </w:rPr>
              <w:t>t</w:t>
            </w:r>
            <w:r w:rsidRPr="00593A73">
              <w:rPr>
                <w:rFonts w:ascii="Arial" w:hAnsi="Arial" w:cs="Arial"/>
                <w:color w:val="000000"/>
                <w:sz w:val="22"/>
                <w:szCs w:val="22"/>
              </w:rPr>
              <w:t xml:space="preserve">ree </w:t>
            </w:r>
            <w:r>
              <w:rPr>
                <w:rFonts w:ascii="Arial" w:hAnsi="Arial" w:cs="Arial"/>
                <w:color w:val="000000"/>
                <w:sz w:val="22"/>
                <w:szCs w:val="22"/>
              </w:rPr>
              <w:t>f</w:t>
            </w:r>
            <w:r w:rsidRPr="00593A73">
              <w:rPr>
                <w:rFonts w:ascii="Arial" w:hAnsi="Arial" w:cs="Arial"/>
                <w:color w:val="000000"/>
                <w:sz w:val="22"/>
                <w:szCs w:val="22"/>
              </w:rPr>
              <w:t>rogs are believed to be</w:t>
            </w:r>
            <w:r>
              <w:rPr>
                <w:rFonts w:ascii="Arial" w:hAnsi="Arial" w:cs="Arial"/>
                <w:color w:val="000000"/>
                <w:sz w:val="22"/>
                <w:szCs w:val="22"/>
              </w:rPr>
              <w:t xml:space="preserve"> </w:t>
            </w:r>
            <w:r w:rsidRPr="00593A73">
              <w:rPr>
                <w:rFonts w:ascii="Arial" w:hAnsi="Arial" w:cs="Arial"/>
                <w:color w:val="000000"/>
                <w:sz w:val="22"/>
                <w:szCs w:val="22"/>
              </w:rPr>
              <w:t>at a higher risk of mortality during their seasonal breeding movements between forest and stream</w:t>
            </w:r>
            <w:r>
              <w:rPr>
                <w:rFonts w:ascii="Arial" w:hAnsi="Arial" w:cs="Arial"/>
                <w:color w:val="000000"/>
                <w:sz w:val="22"/>
                <w:szCs w:val="22"/>
              </w:rPr>
              <w:t xml:space="preserve"> </w:t>
            </w:r>
            <w:r w:rsidRPr="00593A73">
              <w:rPr>
                <w:rFonts w:ascii="Arial" w:hAnsi="Arial" w:cs="Arial"/>
                <w:color w:val="000000"/>
                <w:sz w:val="22"/>
                <w:szCs w:val="22"/>
              </w:rPr>
              <w:t>habitats.</w:t>
            </w:r>
          </w:p>
        </w:tc>
      </w:tr>
      <w:tr w:rsidR="00D823BE" w14:paraId="2385EDFD" w14:textId="77777777" w:rsidTr="003F333E">
        <w:tc>
          <w:tcPr>
            <w:tcW w:w="1809" w:type="dxa"/>
          </w:tcPr>
          <w:p w14:paraId="0EE0FDF7" w14:textId="77777777" w:rsidR="00D823BE" w:rsidRPr="00E30E90" w:rsidRDefault="00D823BE" w:rsidP="00D823BE">
            <w:pPr>
              <w:rPr>
                <w:rFonts w:ascii="Arial" w:hAnsi="Arial" w:cs="Arial"/>
                <w:color w:val="000000"/>
                <w:sz w:val="22"/>
                <w:szCs w:val="22"/>
              </w:rPr>
            </w:pPr>
            <w:r w:rsidRPr="00E30E90">
              <w:rPr>
                <w:rFonts w:ascii="Arial" w:hAnsi="Arial" w:cs="Arial"/>
                <w:color w:val="000000"/>
                <w:sz w:val="22"/>
                <w:szCs w:val="22"/>
              </w:rPr>
              <w:t xml:space="preserve">Habitat </w:t>
            </w:r>
            <w:r>
              <w:rPr>
                <w:rFonts w:ascii="Arial" w:hAnsi="Arial" w:cs="Arial"/>
                <w:color w:val="000000"/>
                <w:sz w:val="22"/>
                <w:szCs w:val="22"/>
              </w:rPr>
              <w:t>loss and degradation</w:t>
            </w:r>
          </w:p>
          <w:p w14:paraId="66FE83F0" w14:textId="687BB2F0" w:rsidR="00D823BE" w:rsidRPr="00E30E90" w:rsidRDefault="00D823BE" w:rsidP="00D823BE">
            <w:pPr>
              <w:rPr>
                <w:rFonts w:ascii="Arial" w:hAnsi="Arial" w:cs="Arial"/>
                <w:color w:val="000000"/>
                <w:sz w:val="22"/>
                <w:szCs w:val="22"/>
              </w:rPr>
            </w:pPr>
            <w:r w:rsidRPr="00E30E90">
              <w:rPr>
                <w:rFonts w:ascii="Arial" w:hAnsi="Arial" w:cs="Arial"/>
                <w:color w:val="000000"/>
                <w:sz w:val="22"/>
                <w:szCs w:val="22"/>
              </w:rPr>
              <w:t>(</w:t>
            </w:r>
            <w:r>
              <w:rPr>
                <w:rFonts w:ascii="Arial" w:hAnsi="Arial" w:cs="Arial"/>
                <w:color w:val="000000"/>
                <w:sz w:val="22"/>
                <w:szCs w:val="22"/>
              </w:rPr>
              <w:t>e.g. clearing</w:t>
            </w:r>
            <w:r w:rsidRPr="00E30E90">
              <w:rPr>
                <w:rFonts w:ascii="Arial" w:hAnsi="Arial" w:cs="Arial"/>
                <w:color w:val="000000"/>
                <w:sz w:val="22"/>
                <w:szCs w:val="22"/>
              </w:rPr>
              <w:t xml:space="preserve">, </w:t>
            </w:r>
            <w:r>
              <w:rPr>
                <w:rFonts w:ascii="Arial" w:hAnsi="Arial" w:cs="Arial"/>
                <w:color w:val="000000"/>
                <w:sz w:val="22"/>
                <w:szCs w:val="22"/>
              </w:rPr>
              <w:t xml:space="preserve">trampling, fragmentation, </w:t>
            </w:r>
            <w:r w:rsidRPr="00E30E90">
              <w:rPr>
                <w:rFonts w:ascii="Arial" w:hAnsi="Arial" w:cs="Arial"/>
                <w:color w:val="000000"/>
                <w:sz w:val="22"/>
                <w:szCs w:val="22"/>
              </w:rPr>
              <w:t>altered hydrology, salinity</w:t>
            </w:r>
            <w:r>
              <w:rPr>
                <w:rFonts w:ascii="Arial" w:hAnsi="Arial" w:cs="Arial"/>
                <w:color w:val="000000"/>
                <w:sz w:val="22"/>
                <w:szCs w:val="22"/>
              </w:rPr>
              <w:t>)</w:t>
            </w:r>
          </w:p>
        </w:tc>
        <w:tc>
          <w:tcPr>
            <w:tcW w:w="1843" w:type="dxa"/>
          </w:tcPr>
          <w:p w14:paraId="4D186EC5" w14:textId="6C8C8298" w:rsidR="00D823BE" w:rsidRPr="000A3290" w:rsidRDefault="00D823BE" w:rsidP="00D823BE">
            <w:pPr>
              <w:rPr>
                <w:rFonts w:ascii="Arial" w:hAnsi="Arial" w:cs="Arial"/>
                <w:color w:val="000000"/>
                <w:sz w:val="22"/>
                <w:szCs w:val="22"/>
              </w:rPr>
            </w:pPr>
            <w:r>
              <w:rPr>
                <w:rFonts w:ascii="Arial" w:hAnsi="Arial" w:cs="Arial"/>
                <w:color w:val="000000"/>
                <w:sz w:val="22"/>
                <w:szCs w:val="22"/>
              </w:rPr>
              <w:t>Severe</w:t>
            </w:r>
          </w:p>
        </w:tc>
        <w:tc>
          <w:tcPr>
            <w:tcW w:w="2374" w:type="dxa"/>
          </w:tcPr>
          <w:p w14:paraId="3D5E5A93" w14:textId="657AE027" w:rsidR="00D823BE" w:rsidRPr="00E92755" w:rsidRDefault="00D823BE" w:rsidP="00D823BE">
            <w:pPr>
              <w:rPr>
                <w:rFonts w:ascii="Arial" w:hAnsi="Arial" w:cs="Arial"/>
                <w:color w:val="000000"/>
                <w:sz w:val="22"/>
                <w:szCs w:val="22"/>
              </w:rPr>
            </w:pPr>
            <w:r>
              <w:rPr>
                <w:rFonts w:ascii="Arial" w:hAnsi="Arial" w:cs="Arial"/>
                <w:color w:val="000000"/>
                <w:sz w:val="22"/>
                <w:szCs w:val="22"/>
              </w:rPr>
              <w:t>Whole of range</w:t>
            </w:r>
          </w:p>
        </w:tc>
        <w:tc>
          <w:tcPr>
            <w:tcW w:w="3438" w:type="dxa"/>
          </w:tcPr>
          <w:p w14:paraId="772523DA" w14:textId="77777777" w:rsidR="00D823BE" w:rsidRDefault="00D823BE" w:rsidP="00D823BE">
            <w:pPr>
              <w:spacing w:after="120"/>
              <w:rPr>
                <w:rFonts w:ascii="Arial" w:hAnsi="Arial" w:cs="Arial"/>
                <w:color w:val="000000"/>
                <w:sz w:val="22"/>
                <w:szCs w:val="22"/>
              </w:rPr>
            </w:pPr>
            <w:r>
              <w:rPr>
                <w:rFonts w:ascii="Arial" w:hAnsi="Arial" w:cs="Arial"/>
                <w:color w:val="000000"/>
                <w:sz w:val="22"/>
                <w:szCs w:val="22"/>
              </w:rPr>
              <w:t>Cha</w:t>
            </w:r>
            <w:r w:rsidRPr="00593A73">
              <w:rPr>
                <w:rFonts w:ascii="Arial" w:hAnsi="Arial" w:cs="Arial"/>
                <w:color w:val="000000"/>
                <w:sz w:val="22"/>
                <w:szCs w:val="22"/>
              </w:rPr>
              <w:t>nges in water flow, water</w:t>
            </w:r>
            <w:r>
              <w:rPr>
                <w:rFonts w:ascii="Arial" w:hAnsi="Arial" w:cs="Arial"/>
                <w:color w:val="000000"/>
                <w:sz w:val="22"/>
                <w:szCs w:val="22"/>
              </w:rPr>
              <w:t xml:space="preserve"> </w:t>
            </w:r>
            <w:r w:rsidRPr="00593A73">
              <w:rPr>
                <w:rFonts w:ascii="Arial" w:hAnsi="Arial" w:cs="Arial"/>
                <w:color w:val="000000"/>
                <w:sz w:val="22"/>
                <w:szCs w:val="22"/>
              </w:rPr>
              <w:t xml:space="preserve">quality and sedimentation, </w:t>
            </w:r>
            <w:r>
              <w:rPr>
                <w:rFonts w:ascii="Arial" w:hAnsi="Arial" w:cs="Arial"/>
                <w:color w:val="000000"/>
                <w:sz w:val="22"/>
                <w:szCs w:val="22"/>
              </w:rPr>
              <w:t xml:space="preserve">may occur due </w:t>
            </w:r>
            <w:r w:rsidRPr="00593A73">
              <w:rPr>
                <w:rFonts w:ascii="Arial" w:hAnsi="Arial" w:cs="Arial"/>
                <w:color w:val="000000"/>
                <w:sz w:val="22"/>
                <w:szCs w:val="22"/>
              </w:rPr>
              <w:t>to current and proposed residential development</w:t>
            </w:r>
            <w:r>
              <w:rPr>
                <w:rFonts w:ascii="Arial" w:hAnsi="Arial" w:cs="Arial"/>
                <w:color w:val="000000"/>
                <w:sz w:val="22"/>
                <w:szCs w:val="22"/>
              </w:rPr>
              <w:t xml:space="preserve"> (Hoskin 2007).</w:t>
            </w:r>
            <w:r w:rsidRPr="00593A73">
              <w:rPr>
                <w:rFonts w:ascii="Arial" w:hAnsi="Arial" w:cs="Arial"/>
                <w:color w:val="000000"/>
                <w:sz w:val="22"/>
                <w:szCs w:val="22"/>
              </w:rPr>
              <w:t xml:space="preserve"> These changes can occur as a result of impacts both at the sites</w:t>
            </w:r>
            <w:r>
              <w:rPr>
                <w:rFonts w:ascii="Arial" w:hAnsi="Arial" w:cs="Arial"/>
                <w:color w:val="000000"/>
                <w:sz w:val="22"/>
                <w:szCs w:val="22"/>
              </w:rPr>
              <w:t xml:space="preserve"> </w:t>
            </w:r>
            <w:r w:rsidRPr="00593A73">
              <w:rPr>
                <w:rFonts w:ascii="Arial" w:hAnsi="Arial" w:cs="Arial"/>
                <w:color w:val="000000"/>
                <w:sz w:val="22"/>
                <w:szCs w:val="22"/>
              </w:rPr>
              <w:t>where the species occurs as well as upstream in the catchments.</w:t>
            </w:r>
          </w:p>
          <w:p w14:paraId="67C59F87" w14:textId="54E12290" w:rsidR="00D823BE" w:rsidRPr="00E92755" w:rsidRDefault="00D823BE" w:rsidP="00D823BE">
            <w:pPr>
              <w:spacing w:after="120"/>
              <w:rPr>
                <w:rFonts w:ascii="Arial" w:hAnsi="Arial" w:cs="Arial"/>
                <w:color w:val="000000"/>
                <w:sz w:val="22"/>
                <w:szCs w:val="22"/>
              </w:rPr>
            </w:pPr>
            <w:r w:rsidRPr="00D823BE">
              <w:rPr>
                <w:rFonts w:ascii="Arial" w:hAnsi="Arial" w:cs="Arial"/>
                <w:color w:val="000000"/>
                <w:sz w:val="22"/>
                <w:szCs w:val="22"/>
              </w:rPr>
              <w:t xml:space="preserve">The species has a very limited range which is close to the township of Kuranda, around which there is significant, and increasing, urban and semi-urban development </w:t>
            </w:r>
            <w:r w:rsidRPr="00D823BE">
              <w:rPr>
                <w:rFonts w:ascii="Arial" w:hAnsi="Arial" w:cs="Arial"/>
                <w:color w:val="000000"/>
                <w:sz w:val="22"/>
                <w:szCs w:val="22"/>
              </w:rPr>
              <w:fldChar w:fldCharType="begin"/>
            </w:r>
            <w:r w:rsidRPr="00D823BE">
              <w:rPr>
                <w:rFonts w:ascii="Arial" w:hAnsi="Arial" w:cs="Arial"/>
                <w:color w:val="000000"/>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Pr="00D823BE">
              <w:rPr>
                <w:rFonts w:ascii="Arial" w:hAnsi="Arial" w:cs="Arial"/>
                <w:color w:val="000000"/>
                <w:sz w:val="22"/>
                <w:szCs w:val="22"/>
              </w:rPr>
              <w:fldChar w:fldCharType="separate"/>
            </w:r>
            <w:r w:rsidRPr="00D823BE">
              <w:rPr>
                <w:rFonts w:ascii="Arial" w:hAnsi="Arial" w:cs="Arial"/>
                <w:color w:val="000000"/>
                <w:sz w:val="22"/>
                <w:szCs w:val="22"/>
              </w:rPr>
              <w:t>(</w:t>
            </w:r>
            <w:hyperlink w:anchor="_ENREF_1" w:tooltip="Hoskin, 2007 #112" w:history="1">
              <w:r w:rsidRPr="00D823BE">
                <w:rPr>
                  <w:rFonts w:ascii="Arial" w:hAnsi="Arial" w:cs="Arial"/>
                  <w:color w:val="000000"/>
                  <w:sz w:val="22"/>
                  <w:szCs w:val="22"/>
                </w:rPr>
                <w:t>Hoskin 2007</w:t>
              </w:r>
            </w:hyperlink>
            <w:r w:rsidRPr="00D823BE">
              <w:rPr>
                <w:rFonts w:ascii="Arial" w:hAnsi="Arial" w:cs="Arial"/>
                <w:color w:val="000000"/>
                <w:sz w:val="22"/>
                <w:szCs w:val="22"/>
              </w:rPr>
              <w:t>)</w:t>
            </w:r>
            <w:r w:rsidRPr="00D823BE">
              <w:rPr>
                <w:rFonts w:ascii="Arial" w:hAnsi="Arial" w:cs="Arial"/>
                <w:color w:val="000000"/>
                <w:sz w:val="22"/>
                <w:szCs w:val="22"/>
              </w:rPr>
              <w:fldChar w:fldCharType="end"/>
            </w:r>
            <w:r w:rsidRPr="00D823BE">
              <w:rPr>
                <w:rFonts w:ascii="Arial" w:hAnsi="Arial" w:cs="Arial"/>
                <w:color w:val="000000"/>
                <w:sz w:val="22"/>
                <w:szCs w:val="22"/>
              </w:rPr>
              <w:t>.</w:t>
            </w:r>
          </w:p>
        </w:tc>
      </w:tr>
      <w:tr w:rsidR="00D23D58" w14:paraId="1641E2C9" w14:textId="77777777" w:rsidTr="003F333E">
        <w:tc>
          <w:tcPr>
            <w:tcW w:w="1809" w:type="dxa"/>
          </w:tcPr>
          <w:p w14:paraId="6407C49F" w14:textId="39E96B72" w:rsidR="00D23D58" w:rsidRPr="00E30E90" w:rsidRDefault="00D23D58" w:rsidP="00D23D58">
            <w:pPr>
              <w:pStyle w:val="Tableheadingright"/>
              <w:spacing w:before="0"/>
              <w:jc w:val="left"/>
              <w:rPr>
                <w:rFonts w:cs="Arial"/>
                <w:b w:val="0"/>
                <w:sz w:val="22"/>
                <w:szCs w:val="22"/>
              </w:rPr>
            </w:pPr>
            <w:r w:rsidRPr="00E30E90">
              <w:rPr>
                <w:rFonts w:cs="Arial"/>
                <w:b w:val="0"/>
                <w:sz w:val="22"/>
                <w:szCs w:val="22"/>
              </w:rPr>
              <w:t xml:space="preserve">Invasive </w:t>
            </w:r>
            <w:r>
              <w:rPr>
                <w:rFonts w:cs="Arial"/>
                <w:b w:val="0"/>
                <w:sz w:val="22"/>
                <w:szCs w:val="22"/>
              </w:rPr>
              <w:t>species</w:t>
            </w:r>
            <w:r w:rsidRPr="00E30E90">
              <w:rPr>
                <w:rFonts w:cs="Arial"/>
                <w:b w:val="0"/>
                <w:sz w:val="22"/>
                <w:szCs w:val="22"/>
              </w:rPr>
              <w:t xml:space="preserve"> </w:t>
            </w:r>
          </w:p>
        </w:tc>
        <w:tc>
          <w:tcPr>
            <w:tcW w:w="1843" w:type="dxa"/>
          </w:tcPr>
          <w:p w14:paraId="190EED11" w14:textId="08E237B6" w:rsidR="00D23D58" w:rsidRPr="00844182" w:rsidRDefault="00D23D58" w:rsidP="00D23D58">
            <w:pPr>
              <w:pStyle w:val="Tableheadingright"/>
              <w:spacing w:before="0"/>
              <w:jc w:val="left"/>
              <w:rPr>
                <w:rFonts w:cs="Arial"/>
                <w:b w:val="0"/>
                <w:sz w:val="22"/>
                <w:szCs w:val="22"/>
              </w:rPr>
            </w:pPr>
            <w:r w:rsidRPr="00D23D58">
              <w:rPr>
                <w:rFonts w:cs="Arial"/>
                <w:b w:val="0"/>
                <w:sz w:val="22"/>
                <w:szCs w:val="22"/>
              </w:rPr>
              <w:t>Severe</w:t>
            </w:r>
          </w:p>
        </w:tc>
        <w:tc>
          <w:tcPr>
            <w:tcW w:w="2374" w:type="dxa"/>
          </w:tcPr>
          <w:p w14:paraId="6CA96ED4" w14:textId="697FE96D" w:rsidR="00D23D58" w:rsidRPr="00D23D58" w:rsidRDefault="00D23D58" w:rsidP="00D23D58">
            <w:pPr>
              <w:rPr>
                <w:rFonts w:ascii="Arial" w:hAnsi="Arial" w:cs="Arial"/>
                <w:color w:val="000000"/>
                <w:sz w:val="22"/>
                <w:szCs w:val="22"/>
              </w:rPr>
            </w:pPr>
            <w:r w:rsidRPr="00D23D58">
              <w:rPr>
                <w:rFonts w:ascii="Arial" w:hAnsi="Arial" w:cs="Arial"/>
                <w:sz w:val="22"/>
                <w:szCs w:val="22"/>
              </w:rPr>
              <w:t>Whole of range</w:t>
            </w:r>
          </w:p>
        </w:tc>
        <w:tc>
          <w:tcPr>
            <w:tcW w:w="3438" w:type="dxa"/>
          </w:tcPr>
          <w:p w14:paraId="3B0DAA0F" w14:textId="694C2E82" w:rsidR="00D23D58" w:rsidRPr="0032033D" w:rsidRDefault="00D23D58" w:rsidP="00D23D58">
            <w:pPr>
              <w:pStyle w:val="Tableheadingright"/>
              <w:spacing w:before="0"/>
              <w:jc w:val="left"/>
              <w:rPr>
                <w:rFonts w:cs="Arial"/>
                <w:b w:val="0"/>
                <w:sz w:val="22"/>
                <w:szCs w:val="22"/>
              </w:rPr>
            </w:pPr>
            <w:r w:rsidRPr="003D62A6">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Wet Tropics World Heritage Area and Little Mulgrave National Park in 2012 and now cover up to 61 ha within these protected areas (Wet Tropics Management Authority 2016). In December 2013 yellow crazy ants were also detected in the Kuranda area (Wet Tropics Management Authority 2016)</w:t>
            </w:r>
            <w:r>
              <w:rPr>
                <w:rFonts w:cs="Arial"/>
                <w:b w:val="0"/>
                <w:sz w:val="22"/>
                <w:szCs w:val="22"/>
              </w:rPr>
              <w:t xml:space="preserve"> and</w:t>
            </w:r>
            <w:r w:rsidRPr="003D62A6">
              <w:rPr>
                <w:rFonts w:cs="Arial"/>
                <w:b w:val="0"/>
                <w:sz w:val="22"/>
                <w:szCs w:val="22"/>
              </w:rPr>
              <w:t xml:space="preserve"> have become</w:t>
            </w:r>
            <w:r>
              <w:rPr>
                <w:rFonts w:cs="Arial"/>
                <w:b w:val="0"/>
                <w:sz w:val="22"/>
                <w:szCs w:val="22"/>
              </w:rPr>
              <w:t xml:space="preserve"> established at one of the few breeding sites of the Kuranda tree frog </w:t>
            </w:r>
            <w:r>
              <w:rPr>
                <w:rFonts w:cs="Arial"/>
                <w:b w:val="0"/>
                <w:sz w:val="22"/>
                <w:szCs w:val="22"/>
              </w:rPr>
              <w:fldChar w:fldCharType="begin"/>
            </w:r>
            <w:r>
              <w:rPr>
                <w:rFonts w:cs="Arial"/>
                <w:b w:val="0"/>
                <w:sz w:val="22"/>
                <w:szCs w:val="22"/>
              </w:rPr>
              <w:instrText xml:space="preserve"> ADDIN EN.CITE &lt;EndNote&gt;&lt;Cite&gt;&lt;Author&gt;Lach&lt;/Author&gt;&lt;Year&gt;2015&lt;/Year&gt;&lt;RecNum&gt;305&lt;/RecNum&gt;&lt;DisplayText&gt;(Lach &amp;amp; Hoskin 2015)&lt;/DisplayText&gt;&lt;record&gt;&lt;rec-number&gt;305&lt;/rec-number&gt;&lt;foreign-keys&gt;&lt;key app="EN" db-id="ta0rdr92ndv9x0e9sdapdzadfw29sw9r9xva" timestamp="1488773666"&gt;305&lt;/key&gt;&lt;/foreign-keys&gt;&lt;ref-type name="Journal Article"&gt;17&lt;/ref-type&gt;&lt;contributors&gt;&lt;authors&gt;&lt;author&gt;Lach, L.&lt;/author&gt;&lt;author&gt;Hoskin, C.&lt;/author&gt;&lt;/authors&gt;&lt;/contributors&gt;&lt;titles&gt;&lt;title&gt;Too much to lose: yellow crazy ants in the Wet Tropics&lt;/title&gt;&lt;secondary-title&gt;Wildlife Australia&lt;/secondary-title&gt;&lt;/titles&gt;&lt;periodical&gt;&lt;full-title&gt;Wildlife Australia&lt;/full-title&gt;&lt;/periodical&gt;&lt;pages&gt;37-41&lt;/pages&gt;&lt;volume&gt;52&lt;/volume&gt;&lt;dates&gt;&lt;year&gt;2015&lt;/year&gt;&lt;/dates&gt;&lt;urls&gt;&lt;/urls&gt;&lt;/record&gt;&lt;/Cite&gt;&lt;/EndNote&gt;</w:instrText>
            </w:r>
            <w:r>
              <w:rPr>
                <w:rFonts w:cs="Arial"/>
                <w:b w:val="0"/>
                <w:sz w:val="22"/>
                <w:szCs w:val="22"/>
              </w:rPr>
              <w:fldChar w:fldCharType="separate"/>
            </w:r>
            <w:r>
              <w:rPr>
                <w:rFonts w:cs="Arial"/>
                <w:b w:val="0"/>
                <w:noProof/>
                <w:sz w:val="22"/>
                <w:szCs w:val="22"/>
              </w:rPr>
              <w:t>(</w:t>
            </w:r>
            <w:hyperlink w:anchor="_ENREF_3" w:tooltip="Lach, 2015 #305" w:history="1">
              <w:r>
                <w:rPr>
                  <w:rFonts w:cs="Arial"/>
                  <w:b w:val="0"/>
                  <w:noProof/>
                  <w:sz w:val="22"/>
                  <w:szCs w:val="22"/>
                </w:rPr>
                <w:t>Lach &amp; Hoskin 2015</w:t>
              </w:r>
            </w:hyperlink>
            <w:r>
              <w:rPr>
                <w:rFonts w:cs="Arial"/>
                <w:b w:val="0"/>
                <w:noProof/>
                <w:sz w:val="22"/>
                <w:szCs w:val="22"/>
              </w:rPr>
              <w:t>)</w:t>
            </w:r>
            <w:r>
              <w:rPr>
                <w:rFonts w:cs="Arial"/>
                <w:b w:val="0"/>
                <w:sz w:val="22"/>
                <w:szCs w:val="22"/>
              </w:rPr>
              <w:fldChar w:fldCharType="end"/>
            </w:r>
            <w:r>
              <w:rPr>
                <w:rFonts w:cs="Arial"/>
                <w:b w:val="0"/>
                <w:sz w:val="22"/>
                <w:szCs w:val="22"/>
              </w:rPr>
              <w:t>.</w:t>
            </w:r>
          </w:p>
        </w:tc>
      </w:tr>
      <w:tr w:rsidR="00646C25" w14:paraId="49274BA7" w14:textId="77777777" w:rsidTr="003F333E">
        <w:tc>
          <w:tcPr>
            <w:tcW w:w="1809" w:type="dxa"/>
          </w:tcPr>
          <w:p w14:paraId="434ACC46" w14:textId="06325E3D" w:rsidR="00646C25" w:rsidRPr="00646C25" w:rsidRDefault="00646C25" w:rsidP="00646C25">
            <w:pPr>
              <w:pStyle w:val="Tableheadingright"/>
              <w:spacing w:before="0"/>
              <w:jc w:val="left"/>
              <w:rPr>
                <w:rFonts w:cs="Arial"/>
                <w:b w:val="0"/>
                <w:sz w:val="22"/>
                <w:szCs w:val="22"/>
              </w:rPr>
            </w:pPr>
            <w:r w:rsidRPr="00646C25">
              <w:rPr>
                <w:rFonts w:cs="Arial"/>
                <w:b w:val="0"/>
                <w:color w:val="000000"/>
                <w:sz w:val="22"/>
                <w:szCs w:val="22"/>
              </w:rPr>
              <w:t>Hybridisation</w:t>
            </w:r>
          </w:p>
        </w:tc>
        <w:tc>
          <w:tcPr>
            <w:tcW w:w="1843" w:type="dxa"/>
          </w:tcPr>
          <w:p w14:paraId="278B761E" w14:textId="76EE15F0" w:rsidR="00646C25" w:rsidRPr="00646C25" w:rsidRDefault="00646C25" w:rsidP="00646C25">
            <w:pPr>
              <w:pStyle w:val="Tableheadingright"/>
              <w:spacing w:before="0"/>
              <w:jc w:val="left"/>
              <w:rPr>
                <w:rFonts w:cs="Arial"/>
                <w:b w:val="0"/>
                <w:sz w:val="22"/>
                <w:szCs w:val="22"/>
              </w:rPr>
            </w:pPr>
            <w:r w:rsidRPr="00646C25">
              <w:rPr>
                <w:rFonts w:cs="Arial"/>
                <w:b w:val="0"/>
                <w:color w:val="000000"/>
                <w:sz w:val="22"/>
                <w:szCs w:val="22"/>
              </w:rPr>
              <w:t>Moderate</w:t>
            </w:r>
          </w:p>
        </w:tc>
        <w:tc>
          <w:tcPr>
            <w:tcW w:w="2374" w:type="dxa"/>
          </w:tcPr>
          <w:p w14:paraId="2C3F2AD3" w14:textId="26CC861C" w:rsidR="00646C25" w:rsidRPr="00646C25" w:rsidRDefault="00646C25" w:rsidP="00646C25">
            <w:pPr>
              <w:rPr>
                <w:rFonts w:ascii="Arial" w:hAnsi="Arial" w:cs="Arial"/>
                <w:sz w:val="22"/>
                <w:szCs w:val="22"/>
              </w:rPr>
            </w:pPr>
            <w:r w:rsidRPr="00646C25">
              <w:rPr>
                <w:rFonts w:ascii="Arial" w:hAnsi="Arial" w:cs="Arial"/>
                <w:sz w:val="22"/>
                <w:szCs w:val="22"/>
              </w:rPr>
              <w:t>Whole of range</w:t>
            </w:r>
            <w:r w:rsidRPr="00646C25">
              <w:rPr>
                <w:rFonts w:ascii="Arial" w:hAnsi="Arial" w:cs="Arial"/>
                <w:color w:val="000000"/>
                <w:sz w:val="22"/>
                <w:szCs w:val="22"/>
              </w:rPr>
              <w:t xml:space="preserve"> </w:t>
            </w:r>
          </w:p>
        </w:tc>
        <w:tc>
          <w:tcPr>
            <w:tcW w:w="3438" w:type="dxa"/>
          </w:tcPr>
          <w:p w14:paraId="0E5AB6E6" w14:textId="05CF8BC9" w:rsidR="00646C25" w:rsidRPr="00646C25" w:rsidRDefault="00646C25" w:rsidP="00646C25">
            <w:pPr>
              <w:pStyle w:val="Tableheadingright"/>
              <w:spacing w:before="0"/>
              <w:jc w:val="left"/>
              <w:rPr>
                <w:rFonts w:cs="Arial"/>
                <w:b w:val="0"/>
                <w:sz w:val="22"/>
                <w:szCs w:val="22"/>
              </w:rPr>
            </w:pPr>
            <w:r w:rsidRPr="00646C25">
              <w:rPr>
                <w:rFonts w:cs="Arial"/>
                <w:b w:val="0"/>
                <w:sz w:val="22"/>
                <w:szCs w:val="22"/>
              </w:rPr>
              <w:t xml:space="preserve">The species is potentially threatened by hybridisation with the closely related </w:t>
            </w:r>
            <w:r w:rsidRPr="00646C25">
              <w:rPr>
                <w:rFonts w:cs="Arial"/>
                <w:b w:val="0"/>
                <w:i/>
                <w:sz w:val="22"/>
                <w:szCs w:val="22"/>
              </w:rPr>
              <w:t>Litoria genimaculata</w:t>
            </w:r>
            <w:r w:rsidRPr="00646C25">
              <w:rPr>
                <w:rFonts w:cs="Arial"/>
                <w:b w:val="0"/>
                <w:sz w:val="22"/>
                <w:szCs w:val="22"/>
              </w:rPr>
              <w:t xml:space="preserve"> (green-eyed tree frog). Currently the two species co-exist in this region but levels of hybridisation are very low. However, disruption to the natural levels of interaction due to captive breeding and release or movement of individuals in and out of the region or between sites may increase levels of hybridisation.</w:t>
            </w:r>
          </w:p>
        </w:tc>
      </w:tr>
      <w:tr w:rsidR="00D23D58" w14:paraId="61E2DD0C" w14:textId="77777777" w:rsidTr="003F333E">
        <w:tc>
          <w:tcPr>
            <w:tcW w:w="1809" w:type="dxa"/>
          </w:tcPr>
          <w:p w14:paraId="78A5EA9E" w14:textId="2BE99B57" w:rsidR="00D23D58" w:rsidRPr="00E30E90" w:rsidRDefault="00D23D58" w:rsidP="00D23D58">
            <w:pPr>
              <w:pStyle w:val="Tableheadingright"/>
              <w:spacing w:before="0"/>
              <w:jc w:val="left"/>
              <w:rPr>
                <w:rFonts w:cs="Arial"/>
                <w:b w:val="0"/>
                <w:sz w:val="22"/>
                <w:szCs w:val="22"/>
              </w:rPr>
            </w:pPr>
            <w:r w:rsidRPr="00E30E90">
              <w:rPr>
                <w:rFonts w:cs="Arial"/>
                <w:b w:val="0"/>
                <w:sz w:val="22"/>
                <w:szCs w:val="22"/>
              </w:rPr>
              <w:t xml:space="preserve">Climate change </w:t>
            </w:r>
            <w:r>
              <w:rPr>
                <w:rFonts w:cs="Arial"/>
                <w:b w:val="0"/>
                <w:sz w:val="22"/>
                <w:szCs w:val="22"/>
              </w:rPr>
              <w:t>(</w:t>
            </w:r>
            <w:r w:rsidRPr="00E30E90">
              <w:rPr>
                <w:rFonts w:cs="Arial"/>
                <w:b w:val="0"/>
                <w:sz w:val="22"/>
                <w:szCs w:val="22"/>
              </w:rPr>
              <w:t>temperature increase</w:t>
            </w:r>
            <w:r>
              <w:rPr>
                <w:rFonts w:cs="Arial"/>
                <w:b w:val="0"/>
                <w:sz w:val="22"/>
                <w:szCs w:val="22"/>
              </w:rPr>
              <w:t>,</w:t>
            </w:r>
            <w:r w:rsidRPr="00E30E90">
              <w:rPr>
                <w:rFonts w:cs="Arial"/>
                <w:b w:val="0"/>
                <w:sz w:val="22"/>
                <w:szCs w:val="22"/>
              </w:rPr>
              <w:t xml:space="preserve"> extreme weather events </w:t>
            </w:r>
            <w:r>
              <w:rPr>
                <w:rFonts w:cs="Arial"/>
                <w:b w:val="0"/>
                <w:sz w:val="22"/>
                <w:szCs w:val="22"/>
              </w:rPr>
              <w:t>e.g. cyclones, droughts</w:t>
            </w:r>
            <w:r w:rsidRPr="00E30E90">
              <w:rPr>
                <w:rFonts w:cs="Arial"/>
                <w:b w:val="0"/>
                <w:sz w:val="22"/>
                <w:szCs w:val="22"/>
              </w:rPr>
              <w:t>)</w:t>
            </w:r>
          </w:p>
        </w:tc>
        <w:tc>
          <w:tcPr>
            <w:tcW w:w="1843" w:type="dxa"/>
          </w:tcPr>
          <w:p w14:paraId="1026B90C" w14:textId="1CB501D2" w:rsidR="00D23D58" w:rsidRPr="0032033D" w:rsidRDefault="00D23D58" w:rsidP="00D23D58">
            <w:pPr>
              <w:pStyle w:val="Tableheadingright"/>
              <w:spacing w:before="0"/>
              <w:jc w:val="left"/>
              <w:rPr>
                <w:rFonts w:cs="Arial"/>
                <w:b w:val="0"/>
                <w:sz w:val="22"/>
                <w:szCs w:val="22"/>
              </w:rPr>
            </w:pPr>
            <w:r>
              <w:rPr>
                <w:rFonts w:cs="Arial"/>
                <w:b w:val="0"/>
                <w:sz w:val="22"/>
                <w:szCs w:val="22"/>
              </w:rPr>
              <w:t>Potential</w:t>
            </w:r>
          </w:p>
        </w:tc>
        <w:tc>
          <w:tcPr>
            <w:tcW w:w="2374" w:type="dxa"/>
          </w:tcPr>
          <w:p w14:paraId="3895A866" w14:textId="18BA95E9" w:rsidR="00D23D58" w:rsidRPr="0032033D" w:rsidRDefault="00D23D58" w:rsidP="00D23D58">
            <w:pPr>
              <w:pStyle w:val="Tableheadingright"/>
              <w:spacing w:before="0"/>
              <w:jc w:val="left"/>
              <w:rPr>
                <w:rFonts w:cs="Arial"/>
                <w:b w:val="0"/>
                <w:sz w:val="22"/>
                <w:szCs w:val="22"/>
              </w:rPr>
            </w:pPr>
            <w:r>
              <w:rPr>
                <w:rFonts w:cs="Arial"/>
                <w:b w:val="0"/>
                <w:sz w:val="22"/>
                <w:szCs w:val="22"/>
              </w:rPr>
              <w:t>Most of range</w:t>
            </w:r>
          </w:p>
        </w:tc>
        <w:tc>
          <w:tcPr>
            <w:tcW w:w="3438" w:type="dxa"/>
          </w:tcPr>
          <w:p w14:paraId="606A1CE1" w14:textId="0B0016F6" w:rsidR="00D23D58" w:rsidRPr="0032033D" w:rsidRDefault="00D23D58" w:rsidP="00646C25">
            <w:pPr>
              <w:spacing w:after="120"/>
              <w:rPr>
                <w:rFonts w:cs="Arial"/>
                <w:b/>
                <w:sz w:val="22"/>
                <w:szCs w:val="22"/>
              </w:rPr>
            </w:pPr>
            <w:r w:rsidRPr="00646C25">
              <w:rPr>
                <w:rFonts w:ascii="Arial" w:hAnsi="Arial" w:cs="Arial"/>
                <w:sz w:val="22"/>
                <w:szCs w:val="22"/>
              </w:rPr>
              <w:t>There are no data with which to assess this threat.</w:t>
            </w:r>
          </w:p>
        </w:tc>
      </w:tr>
      <w:tr w:rsidR="00D23D58" w14:paraId="465A09B6" w14:textId="77777777" w:rsidTr="003F333E">
        <w:tc>
          <w:tcPr>
            <w:tcW w:w="1809" w:type="dxa"/>
          </w:tcPr>
          <w:p w14:paraId="0FE68FD9" w14:textId="77777777" w:rsidR="00D23D58" w:rsidRPr="00E30E90" w:rsidRDefault="00D23D58" w:rsidP="00D23D58">
            <w:pPr>
              <w:rPr>
                <w:rFonts w:ascii="Arial" w:hAnsi="Arial" w:cs="Arial"/>
                <w:color w:val="000000"/>
                <w:sz w:val="22"/>
                <w:szCs w:val="22"/>
              </w:rPr>
            </w:pPr>
            <w:r w:rsidRPr="00E30E90">
              <w:rPr>
                <w:rFonts w:ascii="Arial" w:hAnsi="Arial" w:cs="Arial"/>
                <w:color w:val="000000"/>
                <w:sz w:val="22"/>
                <w:szCs w:val="22"/>
              </w:rPr>
              <w:t xml:space="preserve">Inappropriate fire regimes </w:t>
            </w:r>
          </w:p>
        </w:tc>
        <w:tc>
          <w:tcPr>
            <w:tcW w:w="1843" w:type="dxa"/>
          </w:tcPr>
          <w:p w14:paraId="1B292A69" w14:textId="2AD8B7BE" w:rsidR="00D23D58" w:rsidRPr="003D62A6" w:rsidRDefault="00D23D58" w:rsidP="00D23D58">
            <w:pPr>
              <w:rPr>
                <w:rFonts w:ascii="Arial" w:hAnsi="Arial" w:cs="Arial"/>
                <w:color w:val="000000"/>
                <w:sz w:val="22"/>
                <w:szCs w:val="22"/>
              </w:rPr>
            </w:pPr>
            <w:r w:rsidRPr="00D23D58">
              <w:rPr>
                <w:rFonts w:ascii="Arial" w:hAnsi="Arial" w:cs="Arial"/>
                <w:color w:val="000000"/>
                <w:sz w:val="22"/>
                <w:szCs w:val="22"/>
              </w:rPr>
              <w:t>Potential</w:t>
            </w:r>
          </w:p>
        </w:tc>
        <w:tc>
          <w:tcPr>
            <w:tcW w:w="2374" w:type="dxa"/>
          </w:tcPr>
          <w:p w14:paraId="154CC8ED" w14:textId="570DC7F1" w:rsidR="00D23D58" w:rsidRPr="003D62A6" w:rsidRDefault="00D23D58" w:rsidP="00D23D58">
            <w:pPr>
              <w:rPr>
                <w:rFonts w:ascii="Arial" w:hAnsi="Arial" w:cs="Arial"/>
                <w:color w:val="000000"/>
                <w:sz w:val="22"/>
                <w:szCs w:val="22"/>
              </w:rPr>
            </w:pPr>
            <w:r w:rsidRPr="00D23D58">
              <w:rPr>
                <w:rFonts w:ascii="Arial" w:hAnsi="Arial" w:cs="Arial"/>
                <w:color w:val="000000"/>
                <w:sz w:val="22"/>
                <w:szCs w:val="22"/>
              </w:rPr>
              <w:t>Most of range</w:t>
            </w:r>
          </w:p>
        </w:tc>
        <w:tc>
          <w:tcPr>
            <w:tcW w:w="3438" w:type="dxa"/>
          </w:tcPr>
          <w:p w14:paraId="3DC4EA37" w14:textId="4C163612" w:rsidR="00D23D58" w:rsidRPr="003D62A6" w:rsidRDefault="00D23D58" w:rsidP="00D23D58">
            <w:pPr>
              <w:spacing w:after="120"/>
              <w:rPr>
                <w:rFonts w:ascii="Arial" w:hAnsi="Arial" w:cs="Arial"/>
                <w:sz w:val="22"/>
                <w:szCs w:val="22"/>
              </w:rPr>
            </w:pPr>
            <w:r w:rsidRPr="003D62A6">
              <w:rPr>
                <w:rFonts w:ascii="Arial" w:hAnsi="Arial" w:cs="Arial"/>
                <w:sz w:val="22"/>
                <w:szCs w:val="22"/>
              </w:rPr>
              <w:t>There are no data with which to assess this threat.</w:t>
            </w:r>
          </w:p>
        </w:tc>
      </w:tr>
      <w:tr w:rsidR="007F65C9" w14:paraId="0B1DAE6E" w14:textId="77777777" w:rsidTr="003F333E">
        <w:tc>
          <w:tcPr>
            <w:tcW w:w="1809" w:type="dxa"/>
          </w:tcPr>
          <w:p w14:paraId="16A23566" w14:textId="75405C74" w:rsidR="007F65C9" w:rsidRDefault="007F65C9" w:rsidP="007F65C9">
            <w:pPr>
              <w:rPr>
                <w:rFonts w:ascii="Arial" w:hAnsi="Arial" w:cs="Arial"/>
                <w:color w:val="000000"/>
                <w:sz w:val="22"/>
                <w:szCs w:val="22"/>
              </w:rPr>
            </w:pPr>
            <w:r w:rsidRPr="007F65C9">
              <w:rPr>
                <w:rFonts w:ascii="Arial" w:hAnsi="Arial" w:cs="Arial"/>
                <w:color w:val="000000"/>
                <w:sz w:val="22"/>
                <w:szCs w:val="22"/>
              </w:rPr>
              <w:t>Population fragmentation</w:t>
            </w:r>
          </w:p>
        </w:tc>
        <w:tc>
          <w:tcPr>
            <w:tcW w:w="1843" w:type="dxa"/>
          </w:tcPr>
          <w:p w14:paraId="67E7374F" w14:textId="12A311C9" w:rsidR="007F65C9" w:rsidRPr="00D23D58" w:rsidRDefault="007F65C9" w:rsidP="007F65C9">
            <w:pPr>
              <w:rPr>
                <w:rFonts w:ascii="Arial" w:hAnsi="Arial" w:cs="Arial"/>
                <w:color w:val="000000"/>
                <w:sz w:val="22"/>
                <w:szCs w:val="22"/>
              </w:rPr>
            </w:pPr>
            <w:r w:rsidRPr="007F65C9">
              <w:rPr>
                <w:rFonts w:ascii="Arial" w:hAnsi="Arial" w:cs="Arial"/>
                <w:color w:val="000000"/>
                <w:sz w:val="22"/>
                <w:szCs w:val="22"/>
              </w:rPr>
              <w:t>Potential</w:t>
            </w:r>
          </w:p>
        </w:tc>
        <w:tc>
          <w:tcPr>
            <w:tcW w:w="2374" w:type="dxa"/>
          </w:tcPr>
          <w:p w14:paraId="2C41C6D0" w14:textId="14EE172D" w:rsidR="007F65C9" w:rsidRPr="00D23D58" w:rsidRDefault="007F65C9" w:rsidP="007F65C9">
            <w:pPr>
              <w:rPr>
                <w:rFonts w:ascii="Arial" w:hAnsi="Arial" w:cs="Arial"/>
                <w:color w:val="000000"/>
                <w:sz w:val="22"/>
                <w:szCs w:val="22"/>
              </w:rPr>
            </w:pPr>
            <w:r w:rsidRPr="007F65C9">
              <w:rPr>
                <w:rFonts w:ascii="Arial" w:hAnsi="Arial" w:cs="Arial"/>
                <w:color w:val="000000"/>
                <w:sz w:val="22"/>
                <w:szCs w:val="22"/>
              </w:rPr>
              <w:t>Whole of range</w:t>
            </w:r>
          </w:p>
        </w:tc>
        <w:tc>
          <w:tcPr>
            <w:tcW w:w="3438" w:type="dxa"/>
          </w:tcPr>
          <w:p w14:paraId="7274EFBA" w14:textId="4ADF5804" w:rsidR="007F65C9" w:rsidRPr="007F65C9" w:rsidRDefault="007F65C9" w:rsidP="007F65C9">
            <w:pPr>
              <w:spacing w:after="120"/>
              <w:rPr>
                <w:rFonts w:ascii="Arial" w:hAnsi="Arial" w:cs="Arial"/>
                <w:color w:val="000000"/>
                <w:sz w:val="22"/>
                <w:szCs w:val="22"/>
              </w:rPr>
            </w:pPr>
            <w:r w:rsidRPr="007F65C9">
              <w:rPr>
                <w:rFonts w:ascii="Arial" w:hAnsi="Arial" w:cs="Arial"/>
                <w:color w:val="000000"/>
                <w:sz w:val="22"/>
                <w:szCs w:val="22"/>
              </w:rPr>
              <w:t>There are no data with which to assess this threat.</w:t>
            </w:r>
          </w:p>
        </w:tc>
      </w:tr>
    </w:tbl>
    <w:p w14:paraId="2346CC8C" w14:textId="77777777" w:rsidR="000A3290" w:rsidRDefault="000A3290" w:rsidP="00AB638E">
      <w:pPr>
        <w:spacing w:after="240"/>
        <w:rPr>
          <w:rFonts w:ascii="Arial" w:hAnsi="Arial" w:cs="Arial"/>
          <w:color w:val="0000FF"/>
          <w:sz w:val="22"/>
          <w:szCs w:val="22"/>
        </w:rPr>
      </w:pPr>
    </w:p>
    <w:p w14:paraId="6E21DF2A"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4AA77A6" w14:textId="77777777" w:rsidTr="00213CC4">
        <w:trPr>
          <w:trHeight w:val="606"/>
        </w:trPr>
        <w:tc>
          <w:tcPr>
            <w:tcW w:w="10117" w:type="dxa"/>
            <w:gridSpan w:val="5"/>
            <w:shd w:val="clear" w:color="auto" w:fill="595959" w:themeFill="text1" w:themeFillTint="A6"/>
            <w:vAlign w:val="center"/>
          </w:tcPr>
          <w:p w14:paraId="247B32F7"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255EE601"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1C23E1F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ABCF97D"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1EBC16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0BC559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442C19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6ACB204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DA33CD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A6191D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201897D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27A138F8"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6F1353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5370205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F969D2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0F39C324"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6A853046"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1299D73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32E2B8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3EC10DC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8899754"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35FFF2A0"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1C473B52" wp14:editId="73BB880F">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4A53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370BC6F5"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59DC6EE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7896B1AF"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82B81C2" w14:textId="77777777" w:rsidR="003F4D21" w:rsidRPr="00715477" w:rsidRDefault="003F4D21" w:rsidP="003F4D21">
            <w:pPr>
              <w:rPr>
                <w:rFonts w:ascii="Arial" w:hAnsi="Arial" w:cs="Arial"/>
                <w:sz w:val="18"/>
                <w:szCs w:val="18"/>
              </w:rPr>
            </w:pPr>
          </w:p>
          <w:p w14:paraId="481DBAA1"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378D9372"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C5FAE64" wp14:editId="7DB237C6">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EA6DA" w14:textId="77777777" w:rsidR="00670858" w:rsidRPr="00CE7C59" w:rsidRDefault="0067085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5FAE64"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48AEA6DA" w14:textId="77777777" w:rsidR="00670858" w:rsidRPr="00CE7C59" w:rsidRDefault="0067085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4D5E57E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375F0A7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4205C8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517F62E2" w14:textId="77777777" w:rsidR="003F4D21" w:rsidRDefault="003F4D21" w:rsidP="003F4D21">
      <w:pPr>
        <w:rPr>
          <w:rFonts w:ascii="Arial" w:hAnsi="Arial" w:cs="Arial"/>
          <w:b/>
          <w:sz w:val="22"/>
          <w:szCs w:val="22"/>
        </w:rPr>
      </w:pPr>
    </w:p>
    <w:p w14:paraId="1F014B33"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0FAEA7DD" w14:textId="77777777" w:rsidR="00817CFB" w:rsidRDefault="00817CFB" w:rsidP="00BB548A">
      <w:pPr>
        <w:rPr>
          <w:rFonts w:ascii="Calibri" w:hAnsi="Calibri"/>
          <w:color w:val="000000"/>
          <w:sz w:val="22"/>
        </w:rPr>
      </w:pPr>
    </w:p>
    <w:p w14:paraId="30CF80C4" w14:textId="77777777" w:rsidR="00646C25" w:rsidRPr="00A005D1" w:rsidRDefault="00646C25" w:rsidP="00646C25">
      <w:pPr>
        <w:autoSpaceDE w:val="0"/>
        <w:autoSpaceDN w:val="0"/>
        <w:adjustRightInd w:val="0"/>
        <w:rPr>
          <w:rFonts w:ascii="Arial" w:hAnsi="Arial" w:cs="Arial"/>
          <w:sz w:val="22"/>
          <w:szCs w:val="22"/>
          <w:lang w:eastAsia="en-AU"/>
        </w:rPr>
      </w:pPr>
      <w:r>
        <w:rPr>
          <w:rFonts w:ascii="Arial" w:hAnsi="Arial" w:cs="Arial"/>
          <w:sz w:val="22"/>
          <w:szCs w:val="22"/>
          <w:lang w:eastAsia="en-AU"/>
        </w:rPr>
        <w:t>The g</w:t>
      </w:r>
      <w:r w:rsidRPr="00A005D1">
        <w:rPr>
          <w:rFonts w:ascii="Arial" w:hAnsi="Arial" w:cs="Arial"/>
          <w:sz w:val="22"/>
          <w:szCs w:val="22"/>
          <w:lang w:eastAsia="en-AU"/>
        </w:rPr>
        <w:t xml:space="preserve">eneration length in the Kuranda </w:t>
      </w:r>
      <w:r>
        <w:rPr>
          <w:rFonts w:ascii="Arial" w:hAnsi="Arial" w:cs="Arial"/>
          <w:sz w:val="22"/>
          <w:szCs w:val="22"/>
          <w:lang w:eastAsia="en-AU"/>
        </w:rPr>
        <w:t>t</w:t>
      </w:r>
      <w:r w:rsidRPr="00A005D1">
        <w:rPr>
          <w:rFonts w:ascii="Arial" w:hAnsi="Arial" w:cs="Arial"/>
          <w:sz w:val="22"/>
          <w:szCs w:val="22"/>
          <w:lang w:eastAsia="en-AU"/>
        </w:rPr>
        <w:t>ree frog is not known with certainty but is estimated to be</w:t>
      </w:r>
    </w:p>
    <w:p w14:paraId="238BBD8A" w14:textId="77777777" w:rsidR="00646C25" w:rsidRPr="00A005D1" w:rsidRDefault="00646C25" w:rsidP="00646C25">
      <w:pPr>
        <w:autoSpaceDE w:val="0"/>
        <w:autoSpaceDN w:val="0"/>
        <w:adjustRightInd w:val="0"/>
        <w:rPr>
          <w:rFonts w:ascii="Arial" w:hAnsi="Arial" w:cs="Arial"/>
          <w:sz w:val="22"/>
          <w:szCs w:val="22"/>
          <w:lang w:eastAsia="en-AU"/>
        </w:rPr>
      </w:pPr>
      <w:r w:rsidRPr="00A005D1">
        <w:rPr>
          <w:rFonts w:ascii="Arial" w:hAnsi="Arial" w:cs="Arial"/>
          <w:sz w:val="22"/>
          <w:szCs w:val="22"/>
          <w:lang w:eastAsia="en-AU"/>
        </w:rPr>
        <w:t xml:space="preserve">3.5 years based on two similar-sized </w:t>
      </w:r>
      <w:r w:rsidRPr="00A005D1">
        <w:rPr>
          <w:rFonts w:ascii="Arial" w:hAnsi="Arial" w:cs="Arial"/>
          <w:i/>
          <w:iCs/>
          <w:sz w:val="22"/>
          <w:szCs w:val="22"/>
          <w:lang w:eastAsia="en-AU"/>
        </w:rPr>
        <w:t xml:space="preserve">Litoria </w:t>
      </w:r>
      <w:r w:rsidRPr="00A005D1">
        <w:rPr>
          <w:rFonts w:ascii="Arial" w:hAnsi="Arial" w:cs="Arial"/>
          <w:sz w:val="22"/>
          <w:szCs w:val="22"/>
          <w:lang w:eastAsia="en-AU"/>
        </w:rPr>
        <w:t>species found in similar habitats</w:t>
      </w:r>
      <w:r>
        <w:rPr>
          <w:rFonts w:ascii="Arial" w:hAnsi="Arial" w:cs="Arial"/>
          <w:sz w:val="22"/>
          <w:szCs w:val="22"/>
          <w:lang w:eastAsia="en-AU"/>
        </w:rPr>
        <w:t xml:space="preserve">: </w:t>
      </w:r>
      <w:r w:rsidRPr="003F333E">
        <w:rPr>
          <w:rFonts w:ascii="Arial" w:hAnsi="Arial" w:cs="Arial"/>
          <w:i/>
          <w:sz w:val="22"/>
          <w:szCs w:val="22"/>
          <w:lang w:eastAsia="en-AU"/>
        </w:rPr>
        <w:t>L</w:t>
      </w:r>
      <w:r>
        <w:rPr>
          <w:rFonts w:ascii="Arial" w:hAnsi="Arial" w:cs="Arial"/>
          <w:i/>
          <w:sz w:val="22"/>
          <w:szCs w:val="22"/>
          <w:lang w:eastAsia="en-AU"/>
        </w:rPr>
        <w:t>.</w:t>
      </w:r>
      <w:r w:rsidRPr="003F333E">
        <w:rPr>
          <w:rFonts w:ascii="Arial" w:hAnsi="Arial" w:cs="Arial"/>
          <w:i/>
          <w:sz w:val="22"/>
          <w:szCs w:val="22"/>
          <w:lang w:eastAsia="en-AU"/>
        </w:rPr>
        <w:t xml:space="preserve"> chloris</w:t>
      </w:r>
      <w:r w:rsidRPr="00A005D1">
        <w:rPr>
          <w:rFonts w:ascii="Arial" w:hAnsi="Arial" w:cs="Arial"/>
          <w:sz w:val="22"/>
          <w:szCs w:val="22"/>
          <w:lang w:eastAsia="en-AU"/>
        </w:rPr>
        <w:t xml:space="preserve"> (</w:t>
      </w:r>
      <w:r>
        <w:rPr>
          <w:rFonts w:ascii="Arial" w:hAnsi="Arial" w:cs="Arial"/>
          <w:sz w:val="22"/>
          <w:szCs w:val="22"/>
          <w:lang w:eastAsia="en-AU"/>
        </w:rPr>
        <w:t>r</w:t>
      </w:r>
      <w:r w:rsidRPr="00A005D1">
        <w:rPr>
          <w:rFonts w:ascii="Arial" w:hAnsi="Arial" w:cs="Arial"/>
          <w:sz w:val="22"/>
          <w:szCs w:val="22"/>
          <w:lang w:eastAsia="en-AU"/>
        </w:rPr>
        <w:t xml:space="preserve">ed-eyed </w:t>
      </w:r>
      <w:r>
        <w:rPr>
          <w:rFonts w:ascii="Arial" w:hAnsi="Arial" w:cs="Arial"/>
          <w:sz w:val="22"/>
          <w:szCs w:val="22"/>
          <w:lang w:eastAsia="en-AU"/>
        </w:rPr>
        <w:t>t</w:t>
      </w:r>
      <w:r w:rsidRPr="00A005D1">
        <w:rPr>
          <w:rFonts w:ascii="Arial" w:hAnsi="Arial" w:cs="Arial"/>
          <w:sz w:val="22"/>
          <w:szCs w:val="22"/>
          <w:lang w:eastAsia="en-AU"/>
        </w:rPr>
        <w:t xml:space="preserve">ree </w:t>
      </w:r>
      <w:r>
        <w:rPr>
          <w:rFonts w:ascii="Arial" w:hAnsi="Arial" w:cs="Arial"/>
          <w:sz w:val="22"/>
          <w:szCs w:val="22"/>
          <w:lang w:eastAsia="en-AU"/>
        </w:rPr>
        <w:t>f</w:t>
      </w:r>
      <w:r w:rsidRPr="00A005D1">
        <w:rPr>
          <w:rFonts w:ascii="Arial" w:hAnsi="Arial" w:cs="Arial"/>
          <w:sz w:val="22"/>
          <w:szCs w:val="22"/>
          <w:lang w:eastAsia="en-AU"/>
        </w:rPr>
        <w:t>rog</w:t>
      </w:r>
      <w:r>
        <w:rPr>
          <w:rFonts w:ascii="Arial" w:hAnsi="Arial" w:cs="Arial"/>
          <w:sz w:val="22"/>
          <w:szCs w:val="22"/>
          <w:lang w:eastAsia="en-AU"/>
        </w:rPr>
        <w:t xml:space="preserve"> and L.</w:t>
      </w:r>
      <w:r w:rsidRPr="003F333E">
        <w:rPr>
          <w:rFonts w:ascii="Arial" w:hAnsi="Arial" w:cs="Arial"/>
          <w:i/>
          <w:sz w:val="22"/>
          <w:szCs w:val="22"/>
          <w:lang w:eastAsia="en-AU"/>
        </w:rPr>
        <w:t xml:space="preserve"> lesueuri</w:t>
      </w:r>
      <w:r>
        <w:rPr>
          <w:rFonts w:ascii="Arial" w:hAnsi="Arial" w:cs="Arial"/>
          <w:sz w:val="22"/>
          <w:szCs w:val="22"/>
          <w:lang w:eastAsia="en-AU"/>
        </w:rPr>
        <w:t xml:space="preserve"> (</w:t>
      </w:r>
      <w:r w:rsidRPr="00A005D1">
        <w:rPr>
          <w:rFonts w:ascii="Arial" w:hAnsi="Arial" w:cs="Arial"/>
          <w:sz w:val="22"/>
          <w:szCs w:val="22"/>
          <w:lang w:eastAsia="en-AU"/>
        </w:rPr>
        <w:t xml:space="preserve">Lesueur’s </w:t>
      </w:r>
      <w:r>
        <w:rPr>
          <w:rFonts w:ascii="Arial" w:hAnsi="Arial" w:cs="Arial"/>
          <w:sz w:val="22"/>
          <w:szCs w:val="22"/>
          <w:lang w:eastAsia="en-AU"/>
        </w:rPr>
        <w:t>tree f</w:t>
      </w:r>
      <w:r w:rsidRPr="00A005D1">
        <w:rPr>
          <w:rFonts w:ascii="Arial" w:hAnsi="Arial" w:cs="Arial"/>
          <w:sz w:val="22"/>
          <w:szCs w:val="22"/>
          <w:lang w:eastAsia="en-AU"/>
        </w:rPr>
        <w:t>rog</w:t>
      </w:r>
      <w:r>
        <w:rPr>
          <w:rFonts w:ascii="Arial" w:hAnsi="Arial" w:cs="Arial"/>
          <w:sz w:val="22"/>
          <w:szCs w:val="22"/>
          <w:lang w:eastAsia="en-AU"/>
        </w:rPr>
        <w:t>)</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w:t>
      </w:r>
      <w:hyperlink w:anchor="_ENREF_4" w:tooltip="Morrison, 2004 #295" w:history="1">
        <w:r>
          <w:rPr>
            <w:rFonts w:ascii="Arial" w:hAnsi="Arial" w:cs="Arial"/>
            <w:noProof/>
            <w:sz w:val="22"/>
            <w:szCs w:val="22"/>
            <w:lang w:eastAsia="en-AU"/>
          </w:rPr>
          <w:t>Morrison et al. 2004</w:t>
        </w:r>
      </w:hyperlink>
      <w:r>
        <w:rPr>
          <w:rFonts w:ascii="Arial" w:hAnsi="Arial" w:cs="Arial"/>
          <w:noProof/>
          <w:sz w:val="22"/>
          <w:szCs w:val="22"/>
          <w:lang w:eastAsia="en-AU"/>
        </w:rPr>
        <w:t>)</w:t>
      </w:r>
      <w:r>
        <w:rPr>
          <w:rFonts w:ascii="Arial" w:hAnsi="Arial" w:cs="Arial"/>
          <w:sz w:val="22"/>
          <w:szCs w:val="22"/>
          <w:lang w:eastAsia="en-AU"/>
        </w:rPr>
        <w:fldChar w:fldCharType="end"/>
      </w:r>
      <w:r w:rsidRPr="00A005D1">
        <w:rPr>
          <w:rFonts w:ascii="Arial" w:hAnsi="Arial" w:cs="Arial"/>
          <w:sz w:val="22"/>
          <w:szCs w:val="22"/>
          <w:lang w:eastAsia="en-AU"/>
        </w:rPr>
        <w:t>.</w:t>
      </w:r>
    </w:p>
    <w:p w14:paraId="488A2A26" w14:textId="77777777" w:rsidR="00646C25" w:rsidRDefault="00646C25" w:rsidP="00042695">
      <w:pPr>
        <w:rPr>
          <w:rFonts w:ascii="Arial" w:hAnsi="Arial" w:cs="Arial"/>
          <w:color w:val="000000"/>
          <w:sz w:val="22"/>
        </w:rPr>
      </w:pPr>
    </w:p>
    <w:p w14:paraId="3A6A95F0" w14:textId="4C4B9177" w:rsidR="00042695" w:rsidRDefault="00042695" w:rsidP="00042695">
      <w:pPr>
        <w:rPr>
          <w:rFonts w:ascii="Arial" w:hAnsi="Arial" w:cs="Arial"/>
          <w:color w:val="000000"/>
          <w:sz w:val="22"/>
        </w:rPr>
      </w:pPr>
      <w:r w:rsidRPr="00042695">
        <w:rPr>
          <w:rFonts w:ascii="Arial" w:hAnsi="Arial" w:cs="Arial"/>
          <w:color w:val="000000"/>
          <w:sz w:val="22"/>
        </w:rPr>
        <w:t xml:space="preserve">Between 2000 and 2006, stream surveys and density estimates revealed a Kuranda </w:t>
      </w:r>
      <w:r w:rsidR="00516094">
        <w:rPr>
          <w:rFonts w:ascii="Arial" w:hAnsi="Arial" w:cs="Arial"/>
          <w:color w:val="000000"/>
          <w:sz w:val="22"/>
        </w:rPr>
        <w:t>t</w:t>
      </w:r>
      <w:r w:rsidRPr="00042695">
        <w:rPr>
          <w:rFonts w:ascii="Arial" w:hAnsi="Arial" w:cs="Arial"/>
          <w:color w:val="000000"/>
          <w:sz w:val="22"/>
        </w:rPr>
        <w:t xml:space="preserve">ree </w:t>
      </w:r>
      <w:r w:rsidR="00516094">
        <w:rPr>
          <w:rFonts w:ascii="Arial" w:hAnsi="Arial" w:cs="Arial"/>
          <w:color w:val="000000"/>
          <w:sz w:val="22"/>
        </w:rPr>
        <w:t>f</w:t>
      </w:r>
      <w:r w:rsidRPr="00042695">
        <w:rPr>
          <w:rFonts w:ascii="Arial" w:hAnsi="Arial" w:cs="Arial"/>
          <w:color w:val="000000"/>
          <w:sz w:val="22"/>
        </w:rPr>
        <w:t>rog</w:t>
      </w:r>
      <w:r>
        <w:rPr>
          <w:rFonts w:ascii="Arial" w:hAnsi="Arial" w:cs="Arial"/>
          <w:color w:val="000000"/>
          <w:sz w:val="22"/>
        </w:rPr>
        <w:t xml:space="preserve"> </w:t>
      </w:r>
      <w:r w:rsidRPr="00042695">
        <w:rPr>
          <w:rFonts w:ascii="Arial" w:hAnsi="Arial" w:cs="Arial"/>
          <w:color w:val="000000"/>
          <w:sz w:val="22"/>
        </w:rPr>
        <w:t xml:space="preserve">population of approximately 1000 mature individuals </w:t>
      </w:r>
      <w:r>
        <w:rPr>
          <w:rFonts w:ascii="Arial" w:hAnsi="Arial" w:cs="Arial"/>
          <w:color w:val="000000"/>
          <w:sz w:val="22"/>
        </w:rPr>
        <w:fldChar w:fldCharType="begin"/>
      </w:r>
      <w:r>
        <w:rPr>
          <w:rFonts w:ascii="Arial" w:hAnsi="Arial" w:cs="Arial"/>
          <w:color w:val="000000"/>
          <w:sz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cs="Arial"/>
          <w:color w:val="000000"/>
          <w:sz w:val="22"/>
        </w:rPr>
        <w:fldChar w:fldCharType="separate"/>
      </w:r>
      <w:r>
        <w:rPr>
          <w:rFonts w:ascii="Arial" w:hAnsi="Arial" w:cs="Arial"/>
          <w:noProof/>
          <w:color w:val="000000"/>
          <w:sz w:val="22"/>
        </w:rPr>
        <w:t>(</w:t>
      </w:r>
      <w:hyperlink w:anchor="_ENREF_1" w:tooltip="Hoskin, 2007 #112" w:history="1">
        <w:r w:rsidR="005D62B2">
          <w:rPr>
            <w:rFonts w:ascii="Arial" w:hAnsi="Arial" w:cs="Arial"/>
            <w:noProof/>
            <w:color w:val="000000"/>
            <w:sz w:val="22"/>
          </w:rPr>
          <w:t>Hoskin 2007</w:t>
        </w:r>
      </w:hyperlink>
      <w:r>
        <w:rPr>
          <w:rFonts w:ascii="Arial" w:hAnsi="Arial" w:cs="Arial"/>
          <w:noProof/>
          <w:color w:val="000000"/>
          <w:sz w:val="22"/>
        </w:rPr>
        <w:t>)</w:t>
      </w:r>
      <w:r>
        <w:rPr>
          <w:rFonts w:ascii="Arial" w:hAnsi="Arial" w:cs="Arial"/>
          <w:color w:val="000000"/>
          <w:sz w:val="22"/>
        </w:rPr>
        <w:fldChar w:fldCharType="end"/>
      </w:r>
      <w:r w:rsidRPr="00042695">
        <w:rPr>
          <w:rFonts w:ascii="Arial" w:hAnsi="Arial" w:cs="Arial"/>
          <w:color w:val="000000"/>
          <w:sz w:val="22"/>
        </w:rPr>
        <w:t>. During that period the species</w:t>
      </w:r>
      <w:r>
        <w:rPr>
          <w:rFonts w:ascii="Arial" w:hAnsi="Arial" w:cs="Arial"/>
          <w:color w:val="000000"/>
          <w:sz w:val="22"/>
        </w:rPr>
        <w:t xml:space="preserve"> </w:t>
      </w:r>
      <w:r w:rsidRPr="00042695">
        <w:rPr>
          <w:rFonts w:ascii="Arial" w:hAnsi="Arial" w:cs="Arial"/>
          <w:color w:val="000000"/>
          <w:sz w:val="22"/>
        </w:rPr>
        <w:t>was known from five streams. Additional surveys and monitoring performed over the summer wet</w:t>
      </w:r>
      <w:r>
        <w:rPr>
          <w:rFonts w:ascii="Arial" w:hAnsi="Arial" w:cs="Arial"/>
          <w:color w:val="000000"/>
          <w:sz w:val="22"/>
        </w:rPr>
        <w:t xml:space="preserve"> </w:t>
      </w:r>
      <w:r w:rsidRPr="00042695">
        <w:rPr>
          <w:rFonts w:ascii="Arial" w:hAnsi="Arial" w:cs="Arial"/>
          <w:color w:val="000000"/>
          <w:sz w:val="22"/>
        </w:rPr>
        <w:t>season of 2006–07 showed a noticeable decline in abundance of the species at four of these five</w:t>
      </w:r>
      <w:r>
        <w:rPr>
          <w:rFonts w:ascii="Arial" w:hAnsi="Arial" w:cs="Arial"/>
          <w:color w:val="000000"/>
          <w:sz w:val="22"/>
        </w:rPr>
        <w:t xml:space="preserve"> </w:t>
      </w:r>
      <w:r w:rsidRPr="00042695">
        <w:rPr>
          <w:rFonts w:ascii="Arial" w:hAnsi="Arial" w:cs="Arial"/>
          <w:color w:val="000000"/>
          <w:sz w:val="22"/>
        </w:rPr>
        <w:t>sites. In particular, numbers at the only site with a significant breeding aggregation, Jumrum Creek,</w:t>
      </w:r>
      <w:r>
        <w:rPr>
          <w:rFonts w:ascii="Arial" w:hAnsi="Arial" w:cs="Arial"/>
          <w:color w:val="000000"/>
          <w:sz w:val="22"/>
        </w:rPr>
        <w:t xml:space="preserve"> </w:t>
      </w:r>
      <w:r w:rsidRPr="00042695">
        <w:rPr>
          <w:rFonts w:ascii="Arial" w:hAnsi="Arial" w:cs="Arial"/>
          <w:color w:val="000000"/>
          <w:sz w:val="22"/>
        </w:rPr>
        <w:t>declined from 500 adults to 200 in November 2008 (Hoskin, pers. comm., 2009). This represents a</w:t>
      </w:r>
      <w:r>
        <w:rPr>
          <w:rFonts w:ascii="Arial" w:hAnsi="Arial" w:cs="Arial"/>
          <w:color w:val="000000"/>
          <w:sz w:val="22"/>
        </w:rPr>
        <w:t xml:space="preserve"> </w:t>
      </w:r>
      <w:r w:rsidRPr="00042695">
        <w:rPr>
          <w:rFonts w:ascii="Arial" w:hAnsi="Arial" w:cs="Arial"/>
          <w:color w:val="000000"/>
          <w:sz w:val="22"/>
        </w:rPr>
        <w:t>30 per cent reduction in total population size (300 out of a population size of 1000 mature</w:t>
      </w:r>
      <w:r>
        <w:rPr>
          <w:rFonts w:ascii="Arial" w:hAnsi="Arial" w:cs="Arial"/>
          <w:color w:val="000000"/>
          <w:sz w:val="22"/>
        </w:rPr>
        <w:t xml:space="preserve"> </w:t>
      </w:r>
      <w:r w:rsidRPr="00042695">
        <w:rPr>
          <w:rFonts w:ascii="Arial" w:hAnsi="Arial" w:cs="Arial"/>
          <w:color w:val="000000"/>
          <w:sz w:val="22"/>
        </w:rPr>
        <w:t>individuals) over two years. In addition, declines recorded at the other four sites in 2006–07 are</w:t>
      </w:r>
      <w:r>
        <w:rPr>
          <w:rFonts w:ascii="Arial" w:hAnsi="Arial" w:cs="Arial"/>
          <w:color w:val="000000"/>
          <w:sz w:val="22"/>
        </w:rPr>
        <w:t xml:space="preserve"> </w:t>
      </w:r>
      <w:r w:rsidRPr="00042695">
        <w:rPr>
          <w:rFonts w:ascii="Arial" w:hAnsi="Arial" w:cs="Arial"/>
          <w:color w:val="000000"/>
          <w:sz w:val="22"/>
        </w:rPr>
        <w:t>continuing (Hoskin, pers. comm., 2009). The Committee considers this overall reduction in</w:t>
      </w:r>
      <w:r>
        <w:rPr>
          <w:rFonts w:ascii="Arial" w:hAnsi="Arial" w:cs="Arial"/>
          <w:color w:val="000000"/>
          <w:sz w:val="22"/>
        </w:rPr>
        <w:t xml:space="preserve"> </w:t>
      </w:r>
      <w:r w:rsidRPr="00042695">
        <w:rPr>
          <w:rFonts w:ascii="Arial" w:hAnsi="Arial" w:cs="Arial"/>
          <w:color w:val="000000"/>
          <w:sz w:val="22"/>
        </w:rPr>
        <w:t>numbers to be substantial. However, the species may experience natural fluctuations in number due</w:t>
      </w:r>
      <w:r>
        <w:rPr>
          <w:rFonts w:ascii="Arial" w:hAnsi="Arial" w:cs="Arial"/>
          <w:color w:val="000000"/>
          <w:sz w:val="22"/>
        </w:rPr>
        <w:t xml:space="preserve"> </w:t>
      </w:r>
      <w:r w:rsidRPr="00042695">
        <w:rPr>
          <w:rFonts w:ascii="Arial" w:hAnsi="Arial" w:cs="Arial"/>
          <w:color w:val="000000"/>
          <w:sz w:val="22"/>
        </w:rPr>
        <w:t>to seasonal and climatic variation. There is insufficient information to conclude whether or not the</w:t>
      </w:r>
      <w:r>
        <w:rPr>
          <w:rFonts w:ascii="Arial" w:hAnsi="Arial" w:cs="Arial"/>
          <w:color w:val="000000"/>
          <w:sz w:val="22"/>
        </w:rPr>
        <w:t xml:space="preserve"> </w:t>
      </w:r>
      <w:r w:rsidRPr="00042695">
        <w:rPr>
          <w:rFonts w:ascii="Arial" w:hAnsi="Arial" w:cs="Arial"/>
          <w:color w:val="000000"/>
          <w:sz w:val="22"/>
        </w:rPr>
        <w:t xml:space="preserve">observed changes in population size are a result of natural fluctuations. </w:t>
      </w:r>
    </w:p>
    <w:p w14:paraId="2606EB0F" w14:textId="77777777" w:rsidR="00042695" w:rsidRPr="00D9126D" w:rsidRDefault="00042695" w:rsidP="00042695">
      <w:pPr>
        <w:rPr>
          <w:rFonts w:ascii="Arial" w:hAnsi="Arial" w:cs="Arial"/>
          <w:sz w:val="22"/>
          <w:szCs w:val="22"/>
          <w:u w:val="single"/>
        </w:rPr>
      </w:pPr>
    </w:p>
    <w:p w14:paraId="7274743D"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w:t>
      </w:r>
      <w:r w:rsidRPr="00516094">
        <w:rPr>
          <w:rFonts w:ascii="Arial" w:hAnsi="Arial" w:cs="Arial"/>
          <w:b/>
          <w:sz w:val="22"/>
          <w:szCs w:val="22"/>
        </w:rPr>
        <w:t>insufficient</w:t>
      </w:r>
      <w:r w:rsidRPr="00D9126D">
        <w:rPr>
          <w:rFonts w:ascii="Arial" w:hAnsi="Arial" w:cs="Arial"/>
          <w:sz w:val="22"/>
          <w:szCs w:val="22"/>
        </w:rPr>
        <w:t xml:space="preserve">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89C4789"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B527A2B" w14:textId="77777777" w:rsidTr="00064A65">
        <w:trPr>
          <w:trHeight w:val="350"/>
        </w:trPr>
        <w:tc>
          <w:tcPr>
            <w:tcW w:w="9633" w:type="dxa"/>
            <w:gridSpan w:val="4"/>
            <w:tcBorders>
              <w:bottom w:val="nil"/>
            </w:tcBorders>
            <w:shd w:val="clear" w:color="auto" w:fill="595959" w:themeFill="text1" w:themeFillTint="A6"/>
            <w:vAlign w:val="center"/>
          </w:tcPr>
          <w:p w14:paraId="1E714AE2"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243233A" w14:textId="77777777" w:rsidTr="00064A65">
        <w:tc>
          <w:tcPr>
            <w:tcW w:w="3557" w:type="dxa"/>
            <w:tcBorders>
              <w:top w:val="nil"/>
              <w:bottom w:val="nil"/>
              <w:right w:val="nil"/>
            </w:tcBorders>
          </w:tcPr>
          <w:p w14:paraId="2625BB0F"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1085F6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E526F1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B7C12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1E945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D132DE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3D4B5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6EF2CF66"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64AB1EFE"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13D0D59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D9EA7C5"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5A9706F5"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58EA9F56"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40B798F"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743466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AEFD293"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D6E3B6E"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6DE0997F" w14:textId="77777777" w:rsidTr="00064A65">
        <w:tc>
          <w:tcPr>
            <w:tcW w:w="9633" w:type="dxa"/>
            <w:gridSpan w:val="4"/>
            <w:tcBorders>
              <w:top w:val="nil"/>
              <w:bottom w:val="nil"/>
            </w:tcBorders>
          </w:tcPr>
          <w:p w14:paraId="3BEF7ECF"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38D5977D"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5C6D963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328D0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FD605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50A0833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1CBCD15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5216216"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54F21666" w14:textId="77777777" w:rsidTr="00064A65">
        <w:tc>
          <w:tcPr>
            <w:tcW w:w="9633" w:type="dxa"/>
            <w:gridSpan w:val="4"/>
            <w:tcBorders>
              <w:top w:val="single" w:sz="4" w:space="0" w:color="FFFFFF" w:themeColor="background1"/>
            </w:tcBorders>
            <w:shd w:val="clear" w:color="auto" w:fill="BFBFBF" w:themeFill="background1" w:themeFillShade="BF"/>
          </w:tcPr>
          <w:p w14:paraId="12B8C1DE"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66521C19" w14:textId="77777777" w:rsidR="003F4D21" w:rsidRDefault="003F4D21" w:rsidP="003F4D21">
      <w:pPr>
        <w:rPr>
          <w:rFonts w:ascii="Arial" w:hAnsi="Arial"/>
          <w:sz w:val="22"/>
        </w:rPr>
      </w:pPr>
    </w:p>
    <w:p w14:paraId="770CCB23"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40D9F8AC" w14:textId="77777777" w:rsidR="00614DD4" w:rsidRDefault="00614DD4" w:rsidP="003F4D21">
      <w:pPr>
        <w:rPr>
          <w:rFonts w:ascii="Arial" w:hAnsi="Arial"/>
          <w:sz w:val="22"/>
        </w:rPr>
      </w:pPr>
    </w:p>
    <w:p w14:paraId="138A54EA" w14:textId="0DD44140" w:rsidR="003B006A" w:rsidRDefault="00FB2910" w:rsidP="00FB2910">
      <w:pPr>
        <w:rPr>
          <w:rFonts w:ascii="Arial" w:hAnsi="Arial"/>
          <w:sz w:val="22"/>
        </w:rPr>
      </w:pPr>
      <w:r w:rsidRPr="00FB2910">
        <w:rPr>
          <w:rFonts w:ascii="Arial" w:hAnsi="Arial"/>
          <w:sz w:val="22"/>
        </w:rPr>
        <w:t xml:space="preserve">The </w:t>
      </w:r>
      <w:r w:rsidR="007A00B7">
        <w:rPr>
          <w:rFonts w:ascii="Arial" w:hAnsi="Arial"/>
          <w:sz w:val="22"/>
        </w:rPr>
        <w:t xml:space="preserve">calculated </w:t>
      </w:r>
      <w:r w:rsidRPr="00FB2910">
        <w:rPr>
          <w:rFonts w:ascii="Arial" w:hAnsi="Arial"/>
          <w:sz w:val="22"/>
        </w:rPr>
        <w:t xml:space="preserve">current extent of occurrence for the Kuranda </w:t>
      </w:r>
      <w:r w:rsidR="00516094">
        <w:rPr>
          <w:rFonts w:ascii="Arial" w:hAnsi="Arial"/>
          <w:sz w:val="22"/>
        </w:rPr>
        <w:t>t</w:t>
      </w:r>
      <w:r w:rsidRPr="00FB2910">
        <w:rPr>
          <w:rFonts w:ascii="Arial" w:hAnsi="Arial"/>
          <w:sz w:val="22"/>
        </w:rPr>
        <w:t xml:space="preserve">ree </w:t>
      </w:r>
      <w:r w:rsidR="00516094">
        <w:rPr>
          <w:rFonts w:ascii="Arial" w:hAnsi="Arial"/>
          <w:sz w:val="22"/>
        </w:rPr>
        <w:t>f</w:t>
      </w:r>
      <w:r w:rsidRPr="00FB2910">
        <w:rPr>
          <w:rFonts w:ascii="Arial" w:hAnsi="Arial"/>
          <w:sz w:val="22"/>
        </w:rPr>
        <w:t xml:space="preserve">rog is </w:t>
      </w:r>
      <w:r w:rsidR="00646C25">
        <w:rPr>
          <w:rFonts w:ascii="Arial" w:hAnsi="Arial"/>
          <w:sz w:val="22"/>
        </w:rPr>
        <w:t>4</w:t>
      </w:r>
      <w:r w:rsidR="00646C25" w:rsidRPr="00FB2910">
        <w:rPr>
          <w:rFonts w:ascii="Arial" w:hAnsi="Arial"/>
          <w:sz w:val="22"/>
        </w:rPr>
        <w:t xml:space="preserve"> km</w:t>
      </w:r>
      <w:r w:rsidR="00646C25" w:rsidRPr="00FB2910">
        <w:rPr>
          <w:rFonts w:ascii="Arial" w:hAnsi="Arial"/>
          <w:sz w:val="22"/>
          <w:vertAlign w:val="superscript"/>
        </w:rPr>
        <w:t>2</w:t>
      </w:r>
      <w:r w:rsidR="00646C25" w:rsidRPr="00FB2910">
        <w:rPr>
          <w:rFonts w:ascii="Arial" w:hAnsi="Arial"/>
          <w:sz w:val="22"/>
        </w:rPr>
        <w:t xml:space="preserve"> </w:t>
      </w:r>
      <w:r w:rsidRPr="00FB2910">
        <w:rPr>
          <w:rFonts w:ascii="Arial" w:hAnsi="Arial"/>
          <w:sz w:val="22"/>
        </w:rPr>
        <w:t xml:space="preserve">and </w:t>
      </w:r>
      <w:r w:rsidR="007A00B7">
        <w:rPr>
          <w:rFonts w:ascii="Arial" w:hAnsi="Arial"/>
          <w:sz w:val="22"/>
        </w:rPr>
        <w:t>the</w:t>
      </w:r>
      <w:r w:rsidRPr="00FB2910">
        <w:rPr>
          <w:rFonts w:ascii="Arial" w:hAnsi="Arial"/>
          <w:sz w:val="22"/>
        </w:rPr>
        <w:t xml:space="preserve"> area</w:t>
      </w:r>
      <w:r>
        <w:rPr>
          <w:rFonts w:ascii="Arial" w:hAnsi="Arial"/>
          <w:sz w:val="22"/>
        </w:rPr>
        <w:t xml:space="preserve"> </w:t>
      </w:r>
      <w:r w:rsidRPr="00FB2910">
        <w:rPr>
          <w:rFonts w:ascii="Arial" w:hAnsi="Arial"/>
          <w:sz w:val="22"/>
        </w:rPr>
        <w:t xml:space="preserve">of occupancy is </w:t>
      </w:r>
      <w:r w:rsidR="00646C25">
        <w:rPr>
          <w:rFonts w:ascii="Arial" w:hAnsi="Arial"/>
          <w:sz w:val="22"/>
        </w:rPr>
        <w:t xml:space="preserve">also </w:t>
      </w:r>
      <w:r w:rsidR="007A00B7">
        <w:rPr>
          <w:rFonts w:ascii="Arial" w:hAnsi="Arial"/>
          <w:sz w:val="22"/>
        </w:rPr>
        <w:t>calculate</w:t>
      </w:r>
      <w:r w:rsidRPr="00FB2910">
        <w:rPr>
          <w:rFonts w:ascii="Arial" w:hAnsi="Arial"/>
          <w:sz w:val="22"/>
        </w:rPr>
        <w:t xml:space="preserve">d to be </w:t>
      </w:r>
      <w:r w:rsidR="00646C25">
        <w:rPr>
          <w:rFonts w:ascii="Arial" w:hAnsi="Arial"/>
          <w:sz w:val="22"/>
        </w:rPr>
        <w:t>4</w:t>
      </w:r>
      <w:r w:rsidRPr="00FB2910">
        <w:rPr>
          <w:rFonts w:ascii="Arial" w:hAnsi="Arial"/>
          <w:sz w:val="22"/>
        </w:rPr>
        <w:t xml:space="preserve"> km</w:t>
      </w:r>
      <w:r w:rsidRPr="00FB2910">
        <w:rPr>
          <w:rFonts w:ascii="Arial" w:hAnsi="Arial"/>
          <w:sz w:val="22"/>
          <w:vertAlign w:val="superscript"/>
        </w:rPr>
        <w:t>2</w:t>
      </w:r>
      <w:r w:rsidRPr="00FB2910">
        <w:rPr>
          <w:rFonts w:ascii="Arial" w:hAnsi="Arial"/>
          <w:sz w:val="22"/>
        </w:rPr>
        <w:t xml:space="preserve"> </w:t>
      </w:r>
      <w:r>
        <w:rPr>
          <w:rFonts w:ascii="Arial" w:hAnsi="Arial"/>
          <w:sz w:val="22"/>
        </w:rPr>
        <w:fldChar w:fldCharType="begin"/>
      </w:r>
      <w:r>
        <w:rPr>
          <w:rFonts w:ascii="Arial" w:hAnsi="Arial"/>
          <w:sz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Pr>
          <w:rFonts w:ascii="Arial" w:hAnsi="Arial"/>
          <w:sz w:val="22"/>
        </w:rPr>
        <w:fldChar w:fldCharType="separate"/>
      </w:r>
      <w:r>
        <w:rPr>
          <w:rFonts w:ascii="Arial" w:hAnsi="Arial"/>
          <w:noProof/>
          <w:sz w:val="22"/>
        </w:rPr>
        <w:t>(</w:t>
      </w:r>
      <w:hyperlink w:anchor="_ENREF_1" w:tooltip="Hoskin, 2007 #112" w:history="1">
        <w:r w:rsidR="005D62B2">
          <w:rPr>
            <w:rFonts w:ascii="Arial" w:hAnsi="Arial"/>
            <w:noProof/>
            <w:sz w:val="22"/>
          </w:rPr>
          <w:t>Hoskin 2007</w:t>
        </w:r>
      </w:hyperlink>
      <w:r w:rsidR="007A00B7">
        <w:rPr>
          <w:rFonts w:ascii="Arial" w:hAnsi="Arial"/>
          <w:noProof/>
          <w:sz w:val="22"/>
        </w:rPr>
        <w:t>; DoEE 2017</w:t>
      </w:r>
      <w:r>
        <w:rPr>
          <w:rFonts w:ascii="Arial" w:hAnsi="Arial"/>
          <w:noProof/>
          <w:sz w:val="22"/>
        </w:rPr>
        <w:t>)</w:t>
      </w:r>
      <w:r>
        <w:rPr>
          <w:rFonts w:ascii="Arial" w:hAnsi="Arial"/>
          <w:sz w:val="22"/>
        </w:rPr>
        <w:fldChar w:fldCharType="end"/>
      </w:r>
      <w:r w:rsidRPr="00FB2910">
        <w:rPr>
          <w:rFonts w:ascii="Arial" w:hAnsi="Arial"/>
          <w:sz w:val="22"/>
        </w:rPr>
        <w:t xml:space="preserve"> but may be larger given seasonal</w:t>
      </w:r>
      <w:r w:rsidR="00C1358F">
        <w:rPr>
          <w:rFonts w:ascii="Arial" w:hAnsi="Arial"/>
          <w:sz w:val="22"/>
        </w:rPr>
        <w:t xml:space="preserve"> </w:t>
      </w:r>
      <w:r w:rsidRPr="00FB2910">
        <w:rPr>
          <w:rFonts w:ascii="Arial" w:hAnsi="Arial"/>
          <w:sz w:val="22"/>
        </w:rPr>
        <w:t>movements of females.</w:t>
      </w:r>
      <w:r w:rsidR="007A00B7">
        <w:rPr>
          <w:rFonts w:ascii="Arial" w:hAnsi="Arial"/>
          <w:sz w:val="22"/>
        </w:rPr>
        <w:t xml:space="preserve"> </w:t>
      </w:r>
      <w:r w:rsidR="007A00B7" w:rsidRPr="00C852ED">
        <w:rPr>
          <w:rFonts w:ascii="Arial" w:hAnsi="Arial" w:cs="Arial"/>
          <w:sz w:val="22"/>
          <w:szCs w:val="22"/>
        </w:rPr>
        <w:t xml:space="preserve">These figures are based on the mapping of point records from </w:t>
      </w:r>
      <w:r w:rsidR="007A00B7">
        <w:rPr>
          <w:rFonts w:ascii="Arial" w:hAnsi="Arial" w:cs="Arial"/>
          <w:sz w:val="22"/>
          <w:szCs w:val="22"/>
        </w:rPr>
        <w:t>2007</w:t>
      </w:r>
      <w:r w:rsidR="007A00B7" w:rsidRPr="00C852ED">
        <w:rPr>
          <w:rFonts w:ascii="Arial" w:hAnsi="Arial" w:cs="Arial"/>
          <w:sz w:val="22"/>
          <w:szCs w:val="22"/>
        </w:rPr>
        <w:t xml:space="preserve">, </w:t>
      </w:r>
      <w:r w:rsidR="007A00B7" w:rsidRPr="00B32D57">
        <w:rPr>
          <w:rFonts w:ascii="Arial" w:hAnsi="Arial" w:cs="Arial"/>
          <w:sz w:val="22"/>
          <w:szCs w:val="22"/>
        </w:rPr>
        <w:t>compiled from state and Commonwealth agencies along with museums, herbaria, research institutions and non-government organisations</w:t>
      </w:r>
      <w:r w:rsidR="007A00B7" w:rsidRPr="00C852ED">
        <w:rPr>
          <w:rFonts w:ascii="Arial" w:hAnsi="Arial" w:cs="Arial"/>
          <w:sz w:val="22"/>
          <w:szCs w:val="22"/>
        </w:rPr>
        <w:t>. The EOO was calculated using a minimum convex hull, and the AOO calculated using a 2x2 km grid cell method, based on the IUCN Red List Guidelines 2014.</w:t>
      </w:r>
    </w:p>
    <w:p w14:paraId="3CE844E3" w14:textId="77777777" w:rsidR="00FB2910" w:rsidRDefault="00FB2910" w:rsidP="00FB2910">
      <w:pPr>
        <w:rPr>
          <w:rFonts w:ascii="Arial" w:hAnsi="Arial"/>
          <w:sz w:val="22"/>
        </w:rPr>
      </w:pPr>
    </w:p>
    <w:p w14:paraId="35A794ED" w14:textId="6AD8A2D4" w:rsidR="00FB2910" w:rsidRDefault="00FB2910" w:rsidP="00B72855">
      <w:pPr>
        <w:autoSpaceDE w:val="0"/>
        <w:autoSpaceDN w:val="0"/>
        <w:adjustRightInd w:val="0"/>
        <w:rPr>
          <w:rFonts w:ascii="Arial" w:hAnsi="Arial" w:cs="Arial"/>
          <w:sz w:val="22"/>
          <w:szCs w:val="22"/>
          <w:lang w:eastAsia="en-AU"/>
        </w:rPr>
      </w:pPr>
      <w:r w:rsidRPr="00FB2910">
        <w:rPr>
          <w:rFonts w:ascii="Arial" w:hAnsi="Arial" w:cs="Arial"/>
          <w:sz w:val="22"/>
          <w:szCs w:val="22"/>
          <w:lang w:eastAsia="en-AU"/>
        </w:rPr>
        <w:t>This distribution is somewhat fragmented, as the species occurs in 12 breeding</w:t>
      </w:r>
      <w:r w:rsidR="00B72855">
        <w:rPr>
          <w:rFonts w:ascii="Arial" w:hAnsi="Arial" w:cs="Arial"/>
          <w:sz w:val="22"/>
          <w:szCs w:val="22"/>
          <w:lang w:eastAsia="en-AU"/>
        </w:rPr>
        <w:t xml:space="preserve"> </w:t>
      </w:r>
      <w:r w:rsidRPr="00FB2910">
        <w:rPr>
          <w:rFonts w:ascii="Arial" w:hAnsi="Arial" w:cs="Arial"/>
          <w:sz w:val="22"/>
          <w:szCs w:val="22"/>
          <w:lang w:eastAsia="en-AU"/>
        </w:rPr>
        <w:t>aggregations. These aggregations are geographically discrete clusters of breeding</w:t>
      </w:r>
      <w:r w:rsidR="00B72855">
        <w:rPr>
          <w:rFonts w:ascii="Arial" w:hAnsi="Arial" w:cs="Arial"/>
          <w:sz w:val="22"/>
          <w:szCs w:val="22"/>
          <w:lang w:eastAsia="en-AU"/>
        </w:rPr>
        <w:t xml:space="preserve"> </w:t>
      </w:r>
      <w:r w:rsidRPr="00FB2910">
        <w:rPr>
          <w:rFonts w:ascii="Arial" w:hAnsi="Arial" w:cs="Arial"/>
          <w:sz w:val="22"/>
          <w:szCs w:val="22"/>
          <w:lang w:eastAsia="en-AU"/>
        </w:rPr>
        <w:t>individuals that are largely independent of each other</w:t>
      </w:r>
      <w:r w:rsidR="00646C25">
        <w:rPr>
          <w:rFonts w:ascii="Arial" w:hAnsi="Arial" w:cs="Arial"/>
          <w:sz w:val="22"/>
          <w:szCs w:val="22"/>
          <w:lang w:eastAsia="en-AU"/>
        </w:rPr>
        <w:t>, as i</w:t>
      </w:r>
      <w:r w:rsidRPr="00FB2910">
        <w:rPr>
          <w:rFonts w:ascii="Arial" w:hAnsi="Arial" w:cs="Arial"/>
          <w:sz w:val="22"/>
          <w:szCs w:val="22"/>
          <w:lang w:eastAsia="en-AU"/>
        </w:rPr>
        <w:t>ndividuals have not been found in areas</w:t>
      </w:r>
      <w:r w:rsidR="00B72855">
        <w:rPr>
          <w:rFonts w:ascii="Arial" w:hAnsi="Arial" w:cs="Arial"/>
          <w:sz w:val="22"/>
          <w:szCs w:val="22"/>
          <w:lang w:eastAsia="en-AU"/>
        </w:rPr>
        <w:t xml:space="preserve"> </w:t>
      </w:r>
      <w:r w:rsidRPr="00FB2910">
        <w:rPr>
          <w:rFonts w:ascii="Arial" w:hAnsi="Arial" w:cs="Arial"/>
          <w:sz w:val="22"/>
          <w:szCs w:val="22"/>
          <w:lang w:eastAsia="en-AU"/>
        </w:rPr>
        <w:t>between these breeding aggregations. Distances between some of the breeding aggregations are</w:t>
      </w:r>
      <w:r w:rsidR="00B72855">
        <w:rPr>
          <w:rFonts w:ascii="Arial" w:hAnsi="Arial" w:cs="Arial"/>
          <w:sz w:val="22"/>
          <w:szCs w:val="22"/>
          <w:lang w:eastAsia="en-AU"/>
        </w:rPr>
        <w:t xml:space="preserve"> </w:t>
      </w:r>
      <w:r w:rsidRPr="00FB2910">
        <w:rPr>
          <w:rFonts w:ascii="Arial" w:hAnsi="Arial" w:cs="Arial"/>
          <w:sz w:val="22"/>
          <w:szCs w:val="22"/>
          <w:lang w:eastAsia="en-AU"/>
        </w:rPr>
        <w:t xml:space="preserve">large </w:t>
      </w:r>
      <w:r w:rsidR="00B72855">
        <w:rPr>
          <w:rFonts w:ascii="Arial" w:hAnsi="Arial" w:cs="Arial"/>
          <w:sz w:val="22"/>
          <w:szCs w:val="22"/>
          <w:lang w:eastAsia="en-AU"/>
        </w:rPr>
        <w:t xml:space="preserve"> c</w:t>
      </w:r>
      <w:r w:rsidRPr="00FB2910">
        <w:rPr>
          <w:rFonts w:ascii="Arial" w:hAnsi="Arial" w:cs="Arial"/>
          <w:sz w:val="22"/>
          <w:szCs w:val="22"/>
          <w:lang w:eastAsia="en-AU"/>
        </w:rPr>
        <w:t>ompared to the likely dispersal ability of the species and rainforest habitat has been cleared</w:t>
      </w:r>
      <w:r w:rsidR="00B72855">
        <w:rPr>
          <w:rFonts w:ascii="Arial" w:hAnsi="Arial" w:cs="Arial"/>
          <w:sz w:val="22"/>
          <w:szCs w:val="22"/>
          <w:lang w:eastAsia="en-AU"/>
        </w:rPr>
        <w:t xml:space="preserve"> </w:t>
      </w:r>
      <w:r w:rsidRPr="00FB2910">
        <w:rPr>
          <w:rFonts w:ascii="Arial" w:hAnsi="Arial" w:cs="Arial"/>
          <w:sz w:val="22"/>
          <w:szCs w:val="22"/>
          <w:lang w:eastAsia="en-AU"/>
        </w:rPr>
        <w:t>for rural sub-division and urban development between some breeding aggregations, most likely</w:t>
      </w:r>
      <w:r w:rsidR="00B72855">
        <w:rPr>
          <w:rFonts w:ascii="Arial" w:hAnsi="Arial" w:cs="Arial"/>
          <w:sz w:val="22"/>
          <w:szCs w:val="22"/>
          <w:lang w:eastAsia="en-AU"/>
        </w:rPr>
        <w:t xml:space="preserve"> </w:t>
      </w:r>
      <w:r w:rsidRPr="00FB2910">
        <w:rPr>
          <w:rFonts w:ascii="Arial" w:hAnsi="Arial" w:cs="Arial"/>
          <w:sz w:val="22"/>
          <w:szCs w:val="22"/>
          <w:lang w:eastAsia="en-AU"/>
        </w:rPr>
        <w:t xml:space="preserve">limiting movement of the species </w:t>
      </w:r>
      <w:r w:rsidR="00B72855">
        <w:rPr>
          <w:rFonts w:ascii="Arial" w:hAnsi="Arial" w:cs="Arial"/>
          <w:sz w:val="22"/>
          <w:szCs w:val="22"/>
          <w:lang w:eastAsia="en-AU"/>
        </w:rPr>
        <w:fldChar w:fldCharType="begin"/>
      </w:r>
      <w:r w:rsidR="00B72855">
        <w:rPr>
          <w:rFonts w:ascii="Arial" w:hAnsi="Arial" w:cs="Arial"/>
          <w:sz w:val="22"/>
          <w:szCs w:val="22"/>
          <w:lang w:eastAsia="en-AU"/>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B72855">
        <w:rPr>
          <w:rFonts w:ascii="Arial" w:hAnsi="Arial" w:cs="Arial"/>
          <w:sz w:val="22"/>
          <w:szCs w:val="22"/>
          <w:lang w:eastAsia="en-AU"/>
        </w:rPr>
        <w:fldChar w:fldCharType="separate"/>
      </w:r>
      <w:r w:rsidR="00B72855">
        <w:rPr>
          <w:rFonts w:ascii="Arial" w:hAnsi="Arial" w:cs="Arial"/>
          <w:noProof/>
          <w:sz w:val="22"/>
          <w:szCs w:val="22"/>
          <w:lang w:eastAsia="en-AU"/>
        </w:rPr>
        <w:t>(</w:t>
      </w:r>
      <w:hyperlink w:anchor="_ENREF_1" w:tooltip="Hoskin, 2007 #112" w:history="1">
        <w:r w:rsidR="005D62B2">
          <w:rPr>
            <w:rFonts w:ascii="Arial" w:hAnsi="Arial" w:cs="Arial"/>
            <w:noProof/>
            <w:sz w:val="22"/>
            <w:szCs w:val="22"/>
            <w:lang w:eastAsia="en-AU"/>
          </w:rPr>
          <w:t>Hoskin 2007</w:t>
        </w:r>
      </w:hyperlink>
      <w:r w:rsidR="00B72855">
        <w:rPr>
          <w:rFonts w:ascii="Arial" w:hAnsi="Arial" w:cs="Arial"/>
          <w:noProof/>
          <w:sz w:val="22"/>
          <w:szCs w:val="22"/>
          <w:lang w:eastAsia="en-AU"/>
        </w:rPr>
        <w:t>)</w:t>
      </w:r>
      <w:r w:rsidR="00B72855">
        <w:rPr>
          <w:rFonts w:ascii="Arial" w:hAnsi="Arial" w:cs="Arial"/>
          <w:sz w:val="22"/>
          <w:szCs w:val="22"/>
          <w:lang w:eastAsia="en-AU"/>
        </w:rPr>
        <w:fldChar w:fldCharType="end"/>
      </w:r>
      <w:r w:rsidRPr="00FB2910">
        <w:rPr>
          <w:rFonts w:ascii="Arial" w:hAnsi="Arial" w:cs="Arial"/>
          <w:sz w:val="22"/>
          <w:szCs w:val="22"/>
          <w:lang w:eastAsia="en-AU"/>
        </w:rPr>
        <w:t>.</w:t>
      </w:r>
    </w:p>
    <w:p w14:paraId="7909277A" w14:textId="77777777" w:rsidR="00B72855" w:rsidRDefault="00B72855" w:rsidP="00B72855">
      <w:pPr>
        <w:autoSpaceDE w:val="0"/>
        <w:autoSpaceDN w:val="0"/>
        <w:adjustRightInd w:val="0"/>
        <w:rPr>
          <w:rFonts w:ascii="Arial" w:hAnsi="Arial" w:cs="Arial"/>
          <w:sz w:val="22"/>
          <w:szCs w:val="22"/>
          <w:lang w:eastAsia="en-AU"/>
        </w:rPr>
      </w:pPr>
    </w:p>
    <w:p w14:paraId="6F3C7C49" w14:textId="77777777" w:rsidR="00B72855" w:rsidRDefault="00B72855" w:rsidP="00B72855">
      <w:pPr>
        <w:autoSpaceDE w:val="0"/>
        <w:autoSpaceDN w:val="0"/>
        <w:adjustRightInd w:val="0"/>
        <w:rPr>
          <w:rFonts w:ascii="Arial" w:hAnsi="Arial" w:cs="Arial"/>
          <w:sz w:val="22"/>
          <w:szCs w:val="22"/>
          <w:lang w:eastAsia="en-AU"/>
        </w:rPr>
      </w:pPr>
      <w:r>
        <w:rPr>
          <w:rFonts w:ascii="Arial" w:hAnsi="Arial" w:cs="Arial"/>
          <w:sz w:val="22"/>
          <w:szCs w:val="22"/>
          <w:lang w:eastAsia="en-AU"/>
        </w:rPr>
        <w:t xml:space="preserve">While the distribution is fragmented, the entire range of the species is within a few kilometres in any straight line distance. Given that significant threats such as chytrid and yellow crazy ants may spread over this distance quickly, the species can be considered to be contained at a single location </w:t>
      </w:r>
      <w:r>
        <w:rPr>
          <w:rFonts w:ascii="Arial" w:hAnsi="Arial" w:cs="Arial"/>
          <w:sz w:val="22"/>
          <w:szCs w:val="22"/>
          <w:lang w:eastAsia="en-AU"/>
        </w:rPr>
        <w:fldChar w:fldCharType="begin"/>
      </w:r>
      <w:r>
        <w:rPr>
          <w:rFonts w:ascii="Arial" w:hAnsi="Arial" w:cs="Arial"/>
          <w:sz w:val="22"/>
          <w:szCs w:val="22"/>
          <w:lang w:eastAsia="en-AU"/>
        </w:rPr>
        <w:instrText xml:space="preserve"> ADDIN EN.CITE &lt;EndNote&gt;&lt;Cite&gt;&lt;Author&gt;IUCN Standards and Petitions Subcommittee&lt;/Author&gt;&lt;Year&gt;2016&lt;/Year&gt;&lt;RecNum&gt;306&lt;/RecNum&gt;&lt;DisplayText&gt;(IUCN Standards and Petitions Subcommittee 2016)&lt;/DisplayText&gt;&lt;record&gt;&lt;rec-number&gt;306&lt;/rec-number&gt;&lt;foreign-keys&gt;&lt;key app="EN" db-id="ta0rdr92ndv9x0e9sdapdzadfw29sw9r9xva" timestamp="1488863945"&gt;306&lt;/key&gt;&lt;/foreign-keys&gt;&lt;ref-type name="Electronic Book"&gt;44&lt;/ref-type&gt;&lt;contributors&gt;&lt;authors&gt;&lt;author&gt;IUCN Standards and Petitions Subcommittee,&lt;/author&gt;&lt;/authors&gt;&lt;/contributors&gt;&lt;titles&gt;&lt;title&gt;for Using the IUCN Red List Categories and Criteria. Version 12.&lt;/title&gt;&lt;/titles&gt;&lt;dates&gt;&lt;year&gt;2016&lt;/year&gt;&lt;/dates&gt;&lt;publisher&gt;Standards and Petitions Subcommittee&lt;/publisher&gt;&lt;urls&gt;&lt;/urls&gt;&lt;/record&gt;&lt;/Cite&gt;&lt;/EndNote&gt;</w:instrText>
      </w:r>
      <w:r>
        <w:rPr>
          <w:rFonts w:ascii="Arial" w:hAnsi="Arial" w:cs="Arial"/>
          <w:sz w:val="22"/>
          <w:szCs w:val="22"/>
          <w:lang w:eastAsia="en-AU"/>
        </w:rPr>
        <w:fldChar w:fldCharType="separate"/>
      </w:r>
      <w:r>
        <w:rPr>
          <w:rFonts w:ascii="Arial" w:hAnsi="Arial" w:cs="Arial"/>
          <w:noProof/>
          <w:sz w:val="22"/>
          <w:szCs w:val="22"/>
          <w:lang w:eastAsia="en-AU"/>
        </w:rPr>
        <w:t>(</w:t>
      </w:r>
      <w:hyperlink w:anchor="_ENREF_2" w:tooltip="IUCN Standards and Petitions Subcommittee, 2016 #306" w:history="1">
        <w:r w:rsidR="005D62B2">
          <w:rPr>
            <w:rFonts w:ascii="Arial" w:hAnsi="Arial" w:cs="Arial"/>
            <w:noProof/>
            <w:sz w:val="22"/>
            <w:szCs w:val="22"/>
            <w:lang w:eastAsia="en-AU"/>
          </w:rPr>
          <w:t>IUCN Standards and Petitions Subcommittee 2016</w:t>
        </w:r>
      </w:hyperlink>
      <w:r>
        <w:rPr>
          <w:rFonts w:ascii="Arial" w:hAnsi="Arial" w:cs="Arial"/>
          <w:noProof/>
          <w:sz w:val="22"/>
          <w:szCs w:val="22"/>
          <w:lang w:eastAsia="en-AU"/>
        </w:rPr>
        <w:t>)</w:t>
      </w:r>
      <w:r>
        <w:rPr>
          <w:rFonts w:ascii="Arial" w:hAnsi="Arial" w:cs="Arial"/>
          <w:sz w:val="22"/>
          <w:szCs w:val="22"/>
          <w:lang w:eastAsia="en-AU"/>
        </w:rPr>
        <w:fldChar w:fldCharType="end"/>
      </w:r>
      <w:r>
        <w:rPr>
          <w:rFonts w:ascii="Arial" w:hAnsi="Arial" w:cs="Arial"/>
          <w:sz w:val="22"/>
          <w:szCs w:val="22"/>
          <w:lang w:eastAsia="en-AU"/>
        </w:rPr>
        <w:t>.</w:t>
      </w:r>
    </w:p>
    <w:p w14:paraId="7E78FE38" w14:textId="77777777" w:rsidR="00B72855" w:rsidRDefault="00B72855" w:rsidP="00B72855">
      <w:pPr>
        <w:autoSpaceDE w:val="0"/>
        <w:autoSpaceDN w:val="0"/>
        <w:adjustRightInd w:val="0"/>
        <w:rPr>
          <w:rFonts w:ascii="Arial" w:hAnsi="Arial" w:cs="Arial"/>
          <w:sz w:val="22"/>
          <w:szCs w:val="22"/>
          <w:lang w:eastAsia="en-AU"/>
        </w:rPr>
      </w:pPr>
    </w:p>
    <w:p w14:paraId="02BD945F" w14:textId="77777777" w:rsidR="00B72855" w:rsidRPr="00FB2910" w:rsidRDefault="00B72855" w:rsidP="00B72855">
      <w:pPr>
        <w:autoSpaceDE w:val="0"/>
        <w:autoSpaceDN w:val="0"/>
        <w:adjustRightInd w:val="0"/>
        <w:rPr>
          <w:rFonts w:ascii="Arial" w:hAnsi="Arial" w:cs="Arial"/>
          <w:sz w:val="22"/>
          <w:szCs w:val="22"/>
        </w:rPr>
      </w:pPr>
      <w:r>
        <w:rPr>
          <w:rFonts w:ascii="Arial" w:hAnsi="Arial" w:cs="Arial"/>
          <w:sz w:val="22"/>
          <w:szCs w:val="22"/>
          <w:lang w:eastAsia="en-AU"/>
        </w:rPr>
        <w:t>Continuing decline may be inferred based on the likely reduction in number of individuals due to ongoing threats from chytrid fungus and habitat fragmentation and degradation and the relatively recent threat of yellow crazy ants.</w:t>
      </w:r>
    </w:p>
    <w:p w14:paraId="3DF1B4E3" w14:textId="77777777" w:rsidR="00D9126D" w:rsidRPr="003B006A" w:rsidRDefault="00D9126D" w:rsidP="003F4D21">
      <w:pPr>
        <w:rPr>
          <w:rFonts w:ascii="Arial" w:hAnsi="Arial"/>
          <w:sz w:val="22"/>
        </w:rPr>
      </w:pPr>
    </w:p>
    <w:p w14:paraId="7CB54107" w14:textId="77777777" w:rsidR="004F6E9D" w:rsidRDefault="004F6E9D" w:rsidP="00817CFB">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7F65C9">
        <w:rPr>
          <w:rFonts w:ascii="Arial" w:hAnsi="Arial" w:cs="Arial"/>
          <w:b/>
          <w:bCs/>
          <w:sz w:val="22"/>
          <w:szCs w:val="22"/>
        </w:rPr>
        <w:t>eligible for listing as</w:t>
      </w:r>
      <w:r w:rsidRPr="00646C25">
        <w:rPr>
          <w:rFonts w:ascii="Arial" w:hAnsi="Arial" w:cs="Arial"/>
          <w:bCs/>
          <w:sz w:val="22"/>
          <w:szCs w:val="22"/>
        </w:rPr>
        <w:t xml:space="preserve"> </w:t>
      </w:r>
      <w:r w:rsidR="00B72855">
        <w:rPr>
          <w:rFonts w:ascii="Arial" w:hAnsi="Arial" w:cs="Arial"/>
          <w:b/>
          <w:bCs/>
          <w:sz w:val="22"/>
          <w:szCs w:val="22"/>
        </w:rPr>
        <w:t xml:space="preserve">Critically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4110A246"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508CB535"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1AB523E1" w14:textId="77777777" w:rsidTr="00C55755">
        <w:tc>
          <w:tcPr>
            <w:tcW w:w="3601" w:type="dxa"/>
            <w:gridSpan w:val="2"/>
            <w:tcBorders>
              <w:top w:val="nil"/>
              <w:left w:val="single" w:sz="4" w:space="0" w:color="auto"/>
              <w:bottom w:val="nil"/>
              <w:right w:val="nil"/>
            </w:tcBorders>
          </w:tcPr>
          <w:p w14:paraId="362E201C"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2292B3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0F7741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602D5B8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71CA39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30BD442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7ED6E8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27F63FAD"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322E407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336CB56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6C7820E2"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57927097"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0A71619A"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2CF59C20"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65734E04"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1384D9DB"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6AA65756" w14:textId="77777777" w:rsidR="003F4D21" w:rsidRPr="00715477" w:rsidRDefault="003F4D21" w:rsidP="003F4D21">
            <w:pPr>
              <w:jc w:val="center"/>
              <w:rPr>
                <w:rFonts w:ascii="Arial" w:hAnsi="Arial" w:cs="Arial"/>
                <w:b/>
                <w:sz w:val="18"/>
                <w:szCs w:val="18"/>
              </w:rPr>
            </w:pPr>
          </w:p>
        </w:tc>
      </w:tr>
      <w:tr w:rsidR="003F4D21" w:rsidRPr="003D4002" w14:paraId="0469E4AF"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3AB9FEE1"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C73BE7B"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4F5F25C3"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103882B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62FB1D9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56AA05E9"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53B1AB5D"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6207E1F4"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63743F4E"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DAD823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6BCFB810"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6D76B98E"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EB96E53"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2ACA5C2B"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303E9465" w14:textId="77777777" w:rsidR="003F4D21" w:rsidRPr="00715477" w:rsidRDefault="003F4D21" w:rsidP="003F4D21">
            <w:pPr>
              <w:rPr>
                <w:rFonts w:ascii="Arial" w:hAnsi="Arial" w:cs="Arial"/>
                <w:sz w:val="18"/>
                <w:szCs w:val="18"/>
              </w:rPr>
            </w:pPr>
          </w:p>
        </w:tc>
      </w:tr>
      <w:tr w:rsidR="003F4D21" w:rsidRPr="00715477" w14:paraId="18AB5B72"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1AD521B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D7A6215"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B11B7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1AE8E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30ADDAB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3E121B3A"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0DFDF29"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780EAF5"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7C2824A"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C0D023A"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3A1B22C8"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D6B9853"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7AB43A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604F57B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5EE55049"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1E45F8EF" w14:textId="77777777" w:rsidR="003F4D21" w:rsidRPr="00715477" w:rsidRDefault="003F4D21" w:rsidP="003F4D21">
            <w:pPr>
              <w:tabs>
                <w:tab w:val="left" w:pos="426"/>
              </w:tabs>
              <w:ind w:left="426" w:hanging="426"/>
              <w:rPr>
                <w:rFonts w:ascii="Arial" w:hAnsi="Arial" w:cs="Arial"/>
                <w:sz w:val="18"/>
                <w:szCs w:val="18"/>
              </w:rPr>
            </w:pPr>
          </w:p>
        </w:tc>
      </w:tr>
    </w:tbl>
    <w:p w14:paraId="23BFAE80" w14:textId="77777777" w:rsidR="00C55755" w:rsidRDefault="00C55755" w:rsidP="00C55755">
      <w:pPr>
        <w:rPr>
          <w:rFonts w:ascii="Arial" w:hAnsi="Arial" w:cs="Arial"/>
          <w:b/>
          <w:sz w:val="22"/>
          <w:szCs w:val="22"/>
        </w:rPr>
      </w:pPr>
    </w:p>
    <w:p w14:paraId="0B963234"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1C10B63B" w14:textId="77777777" w:rsidR="00B50A2B" w:rsidRPr="003B006A" w:rsidRDefault="00B50A2B" w:rsidP="00C55755">
      <w:pPr>
        <w:rPr>
          <w:rFonts w:ascii="Arial" w:hAnsi="Arial" w:cs="Arial"/>
          <w:sz w:val="22"/>
          <w:szCs w:val="22"/>
        </w:rPr>
      </w:pPr>
    </w:p>
    <w:p w14:paraId="482BB7E5" w14:textId="26F2FCEE" w:rsidR="0068091B" w:rsidRPr="0068091B" w:rsidRDefault="00CF21B8" w:rsidP="00CF21B8">
      <w:pPr>
        <w:rPr>
          <w:rFonts w:ascii="Arial" w:hAnsi="Arial" w:cs="Arial"/>
          <w:sz w:val="22"/>
          <w:szCs w:val="22"/>
        </w:rPr>
      </w:pPr>
      <w:r w:rsidRPr="00CF21B8">
        <w:rPr>
          <w:rFonts w:ascii="Arial" w:hAnsi="Arial" w:cs="Arial"/>
          <w:sz w:val="22"/>
          <w:szCs w:val="22"/>
        </w:rPr>
        <w:t xml:space="preserve">The total number of mature individuals of the Kuranda </w:t>
      </w:r>
      <w:r w:rsidR="005D62B2">
        <w:rPr>
          <w:rFonts w:ascii="Arial" w:hAnsi="Arial" w:cs="Arial"/>
          <w:sz w:val="22"/>
          <w:szCs w:val="22"/>
        </w:rPr>
        <w:t>t</w:t>
      </w:r>
      <w:r w:rsidRPr="00CF21B8">
        <w:rPr>
          <w:rFonts w:ascii="Arial" w:hAnsi="Arial" w:cs="Arial"/>
          <w:sz w:val="22"/>
          <w:szCs w:val="22"/>
        </w:rPr>
        <w:t xml:space="preserve">ree </w:t>
      </w:r>
      <w:r w:rsidR="005D62B2">
        <w:rPr>
          <w:rFonts w:ascii="Arial" w:hAnsi="Arial" w:cs="Arial"/>
          <w:sz w:val="22"/>
          <w:szCs w:val="22"/>
        </w:rPr>
        <w:t>f</w:t>
      </w:r>
      <w:r w:rsidRPr="00CF21B8">
        <w:rPr>
          <w:rFonts w:ascii="Arial" w:hAnsi="Arial" w:cs="Arial"/>
          <w:sz w:val="22"/>
          <w:szCs w:val="22"/>
        </w:rPr>
        <w:t>rog is estimated to be</w:t>
      </w:r>
      <w:r w:rsidR="005D62B2">
        <w:rPr>
          <w:rFonts w:ascii="Arial" w:hAnsi="Arial" w:cs="Arial"/>
          <w:sz w:val="22"/>
          <w:szCs w:val="22"/>
        </w:rPr>
        <w:t xml:space="preserve"> </w:t>
      </w:r>
      <w:r w:rsidRPr="00CF21B8">
        <w:rPr>
          <w:rFonts w:ascii="Arial" w:hAnsi="Arial" w:cs="Arial"/>
          <w:sz w:val="22"/>
          <w:szCs w:val="22"/>
        </w:rPr>
        <w:t>approximately 700 (Hoskin, pers. comm., 2009). The</w:t>
      </w:r>
      <w:r w:rsidR="005D62B2">
        <w:rPr>
          <w:rFonts w:ascii="Arial" w:hAnsi="Arial" w:cs="Arial"/>
          <w:sz w:val="22"/>
          <w:szCs w:val="22"/>
        </w:rPr>
        <w:t xml:space="preserve"> </w:t>
      </w:r>
      <w:r w:rsidRPr="00CF21B8">
        <w:rPr>
          <w:rFonts w:ascii="Arial" w:hAnsi="Arial" w:cs="Arial"/>
          <w:sz w:val="22"/>
          <w:szCs w:val="22"/>
        </w:rPr>
        <w:t>species’ distribution is fragmented, occurring in 12 discrete breeding aggregations, increasing its</w:t>
      </w:r>
      <w:r w:rsidR="005D62B2">
        <w:rPr>
          <w:rFonts w:ascii="Arial" w:hAnsi="Arial" w:cs="Arial"/>
          <w:sz w:val="22"/>
          <w:szCs w:val="22"/>
        </w:rPr>
        <w:t xml:space="preserve"> </w:t>
      </w:r>
      <w:r w:rsidRPr="00CF21B8">
        <w:rPr>
          <w:rFonts w:ascii="Arial" w:hAnsi="Arial" w:cs="Arial"/>
          <w:sz w:val="22"/>
          <w:szCs w:val="22"/>
        </w:rPr>
        <w:t>risk of extinction.</w:t>
      </w:r>
      <w:r w:rsidR="005D62B2">
        <w:rPr>
          <w:rFonts w:ascii="Arial" w:hAnsi="Arial" w:cs="Arial"/>
          <w:sz w:val="22"/>
          <w:szCs w:val="22"/>
        </w:rPr>
        <w:t xml:space="preserve"> </w:t>
      </w:r>
      <w:r w:rsidRPr="00CF21B8">
        <w:rPr>
          <w:rFonts w:ascii="Arial" w:hAnsi="Arial" w:cs="Arial"/>
          <w:sz w:val="22"/>
          <w:szCs w:val="22"/>
        </w:rPr>
        <w:t>The species is subject to a number of ongoing threats including clearing of rainforest vegetation and</w:t>
      </w:r>
      <w:r w:rsidR="005D62B2">
        <w:rPr>
          <w:rFonts w:ascii="Arial" w:hAnsi="Arial" w:cs="Arial"/>
          <w:sz w:val="22"/>
          <w:szCs w:val="22"/>
        </w:rPr>
        <w:t xml:space="preserve"> </w:t>
      </w:r>
      <w:r w:rsidRPr="00CF21B8">
        <w:rPr>
          <w:rFonts w:ascii="Arial" w:hAnsi="Arial" w:cs="Arial"/>
          <w:sz w:val="22"/>
          <w:szCs w:val="22"/>
        </w:rPr>
        <w:t xml:space="preserve">alterations to stream characteristics due to residential development </w:t>
      </w:r>
      <w:r w:rsidR="005D62B2">
        <w:rPr>
          <w:rFonts w:ascii="Arial" w:hAnsi="Arial" w:cs="Arial"/>
          <w:sz w:val="22"/>
          <w:szCs w:val="22"/>
        </w:rPr>
        <w:fldChar w:fldCharType="begin"/>
      </w:r>
      <w:r w:rsidR="005D62B2">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5D62B2">
        <w:rPr>
          <w:rFonts w:ascii="Arial" w:hAnsi="Arial" w:cs="Arial"/>
          <w:sz w:val="22"/>
          <w:szCs w:val="22"/>
        </w:rPr>
        <w:fldChar w:fldCharType="separate"/>
      </w:r>
      <w:r w:rsidR="005D62B2">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sidR="005D62B2">
        <w:rPr>
          <w:rFonts w:ascii="Arial" w:hAnsi="Arial" w:cs="Arial"/>
          <w:noProof/>
          <w:sz w:val="22"/>
          <w:szCs w:val="22"/>
        </w:rPr>
        <w:t>)</w:t>
      </w:r>
      <w:r w:rsidR="005D62B2">
        <w:rPr>
          <w:rFonts w:ascii="Arial" w:hAnsi="Arial" w:cs="Arial"/>
          <w:sz w:val="22"/>
          <w:szCs w:val="22"/>
        </w:rPr>
        <w:fldChar w:fldCharType="end"/>
      </w:r>
      <w:r w:rsidRPr="00CF21B8">
        <w:rPr>
          <w:rFonts w:ascii="Arial" w:hAnsi="Arial" w:cs="Arial"/>
          <w:sz w:val="22"/>
          <w:szCs w:val="22"/>
        </w:rPr>
        <w:t>. In addition, the</w:t>
      </w:r>
      <w:r w:rsidR="005D62B2">
        <w:rPr>
          <w:rFonts w:ascii="Arial" w:hAnsi="Arial" w:cs="Arial"/>
          <w:sz w:val="22"/>
          <w:szCs w:val="22"/>
        </w:rPr>
        <w:t xml:space="preserve"> </w:t>
      </w:r>
      <w:r w:rsidRPr="00CF21B8">
        <w:rPr>
          <w:rFonts w:ascii="Arial" w:hAnsi="Arial" w:cs="Arial"/>
          <w:sz w:val="22"/>
          <w:szCs w:val="22"/>
        </w:rPr>
        <w:t xml:space="preserve">species is subject to potential threats including </w:t>
      </w:r>
      <w:r w:rsidR="00516094">
        <w:rPr>
          <w:rFonts w:ascii="Arial" w:hAnsi="Arial" w:cs="Arial"/>
          <w:sz w:val="22"/>
          <w:szCs w:val="22"/>
        </w:rPr>
        <w:t xml:space="preserve">chytrid fungus and </w:t>
      </w:r>
      <w:r w:rsidRPr="00CF21B8">
        <w:rPr>
          <w:rFonts w:ascii="Arial" w:hAnsi="Arial" w:cs="Arial"/>
          <w:sz w:val="22"/>
          <w:szCs w:val="22"/>
        </w:rPr>
        <w:t xml:space="preserve">hybridisation with the closely related </w:t>
      </w:r>
      <w:r w:rsidR="00516094">
        <w:rPr>
          <w:rFonts w:ascii="Arial" w:hAnsi="Arial" w:cs="Arial"/>
          <w:sz w:val="22"/>
          <w:szCs w:val="22"/>
        </w:rPr>
        <w:t>g</w:t>
      </w:r>
      <w:r w:rsidRPr="00CF21B8">
        <w:rPr>
          <w:rFonts w:ascii="Arial" w:hAnsi="Arial" w:cs="Arial"/>
          <w:sz w:val="22"/>
          <w:szCs w:val="22"/>
        </w:rPr>
        <w:t>reen-eyed</w:t>
      </w:r>
      <w:r w:rsidR="005D62B2">
        <w:rPr>
          <w:rFonts w:ascii="Arial" w:hAnsi="Arial" w:cs="Arial"/>
          <w:sz w:val="22"/>
          <w:szCs w:val="22"/>
        </w:rPr>
        <w:t xml:space="preserve"> t</w:t>
      </w:r>
      <w:r w:rsidRPr="00CF21B8">
        <w:rPr>
          <w:rFonts w:ascii="Arial" w:hAnsi="Arial" w:cs="Arial"/>
          <w:sz w:val="22"/>
          <w:szCs w:val="22"/>
        </w:rPr>
        <w:t xml:space="preserve">ree </w:t>
      </w:r>
      <w:r w:rsidR="005D62B2">
        <w:rPr>
          <w:rFonts w:ascii="Arial" w:hAnsi="Arial" w:cs="Arial"/>
          <w:sz w:val="22"/>
          <w:szCs w:val="22"/>
        </w:rPr>
        <w:t>f</w:t>
      </w:r>
      <w:r w:rsidRPr="00CF21B8">
        <w:rPr>
          <w:rFonts w:ascii="Arial" w:hAnsi="Arial" w:cs="Arial"/>
          <w:sz w:val="22"/>
          <w:szCs w:val="22"/>
        </w:rPr>
        <w:t xml:space="preserve">rog </w:t>
      </w:r>
      <w:r w:rsidR="005D62B2">
        <w:rPr>
          <w:rFonts w:ascii="Arial" w:hAnsi="Arial" w:cs="Arial"/>
          <w:sz w:val="22"/>
          <w:szCs w:val="22"/>
        </w:rPr>
        <w:fldChar w:fldCharType="begin"/>
      </w:r>
      <w:r w:rsidR="005D62B2">
        <w:rPr>
          <w:rFonts w:ascii="Arial" w:hAnsi="Arial" w:cs="Arial"/>
          <w:sz w:val="22"/>
          <w:szCs w:val="22"/>
        </w:rPr>
        <w:instrText xml:space="preserve"> ADDIN EN.CITE &lt;EndNote&gt;&lt;Cite&gt;&lt;Author&gt;Hoskin&lt;/Author&gt;&lt;Year&gt;2007&lt;/Year&gt;&lt;RecNum&gt;112&lt;/RecNum&gt;&lt;DisplayText&gt;(Hoskin 2007)&lt;/DisplayText&gt;&lt;record&gt;&lt;rec-number&gt;112&lt;/rec-number&gt;&lt;foreign-keys&gt;&lt;key app="EN" db-id="ta0rdr92ndv9x0e9sdapdzadfw29sw9r9xva" timestamp="1459821351"&gt;112&lt;/key&gt;&lt;/foreign-keys&gt;&lt;ref-type name="Journal Article"&gt;17&lt;/ref-type&gt;&lt;contributors&gt;&lt;authors&gt;&lt;author&gt;Hoskin, C. J.&lt;/author&gt;&lt;/authors&gt;&lt;/contributors&gt;&lt;titles&gt;&lt;title&gt;&lt;style face="normal" font="default" size="100%"&gt;Description, biology and conservation of a new species of Australian tree frog (Amphibia: Anura: Hylidae: &lt;/style&gt;&lt;style face="italic" font="default" size="100%"&gt;Litoria&lt;/style&gt;&lt;style face="normal" font="default" size="100%"&gt;) and an assessment of the remaining populations of &lt;/style&gt;&lt;style face="italic" font="default" size="100%"&gt;Litoria genimaculata &lt;/style&gt;&lt;style face="normal" font="default" size="100%"&gt;Horst, 1883: systematic and conservation implications of an unusual speciation event&lt;/style&gt;&lt;/title&gt;&lt;secondary-title&gt;Biological Journal of the Linnean Society&lt;/secondary-title&gt;&lt;/titles&gt;&lt;periodical&gt;&lt;full-title&gt;Biological Journal of the Linnean Society&lt;/full-title&gt;&lt;/periodical&gt;&lt;pages&gt;549-563&lt;/pages&gt;&lt;volume&gt;91&lt;/volume&gt;&lt;dates&gt;&lt;year&gt;2007&lt;/year&gt;&lt;/dates&gt;&lt;urls&gt;&lt;/urls&gt;&lt;/record&gt;&lt;/Cite&gt;&lt;/EndNote&gt;</w:instrText>
      </w:r>
      <w:r w:rsidR="005D62B2">
        <w:rPr>
          <w:rFonts w:ascii="Arial" w:hAnsi="Arial" w:cs="Arial"/>
          <w:sz w:val="22"/>
          <w:szCs w:val="22"/>
        </w:rPr>
        <w:fldChar w:fldCharType="separate"/>
      </w:r>
      <w:r w:rsidR="005D62B2">
        <w:rPr>
          <w:rFonts w:ascii="Arial" w:hAnsi="Arial" w:cs="Arial"/>
          <w:noProof/>
          <w:sz w:val="22"/>
          <w:szCs w:val="22"/>
        </w:rPr>
        <w:t>(</w:t>
      </w:r>
      <w:hyperlink w:anchor="_ENREF_1" w:tooltip="Hoskin, 2007 #112" w:history="1">
        <w:r w:rsidR="005D62B2">
          <w:rPr>
            <w:rFonts w:ascii="Arial" w:hAnsi="Arial" w:cs="Arial"/>
            <w:noProof/>
            <w:sz w:val="22"/>
            <w:szCs w:val="22"/>
          </w:rPr>
          <w:t>Hoskin 2007</w:t>
        </w:r>
      </w:hyperlink>
      <w:r w:rsidR="005D62B2">
        <w:rPr>
          <w:rFonts w:ascii="Arial" w:hAnsi="Arial" w:cs="Arial"/>
          <w:noProof/>
          <w:sz w:val="22"/>
          <w:szCs w:val="22"/>
        </w:rPr>
        <w:t>)</w:t>
      </w:r>
      <w:r w:rsidR="005D62B2">
        <w:rPr>
          <w:rFonts w:ascii="Arial" w:hAnsi="Arial" w:cs="Arial"/>
          <w:sz w:val="22"/>
          <w:szCs w:val="22"/>
        </w:rPr>
        <w:fldChar w:fldCharType="end"/>
      </w:r>
      <w:r w:rsidRPr="00CF21B8">
        <w:rPr>
          <w:rFonts w:ascii="Arial" w:hAnsi="Arial" w:cs="Arial"/>
          <w:sz w:val="22"/>
          <w:szCs w:val="22"/>
        </w:rPr>
        <w:t xml:space="preserve">. </w:t>
      </w:r>
      <w:r w:rsidR="005D62B2">
        <w:rPr>
          <w:rFonts w:ascii="Arial" w:hAnsi="Arial" w:cs="Arial"/>
          <w:sz w:val="22"/>
          <w:szCs w:val="22"/>
        </w:rPr>
        <w:t>T</w:t>
      </w:r>
      <w:r w:rsidRPr="00CF21B8">
        <w:rPr>
          <w:rFonts w:ascii="Arial" w:hAnsi="Arial" w:cs="Arial"/>
          <w:sz w:val="22"/>
          <w:szCs w:val="22"/>
        </w:rPr>
        <w:t>hese</w:t>
      </w:r>
      <w:r w:rsidR="005D62B2">
        <w:rPr>
          <w:rFonts w:ascii="Arial" w:hAnsi="Arial" w:cs="Arial"/>
          <w:sz w:val="22"/>
          <w:szCs w:val="22"/>
        </w:rPr>
        <w:t xml:space="preserve"> </w:t>
      </w:r>
      <w:r w:rsidRPr="00CF21B8">
        <w:rPr>
          <w:rFonts w:ascii="Arial" w:hAnsi="Arial" w:cs="Arial"/>
          <w:sz w:val="22"/>
          <w:szCs w:val="22"/>
        </w:rPr>
        <w:t>threats are likely to cause the species to decline in the future.</w:t>
      </w:r>
    </w:p>
    <w:p w14:paraId="503AAA73" w14:textId="77777777" w:rsidR="009E1DD6" w:rsidRDefault="009E1DD6">
      <w:pPr>
        <w:rPr>
          <w:rFonts w:ascii="Arial" w:eastAsiaTheme="minorHAnsi" w:hAnsi="Arial" w:cs="Arial"/>
          <w:sz w:val="22"/>
          <w:szCs w:val="22"/>
        </w:rPr>
      </w:pPr>
    </w:p>
    <w:p w14:paraId="75A9EAF2" w14:textId="77777777" w:rsidR="005D62B2" w:rsidRDefault="005D62B2" w:rsidP="005D62B2">
      <w:pPr>
        <w:spacing w:after="360"/>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343735B8" w14:textId="77777777" w:rsidTr="005D62B2">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12A738B5"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5087683A" w14:textId="77777777" w:rsidTr="005D62B2">
        <w:trPr>
          <w:trHeight w:val="524"/>
        </w:trPr>
        <w:tc>
          <w:tcPr>
            <w:tcW w:w="3416" w:type="dxa"/>
            <w:tcBorders>
              <w:top w:val="nil"/>
              <w:left w:val="single" w:sz="4" w:space="0" w:color="auto"/>
              <w:bottom w:val="nil"/>
              <w:right w:val="nil"/>
            </w:tcBorders>
          </w:tcPr>
          <w:p w14:paraId="4514B600"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696F5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8640824"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20991E8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2D34E587"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15646A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5E07F7B"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57AB1EF" w14:textId="77777777" w:rsidTr="005D62B2">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5B64B0A"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6D69B3E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B273C60"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B43DCCE"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F091BA0" w14:textId="77777777" w:rsidR="003F4D21" w:rsidRDefault="003F4D21" w:rsidP="003F4D21">
      <w:pPr>
        <w:rPr>
          <w:rFonts w:ascii="Arial" w:hAnsi="Arial"/>
          <w:sz w:val="22"/>
        </w:rPr>
      </w:pPr>
    </w:p>
    <w:p w14:paraId="1B75C86E" w14:textId="77777777" w:rsidR="003F4D21" w:rsidRPr="003B006A" w:rsidRDefault="003F4D21" w:rsidP="003F4D21">
      <w:pPr>
        <w:rPr>
          <w:rFonts w:ascii="Arial" w:hAnsi="Arial"/>
          <w:sz w:val="22"/>
        </w:rPr>
      </w:pPr>
      <w:r w:rsidRPr="009975EA">
        <w:rPr>
          <w:rFonts w:ascii="Arial" w:hAnsi="Arial"/>
          <w:b/>
          <w:sz w:val="22"/>
        </w:rPr>
        <w:t>Evidence</w:t>
      </w:r>
      <w:r>
        <w:rPr>
          <w:rFonts w:ascii="Arial" w:hAnsi="Arial"/>
          <w:b/>
          <w:sz w:val="22"/>
        </w:rPr>
        <w:t>:</w:t>
      </w:r>
    </w:p>
    <w:p w14:paraId="1096EED1" w14:textId="77777777" w:rsidR="003F4D21" w:rsidRDefault="003F4D21" w:rsidP="003F4D21">
      <w:pPr>
        <w:rPr>
          <w:rFonts w:ascii="Arial" w:hAnsi="Arial" w:cs="Arial"/>
          <w:sz w:val="22"/>
          <w:szCs w:val="22"/>
        </w:rPr>
      </w:pPr>
    </w:p>
    <w:p w14:paraId="09548D03" w14:textId="77777777" w:rsidR="002600A4" w:rsidRDefault="005D62B2" w:rsidP="002600A4">
      <w:pPr>
        <w:rPr>
          <w:rFonts w:ascii="Arial" w:hAnsi="Arial" w:cs="Arial"/>
          <w:sz w:val="22"/>
          <w:szCs w:val="22"/>
        </w:rPr>
      </w:pPr>
      <w:r w:rsidRPr="00CF21B8">
        <w:rPr>
          <w:rFonts w:ascii="Arial" w:hAnsi="Arial" w:cs="Arial"/>
          <w:sz w:val="22"/>
          <w:szCs w:val="22"/>
        </w:rPr>
        <w:t xml:space="preserve">The total number of mature individuals of the Kuranda </w:t>
      </w:r>
      <w:r>
        <w:rPr>
          <w:rFonts w:ascii="Arial" w:hAnsi="Arial" w:cs="Arial"/>
          <w:sz w:val="22"/>
          <w:szCs w:val="22"/>
        </w:rPr>
        <w:t>t</w:t>
      </w:r>
      <w:r w:rsidRPr="00CF21B8">
        <w:rPr>
          <w:rFonts w:ascii="Arial" w:hAnsi="Arial" w:cs="Arial"/>
          <w:sz w:val="22"/>
          <w:szCs w:val="22"/>
        </w:rPr>
        <w:t xml:space="preserve">ree </w:t>
      </w:r>
      <w:r>
        <w:rPr>
          <w:rFonts w:ascii="Arial" w:hAnsi="Arial" w:cs="Arial"/>
          <w:sz w:val="22"/>
          <w:szCs w:val="22"/>
        </w:rPr>
        <w:t>f</w:t>
      </w:r>
      <w:r w:rsidRPr="00CF21B8">
        <w:rPr>
          <w:rFonts w:ascii="Arial" w:hAnsi="Arial" w:cs="Arial"/>
          <w:sz w:val="22"/>
          <w:szCs w:val="22"/>
        </w:rPr>
        <w:t>rog is estimated to be</w:t>
      </w:r>
      <w:r>
        <w:rPr>
          <w:rFonts w:ascii="Arial" w:hAnsi="Arial" w:cs="Arial"/>
          <w:sz w:val="22"/>
          <w:szCs w:val="22"/>
        </w:rPr>
        <w:t xml:space="preserve"> </w:t>
      </w:r>
      <w:r w:rsidRPr="00CF21B8">
        <w:rPr>
          <w:rFonts w:ascii="Arial" w:hAnsi="Arial" w:cs="Arial"/>
          <w:sz w:val="22"/>
          <w:szCs w:val="22"/>
        </w:rPr>
        <w:t>approximately 700 (Hoskin, pers. comm., 2009)</w:t>
      </w:r>
      <w:r>
        <w:rPr>
          <w:rFonts w:ascii="Arial" w:hAnsi="Arial" w:cs="Arial"/>
          <w:sz w:val="22"/>
          <w:szCs w:val="22"/>
        </w:rPr>
        <w:t xml:space="preserve"> which is low</w:t>
      </w:r>
      <w:r w:rsidRPr="00CF21B8">
        <w:rPr>
          <w:rFonts w:ascii="Arial" w:hAnsi="Arial" w:cs="Arial"/>
          <w:sz w:val="22"/>
          <w:szCs w:val="22"/>
        </w:rPr>
        <w:t>.</w:t>
      </w:r>
    </w:p>
    <w:p w14:paraId="0BB271B4" w14:textId="77777777" w:rsidR="005D62B2" w:rsidRDefault="005D62B2" w:rsidP="002600A4">
      <w:pPr>
        <w:rPr>
          <w:rFonts w:ascii="Arial" w:eastAsiaTheme="minorHAnsi" w:hAnsi="Arial" w:cs="Arial"/>
          <w:sz w:val="22"/>
          <w:szCs w:val="22"/>
        </w:rPr>
      </w:pPr>
    </w:p>
    <w:p w14:paraId="57C0B00D" w14:textId="77777777" w:rsidR="002600A4" w:rsidRDefault="002600A4" w:rsidP="002600A4">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5D62B2">
        <w:rPr>
          <w:rFonts w:ascii="Arial" w:hAnsi="Arial" w:cs="Arial"/>
          <w:b/>
          <w:bCs/>
          <w:sz w:val="22"/>
          <w:szCs w:val="22"/>
        </w:rPr>
        <w:t xml:space="preserve">eligible for listing </w:t>
      </w:r>
      <w:r w:rsidR="005D62B2" w:rsidRPr="005D62B2">
        <w:rPr>
          <w:rFonts w:ascii="Arial" w:hAnsi="Arial" w:cs="Arial"/>
          <w:b/>
          <w:bCs/>
          <w:sz w:val="22"/>
          <w:szCs w:val="22"/>
        </w:rPr>
        <w:t xml:space="preserve">as </w:t>
      </w:r>
      <w:r w:rsidR="005D62B2">
        <w:rPr>
          <w:rFonts w:ascii="Arial" w:hAnsi="Arial" w:cs="Arial"/>
          <w:b/>
          <w:bCs/>
          <w:sz w:val="22"/>
          <w:szCs w:val="22"/>
        </w:rPr>
        <w:t xml:space="preserve">Vulnerable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162EBC44"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8134261"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19F93281"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1B7DEE07" w14:textId="77777777" w:rsidTr="003F4D21">
        <w:trPr>
          <w:trHeight w:val="439"/>
        </w:trPr>
        <w:tc>
          <w:tcPr>
            <w:tcW w:w="3510" w:type="dxa"/>
            <w:tcBorders>
              <w:top w:val="nil"/>
              <w:left w:val="single" w:sz="4" w:space="0" w:color="auto"/>
              <w:bottom w:val="nil"/>
              <w:right w:val="nil"/>
            </w:tcBorders>
          </w:tcPr>
          <w:p w14:paraId="65E62999"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49D6D2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51613AB1"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A1571B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3B76187"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6D2543C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9A6B516"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668E2B36"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49213EA3"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1B6CC09E"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626393A"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36E3903"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71CB205" w14:textId="77777777" w:rsidR="003F4D21" w:rsidRDefault="003F4D21" w:rsidP="003F4D21">
      <w:pPr>
        <w:rPr>
          <w:rFonts w:ascii="Arial" w:hAnsi="Arial"/>
          <w:b/>
          <w:sz w:val="22"/>
        </w:rPr>
      </w:pPr>
    </w:p>
    <w:p w14:paraId="22E6703D"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7D6CA8E7" w14:textId="77777777" w:rsidR="003F4D21" w:rsidRDefault="003F4D21" w:rsidP="003F4D21">
      <w:pPr>
        <w:rPr>
          <w:rFonts w:ascii="Arial" w:hAnsi="Arial"/>
          <w:b/>
          <w:sz w:val="22"/>
        </w:rPr>
      </w:pPr>
    </w:p>
    <w:p w14:paraId="4C989077"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sidRPr="00516094">
        <w:rPr>
          <w:rFonts w:ascii="Arial" w:hAnsi="Arial" w:cs="Arial"/>
          <w:b/>
          <w:sz w:val="22"/>
          <w:szCs w:val="22"/>
        </w:rPr>
        <w:t xml:space="preserve">insufficient </w:t>
      </w:r>
      <w:r w:rsidRPr="00516094">
        <w:rPr>
          <w:rFonts w:ascii="Arial" w:hAnsi="Arial" w:cs="Arial"/>
          <w:b/>
          <w:sz w:val="22"/>
          <w:szCs w:val="22"/>
        </w:rPr>
        <w:t>data</w:t>
      </w:r>
      <w:r>
        <w:rPr>
          <w:rFonts w:ascii="Arial" w:hAnsi="Arial" w:cs="Arial"/>
          <w:sz w:val="22"/>
          <w:szCs w:val="22"/>
        </w:rPr>
        <w:t xml:space="preserve">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13EB0A76"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3AFD138E" w14:textId="77777777" w:rsidR="00615CF6" w:rsidRPr="00CD657E" w:rsidRDefault="00615CF6" w:rsidP="00615CF6">
      <w:pPr>
        <w:pStyle w:val="CAheading"/>
      </w:pPr>
      <w:r w:rsidRPr="00F328C0">
        <w:t>Recovery Plan</w:t>
      </w:r>
    </w:p>
    <w:p w14:paraId="19E3FB64"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2E9FD963" w14:textId="45637E23" w:rsidR="00203C1F" w:rsidRDefault="00203C1F" w:rsidP="00203C1F">
      <w:pPr>
        <w:pStyle w:val="CAheadingintext"/>
      </w:pPr>
      <w:r>
        <w:t>Conservation and Management priorities</w:t>
      </w:r>
    </w:p>
    <w:p w14:paraId="78742903" w14:textId="77777777" w:rsidR="00203C1F" w:rsidRPr="00AA5591" w:rsidRDefault="00203C1F" w:rsidP="00203C1F">
      <w:pPr>
        <w:pStyle w:val="text"/>
      </w:pPr>
      <w:r w:rsidRPr="00AA5591">
        <w:t>Disease</w:t>
      </w:r>
    </w:p>
    <w:p w14:paraId="1B564111" w14:textId="77777777" w:rsidR="00203C1F" w:rsidRDefault="00203C1F" w:rsidP="00F03C7D">
      <w:pPr>
        <w:pStyle w:val="CAbulletmajor"/>
      </w:pPr>
      <w:r>
        <w:t xml:space="preserve">Minimise the spread </w:t>
      </w:r>
      <w:r w:rsidRPr="001F22DB">
        <w:t xml:space="preserve">of the chytrid fungus </w:t>
      </w:r>
      <w:r>
        <w:t>by i</w:t>
      </w:r>
      <w:r w:rsidRPr="001F22DB">
        <w:t>mplement</w:t>
      </w:r>
      <w:r>
        <w:t>ing</w:t>
      </w:r>
      <w:r w:rsidRPr="001F22DB">
        <w:t xml:space="preserve"> suitable hygiene protocols (Murray 2011) to protect priority populations </w:t>
      </w:r>
      <w:r>
        <w:t xml:space="preserve">as described in the </w:t>
      </w:r>
      <w:r w:rsidRPr="00F03C7D">
        <w:t>Threat abatement plan for</w:t>
      </w:r>
      <w:r>
        <w:t xml:space="preserve"> </w:t>
      </w:r>
      <w:r w:rsidRPr="00F03C7D">
        <w:t>infection of amphibians with chytrid fungus resulting in chytridiomycosis</w:t>
      </w:r>
      <w:r w:rsidRPr="001F22DB">
        <w:t xml:space="preserve"> (D</w:t>
      </w:r>
      <w:r>
        <w:t>epartment of the Environment and Energy</w:t>
      </w:r>
      <w:r w:rsidRPr="001F22DB">
        <w:t xml:space="preserve"> 2016).</w:t>
      </w:r>
    </w:p>
    <w:p w14:paraId="009751DC" w14:textId="77777777" w:rsidR="00573F5E" w:rsidRPr="00573F5E" w:rsidRDefault="00573F5E" w:rsidP="00573F5E">
      <w:pPr>
        <w:pStyle w:val="ListBullet"/>
        <w:rPr>
          <w:rFonts w:ascii="Arial" w:hAnsi="Arial" w:cs="Arial"/>
          <w:sz w:val="22"/>
          <w:szCs w:val="22"/>
        </w:rPr>
      </w:pPr>
      <w:r w:rsidRPr="00573F5E">
        <w:rPr>
          <w:rFonts w:ascii="Arial" w:hAnsi="Arial" w:cs="Arial"/>
          <w:sz w:val="22"/>
          <w:szCs w:val="22"/>
        </w:rPr>
        <w:t>Provide disease identification and prevention protocols (methods of handling, diagnostic keys, etc.) to researchers and land managers for use in the field.</w:t>
      </w:r>
    </w:p>
    <w:p w14:paraId="079ABA5A" w14:textId="77777777" w:rsidR="00573F5E" w:rsidRPr="00573F5E" w:rsidRDefault="00573F5E" w:rsidP="00573F5E">
      <w:pPr>
        <w:pStyle w:val="CAbulletmajor"/>
        <w:numPr>
          <w:ilvl w:val="0"/>
          <w:numId w:val="0"/>
        </w:numPr>
        <w:ind w:left="786"/>
      </w:pPr>
    </w:p>
    <w:p w14:paraId="14EAD005" w14:textId="247266C4" w:rsidR="00203C1F" w:rsidRDefault="00203C1F" w:rsidP="00203C1F">
      <w:pPr>
        <w:pStyle w:val="text"/>
      </w:pPr>
      <w:r>
        <w:t>Habitat de</w:t>
      </w:r>
      <w:r w:rsidR="0016406F">
        <w:t>gradation</w:t>
      </w:r>
    </w:p>
    <w:p w14:paraId="539FE9E3" w14:textId="045E814A" w:rsidR="00203C1F" w:rsidRDefault="00203C1F" w:rsidP="00F03C7D">
      <w:pPr>
        <w:pStyle w:val="CAbulletmajor"/>
      </w:pPr>
      <w:r>
        <w:t>Extend the area of protected habitat to include the entire distribution of the large</w:t>
      </w:r>
      <w:r w:rsidR="0016406F">
        <w:t>s</w:t>
      </w:r>
      <w:r>
        <w:t>t breeding aggregation</w:t>
      </w:r>
      <w:r w:rsidR="0016406F">
        <w:t>.</w:t>
      </w:r>
    </w:p>
    <w:p w14:paraId="0F3B185A" w14:textId="5FB28E20" w:rsidR="00203C1F" w:rsidRDefault="00203C1F" w:rsidP="00F03C7D">
      <w:pPr>
        <w:pStyle w:val="CAbulletmajor"/>
      </w:pPr>
      <w:r>
        <w:t xml:space="preserve">Identify </w:t>
      </w:r>
      <w:r w:rsidR="0016406F">
        <w:t xml:space="preserve">additional </w:t>
      </w:r>
      <w:r>
        <w:t>priority populations of high conservation value, such as key breeding aggregations</w:t>
      </w:r>
      <w:r w:rsidR="0016406F">
        <w:t xml:space="preserve"> and m</w:t>
      </w:r>
      <w:r w:rsidR="0016406F" w:rsidRPr="001F22DB">
        <w:t xml:space="preserve">anage </w:t>
      </w:r>
      <w:r w:rsidR="0016406F">
        <w:t xml:space="preserve">these </w:t>
      </w:r>
      <w:r w:rsidR="0016406F" w:rsidRPr="001F22DB">
        <w:t xml:space="preserve">priority sites to reduce the impacts of habitat destruction by </w:t>
      </w:r>
      <w:r w:rsidR="0016406F">
        <w:t>residential development and invasive species</w:t>
      </w:r>
      <w:r>
        <w:t>.</w:t>
      </w:r>
      <w:r w:rsidR="0016406F">
        <w:t xml:space="preserve"> Relevant measures may include fencing, signage etc.</w:t>
      </w:r>
    </w:p>
    <w:p w14:paraId="5982E486" w14:textId="012E1399" w:rsidR="00203C1F" w:rsidRPr="00AA5591" w:rsidRDefault="00203C1F" w:rsidP="00203C1F">
      <w:pPr>
        <w:pStyle w:val="text"/>
      </w:pPr>
      <w:r w:rsidRPr="00AA5591">
        <w:t>Invasive species</w:t>
      </w:r>
    </w:p>
    <w:p w14:paraId="62C014BE" w14:textId="77777777" w:rsidR="00203C1F" w:rsidRPr="00F03C7D" w:rsidRDefault="00203C1F" w:rsidP="00F03C7D">
      <w:pPr>
        <w:pStyle w:val="CAbulletmajor"/>
      </w:pPr>
      <w:r w:rsidRPr="008A5AAE">
        <w:t>Minimise the spread of yellow crazy ants and manage their impacts by implementing an eradication program based on baiting at critical stages of the ants life cycle, as outline on the Wet Tropics Management Authority website (Wet Tropics Management Authority 2016).</w:t>
      </w:r>
      <w:r w:rsidRPr="00F03C7D">
        <w:t xml:space="preserve"> </w:t>
      </w:r>
    </w:p>
    <w:p w14:paraId="7DE898CF" w14:textId="77777777" w:rsidR="00203C1F" w:rsidRDefault="00203C1F" w:rsidP="00203C1F">
      <w:pPr>
        <w:pStyle w:val="CAbulletmajor"/>
        <w:numPr>
          <w:ilvl w:val="0"/>
          <w:numId w:val="0"/>
        </w:numPr>
        <w:ind w:left="357" w:hanging="357"/>
      </w:pPr>
      <w:r>
        <w:t>Stakeholder Engagement</w:t>
      </w:r>
    </w:p>
    <w:p w14:paraId="5F3B2A98" w14:textId="13C81936" w:rsidR="00203C1F" w:rsidRDefault="00203C1F" w:rsidP="00F03C7D">
      <w:pPr>
        <w:pStyle w:val="CAbulletmajor"/>
      </w:pPr>
      <w:r w:rsidRPr="00751DE8">
        <w:t>En</w:t>
      </w:r>
      <w:r>
        <w:t>courage</w:t>
      </w:r>
      <w:r w:rsidRPr="00751DE8">
        <w:t xml:space="preserve"> ongoing and effective coordination of state-wide action to support conservation of the </w:t>
      </w:r>
      <w:r>
        <w:t xml:space="preserve">Kuranda tree frog, including eradication programs for invasive species. </w:t>
      </w:r>
    </w:p>
    <w:p w14:paraId="7BDDEA8C" w14:textId="77777777" w:rsidR="00203C1F" w:rsidRDefault="00203C1F" w:rsidP="00F03C7D">
      <w:pPr>
        <w:pStyle w:val="CAbulletmajor"/>
      </w:pPr>
      <w:r w:rsidRPr="00A17899">
        <w:t>Provide input to Wet Tropics Management Authority environmental codes of practice with land management agencies (fire, water infrastructure, transport and public utility, mining and quarrying, defence and grazing)</w:t>
      </w:r>
      <w:r>
        <w:t xml:space="preserve"> to ensure conservation and management actions are compatible with amphibian requirements</w:t>
      </w:r>
      <w:r w:rsidRPr="00A17899">
        <w:t xml:space="preserve">. </w:t>
      </w:r>
    </w:p>
    <w:p w14:paraId="0B7BFB31" w14:textId="77777777" w:rsidR="00203C1F" w:rsidRPr="00A17899" w:rsidRDefault="00203C1F" w:rsidP="00F03C7D">
      <w:pPr>
        <w:pStyle w:val="CAbulletmajor"/>
      </w:pPr>
      <w:r w:rsidRPr="00A17899">
        <w:t xml:space="preserve">Provide advice on </w:t>
      </w:r>
      <w:r>
        <w:t xml:space="preserve">Queensland </w:t>
      </w:r>
      <w:r w:rsidRPr="00A17899">
        <w:t>D</w:t>
      </w:r>
      <w:r>
        <w:t>epartment of Natural Resources and Mines</w:t>
      </w:r>
      <w:r w:rsidRPr="00A17899">
        <w:t xml:space="preserve"> water management issues and programs including: </w:t>
      </w:r>
    </w:p>
    <w:p w14:paraId="2E6043DE" w14:textId="77777777" w:rsidR="00203C1F" w:rsidRPr="00A17899" w:rsidRDefault="00203C1F" w:rsidP="00203C1F">
      <w:pPr>
        <w:pStyle w:val="CAbulletminor"/>
        <w:numPr>
          <w:ilvl w:val="1"/>
          <w:numId w:val="29"/>
        </w:numPr>
        <w:rPr>
          <w:lang w:eastAsia="en-AU"/>
        </w:rPr>
      </w:pPr>
      <w:r w:rsidRPr="00A17899">
        <w:rPr>
          <w:lang w:eastAsia="en-AU"/>
        </w:rPr>
        <w:t xml:space="preserve">domestic extraction of water, </w:t>
      </w:r>
    </w:p>
    <w:p w14:paraId="3E1876E9" w14:textId="77777777" w:rsidR="00203C1F" w:rsidRPr="00A17899" w:rsidRDefault="00203C1F" w:rsidP="00203C1F">
      <w:pPr>
        <w:pStyle w:val="CAbulletminor"/>
        <w:numPr>
          <w:ilvl w:val="1"/>
          <w:numId w:val="29"/>
        </w:numPr>
        <w:rPr>
          <w:lang w:eastAsia="en-AU"/>
        </w:rPr>
      </w:pPr>
      <w:r w:rsidRPr="00A17899">
        <w:rPr>
          <w:lang w:eastAsia="en-AU"/>
        </w:rPr>
        <w:t xml:space="preserve">water extraction policy/usage through the Water Allocation Management Program, </w:t>
      </w:r>
    </w:p>
    <w:p w14:paraId="4B96ABA0" w14:textId="77777777" w:rsidR="00203C1F" w:rsidRPr="00A17899" w:rsidRDefault="00203C1F" w:rsidP="00203C1F">
      <w:pPr>
        <w:pStyle w:val="CAbulletminor"/>
        <w:numPr>
          <w:ilvl w:val="1"/>
          <w:numId w:val="29"/>
        </w:numPr>
        <w:rPr>
          <w:lang w:eastAsia="en-AU"/>
        </w:rPr>
      </w:pPr>
      <w:r w:rsidRPr="00A17899">
        <w:rPr>
          <w:lang w:eastAsia="en-AU"/>
        </w:rPr>
        <w:t xml:space="preserve">impact of ground water pumping, </w:t>
      </w:r>
    </w:p>
    <w:p w14:paraId="6E42F0F0" w14:textId="77777777" w:rsidR="00203C1F" w:rsidRPr="00A17899" w:rsidRDefault="00203C1F" w:rsidP="00203C1F">
      <w:pPr>
        <w:pStyle w:val="CAbulletminor"/>
        <w:numPr>
          <w:ilvl w:val="1"/>
          <w:numId w:val="29"/>
        </w:numPr>
        <w:rPr>
          <w:lang w:eastAsia="en-AU"/>
        </w:rPr>
      </w:pPr>
      <w:r w:rsidRPr="00A17899">
        <w:rPr>
          <w:lang w:eastAsia="en-AU"/>
        </w:rPr>
        <w:t>impact of water extraction on water flow, and</w:t>
      </w:r>
      <w:r>
        <w:rPr>
          <w:lang w:eastAsia="en-AU"/>
        </w:rPr>
        <w:t>;</w:t>
      </w:r>
      <w:r w:rsidRPr="00A17899">
        <w:rPr>
          <w:lang w:eastAsia="en-AU"/>
        </w:rPr>
        <w:t xml:space="preserve"> </w:t>
      </w:r>
    </w:p>
    <w:p w14:paraId="192222E6" w14:textId="77777777" w:rsidR="00203C1F" w:rsidRPr="00A17899" w:rsidRDefault="00203C1F" w:rsidP="00203C1F">
      <w:pPr>
        <w:pStyle w:val="CAbulletminor"/>
        <w:numPr>
          <w:ilvl w:val="1"/>
          <w:numId w:val="29"/>
        </w:numPr>
        <w:rPr>
          <w:lang w:eastAsia="en-AU"/>
        </w:rPr>
      </w:pPr>
      <w:r w:rsidRPr="00A17899">
        <w:rPr>
          <w:lang w:eastAsia="en-AU"/>
        </w:rPr>
        <w:t xml:space="preserve">in-stream riparian impacts including small perennial streams and seasonal streams. </w:t>
      </w:r>
    </w:p>
    <w:p w14:paraId="4DA180D5" w14:textId="77777777" w:rsidR="00203C1F" w:rsidRPr="00A17899" w:rsidRDefault="00203C1F" w:rsidP="00F03C7D">
      <w:pPr>
        <w:pStyle w:val="CAbulletmajor"/>
      </w:pPr>
      <w:r w:rsidRPr="00A17899">
        <w:t xml:space="preserve">Provide disease field protocols for researchers and land managers (handling, diagnostic keys, etc.) and advice to government </w:t>
      </w:r>
      <w:r>
        <w:t xml:space="preserve">and other relevant managers </w:t>
      </w:r>
      <w:r w:rsidRPr="00A17899">
        <w:t xml:space="preserve">on disease management and control. </w:t>
      </w:r>
    </w:p>
    <w:p w14:paraId="47D85CD2" w14:textId="77777777" w:rsidR="00203C1F" w:rsidRPr="00A17899" w:rsidRDefault="00203C1F" w:rsidP="00F03C7D">
      <w:pPr>
        <w:pStyle w:val="CAbulletmajor"/>
      </w:pPr>
      <w:r w:rsidRPr="00A17899">
        <w:t xml:space="preserve">Provide advice and information on the use of herbicides/biocides against pests and diseases in areas with threatened frogs. </w:t>
      </w:r>
    </w:p>
    <w:p w14:paraId="526DBE47" w14:textId="77777777" w:rsidR="00203C1F" w:rsidRPr="00F03C7D" w:rsidRDefault="00203C1F" w:rsidP="00F03C7D">
      <w:pPr>
        <w:pStyle w:val="CAbulletmajo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57298966" w14:textId="77777777" w:rsidR="00203C1F" w:rsidRPr="0016406F" w:rsidRDefault="00203C1F" w:rsidP="00203C1F">
      <w:pPr>
        <w:pStyle w:val="CAheadingintext"/>
      </w:pPr>
      <w:r w:rsidRPr="0016406F">
        <w:t>Survey and Monitoring priorities</w:t>
      </w:r>
    </w:p>
    <w:p w14:paraId="6F890590" w14:textId="3E3213E9" w:rsidR="00203C1F" w:rsidRPr="0016406F" w:rsidRDefault="00203C1F" w:rsidP="00203C1F">
      <w:pPr>
        <w:pStyle w:val="CAbulletmajor"/>
      </w:pPr>
      <w:r w:rsidRPr="0016406F">
        <w:t xml:space="preserve">Conduct targeted surveys throughout the range of the </w:t>
      </w:r>
      <w:r w:rsidRPr="0016406F">
        <w:rPr>
          <w:lang w:eastAsia="en-AU"/>
        </w:rPr>
        <w:t>Kuranda tree frog</w:t>
      </w:r>
      <w:r w:rsidRPr="0016406F">
        <w:t xml:space="preserve"> to better define its current distribution and abundance.</w:t>
      </w:r>
    </w:p>
    <w:p w14:paraId="76A75AA6" w14:textId="77777777" w:rsidR="00203C1F" w:rsidRPr="001170D5" w:rsidRDefault="00203C1F" w:rsidP="00203C1F">
      <w:pPr>
        <w:pStyle w:val="CAbulletmajor"/>
      </w:pPr>
      <w:r w:rsidRPr="001170D5">
        <w:t xml:space="preserve">Establish and maintain a monitoring program based on these data to: </w:t>
      </w:r>
    </w:p>
    <w:p w14:paraId="1A17DC6A" w14:textId="77777777" w:rsidR="00203C1F" w:rsidRDefault="00203C1F" w:rsidP="00203C1F">
      <w:pPr>
        <w:pStyle w:val="CAbulletminor"/>
      </w:pPr>
      <w:r w:rsidRPr="001170D5">
        <w:t>determine trends in population size and distribution, mortality and timing of life history stages;</w:t>
      </w:r>
    </w:p>
    <w:p w14:paraId="0D4D7D88" w14:textId="72AEFD23" w:rsidR="00203C1F" w:rsidRPr="001170D5" w:rsidRDefault="00203C1F" w:rsidP="00203C1F">
      <w:pPr>
        <w:pStyle w:val="CAbulletminor"/>
      </w:pPr>
      <w:r>
        <w:t>monitor hybridisation levels;</w:t>
      </w:r>
      <w:r w:rsidRPr="001170D5">
        <w:t xml:space="preserve"> and </w:t>
      </w:r>
    </w:p>
    <w:p w14:paraId="70D57B2F" w14:textId="5FEA0479" w:rsidR="00203C1F" w:rsidRPr="001170D5" w:rsidRDefault="00F03C7D" w:rsidP="00203C1F">
      <w:pPr>
        <w:pStyle w:val="CAbulletminor"/>
      </w:pPr>
      <w:r>
        <w:t>monitor</w:t>
      </w:r>
      <w:r w:rsidR="00203C1F" w:rsidRPr="001170D5">
        <w:t xml:space="preserve"> progress, including the effectiveness of management actions and the need to adapt them if necessary.</w:t>
      </w:r>
    </w:p>
    <w:p w14:paraId="48E39D6E" w14:textId="77777777" w:rsidR="00203C1F" w:rsidRPr="006A01F4" w:rsidRDefault="00203C1F" w:rsidP="00203C1F">
      <w:pPr>
        <w:pStyle w:val="CAheadingintext"/>
      </w:pPr>
      <w:r w:rsidRPr="001404C2">
        <w:t xml:space="preserve">Information </w:t>
      </w:r>
      <w:r>
        <w:t>and research</w:t>
      </w:r>
      <w:r w:rsidRPr="001404C2">
        <w:t xml:space="preserve"> </w:t>
      </w:r>
      <w:r>
        <w:t>priorities</w:t>
      </w:r>
      <w:r w:rsidRPr="0052340E">
        <w:rPr>
          <w:color w:val="0000FF"/>
        </w:rPr>
        <w:t xml:space="preserve"> </w:t>
      </w:r>
    </w:p>
    <w:p w14:paraId="5F1B5967" w14:textId="77777777" w:rsidR="00203C1F" w:rsidRPr="0046166D" w:rsidRDefault="00203C1F" w:rsidP="00203C1F">
      <w:pPr>
        <w:pStyle w:val="CAbulletmajor"/>
      </w:pPr>
      <w:r w:rsidRPr="0046166D">
        <w:t>Investigate options for linking, enhancing or establishing additional populations</w:t>
      </w:r>
      <w:r>
        <w:t>.</w:t>
      </w:r>
    </w:p>
    <w:p w14:paraId="3741B975" w14:textId="0C16F706" w:rsidR="00203C1F" w:rsidRPr="006179D8" w:rsidRDefault="00203C1F" w:rsidP="00203C1F">
      <w:pPr>
        <w:pStyle w:val="CAbulletmajor"/>
        <w:rPr>
          <w:bCs/>
          <w:lang w:eastAsia="en-AU"/>
        </w:rPr>
      </w:pPr>
      <w:r>
        <w:t xml:space="preserve">Improve understanding of the extent and impact of infection by chytrid fungus on the </w:t>
      </w:r>
      <w:r>
        <w:rPr>
          <w:lang w:eastAsia="en-AU"/>
        </w:rPr>
        <w:t>Kuranda tree frog</w:t>
      </w:r>
      <w:r w:rsidRPr="0046166D">
        <w:t xml:space="preserve"> to better inform how to apply existing or new management actions relevant to the recovery. This</w:t>
      </w:r>
      <w:r>
        <w:t xml:space="preserve"> includes knowledge on:</w:t>
      </w:r>
      <w:r w:rsidRPr="003014CA">
        <w:t xml:space="preserve"> </w:t>
      </w:r>
    </w:p>
    <w:p w14:paraId="6F748CB3" w14:textId="77777777" w:rsidR="00203C1F" w:rsidRPr="006179D8" w:rsidRDefault="00203C1F" w:rsidP="00203C1F">
      <w:pPr>
        <w:pStyle w:val="CAbulletminor"/>
        <w:rPr>
          <w:bCs/>
          <w:lang w:eastAsia="en-AU"/>
        </w:rPr>
      </w:pPr>
      <w:r w:rsidRPr="003014CA">
        <w:t xml:space="preserve">the </w:t>
      </w:r>
      <w:r>
        <w:t xml:space="preserve">different strains of the fungus; </w:t>
      </w:r>
    </w:p>
    <w:p w14:paraId="6546AF01" w14:textId="77777777" w:rsidR="00203C1F" w:rsidRPr="006179D8" w:rsidRDefault="00203C1F" w:rsidP="00203C1F">
      <w:pPr>
        <w:pStyle w:val="CAbulletminor"/>
        <w:rPr>
          <w:bCs/>
          <w:lang w:eastAsia="en-AU"/>
        </w:rPr>
      </w:pPr>
      <w:r>
        <w:t xml:space="preserve">levels of virulence; </w:t>
      </w:r>
    </w:p>
    <w:p w14:paraId="63B49C7E" w14:textId="77777777" w:rsidR="00203C1F" w:rsidRPr="006179D8" w:rsidRDefault="00203C1F" w:rsidP="00203C1F">
      <w:pPr>
        <w:pStyle w:val="CAbulletminor"/>
        <w:rPr>
          <w:bCs/>
          <w:lang w:eastAsia="en-AU"/>
        </w:rPr>
      </w:pPr>
      <w:r>
        <w:t xml:space="preserve">mechanisms for resistance to the disease; </w:t>
      </w:r>
    </w:p>
    <w:p w14:paraId="388794C2" w14:textId="0E5EB742" w:rsidR="00203C1F" w:rsidRPr="00F03C7D" w:rsidRDefault="00203C1F" w:rsidP="00F03C7D">
      <w:pPr>
        <w:pStyle w:val="CAbulletminor"/>
        <w:rPr>
          <w:bCs/>
          <w:lang w:eastAsia="en-AU"/>
        </w:rPr>
      </w:pPr>
      <w:r>
        <w:t xml:space="preserve">treatment options; </w:t>
      </w:r>
      <w:r w:rsidRPr="00D573F2">
        <w:t xml:space="preserve">and </w:t>
      </w:r>
    </w:p>
    <w:p w14:paraId="4462B9E8" w14:textId="77777777" w:rsidR="00203C1F" w:rsidRPr="00D573F2" w:rsidRDefault="00203C1F" w:rsidP="00203C1F">
      <w:pPr>
        <w:pStyle w:val="CAbulletminor"/>
        <w:rPr>
          <w:bCs/>
          <w:lang w:eastAsia="en-AU"/>
        </w:rPr>
      </w:pPr>
      <w:r w:rsidRPr="00D573F2">
        <w:t>the potential of other species (e.g. freshwater crayfish) to act as reservoirs or vectors for transmission of the fungus (Department of the Environment and Energy 2016).</w:t>
      </w:r>
    </w:p>
    <w:p w14:paraId="1A82D48C" w14:textId="77777777" w:rsidR="00203C1F" w:rsidRPr="001170D5" w:rsidRDefault="00203C1F" w:rsidP="00F03C7D">
      <w:pPr>
        <w:pStyle w:val="CAbulletmajor"/>
        <w:tabs>
          <w:tab w:val="clear" w:pos="786"/>
        </w:tabs>
        <w:ind w:left="851" w:hanging="425"/>
      </w:pPr>
      <w:r>
        <w:t>D</w:t>
      </w:r>
      <w:r w:rsidRPr="001170D5">
        <w:t xml:space="preserve">etermine </w:t>
      </w:r>
      <w:r>
        <w:t>the extent of the threat and the likely impacts from yellow crazy ants.</w:t>
      </w:r>
    </w:p>
    <w:p w14:paraId="2820BB7A" w14:textId="0BA37DA5" w:rsidR="00203C1F" w:rsidRDefault="00203C1F" w:rsidP="00F03C7D">
      <w:pPr>
        <w:pStyle w:val="CAbulletmajor"/>
        <w:tabs>
          <w:tab w:val="clear" w:pos="786"/>
        </w:tabs>
        <w:ind w:left="851" w:hanging="425"/>
      </w:pPr>
      <w:r w:rsidRPr="00D573F2">
        <w:t xml:space="preserve">Improve understanding of how climate change will likely impact on the </w:t>
      </w:r>
      <w:r>
        <w:t>Kuranda tree frog</w:t>
      </w:r>
      <w:r w:rsidRPr="00D573F2">
        <w:t xml:space="preserve"> due to altered temperatures, rainfall, environmental stressors and disease</w:t>
      </w:r>
      <w:r>
        <w:t xml:space="preserve"> virulence</w:t>
      </w:r>
      <w:r w:rsidRPr="00D573F2">
        <w:t>.</w:t>
      </w:r>
    </w:p>
    <w:p w14:paraId="1CB71015" w14:textId="77777777" w:rsidR="00F03C7D" w:rsidRDefault="00F03C7D" w:rsidP="00F03C7D">
      <w:pPr>
        <w:pStyle w:val="CAbulletmajor"/>
        <w:tabs>
          <w:tab w:val="clear" w:pos="786"/>
          <w:tab w:val="num" w:pos="993"/>
        </w:tabs>
        <w:ind w:left="851" w:hanging="425"/>
      </w:pPr>
      <w:r>
        <w:t>Improve understanding of husbandry methods for the species.</w:t>
      </w:r>
    </w:p>
    <w:p w14:paraId="462CC281" w14:textId="2B3165BA" w:rsidR="00F03C7D" w:rsidRPr="00761799" w:rsidRDefault="00F03C7D" w:rsidP="00F03C7D">
      <w:pPr>
        <w:pStyle w:val="CAbulletmajor"/>
        <w:tabs>
          <w:tab w:val="clear" w:pos="786"/>
          <w:tab w:val="num" w:pos="993"/>
        </w:tabs>
        <w:ind w:left="851" w:hanging="425"/>
      </w:pPr>
      <w:r>
        <w:t>Improve understanding of the impacts of environmental toxins.</w:t>
      </w:r>
    </w:p>
    <w:p w14:paraId="49A6A1CF" w14:textId="77777777" w:rsidR="00DC33E0" w:rsidRPr="00DB6870" w:rsidRDefault="00DC33E0" w:rsidP="00326919">
      <w:pPr>
        <w:pStyle w:val="Normal12pt"/>
        <w:rPr>
          <w:rFonts w:ascii="Arial" w:hAnsi="Arial" w:cs="Arial"/>
          <w:b/>
          <w:bCs/>
          <w:sz w:val="22"/>
          <w:szCs w:val="22"/>
          <w:u w:val="single"/>
        </w:rPr>
      </w:pPr>
    </w:p>
    <w:p w14:paraId="189A6AA7"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76FA4415" w14:textId="77777777" w:rsidR="002A4C94" w:rsidRPr="00DB6870" w:rsidRDefault="002A4C94" w:rsidP="00855525">
      <w:pPr>
        <w:rPr>
          <w:rFonts w:ascii="Arial" w:hAnsi="Arial" w:cs="Arial"/>
          <w:color w:val="FF0000"/>
          <w:sz w:val="22"/>
          <w:szCs w:val="22"/>
        </w:rPr>
      </w:pPr>
    </w:p>
    <w:p w14:paraId="7A12DB67" w14:textId="77777777" w:rsidR="005D62B2" w:rsidRDefault="002514DD" w:rsidP="005D62B2">
      <w:pPr>
        <w:pStyle w:val="EndNoteBibliography"/>
        <w:ind w:left="720" w:hanging="720"/>
        <w:rPr>
          <w:rFonts w:ascii="Arial" w:hAnsi="Arial" w:cs="Arial"/>
          <w:sz w:val="22"/>
          <w:szCs w:val="22"/>
        </w:rPr>
      </w:pPr>
      <w:r w:rsidRPr="0032771A">
        <w:rPr>
          <w:rFonts w:ascii="Arial" w:hAnsi="Arial" w:cs="Arial"/>
          <w:sz w:val="22"/>
          <w:szCs w:val="22"/>
        </w:rPr>
        <w:fldChar w:fldCharType="begin"/>
      </w:r>
      <w:r w:rsidR="003C481E" w:rsidRPr="0032771A">
        <w:rPr>
          <w:rFonts w:ascii="Arial" w:hAnsi="Arial" w:cs="Arial"/>
          <w:sz w:val="22"/>
          <w:szCs w:val="22"/>
        </w:rPr>
        <w:instrText xml:space="preserve"> ADDIN EN.REFLIST </w:instrText>
      </w:r>
      <w:r w:rsidRPr="0032771A">
        <w:rPr>
          <w:rFonts w:ascii="Arial" w:hAnsi="Arial" w:cs="Arial"/>
          <w:sz w:val="22"/>
          <w:szCs w:val="22"/>
        </w:rPr>
        <w:fldChar w:fldCharType="separate"/>
      </w:r>
      <w:bookmarkStart w:id="2" w:name="_ENREF_1"/>
      <w:r w:rsidR="005D62B2" w:rsidRPr="0032771A">
        <w:rPr>
          <w:rFonts w:ascii="Arial" w:hAnsi="Arial" w:cs="Arial"/>
          <w:sz w:val="22"/>
          <w:szCs w:val="22"/>
        </w:rPr>
        <w:t xml:space="preserve">Hoskin CJ (2007). Description, biology and conservation of a new species of Australian tree frog (Amphibia: Anura: Hylidae: </w:t>
      </w:r>
      <w:r w:rsidR="005D62B2" w:rsidRPr="0032771A">
        <w:rPr>
          <w:rFonts w:ascii="Arial" w:hAnsi="Arial" w:cs="Arial"/>
          <w:i/>
          <w:sz w:val="22"/>
          <w:szCs w:val="22"/>
        </w:rPr>
        <w:t>Litoria</w:t>
      </w:r>
      <w:r w:rsidR="005D62B2" w:rsidRPr="0032771A">
        <w:rPr>
          <w:rFonts w:ascii="Arial" w:hAnsi="Arial" w:cs="Arial"/>
          <w:sz w:val="22"/>
          <w:szCs w:val="22"/>
        </w:rPr>
        <w:t xml:space="preserve">) and an assessment of the remaining populations of </w:t>
      </w:r>
      <w:r w:rsidR="005D62B2" w:rsidRPr="0032771A">
        <w:rPr>
          <w:rFonts w:ascii="Arial" w:hAnsi="Arial" w:cs="Arial"/>
          <w:i/>
          <w:sz w:val="22"/>
          <w:szCs w:val="22"/>
        </w:rPr>
        <w:t xml:space="preserve">Litoria genimaculata </w:t>
      </w:r>
      <w:r w:rsidR="005D62B2" w:rsidRPr="0032771A">
        <w:rPr>
          <w:rFonts w:ascii="Arial" w:hAnsi="Arial" w:cs="Arial"/>
          <w:sz w:val="22"/>
          <w:szCs w:val="22"/>
        </w:rPr>
        <w:t xml:space="preserve">Horst, 1883: systematic and conservation implications of an unusual speciation event. </w:t>
      </w:r>
      <w:r w:rsidR="005D62B2" w:rsidRPr="0032771A">
        <w:rPr>
          <w:rFonts w:ascii="Arial" w:hAnsi="Arial" w:cs="Arial"/>
          <w:i/>
          <w:sz w:val="22"/>
          <w:szCs w:val="22"/>
        </w:rPr>
        <w:t>Biological Journal of the Linnean Society</w:t>
      </w:r>
      <w:r w:rsidR="005D62B2" w:rsidRPr="0032771A">
        <w:rPr>
          <w:rFonts w:ascii="Arial" w:hAnsi="Arial" w:cs="Arial"/>
          <w:sz w:val="22"/>
          <w:szCs w:val="22"/>
        </w:rPr>
        <w:t xml:space="preserve"> </w:t>
      </w:r>
      <w:r w:rsidR="005D62B2" w:rsidRPr="0032771A">
        <w:rPr>
          <w:rFonts w:ascii="Arial" w:hAnsi="Arial" w:cs="Arial"/>
          <w:i/>
          <w:sz w:val="22"/>
          <w:szCs w:val="22"/>
        </w:rPr>
        <w:t>91</w:t>
      </w:r>
      <w:r w:rsidR="005D62B2" w:rsidRPr="0032771A">
        <w:rPr>
          <w:rFonts w:ascii="Arial" w:hAnsi="Arial" w:cs="Arial"/>
          <w:sz w:val="22"/>
          <w:szCs w:val="22"/>
        </w:rPr>
        <w:t>,549-563.</w:t>
      </w:r>
      <w:bookmarkEnd w:id="2"/>
    </w:p>
    <w:p w14:paraId="096F6700" w14:textId="0114A003" w:rsidR="007A6116" w:rsidRPr="007A6116" w:rsidRDefault="007A6116" w:rsidP="005D62B2">
      <w:pPr>
        <w:pStyle w:val="EndNoteBibliography"/>
        <w:ind w:left="720" w:hanging="720"/>
        <w:rPr>
          <w:rFonts w:ascii="Arial" w:hAnsi="Arial" w:cs="Arial"/>
          <w:sz w:val="22"/>
          <w:szCs w:val="22"/>
        </w:rPr>
      </w:pPr>
      <w:r w:rsidRPr="007A6116">
        <w:rPr>
          <w:rFonts w:ascii="Arial" w:hAnsi="Arial" w:cs="Arial"/>
          <w:sz w:val="22"/>
          <w:szCs w:val="22"/>
        </w:rPr>
        <w:t>Hoskin, C. &amp; Hero, J.M. (2008). Rainforest Frogs of the Wet Tropics, North-east Australia. Griffith University, Gold Coast. 89p.</w:t>
      </w:r>
    </w:p>
    <w:p w14:paraId="4077EF56" w14:textId="77777777" w:rsidR="005D62B2" w:rsidRPr="0032771A" w:rsidRDefault="005D62B2" w:rsidP="005D62B2">
      <w:pPr>
        <w:pStyle w:val="EndNoteBibliography"/>
        <w:ind w:left="720" w:hanging="720"/>
        <w:rPr>
          <w:rFonts w:ascii="Arial" w:hAnsi="Arial" w:cs="Arial"/>
          <w:sz w:val="22"/>
          <w:szCs w:val="22"/>
        </w:rPr>
      </w:pPr>
      <w:bookmarkStart w:id="3" w:name="_ENREF_2"/>
      <w:r w:rsidRPr="0032771A">
        <w:rPr>
          <w:rFonts w:ascii="Arial" w:hAnsi="Arial" w:cs="Arial"/>
          <w:sz w:val="22"/>
          <w:szCs w:val="22"/>
        </w:rPr>
        <w:t>IUCN Standards and Petitions Subcommittee (2016). for Using the IUCN Red List Categories and Criteria. Version 12. In. Standards and Petitions Subcommittee</w:t>
      </w:r>
      <w:bookmarkEnd w:id="3"/>
    </w:p>
    <w:p w14:paraId="542585E4" w14:textId="77777777" w:rsidR="005D62B2" w:rsidRPr="0032771A" w:rsidRDefault="005D62B2" w:rsidP="005D62B2">
      <w:pPr>
        <w:pStyle w:val="EndNoteBibliography"/>
        <w:ind w:left="720" w:hanging="720"/>
        <w:rPr>
          <w:rFonts w:ascii="Arial" w:hAnsi="Arial" w:cs="Arial"/>
          <w:sz w:val="22"/>
          <w:szCs w:val="22"/>
        </w:rPr>
      </w:pPr>
      <w:bookmarkStart w:id="4" w:name="_ENREF_3"/>
      <w:r w:rsidRPr="0032771A">
        <w:rPr>
          <w:rFonts w:ascii="Arial" w:hAnsi="Arial" w:cs="Arial"/>
          <w:sz w:val="22"/>
          <w:szCs w:val="22"/>
        </w:rPr>
        <w:t xml:space="preserve">Lach L &amp; Hoskin C (2015). Too much to lose: yellow crazy ants in the Wet Tropics. </w:t>
      </w:r>
      <w:r w:rsidRPr="0032771A">
        <w:rPr>
          <w:rFonts w:ascii="Arial" w:hAnsi="Arial" w:cs="Arial"/>
          <w:i/>
          <w:sz w:val="22"/>
          <w:szCs w:val="22"/>
        </w:rPr>
        <w:t>Wildlife Australia</w:t>
      </w:r>
      <w:r w:rsidRPr="0032771A">
        <w:rPr>
          <w:rFonts w:ascii="Arial" w:hAnsi="Arial" w:cs="Arial"/>
          <w:sz w:val="22"/>
          <w:szCs w:val="22"/>
        </w:rPr>
        <w:t xml:space="preserve"> </w:t>
      </w:r>
      <w:r w:rsidRPr="0032771A">
        <w:rPr>
          <w:rFonts w:ascii="Arial" w:hAnsi="Arial" w:cs="Arial"/>
          <w:i/>
          <w:sz w:val="22"/>
          <w:szCs w:val="22"/>
        </w:rPr>
        <w:t>52</w:t>
      </w:r>
      <w:r w:rsidRPr="0032771A">
        <w:rPr>
          <w:rFonts w:ascii="Arial" w:hAnsi="Arial" w:cs="Arial"/>
          <w:sz w:val="22"/>
          <w:szCs w:val="22"/>
        </w:rPr>
        <w:t>,37-41.</w:t>
      </w:r>
      <w:bookmarkEnd w:id="4"/>
    </w:p>
    <w:p w14:paraId="3E8E58E4" w14:textId="77777777" w:rsidR="005D62B2" w:rsidRPr="0032771A" w:rsidRDefault="005D62B2" w:rsidP="005D62B2">
      <w:pPr>
        <w:pStyle w:val="EndNoteBibliography"/>
        <w:ind w:left="720" w:hanging="720"/>
        <w:rPr>
          <w:rFonts w:ascii="Arial" w:hAnsi="Arial" w:cs="Arial"/>
          <w:sz w:val="22"/>
          <w:szCs w:val="22"/>
        </w:rPr>
      </w:pPr>
      <w:bookmarkStart w:id="5" w:name="_ENREF_4"/>
      <w:r w:rsidRPr="0032771A">
        <w:rPr>
          <w:rFonts w:ascii="Arial" w:hAnsi="Arial" w:cs="Arial"/>
          <w:sz w:val="22"/>
          <w:szCs w:val="22"/>
        </w:rPr>
        <w:t xml:space="preserve">Morrison C, Hero JM &amp; Browning J (2004). Altitudinal variation in the age at maturity, longevity, and reproductive lifespan of anurans in subtropical Queensland. </w:t>
      </w:r>
      <w:r w:rsidRPr="0032771A">
        <w:rPr>
          <w:rFonts w:ascii="Arial" w:hAnsi="Arial" w:cs="Arial"/>
          <w:i/>
          <w:sz w:val="22"/>
          <w:szCs w:val="22"/>
        </w:rPr>
        <w:t>Herpetologica</w:t>
      </w:r>
      <w:r w:rsidRPr="0032771A">
        <w:rPr>
          <w:rFonts w:ascii="Arial" w:hAnsi="Arial" w:cs="Arial"/>
          <w:sz w:val="22"/>
          <w:szCs w:val="22"/>
        </w:rPr>
        <w:t xml:space="preserve"> </w:t>
      </w:r>
      <w:r w:rsidRPr="0032771A">
        <w:rPr>
          <w:rFonts w:ascii="Arial" w:hAnsi="Arial" w:cs="Arial"/>
          <w:i/>
          <w:sz w:val="22"/>
          <w:szCs w:val="22"/>
        </w:rPr>
        <w:t>60</w:t>
      </w:r>
      <w:r w:rsidRPr="0032771A">
        <w:rPr>
          <w:rFonts w:ascii="Arial" w:hAnsi="Arial" w:cs="Arial"/>
          <w:sz w:val="22"/>
          <w:szCs w:val="22"/>
        </w:rPr>
        <w:t>,34-44.</w:t>
      </w:r>
      <w:bookmarkEnd w:id="5"/>
    </w:p>
    <w:p w14:paraId="75F4ED3B" w14:textId="77777777" w:rsidR="00555352" w:rsidRPr="00DB6870" w:rsidRDefault="002514DD" w:rsidP="00555352">
      <w:pPr>
        <w:spacing w:after="200"/>
        <w:ind w:left="720" w:hanging="720"/>
        <w:rPr>
          <w:rFonts w:ascii="Arial" w:hAnsi="Arial" w:cs="Arial"/>
          <w:sz w:val="22"/>
          <w:szCs w:val="22"/>
        </w:rPr>
      </w:pPr>
      <w:r w:rsidRPr="0032771A">
        <w:rPr>
          <w:rFonts w:ascii="Arial" w:hAnsi="Arial" w:cs="Arial"/>
          <w:sz w:val="22"/>
          <w:szCs w:val="22"/>
        </w:rPr>
        <w:fldChar w:fldCharType="end"/>
      </w:r>
    </w:p>
    <w:p w14:paraId="503DD86F"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6FA4F8A8" w14:textId="77777777" w:rsidR="00555352" w:rsidRPr="00DB6870" w:rsidRDefault="00555352" w:rsidP="00555352">
      <w:pPr>
        <w:pStyle w:val="Normal12ptCharCharCharCharCharChar"/>
        <w:spacing w:after="0"/>
        <w:rPr>
          <w:rFonts w:ascii="Arial" w:hAnsi="Arial" w:cs="Arial"/>
          <w:b/>
          <w:sz w:val="22"/>
          <w:szCs w:val="22"/>
          <w:u w:val="single"/>
        </w:rPr>
      </w:pPr>
    </w:p>
    <w:p w14:paraId="5EE5FA40" w14:textId="77777777" w:rsidR="00516094" w:rsidRDefault="00516094" w:rsidP="00516094">
      <w:pPr>
        <w:pStyle w:val="CAreference"/>
        <w:spacing w:line="240" w:lineRule="auto"/>
        <w:ind w:left="709" w:hanging="709"/>
      </w:pPr>
      <w:r w:rsidRPr="00365ECF">
        <w:t xml:space="preserve">Department of the Environment and Energy (2016). Threat abatement plan for infection of amphibians with chytrid fungus resulting in chytridiomycosis, Commonwealth of Australia 2016. Available from: </w:t>
      </w:r>
      <w:hyperlink r:id="rId15" w:history="1">
        <w:r w:rsidRPr="00905183">
          <w:rPr>
            <w:rStyle w:val="Hyperlink"/>
          </w:rPr>
          <w:t>http://www.environment.gov.au/biodiversity/threatened/publications/tap/infection-amphibians-chytrid-fungus-resulting-chytridiomycosis-2016</w:t>
        </w:r>
      </w:hyperlink>
    </w:p>
    <w:p w14:paraId="18AB5926" w14:textId="3F8DF1AA" w:rsidR="007A00B7" w:rsidRPr="00DB6870" w:rsidRDefault="007A00B7" w:rsidP="007A00B7">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652700">
        <w:rPr>
          <w:rFonts w:ascii="Arial" w:hAnsi="Arial" w:cs="Arial"/>
          <w:i/>
          <w:sz w:val="22"/>
          <w:szCs w:val="22"/>
        </w:rPr>
        <w:t xml:space="preserve">Litoria </w:t>
      </w:r>
      <w:r>
        <w:rPr>
          <w:rFonts w:ascii="Arial" w:hAnsi="Arial" w:cs="Arial"/>
          <w:i/>
          <w:sz w:val="22"/>
          <w:szCs w:val="22"/>
        </w:rPr>
        <w:t>myola</w:t>
      </w:r>
      <w:r>
        <w:rPr>
          <w:rFonts w:ascii="Arial" w:hAnsi="Arial" w:cs="Arial"/>
          <w:sz w:val="22"/>
          <w:szCs w:val="22"/>
        </w:rPr>
        <w:t>. Unpublished report, Australian Government Department of the Environment, Canberra.</w:t>
      </w:r>
    </w:p>
    <w:p w14:paraId="26E4392C" w14:textId="77777777" w:rsidR="00CD657E" w:rsidRPr="00EB57CD" w:rsidRDefault="00EB57CD" w:rsidP="00EB57CD">
      <w:pPr>
        <w:pStyle w:val="Normal12ptCharCharCharCharCharChar"/>
        <w:ind w:left="709" w:hanging="709"/>
        <w:rPr>
          <w:rFonts w:ascii="Arial" w:hAnsi="Arial" w:cs="Arial"/>
          <w:sz w:val="22"/>
          <w:szCs w:val="22"/>
        </w:rPr>
      </w:pPr>
      <w:r w:rsidRPr="00EB57CD">
        <w:rPr>
          <w:rFonts w:ascii="Arial" w:hAnsi="Arial" w:cs="Arial"/>
          <w:sz w:val="22"/>
          <w:szCs w:val="22"/>
        </w:rPr>
        <w:t>Hoskin CJ (2009). Personal communication by email, 24 March 2009. School of Botany and</w:t>
      </w:r>
      <w:r>
        <w:rPr>
          <w:rFonts w:ascii="Arial" w:hAnsi="Arial" w:cs="Arial"/>
          <w:sz w:val="22"/>
          <w:szCs w:val="22"/>
        </w:rPr>
        <w:t xml:space="preserve"> </w:t>
      </w:r>
      <w:r w:rsidRPr="00EB57CD">
        <w:rPr>
          <w:rFonts w:ascii="Arial" w:hAnsi="Arial" w:cs="Arial"/>
          <w:sz w:val="22"/>
          <w:szCs w:val="22"/>
        </w:rPr>
        <w:t>Zoology, Australian National University, Canberra.</w:t>
      </w:r>
    </w:p>
    <w:p w14:paraId="6DBE0385" w14:textId="77777777" w:rsidR="003D62A6" w:rsidRDefault="003D62A6" w:rsidP="003D62A6">
      <w:pPr>
        <w:pStyle w:val="CAreference"/>
        <w:spacing w:line="240" w:lineRule="auto"/>
        <w:ind w:left="851" w:hanging="851"/>
      </w:pPr>
      <w:r>
        <w:t xml:space="preserve">Wet Tropics Management Authority (2016) (website). Stamp Out Yellow Crazy Ants. Viewed 2 December 2016. Available from: </w:t>
      </w:r>
      <w:hyperlink r:id="rId16" w:history="1">
        <w:r w:rsidRPr="00536306">
          <w:rPr>
            <w:rStyle w:val="Hyperlink"/>
          </w:rPr>
          <w:t>http://www.wettropics.gov.au/stamp-out-yellow-crazy-ants.html</w:t>
        </w:r>
      </w:hyperlink>
    </w:p>
    <w:p w14:paraId="1C721571" w14:textId="77777777" w:rsidR="00555352" w:rsidRPr="00DB6870" w:rsidRDefault="00555352" w:rsidP="00555352">
      <w:pPr>
        <w:pStyle w:val="Normal12ptCharCharCharCharCharChar"/>
        <w:spacing w:after="0"/>
        <w:ind w:left="720" w:hanging="720"/>
        <w:rPr>
          <w:rFonts w:ascii="Arial" w:hAnsi="Arial" w:cs="Arial"/>
          <w:sz w:val="22"/>
          <w:szCs w:val="22"/>
        </w:rPr>
      </w:pPr>
    </w:p>
    <w:p w14:paraId="5FAD5C54" w14:textId="77777777" w:rsidR="00555352" w:rsidRPr="00DB6870" w:rsidRDefault="00555352" w:rsidP="00555352">
      <w:pPr>
        <w:pStyle w:val="Normal12ptCharCharCharCharCharChar"/>
        <w:spacing w:after="0"/>
        <w:rPr>
          <w:rFonts w:ascii="Arial" w:hAnsi="Arial" w:cs="Arial"/>
          <w:b/>
          <w:sz w:val="22"/>
          <w:szCs w:val="22"/>
          <w:u w:val="single"/>
        </w:rPr>
      </w:pPr>
    </w:p>
    <w:p w14:paraId="18BBD8E9" w14:textId="77777777" w:rsidR="00BB6AE0" w:rsidRPr="00DB6870" w:rsidRDefault="00BB6AE0">
      <w:pPr>
        <w:rPr>
          <w:rFonts w:ascii="Arial" w:hAnsi="Arial" w:cs="Arial"/>
          <w:b/>
          <w:sz w:val="22"/>
          <w:szCs w:val="22"/>
          <w:u w:val="single"/>
        </w:rPr>
      </w:pPr>
      <w:r w:rsidRPr="00DB6870">
        <w:rPr>
          <w:rFonts w:ascii="Arial" w:hAnsi="Arial" w:cs="Arial"/>
          <w:b/>
          <w:sz w:val="22"/>
          <w:szCs w:val="22"/>
          <w:u w:val="single"/>
        </w:rPr>
        <w:br w:type="page"/>
      </w:r>
    </w:p>
    <w:p w14:paraId="797D26AD"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5141B85A" w14:textId="77777777" w:rsidR="00555352" w:rsidRPr="00DB6870" w:rsidRDefault="00555352" w:rsidP="00555352">
      <w:pPr>
        <w:pStyle w:val="Normal12ptCharCharCharCharCharChar"/>
        <w:spacing w:after="0"/>
        <w:rPr>
          <w:rFonts w:ascii="Arial" w:hAnsi="Arial" w:cs="Arial"/>
          <w:b/>
          <w:bCs/>
          <w:sz w:val="22"/>
          <w:szCs w:val="22"/>
          <w:u w:val="single"/>
        </w:rPr>
      </w:pPr>
    </w:p>
    <w:p w14:paraId="614A3820"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6" w:name="top"/>
      <w:r w:rsidRPr="00DB6870">
        <w:rPr>
          <w:rFonts w:ascii="Arial" w:hAnsi="Arial" w:cs="Arial"/>
          <w:bCs/>
          <w:sz w:val="22"/>
          <w:szCs w:val="22"/>
        </w:rPr>
        <w:t xml:space="preserve">Australian </w:t>
      </w:r>
      <w:bookmarkEnd w:id="6"/>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7757FEE2" w14:textId="77777777" w:rsidR="00555352" w:rsidRPr="00DB6870" w:rsidRDefault="00555352" w:rsidP="00555352">
      <w:pPr>
        <w:pStyle w:val="ListNumber"/>
        <w:numPr>
          <w:ilvl w:val="0"/>
          <w:numId w:val="0"/>
        </w:numPr>
        <w:ind w:left="360"/>
        <w:rPr>
          <w:rFonts w:ascii="Arial" w:hAnsi="Arial" w:cs="Arial"/>
          <w:sz w:val="22"/>
          <w:szCs w:val="22"/>
        </w:rPr>
      </w:pPr>
    </w:p>
    <w:p w14:paraId="05DA2D7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1E0E464F" w14:textId="77777777" w:rsidR="00555352" w:rsidRPr="00DB6870" w:rsidRDefault="00555352" w:rsidP="00555352">
      <w:pPr>
        <w:pStyle w:val="ListNumber"/>
        <w:numPr>
          <w:ilvl w:val="0"/>
          <w:numId w:val="0"/>
        </w:numPr>
        <w:ind w:left="360"/>
        <w:rPr>
          <w:rFonts w:ascii="Arial" w:hAnsi="Arial" w:cs="Arial"/>
          <w:sz w:val="22"/>
          <w:szCs w:val="22"/>
        </w:rPr>
      </w:pPr>
    </w:p>
    <w:p w14:paraId="24ABFAA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74BB83C0" w14:textId="77777777" w:rsidR="00555352" w:rsidRPr="00DB6870" w:rsidRDefault="00555352" w:rsidP="00555352">
      <w:pPr>
        <w:pStyle w:val="ListNumber"/>
        <w:numPr>
          <w:ilvl w:val="0"/>
          <w:numId w:val="0"/>
        </w:numPr>
        <w:ind w:left="360"/>
        <w:rPr>
          <w:rFonts w:ascii="Arial" w:hAnsi="Arial" w:cs="Arial"/>
          <w:sz w:val="22"/>
          <w:szCs w:val="22"/>
        </w:rPr>
      </w:pPr>
    </w:p>
    <w:p w14:paraId="58BA479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7D599351" w14:textId="77777777" w:rsidR="00555352" w:rsidRPr="00DB6870" w:rsidRDefault="00555352" w:rsidP="00555352">
      <w:pPr>
        <w:pStyle w:val="ListNumber"/>
        <w:numPr>
          <w:ilvl w:val="0"/>
          <w:numId w:val="0"/>
        </w:numPr>
        <w:ind w:left="360"/>
        <w:rPr>
          <w:rFonts w:ascii="Arial" w:hAnsi="Arial" w:cs="Arial"/>
          <w:sz w:val="22"/>
          <w:szCs w:val="22"/>
        </w:rPr>
      </w:pPr>
    </w:p>
    <w:p w14:paraId="7075895A"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68233682"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29EEF9F6"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4FF818F3"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7BE20029"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282D1597" w14:textId="77777777" w:rsidR="00555352" w:rsidRPr="00DB6870" w:rsidRDefault="00555352" w:rsidP="00555352">
      <w:pPr>
        <w:pStyle w:val="ListNumber"/>
        <w:numPr>
          <w:ilvl w:val="0"/>
          <w:numId w:val="0"/>
        </w:numPr>
        <w:rPr>
          <w:rFonts w:ascii="Arial" w:hAnsi="Arial" w:cs="Arial"/>
          <w:sz w:val="22"/>
          <w:szCs w:val="22"/>
        </w:rPr>
      </w:pPr>
    </w:p>
    <w:p w14:paraId="64A1FC86"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35618323" w14:textId="77777777" w:rsidR="00555352" w:rsidRPr="00DB6870" w:rsidRDefault="00555352" w:rsidP="00555352">
      <w:pPr>
        <w:pStyle w:val="ListNumber"/>
        <w:numPr>
          <w:ilvl w:val="0"/>
          <w:numId w:val="0"/>
        </w:numPr>
        <w:ind w:left="360"/>
        <w:rPr>
          <w:rFonts w:ascii="Arial" w:hAnsi="Arial" w:cs="Arial"/>
          <w:sz w:val="22"/>
          <w:szCs w:val="22"/>
        </w:rPr>
      </w:pPr>
    </w:p>
    <w:p w14:paraId="78F0A31D"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42AE81BA"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3BB38F84"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729597B6" w14:textId="77777777" w:rsidR="00555352" w:rsidRPr="00DB6870" w:rsidRDefault="00555352" w:rsidP="00555352">
      <w:pPr>
        <w:pStyle w:val="ListNumber"/>
        <w:numPr>
          <w:ilvl w:val="0"/>
          <w:numId w:val="0"/>
        </w:numPr>
        <w:ind w:left="360"/>
        <w:rPr>
          <w:rFonts w:ascii="Arial" w:hAnsi="Arial" w:cs="Arial"/>
          <w:sz w:val="22"/>
          <w:szCs w:val="22"/>
        </w:rPr>
      </w:pPr>
    </w:p>
    <w:p w14:paraId="6FEA1C5F"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034F6113" w14:textId="77777777" w:rsidR="00555352" w:rsidRPr="00DB6870" w:rsidRDefault="00555352" w:rsidP="00555352">
      <w:pPr>
        <w:pStyle w:val="ListNumber"/>
        <w:numPr>
          <w:ilvl w:val="0"/>
          <w:numId w:val="0"/>
        </w:numPr>
        <w:ind w:left="360"/>
        <w:rPr>
          <w:rFonts w:ascii="Arial" w:hAnsi="Arial" w:cs="Arial"/>
          <w:sz w:val="22"/>
          <w:szCs w:val="22"/>
        </w:rPr>
      </w:pPr>
    </w:p>
    <w:p w14:paraId="174BD36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52FA8E95" w14:textId="77777777" w:rsidR="00555352" w:rsidRPr="00DB6870" w:rsidRDefault="00555352" w:rsidP="00555352">
      <w:pPr>
        <w:ind w:left="360"/>
        <w:rPr>
          <w:rFonts w:ascii="Arial" w:hAnsi="Arial" w:cs="Arial"/>
          <w:sz w:val="22"/>
          <w:szCs w:val="22"/>
        </w:rPr>
      </w:pPr>
    </w:p>
    <w:p w14:paraId="713CCB62"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445365F6" w14:textId="77777777" w:rsidR="00555352" w:rsidRPr="00DB6870" w:rsidRDefault="00555352" w:rsidP="00555352">
      <w:pPr>
        <w:ind w:left="360"/>
        <w:rPr>
          <w:rFonts w:ascii="Arial" w:hAnsi="Arial" w:cs="Arial"/>
          <w:sz w:val="22"/>
          <w:szCs w:val="22"/>
        </w:rPr>
      </w:pPr>
    </w:p>
    <w:p w14:paraId="4E7B75D8"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7164B363" w14:textId="77777777" w:rsidR="00555352" w:rsidRPr="00DB6870" w:rsidRDefault="00555352" w:rsidP="00555352">
      <w:pPr>
        <w:pStyle w:val="ListNumber"/>
        <w:numPr>
          <w:ilvl w:val="0"/>
          <w:numId w:val="0"/>
        </w:numPr>
        <w:ind w:left="360"/>
        <w:rPr>
          <w:rFonts w:ascii="Arial" w:hAnsi="Arial" w:cs="Arial"/>
          <w:sz w:val="22"/>
          <w:szCs w:val="22"/>
        </w:rPr>
      </w:pPr>
    </w:p>
    <w:p w14:paraId="3F42C79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7FEFB19C"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297DB1FF"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0217A1F4" w14:textId="4668C598" w:rsidR="000E3E96" w:rsidRPr="00DB6870" w:rsidRDefault="000E3E96"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56225515"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7E26F179"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370AAFE9"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300B485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3BE35BD8" w14:textId="52C2C168" w:rsidR="005A7196" w:rsidRPr="00DB6870" w:rsidRDefault="008870DD"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DB6870"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41C9D" w14:textId="77777777" w:rsidR="00670858" w:rsidRDefault="00670858">
      <w:r>
        <w:separator/>
      </w:r>
    </w:p>
  </w:endnote>
  <w:endnote w:type="continuationSeparator" w:id="0">
    <w:p w14:paraId="4E928EE1" w14:textId="77777777" w:rsidR="00670858" w:rsidRDefault="0067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FDBE3" w14:textId="77777777" w:rsidR="00670858" w:rsidRDefault="006708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5374CC" w14:textId="77777777" w:rsidR="00670858" w:rsidRDefault="0067085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B522E" w14:textId="77777777" w:rsidR="00670858" w:rsidRDefault="00670858" w:rsidP="00F33606">
    <w:pPr>
      <w:jc w:val="center"/>
      <w:rPr>
        <w:rStyle w:val="Heading1Char"/>
        <w:rFonts w:ascii="Arial" w:hAnsi="Arial" w:cs="Arial"/>
        <w:i/>
        <w:sz w:val="18"/>
        <w:szCs w:val="18"/>
        <w:u w:val="none"/>
      </w:rPr>
    </w:pPr>
  </w:p>
  <w:p w14:paraId="534CA266" w14:textId="77777777" w:rsidR="00670858" w:rsidRPr="00156EE2" w:rsidRDefault="00670858" w:rsidP="00C05AA4">
    <w:pPr>
      <w:jc w:val="center"/>
      <w:rPr>
        <w:rStyle w:val="Heading1Char"/>
        <w:rFonts w:ascii="Arial" w:hAnsi="Arial" w:cs="Arial"/>
        <w:sz w:val="18"/>
        <w:szCs w:val="18"/>
        <w:u w:val="none"/>
      </w:rPr>
    </w:pPr>
    <w:r w:rsidRPr="008870DD">
      <w:rPr>
        <w:rStyle w:val="Heading1Char"/>
        <w:rFonts w:ascii="Arial" w:hAnsi="Arial" w:cs="Arial"/>
        <w:i/>
        <w:sz w:val="18"/>
        <w:szCs w:val="18"/>
        <w:u w:val="none"/>
      </w:rPr>
      <w:t>Litoria myola</w:t>
    </w:r>
    <w:r w:rsidRPr="008870DD">
      <w:rPr>
        <w:rStyle w:val="Heading1Char"/>
        <w:rFonts w:ascii="Arial" w:hAnsi="Arial" w:cs="Arial"/>
        <w:sz w:val="18"/>
        <w:szCs w:val="18"/>
        <w:u w:val="none"/>
      </w:rPr>
      <w:t xml:space="preserve"> (Kuranda tree frog) consultation</w:t>
    </w:r>
  </w:p>
  <w:p w14:paraId="3DFF0E47" w14:textId="77777777" w:rsidR="00670858" w:rsidRPr="00F33606" w:rsidRDefault="0067085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5C0CF2">
      <w:rPr>
        <w:rStyle w:val="PageNumber"/>
        <w:rFonts w:ascii="Arial" w:hAnsi="Arial" w:cs="Arial"/>
        <w:noProof/>
        <w:sz w:val="18"/>
        <w:szCs w:val="18"/>
      </w:rPr>
      <w:t>14</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5C0CF2">
      <w:rPr>
        <w:rStyle w:val="PageNumber"/>
        <w:rFonts w:ascii="Arial" w:hAnsi="Arial" w:cs="Arial"/>
        <w:noProof/>
        <w:sz w:val="18"/>
        <w:szCs w:val="18"/>
      </w:rPr>
      <w:t>14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6F622" w14:textId="77777777" w:rsidR="00670858" w:rsidRDefault="00670858" w:rsidP="00AE49C1">
    <w:pPr>
      <w:jc w:val="center"/>
      <w:rPr>
        <w:rStyle w:val="Heading1Char"/>
        <w:rFonts w:ascii="Arial" w:hAnsi="Arial" w:cs="Arial"/>
        <w:i/>
        <w:sz w:val="18"/>
        <w:szCs w:val="18"/>
        <w:u w:val="none"/>
      </w:rPr>
    </w:pPr>
  </w:p>
  <w:p w14:paraId="17BD4D32" w14:textId="77777777" w:rsidR="00670858" w:rsidRPr="00156EE2" w:rsidRDefault="00670858" w:rsidP="00AE49C1">
    <w:pPr>
      <w:jc w:val="center"/>
      <w:rPr>
        <w:rStyle w:val="Heading1Char"/>
        <w:rFonts w:ascii="Arial" w:hAnsi="Arial" w:cs="Arial"/>
        <w:sz w:val="18"/>
        <w:szCs w:val="18"/>
        <w:u w:val="none"/>
      </w:rPr>
    </w:pPr>
    <w:r w:rsidRPr="008870DD">
      <w:rPr>
        <w:rStyle w:val="Heading1Char"/>
        <w:rFonts w:ascii="Arial" w:hAnsi="Arial" w:cs="Arial"/>
        <w:i/>
        <w:sz w:val="18"/>
        <w:szCs w:val="18"/>
        <w:u w:val="none"/>
      </w:rPr>
      <w:t>Litoria myola</w:t>
    </w:r>
    <w:r w:rsidRPr="008870DD">
      <w:rPr>
        <w:rStyle w:val="Heading1Char"/>
        <w:rFonts w:ascii="Arial" w:hAnsi="Arial" w:cs="Arial"/>
        <w:sz w:val="18"/>
        <w:szCs w:val="18"/>
        <w:u w:val="none"/>
      </w:rPr>
      <w:t xml:space="preserve"> (Kuranda tree frog) consultation</w:t>
    </w:r>
  </w:p>
  <w:p w14:paraId="54473EA5" w14:textId="77777777" w:rsidR="00670858" w:rsidRPr="00D034DA" w:rsidRDefault="00670858"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5C0CF2">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5C0CF2">
      <w:rPr>
        <w:rStyle w:val="PageNumber"/>
        <w:rFonts w:ascii="Arial" w:hAnsi="Arial" w:cs="Arial"/>
        <w:noProof/>
        <w:sz w:val="18"/>
        <w:szCs w:val="18"/>
      </w:rPr>
      <w:t>14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75F3" w14:textId="77777777" w:rsidR="00670858" w:rsidRDefault="00670858">
      <w:r>
        <w:separator/>
      </w:r>
    </w:p>
  </w:footnote>
  <w:footnote w:type="continuationSeparator" w:id="0">
    <w:p w14:paraId="07B1E5A8" w14:textId="77777777" w:rsidR="00670858" w:rsidRDefault="00670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4EC87" w14:textId="77777777" w:rsidR="005C0CF2" w:rsidRDefault="005C0C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70531" w14:textId="77777777" w:rsidR="00670858" w:rsidRPr="006115F8" w:rsidRDefault="0067085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9244F" w14:textId="77777777" w:rsidR="00670858" w:rsidRDefault="00670858">
    <w:pPr>
      <w:pStyle w:val="Heading2"/>
      <w:jc w:val="center"/>
      <w:rPr>
        <w:color w:val="808080"/>
        <w:sz w:val="32"/>
      </w:rPr>
    </w:pPr>
    <w:r w:rsidRPr="003F5EA3">
      <w:rPr>
        <w:noProof/>
        <w:color w:val="808080"/>
        <w:sz w:val="32"/>
        <w:lang w:eastAsia="en-AU"/>
      </w:rPr>
      <w:drawing>
        <wp:inline distT="0" distB="0" distL="0" distR="0" wp14:anchorId="5AA4D6F1" wp14:editId="00D6BA1D">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5E6465E"/>
    <w:multiLevelType w:val="hybridMultilevel"/>
    <w:tmpl w:val="9BE888BA"/>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start w:val="1"/>
      <w:numFmt w:val="bullet"/>
      <w:lvlText w:val=""/>
      <w:lvlJc w:val="left"/>
      <w:pPr>
        <w:ind w:left="2517" w:hanging="360"/>
      </w:pPr>
      <w:rPr>
        <w:rFonts w:ascii="Wingdings" w:hAnsi="Wingdings" w:hint="default"/>
      </w:rPr>
    </w:lvl>
    <w:lvl w:ilvl="3" w:tplc="0C090001">
      <w:start w:val="1"/>
      <w:numFmt w:val="bullet"/>
      <w:lvlText w:val=""/>
      <w:lvlJc w:val="left"/>
      <w:pPr>
        <w:ind w:left="3237" w:hanging="360"/>
      </w:pPr>
      <w:rPr>
        <w:rFonts w:ascii="Symbol" w:hAnsi="Symbol" w:hint="default"/>
      </w:rPr>
    </w:lvl>
    <w:lvl w:ilvl="4" w:tplc="0C090003">
      <w:start w:val="1"/>
      <w:numFmt w:val="bullet"/>
      <w:lvlText w:val="o"/>
      <w:lvlJc w:val="left"/>
      <w:pPr>
        <w:ind w:left="3957" w:hanging="360"/>
      </w:pPr>
      <w:rPr>
        <w:rFonts w:ascii="Courier New" w:hAnsi="Courier New" w:cs="Courier New" w:hint="default"/>
      </w:rPr>
    </w:lvl>
    <w:lvl w:ilvl="5" w:tplc="0C090005">
      <w:start w:val="1"/>
      <w:numFmt w:val="bullet"/>
      <w:lvlText w:val=""/>
      <w:lvlJc w:val="left"/>
      <w:pPr>
        <w:ind w:left="4677" w:hanging="360"/>
      </w:pPr>
      <w:rPr>
        <w:rFonts w:ascii="Wingdings" w:hAnsi="Wingdings" w:hint="default"/>
      </w:rPr>
    </w:lvl>
    <w:lvl w:ilvl="6" w:tplc="0C090001">
      <w:start w:val="1"/>
      <w:numFmt w:val="bullet"/>
      <w:lvlText w:val=""/>
      <w:lvlJc w:val="left"/>
      <w:pPr>
        <w:ind w:left="5397" w:hanging="360"/>
      </w:pPr>
      <w:rPr>
        <w:rFonts w:ascii="Symbol" w:hAnsi="Symbol" w:hint="default"/>
      </w:rPr>
    </w:lvl>
    <w:lvl w:ilvl="7" w:tplc="0C090003">
      <w:start w:val="1"/>
      <w:numFmt w:val="bullet"/>
      <w:lvlText w:val="o"/>
      <w:lvlJc w:val="left"/>
      <w:pPr>
        <w:ind w:left="6117" w:hanging="360"/>
      </w:pPr>
      <w:rPr>
        <w:rFonts w:ascii="Courier New" w:hAnsi="Courier New" w:cs="Courier New" w:hint="default"/>
      </w:rPr>
    </w:lvl>
    <w:lvl w:ilvl="8" w:tplc="0C090005">
      <w:start w:val="1"/>
      <w:numFmt w:val="bullet"/>
      <w:lvlText w:val=""/>
      <w:lvlJc w:val="left"/>
      <w:pPr>
        <w:ind w:left="6837" w:hanging="360"/>
      </w:pPr>
      <w:rPr>
        <w:rFonts w:ascii="Wingdings" w:hAnsi="Wingdings" w:hint="default"/>
      </w:r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19"/>
  </w:num>
  <w:num w:numId="6">
    <w:abstractNumId w:val="9"/>
  </w:num>
  <w:num w:numId="7">
    <w:abstractNumId w:val="23"/>
  </w:num>
  <w:num w:numId="8">
    <w:abstractNumId w:val="10"/>
  </w:num>
  <w:num w:numId="9">
    <w:abstractNumId w:val="15"/>
  </w:num>
  <w:num w:numId="10">
    <w:abstractNumId w:val="12"/>
  </w:num>
  <w:num w:numId="11">
    <w:abstractNumId w:val="13"/>
  </w:num>
  <w:num w:numId="12">
    <w:abstractNumId w:val="21"/>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18"/>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2"/>
  </w:num>
  <w:num w:numId="32">
    <w:abstractNumId w:val="2"/>
  </w:num>
  <w:num w:numId="33">
    <w:abstractNumId w:val="2"/>
  </w:num>
  <w:num w:numId="34">
    <w:abstractNumId w:val="2"/>
  </w:num>
  <w:num w:numId="35">
    <w:abstractNumId w:val="2"/>
  </w:num>
  <w:num w:numId="36">
    <w:abstractNumId w:val="6"/>
  </w:num>
  <w:num w:numId="37">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112&lt;/item&gt;&lt;item&gt;295&lt;/item&gt;&lt;item&gt;305&lt;/item&gt;&lt;item&gt;306&lt;/item&gt;&lt;/record-ids&gt;&lt;/item&gt;&lt;/Libraries&gt;"/>
  </w:docVars>
  <w:rsids>
    <w:rsidRoot w:val="00420228"/>
    <w:rsid w:val="00000113"/>
    <w:rsid w:val="00002E28"/>
    <w:rsid w:val="000130C3"/>
    <w:rsid w:val="00020101"/>
    <w:rsid w:val="000279C3"/>
    <w:rsid w:val="00033ED5"/>
    <w:rsid w:val="00036E06"/>
    <w:rsid w:val="00041235"/>
    <w:rsid w:val="00042695"/>
    <w:rsid w:val="00045FDE"/>
    <w:rsid w:val="0005187C"/>
    <w:rsid w:val="00055CB2"/>
    <w:rsid w:val="00056EBF"/>
    <w:rsid w:val="00057925"/>
    <w:rsid w:val="00061960"/>
    <w:rsid w:val="00062E62"/>
    <w:rsid w:val="00063273"/>
    <w:rsid w:val="000637EF"/>
    <w:rsid w:val="00063D8D"/>
    <w:rsid w:val="00064A65"/>
    <w:rsid w:val="00066389"/>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D14F8"/>
    <w:rsid w:val="000E3723"/>
    <w:rsid w:val="000E3E96"/>
    <w:rsid w:val="000E4036"/>
    <w:rsid w:val="000E59E6"/>
    <w:rsid w:val="000E7DD5"/>
    <w:rsid w:val="000F0708"/>
    <w:rsid w:val="000F49A2"/>
    <w:rsid w:val="000F710E"/>
    <w:rsid w:val="001024DD"/>
    <w:rsid w:val="001035E7"/>
    <w:rsid w:val="00107756"/>
    <w:rsid w:val="00107ABC"/>
    <w:rsid w:val="00115212"/>
    <w:rsid w:val="00116F45"/>
    <w:rsid w:val="00121E1E"/>
    <w:rsid w:val="00137631"/>
    <w:rsid w:val="00137655"/>
    <w:rsid w:val="001404C2"/>
    <w:rsid w:val="001435F7"/>
    <w:rsid w:val="00147598"/>
    <w:rsid w:val="00156DBE"/>
    <w:rsid w:val="00156EE2"/>
    <w:rsid w:val="00157B78"/>
    <w:rsid w:val="0016406F"/>
    <w:rsid w:val="00171A75"/>
    <w:rsid w:val="00172BD0"/>
    <w:rsid w:val="00175138"/>
    <w:rsid w:val="0018317F"/>
    <w:rsid w:val="001838F6"/>
    <w:rsid w:val="00183C90"/>
    <w:rsid w:val="001914D9"/>
    <w:rsid w:val="0019481D"/>
    <w:rsid w:val="00194847"/>
    <w:rsid w:val="001973B5"/>
    <w:rsid w:val="001A1B46"/>
    <w:rsid w:val="001A2500"/>
    <w:rsid w:val="001A33BE"/>
    <w:rsid w:val="001A67B4"/>
    <w:rsid w:val="001B2487"/>
    <w:rsid w:val="001C5B9D"/>
    <w:rsid w:val="001C78A0"/>
    <w:rsid w:val="001D05BF"/>
    <w:rsid w:val="001D2385"/>
    <w:rsid w:val="001D3D6A"/>
    <w:rsid w:val="001D450C"/>
    <w:rsid w:val="001D49A1"/>
    <w:rsid w:val="001E1889"/>
    <w:rsid w:val="001F012E"/>
    <w:rsid w:val="001F4014"/>
    <w:rsid w:val="001F68F9"/>
    <w:rsid w:val="001F6B9A"/>
    <w:rsid w:val="0020252B"/>
    <w:rsid w:val="00203C1F"/>
    <w:rsid w:val="00204BFF"/>
    <w:rsid w:val="002067F2"/>
    <w:rsid w:val="00213CC4"/>
    <w:rsid w:val="00216073"/>
    <w:rsid w:val="002171FB"/>
    <w:rsid w:val="00230AA9"/>
    <w:rsid w:val="0023394C"/>
    <w:rsid w:val="002359FD"/>
    <w:rsid w:val="00236C12"/>
    <w:rsid w:val="00240F7D"/>
    <w:rsid w:val="00241FA1"/>
    <w:rsid w:val="002454A8"/>
    <w:rsid w:val="002514DD"/>
    <w:rsid w:val="00252CFE"/>
    <w:rsid w:val="0025367C"/>
    <w:rsid w:val="00254CE0"/>
    <w:rsid w:val="00254E78"/>
    <w:rsid w:val="00257462"/>
    <w:rsid w:val="0025771A"/>
    <w:rsid w:val="002600A4"/>
    <w:rsid w:val="00260405"/>
    <w:rsid w:val="0026047A"/>
    <w:rsid w:val="00267C6A"/>
    <w:rsid w:val="00271D64"/>
    <w:rsid w:val="002733B0"/>
    <w:rsid w:val="00276BA8"/>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3ECD"/>
    <w:rsid w:val="00310903"/>
    <w:rsid w:val="00311224"/>
    <w:rsid w:val="00315516"/>
    <w:rsid w:val="00316460"/>
    <w:rsid w:val="0032033D"/>
    <w:rsid w:val="00323730"/>
    <w:rsid w:val="00324E9B"/>
    <w:rsid w:val="00326919"/>
    <w:rsid w:val="0032771A"/>
    <w:rsid w:val="00333C82"/>
    <w:rsid w:val="003351E0"/>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90ABC"/>
    <w:rsid w:val="00392D7D"/>
    <w:rsid w:val="00393A08"/>
    <w:rsid w:val="00395ED9"/>
    <w:rsid w:val="00396855"/>
    <w:rsid w:val="0039708C"/>
    <w:rsid w:val="003978E0"/>
    <w:rsid w:val="003A021F"/>
    <w:rsid w:val="003A28F6"/>
    <w:rsid w:val="003B006A"/>
    <w:rsid w:val="003B2089"/>
    <w:rsid w:val="003B2720"/>
    <w:rsid w:val="003B2795"/>
    <w:rsid w:val="003B4E91"/>
    <w:rsid w:val="003B5A9E"/>
    <w:rsid w:val="003B6492"/>
    <w:rsid w:val="003C2E69"/>
    <w:rsid w:val="003C3494"/>
    <w:rsid w:val="003C481E"/>
    <w:rsid w:val="003C6972"/>
    <w:rsid w:val="003C7A14"/>
    <w:rsid w:val="003D27B8"/>
    <w:rsid w:val="003D52A9"/>
    <w:rsid w:val="003D59A8"/>
    <w:rsid w:val="003D62A6"/>
    <w:rsid w:val="003F2CC5"/>
    <w:rsid w:val="003F333E"/>
    <w:rsid w:val="003F4463"/>
    <w:rsid w:val="003F4D21"/>
    <w:rsid w:val="003F5262"/>
    <w:rsid w:val="003F5EA3"/>
    <w:rsid w:val="003F61EF"/>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814"/>
    <w:rsid w:val="00456559"/>
    <w:rsid w:val="004607E2"/>
    <w:rsid w:val="0046299A"/>
    <w:rsid w:val="00465715"/>
    <w:rsid w:val="00465C67"/>
    <w:rsid w:val="00465E16"/>
    <w:rsid w:val="004665F8"/>
    <w:rsid w:val="00471798"/>
    <w:rsid w:val="00474C15"/>
    <w:rsid w:val="004839D6"/>
    <w:rsid w:val="00484095"/>
    <w:rsid w:val="00486432"/>
    <w:rsid w:val="00490C47"/>
    <w:rsid w:val="00491DC6"/>
    <w:rsid w:val="004928B1"/>
    <w:rsid w:val="004A3780"/>
    <w:rsid w:val="004A79E6"/>
    <w:rsid w:val="004A7E3C"/>
    <w:rsid w:val="004B1D49"/>
    <w:rsid w:val="004B1F1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4151"/>
    <w:rsid w:val="005058B0"/>
    <w:rsid w:val="00512A6F"/>
    <w:rsid w:val="005138E9"/>
    <w:rsid w:val="005146E6"/>
    <w:rsid w:val="0051598E"/>
    <w:rsid w:val="00515D98"/>
    <w:rsid w:val="00516094"/>
    <w:rsid w:val="00517C96"/>
    <w:rsid w:val="0052132F"/>
    <w:rsid w:val="0052340E"/>
    <w:rsid w:val="0052457B"/>
    <w:rsid w:val="00524960"/>
    <w:rsid w:val="005255E2"/>
    <w:rsid w:val="00530252"/>
    <w:rsid w:val="00536214"/>
    <w:rsid w:val="005416F2"/>
    <w:rsid w:val="00544478"/>
    <w:rsid w:val="00547C42"/>
    <w:rsid w:val="005501BC"/>
    <w:rsid w:val="00555352"/>
    <w:rsid w:val="00555B01"/>
    <w:rsid w:val="00557732"/>
    <w:rsid w:val="00564CC7"/>
    <w:rsid w:val="00570F9A"/>
    <w:rsid w:val="005718D1"/>
    <w:rsid w:val="005736C1"/>
    <w:rsid w:val="00573F5E"/>
    <w:rsid w:val="0057451A"/>
    <w:rsid w:val="005764C5"/>
    <w:rsid w:val="005800EF"/>
    <w:rsid w:val="005830B7"/>
    <w:rsid w:val="00591525"/>
    <w:rsid w:val="0059233B"/>
    <w:rsid w:val="00593A73"/>
    <w:rsid w:val="00594DA5"/>
    <w:rsid w:val="005962B5"/>
    <w:rsid w:val="005969C3"/>
    <w:rsid w:val="005A021F"/>
    <w:rsid w:val="005A07EF"/>
    <w:rsid w:val="005A1AF0"/>
    <w:rsid w:val="005A7196"/>
    <w:rsid w:val="005B1A95"/>
    <w:rsid w:val="005B4224"/>
    <w:rsid w:val="005C0958"/>
    <w:rsid w:val="005C0CF2"/>
    <w:rsid w:val="005C225B"/>
    <w:rsid w:val="005C3ACE"/>
    <w:rsid w:val="005C4077"/>
    <w:rsid w:val="005C5BD6"/>
    <w:rsid w:val="005C7D6D"/>
    <w:rsid w:val="005D3A56"/>
    <w:rsid w:val="005D3FD8"/>
    <w:rsid w:val="005D4B90"/>
    <w:rsid w:val="005D62B2"/>
    <w:rsid w:val="005E7430"/>
    <w:rsid w:val="005E7B9B"/>
    <w:rsid w:val="005F0314"/>
    <w:rsid w:val="005F37B3"/>
    <w:rsid w:val="005F445E"/>
    <w:rsid w:val="005F5B02"/>
    <w:rsid w:val="005F6AF9"/>
    <w:rsid w:val="006024B8"/>
    <w:rsid w:val="0060264C"/>
    <w:rsid w:val="00606AD1"/>
    <w:rsid w:val="0060766E"/>
    <w:rsid w:val="006115F8"/>
    <w:rsid w:val="00614DD4"/>
    <w:rsid w:val="00615CF6"/>
    <w:rsid w:val="00623325"/>
    <w:rsid w:val="00623EF4"/>
    <w:rsid w:val="006275F5"/>
    <w:rsid w:val="006308F6"/>
    <w:rsid w:val="006324C4"/>
    <w:rsid w:val="00633584"/>
    <w:rsid w:val="006411D2"/>
    <w:rsid w:val="00642FC6"/>
    <w:rsid w:val="0064488C"/>
    <w:rsid w:val="00646C25"/>
    <w:rsid w:val="00660581"/>
    <w:rsid w:val="00661FF3"/>
    <w:rsid w:val="00663097"/>
    <w:rsid w:val="00663E86"/>
    <w:rsid w:val="006658AC"/>
    <w:rsid w:val="00667DEE"/>
    <w:rsid w:val="00667EAB"/>
    <w:rsid w:val="00670858"/>
    <w:rsid w:val="0068091B"/>
    <w:rsid w:val="0068145D"/>
    <w:rsid w:val="00681850"/>
    <w:rsid w:val="006826F6"/>
    <w:rsid w:val="00682BEB"/>
    <w:rsid w:val="0068333E"/>
    <w:rsid w:val="006929FE"/>
    <w:rsid w:val="00694C0C"/>
    <w:rsid w:val="0069720B"/>
    <w:rsid w:val="006A554C"/>
    <w:rsid w:val="006B0939"/>
    <w:rsid w:val="006B449C"/>
    <w:rsid w:val="006B6CF2"/>
    <w:rsid w:val="006B72F6"/>
    <w:rsid w:val="006C13E7"/>
    <w:rsid w:val="006C1D9B"/>
    <w:rsid w:val="006C2087"/>
    <w:rsid w:val="006C6378"/>
    <w:rsid w:val="006E105C"/>
    <w:rsid w:val="006E156B"/>
    <w:rsid w:val="006E1E60"/>
    <w:rsid w:val="006E26BA"/>
    <w:rsid w:val="006E6643"/>
    <w:rsid w:val="006E7387"/>
    <w:rsid w:val="006F00A2"/>
    <w:rsid w:val="006F3E4B"/>
    <w:rsid w:val="006F41E9"/>
    <w:rsid w:val="006F543E"/>
    <w:rsid w:val="00703CF9"/>
    <w:rsid w:val="00705F8A"/>
    <w:rsid w:val="00707752"/>
    <w:rsid w:val="007077B6"/>
    <w:rsid w:val="00712EA0"/>
    <w:rsid w:val="0072057E"/>
    <w:rsid w:val="00723D08"/>
    <w:rsid w:val="00724C46"/>
    <w:rsid w:val="00731AC2"/>
    <w:rsid w:val="007343E2"/>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4320"/>
    <w:rsid w:val="007901E5"/>
    <w:rsid w:val="00791739"/>
    <w:rsid w:val="00792C8C"/>
    <w:rsid w:val="00796134"/>
    <w:rsid w:val="007A00B7"/>
    <w:rsid w:val="007A2F19"/>
    <w:rsid w:val="007A6116"/>
    <w:rsid w:val="007B2118"/>
    <w:rsid w:val="007B65AE"/>
    <w:rsid w:val="007D1DB2"/>
    <w:rsid w:val="007D6F60"/>
    <w:rsid w:val="007D7E49"/>
    <w:rsid w:val="007E146B"/>
    <w:rsid w:val="007E6278"/>
    <w:rsid w:val="007E651D"/>
    <w:rsid w:val="007F432F"/>
    <w:rsid w:val="007F65C9"/>
    <w:rsid w:val="008040B8"/>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5348"/>
    <w:rsid w:val="00840EDC"/>
    <w:rsid w:val="00844182"/>
    <w:rsid w:val="0084491E"/>
    <w:rsid w:val="00847B91"/>
    <w:rsid w:val="0085016E"/>
    <w:rsid w:val="00855525"/>
    <w:rsid w:val="00856AFA"/>
    <w:rsid w:val="00857D0E"/>
    <w:rsid w:val="00860E65"/>
    <w:rsid w:val="00861BA4"/>
    <w:rsid w:val="00870AA8"/>
    <w:rsid w:val="00871AD6"/>
    <w:rsid w:val="00877690"/>
    <w:rsid w:val="008828D2"/>
    <w:rsid w:val="008870DD"/>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70B3"/>
    <w:rsid w:val="008C7FEA"/>
    <w:rsid w:val="008D087C"/>
    <w:rsid w:val="008D24E7"/>
    <w:rsid w:val="008D4B23"/>
    <w:rsid w:val="008E05C5"/>
    <w:rsid w:val="008E28E2"/>
    <w:rsid w:val="008F30A3"/>
    <w:rsid w:val="008F45CA"/>
    <w:rsid w:val="008F7178"/>
    <w:rsid w:val="00902C26"/>
    <w:rsid w:val="0091021B"/>
    <w:rsid w:val="00911116"/>
    <w:rsid w:val="00911842"/>
    <w:rsid w:val="00925427"/>
    <w:rsid w:val="009304AA"/>
    <w:rsid w:val="009343EB"/>
    <w:rsid w:val="00937754"/>
    <w:rsid w:val="0094073E"/>
    <w:rsid w:val="009418BE"/>
    <w:rsid w:val="00946719"/>
    <w:rsid w:val="0094696A"/>
    <w:rsid w:val="0095083F"/>
    <w:rsid w:val="009530D5"/>
    <w:rsid w:val="00953407"/>
    <w:rsid w:val="009545DC"/>
    <w:rsid w:val="00955E85"/>
    <w:rsid w:val="00962D8D"/>
    <w:rsid w:val="0096796F"/>
    <w:rsid w:val="00970680"/>
    <w:rsid w:val="00976E3E"/>
    <w:rsid w:val="009772B5"/>
    <w:rsid w:val="009822D8"/>
    <w:rsid w:val="0098526F"/>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9F3C96"/>
    <w:rsid w:val="00A005D1"/>
    <w:rsid w:val="00A0347D"/>
    <w:rsid w:val="00A06894"/>
    <w:rsid w:val="00A230F3"/>
    <w:rsid w:val="00A2313B"/>
    <w:rsid w:val="00A256C7"/>
    <w:rsid w:val="00A30B0A"/>
    <w:rsid w:val="00A30F0D"/>
    <w:rsid w:val="00A3101B"/>
    <w:rsid w:val="00A36EA7"/>
    <w:rsid w:val="00A435AE"/>
    <w:rsid w:val="00A44897"/>
    <w:rsid w:val="00A471FC"/>
    <w:rsid w:val="00A556EB"/>
    <w:rsid w:val="00A5591C"/>
    <w:rsid w:val="00A57783"/>
    <w:rsid w:val="00A66BEF"/>
    <w:rsid w:val="00A6774C"/>
    <w:rsid w:val="00A70639"/>
    <w:rsid w:val="00A707D3"/>
    <w:rsid w:val="00A716C9"/>
    <w:rsid w:val="00A7780A"/>
    <w:rsid w:val="00A81861"/>
    <w:rsid w:val="00A82DDE"/>
    <w:rsid w:val="00A8689D"/>
    <w:rsid w:val="00A91834"/>
    <w:rsid w:val="00A92F98"/>
    <w:rsid w:val="00A97A86"/>
    <w:rsid w:val="00AA04B9"/>
    <w:rsid w:val="00AA13F0"/>
    <w:rsid w:val="00AA1AFA"/>
    <w:rsid w:val="00AA204A"/>
    <w:rsid w:val="00AA5591"/>
    <w:rsid w:val="00AA6F05"/>
    <w:rsid w:val="00AB638E"/>
    <w:rsid w:val="00AB7A7B"/>
    <w:rsid w:val="00AC1790"/>
    <w:rsid w:val="00AD0AF7"/>
    <w:rsid w:val="00AD4B47"/>
    <w:rsid w:val="00AD7D68"/>
    <w:rsid w:val="00AE49C1"/>
    <w:rsid w:val="00AE707E"/>
    <w:rsid w:val="00AF46F0"/>
    <w:rsid w:val="00AF624F"/>
    <w:rsid w:val="00B01B1D"/>
    <w:rsid w:val="00B04BE4"/>
    <w:rsid w:val="00B06352"/>
    <w:rsid w:val="00B063E0"/>
    <w:rsid w:val="00B11181"/>
    <w:rsid w:val="00B158D5"/>
    <w:rsid w:val="00B179BC"/>
    <w:rsid w:val="00B2454B"/>
    <w:rsid w:val="00B2521F"/>
    <w:rsid w:val="00B26262"/>
    <w:rsid w:val="00B30277"/>
    <w:rsid w:val="00B32539"/>
    <w:rsid w:val="00B37C37"/>
    <w:rsid w:val="00B50A2B"/>
    <w:rsid w:val="00B51177"/>
    <w:rsid w:val="00B609E2"/>
    <w:rsid w:val="00B64B89"/>
    <w:rsid w:val="00B67828"/>
    <w:rsid w:val="00B70207"/>
    <w:rsid w:val="00B72855"/>
    <w:rsid w:val="00B744F8"/>
    <w:rsid w:val="00B75278"/>
    <w:rsid w:val="00B77301"/>
    <w:rsid w:val="00B81848"/>
    <w:rsid w:val="00B81EB8"/>
    <w:rsid w:val="00BA18A6"/>
    <w:rsid w:val="00BA64C8"/>
    <w:rsid w:val="00BB548A"/>
    <w:rsid w:val="00BB6AE0"/>
    <w:rsid w:val="00BC7FEB"/>
    <w:rsid w:val="00BD2CF7"/>
    <w:rsid w:val="00BD696A"/>
    <w:rsid w:val="00BE2FFD"/>
    <w:rsid w:val="00BE4CBC"/>
    <w:rsid w:val="00BE7D61"/>
    <w:rsid w:val="00BF07E7"/>
    <w:rsid w:val="00BF0865"/>
    <w:rsid w:val="00BF2760"/>
    <w:rsid w:val="00C01DD3"/>
    <w:rsid w:val="00C03343"/>
    <w:rsid w:val="00C04D0C"/>
    <w:rsid w:val="00C05AA4"/>
    <w:rsid w:val="00C06205"/>
    <w:rsid w:val="00C06231"/>
    <w:rsid w:val="00C117A7"/>
    <w:rsid w:val="00C1358F"/>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7AC3"/>
    <w:rsid w:val="00C80DD0"/>
    <w:rsid w:val="00C82BE5"/>
    <w:rsid w:val="00C83B6B"/>
    <w:rsid w:val="00C870C5"/>
    <w:rsid w:val="00C87594"/>
    <w:rsid w:val="00C9781C"/>
    <w:rsid w:val="00CA00CD"/>
    <w:rsid w:val="00CA0FB9"/>
    <w:rsid w:val="00CB2FFD"/>
    <w:rsid w:val="00CB4A31"/>
    <w:rsid w:val="00CB5EEC"/>
    <w:rsid w:val="00CB753E"/>
    <w:rsid w:val="00CB7F26"/>
    <w:rsid w:val="00CC4497"/>
    <w:rsid w:val="00CC466C"/>
    <w:rsid w:val="00CC67A1"/>
    <w:rsid w:val="00CD657E"/>
    <w:rsid w:val="00CE6B12"/>
    <w:rsid w:val="00CF21B8"/>
    <w:rsid w:val="00CF26B4"/>
    <w:rsid w:val="00CF31F4"/>
    <w:rsid w:val="00CF5E39"/>
    <w:rsid w:val="00D034DA"/>
    <w:rsid w:val="00D04A4C"/>
    <w:rsid w:val="00D07416"/>
    <w:rsid w:val="00D12024"/>
    <w:rsid w:val="00D1400D"/>
    <w:rsid w:val="00D145BE"/>
    <w:rsid w:val="00D23D58"/>
    <w:rsid w:val="00D24361"/>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23BE"/>
    <w:rsid w:val="00D83382"/>
    <w:rsid w:val="00D8524B"/>
    <w:rsid w:val="00D9126D"/>
    <w:rsid w:val="00D92391"/>
    <w:rsid w:val="00D94BC3"/>
    <w:rsid w:val="00DA1195"/>
    <w:rsid w:val="00DA1554"/>
    <w:rsid w:val="00DA2CAD"/>
    <w:rsid w:val="00DA5667"/>
    <w:rsid w:val="00DB3547"/>
    <w:rsid w:val="00DB6870"/>
    <w:rsid w:val="00DC0B65"/>
    <w:rsid w:val="00DC1482"/>
    <w:rsid w:val="00DC33E0"/>
    <w:rsid w:val="00DC78B5"/>
    <w:rsid w:val="00DD2A02"/>
    <w:rsid w:val="00DD398A"/>
    <w:rsid w:val="00DE29A0"/>
    <w:rsid w:val="00DE6D5C"/>
    <w:rsid w:val="00DE7A3B"/>
    <w:rsid w:val="00DE7EDF"/>
    <w:rsid w:val="00DF2307"/>
    <w:rsid w:val="00DF2DA0"/>
    <w:rsid w:val="00DF3321"/>
    <w:rsid w:val="00E0312F"/>
    <w:rsid w:val="00E0799C"/>
    <w:rsid w:val="00E13B62"/>
    <w:rsid w:val="00E15DE0"/>
    <w:rsid w:val="00E30264"/>
    <w:rsid w:val="00E30A51"/>
    <w:rsid w:val="00E30E90"/>
    <w:rsid w:val="00E53549"/>
    <w:rsid w:val="00E551DB"/>
    <w:rsid w:val="00E57688"/>
    <w:rsid w:val="00E6083B"/>
    <w:rsid w:val="00E623EF"/>
    <w:rsid w:val="00E72631"/>
    <w:rsid w:val="00E73840"/>
    <w:rsid w:val="00E75216"/>
    <w:rsid w:val="00E80F89"/>
    <w:rsid w:val="00E8228E"/>
    <w:rsid w:val="00E82D7C"/>
    <w:rsid w:val="00E847FF"/>
    <w:rsid w:val="00E84DBF"/>
    <w:rsid w:val="00E92755"/>
    <w:rsid w:val="00E94814"/>
    <w:rsid w:val="00E97DE0"/>
    <w:rsid w:val="00E97F39"/>
    <w:rsid w:val="00EB5264"/>
    <w:rsid w:val="00EB57CD"/>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03C7D"/>
    <w:rsid w:val="00F113FA"/>
    <w:rsid w:val="00F1150B"/>
    <w:rsid w:val="00F17CC1"/>
    <w:rsid w:val="00F2253B"/>
    <w:rsid w:val="00F262EE"/>
    <w:rsid w:val="00F328C0"/>
    <w:rsid w:val="00F33606"/>
    <w:rsid w:val="00F33C34"/>
    <w:rsid w:val="00F35F2A"/>
    <w:rsid w:val="00F3676D"/>
    <w:rsid w:val="00F36DB9"/>
    <w:rsid w:val="00F451F4"/>
    <w:rsid w:val="00F51E8F"/>
    <w:rsid w:val="00F546D0"/>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44C7"/>
    <w:rsid w:val="00FB0094"/>
    <w:rsid w:val="00FB1142"/>
    <w:rsid w:val="00FB2910"/>
    <w:rsid w:val="00FB3A60"/>
    <w:rsid w:val="00FB5138"/>
    <w:rsid w:val="00FD0916"/>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8F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EndNoteBibliographyTitle">
    <w:name w:val="EndNote Bibliography Title"/>
    <w:basedOn w:val="Normal"/>
    <w:link w:val="EndNoteBibliographyTitleChar"/>
    <w:rsid w:val="00A005D1"/>
    <w:pPr>
      <w:jc w:val="center"/>
    </w:pPr>
    <w:rPr>
      <w:noProof/>
      <w:lang w:val="en-US"/>
    </w:rPr>
  </w:style>
  <w:style w:type="character" w:customStyle="1" w:styleId="EndNoteBibliographyTitleChar">
    <w:name w:val="EndNote Bibliography Title Char"/>
    <w:basedOn w:val="DefaultParagraphFont"/>
    <w:link w:val="EndNoteBibliographyTitle"/>
    <w:rsid w:val="00A005D1"/>
    <w:rPr>
      <w:noProof/>
      <w:sz w:val="24"/>
      <w:szCs w:val="24"/>
      <w:lang w:val="en-US" w:eastAsia="en-US"/>
    </w:rPr>
  </w:style>
  <w:style w:type="paragraph" w:customStyle="1" w:styleId="EndNoteBibliography">
    <w:name w:val="EndNote Bibliography"/>
    <w:basedOn w:val="Normal"/>
    <w:link w:val="EndNoteBibliographyChar"/>
    <w:rsid w:val="00A005D1"/>
    <w:rPr>
      <w:noProof/>
      <w:lang w:val="en-US"/>
    </w:rPr>
  </w:style>
  <w:style w:type="character" w:customStyle="1" w:styleId="EndNoteBibliographyChar">
    <w:name w:val="EndNote Bibliography Char"/>
    <w:basedOn w:val="DefaultParagraphFont"/>
    <w:link w:val="EndNoteBibliography"/>
    <w:rsid w:val="00A005D1"/>
    <w:rPr>
      <w:noProof/>
      <w:sz w:val="24"/>
      <w:szCs w:val="24"/>
      <w:lang w:val="en-US" w:eastAsia="en-US"/>
    </w:rPr>
  </w:style>
  <w:style w:type="paragraph" w:customStyle="1" w:styleId="CAreference">
    <w:name w:val="CA reference"/>
    <w:basedOn w:val="ListBullet"/>
    <w:qFormat/>
    <w:rsid w:val="003D62A6"/>
    <w:pPr>
      <w:numPr>
        <w:numId w:val="0"/>
      </w:numPr>
      <w:spacing w:before="120" w:after="40" w:line="360" w:lineRule="auto"/>
      <w:ind w:left="357" w:hanging="357"/>
      <w:contextualSpacing w:val="0"/>
    </w:pPr>
    <w:rPr>
      <w:rFonts w:ascii="Arial" w:hAnsi="Arial" w:cs="Arial"/>
      <w:sz w:val="22"/>
      <w:szCs w:val="22"/>
    </w:rPr>
  </w:style>
  <w:style w:type="paragraph" w:customStyle="1" w:styleId="CAheadingintext">
    <w:name w:val="CA heading in text"/>
    <w:basedOn w:val="Normal"/>
    <w:link w:val="CAheadingintextChar"/>
    <w:qFormat/>
    <w:rsid w:val="00203C1F"/>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203C1F"/>
    <w:rPr>
      <w:rFonts w:ascii="Arial" w:hAnsi="Arial" w:cs="Arial"/>
      <w:b/>
      <w:sz w:val="22"/>
      <w:szCs w:val="22"/>
      <w:lang w:eastAsia="en-US"/>
    </w:rPr>
  </w:style>
  <w:style w:type="paragraph" w:customStyle="1" w:styleId="text">
    <w:name w:val="text"/>
    <w:basedOn w:val="Normal"/>
    <w:link w:val="textChar"/>
    <w:qFormat/>
    <w:rsid w:val="00203C1F"/>
    <w:pPr>
      <w:spacing w:after="200"/>
    </w:pPr>
    <w:rPr>
      <w:rFonts w:ascii="Arial" w:hAnsi="Arial" w:cs="Arial"/>
      <w:bCs/>
      <w:sz w:val="22"/>
      <w:szCs w:val="22"/>
    </w:rPr>
  </w:style>
  <w:style w:type="character" w:customStyle="1" w:styleId="textChar">
    <w:name w:val="text Char"/>
    <w:basedOn w:val="DefaultParagraphFont"/>
    <w:link w:val="text"/>
    <w:rsid w:val="00203C1F"/>
    <w:rPr>
      <w:rFonts w:ascii="Arial" w:hAnsi="Arial" w:cs="Arial"/>
      <w:bCs/>
      <w:sz w:val="22"/>
      <w:szCs w:val="22"/>
      <w:lang w:eastAsia="en-US"/>
    </w:rPr>
  </w:style>
  <w:style w:type="paragraph" w:customStyle="1" w:styleId="CAbullet">
    <w:name w:val="CA bullet"/>
    <w:basedOn w:val="ListBullet"/>
    <w:link w:val="CAbulletChar"/>
    <w:rsid w:val="00203C1F"/>
    <w:pPr>
      <w:numPr>
        <w:numId w:val="29"/>
      </w:numPr>
      <w:spacing w:after="120" w:line="276" w:lineRule="auto"/>
      <w:ind w:left="964" w:hanging="284"/>
    </w:pPr>
    <w:rPr>
      <w:rFonts w:ascii="Arial" w:hAnsi="Arial" w:cs="Arial"/>
      <w:sz w:val="22"/>
      <w:szCs w:val="22"/>
    </w:rPr>
  </w:style>
  <w:style w:type="paragraph" w:customStyle="1" w:styleId="CAbulletminor">
    <w:name w:val="CA bullet minor"/>
    <w:basedOn w:val="CAbullet"/>
    <w:link w:val="CAbulletminorChar"/>
    <w:qFormat/>
    <w:rsid w:val="00203C1F"/>
    <w:pPr>
      <w:ind w:left="1077" w:hanging="360"/>
      <w:contextualSpacing w:val="0"/>
    </w:pPr>
  </w:style>
  <w:style w:type="paragraph" w:customStyle="1" w:styleId="CAbulletmajor">
    <w:name w:val="CA bullet major"/>
    <w:basedOn w:val="ListBullet"/>
    <w:link w:val="CAbulletmajorChar"/>
    <w:qFormat/>
    <w:rsid w:val="00203C1F"/>
    <w:pPr>
      <w:spacing w:after="120" w:line="276" w:lineRule="auto"/>
      <w:contextualSpacing w:val="0"/>
    </w:pPr>
    <w:rPr>
      <w:rFonts w:ascii="Arial" w:hAnsi="Arial" w:cs="Arial"/>
      <w:sz w:val="22"/>
      <w:szCs w:val="22"/>
    </w:rPr>
  </w:style>
  <w:style w:type="character" w:customStyle="1" w:styleId="CAbulletminorChar">
    <w:name w:val="CA bullet minor Char"/>
    <w:basedOn w:val="DefaultParagraphFont"/>
    <w:link w:val="CAbulletminor"/>
    <w:rsid w:val="00203C1F"/>
    <w:rPr>
      <w:rFonts w:ascii="Arial" w:hAnsi="Arial" w:cs="Arial"/>
      <w:sz w:val="22"/>
      <w:szCs w:val="22"/>
      <w:lang w:eastAsia="en-US"/>
    </w:rPr>
  </w:style>
  <w:style w:type="character" w:customStyle="1" w:styleId="CAbulletmajorChar">
    <w:name w:val="CA bullet major Char"/>
    <w:basedOn w:val="DefaultParagraphFont"/>
    <w:link w:val="CAbulletmajor"/>
    <w:rsid w:val="00203C1F"/>
    <w:rPr>
      <w:rFonts w:ascii="Arial" w:hAnsi="Arial" w:cs="Arial"/>
      <w:sz w:val="22"/>
      <w:szCs w:val="22"/>
      <w:lang w:eastAsia="en-US"/>
    </w:rPr>
  </w:style>
  <w:style w:type="character" w:customStyle="1" w:styleId="CAbulletChar">
    <w:name w:val="CA bullet Char"/>
    <w:basedOn w:val="DefaultParagraphFont"/>
    <w:link w:val="CAbullet"/>
    <w:locked/>
    <w:rsid w:val="00573F5E"/>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49303534">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19254528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775538">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ettropics.gov.au/stamp-out-yellow-crazy-ant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vironment.gov.au/biodiversity/threatened/publications/tap/infection-amphibians-chytrid-fungus-resulting-chytridiomycosis-2016"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34BBE-A7E7-40EC-9A35-932D8DAA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14</Pages>
  <Words>4970</Words>
  <Characters>52547</Characters>
  <Application>Microsoft Office Word</Application>
  <DocSecurity>0</DocSecurity>
  <Lines>1382</Lines>
  <Paragraphs>618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56899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myola (Kuranda tree frog)  </dc:title>
  <dc:creator/>
  <cp:lastModifiedBy/>
  <cp:revision>1</cp:revision>
  <dcterms:created xsi:type="dcterms:W3CDTF">2018-01-17T00:56:00Z</dcterms:created>
  <dcterms:modified xsi:type="dcterms:W3CDTF">2018-01-17T00:56:00Z</dcterms:modified>
</cp:coreProperties>
</file>