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18424" w14:textId="77777777" w:rsidR="002869EE" w:rsidRDefault="002869EE" w:rsidP="00C14E32">
      <w:pPr>
        <w:pStyle w:val="Heading2"/>
        <w:jc w:val="center"/>
        <w:rPr>
          <w:i/>
          <w:iCs/>
          <w:sz w:val="24"/>
          <w:szCs w:val="24"/>
        </w:rPr>
      </w:pPr>
    </w:p>
    <w:p w14:paraId="4E6564E4" w14:textId="77777777" w:rsidR="002869EE" w:rsidRDefault="002869EE" w:rsidP="00C14E32">
      <w:pPr>
        <w:pStyle w:val="Heading2"/>
        <w:jc w:val="center"/>
        <w:rPr>
          <w:i/>
          <w:iCs/>
          <w:sz w:val="24"/>
          <w:szCs w:val="24"/>
        </w:rPr>
      </w:pPr>
    </w:p>
    <w:p w14:paraId="7C4AB262" w14:textId="77777777" w:rsidR="002869EE" w:rsidRDefault="002869EE" w:rsidP="00C14E32">
      <w:pPr>
        <w:pStyle w:val="Heading2"/>
        <w:jc w:val="center"/>
        <w:rPr>
          <w:i/>
          <w:iCs/>
          <w:sz w:val="24"/>
          <w:szCs w:val="24"/>
        </w:rPr>
      </w:pPr>
    </w:p>
    <w:p w14:paraId="308BC129" w14:textId="77777777" w:rsidR="002869EE" w:rsidRDefault="002869EE" w:rsidP="00C14E32">
      <w:pPr>
        <w:pStyle w:val="Heading2"/>
        <w:jc w:val="center"/>
        <w:rPr>
          <w:i/>
          <w:iCs/>
          <w:sz w:val="24"/>
          <w:szCs w:val="24"/>
        </w:rPr>
      </w:pPr>
    </w:p>
    <w:p w14:paraId="5E9B10FF" w14:textId="608384D5" w:rsidR="00C14E32" w:rsidRPr="00B56069" w:rsidRDefault="005A4465" w:rsidP="00C14E32">
      <w:pPr>
        <w:pStyle w:val="Heading2"/>
        <w:jc w:val="center"/>
        <w:rPr>
          <w:sz w:val="24"/>
          <w:szCs w:val="24"/>
        </w:rPr>
      </w:pPr>
      <w:proofErr w:type="spellStart"/>
      <w:r w:rsidRPr="00B56069">
        <w:rPr>
          <w:i/>
          <w:iCs/>
          <w:sz w:val="24"/>
          <w:szCs w:val="24"/>
        </w:rPr>
        <w:t>Sahyadria</w:t>
      </w:r>
      <w:proofErr w:type="spellEnd"/>
      <w:r w:rsidRPr="00B56069">
        <w:rPr>
          <w:i/>
          <w:iCs/>
          <w:sz w:val="24"/>
          <w:szCs w:val="24"/>
        </w:rPr>
        <w:t xml:space="preserve"> </w:t>
      </w:r>
      <w:proofErr w:type="spellStart"/>
      <w:r w:rsidRPr="00B56069">
        <w:rPr>
          <w:i/>
          <w:iCs/>
          <w:sz w:val="24"/>
          <w:szCs w:val="24"/>
        </w:rPr>
        <w:t>denisonii</w:t>
      </w:r>
      <w:proofErr w:type="spellEnd"/>
      <w:r w:rsidRPr="00B56069">
        <w:rPr>
          <w:sz w:val="24"/>
          <w:szCs w:val="24"/>
        </w:rPr>
        <w:t xml:space="preserve">: Report addressing the Department of Agriculture, </w:t>
      </w:r>
      <w:proofErr w:type="gramStart"/>
      <w:r w:rsidRPr="00B56069">
        <w:rPr>
          <w:sz w:val="24"/>
          <w:szCs w:val="24"/>
        </w:rPr>
        <w:t>Water</w:t>
      </w:r>
      <w:proofErr w:type="gramEnd"/>
      <w:r w:rsidRPr="00B56069">
        <w:rPr>
          <w:sz w:val="24"/>
          <w:szCs w:val="24"/>
        </w:rPr>
        <w:t xml:space="preserve"> and the Environment terms of reference </w:t>
      </w:r>
      <w:bookmarkStart w:id="0" w:name="_Hlk58141966"/>
      <w:r w:rsidRPr="00B56069">
        <w:rPr>
          <w:sz w:val="24"/>
          <w:szCs w:val="24"/>
        </w:rPr>
        <w:t xml:space="preserve">for proposed </w:t>
      </w:r>
      <w:r w:rsidR="00C14E32" w:rsidRPr="00B56069">
        <w:rPr>
          <w:sz w:val="24"/>
          <w:szCs w:val="24"/>
        </w:rPr>
        <w:t>amend</w:t>
      </w:r>
      <w:r w:rsidRPr="00B56069">
        <w:rPr>
          <w:sz w:val="24"/>
          <w:szCs w:val="24"/>
        </w:rPr>
        <w:t>ment</w:t>
      </w:r>
      <w:r w:rsidR="006862A4" w:rsidRPr="00B56069">
        <w:rPr>
          <w:sz w:val="24"/>
          <w:szCs w:val="24"/>
        </w:rPr>
        <w:t>s</w:t>
      </w:r>
      <w:r w:rsidRPr="00B56069">
        <w:rPr>
          <w:sz w:val="24"/>
          <w:szCs w:val="24"/>
        </w:rPr>
        <w:t xml:space="preserve"> to</w:t>
      </w:r>
      <w:r w:rsidR="00C14E32" w:rsidRPr="00B56069">
        <w:rPr>
          <w:sz w:val="24"/>
          <w:szCs w:val="24"/>
        </w:rPr>
        <w:t xml:space="preserve"> the </w:t>
      </w:r>
      <w:r w:rsidR="00C14E32" w:rsidRPr="00B56069">
        <w:rPr>
          <w:i/>
          <w:sz w:val="24"/>
          <w:szCs w:val="24"/>
        </w:rPr>
        <w:t xml:space="preserve">List of Specimens taken to be Suitable for Live Import </w:t>
      </w:r>
      <w:r w:rsidR="00C14E32" w:rsidRPr="00B56069">
        <w:rPr>
          <w:sz w:val="24"/>
          <w:szCs w:val="24"/>
        </w:rPr>
        <w:t>(Live Import List)</w:t>
      </w:r>
      <w:bookmarkEnd w:id="0"/>
    </w:p>
    <w:p w14:paraId="0D372A42" w14:textId="77777777" w:rsidR="002869EE" w:rsidRPr="00B56069" w:rsidRDefault="002869EE" w:rsidP="00997AEA">
      <w:pPr>
        <w:jc w:val="center"/>
        <w:rPr>
          <w:b/>
          <w:bCs/>
        </w:rPr>
      </w:pPr>
    </w:p>
    <w:p w14:paraId="3B881A67" w14:textId="6F69ABD2" w:rsidR="002869EE" w:rsidRPr="00B56069" w:rsidRDefault="002869EE" w:rsidP="00997AEA">
      <w:pPr>
        <w:jc w:val="center"/>
        <w:rPr>
          <w:b/>
          <w:bCs/>
        </w:rPr>
      </w:pPr>
    </w:p>
    <w:p w14:paraId="2F5F8E77" w14:textId="77777777" w:rsidR="002869EE" w:rsidRPr="00B56069" w:rsidRDefault="002869EE" w:rsidP="00997AEA">
      <w:pPr>
        <w:jc w:val="center"/>
        <w:rPr>
          <w:noProof/>
        </w:rPr>
      </w:pPr>
    </w:p>
    <w:p w14:paraId="5AA0B111" w14:textId="269219BD" w:rsidR="002869EE" w:rsidRPr="00B56069" w:rsidRDefault="00B212DF" w:rsidP="00997AEA">
      <w:pPr>
        <w:jc w:val="center"/>
        <w:rPr>
          <w:b/>
          <w:bCs/>
        </w:rPr>
      </w:pPr>
      <w:r w:rsidRPr="00B56069">
        <w:rPr>
          <w:b/>
          <w:bCs/>
          <w:noProof/>
          <w:lang w:eastAsia="en-AU"/>
        </w:rPr>
        <w:drawing>
          <wp:inline distT="0" distB="0" distL="0" distR="0" wp14:anchorId="1C7D37E8" wp14:editId="4EC8F2F5">
            <wp:extent cx="4850124" cy="3437262"/>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53788" cy="3439859"/>
                    </a:xfrm>
                    <a:prstGeom prst="rect">
                      <a:avLst/>
                    </a:prstGeom>
                    <a:noFill/>
                    <a:ln>
                      <a:noFill/>
                    </a:ln>
                  </pic:spPr>
                </pic:pic>
              </a:graphicData>
            </a:graphic>
          </wp:inline>
        </w:drawing>
      </w:r>
    </w:p>
    <w:p w14:paraId="1422D127" w14:textId="77777777" w:rsidR="00920869" w:rsidRPr="00B56069" w:rsidRDefault="00920869" w:rsidP="00920869">
      <w:pPr>
        <w:spacing w:after="0" w:line="240" w:lineRule="auto"/>
        <w:jc w:val="center"/>
        <w:rPr>
          <w:b/>
          <w:bCs/>
        </w:rPr>
      </w:pPr>
    </w:p>
    <w:p w14:paraId="2446C231" w14:textId="77777777" w:rsidR="00920869" w:rsidRPr="00B56069" w:rsidRDefault="00920869" w:rsidP="00920869">
      <w:pPr>
        <w:spacing w:after="0" w:line="240" w:lineRule="auto"/>
        <w:jc w:val="center"/>
        <w:rPr>
          <w:b/>
          <w:bCs/>
        </w:rPr>
      </w:pPr>
    </w:p>
    <w:p w14:paraId="4DD5B1BB" w14:textId="77777777" w:rsidR="00920869" w:rsidRPr="00B56069" w:rsidRDefault="00920869" w:rsidP="00920869">
      <w:pPr>
        <w:spacing w:after="0" w:line="240" w:lineRule="auto"/>
        <w:jc w:val="center"/>
        <w:rPr>
          <w:b/>
          <w:bCs/>
        </w:rPr>
      </w:pPr>
    </w:p>
    <w:p w14:paraId="77FA4BF6" w14:textId="77777777" w:rsidR="00920869" w:rsidRPr="00B56069" w:rsidRDefault="00920869" w:rsidP="00920869">
      <w:pPr>
        <w:spacing w:after="0" w:line="240" w:lineRule="auto"/>
        <w:jc w:val="center"/>
        <w:rPr>
          <w:b/>
          <w:bCs/>
        </w:rPr>
      </w:pPr>
    </w:p>
    <w:p w14:paraId="06DAB257" w14:textId="0A311BF2" w:rsidR="002869EE" w:rsidRPr="00B56069" w:rsidRDefault="00383EBB" w:rsidP="00920869">
      <w:pPr>
        <w:spacing w:after="0" w:line="240" w:lineRule="auto"/>
        <w:jc w:val="center"/>
        <w:rPr>
          <w:b/>
          <w:bCs/>
        </w:rPr>
      </w:pPr>
      <w:r w:rsidRPr="00B56069">
        <w:rPr>
          <w:b/>
          <w:bCs/>
        </w:rPr>
        <w:t>16</w:t>
      </w:r>
      <w:r w:rsidR="00920869" w:rsidRPr="00B56069">
        <w:rPr>
          <w:b/>
          <w:bCs/>
        </w:rPr>
        <w:t xml:space="preserve"> </w:t>
      </w:r>
      <w:r w:rsidRPr="00B56069">
        <w:rPr>
          <w:b/>
          <w:bCs/>
        </w:rPr>
        <w:t>December</w:t>
      </w:r>
      <w:r w:rsidR="00920869" w:rsidRPr="00B56069">
        <w:rPr>
          <w:b/>
          <w:bCs/>
        </w:rPr>
        <w:t xml:space="preserve"> 2020</w:t>
      </w:r>
      <w:r w:rsidR="00920869" w:rsidRPr="00B56069">
        <w:rPr>
          <w:b/>
          <w:bCs/>
        </w:rPr>
        <w:br/>
      </w:r>
    </w:p>
    <w:p w14:paraId="35FDD2A8" w14:textId="77777777" w:rsidR="00920869" w:rsidRPr="00B56069" w:rsidRDefault="00920869">
      <w:pPr>
        <w:spacing w:after="0" w:line="240" w:lineRule="auto"/>
        <w:rPr>
          <w:b/>
          <w:bCs/>
        </w:rPr>
      </w:pPr>
    </w:p>
    <w:p w14:paraId="7D44A5E2" w14:textId="77777777" w:rsidR="00920869" w:rsidRPr="00B56069" w:rsidRDefault="00920869">
      <w:pPr>
        <w:spacing w:after="0" w:line="240" w:lineRule="auto"/>
        <w:rPr>
          <w:i/>
          <w:iCs/>
        </w:rPr>
      </w:pPr>
      <w:r w:rsidRPr="00B56069">
        <w:rPr>
          <w:i/>
          <w:iCs/>
        </w:rPr>
        <w:br w:type="page"/>
      </w:r>
    </w:p>
    <w:p w14:paraId="5782CC9B" w14:textId="77777777" w:rsidR="00EE2614" w:rsidRPr="00B56069" w:rsidRDefault="00EE2614" w:rsidP="00EE2614">
      <w:pPr>
        <w:pStyle w:val="ListNumber"/>
        <w:numPr>
          <w:ilvl w:val="0"/>
          <w:numId w:val="0"/>
        </w:numPr>
        <w:rPr>
          <w:b/>
          <w:bCs/>
          <w:color w:val="222222"/>
          <w:shd w:val="clear" w:color="auto" w:fill="FFFFFF"/>
        </w:rPr>
      </w:pPr>
      <w:r w:rsidRPr="00B56069">
        <w:rPr>
          <w:b/>
          <w:bCs/>
          <w:color w:val="222222"/>
          <w:shd w:val="clear" w:color="auto" w:fill="FFFFFF"/>
        </w:rPr>
        <w:lastRenderedPageBreak/>
        <w:t xml:space="preserve">Summary </w:t>
      </w:r>
    </w:p>
    <w:p w14:paraId="490E4532" w14:textId="142F11A1" w:rsidR="00EE2614" w:rsidRPr="00B56069" w:rsidRDefault="00EE2614" w:rsidP="00EE2614">
      <w:pPr>
        <w:pStyle w:val="ListNumber"/>
        <w:numPr>
          <w:ilvl w:val="0"/>
          <w:numId w:val="0"/>
        </w:numPr>
        <w:rPr>
          <w:color w:val="222222"/>
          <w:shd w:val="clear" w:color="auto" w:fill="FFFFFF"/>
        </w:rPr>
      </w:pPr>
      <w:r w:rsidRPr="00B56069">
        <w:rPr>
          <w:color w:val="222222"/>
          <w:shd w:val="clear" w:color="auto" w:fill="FFFFFF"/>
        </w:rPr>
        <w:t xml:space="preserve">Consideration of the Department of Agriculture, </w:t>
      </w:r>
      <w:proofErr w:type="gramStart"/>
      <w:r w:rsidRPr="00B56069">
        <w:rPr>
          <w:color w:val="222222"/>
          <w:shd w:val="clear" w:color="auto" w:fill="FFFFFF"/>
        </w:rPr>
        <w:t>Water</w:t>
      </w:r>
      <w:proofErr w:type="gramEnd"/>
      <w:r w:rsidRPr="00B56069">
        <w:rPr>
          <w:color w:val="222222"/>
          <w:shd w:val="clear" w:color="auto" w:fill="FFFFFF"/>
        </w:rPr>
        <w:t xml:space="preserve"> and the Environment (DAWE) terms of reference for proposed amendments to the List of Specimens taken to be Suitable for Live Import (Live Import List) against information available for the </w:t>
      </w:r>
      <w:r w:rsidRPr="00B56069">
        <w:t>Torpedo barb (</w:t>
      </w:r>
      <w:proofErr w:type="spellStart"/>
      <w:r w:rsidRPr="00B56069">
        <w:rPr>
          <w:i/>
          <w:iCs/>
        </w:rPr>
        <w:t>Sahyadria</w:t>
      </w:r>
      <w:proofErr w:type="spellEnd"/>
      <w:r w:rsidRPr="00B56069">
        <w:rPr>
          <w:i/>
          <w:iCs/>
        </w:rPr>
        <w:t xml:space="preserve"> </w:t>
      </w:r>
      <w:proofErr w:type="spellStart"/>
      <w:r w:rsidRPr="00B56069">
        <w:rPr>
          <w:i/>
          <w:iCs/>
        </w:rPr>
        <w:t>denisonii</w:t>
      </w:r>
      <w:proofErr w:type="spellEnd"/>
      <w:r w:rsidRPr="00B56069">
        <w:rPr>
          <w:color w:val="222222"/>
          <w:shd w:val="clear" w:color="auto" w:fill="FFFFFF"/>
        </w:rPr>
        <w:t xml:space="preserve">) indicates the risk of allowing the importation of the species would pose minimal biosecurity risk to Australia. Notably, </w:t>
      </w:r>
      <w:r w:rsidRPr="00B56069">
        <w:rPr>
          <w:i/>
          <w:iCs/>
        </w:rPr>
        <w:t xml:space="preserve">S. </w:t>
      </w:r>
      <w:proofErr w:type="spellStart"/>
      <w:r w:rsidRPr="00B56069">
        <w:rPr>
          <w:i/>
          <w:iCs/>
        </w:rPr>
        <w:t>denisonii</w:t>
      </w:r>
      <w:proofErr w:type="spellEnd"/>
      <w:r w:rsidRPr="00B56069">
        <w:rPr>
          <w:color w:val="222222"/>
          <w:shd w:val="clear" w:color="auto" w:fill="FFFFFF"/>
        </w:rPr>
        <w:t xml:space="preserve"> is not reported to have established breeding populations outside its natural range overseas despite being traded internationally for over </w:t>
      </w:r>
      <w:r w:rsidR="004F6617" w:rsidRPr="00B56069">
        <w:rPr>
          <w:color w:val="222222"/>
          <w:shd w:val="clear" w:color="auto" w:fill="FFFFFF"/>
        </w:rPr>
        <w:t>30</w:t>
      </w:r>
      <w:r w:rsidRPr="00B56069">
        <w:rPr>
          <w:color w:val="222222"/>
          <w:shd w:val="clear" w:color="auto" w:fill="FFFFFF"/>
        </w:rPr>
        <w:t xml:space="preserve"> years</w:t>
      </w:r>
      <w:r w:rsidR="002D0BA5" w:rsidRPr="00B56069">
        <w:rPr>
          <w:color w:val="222222"/>
          <w:shd w:val="clear" w:color="auto" w:fill="FFFFFF"/>
        </w:rPr>
        <w:t xml:space="preserve"> and </w:t>
      </w:r>
      <w:r w:rsidRPr="00B56069">
        <w:rPr>
          <w:color w:val="222222"/>
          <w:shd w:val="clear" w:color="auto" w:fill="FFFFFF"/>
        </w:rPr>
        <w:t xml:space="preserve">similar species such as </w:t>
      </w:r>
      <w:proofErr w:type="spellStart"/>
      <w:r w:rsidR="00A025B1" w:rsidRPr="00B56069">
        <w:rPr>
          <w:i/>
          <w:iCs/>
        </w:rPr>
        <w:t>Dawkinsia</w:t>
      </w:r>
      <w:proofErr w:type="spellEnd"/>
      <w:r w:rsidR="00A025B1" w:rsidRPr="00B56069">
        <w:rPr>
          <w:i/>
          <w:iCs/>
        </w:rPr>
        <w:t> </w:t>
      </w:r>
      <w:proofErr w:type="spellStart"/>
      <w:r w:rsidR="00A025B1" w:rsidRPr="00B56069">
        <w:rPr>
          <w:i/>
          <w:iCs/>
        </w:rPr>
        <w:t>filamentosa</w:t>
      </w:r>
      <w:proofErr w:type="spellEnd"/>
      <w:r w:rsidR="00A025B1" w:rsidRPr="00B56069">
        <w:rPr>
          <w:color w:val="FF0000"/>
          <w:shd w:val="clear" w:color="auto" w:fill="FFFFFF"/>
        </w:rPr>
        <w:t xml:space="preserve"> </w:t>
      </w:r>
      <w:r w:rsidRPr="00B56069">
        <w:rPr>
          <w:color w:val="222222"/>
          <w:shd w:val="clear" w:color="auto" w:fill="FFFFFF"/>
        </w:rPr>
        <w:t>have not established self-maintaining wild populations in Australia despite decades of importation</w:t>
      </w:r>
      <w:r w:rsidR="00A025B1" w:rsidRPr="00B56069">
        <w:rPr>
          <w:color w:val="222222"/>
          <w:shd w:val="clear" w:color="auto" w:fill="FFFFFF"/>
        </w:rPr>
        <w:t xml:space="preserve">. </w:t>
      </w:r>
      <w:r w:rsidR="004E4077" w:rsidRPr="00B56069">
        <w:rPr>
          <w:color w:val="222222"/>
          <w:shd w:val="clear" w:color="auto" w:fill="FFFFFF"/>
        </w:rPr>
        <w:t>Furthermore, c</w:t>
      </w:r>
      <w:r w:rsidR="00A025B1" w:rsidRPr="00B56069">
        <w:rPr>
          <w:color w:val="222222"/>
          <w:shd w:val="clear" w:color="auto" w:fill="FFFFFF"/>
        </w:rPr>
        <w:t>aptive breeding populations of</w:t>
      </w:r>
      <w:r w:rsidRPr="00B56069">
        <w:rPr>
          <w:color w:val="222222"/>
          <w:shd w:val="clear" w:color="auto" w:fill="FFFFFF"/>
        </w:rPr>
        <w:t xml:space="preserve"> </w:t>
      </w:r>
      <w:r w:rsidRPr="00B56069">
        <w:rPr>
          <w:i/>
          <w:iCs/>
        </w:rPr>
        <w:t xml:space="preserve">S. </w:t>
      </w:r>
      <w:proofErr w:type="spellStart"/>
      <w:r w:rsidRPr="00B56069">
        <w:rPr>
          <w:i/>
          <w:iCs/>
        </w:rPr>
        <w:t>denisonii</w:t>
      </w:r>
      <w:proofErr w:type="spellEnd"/>
      <w:r w:rsidRPr="00B56069">
        <w:rPr>
          <w:color w:val="222222"/>
          <w:shd w:val="clear" w:color="auto" w:fill="FFFFFF"/>
        </w:rPr>
        <w:t xml:space="preserve"> </w:t>
      </w:r>
      <w:r w:rsidR="00A025B1" w:rsidRPr="00B56069">
        <w:rPr>
          <w:color w:val="222222"/>
          <w:shd w:val="clear" w:color="auto" w:fill="FFFFFF"/>
        </w:rPr>
        <w:t xml:space="preserve">currently exist </w:t>
      </w:r>
      <w:r w:rsidRPr="00B56069">
        <w:rPr>
          <w:color w:val="222222"/>
          <w:shd w:val="clear" w:color="auto" w:fill="FFFFFF"/>
        </w:rPr>
        <w:t xml:space="preserve">in the Australian hobby </w:t>
      </w:r>
      <w:r w:rsidR="00A025B1" w:rsidRPr="00B56069">
        <w:rPr>
          <w:color w:val="222222"/>
          <w:shd w:val="clear" w:color="auto" w:fill="FFFFFF"/>
        </w:rPr>
        <w:t xml:space="preserve">supplying a limited domestic trade </w:t>
      </w:r>
      <w:r w:rsidRPr="00B56069">
        <w:rPr>
          <w:color w:val="222222"/>
          <w:shd w:val="clear" w:color="auto" w:fill="FFFFFF"/>
        </w:rPr>
        <w:t xml:space="preserve">─ these </w:t>
      </w:r>
      <w:r w:rsidR="00201817" w:rsidRPr="00B56069">
        <w:rPr>
          <w:color w:val="222222"/>
          <w:shd w:val="clear" w:color="auto" w:fill="FFFFFF"/>
        </w:rPr>
        <w:t xml:space="preserve">populations </w:t>
      </w:r>
      <w:r w:rsidRPr="00B56069">
        <w:rPr>
          <w:color w:val="222222"/>
          <w:shd w:val="clear" w:color="auto" w:fill="FFFFFF"/>
        </w:rPr>
        <w:t xml:space="preserve">have not </w:t>
      </w:r>
      <w:r w:rsidR="006738A0" w:rsidRPr="00B56069">
        <w:rPr>
          <w:color w:val="222222"/>
          <w:shd w:val="clear" w:color="auto" w:fill="FFFFFF"/>
        </w:rPr>
        <w:t xml:space="preserve">led to </w:t>
      </w:r>
      <w:r w:rsidRPr="00B56069">
        <w:rPr>
          <w:color w:val="222222"/>
          <w:shd w:val="clear" w:color="auto" w:fill="FFFFFF"/>
        </w:rPr>
        <w:t xml:space="preserve">the establishment of feral populations in Australia. </w:t>
      </w:r>
    </w:p>
    <w:p w14:paraId="2F183FC1" w14:textId="70FA74B9" w:rsidR="000923E5" w:rsidRPr="00B56069" w:rsidRDefault="00EE2614" w:rsidP="000923E5">
      <w:pPr>
        <w:tabs>
          <w:tab w:val="left" w:pos="0"/>
        </w:tabs>
        <w:rPr>
          <w:rFonts w:cs="Arial"/>
        </w:rPr>
      </w:pPr>
      <w:r w:rsidRPr="00B56069">
        <w:rPr>
          <w:i/>
          <w:iCs/>
        </w:rPr>
        <w:t xml:space="preserve">S. </w:t>
      </w:r>
      <w:proofErr w:type="spellStart"/>
      <w:r w:rsidRPr="00B56069">
        <w:rPr>
          <w:i/>
          <w:iCs/>
        </w:rPr>
        <w:t>denisonii</w:t>
      </w:r>
      <w:proofErr w:type="spellEnd"/>
      <w:r w:rsidRPr="00B56069">
        <w:rPr>
          <w:color w:val="222222"/>
          <w:shd w:val="clear" w:color="auto" w:fill="FFFFFF"/>
        </w:rPr>
        <w:t xml:space="preserve"> would be a welcome addition to the species </w:t>
      </w:r>
      <w:r w:rsidR="00040C36" w:rsidRPr="00B56069">
        <w:rPr>
          <w:color w:val="222222"/>
          <w:shd w:val="clear" w:color="auto" w:fill="FFFFFF"/>
        </w:rPr>
        <w:t xml:space="preserve">permitted </w:t>
      </w:r>
      <w:r w:rsidR="004F620D" w:rsidRPr="00B56069">
        <w:rPr>
          <w:color w:val="222222"/>
          <w:shd w:val="clear" w:color="auto" w:fill="FFFFFF"/>
        </w:rPr>
        <w:t xml:space="preserve">live </w:t>
      </w:r>
      <w:r w:rsidR="00040C36" w:rsidRPr="00B56069">
        <w:rPr>
          <w:color w:val="222222"/>
          <w:shd w:val="clear" w:color="auto" w:fill="FFFFFF"/>
        </w:rPr>
        <w:t>importation</w:t>
      </w:r>
      <w:r w:rsidRPr="00B56069">
        <w:rPr>
          <w:color w:val="222222"/>
          <w:shd w:val="clear" w:color="auto" w:fill="FFFFFF"/>
        </w:rPr>
        <w:t>, especially given the growing popularity of the hobby in Australia and the significant economic and social benefits of the aquarium fish trade to Australia.</w:t>
      </w:r>
      <w:bookmarkStart w:id="1" w:name="_Hlk58082911"/>
      <w:r w:rsidR="00600F29" w:rsidRPr="00B56069">
        <w:rPr>
          <w:color w:val="222222"/>
          <w:shd w:val="clear" w:color="auto" w:fill="FFFFFF"/>
        </w:rPr>
        <w:t xml:space="preserve"> T</w:t>
      </w:r>
      <w:r w:rsidR="00040C36" w:rsidRPr="00B56069">
        <w:t xml:space="preserve">he addition of </w:t>
      </w:r>
      <w:r w:rsidR="00040C36" w:rsidRPr="00B56069">
        <w:rPr>
          <w:i/>
          <w:iCs/>
        </w:rPr>
        <w:t xml:space="preserve">S. </w:t>
      </w:r>
      <w:proofErr w:type="spellStart"/>
      <w:r w:rsidR="00040C36" w:rsidRPr="00B56069">
        <w:rPr>
          <w:i/>
          <w:iCs/>
        </w:rPr>
        <w:t>denisonii</w:t>
      </w:r>
      <w:proofErr w:type="spellEnd"/>
      <w:r w:rsidR="00040C36" w:rsidRPr="00B56069">
        <w:t xml:space="preserve"> would be </w:t>
      </w:r>
      <w:r w:rsidR="00600F29" w:rsidRPr="00B56069">
        <w:t>consistent with current import policy</w:t>
      </w:r>
      <w:r w:rsidR="00040C36" w:rsidRPr="00B56069">
        <w:t xml:space="preserve"> given that the species is present in Australia and </w:t>
      </w:r>
      <w:r w:rsidR="001E7EC1" w:rsidRPr="00B56069">
        <w:t xml:space="preserve">given </w:t>
      </w:r>
      <w:r w:rsidR="00040C36" w:rsidRPr="00B56069">
        <w:t xml:space="preserve">that it </w:t>
      </w:r>
      <w:r w:rsidR="001E7EC1" w:rsidRPr="00B56069">
        <w:t xml:space="preserve">is </w:t>
      </w:r>
      <w:r w:rsidR="00040C36" w:rsidRPr="00B56069">
        <w:t xml:space="preserve">closely related to and shares a similar environmental risk profile </w:t>
      </w:r>
      <w:r w:rsidR="004A69F4" w:rsidRPr="00B56069">
        <w:t xml:space="preserve">with </w:t>
      </w:r>
      <w:r w:rsidR="00313486" w:rsidRPr="00B56069">
        <w:t xml:space="preserve">other </w:t>
      </w:r>
      <w:r w:rsidR="00040C36" w:rsidRPr="00B56069">
        <w:t xml:space="preserve">species </w:t>
      </w:r>
      <w:r w:rsidR="001E7EC1" w:rsidRPr="00B56069">
        <w:t>currently</w:t>
      </w:r>
      <w:r w:rsidR="00040C36" w:rsidRPr="00B56069">
        <w:t xml:space="preserve"> permitted live importation to Australia.</w:t>
      </w:r>
      <w:r w:rsidR="000923E5" w:rsidRPr="00B56069">
        <w:t xml:space="preserve"> </w:t>
      </w:r>
      <w:r w:rsidR="000923E5" w:rsidRPr="00B56069">
        <w:br/>
      </w:r>
      <w:r w:rsidR="000923E5" w:rsidRPr="00B56069">
        <w:br/>
        <w:t xml:space="preserve">A structured risk assessment </w:t>
      </w:r>
      <w:r w:rsidR="00D3207A" w:rsidRPr="00B56069">
        <w:t xml:space="preserve">of </w:t>
      </w:r>
      <w:r w:rsidR="00D3207A" w:rsidRPr="00B56069">
        <w:rPr>
          <w:i/>
          <w:iCs/>
        </w:rPr>
        <w:t xml:space="preserve">S. </w:t>
      </w:r>
      <w:proofErr w:type="spellStart"/>
      <w:r w:rsidR="00D3207A" w:rsidRPr="00B56069">
        <w:rPr>
          <w:i/>
          <w:iCs/>
        </w:rPr>
        <w:t>denisonii</w:t>
      </w:r>
      <w:proofErr w:type="spellEnd"/>
      <w:r w:rsidR="00D3207A" w:rsidRPr="00B56069">
        <w:rPr>
          <w:color w:val="222222"/>
          <w:shd w:val="clear" w:color="auto" w:fill="FFFFFF"/>
        </w:rPr>
        <w:t xml:space="preserve"> </w:t>
      </w:r>
      <w:r w:rsidR="000923E5" w:rsidRPr="00B56069">
        <w:t xml:space="preserve">based on the methodology of </w:t>
      </w:r>
      <w:proofErr w:type="spellStart"/>
      <w:r w:rsidR="000923E5" w:rsidRPr="00B56069">
        <w:t>Bomford</w:t>
      </w:r>
      <w:proofErr w:type="spellEnd"/>
      <w:r w:rsidR="000923E5" w:rsidRPr="00B56069">
        <w:t xml:space="preserve"> (2008) </w:t>
      </w:r>
      <w:r w:rsidR="000923E5" w:rsidRPr="00B56069">
        <w:rPr>
          <w:rFonts w:cs="Arial"/>
        </w:rPr>
        <w:t>estimated a ‘</w:t>
      </w:r>
      <w:r w:rsidR="00F656D7" w:rsidRPr="00B56069">
        <w:rPr>
          <w:rFonts w:cs="Arial"/>
        </w:rPr>
        <w:t>moderate</w:t>
      </w:r>
      <w:r w:rsidR="000923E5" w:rsidRPr="00B56069">
        <w:rPr>
          <w:rFonts w:cs="Arial"/>
        </w:rPr>
        <w:t xml:space="preserve">’ risk, generally </w:t>
      </w:r>
      <w:r w:rsidR="00F656D7" w:rsidRPr="00B56069">
        <w:rPr>
          <w:rFonts w:cs="Arial"/>
        </w:rPr>
        <w:t xml:space="preserve">consistent with </w:t>
      </w:r>
      <w:r w:rsidR="000923E5" w:rsidRPr="00B56069">
        <w:rPr>
          <w:rFonts w:cs="Arial"/>
        </w:rPr>
        <w:t xml:space="preserve">the risk that would be posed by most of the species currently permitted live importation to Australia. It is recommended that </w:t>
      </w:r>
      <w:r w:rsidR="000923E5" w:rsidRPr="00B56069">
        <w:rPr>
          <w:rFonts w:cs="Arial"/>
          <w:i/>
          <w:iCs/>
        </w:rPr>
        <w:t xml:space="preserve">S. </w:t>
      </w:r>
      <w:proofErr w:type="spellStart"/>
      <w:r w:rsidR="000923E5" w:rsidRPr="00B56069">
        <w:rPr>
          <w:rFonts w:cs="Arial"/>
          <w:i/>
          <w:iCs/>
        </w:rPr>
        <w:t>denisonii</w:t>
      </w:r>
      <w:proofErr w:type="spellEnd"/>
      <w:r w:rsidR="000923E5" w:rsidRPr="00B56069">
        <w:rPr>
          <w:rFonts w:cs="Arial"/>
        </w:rPr>
        <w:t xml:space="preserve"> is added to the Live Import List.</w:t>
      </w:r>
    </w:p>
    <w:bookmarkEnd w:id="1"/>
    <w:p w14:paraId="3BC1650B" w14:textId="77777777" w:rsidR="00113BAC" w:rsidRPr="00B56069" w:rsidRDefault="00113BAC" w:rsidP="00EE2614">
      <w:pPr>
        <w:pStyle w:val="ListNumber"/>
        <w:numPr>
          <w:ilvl w:val="0"/>
          <w:numId w:val="0"/>
        </w:numPr>
        <w:rPr>
          <w:b/>
          <w:bCs/>
          <w:color w:val="222222"/>
          <w:shd w:val="clear" w:color="auto" w:fill="FFFFFF"/>
        </w:rPr>
      </w:pPr>
    </w:p>
    <w:p w14:paraId="6278E917" w14:textId="71AA1036" w:rsidR="00EE2614" w:rsidRPr="00B56069" w:rsidRDefault="00113BAC" w:rsidP="00EE2614">
      <w:pPr>
        <w:pStyle w:val="ListNumber"/>
        <w:numPr>
          <w:ilvl w:val="0"/>
          <w:numId w:val="0"/>
        </w:numPr>
        <w:rPr>
          <w:b/>
          <w:bCs/>
          <w:color w:val="222222"/>
          <w:shd w:val="clear" w:color="auto" w:fill="FFFFFF"/>
        </w:rPr>
      </w:pPr>
      <w:r w:rsidRPr="00B56069">
        <w:rPr>
          <w:b/>
          <w:bCs/>
          <w:color w:val="222222"/>
          <w:shd w:val="clear" w:color="auto" w:fill="FFFFFF"/>
        </w:rPr>
        <w:t>DAWE terms of reference</w:t>
      </w:r>
    </w:p>
    <w:p w14:paraId="47642E69" w14:textId="3FE7FEAC" w:rsidR="00A33C5A" w:rsidRPr="00B56069" w:rsidRDefault="00A33C5A" w:rsidP="00FD34A3">
      <w:pPr>
        <w:pStyle w:val="ListNumber"/>
        <w:rPr>
          <w:i/>
          <w:iCs/>
        </w:rPr>
      </w:pPr>
      <w:r w:rsidRPr="00B56069">
        <w:rPr>
          <w:i/>
          <w:iCs/>
        </w:rPr>
        <w:t xml:space="preserve">Provide information on the taxonomy of the species. </w:t>
      </w:r>
    </w:p>
    <w:p w14:paraId="46D9C705" w14:textId="0AA3B673" w:rsidR="00E47549" w:rsidRPr="00B56069" w:rsidRDefault="00E47549" w:rsidP="0083088D">
      <w:pPr>
        <w:pStyle w:val="ListNumber2"/>
        <w:numPr>
          <w:ilvl w:val="1"/>
          <w:numId w:val="18"/>
        </w:numPr>
      </w:pPr>
      <w:r w:rsidRPr="00B56069">
        <w:t xml:space="preserve">Denison </w:t>
      </w:r>
      <w:r w:rsidR="00B8440E" w:rsidRPr="00B56069">
        <w:t xml:space="preserve">barb or Torpedo </w:t>
      </w:r>
      <w:r w:rsidRPr="00B56069">
        <w:t>barb</w:t>
      </w:r>
      <w:r w:rsidR="00B8440E" w:rsidRPr="00B56069">
        <w:t xml:space="preserve"> </w:t>
      </w:r>
      <w:bookmarkStart w:id="2" w:name="_Hlk58141807"/>
      <w:proofErr w:type="spellStart"/>
      <w:r w:rsidRPr="00B56069">
        <w:rPr>
          <w:i/>
          <w:iCs/>
        </w:rPr>
        <w:t>Sahyadria</w:t>
      </w:r>
      <w:proofErr w:type="spellEnd"/>
      <w:r w:rsidRPr="00B56069">
        <w:rPr>
          <w:i/>
          <w:iCs/>
        </w:rPr>
        <w:t xml:space="preserve"> </w:t>
      </w:r>
      <w:proofErr w:type="spellStart"/>
      <w:r w:rsidRPr="00B56069">
        <w:rPr>
          <w:i/>
          <w:iCs/>
        </w:rPr>
        <w:t>denisonii</w:t>
      </w:r>
      <w:proofErr w:type="spellEnd"/>
      <w:r w:rsidR="00C44404" w:rsidRPr="00B56069">
        <w:t xml:space="preserve"> </w:t>
      </w:r>
      <w:r w:rsidRPr="00B56069">
        <w:t>Day 1865</w:t>
      </w:r>
      <w:bookmarkEnd w:id="2"/>
      <w:r w:rsidR="00A94FF2" w:rsidRPr="00B56069">
        <w:rPr>
          <w:i/>
          <w:iCs/>
        </w:rPr>
        <w:t>.</w:t>
      </w:r>
    </w:p>
    <w:p w14:paraId="2BB4F597" w14:textId="296525AE" w:rsidR="00E47549" w:rsidRPr="00B56069" w:rsidRDefault="00E47549" w:rsidP="0083088D">
      <w:pPr>
        <w:pStyle w:val="ListNumber2"/>
        <w:numPr>
          <w:ilvl w:val="1"/>
          <w:numId w:val="18"/>
        </w:numPr>
      </w:pPr>
      <w:r w:rsidRPr="00B56069">
        <w:t xml:space="preserve">Actinopterygii (ray-finned fishes); </w:t>
      </w:r>
      <w:proofErr w:type="spellStart"/>
      <w:r w:rsidRPr="00B56069">
        <w:t>Cypriniformes</w:t>
      </w:r>
      <w:proofErr w:type="spellEnd"/>
      <w:r w:rsidRPr="00B56069">
        <w:t xml:space="preserve"> (Carps); </w:t>
      </w:r>
      <w:proofErr w:type="spellStart"/>
      <w:r w:rsidRPr="00B56069">
        <w:t>Cyprinidae</w:t>
      </w:r>
      <w:proofErr w:type="spellEnd"/>
      <w:r w:rsidRPr="00B56069">
        <w:t xml:space="preserve"> (Minnows or carps); </w:t>
      </w:r>
      <w:r w:rsidR="004B6DFD" w:rsidRPr="00B56069">
        <w:t xml:space="preserve">Sub-family </w:t>
      </w:r>
      <w:proofErr w:type="spellStart"/>
      <w:r w:rsidRPr="00B56069">
        <w:t>Barbinae</w:t>
      </w:r>
      <w:proofErr w:type="spellEnd"/>
      <w:r w:rsidR="00FF66AF" w:rsidRPr="00B56069">
        <w:t>.</w:t>
      </w:r>
    </w:p>
    <w:p w14:paraId="035253C1" w14:textId="2E3E763D" w:rsidR="005A5586" w:rsidRPr="00B56069" w:rsidRDefault="005A5586" w:rsidP="0083088D">
      <w:pPr>
        <w:pStyle w:val="ListNumber2"/>
        <w:numPr>
          <w:ilvl w:val="1"/>
          <w:numId w:val="18"/>
        </w:numPr>
      </w:pPr>
      <w:r w:rsidRPr="00B56069">
        <w:t xml:space="preserve">Synonyms: </w:t>
      </w:r>
      <w:proofErr w:type="spellStart"/>
      <w:r w:rsidRPr="00B56069">
        <w:rPr>
          <w:i/>
          <w:iCs/>
        </w:rPr>
        <w:t>Labeo</w:t>
      </w:r>
      <w:proofErr w:type="spellEnd"/>
      <w:r w:rsidRPr="00B56069">
        <w:rPr>
          <w:i/>
          <w:iCs/>
        </w:rPr>
        <w:t xml:space="preserve"> </w:t>
      </w:r>
      <w:proofErr w:type="spellStart"/>
      <w:r w:rsidRPr="00B56069">
        <w:rPr>
          <w:i/>
          <w:iCs/>
        </w:rPr>
        <w:t>denisonii</w:t>
      </w:r>
      <w:proofErr w:type="spellEnd"/>
      <w:r w:rsidRPr="00B56069">
        <w:t xml:space="preserve">; </w:t>
      </w:r>
      <w:r w:rsidRPr="00B56069">
        <w:rPr>
          <w:i/>
          <w:iCs/>
        </w:rPr>
        <w:t xml:space="preserve">Puntius </w:t>
      </w:r>
      <w:proofErr w:type="spellStart"/>
      <w:r w:rsidRPr="00B56069">
        <w:rPr>
          <w:i/>
          <w:iCs/>
        </w:rPr>
        <w:t>denisonii</w:t>
      </w:r>
      <w:proofErr w:type="spellEnd"/>
      <w:r w:rsidRPr="00B56069">
        <w:t xml:space="preserve"> (Day 1865)</w:t>
      </w:r>
      <w:r w:rsidR="00FF66AF" w:rsidRPr="00B56069">
        <w:t>.</w:t>
      </w:r>
    </w:p>
    <w:p w14:paraId="394C9020" w14:textId="6C88E1B5" w:rsidR="00213C8D" w:rsidRPr="00B56069" w:rsidRDefault="00213C8D" w:rsidP="0083088D">
      <w:pPr>
        <w:pStyle w:val="ListNumber2"/>
        <w:numPr>
          <w:ilvl w:val="1"/>
          <w:numId w:val="18"/>
        </w:numPr>
      </w:pPr>
      <w:r w:rsidRPr="00B56069">
        <w:t xml:space="preserve">Common names: </w:t>
      </w:r>
      <w:r w:rsidR="00B8440E" w:rsidRPr="00B56069">
        <w:t xml:space="preserve">Denison Barb, Torpedo </w:t>
      </w:r>
      <w:r w:rsidR="0050462C" w:rsidRPr="00B56069">
        <w:t>B</w:t>
      </w:r>
      <w:r w:rsidR="00B8440E" w:rsidRPr="00B56069">
        <w:t xml:space="preserve">arb, </w:t>
      </w:r>
      <w:r w:rsidRPr="00B56069">
        <w:t>Red Line Torpedo Barb, Miss Kerala</w:t>
      </w:r>
      <w:r w:rsidR="00DB022E" w:rsidRPr="00B56069">
        <w:t xml:space="preserve">, Red </w:t>
      </w:r>
      <w:r w:rsidR="0050462C" w:rsidRPr="00B56069">
        <w:t>C</w:t>
      </w:r>
      <w:r w:rsidR="00DB022E" w:rsidRPr="00B56069">
        <w:t xml:space="preserve">omet </w:t>
      </w:r>
      <w:r w:rsidR="0050462C" w:rsidRPr="00B56069">
        <w:t>B</w:t>
      </w:r>
      <w:r w:rsidR="00DB022E" w:rsidRPr="00B56069">
        <w:t xml:space="preserve">arb, Redline </w:t>
      </w:r>
      <w:r w:rsidR="0050462C" w:rsidRPr="00B56069">
        <w:t>B</w:t>
      </w:r>
      <w:r w:rsidR="00DB022E" w:rsidRPr="00B56069">
        <w:t xml:space="preserve">arb, Roseline </w:t>
      </w:r>
      <w:r w:rsidR="0050462C" w:rsidRPr="00B56069">
        <w:t>S</w:t>
      </w:r>
      <w:r w:rsidR="00DB022E" w:rsidRPr="00B56069">
        <w:t xml:space="preserve">hark, Denison’s </w:t>
      </w:r>
      <w:r w:rsidR="0050462C" w:rsidRPr="00B56069">
        <w:t>F</w:t>
      </w:r>
      <w:r w:rsidR="00DB022E" w:rsidRPr="00B56069">
        <w:t xml:space="preserve">lying </w:t>
      </w:r>
      <w:proofErr w:type="gramStart"/>
      <w:r w:rsidR="0050462C" w:rsidRPr="00B56069">
        <w:t>F</w:t>
      </w:r>
      <w:r w:rsidR="00DB022E" w:rsidRPr="00B56069">
        <w:t>ox</w:t>
      </w:r>
      <w:proofErr w:type="gramEnd"/>
      <w:r w:rsidR="00B8440E" w:rsidRPr="00B56069">
        <w:t xml:space="preserve"> and</w:t>
      </w:r>
      <w:r w:rsidR="00DB022E" w:rsidRPr="00B56069">
        <w:t xml:space="preserve"> Bleeding </w:t>
      </w:r>
      <w:r w:rsidR="0050462C" w:rsidRPr="00B56069">
        <w:t>E</w:t>
      </w:r>
      <w:r w:rsidR="00DB022E" w:rsidRPr="00B56069">
        <w:t xml:space="preserve">ye </w:t>
      </w:r>
      <w:r w:rsidR="0050462C" w:rsidRPr="00B56069">
        <w:t>B</w:t>
      </w:r>
      <w:r w:rsidR="00DB022E" w:rsidRPr="00B56069">
        <w:t xml:space="preserve">arb </w:t>
      </w:r>
      <w:r w:rsidR="00085D7E" w:rsidRPr="00B56069">
        <w:t>(Page 2020)</w:t>
      </w:r>
      <w:r w:rsidR="00B8440E" w:rsidRPr="00B56069">
        <w:t>.</w:t>
      </w:r>
      <w:r w:rsidR="007959E0" w:rsidRPr="00B56069">
        <w:t xml:space="preserve"> </w:t>
      </w:r>
    </w:p>
    <w:p w14:paraId="695543E4" w14:textId="513D3764" w:rsidR="00A33C5A" w:rsidRPr="00B56069" w:rsidRDefault="00A33C5A" w:rsidP="00FD34A3">
      <w:pPr>
        <w:pStyle w:val="ListNumber"/>
        <w:rPr>
          <w:i/>
          <w:iCs/>
        </w:rPr>
      </w:pPr>
      <w:r w:rsidRPr="00B56069">
        <w:rPr>
          <w:i/>
          <w:iCs/>
        </w:rPr>
        <w:t xml:space="preserve">Provide information on the status of the species under the Convention on International Trade in Endangered Species of </w:t>
      </w:r>
      <w:r w:rsidR="005D2B6A" w:rsidRPr="00B56069">
        <w:rPr>
          <w:i/>
          <w:iCs/>
        </w:rPr>
        <w:t xml:space="preserve">Wild </w:t>
      </w:r>
      <w:r w:rsidRPr="00B56069">
        <w:rPr>
          <w:i/>
          <w:iCs/>
        </w:rPr>
        <w:t xml:space="preserve">Fauna and Flora (CITES). For example, is the species listed on CITES Appendix I, II or III, and if so, are there any specific restrictions on the movement of this species? Include information on the conservation value of the species. </w:t>
      </w:r>
    </w:p>
    <w:p w14:paraId="6BDF8501" w14:textId="379793CA" w:rsidR="00901C3F" w:rsidRPr="00B56069" w:rsidRDefault="00B539C6" w:rsidP="0083088D">
      <w:pPr>
        <w:pStyle w:val="ListNumber2"/>
        <w:numPr>
          <w:ilvl w:val="1"/>
          <w:numId w:val="19"/>
        </w:numPr>
      </w:pPr>
      <w:r w:rsidRPr="00B56069">
        <w:rPr>
          <w:i/>
          <w:iCs/>
        </w:rPr>
        <w:t xml:space="preserve">S. </w:t>
      </w:r>
      <w:proofErr w:type="spellStart"/>
      <w:r w:rsidRPr="00B56069">
        <w:rPr>
          <w:i/>
          <w:iCs/>
        </w:rPr>
        <w:t>denisonii</w:t>
      </w:r>
      <w:proofErr w:type="spellEnd"/>
      <w:r w:rsidR="00D24B48" w:rsidRPr="00B56069">
        <w:t xml:space="preserve"> </w:t>
      </w:r>
      <w:r w:rsidR="00901C3F" w:rsidRPr="00B56069">
        <w:t>is not CITES listed</w:t>
      </w:r>
      <w:r w:rsidR="00FF66AF" w:rsidRPr="00B56069">
        <w:t>.</w:t>
      </w:r>
    </w:p>
    <w:p w14:paraId="3482D7C3" w14:textId="79C906D6" w:rsidR="00901C3F" w:rsidRPr="00B56069" w:rsidRDefault="00C558ED" w:rsidP="0083088D">
      <w:pPr>
        <w:pStyle w:val="ListNumber2"/>
        <w:numPr>
          <w:ilvl w:val="1"/>
          <w:numId w:val="19"/>
        </w:numPr>
      </w:pPr>
      <w:r w:rsidRPr="00B56069">
        <w:lastRenderedPageBreak/>
        <w:t xml:space="preserve">The species is listed on the IUCN’s Red List </w:t>
      </w:r>
      <w:r w:rsidR="008B43BC" w:rsidRPr="00B56069">
        <w:t>o</w:t>
      </w:r>
      <w:r w:rsidRPr="00B56069">
        <w:t xml:space="preserve">f Threatened Species </w:t>
      </w:r>
      <w:r w:rsidR="00961055" w:rsidRPr="00B56069">
        <w:t xml:space="preserve">(Endangered category) </w:t>
      </w:r>
      <w:r w:rsidRPr="00B56069">
        <w:t xml:space="preserve">and </w:t>
      </w:r>
      <w:r w:rsidR="00FF66AF" w:rsidRPr="00B56069">
        <w:t>h</w:t>
      </w:r>
      <w:r w:rsidRPr="00B56069">
        <w:t>as some conservation value in the wild</w:t>
      </w:r>
      <w:r w:rsidR="00D24B48" w:rsidRPr="00B56069">
        <w:t xml:space="preserve"> </w:t>
      </w:r>
      <w:r w:rsidR="00A25DBE" w:rsidRPr="00B56069">
        <w:t xml:space="preserve">(Ali </w:t>
      </w:r>
      <w:r w:rsidR="00980826" w:rsidRPr="00B56069">
        <w:rPr>
          <w:i/>
          <w:iCs/>
        </w:rPr>
        <w:t>et al.</w:t>
      </w:r>
      <w:r w:rsidR="00A25DBE" w:rsidRPr="00B56069">
        <w:t xml:space="preserve"> 2015)</w:t>
      </w:r>
      <w:r w:rsidR="002E2ADB" w:rsidRPr="00B56069">
        <w:t>.</w:t>
      </w:r>
      <w:r w:rsidR="00A25DBE" w:rsidRPr="00B56069">
        <w:t xml:space="preserve"> </w:t>
      </w:r>
    </w:p>
    <w:p w14:paraId="25283920" w14:textId="301837C7" w:rsidR="004F0811" w:rsidRPr="00B56069" w:rsidRDefault="00C558ED" w:rsidP="0083088D">
      <w:pPr>
        <w:pStyle w:val="ListNumber2"/>
        <w:numPr>
          <w:ilvl w:val="1"/>
          <w:numId w:val="19"/>
        </w:numPr>
      </w:pPr>
      <w:r w:rsidRPr="00B56069">
        <w:t>Th</w:t>
      </w:r>
      <w:r w:rsidR="00DE01FA" w:rsidRPr="00B56069">
        <w:t>e</w:t>
      </w:r>
      <w:r w:rsidRPr="00B56069">
        <w:t xml:space="preserve"> species is native to southern India </w:t>
      </w:r>
      <w:r w:rsidR="00E02B9A" w:rsidRPr="00B56069">
        <w:t xml:space="preserve">(Western Ghats) </w:t>
      </w:r>
      <w:r w:rsidRPr="00B56069">
        <w:t>where wild population</w:t>
      </w:r>
      <w:r w:rsidR="00FB64DD" w:rsidRPr="00B56069">
        <w:t>s</w:t>
      </w:r>
      <w:r w:rsidRPr="00B56069">
        <w:t xml:space="preserve"> are under pressure from collection to supply the aquarium trade. </w:t>
      </w:r>
      <w:r w:rsidR="00D24B48" w:rsidRPr="00B56069">
        <w:t xml:space="preserve">The low abundance, gregarious and aggregating nature, easy location of habitats and/or aggregating locations, together with an increasing market demand and popularity, make </w:t>
      </w:r>
      <w:r w:rsidR="00D24B48" w:rsidRPr="00B56069">
        <w:rPr>
          <w:i/>
          <w:iCs/>
        </w:rPr>
        <w:t xml:space="preserve">P. </w:t>
      </w:r>
      <w:proofErr w:type="spellStart"/>
      <w:r w:rsidR="00D24B48" w:rsidRPr="00B56069">
        <w:rPr>
          <w:i/>
          <w:iCs/>
        </w:rPr>
        <w:t>denisonii</w:t>
      </w:r>
      <w:proofErr w:type="spellEnd"/>
      <w:r w:rsidR="00D24B48" w:rsidRPr="00B56069">
        <w:t xml:space="preserve"> vulnerable to overfishing and possible endangerment (Raghavan </w:t>
      </w:r>
      <w:r w:rsidR="00980826" w:rsidRPr="00B56069">
        <w:rPr>
          <w:i/>
          <w:iCs/>
        </w:rPr>
        <w:t>et al.</w:t>
      </w:r>
      <w:r w:rsidR="00D24B48" w:rsidRPr="00B56069">
        <w:t xml:space="preserve"> 2009).</w:t>
      </w:r>
    </w:p>
    <w:p w14:paraId="75D948F2" w14:textId="0137CE88" w:rsidR="00D24B48" w:rsidRPr="00B56069" w:rsidRDefault="00D24B48" w:rsidP="0083088D">
      <w:pPr>
        <w:pStyle w:val="ListNumber2"/>
        <w:numPr>
          <w:ilvl w:val="1"/>
          <w:numId w:val="19"/>
        </w:numPr>
      </w:pPr>
      <w:r w:rsidRPr="00B56069">
        <w:t xml:space="preserve">Mercy </w:t>
      </w:r>
      <w:r w:rsidR="00980826" w:rsidRPr="00B56069">
        <w:rPr>
          <w:i/>
          <w:iCs/>
        </w:rPr>
        <w:t>et al.</w:t>
      </w:r>
      <w:r w:rsidRPr="00B56069">
        <w:t xml:space="preserve"> (2015) note</w:t>
      </w:r>
      <w:r w:rsidR="00A61FED" w:rsidRPr="00B56069">
        <w:t>d</w:t>
      </w:r>
      <w:r w:rsidRPr="00B56069">
        <w:t xml:space="preserve"> that ‘measures to minimise the likelihood of imported specimens being source from the wild, </w:t>
      </w:r>
      <w:proofErr w:type="gramStart"/>
      <w:r w:rsidRPr="00B56069">
        <w:t>i.e.</w:t>
      </w:r>
      <w:proofErr w:type="gramEnd"/>
      <w:r w:rsidRPr="00B56069">
        <w:t xml:space="preserve"> ensuring that imports are captive bred, would negate this risk to conservation value. Indeed, encouraging the trade in captive </w:t>
      </w:r>
      <w:r w:rsidR="002E2ADB" w:rsidRPr="00B56069">
        <w:t>R</w:t>
      </w:r>
      <w:r w:rsidRPr="00B56069">
        <w:t xml:space="preserve">ed </w:t>
      </w:r>
      <w:r w:rsidR="002E2ADB" w:rsidRPr="00B56069">
        <w:t>L</w:t>
      </w:r>
      <w:r w:rsidR="00A61FED" w:rsidRPr="00B56069">
        <w:t xml:space="preserve">ist </w:t>
      </w:r>
      <w:r w:rsidRPr="00B56069">
        <w:t xml:space="preserve">fish will reduce the risk of fish being sourced internationally from the wild’. </w:t>
      </w:r>
    </w:p>
    <w:p w14:paraId="0B1C4B1C" w14:textId="0D92C6D6" w:rsidR="00C558ED" w:rsidRPr="00B56069" w:rsidRDefault="00D24B48" w:rsidP="0083088D">
      <w:pPr>
        <w:pStyle w:val="ListNumber2"/>
        <w:numPr>
          <w:ilvl w:val="1"/>
          <w:numId w:val="19"/>
        </w:numPr>
      </w:pPr>
      <w:r w:rsidRPr="00B56069">
        <w:t xml:space="preserve">Mercy </w:t>
      </w:r>
      <w:r w:rsidR="00980826" w:rsidRPr="00B56069">
        <w:rPr>
          <w:i/>
          <w:iCs/>
        </w:rPr>
        <w:t>et al.</w:t>
      </w:r>
      <w:r w:rsidRPr="00B56069">
        <w:t xml:space="preserve"> (2015) documented the first success of captive breeding and early developmental studies of </w:t>
      </w:r>
      <w:r w:rsidRPr="00B56069">
        <w:rPr>
          <w:i/>
          <w:iCs/>
        </w:rPr>
        <w:t xml:space="preserve">S. </w:t>
      </w:r>
      <w:proofErr w:type="spellStart"/>
      <w:r w:rsidRPr="00B56069">
        <w:rPr>
          <w:i/>
          <w:iCs/>
        </w:rPr>
        <w:t>denisonii</w:t>
      </w:r>
      <w:proofErr w:type="spellEnd"/>
      <w:r w:rsidRPr="00B56069">
        <w:t xml:space="preserve">. </w:t>
      </w:r>
      <w:r w:rsidR="00C558ED" w:rsidRPr="00B56069">
        <w:t xml:space="preserve">Over recent years </w:t>
      </w:r>
      <w:r w:rsidR="00FB64DD" w:rsidRPr="00B56069">
        <w:t xml:space="preserve">captive breeding methods have been developed and commercial numbers of captive bred specimens are </w:t>
      </w:r>
      <w:r w:rsidR="002E2ADB" w:rsidRPr="00B56069">
        <w:t>sold internationally</w:t>
      </w:r>
      <w:r w:rsidR="00FB64DD" w:rsidRPr="00B56069">
        <w:t xml:space="preserve">. </w:t>
      </w:r>
    </w:p>
    <w:p w14:paraId="623BC490" w14:textId="437970DE" w:rsidR="00C74749" w:rsidRPr="00B56069" w:rsidRDefault="00C74749" w:rsidP="0083088D">
      <w:pPr>
        <w:pStyle w:val="ListNumber2"/>
        <w:numPr>
          <w:ilvl w:val="1"/>
          <w:numId w:val="19"/>
        </w:numPr>
      </w:pPr>
      <w:r w:rsidRPr="00B56069">
        <w:t>The species has been traded internationally as a</w:t>
      </w:r>
      <w:r w:rsidR="00777168">
        <w:t>n aquarium species for 30 years</w:t>
      </w:r>
      <w:r w:rsidRPr="00B56069">
        <w:t>.</w:t>
      </w:r>
    </w:p>
    <w:p w14:paraId="0C133087" w14:textId="758F09B4" w:rsidR="004B2490" w:rsidRPr="00B56069" w:rsidRDefault="00A33C5A" w:rsidP="00E02B9A">
      <w:pPr>
        <w:pStyle w:val="ListNumber"/>
        <w:rPr>
          <w:i/>
          <w:iCs/>
        </w:rPr>
      </w:pPr>
      <w:r w:rsidRPr="00B56069">
        <w:rPr>
          <w:i/>
          <w:iCs/>
        </w:rPr>
        <w:t>Provide information about the ecology of the species</w:t>
      </w:r>
      <w:r w:rsidR="001676BF" w:rsidRPr="00B56069">
        <w:rPr>
          <w:i/>
          <w:iCs/>
        </w:rPr>
        <w:t>.</w:t>
      </w:r>
    </w:p>
    <w:p w14:paraId="1A35958B" w14:textId="70B7FC24" w:rsidR="00A33C5A" w:rsidRPr="00B56069" w:rsidRDefault="003E7C08" w:rsidP="0083088D">
      <w:pPr>
        <w:pStyle w:val="ListBullet2"/>
        <w:numPr>
          <w:ilvl w:val="1"/>
          <w:numId w:val="20"/>
        </w:numPr>
      </w:pPr>
      <w:r w:rsidRPr="00B56069">
        <w:rPr>
          <w:i/>
          <w:iCs/>
        </w:rPr>
        <w:t>L</w:t>
      </w:r>
      <w:r w:rsidR="00A33C5A" w:rsidRPr="00B56069">
        <w:rPr>
          <w:i/>
          <w:iCs/>
        </w:rPr>
        <w:t>ifespan of the species</w:t>
      </w:r>
      <w:r w:rsidR="00012700" w:rsidRPr="00B56069">
        <w:t>:</w:t>
      </w:r>
      <w:r w:rsidR="00A33C5A" w:rsidRPr="00B56069">
        <w:t xml:space="preserve"> </w:t>
      </w:r>
      <w:r w:rsidR="00D76026" w:rsidRPr="00B56069">
        <w:t xml:space="preserve">5 years </w:t>
      </w:r>
      <w:r w:rsidR="00656793" w:rsidRPr="00B56069">
        <w:t>(Sharp</w:t>
      </w:r>
      <w:r w:rsidR="006C2276" w:rsidRPr="00B56069">
        <w:t>e</w:t>
      </w:r>
      <w:r w:rsidR="00656793" w:rsidRPr="00B56069">
        <w:t xml:space="preserve"> 2020)</w:t>
      </w:r>
      <w:r w:rsidR="001510D2" w:rsidRPr="00B56069">
        <w:t>.</w:t>
      </w:r>
    </w:p>
    <w:p w14:paraId="30F34E5E" w14:textId="03922EA9" w:rsidR="00F170AE" w:rsidRPr="00B56069" w:rsidRDefault="003E7C08" w:rsidP="0083088D">
      <w:pPr>
        <w:pStyle w:val="ListBullet2"/>
        <w:numPr>
          <w:ilvl w:val="1"/>
          <w:numId w:val="20"/>
        </w:numPr>
        <w:shd w:val="clear" w:color="auto" w:fill="FFFFFF" w:themeFill="background1"/>
      </w:pPr>
      <w:r w:rsidRPr="00B56069">
        <w:rPr>
          <w:i/>
          <w:iCs/>
        </w:rPr>
        <w:t>S</w:t>
      </w:r>
      <w:r w:rsidR="00A33C5A" w:rsidRPr="00B56069">
        <w:rPr>
          <w:i/>
          <w:iCs/>
        </w:rPr>
        <w:t>ize and weight range</w:t>
      </w:r>
      <w:r w:rsidR="00012700" w:rsidRPr="00B56069">
        <w:t>:</w:t>
      </w:r>
      <w:r w:rsidR="001510D2" w:rsidRPr="00B56069">
        <w:t xml:space="preserve"> </w:t>
      </w:r>
      <w:r w:rsidR="00012700" w:rsidRPr="00B56069">
        <w:t>S</w:t>
      </w:r>
      <w:r w:rsidR="00F170AE" w:rsidRPr="00B56069">
        <w:t>ize</w:t>
      </w:r>
      <w:r w:rsidR="005201A4" w:rsidRPr="00B56069">
        <w:t>s</w:t>
      </w:r>
      <w:r w:rsidR="00F170AE" w:rsidRPr="00B56069">
        <w:t xml:space="preserve"> </w:t>
      </w:r>
      <w:r w:rsidR="00012700" w:rsidRPr="00B56069">
        <w:t xml:space="preserve">in the wild </w:t>
      </w:r>
      <w:r w:rsidR="00DF081D" w:rsidRPr="00B56069">
        <w:t xml:space="preserve">populations </w:t>
      </w:r>
      <w:r w:rsidR="00012700" w:rsidRPr="00B56069">
        <w:t xml:space="preserve">range </w:t>
      </w:r>
      <w:r w:rsidR="00F170AE" w:rsidRPr="00B56069">
        <w:t>from 33mm</w:t>
      </w:r>
      <w:r w:rsidR="00DF081D" w:rsidRPr="00B56069">
        <w:t xml:space="preserve"> up to a m</w:t>
      </w:r>
      <w:r w:rsidR="00F170AE" w:rsidRPr="00B56069">
        <w:t xml:space="preserve">aximum </w:t>
      </w:r>
      <w:r w:rsidR="00DF081D" w:rsidRPr="00B56069">
        <w:t xml:space="preserve">of </w:t>
      </w:r>
      <w:r w:rsidR="00F170AE" w:rsidRPr="00B56069">
        <w:t>1</w:t>
      </w:r>
      <w:r w:rsidR="005201A4" w:rsidRPr="00B56069">
        <w:t>62</w:t>
      </w:r>
      <w:r w:rsidR="00F170AE" w:rsidRPr="00B56069">
        <w:t xml:space="preserve"> mm</w:t>
      </w:r>
      <w:r w:rsidR="005201A4" w:rsidRPr="00B56069">
        <w:t xml:space="preserve"> in </w:t>
      </w:r>
      <w:r w:rsidR="001510D2" w:rsidRPr="00B56069">
        <w:t xml:space="preserve">total </w:t>
      </w:r>
      <w:r w:rsidR="005201A4" w:rsidRPr="00B56069">
        <w:t>length</w:t>
      </w:r>
      <w:r w:rsidR="00012700" w:rsidRPr="00B56069">
        <w:t xml:space="preserve">, with the most common length being </w:t>
      </w:r>
      <w:r w:rsidR="00F170AE" w:rsidRPr="00B56069">
        <w:t>50-60 mm</w:t>
      </w:r>
      <w:r w:rsidR="005201A4" w:rsidRPr="00B56069">
        <w:t xml:space="preserve"> (</w:t>
      </w:r>
      <w:proofErr w:type="spellStart"/>
      <w:r w:rsidR="005201A4" w:rsidRPr="00B56069">
        <w:t>Sajan</w:t>
      </w:r>
      <w:proofErr w:type="spellEnd"/>
      <w:r w:rsidR="005201A4" w:rsidRPr="00B56069">
        <w:t xml:space="preserve"> </w:t>
      </w:r>
      <w:r w:rsidR="00980826" w:rsidRPr="00B56069">
        <w:rPr>
          <w:i/>
          <w:iCs/>
        </w:rPr>
        <w:t>et al.</w:t>
      </w:r>
      <w:r w:rsidR="005201A4" w:rsidRPr="00B56069">
        <w:t xml:space="preserve"> 2015). Studies of the species in different river systems indicate stock-specific variation in population structure </w:t>
      </w:r>
      <w:r w:rsidR="00DF081D" w:rsidRPr="00B56069">
        <w:t>(</w:t>
      </w:r>
      <w:proofErr w:type="spellStart"/>
      <w:r w:rsidR="00DF081D" w:rsidRPr="00B56069">
        <w:t>Sajan</w:t>
      </w:r>
      <w:proofErr w:type="spellEnd"/>
      <w:r w:rsidR="00DF081D" w:rsidRPr="00B56069">
        <w:t xml:space="preserve"> </w:t>
      </w:r>
      <w:r w:rsidR="00980826" w:rsidRPr="00B56069">
        <w:rPr>
          <w:i/>
          <w:iCs/>
        </w:rPr>
        <w:t>et al.</w:t>
      </w:r>
      <w:r w:rsidR="00DF081D" w:rsidRPr="00B56069">
        <w:t xml:space="preserve"> 2015</w:t>
      </w:r>
      <w:r w:rsidR="005201A4" w:rsidRPr="00B56069">
        <w:t>).</w:t>
      </w:r>
      <w:r w:rsidR="00641A44" w:rsidRPr="00B56069">
        <w:t xml:space="preserve"> </w:t>
      </w:r>
    </w:p>
    <w:p w14:paraId="26A608EC" w14:textId="537FE8F3" w:rsidR="00FB47DC" w:rsidRPr="00B56069" w:rsidRDefault="00DF081D" w:rsidP="0083088D">
      <w:pPr>
        <w:pStyle w:val="ListBullet2"/>
        <w:numPr>
          <w:ilvl w:val="1"/>
          <w:numId w:val="20"/>
        </w:numPr>
      </w:pPr>
      <w:r w:rsidRPr="00B56069">
        <w:rPr>
          <w:i/>
          <w:iCs/>
        </w:rPr>
        <w:t>N</w:t>
      </w:r>
      <w:r w:rsidR="00A33C5A" w:rsidRPr="00B56069">
        <w:rPr>
          <w:i/>
          <w:iCs/>
        </w:rPr>
        <w:t>atural geographic range</w:t>
      </w:r>
      <w:r w:rsidRPr="00B56069">
        <w:t>:</w:t>
      </w:r>
      <w:r w:rsidR="00A33C5A" w:rsidRPr="00B56069">
        <w:t xml:space="preserve"> </w:t>
      </w:r>
      <w:r w:rsidRPr="00B56069">
        <w:t>The species is</w:t>
      </w:r>
      <w:r w:rsidR="00D32B8A" w:rsidRPr="00B56069">
        <w:t xml:space="preserve"> a stenotherm </w:t>
      </w:r>
      <w:r w:rsidR="00652AFE" w:rsidRPr="00B56069">
        <w:t xml:space="preserve">(18-26 </w:t>
      </w:r>
      <w:r w:rsidR="008600F4" w:rsidRPr="00B56069">
        <w:t>ºC</w:t>
      </w:r>
      <w:r w:rsidR="00652AFE" w:rsidRPr="00B56069">
        <w:t xml:space="preserve">) </w:t>
      </w:r>
      <w:r w:rsidR="001778D2" w:rsidRPr="00B56069">
        <w:t>endemic to Kerala and south Karnataka in southern India</w:t>
      </w:r>
      <w:r w:rsidR="002A60F3" w:rsidRPr="00B56069">
        <w:t xml:space="preserve"> (</w:t>
      </w:r>
      <w:r w:rsidR="001778D2" w:rsidRPr="00B56069">
        <w:t>Malabar Coast</w:t>
      </w:r>
      <w:r w:rsidR="002A60F3" w:rsidRPr="00B56069">
        <w:t>)</w:t>
      </w:r>
      <w:r w:rsidR="001778D2" w:rsidRPr="00B56069">
        <w:t xml:space="preserve"> </w:t>
      </w:r>
      <w:r w:rsidR="000F48C3" w:rsidRPr="00B56069">
        <w:t>(Sharp</w:t>
      </w:r>
      <w:r w:rsidR="006C2276" w:rsidRPr="00B56069">
        <w:t>e</w:t>
      </w:r>
      <w:r w:rsidR="000F48C3" w:rsidRPr="00B56069">
        <w:t xml:space="preserve"> 2020). </w:t>
      </w:r>
      <w:r w:rsidR="002D3301" w:rsidRPr="00B56069">
        <w:t xml:space="preserve">The species has an estimated range of </w:t>
      </w:r>
      <w:r w:rsidR="00C96451" w:rsidRPr="00B56069">
        <w:t>less than 9</w:t>
      </w:r>
      <w:r w:rsidR="002D3301" w:rsidRPr="00B56069">
        <w:t>,</w:t>
      </w:r>
      <w:r w:rsidR="00C96451" w:rsidRPr="00B56069">
        <w:t>000</w:t>
      </w:r>
      <w:r w:rsidR="002D3301" w:rsidRPr="00B56069">
        <w:t xml:space="preserve"> km</w:t>
      </w:r>
      <w:r w:rsidR="002D3301" w:rsidRPr="00B56069">
        <w:rPr>
          <w:vertAlign w:val="superscript"/>
        </w:rPr>
        <w:t>2</w:t>
      </w:r>
      <w:r w:rsidR="00B72702" w:rsidRPr="00B56069">
        <w:t xml:space="preserve"> and a fragmented area of actual occupancy of less than 300km</w:t>
      </w:r>
      <w:r w:rsidR="00B72702" w:rsidRPr="00B56069">
        <w:rPr>
          <w:vertAlign w:val="superscript"/>
        </w:rPr>
        <w:t>2</w:t>
      </w:r>
      <w:r w:rsidR="00B72702" w:rsidRPr="00B56069">
        <w:t xml:space="preserve"> (Ali </w:t>
      </w:r>
      <w:r w:rsidR="00B72702" w:rsidRPr="00B56069">
        <w:rPr>
          <w:i/>
          <w:iCs/>
        </w:rPr>
        <w:t>et al</w:t>
      </w:r>
      <w:r w:rsidR="00B72702" w:rsidRPr="00B56069">
        <w:t>. 2015).</w:t>
      </w:r>
    </w:p>
    <w:p w14:paraId="4813B21B" w14:textId="5B64099B" w:rsidR="00FB47DC" w:rsidRPr="00B56069" w:rsidRDefault="00D32B8A" w:rsidP="0083088D">
      <w:pPr>
        <w:pStyle w:val="ListBullet2"/>
        <w:numPr>
          <w:ilvl w:val="1"/>
          <w:numId w:val="20"/>
        </w:numPr>
      </w:pPr>
      <w:r w:rsidRPr="00B56069">
        <w:rPr>
          <w:i/>
          <w:iCs/>
        </w:rPr>
        <w:t>H</w:t>
      </w:r>
      <w:r w:rsidR="00A33C5A" w:rsidRPr="00B56069">
        <w:rPr>
          <w:i/>
          <w:iCs/>
        </w:rPr>
        <w:t>abitat</w:t>
      </w:r>
      <w:r w:rsidRPr="00B56069">
        <w:t>:</w:t>
      </w:r>
      <w:r w:rsidR="00A33C5A" w:rsidRPr="00B56069">
        <w:t xml:space="preserve"> </w:t>
      </w:r>
      <w:r w:rsidR="00727C47" w:rsidRPr="00B56069">
        <w:rPr>
          <w:i/>
          <w:iCs/>
        </w:rPr>
        <w:t>S</w:t>
      </w:r>
      <w:r w:rsidRPr="00B56069">
        <w:rPr>
          <w:i/>
          <w:iCs/>
        </w:rPr>
        <w:t>.</w:t>
      </w:r>
      <w:r w:rsidR="00727C47" w:rsidRPr="00B56069">
        <w:rPr>
          <w:i/>
          <w:iCs/>
        </w:rPr>
        <w:t xml:space="preserve"> </w:t>
      </w:r>
      <w:proofErr w:type="spellStart"/>
      <w:r w:rsidR="00727C47" w:rsidRPr="00B56069">
        <w:rPr>
          <w:i/>
          <w:iCs/>
        </w:rPr>
        <w:t>denisonii</w:t>
      </w:r>
      <w:proofErr w:type="spellEnd"/>
      <w:r w:rsidR="00727C47" w:rsidRPr="00B56069">
        <w:t xml:space="preserve"> is a stream dwelling fish with an affinity towards rocky pools</w:t>
      </w:r>
      <w:r w:rsidR="008F4891" w:rsidRPr="00B56069">
        <w:t xml:space="preserve"> and stream </w:t>
      </w:r>
      <w:r w:rsidR="00727C47" w:rsidRPr="00B56069">
        <w:t>edges with thick overhanging vegetation along banks (</w:t>
      </w:r>
      <w:r w:rsidR="006E31A8" w:rsidRPr="00B56069">
        <w:t xml:space="preserve">Ali </w:t>
      </w:r>
      <w:r w:rsidR="006E31A8" w:rsidRPr="00B56069">
        <w:rPr>
          <w:i/>
          <w:iCs/>
        </w:rPr>
        <w:t>et al</w:t>
      </w:r>
      <w:r w:rsidR="006E31A8" w:rsidRPr="00B56069">
        <w:t>. 2015</w:t>
      </w:r>
      <w:r w:rsidR="00727C47" w:rsidRPr="00B56069">
        <w:t>). However</w:t>
      </w:r>
      <w:r w:rsidRPr="00B56069">
        <w:t>,</w:t>
      </w:r>
      <w:r w:rsidR="00727C47" w:rsidRPr="00B56069">
        <w:t xml:space="preserve"> </w:t>
      </w:r>
      <w:r w:rsidRPr="00B56069">
        <w:t>the species has</w:t>
      </w:r>
      <w:r w:rsidR="00727C47" w:rsidRPr="00B56069">
        <w:t xml:space="preserve"> also been observed from riverine habitats including run, glide and riffles with sand, gravel, </w:t>
      </w:r>
      <w:proofErr w:type="gramStart"/>
      <w:r w:rsidR="00727C47" w:rsidRPr="00B56069">
        <w:t>cobble</w:t>
      </w:r>
      <w:proofErr w:type="gramEnd"/>
      <w:r w:rsidR="00727C47" w:rsidRPr="00B56069">
        <w:t xml:space="preserve"> and boulder substrates (</w:t>
      </w:r>
      <w:r w:rsidR="006E31A8" w:rsidRPr="00B56069">
        <w:t xml:space="preserve">Ali </w:t>
      </w:r>
      <w:r w:rsidR="006E31A8" w:rsidRPr="00B56069">
        <w:rPr>
          <w:i/>
          <w:iCs/>
        </w:rPr>
        <w:t>et al</w:t>
      </w:r>
      <w:r w:rsidR="006E31A8" w:rsidRPr="00B56069">
        <w:t>. 2015</w:t>
      </w:r>
      <w:r w:rsidR="00727C47" w:rsidRPr="00B56069">
        <w:t xml:space="preserve">). </w:t>
      </w:r>
    </w:p>
    <w:p w14:paraId="200F232D" w14:textId="4893C850" w:rsidR="00A33C5A" w:rsidRPr="00B56069" w:rsidRDefault="00D32B8A" w:rsidP="0083088D">
      <w:pPr>
        <w:pStyle w:val="ListBullet2"/>
        <w:numPr>
          <w:ilvl w:val="1"/>
          <w:numId w:val="20"/>
        </w:numPr>
      </w:pPr>
      <w:r w:rsidRPr="00B56069">
        <w:rPr>
          <w:i/>
          <w:iCs/>
        </w:rPr>
        <w:t>D</w:t>
      </w:r>
      <w:r w:rsidR="00A33C5A" w:rsidRPr="00B56069">
        <w:rPr>
          <w:i/>
          <w:iCs/>
        </w:rPr>
        <w:t>iet, including potential to feed on agricultural plants</w:t>
      </w:r>
      <w:r w:rsidR="00514B27" w:rsidRPr="00B56069">
        <w:t>:</w:t>
      </w:r>
      <w:r w:rsidRPr="00B56069">
        <w:t xml:space="preserve"> </w:t>
      </w:r>
      <w:r w:rsidR="00512922" w:rsidRPr="00B56069">
        <w:rPr>
          <w:i/>
          <w:iCs/>
        </w:rPr>
        <w:t>S</w:t>
      </w:r>
      <w:r w:rsidR="0060765B" w:rsidRPr="00B56069">
        <w:rPr>
          <w:i/>
          <w:iCs/>
        </w:rPr>
        <w:t xml:space="preserve">. </w:t>
      </w:r>
      <w:proofErr w:type="spellStart"/>
      <w:r w:rsidR="0060765B" w:rsidRPr="00B56069">
        <w:rPr>
          <w:i/>
          <w:iCs/>
        </w:rPr>
        <w:t>denisonii</w:t>
      </w:r>
      <w:proofErr w:type="spellEnd"/>
      <w:r w:rsidR="0060765B" w:rsidRPr="00B56069">
        <w:t xml:space="preserve"> is </w:t>
      </w:r>
      <w:proofErr w:type="gramStart"/>
      <w:r w:rsidR="0060765B" w:rsidRPr="00B56069">
        <w:t>a</w:t>
      </w:r>
      <w:proofErr w:type="gramEnd"/>
      <w:r w:rsidR="0060765B" w:rsidRPr="00B56069">
        <w:t xml:space="preserve"> herbivore feeding on filamentous algae, diatoms and plant matter (Raghavan </w:t>
      </w:r>
      <w:r w:rsidR="00980826" w:rsidRPr="00B56069">
        <w:rPr>
          <w:i/>
          <w:iCs/>
        </w:rPr>
        <w:t>et al.</w:t>
      </w:r>
      <w:r w:rsidR="006E31A8" w:rsidRPr="00B56069">
        <w:rPr>
          <w:i/>
          <w:iCs/>
        </w:rPr>
        <w:t xml:space="preserve"> </w:t>
      </w:r>
      <w:r w:rsidR="0060765B" w:rsidRPr="00B56069">
        <w:t>2009). T</w:t>
      </w:r>
      <w:r w:rsidRPr="00B56069">
        <w:t xml:space="preserve">here are no reports of the species posing a threat to agricultural </w:t>
      </w:r>
      <w:r w:rsidR="0009282F" w:rsidRPr="00B56069">
        <w:t>crops</w:t>
      </w:r>
      <w:r w:rsidRPr="00B56069">
        <w:t>.</w:t>
      </w:r>
    </w:p>
    <w:p w14:paraId="7FC53961" w14:textId="6EBF1260" w:rsidR="00A33C5A" w:rsidRPr="00B56069" w:rsidRDefault="00D32B8A" w:rsidP="0083088D">
      <w:pPr>
        <w:pStyle w:val="ListBullet2"/>
        <w:numPr>
          <w:ilvl w:val="1"/>
          <w:numId w:val="20"/>
        </w:numPr>
      </w:pPr>
      <w:r w:rsidRPr="00B56069">
        <w:rPr>
          <w:i/>
          <w:iCs/>
        </w:rPr>
        <w:t>S</w:t>
      </w:r>
      <w:r w:rsidR="00A33C5A" w:rsidRPr="00B56069">
        <w:rPr>
          <w:i/>
          <w:iCs/>
        </w:rPr>
        <w:t>ocial behaviour and groupings</w:t>
      </w:r>
      <w:r w:rsidRPr="00B56069">
        <w:t>:</w:t>
      </w:r>
      <w:r w:rsidR="00A33C5A" w:rsidRPr="00B56069">
        <w:t xml:space="preserve"> </w:t>
      </w:r>
      <w:r w:rsidR="00872451" w:rsidRPr="00B56069">
        <w:rPr>
          <w:i/>
          <w:iCs/>
        </w:rPr>
        <w:t xml:space="preserve">S. </w:t>
      </w:r>
      <w:proofErr w:type="spellStart"/>
      <w:r w:rsidR="00872451" w:rsidRPr="00B56069">
        <w:rPr>
          <w:i/>
          <w:iCs/>
        </w:rPr>
        <w:t>denisonii</w:t>
      </w:r>
      <w:proofErr w:type="spellEnd"/>
      <w:r w:rsidR="00872451" w:rsidRPr="00B56069">
        <w:t xml:space="preserve"> </w:t>
      </w:r>
      <w:proofErr w:type="gramStart"/>
      <w:r w:rsidR="00872451" w:rsidRPr="00B56069">
        <w:t>is</w:t>
      </w:r>
      <w:proofErr w:type="gramEnd"/>
      <w:r w:rsidR="00872451" w:rsidRPr="00B56069">
        <w:t xml:space="preserve"> </w:t>
      </w:r>
      <w:r w:rsidR="0009282F" w:rsidRPr="00B56069">
        <w:t xml:space="preserve">a </w:t>
      </w:r>
      <w:r w:rsidR="00EC318D" w:rsidRPr="00B56069">
        <w:t xml:space="preserve">gregarious </w:t>
      </w:r>
      <w:r w:rsidR="0009282F" w:rsidRPr="00B56069">
        <w:t xml:space="preserve">species, </w:t>
      </w:r>
      <w:r w:rsidR="00EC318D" w:rsidRPr="00B56069">
        <w:t>often appear</w:t>
      </w:r>
      <w:r w:rsidR="0009282F" w:rsidRPr="00B56069">
        <w:t>ing</w:t>
      </w:r>
      <w:r w:rsidR="00EC318D" w:rsidRPr="00B56069">
        <w:t xml:space="preserve"> in shoals. The species is known to spawn during the North East Monsoon in the months of November-January (</w:t>
      </w:r>
      <w:r w:rsidR="006E31A8" w:rsidRPr="00B56069">
        <w:t xml:space="preserve">Ali </w:t>
      </w:r>
      <w:r w:rsidR="006E31A8" w:rsidRPr="00B56069">
        <w:rPr>
          <w:i/>
          <w:iCs/>
        </w:rPr>
        <w:t>et al</w:t>
      </w:r>
      <w:r w:rsidR="006E31A8" w:rsidRPr="00B56069">
        <w:t>. 2015)</w:t>
      </w:r>
      <w:r w:rsidR="003E4BCB" w:rsidRPr="00B56069">
        <w:t>.</w:t>
      </w:r>
    </w:p>
    <w:p w14:paraId="4C373BBE" w14:textId="0ECE8EE9" w:rsidR="00A33C5A" w:rsidRPr="00B56069" w:rsidRDefault="00872451" w:rsidP="0083088D">
      <w:pPr>
        <w:pStyle w:val="ListBullet2"/>
        <w:numPr>
          <w:ilvl w:val="1"/>
          <w:numId w:val="20"/>
        </w:numPr>
      </w:pPr>
      <w:r w:rsidRPr="00B56069">
        <w:rPr>
          <w:i/>
          <w:iCs/>
        </w:rPr>
        <w:lastRenderedPageBreak/>
        <w:t>T</w:t>
      </w:r>
      <w:r w:rsidR="00A33C5A" w:rsidRPr="00B56069">
        <w:rPr>
          <w:i/>
          <w:iCs/>
        </w:rPr>
        <w:t>erritorial and aggressive behaviours</w:t>
      </w:r>
      <w:r w:rsidRPr="00B56069">
        <w:t>: T</w:t>
      </w:r>
      <w:r w:rsidR="00CE01DC" w:rsidRPr="00B56069">
        <w:t xml:space="preserve">here are no reports of </w:t>
      </w:r>
      <w:r w:rsidR="0085168B" w:rsidRPr="00B56069">
        <w:t xml:space="preserve">territorial or aggressive behaviours </w:t>
      </w:r>
      <w:r w:rsidR="00CE01DC" w:rsidRPr="00B56069">
        <w:t xml:space="preserve">in this </w:t>
      </w:r>
      <w:r w:rsidR="0085168B" w:rsidRPr="00B56069">
        <w:t>species</w:t>
      </w:r>
      <w:r w:rsidRPr="00B56069">
        <w:t>.</w:t>
      </w:r>
    </w:p>
    <w:p w14:paraId="75004D8C" w14:textId="3D952117" w:rsidR="003F53A7" w:rsidRPr="00B56069" w:rsidRDefault="00872451" w:rsidP="0083088D">
      <w:pPr>
        <w:pStyle w:val="ListBullet2"/>
        <w:numPr>
          <w:ilvl w:val="1"/>
          <w:numId w:val="20"/>
        </w:numPr>
      </w:pPr>
      <w:r w:rsidRPr="00B56069">
        <w:rPr>
          <w:i/>
          <w:iCs/>
        </w:rPr>
        <w:t>N</w:t>
      </w:r>
      <w:r w:rsidR="00A33C5A" w:rsidRPr="00B56069">
        <w:rPr>
          <w:i/>
          <w:iCs/>
        </w:rPr>
        <w:t>atural predators</w:t>
      </w:r>
      <w:r w:rsidRPr="00B56069">
        <w:t>:</w:t>
      </w:r>
      <w:r w:rsidR="00E21E83" w:rsidRPr="00B56069">
        <w:t xml:space="preserve"> </w:t>
      </w:r>
      <w:r w:rsidR="00370BA1" w:rsidRPr="00B56069">
        <w:t xml:space="preserve">Not reported </w:t>
      </w:r>
      <w:r w:rsidR="002803EF" w:rsidRPr="00B56069">
        <w:t xml:space="preserve">in the scientific literature </w:t>
      </w:r>
      <w:r w:rsidR="00370BA1" w:rsidRPr="00B56069">
        <w:t xml:space="preserve">but the species would likely be prey to piscivorous birds, </w:t>
      </w:r>
      <w:proofErr w:type="gramStart"/>
      <w:r w:rsidR="00370BA1" w:rsidRPr="00B56069">
        <w:t>mammals</w:t>
      </w:r>
      <w:proofErr w:type="gramEnd"/>
      <w:r w:rsidR="00370BA1" w:rsidRPr="00B56069">
        <w:t xml:space="preserve"> or fish in their natural habitat. </w:t>
      </w:r>
      <w:r w:rsidR="00E21E83" w:rsidRPr="00B56069">
        <w:t>A</w:t>
      </w:r>
      <w:r w:rsidRPr="00B56069">
        <w:t>s a relatively small species</w:t>
      </w:r>
      <w:r w:rsidR="00B65C5B" w:rsidRPr="00B56069">
        <w:t xml:space="preserve"> with </w:t>
      </w:r>
      <w:r w:rsidR="008B659F" w:rsidRPr="00B56069">
        <w:t xml:space="preserve">conspicuous </w:t>
      </w:r>
      <w:r w:rsidR="00730C2A" w:rsidRPr="00B56069">
        <w:t xml:space="preserve">patterning and </w:t>
      </w:r>
      <w:r w:rsidR="00B65C5B" w:rsidRPr="00B56069">
        <w:t>coloration</w:t>
      </w:r>
      <w:r w:rsidRPr="00B56069">
        <w:t xml:space="preserve">, </w:t>
      </w:r>
      <w:r w:rsidR="00E21E83" w:rsidRPr="00B56069">
        <w:t xml:space="preserve">the </w:t>
      </w:r>
      <w:r w:rsidR="00845FDA" w:rsidRPr="00B56069">
        <w:t xml:space="preserve">young and adults of the </w:t>
      </w:r>
      <w:r w:rsidR="00E21E83" w:rsidRPr="00B56069">
        <w:t xml:space="preserve">species would </w:t>
      </w:r>
      <w:r w:rsidRPr="00B56069">
        <w:t xml:space="preserve">be </w:t>
      </w:r>
      <w:r w:rsidR="00B65C5B" w:rsidRPr="00B56069">
        <w:t xml:space="preserve">prone </w:t>
      </w:r>
      <w:r w:rsidR="008B659F" w:rsidRPr="00B56069">
        <w:t xml:space="preserve">to </w:t>
      </w:r>
      <w:r w:rsidR="006172D4" w:rsidRPr="00B56069">
        <w:t>predat</w:t>
      </w:r>
      <w:r w:rsidR="008B659F" w:rsidRPr="00B56069">
        <w:t>ion</w:t>
      </w:r>
      <w:r w:rsidR="006172D4" w:rsidRPr="00B56069">
        <w:t xml:space="preserve"> by m</w:t>
      </w:r>
      <w:r w:rsidR="00764449" w:rsidRPr="00B56069">
        <w:t>any</w:t>
      </w:r>
      <w:r w:rsidR="006172D4" w:rsidRPr="00B56069">
        <w:t xml:space="preserve"> Australian predatory freshwater </w:t>
      </w:r>
      <w:r w:rsidR="00B65C5B" w:rsidRPr="00B56069">
        <w:t xml:space="preserve">fish </w:t>
      </w:r>
      <w:r w:rsidR="006172D4" w:rsidRPr="00B56069">
        <w:t>species such as</w:t>
      </w:r>
      <w:r w:rsidR="003F53A7" w:rsidRPr="00B56069">
        <w:t xml:space="preserve"> such as barramundi, grunters</w:t>
      </w:r>
      <w:r w:rsidR="00845FDA" w:rsidRPr="00B56069">
        <w:t xml:space="preserve">, tarpon, Eleotrids, Apogonids and </w:t>
      </w:r>
      <w:proofErr w:type="spellStart"/>
      <w:r w:rsidR="00845FDA" w:rsidRPr="00B56069">
        <w:t>gudgeons</w:t>
      </w:r>
      <w:proofErr w:type="spellEnd"/>
      <w:r w:rsidR="00845FDA" w:rsidRPr="00B56069">
        <w:t>.</w:t>
      </w:r>
    </w:p>
    <w:p w14:paraId="3FB8FC67" w14:textId="7DD7A4EE" w:rsidR="00A33C5A" w:rsidRPr="00B56069" w:rsidRDefault="00C22398" w:rsidP="0083088D">
      <w:pPr>
        <w:pStyle w:val="ListBullet2"/>
        <w:numPr>
          <w:ilvl w:val="1"/>
          <w:numId w:val="20"/>
        </w:numPr>
      </w:pPr>
      <w:r w:rsidRPr="00B56069">
        <w:rPr>
          <w:i/>
          <w:iCs/>
        </w:rPr>
        <w:t>C</w:t>
      </w:r>
      <w:r w:rsidR="00A33C5A" w:rsidRPr="00B56069">
        <w:rPr>
          <w:i/>
          <w:iCs/>
        </w:rPr>
        <w:t>haracteristics that may cause h</w:t>
      </w:r>
      <w:r w:rsidR="00C5024C" w:rsidRPr="00B56069">
        <w:rPr>
          <w:i/>
          <w:iCs/>
        </w:rPr>
        <w:t>arm to humans and other species</w:t>
      </w:r>
      <w:r w:rsidRPr="00B56069">
        <w:t xml:space="preserve">: </w:t>
      </w:r>
      <w:r w:rsidR="00D142C5" w:rsidRPr="00B56069">
        <w:t xml:space="preserve">No </w:t>
      </w:r>
      <w:r w:rsidR="00DB022E" w:rsidRPr="00B56069">
        <w:t>characteristics</w:t>
      </w:r>
      <w:r w:rsidR="00D142C5" w:rsidRPr="00B56069">
        <w:t xml:space="preserve"> that may cause harm to human or other species have be</w:t>
      </w:r>
      <w:r w:rsidR="00DB022E" w:rsidRPr="00B56069">
        <w:t>e</w:t>
      </w:r>
      <w:r w:rsidR="00D142C5" w:rsidRPr="00B56069">
        <w:t xml:space="preserve">n </w:t>
      </w:r>
      <w:r w:rsidRPr="00B56069">
        <w:t>reported</w:t>
      </w:r>
      <w:r w:rsidR="00D142C5" w:rsidRPr="00B56069">
        <w:t xml:space="preserve"> in th</w:t>
      </w:r>
      <w:r w:rsidR="00DB022E" w:rsidRPr="00B56069">
        <w:t>i</w:t>
      </w:r>
      <w:r w:rsidR="00D142C5" w:rsidRPr="00B56069">
        <w:t xml:space="preserve">s species. </w:t>
      </w:r>
    </w:p>
    <w:p w14:paraId="6B1381CA" w14:textId="77777777" w:rsidR="00C62D3B" w:rsidRPr="00B56069" w:rsidRDefault="00A33C5A" w:rsidP="007E7168">
      <w:pPr>
        <w:pStyle w:val="ListNumber"/>
        <w:rPr>
          <w:i/>
          <w:iCs/>
        </w:rPr>
      </w:pPr>
      <w:r w:rsidRPr="00B56069">
        <w:rPr>
          <w:i/>
          <w:iCs/>
        </w:rPr>
        <w:t>Provide information on the reproductive biology of the species</w:t>
      </w:r>
      <w:r w:rsidR="001A7DB6" w:rsidRPr="00B56069">
        <w:rPr>
          <w:i/>
          <w:iCs/>
        </w:rPr>
        <w:t>.</w:t>
      </w:r>
      <w:r w:rsidRPr="00B56069">
        <w:rPr>
          <w:i/>
          <w:iCs/>
        </w:rPr>
        <w:t xml:space="preserve"> </w:t>
      </w:r>
    </w:p>
    <w:p w14:paraId="13260F44" w14:textId="77777777" w:rsidR="003E4BCB" w:rsidRPr="00B56069" w:rsidRDefault="003E4BCB" w:rsidP="003E4BCB">
      <w:pPr>
        <w:pStyle w:val="ListNumber"/>
        <w:numPr>
          <w:ilvl w:val="0"/>
          <w:numId w:val="0"/>
        </w:numPr>
        <w:ind w:left="369"/>
      </w:pPr>
      <w:r w:rsidRPr="00B56069">
        <w:t xml:space="preserve">Mercy </w:t>
      </w:r>
      <w:r w:rsidRPr="00B56069">
        <w:rPr>
          <w:i/>
          <w:iCs/>
        </w:rPr>
        <w:t>et al.</w:t>
      </w:r>
      <w:r w:rsidRPr="00B56069">
        <w:t xml:space="preserve"> (2015) classified the life history of </w:t>
      </w:r>
      <w:r w:rsidRPr="00B56069">
        <w:rPr>
          <w:i/>
          <w:iCs/>
        </w:rPr>
        <w:t xml:space="preserve">S. </w:t>
      </w:r>
      <w:proofErr w:type="spellStart"/>
      <w:r w:rsidRPr="00B56069">
        <w:rPr>
          <w:i/>
          <w:iCs/>
        </w:rPr>
        <w:t>denisonii</w:t>
      </w:r>
      <w:proofErr w:type="spellEnd"/>
      <w:r w:rsidRPr="00B56069">
        <w:rPr>
          <w:i/>
          <w:iCs/>
        </w:rPr>
        <w:t xml:space="preserve"> </w:t>
      </w:r>
      <w:r w:rsidRPr="00B56069">
        <w:t xml:space="preserve">into embryonic, larval, juvenile, subadult and adult stages with fecundity varying depending on the size and age of breeding pairs. Under laboratory conditions hatching takes place 36 h after fertilisation at a water temperature of 27.5±0.5ºC. At hatching, mean larval length was approximately 3.5 mm with the yolk sac remaining up to 3-4 days. Organogenesis of larvae was completed 15-20 days after hatching. The fertilised eggs of </w:t>
      </w:r>
      <w:r w:rsidRPr="00B56069">
        <w:rPr>
          <w:i/>
          <w:iCs/>
        </w:rPr>
        <w:t xml:space="preserve">S. </w:t>
      </w:r>
      <w:proofErr w:type="spellStart"/>
      <w:r w:rsidRPr="00B56069">
        <w:rPr>
          <w:i/>
          <w:iCs/>
        </w:rPr>
        <w:t>denisonii</w:t>
      </w:r>
      <w:proofErr w:type="spellEnd"/>
      <w:r w:rsidRPr="00B56069">
        <w:t xml:space="preserve"> are heavily </w:t>
      </w:r>
      <w:proofErr w:type="spellStart"/>
      <w:r w:rsidRPr="00B56069">
        <w:t>yolked</w:t>
      </w:r>
      <w:proofErr w:type="spellEnd"/>
      <w:r w:rsidRPr="00B56069">
        <w:t xml:space="preserve">, transparent, </w:t>
      </w:r>
      <w:proofErr w:type="gramStart"/>
      <w:r w:rsidRPr="00B56069">
        <w:t>spherical</w:t>
      </w:r>
      <w:proofErr w:type="gramEnd"/>
      <w:r w:rsidRPr="00B56069">
        <w:t xml:space="preserve"> and yellow in colour. The eggs are adhesive </w:t>
      </w:r>
      <w:proofErr w:type="gramStart"/>
      <w:r w:rsidRPr="00B56069">
        <w:t>similar to</w:t>
      </w:r>
      <w:proofErr w:type="gramEnd"/>
      <w:r w:rsidRPr="00B56069">
        <w:t xml:space="preserve"> other </w:t>
      </w:r>
      <w:r w:rsidRPr="00B56069">
        <w:rPr>
          <w:i/>
          <w:iCs/>
        </w:rPr>
        <w:t>Puntius</w:t>
      </w:r>
      <w:r w:rsidRPr="00B56069">
        <w:t xml:space="preserve"> species, the genus in which the species was historically classified.</w:t>
      </w:r>
    </w:p>
    <w:p w14:paraId="35771F1C" w14:textId="2B22BEEA" w:rsidR="00C62D3B" w:rsidRPr="00B56069" w:rsidRDefault="00AE2FAC" w:rsidP="009C5B85">
      <w:pPr>
        <w:pStyle w:val="ListNumber"/>
        <w:numPr>
          <w:ilvl w:val="0"/>
          <w:numId w:val="0"/>
        </w:numPr>
        <w:ind w:left="369"/>
      </w:pPr>
      <w:r w:rsidRPr="00B56069">
        <w:t xml:space="preserve">The spawning season of </w:t>
      </w:r>
      <w:r w:rsidRPr="00B56069">
        <w:rPr>
          <w:i/>
          <w:iCs/>
        </w:rPr>
        <w:t xml:space="preserve">S. </w:t>
      </w:r>
      <w:proofErr w:type="spellStart"/>
      <w:r w:rsidRPr="00B56069">
        <w:rPr>
          <w:i/>
          <w:iCs/>
        </w:rPr>
        <w:t>denisonii</w:t>
      </w:r>
      <w:proofErr w:type="spellEnd"/>
      <w:r w:rsidRPr="00B56069">
        <w:rPr>
          <w:i/>
          <w:iCs/>
        </w:rPr>
        <w:t xml:space="preserve"> </w:t>
      </w:r>
      <w:r w:rsidRPr="00B56069">
        <w:t xml:space="preserve">is reported to correspond </w:t>
      </w:r>
      <w:proofErr w:type="gramStart"/>
      <w:r w:rsidRPr="00B56069">
        <w:t>more or less with</w:t>
      </w:r>
      <w:proofErr w:type="gramEnd"/>
      <w:r w:rsidRPr="00B56069">
        <w:t xml:space="preserve"> the regional monsoon (June–August)</w:t>
      </w:r>
      <w:r w:rsidR="005B4216" w:rsidRPr="00B56069">
        <w:t xml:space="preserve"> and associated seasonal cues</w:t>
      </w:r>
      <w:r w:rsidRPr="00B56069">
        <w:t xml:space="preserve">, since mature specimens have been observed in the wild from May, with peak maturity seen in June and continuing until July (Raghavan </w:t>
      </w:r>
      <w:r w:rsidR="00980826" w:rsidRPr="00B56069">
        <w:rPr>
          <w:i/>
          <w:iCs/>
        </w:rPr>
        <w:t>et al.</w:t>
      </w:r>
      <w:r w:rsidRPr="00B56069">
        <w:t xml:space="preserve"> 2009)</w:t>
      </w:r>
      <w:r w:rsidR="003E4BCB" w:rsidRPr="00B56069">
        <w:t>. T</w:t>
      </w:r>
      <w:r w:rsidRPr="00B56069">
        <w:t xml:space="preserve">he sex ratio </w:t>
      </w:r>
      <w:r w:rsidR="00C62D3B" w:rsidRPr="00B56069">
        <w:t>in aggregations of mature fish is</w:t>
      </w:r>
      <w:r w:rsidR="00C62D3B" w:rsidRPr="00B56069">
        <w:rPr>
          <w:i/>
          <w:iCs/>
        </w:rPr>
        <w:t xml:space="preserve"> </w:t>
      </w:r>
      <w:r w:rsidR="00C62D3B" w:rsidRPr="00B56069">
        <w:t>highly skewed favouring males (1:25)</w:t>
      </w:r>
      <w:r w:rsidR="003E4BCB" w:rsidRPr="00B56069">
        <w:t xml:space="preserve"> (Raghavan </w:t>
      </w:r>
      <w:r w:rsidR="003E4BCB" w:rsidRPr="00B56069">
        <w:rPr>
          <w:i/>
          <w:iCs/>
        </w:rPr>
        <w:t>et al.</w:t>
      </w:r>
      <w:r w:rsidR="003E4BCB" w:rsidRPr="00B56069">
        <w:t xml:space="preserve"> 2009)</w:t>
      </w:r>
      <w:r w:rsidR="00C62D3B" w:rsidRPr="00B56069">
        <w:t xml:space="preserve">. </w:t>
      </w:r>
    </w:p>
    <w:p w14:paraId="46E1869D" w14:textId="13F7DE23" w:rsidR="00A33C5A" w:rsidRPr="00B56069" w:rsidRDefault="001A7DB6" w:rsidP="0083088D">
      <w:pPr>
        <w:pStyle w:val="ListBullet2"/>
        <w:numPr>
          <w:ilvl w:val="1"/>
          <w:numId w:val="21"/>
        </w:numPr>
      </w:pPr>
      <w:r w:rsidRPr="00B56069">
        <w:rPr>
          <w:i/>
          <w:iCs/>
        </w:rPr>
        <w:t>A</w:t>
      </w:r>
      <w:r w:rsidR="00A33C5A" w:rsidRPr="00B56069">
        <w:rPr>
          <w:i/>
          <w:iCs/>
        </w:rPr>
        <w:t>ge at maturity (first breeding)</w:t>
      </w:r>
      <w:r w:rsidR="00F77D5F" w:rsidRPr="00B56069">
        <w:t xml:space="preserve">: Solomon </w:t>
      </w:r>
      <w:r w:rsidR="00980826" w:rsidRPr="00B56069">
        <w:rPr>
          <w:i/>
          <w:iCs/>
        </w:rPr>
        <w:t>et al.</w:t>
      </w:r>
      <w:r w:rsidR="00F77D5F" w:rsidRPr="00B56069">
        <w:t xml:space="preserve"> (2011) reported size at first maturity to be 95</w:t>
      </w:r>
      <w:r w:rsidR="00133A60" w:rsidRPr="00B56069">
        <w:t xml:space="preserve"> </w:t>
      </w:r>
      <w:r w:rsidR="00F77D5F" w:rsidRPr="00B56069">
        <w:t>mm for females and 85</w:t>
      </w:r>
      <w:r w:rsidR="00133A60" w:rsidRPr="00B56069">
        <w:t xml:space="preserve"> </w:t>
      </w:r>
      <w:r w:rsidR="00F77D5F" w:rsidRPr="00B56069">
        <w:t>mm for males, approximating to 1+ year class fish (12-18 months old).</w:t>
      </w:r>
    </w:p>
    <w:p w14:paraId="54F60223" w14:textId="4E9EA2FD" w:rsidR="00A33C5A" w:rsidRPr="00B56069" w:rsidRDefault="008E4A3B" w:rsidP="0083088D">
      <w:pPr>
        <w:pStyle w:val="ListBullet2"/>
        <w:numPr>
          <w:ilvl w:val="1"/>
          <w:numId w:val="21"/>
        </w:numPr>
      </w:pPr>
      <w:r w:rsidRPr="00B56069">
        <w:rPr>
          <w:i/>
          <w:iCs/>
        </w:rPr>
        <w:t>H</w:t>
      </w:r>
      <w:r w:rsidR="00A33C5A" w:rsidRPr="00B56069">
        <w:rPr>
          <w:i/>
          <w:iCs/>
        </w:rPr>
        <w:t>ow frequently breeding occurs</w:t>
      </w:r>
      <w:r w:rsidR="001404F5" w:rsidRPr="00B56069">
        <w:t xml:space="preserve">: Mercy </w:t>
      </w:r>
      <w:r w:rsidR="00980826" w:rsidRPr="00B56069">
        <w:rPr>
          <w:i/>
          <w:iCs/>
        </w:rPr>
        <w:t>et al.</w:t>
      </w:r>
      <w:r w:rsidR="001404F5" w:rsidRPr="00B56069">
        <w:t xml:space="preserve"> 2015 </w:t>
      </w:r>
      <w:r w:rsidR="00127BD6" w:rsidRPr="00B56069">
        <w:t xml:space="preserve">observed </w:t>
      </w:r>
      <w:r w:rsidR="001404F5" w:rsidRPr="00B56069">
        <w:t xml:space="preserve">spawning season of the species in the wild is from November to March ─ others have reported </w:t>
      </w:r>
      <w:r w:rsidR="00127BD6" w:rsidRPr="00B56069">
        <w:t xml:space="preserve">a narrower season from </w:t>
      </w:r>
      <w:r w:rsidR="001404F5" w:rsidRPr="00B56069">
        <w:t>November-January</w:t>
      </w:r>
      <w:r w:rsidR="007A4F29" w:rsidRPr="00B56069">
        <w:t xml:space="preserve">, more closely aligned </w:t>
      </w:r>
      <w:r w:rsidR="001970F2" w:rsidRPr="00B56069">
        <w:t>t</w:t>
      </w:r>
      <w:r w:rsidR="007A4F29" w:rsidRPr="00B56069">
        <w:t xml:space="preserve">o </w:t>
      </w:r>
      <w:r w:rsidR="00133A60" w:rsidRPr="00B56069">
        <w:t xml:space="preserve">India’s </w:t>
      </w:r>
      <w:r w:rsidR="007A4F29" w:rsidRPr="00B56069">
        <w:t>N</w:t>
      </w:r>
      <w:r w:rsidR="00133A60" w:rsidRPr="00B56069">
        <w:t xml:space="preserve">orth </w:t>
      </w:r>
      <w:r w:rsidR="007A4F29" w:rsidRPr="00B56069">
        <w:t>E</w:t>
      </w:r>
      <w:r w:rsidR="00133A60" w:rsidRPr="00B56069">
        <w:t>ast</w:t>
      </w:r>
      <w:r w:rsidR="007A4F29" w:rsidRPr="00B56069">
        <w:t xml:space="preserve"> </w:t>
      </w:r>
      <w:r w:rsidR="00133A60" w:rsidRPr="00B56069">
        <w:t>M</w:t>
      </w:r>
      <w:r w:rsidR="007A4F29" w:rsidRPr="00B56069">
        <w:t>onsoon</w:t>
      </w:r>
      <w:r w:rsidR="001404F5" w:rsidRPr="00B56069">
        <w:t xml:space="preserve"> (</w:t>
      </w:r>
      <w:r w:rsidR="002617A6" w:rsidRPr="00B56069">
        <w:t xml:space="preserve">Ali </w:t>
      </w:r>
      <w:r w:rsidR="002617A6" w:rsidRPr="00B56069">
        <w:rPr>
          <w:i/>
          <w:iCs/>
        </w:rPr>
        <w:t>et al.</w:t>
      </w:r>
      <w:r w:rsidR="002617A6" w:rsidRPr="00B56069">
        <w:t xml:space="preserve"> 2015)</w:t>
      </w:r>
      <w:r w:rsidR="001404F5" w:rsidRPr="00B56069">
        <w:t xml:space="preserve"> </w:t>
      </w:r>
      <w:r w:rsidR="00A33C5A" w:rsidRPr="00B56069">
        <w:t xml:space="preserve"> </w:t>
      </w:r>
    </w:p>
    <w:p w14:paraId="7CBCCF07" w14:textId="72F79F09" w:rsidR="00A33C5A" w:rsidRPr="00B56069" w:rsidRDefault="001A7DB6" w:rsidP="0083088D">
      <w:pPr>
        <w:pStyle w:val="ListBullet2"/>
        <w:numPr>
          <w:ilvl w:val="1"/>
          <w:numId w:val="21"/>
        </w:numPr>
      </w:pPr>
      <w:r w:rsidRPr="00B56069">
        <w:rPr>
          <w:i/>
          <w:iCs/>
        </w:rPr>
        <w:t xml:space="preserve">Can </w:t>
      </w:r>
      <w:r w:rsidR="00A33C5A" w:rsidRPr="00B56069">
        <w:rPr>
          <w:i/>
          <w:iCs/>
        </w:rPr>
        <w:t>the female store sperm</w:t>
      </w:r>
      <w:r w:rsidR="007A4F29" w:rsidRPr="00B56069">
        <w:t xml:space="preserve">: </w:t>
      </w:r>
      <w:bookmarkStart w:id="3" w:name="_Hlk54172459"/>
      <w:r w:rsidR="00086DE5" w:rsidRPr="00B56069">
        <w:t>F</w:t>
      </w:r>
      <w:r w:rsidR="007A4F29" w:rsidRPr="00B56069">
        <w:t xml:space="preserve">emales </w:t>
      </w:r>
      <w:r w:rsidR="00DB0B98" w:rsidRPr="00B56069">
        <w:t>are not reported to</w:t>
      </w:r>
      <w:r w:rsidR="00086DE5" w:rsidRPr="00B56069">
        <w:t xml:space="preserve"> </w:t>
      </w:r>
      <w:r w:rsidR="007A4F29" w:rsidRPr="00B56069">
        <w:t xml:space="preserve">store </w:t>
      </w:r>
      <w:proofErr w:type="gramStart"/>
      <w:r w:rsidR="007A4F29" w:rsidRPr="00B56069">
        <w:t>sperm</w:t>
      </w:r>
      <w:bookmarkEnd w:id="3"/>
      <w:r w:rsidR="00086DE5" w:rsidRPr="00B56069">
        <w:t>.</w:t>
      </w:r>
      <w:proofErr w:type="gramEnd"/>
      <w:r w:rsidR="00086DE5" w:rsidRPr="00B56069">
        <w:t xml:space="preserve"> F</w:t>
      </w:r>
      <w:r w:rsidR="007A4F29" w:rsidRPr="00B56069">
        <w:t>ertilisation is external</w:t>
      </w:r>
      <w:r w:rsidR="00086DE5" w:rsidRPr="00B56069">
        <w:t xml:space="preserve"> </w:t>
      </w:r>
      <w:r w:rsidR="00DF484C" w:rsidRPr="00B56069">
        <w:t>─</w:t>
      </w:r>
      <w:r w:rsidR="00086DE5" w:rsidRPr="00B56069">
        <w:t xml:space="preserve"> all fish in this family are egg-layers and like most cyprinids this </w:t>
      </w:r>
      <w:r w:rsidR="007C77D6" w:rsidRPr="00B56069">
        <w:t>species</w:t>
      </w:r>
      <w:r w:rsidR="00086DE5" w:rsidRPr="00B56069">
        <w:t xml:space="preserve"> </w:t>
      </w:r>
      <w:r w:rsidR="001970F2" w:rsidRPr="00B56069">
        <w:t>does</w:t>
      </w:r>
      <w:r w:rsidR="00086DE5" w:rsidRPr="00B56069">
        <w:t xml:space="preserve"> not build nests or guard the eggs</w:t>
      </w:r>
      <w:r w:rsidR="00C538DF" w:rsidRPr="00B56069">
        <w:t xml:space="preserve">. </w:t>
      </w:r>
    </w:p>
    <w:p w14:paraId="725F4955" w14:textId="0DCFB12B" w:rsidR="00A33C5A" w:rsidRPr="00B56069" w:rsidRDefault="008E4A3B" w:rsidP="0083088D">
      <w:pPr>
        <w:pStyle w:val="ListBullet2"/>
        <w:numPr>
          <w:ilvl w:val="1"/>
          <w:numId w:val="21"/>
        </w:numPr>
      </w:pPr>
      <w:r w:rsidRPr="00B56069">
        <w:rPr>
          <w:i/>
          <w:iCs/>
        </w:rPr>
        <w:t>H</w:t>
      </w:r>
      <w:r w:rsidR="00A33C5A" w:rsidRPr="00B56069">
        <w:rPr>
          <w:i/>
          <w:iCs/>
        </w:rPr>
        <w:t>ow many eggs or live-born young are produced at each breeding event</w:t>
      </w:r>
      <w:r w:rsidRPr="00B56069">
        <w:t>:</w:t>
      </w:r>
      <w:r w:rsidR="00A33C5A" w:rsidRPr="00B56069">
        <w:t xml:space="preserve"> </w:t>
      </w:r>
      <w:r w:rsidR="00D34E10" w:rsidRPr="00B56069">
        <w:br/>
      </w:r>
      <w:r w:rsidR="007D2A90" w:rsidRPr="00B56069">
        <w:t xml:space="preserve">Mercy </w:t>
      </w:r>
      <w:r w:rsidR="00980826" w:rsidRPr="00B56069">
        <w:rPr>
          <w:i/>
          <w:iCs/>
        </w:rPr>
        <w:t>et al.</w:t>
      </w:r>
      <w:r w:rsidR="007D2A90" w:rsidRPr="00B56069">
        <w:t xml:space="preserve"> (201</w:t>
      </w:r>
      <w:r w:rsidR="006C2276" w:rsidRPr="00B56069">
        <w:t>5</w:t>
      </w:r>
      <w:r w:rsidR="007D2A90" w:rsidRPr="00B56069">
        <w:t xml:space="preserve">) reported absolute fecundity of </w:t>
      </w:r>
      <w:r w:rsidR="007D2A90" w:rsidRPr="00B56069">
        <w:rPr>
          <w:i/>
          <w:iCs/>
        </w:rPr>
        <w:t xml:space="preserve">S. </w:t>
      </w:r>
      <w:proofErr w:type="spellStart"/>
      <w:r w:rsidR="007D2A90" w:rsidRPr="00B56069">
        <w:rPr>
          <w:i/>
          <w:iCs/>
        </w:rPr>
        <w:t>denisonii</w:t>
      </w:r>
      <w:proofErr w:type="spellEnd"/>
      <w:r w:rsidR="007D2A90" w:rsidRPr="00B56069">
        <w:t xml:space="preserve"> ranging from 293 to 967ova per female, while Solomon </w:t>
      </w:r>
      <w:r w:rsidR="00980826" w:rsidRPr="00B56069">
        <w:rPr>
          <w:i/>
          <w:iCs/>
        </w:rPr>
        <w:t>et al.</w:t>
      </w:r>
      <w:r w:rsidR="007D2A90" w:rsidRPr="00B56069">
        <w:t xml:space="preserve"> (2011) recorded a range of 76 to 1098; </w:t>
      </w:r>
      <w:r w:rsidR="00D34E10" w:rsidRPr="00B56069">
        <w:t xml:space="preserve">extremely low when compared to other cyprinids such as </w:t>
      </w:r>
      <w:proofErr w:type="spellStart"/>
      <w:r w:rsidR="006E24C7" w:rsidRPr="00B56069">
        <w:rPr>
          <w:i/>
          <w:iCs/>
        </w:rPr>
        <w:t>Systomus</w:t>
      </w:r>
      <w:proofErr w:type="spellEnd"/>
      <w:r w:rsidR="006E24C7" w:rsidRPr="00B56069">
        <w:rPr>
          <w:i/>
          <w:iCs/>
        </w:rPr>
        <w:t xml:space="preserve"> </w:t>
      </w:r>
      <w:r w:rsidR="006E24C7" w:rsidRPr="00B56069">
        <w:t>(</w:t>
      </w:r>
      <w:r w:rsidR="006E24C7" w:rsidRPr="00B56069">
        <w:rPr>
          <w:i/>
          <w:iCs/>
        </w:rPr>
        <w:t>Puntius</w:t>
      </w:r>
      <w:r w:rsidR="006E24C7" w:rsidRPr="00B56069">
        <w:t xml:space="preserve">) </w:t>
      </w:r>
      <w:proofErr w:type="spellStart"/>
      <w:r w:rsidR="006E24C7" w:rsidRPr="00B56069">
        <w:rPr>
          <w:i/>
          <w:iCs/>
        </w:rPr>
        <w:t>sarana</w:t>
      </w:r>
      <w:proofErr w:type="spellEnd"/>
      <w:r w:rsidR="00D34E10" w:rsidRPr="00B56069">
        <w:t xml:space="preserve"> (</w:t>
      </w:r>
      <w:proofErr w:type="spellStart"/>
      <w:r w:rsidR="00D34E10" w:rsidRPr="00B56069">
        <w:t>Chandrasoma</w:t>
      </w:r>
      <w:proofErr w:type="spellEnd"/>
      <w:r w:rsidR="00D34E10" w:rsidRPr="00B56069">
        <w:t xml:space="preserve"> </w:t>
      </w:r>
      <w:r w:rsidR="00D37665" w:rsidRPr="00B56069">
        <w:t xml:space="preserve">and </w:t>
      </w:r>
      <w:r w:rsidR="00D34E10" w:rsidRPr="00B56069">
        <w:t xml:space="preserve">de Silva 1981) and </w:t>
      </w:r>
      <w:r w:rsidR="00D34E10" w:rsidRPr="00B56069">
        <w:rPr>
          <w:i/>
          <w:iCs/>
        </w:rPr>
        <w:t xml:space="preserve">Rasbora </w:t>
      </w:r>
      <w:proofErr w:type="spellStart"/>
      <w:r w:rsidR="00D34E10" w:rsidRPr="00B56069">
        <w:rPr>
          <w:i/>
          <w:iCs/>
        </w:rPr>
        <w:t>daniconius</w:t>
      </w:r>
      <w:proofErr w:type="spellEnd"/>
      <w:r w:rsidR="00D34E10" w:rsidRPr="00B56069">
        <w:t xml:space="preserve"> (</w:t>
      </w:r>
      <w:proofErr w:type="spellStart"/>
      <w:r w:rsidR="00D34E10" w:rsidRPr="00B56069">
        <w:t>Nagendran</w:t>
      </w:r>
      <w:proofErr w:type="spellEnd"/>
      <w:r w:rsidR="00D34E10" w:rsidRPr="00B56069">
        <w:t xml:space="preserve"> </w:t>
      </w:r>
      <w:r w:rsidR="00980826" w:rsidRPr="00B56069">
        <w:rPr>
          <w:i/>
          <w:iCs/>
        </w:rPr>
        <w:t>et al.</w:t>
      </w:r>
      <w:r w:rsidR="00D34E10" w:rsidRPr="00B56069">
        <w:t xml:space="preserve"> 1981). </w:t>
      </w:r>
      <w:proofErr w:type="gramStart"/>
      <w:r w:rsidR="007C77D6" w:rsidRPr="00B56069">
        <w:t>Similar to</w:t>
      </w:r>
      <w:proofErr w:type="gramEnd"/>
      <w:r w:rsidR="007C77D6" w:rsidRPr="00B56069">
        <w:t xml:space="preserve"> this species, </w:t>
      </w:r>
      <w:r w:rsidR="00D34E10" w:rsidRPr="00B56069">
        <w:t xml:space="preserve">three endemic cyprinids threatened by aquarium collections in </w:t>
      </w:r>
      <w:r w:rsidR="00D34E10" w:rsidRPr="00B56069">
        <w:lastRenderedPageBreak/>
        <w:t xml:space="preserve">Sri Lanka, </w:t>
      </w:r>
      <w:proofErr w:type="spellStart"/>
      <w:r w:rsidR="006E24C7" w:rsidRPr="00B56069">
        <w:rPr>
          <w:i/>
          <w:iCs/>
        </w:rPr>
        <w:t>Pethia</w:t>
      </w:r>
      <w:proofErr w:type="spellEnd"/>
      <w:r w:rsidR="006E24C7" w:rsidRPr="00B56069">
        <w:rPr>
          <w:i/>
          <w:iCs/>
        </w:rPr>
        <w:t xml:space="preserve"> </w:t>
      </w:r>
      <w:r w:rsidR="006E24C7" w:rsidRPr="00B56069">
        <w:t>(</w:t>
      </w:r>
      <w:r w:rsidR="006E24C7" w:rsidRPr="00B56069">
        <w:rPr>
          <w:i/>
          <w:iCs/>
        </w:rPr>
        <w:t>Puntius</w:t>
      </w:r>
      <w:r w:rsidR="006E24C7" w:rsidRPr="00B56069">
        <w:t>)</w:t>
      </w:r>
      <w:r w:rsidR="00D34E10" w:rsidRPr="00B56069">
        <w:t xml:space="preserve"> </w:t>
      </w:r>
      <w:proofErr w:type="spellStart"/>
      <w:r w:rsidR="00D34E10" w:rsidRPr="00B56069">
        <w:rPr>
          <w:i/>
          <w:iCs/>
        </w:rPr>
        <w:t>nigrofasciatus</w:t>
      </w:r>
      <w:proofErr w:type="spellEnd"/>
      <w:r w:rsidR="00D34E10" w:rsidRPr="00B56069">
        <w:t xml:space="preserve">, </w:t>
      </w:r>
      <w:proofErr w:type="spellStart"/>
      <w:r w:rsidR="006E24C7" w:rsidRPr="00B56069">
        <w:rPr>
          <w:i/>
          <w:iCs/>
        </w:rPr>
        <w:t>Pethia</w:t>
      </w:r>
      <w:proofErr w:type="spellEnd"/>
      <w:r w:rsidR="006E24C7" w:rsidRPr="00B56069">
        <w:rPr>
          <w:i/>
          <w:iCs/>
        </w:rPr>
        <w:t xml:space="preserve"> </w:t>
      </w:r>
      <w:r w:rsidR="006E24C7" w:rsidRPr="00B56069">
        <w:t>(</w:t>
      </w:r>
      <w:r w:rsidR="006E24C7" w:rsidRPr="00B56069">
        <w:rPr>
          <w:i/>
          <w:iCs/>
        </w:rPr>
        <w:t>Puntius</w:t>
      </w:r>
      <w:r w:rsidR="006E24C7" w:rsidRPr="00B56069">
        <w:t xml:space="preserve">) </w:t>
      </w:r>
      <w:proofErr w:type="spellStart"/>
      <w:r w:rsidR="00D34E10" w:rsidRPr="00B56069">
        <w:rPr>
          <w:i/>
          <w:iCs/>
        </w:rPr>
        <w:t>cumingi</w:t>
      </w:r>
      <w:proofErr w:type="spellEnd"/>
      <w:r w:rsidR="00D34E10" w:rsidRPr="00B56069">
        <w:t xml:space="preserve"> and </w:t>
      </w:r>
      <w:proofErr w:type="spellStart"/>
      <w:r w:rsidR="006E24C7" w:rsidRPr="00B56069">
        <w:rPr>
          <w:i/>
          <w:iCs/>
        </w:rPr>
        <w:t>Systomus</w:t>
      </w:r>
      <w:proofErr w:type="spellEnd"/>
      <w:r w:rsidR="006E24C7" w:rsidRPr="00B56069">
        <w:rPr>
          <w:i/>
          <w:iCs/>
        </w:rPr>
        <w:t xml:space="preserve"> </w:t>
      </w:r>
      <w:r w:rsidR="006E24C7" w:rsidRPr="00B56069">
        <w:t>(</w:t>
      </w:r>
      <w:r w:rsidR="006E24C7" w:rsidRPr="00B56069">
        <w:rPr>
          <w:i/>
          <w:iCs/>
        </w:rPr>
        <w:t>Puntius</w:t>
      </w:r>
      <w:r w:rsidR="006E24C7" w:rsidRPr="00B56069">
        <w:t>)</w:t>
      </w:r>
      <w:r w:rsidR="00D34E10" w:rsidRPr="00B56069">
        <w:rPr>
          <w:i/>
          <w:iCs/>
        </w:rPr>
        <w:t xml:space="preserve"> </w:t>
      </w:r>
      <w:proofErr w:type="spellStart"/>
      <w:r w:rsidR="00D34E10" w:rsidRPr="00B56069">
        <w:rPr>
          <w:i/>
          <w:iCs/>
        </w:rPr>
        <w:t>pleurotaenia</w:t>
      </w:r>
      <w:proofErr w:type="spellEnd"/>
      <w:r w:rsidR="00D34E10" w:rsidRPr="00B56069">
        <w:t xml:space="preserve"> are </w:t>
      </w:r>
      <w:r w:rsidR="00EC6448" w:rsidRPr="00B56069">
        <w:t xml:space="preserve">also </w:t>
      </w:r>
      <w:r w:rsidR="00D34E10" w:rsidRPr="00B56069">
        <w:t>known to have a low absolute fecundity (151–638 for 46–64 mm TL) (</w:t>
      </w:r>
      <w:r w:rsidR="002617A6" w:rsidRPr="00B56069">
        <w:t xml:space="preserve">Solomon </w:t>
      </w:r>
      <w:r w:rsidR="002617A6" w:rsidRPr="00B56069">
        <w:rPr>
          <w:i/>
          <w:iCs/>
        </w:rPr>
        <w:t>et al.</w:t>
      </w:r>
      <w:r w:rsidR="002617A6" w:rsidRPr="00B56069">
        <w:t xml:space="preserve"> (2011)</w:t>
      </w:r>
      <w:r w:rsidR="007C77D6" w:rsidRPr="00B56069">
        <w:t>.</w:t>
      </w:r>
      <w:r w:rsidR="001970F2" w:rsidRPr="00B56069">
        <w:t xml:space="preserve"> </w:t>
      </w:r>
    </w:p>
    <w:p w14:paraId="4C8D4394" w14:textId="42A53D30" w:rsidR="00A33C5A" w:rsidRPr="00B56069" w:rsidRDefault="001A7DB6" w:rsidP="0083088D">
      <w:pPr>
        <w:pStyle w:val="ListBullet2"/>
        <w:numPr>
          <w:ilvl w:val="1"/>
          <w:numId w:val="21"/>
        </w:numPr>
      </w:pPr>
      <w:r w:rsidRPr="00B56069">
        <w:rPr>
          <w:i/>
          <w:iCs/>
        </w:rPr>
        <w:t>Has</w:t>
      </w:r>
      <w:r w:rsidR="00A33C5A" w:rsidRPr="00B56069">
        <w:rPr>
          <w:i/>
          <w:iCs/>
        </w:rPr>
        <w:t xml:space="preserve"> the species hybridised with other species (both in the wild and in captivity) or has </w:t>
      </w:r>
      <w:r w:rsidRPr="00B56069">
        <w:rPr>
          <w:i/>
          <w:iCs/>
        </w:rPr>
        <w:t xml:space="preserve">it </w:t>
      </w:r>
      <w:r w:rsidR="00A33C5A" w:rsidRPr="00B56069">
        <w:rPr>
          <w:i/>
          <w:iCs/>
        </w:rPr>
        <w:t>the potential to hybridise with any other species</w:t>
      </w:r>
      <w:r w:rsidR="00C867B4" w:rsidRPr="00B56069">
        <w:t>: th</w:t>
      </w:r>
      <w:r w:rsidR="00D34E10" w:rsidRPr="00B56069">
        <w:t>e</w:t>
      </w:r>
      <w:r w:rsidR="00C867B4" w:rsidRPr="00B56069">
        <w:t xml:space="preserve"> species is not </w:t>
      </w:r>
      <w:r w:rsidR="00E21E83" w:rsidRPr="00B56069">
        <w:t xml:space="preserve">reported </w:t>
      </w:r>
      <w:r w:rsidR="00C867B4" w:rsidRPr="00B56069">
        <w:t>to have hybri</w:t>
      </w:r>
      <w:r w:rsidR="00D34E10" w:rsidRPr="00B56069">
        <w:t xml:space="preserve">dised </w:t>
      </w:r>
      <w:r w:rsidR="00C867B4" w:rsidRPr="00B56069">
        <w:t>w</w:t>
      </w:r>
      <w:r w:rsidR="00D34E10" w:rsidRPr="00B56069">
        <w:t>i</w:t>
      </w:r>
      <w:r w:rsidR="00C867B4" w:rsidRPr="00B56069">
        <w:t xml:space="preserve">th </w:t>
      </w:r>
      <w:r w:rsidR="005F7397" w:rsidRPr="00B56069">
        <w:t xml:space="preserve">any </w:t>
      </w:r>
      <w:r w:rsidR="00C867B4" w:rsidRPr="00B56069">
        <w:t xml:space="preserve">other </w:t>
      </w:r>
      <w:proofErr w:type="gramStart"/>
      <w:r w:rsidR="00C867B4" w:rsidRPr="00B56069">
        <w:t>spe</w:t>
      </w:r>
      <w:r w:rsidR="00D34E10" w:rsidRPr="00B56069">
        <w:t>c</w:t>
      </w:r>
      <w:r w:rsidR="00C867B4" w:rsidRPr="00B56069">
        <w:t>ies</w:t>
      </w:r>
      <w:r w:rsidR="00872CD4" w:rsidRPr="00B56069">
        <w:t>.</w:t>
      </w:r>
      <w:proofErr w:type="gramEnd"/>
      <w:r w:rsidR="00C867B4" w:rsidRPr="00B56069">
        <w:t xml:space="preserve"> </w:t>
      </w:r>
      <w:r w:rsidR="00A33C5A" w:rsidRPr="00B56069">
        <w:t xml:space="preserve"> </w:t>
      </w:r>
    </w:p>
    <w:p w14:paraId="62666ECA" w14:textId="49D2B01D" w:rsidR="00A33C5A" w:rsidRPr="00B56069" w:rsidRDefault="008E4A3B" w:rsidP="0083088D">
      <w:pPr>
        <w:pStyle w:val="ListBullet2"/>
        <w:numPr>
          <w:ilvl w:val="1"/>
          <w:numId w:val="21"/>
        </w:numPr>
      </w:pPr>
      <w:r w:rsidRPr="00B56069">
        <w:rPr>
          <w:i/>
          <w:iCs/>
        </w:rPr>
        <w:t>I</w:t>
      </w:r>
      <w:r w:rsidR="00A33C5A" w:rsidRPr="00B56069">
        <w:rPr>
          <w:i/>
          <w:iCs/>
        </w:rPr>
        <w:t>f the species can hyb</w:t>
      </w:r>
      <w:r w:rsidR="00C5024C" w:rsidRPr="00B56069">
        <w:rPr>
          <w:i/>
          <w:iCs/>
        </w:rPr>
        <w:t>ridise, are the progeny fertile</w:t>
      </w:r>
      <w:r w:rsidR="00872CD4" w:rsidRPr="00B56069">
        <w:t xml:space="preserve">: </w:t>
      </w:r>
      <w:r w:rsidR="00274121" w:rsidRPr="00B56069">
        <w:t>N</w:t>
      </w:r>
      <w:r w:rsidR="00440614" w:rsidRPr="00B56069">
        <w:t xml:space="preserve">ot </w:t>
      </w:r>
      <w:r w:rsidR="00872CD4" w:rsidRPr="00B56069">
        <w:t>a</w:t>
      </w:r>
      <w:r w:rsidR="00440614" w:rsidRPr="00B56069">
        <w:t>pplicable</w:t>
      </w:r>
      <w:r w:rsidR="00C5024C" w:rsidRPr="00B56069">
        <w:t>.</w:t>
      </w:r>
    </w:p>
    <w:p w14:paraId="0EB5160D" w14:textId="66631035" w:rsidR="00A33C5A" w:rsidRPr="00B56069" w:rsidRDefault="00A33C5A" w:rsidP="00FD34A3">
      <w:pPr>
        <w:pStyle w:val="ListNumber"/>
        <w:rPr>
          <w:i/>
          <w:iCs/>
        </w:rPr>
      </w:pPr>
      <w:r w:rsidRPr="00B56069">
        <w:rPr>
          <w:i/>
          <w:iCs/>
        </w:rPr>
        <w:t xml:space="preserve">Provide information on whether this species has established feral populations, and if so, where those populations are. Include information on whether this species has been introduced to other countries, even if it has not established feral populations. </w:t>
      </w:r>
      <w:r w:rsidR="00C22398" w:rsidRPr="00B56069">
        <w:rPr>
          <w:i/>
          <w:iCs/>
        </w:rPr>
        <w:br/>
      </w:r>
      <w:r w:rsidR="001A7DB6" w:rsidRPr="00B56069">
        <w:br/>
      </w:r>
      <w:bookmarkStart w:id="4" w:name="_Hlk55552073"/>
      <w:r w:rsidR="00C22398" w:rsidRPr="00B56069">
        <w:t>The species has not been reported as having established feral population outside of their natural geographic distribution, despite being trade</w:t>
      </w:r>
      <w:r w:rsidR="00730C2A" w:rsidRPr="00B56069">
        <w:t>d</w:t>
      </w:r>
      <w:r w:rsidR="00C22398" w:rsidRPr="00B56069">
        <w:t xml:space="preserve"> internationally </w:t>
      </w:r>
      <w:r w:rsidR="001E7B6C" w:rsidRPr="00B56069">
        <w:t>for the aquarium trade for the past 30 years in volumes in the order of 3 million per year</w:t>
      </w:r>
      <w:bookmarkEnd w:id="4"/>
      <w:r w:rsidR="00B8220F" w:rsidRPr="00B56069">
        <w:t>.</w:t>
      </w:r>
    </w:p>
    <w:p w14:paraId="058B3063" w14:textId="5C1CBBB5" w:rsidR="00806127" w:rsidRPr="00B56069" w:rsidRDefault="00A33C5A" w:rsidP="00806127">
      <w:pPr>
        <w:pStyle w:val="ListNumber"/>
      </w:pPr>
      <w:r w:rsidRPr="00B56069">
        <w:rPr>
          <w:i/>
          <w:iCs/>
        </w:rPr>
        <w:t>Provide information on, and the results of any other environmental risk assessments undertaken on the species both in Australia and overseas, including any Import Risk Analyses undertaken.</w:t>
      </w:r>
      <w:r w:rsidRPr="00B56069">
        <w:t xml:space="preserve"> </w:t>
      </w:r>
      <w:r w:rsidR="00F3348B" w:rsidRPr="00B56069">
        <w:br/>
      </w:r>
      <w:r w:rsidR="001A7DB6" w:rsidRPr="00B56069">
        <w:br/>
      </w:r>
      <w:r w:rsidR="00F3348B" w:rsidRPr="00B56069">
        <w:t xml:space="preserve">A search of the scientific literature did not identify any previous environmental risk assessment of this species. </w:t>
      </w:r>
      <w:r w:rsidR="00B435B7" w:rsidRPr="00B56069">
        <w:t xml:space="preserve">The species is not on the BRS ‘grey list’ of ornamental fish species, </w:t>
      </w:r>
      <w:proofErr w:type="gramStart"/>
      <w:r w:rsidR="00B435B7" w:rsidRPr="00B56069">
        <w:t>i.e.</w:t>
      </w:r>
      <w:proofErr w:type="gramEnd"/>
      <w:r w:rsidR="00B435B7" w:rsidRPr="00B56069">
        <w:t xml:space="preserve"> non-native species that are present in Australia </w:t>
      </w:r>
      <w:r w:rsidR="00B87DC1" w:rsidRPr="00B56069">
        <w:t xml:space="preserve">through historical imports that are not on </w:t>
      </w:r>
      <w:r w:rsidR="00022D29" w:rsidRPr="00B56069">
        <w:t>the Live Import List</w:t>
      </w:r>
      <w:r w:rsidR="00B435B7" w:rsidRPr="00B56069">
        <w:t xml:space="preserve">, nor </w:t>
      </w:r>
      <w:r w:rsidR="00022D29" w:rsidRPr="00B56069">
        <w:t xml:space="preserve">is it </w:t>
      </w:r>
      <w:r w:rsidR="00B435B7" w:rsidRPr="00B56069">
        <w:t>one of the</w:t>
      </w:r>
      <w:r w:rsidR="00E057DD" w:rsidRPr="00B56069">
        <w:t xml:space="preserve"> </w:t>
      </w:r>
      <w:r w:rsidR="00B435B7" w:rsidRPr="00B56069">
        <w:t xml:space="preserve">species of </w:t>
      </w:r>
      <w:r w:rsidR="00E057DD" w:rsidRPr="00B56069">
        <w:t xml:space="preserve">non-native freshwater fish </w:t>
      </w:r>
      <w:r w:rsidR="00B435B7" w:rsidRPr="00B56069">
        <w:t>that are reported to have establish</w:t>
      </w:r>
      <w:r w:rsidR="002170C2" w:rsidRPr="00B56069">
        <w:t>ed</w:t>
      </w:r>
      <w:r w:rsidR="00B435B7" w:rsidRPr="00B56069">
        <w:t xml:space="preserve"> self-</w:t>
      </w:r>
      <w:r w:rsidR="00DB263A" w:rsidRPr="00B56069">
        <w:t>sustaining</w:t>
      </w:r>
      <w:r w:rsidR="00B435B7" w:rsidRPr="00B56069">
        <w:t xml:space="preserve"> </w:t>
      </w:r>
      <w:r w:rsidR="00DB263A" w:rsidRPr="00B56069">
        <w:t>populations</w:t>
      </w:r>
      <w:r w:rsidR="00B435B7" w:rsidRPr="00B56069">
        <w:t xml:space="preserve"> in the wild in Australia (</w:t>
      </w:r>
      <w:r w:rsidR="00E057DD" w:rsidRPr="00B56069">
        <w:t xml:space="preserve">Corfield </w:t>
      </w:r>
      <w:r w:rsidR="00980826" w:rsidRPr="00B56069">
        <w:t>et al.</w:t>
      </w:r>
      <w:r w:rsidR="00E057DD" w:rsidRPr="00B56069">
        <w:t xml:space="preserve"> 2008</w:t>
      </w:r>
      <w:r w:rsidR="00754A3E" w:rsidRPr="00B56069">
        <w:t>).</w:t>
      </w:r>
      <w:r w:rsidR="00E057DD" w:rsidRPr="00B56069">
        <w:t xml:space="preserve"> </w:t>
      </w:r>
      <w:r w:rsidR="00806127" w:rsidRPr="00B56069">
        <w:br/>
      </w:r>
      <w:r w:rsidR="00806127" w:rsidRPr="00B56069">
        <w:br/>
      </w:r>
      <w:r w:rsidR="003758A2" w:rsidRPr="00B56069">
        <w:t xml:space="preserve">However, </w:t>
      </w:r>
      <w:r w:rsidR="00A61FED" w:rsidRPr="00B56069">
        <w:t>the specie</w:t>
      </w:r>
      <w:r w:rsidR="00045E2D" w:rsidRPr="00B56069">
        <w:t>s</w:t>
      </w:r>
      <w:r w:rsidR="00A61FED" w:rsidRPr="00B56069">
        <w:t xml:space="preserve"> is </w:t>
      </w:r>
      <w:r w:rsidR="00045E2D" w:rsidRPr="00B56069">
        <w:t xml:space="preserve">known to be </w:t>
      </w:r>
      <w:r w:rsidR="00A61FED" w:rsidRPr="00B56069">
        <w:t>captive bred and t</w:t>
      </w:r>
      <w:r w:rsidR="00777168">
        <w:t>raded domestically in Australia</w:t>
      </w:r>
      <w:r w:rsidR="003758A2" w:rsidRPr="00B56069">
        <w:t xml:space="preserve">. </w:t>
      </w:r>
      <w:r w:rsidR="00A61FED" w:rsidRPr="00B56069">
        <w:t xml:space="preserve">It is unknown how the first individuals arrived in Australia </w:t>
      </w:r>
      <w:r w:rsidR="00A61FED" w:rsidRPr="00B56069">
        <w:rPr>
          <w:rFonts w:cs="Arial"/>
        </w:rPr>
        <w:t>─</w:t>
      </w:r>
      <w:r w:rsidR="00A61FED" w:rsidRPr="00B56069">
        <w:t xml:space="preserve"> it is plausible that they may have been shipped to Australia inadvertently as they resemble some closely related species </w:t>
      </w:r>
      <w:r w:rsidR="00045E2D" w:rsidRPr="00B56069">
        <w:t>o</w:t>
      </w:r>
      <w:r w:rsidR="00A61FED" w:rsidRPr="00B56069">
        <w:t>n the current Live Import Li</w:t>
      </w:r>
      <w:r w:rsidR="00777168">
        <w:t>st</w:t>
      </w:r>
      <w:r w:rsidR="00806127" w:rsidRPr="00B56069">
        <w:t xml:space="preserve">. </w:t>
      </w:r>
      <w:r w:rsidR="00890AAF" w:rsidRPr="00B56069">
        <w:br/>
      </w:r>
      <w:r w:rsidR="00890AAF" w:rsidRPr="00B56069">
        <w:br/>
      </w:r>
      <w:r w:rsidR="00806127" w:rsidRPr="00B56069">
        <w:t xml:space="preserve">The addition of </w:t>
      </w:r>
      <w:r w:rsidR="00806127" w:rsidRPr="00B56069">
        <w:rPr>
          <w:i/>
          <w:iCs/>
        </w:rPr>
        <w:t xml:space="preserve">S. </w:t>
      </w:r>
      <w:proofErr w:type="spellStart"/>
      <w:r w:rsidR="00806127" w:rsidRPr="00B56069">
        <w:rPr>
          <w:i/>
          <w:iCs/>
        </w:rPr>
        <w:t>denisonii</w:t>
      </w:r>
      <w:proofErr w:type="spellEnd"/>
      <w:r w:rsidR="00806127" w:rsidRPr="00B56069">
        <w:t xml:space="preserve"> to the Live Import List would be </w:t>
      </w:r>
      <w:r w:rsidR="00DB383B" w:rsidRPr="00B56069">
        <w:t xml:space="preserve">generally consistent with Australia’s </w:t>
      </w:r>
      <w:r w:rsidR="00825106" w:rsidRPr="00B56069">
        <w:t xml:space="preserve">biosecurity arrangements for </w:t>
      </w:r>
      <w:r w:rsidR="00DB383B" w:rsidRPr="00B56069">
        <w:t xml:space="preserve">live fish </w:t>
      </w:r>
      <w:r w:rsidR="00276E79" w:rsidRPr="00B56069">
        <w:t xml:space="preserve">given that the species is present in Australia and given that it is closely related to and shares a similar environmental risk profile </w:t>
      </w:r>
      <w:r w:rsidR="004A69F4" w:rsidRPr="00B56069">
        <w:t xml:space="preserve">with </w:t>
      </w:r>
      <w:r w:rsidR="00D059D4" w:rsidRPr="00B56069">
        <w:t xml:space="preserve">several </w:t>
      </w:r>
      <w:r w:rsidR="00276E79" w:rsidRPr="00B56069">
        <w:t>species currently permitted live importation to Australia</w:t>
      </w:r>
      <w:r w:rsidR="00806127" w:rsidRPr="00B56069">
        <w:t>.</w:t>
      </w:r>
    </w:p>
    <w:p w14:paraId="03FB8147" w14:textId="38C8E510" w:rsidR="003808E6" w:rsidRPr="00B56069" w:rsidRDefault="00A33C5A" w:rsidP="009C5B85">
      <w:pPr>
        <w:pStyle w:val="ListNumber"/>
      </w:pPr>
      <w:r w:rsidRPr="00B56069">
        <w:rPr>
          <w:i/>
          <w:iCs/>
        </w:rPr>
        <w:t xml:space="preserve">Assess the likelihood that the species could establish a breeding population in the Australian environment should it ever be released from effective human control. </w:t>
      </w:r>
      <w:r w:rsidR="00D820FD" w:rsidRPr="00B56069">
        <w:br/>
      </w:r>
      <w:r w:rsidR="00C42638" w:rsidRPr="00B56069">
        <w:br/>
      </w:r>
      <w:bookmarkStart w:id="5" w:name="_Hlk59021770"/>
      <w:bookmarkStart w:id="6" w:name="_Hlk55552364"/>
      <w:r w:rsidR="003808E6" w:rsidRPr="00B56069">
        <w:t xml:space="preserve">Assessing the risk of the potential of introducing a new organism into the environment involves assessing the risk of it becoming established and spreading and the likely impacts if establishment occurred. </w:t>
      </w:r>
      <w:r w:rsidR="007B6897" w:rsidRPr="00B56069">
        <w:t xml:space="preserve">The risk assessment method </w:t>
      </w:r>
      <w:r w:rsidR="008D7052" w:rsidRPr="00B56069">
        <w:rPr>
          <w:rFonts w:cs="Arial"/>
        </w:rPr>
        <w:t xml:space="preserve">‘Exotic Freshwater Fish Model 1’ </w:t>
      </w:r>
      <w:r w:rsidR="00E875FD" w:rsidRPr="00B56069">
        <w:rPr>
          <w:rFonts w:cs="Arial"/>
        </w:rPr>
        <w:t xml:space="preserve">developed by Mary </w:t>
      </w:r>
      <w:proofErr w:type="spellStart"/>
      <w:r w:rsidR="003808E6" w:rsidRPr="00B56069">
        <w:t>Bomford</w:t>
      </w:r>
      <w:proofErr w:type="spellEnd"/>
      <w:r w:rsidR="003808E6" w:rsidRPr="00B56069">
        <w:t xml:space="preserve"> </w:t>
      </w:r>
      <w:r w:rsidR="007B6897" w:rsidRPr="00B56069">
        <w:t xml:space="preserve">has been adopted by DAWE for its </w:t>
      </w:r>
      <w:r w:rsidR="00E875FD" w:rsidRPr="00B56069">
        <w:t xml:space="preserve">freshwater fish </w:t>
      </w:r>
      <w:r w:rsidR="007B6897" w:rsidRPr="00B56069">
        <w:t>risk assessments</w:t>
      </w:r>
      <w:r w:rsidR="00274121" w:rsidRPr="00B56069">
        <w:t xml:space="preserve"> (</w:t>
      </w:r>
      <w:proofErr w:type="spellStart"/>
      <w:r w:rsidR="00274121" w:rsidRPr="00B56069">
        <w:t>Bomford</w:t>
      </w:r>
      <w:proofErr w:type="spellEnd"/>
      <w:r w:rsidR="00274121" w:rsidRPr="00B56069">
        <w:t xml:space="preserve"> 2008)</w:t>
      </w:r>
      <w:r w:rsidR="007B6897" w:rsidRPr="00B56069">
        <w:t xml:space="preserve">. </w:t>
      </w:r>
      <w:r w:rsidR="003808E6" w:rsidRPr="00B56069">
        <w:t>The following considers each of the</w:t>
      </w:r>
      <w:r w:rsidR="007B6897" w:rsidRPr="00B56069">
        <w:t xml:space="preserve"> risk </w:t>
      </w:r>
      <w:r w:rsidR="003808E6" w:rsidRPr="00B56069">
        <w:t>factors</w:t>
      </w:r>
      <w:r w:rsidR="007B6897" w:rsidRPr="00B56069">
        <w:t xml:space="preserve"> considered </w:t>
      </w:r>
      <w:r w:rsidR="00EA74B5" w:rsidRPr="00B56069">
        <w:t>by</w:t>
      </w:r>
      <w:r w:rsidR="007B6897" w:rsidRPr="00B56069">
        <w:t xml:space="preserve"> </w:t>
      </w:r>
      <w:proofErr w:type="spellStart"/>
      <w:r w:rsidR="007B6897" w:rsidRPr="00B56069">
        <w:t>Bomford</w:t>
      </w:r>
      <w:proofErr w:type="spellEnd"/>
      <w:r w:rsidR="007B6897" w:rsidRPr="00B56069">
        <w:t xml:space="preserve"> to be applicable to freshwater fish</w:t>
      </w:r>
      <w:r w:rsidR="00DF1A56" w:rsidRPr="00B56069">
        <w:t xml:space="preserve"> </w:t>
      </w:r>
      <w:r w:rsidR="00231C98" w:rsidRPr="00B56069">
        <w:t xml:space="preserve">and is </w:t>
      </w:r>
      <w:r w:rsidR="001C6E4C" w:rsidRPr="00B56069">
        <w:t xml:space="preserve">guided by the recent </w:t>
      </w:r>
      <w:r w:rsidR="00EA74B5" w:rsidRPr="00B56069">
        <w:t xml:space="preserve">Australian Government </w:t>
      </w:r>
      <w:r w:rsidR="001C6E4C" w:rsidRPr="00B56069">
        <w:t xml:space="preserve">risk assessment of </w:t>
      </w:r>
      <w:r w:rsidR="001424CE" w:rsidRPr="00B56069">
        <w:rPr>
          <w:rFonts w:cs="Arial"/>
        </w:rPr>
        <w:t>glass catfish (DAWE 2020</w:t>
      </w:r>
      <w:r w:rsidR="00A72FB0" w:rsidRPr="00B56069">
        <w:rPr>
          <w:rFonts w:cs="Arial"/>
        </w:rPr>
        <w:t>a</w:t>
      </w:r>
      <w:r w:rsidR="001424CE" w:rsidRPr="00B56069">
        <w:rPr>
          <w:rFonts w:cs="Arial"/>
        </w:rPr>
        <w:t>)</w:t>
      </w:r>
      <w:r w:rsidR="00231C98" w:rsidRPr="00B56069">
        <w:rPr>
          <w:rFonts w:cs="Arial"/>
        </w:rPr>
        <w:t>. T</w:t>
      </w:r>
      <w:r w:rsidR="003808E6" w:rsidRPr="00B56069">
        <w:t xml:space="preserve">he specific </w:t>
      </w:r>
      <w:r w:rsidR="007323D9" w:rsidRPr="00B56069">
        <w:lastRenderedPageBreak/>
        <w:t xml:space="preserve">criteria </w:t>
      </w:r>
      <w:r w:rsidR="003808E6" w:rsidRPr="00B56069">
        <w:t>in the DAWE template terms of reference</w:t>
      </w:r>
      <w:r w:rsidR="00231C98" w:rsidRPr="00B56069">
        <w:t xml:space="preserve"> are also covered</w:t>
      </w:r>
      <w:r w:rsidR="003808E6" w:rsidRPr="00B56069">
        <w:t xml:space="preserve">. </w:t>
      </w:r>
      <w:r w:rsidR="00DF1A56" w:rsidRPr="00B56069">
        <w:t>The p</w:t>
      </w:r>
      <w:r w:rsidR="00E959F0" w:rsidRPr="00B56069">
        <w:t xml:space="preserve">otential impacts of established feral populations are </w:t>
      </w:r>
      <w:r w:rsidR="00231C98" w:rsidRPr="00B56069">
        <w:t>addressed</w:t>
      </w:r>
      <w:r w:rsidR="00E959F0" w:rsidRPr="00B56069">
        <w:t xml:space="preserve"> in the next term of reference (#8).</w:t>
      </w:r>
      <w:r w:rsidR="00D3207A" w:rsidRPr="00B56069">
        <w:t xml:space="preserve"> A structured risk assessment based on the </w:t>
      </w:r>
      <w:proofErr w:type="spellStart"/>
      <w:r w:rsidR="00D3207A" w:rsidRPr="00B56069">
        <w:t>Bomford</w:t>
      </w:r>
      <w:proofErr w:type="spellEnd"/>
      <w:r w:rsidR="00D3207A" w:rsidRPr="00B56069">
        <w:t xml:space="preserve"> methodology is at Appendix </w:t>
      </w:r>
      <w:r w:rsidR="00A37611" w:rsidRPr="00B56069">
        <w:t>A</w:t>
      </w:r>
      <w:r w:rsidR="00D3207A" w:rsidRPr="00B56069">
        <w:t>.</w:t>
      </w:r>
      <w:bookmarkEnd w:id="5"/>
    </w:p>
    <w:p w14:paraId="73BADF8C" w14:textId="77777777" w:rsidR="003B4841" w:rsidRPr="00B56069" w:rsidRDefault="003808E6" w:rsidP="00C50E9D">
      <w:pPr>
        <w:pStyle w:val="ListBullet2"/>
        <w:numPr>
          <w:ilvl w:val="1"/>
          <w:numId w:val="22"/>
        </w:numPr>
      </w:pPr>
      <w:r w:rsidRPr="00B56069">
        <w:rPr>
          <w:i/>
          <w:iCs/>
        </w:rPr>
        <w:t>Propagule pressure</w:t>
      </w:r>
      <w:r w:rsidRPr="00B56069">
        <w:t>—the release of large numbers of animals at different times and places enhances the chance of successful establishment</w:t>
      </w:r>
      <w:r w:rsidR="001C6E4C" w:rsidRPr="00B56069">
        <w:t xml:space="preserve">: </w:t>
      </w:r>
      <w:bookmarkStart w:id="7" w:name="_Hlk58140588"/>
      <w:r w:rsidR="007C7DAD" w:rsidRPr="00B56069">
        <w:t xml:space="preserve">As a schooling species </w:t>
      </w:r>
      <w:r w:rsidR="001C6E4C" w:rsidRPr="00B56069">
        <w:t xml:space="preserve">S. </w:t>
      </w:r>
      <w:proofErr w:type="spellStart"/>
      <w:r w:rsidR="001C6E4C" w:rsidRPr="00B56069">
        <w:t>denisonii</w:t>
      </w:r>
      <w:proofErr w:type="spellEnd"/>
      <w:r w:rsidR="001C6E4C" w:rsidRPr="00B56069">
        <w:t xml:space="preserve"> has a higher likelihood </w:t>
      </w:r>
      <w:r w:rsidR="007C7DAD" w:rsidRPr="00B56069">
        <w:t xml:space="preserve">of </w:t>
      </w:r>
      <w:r w:rsidR="001C6E4C" w:rsidRPr="00B56069">
        <w:t>establish</w:t>
      </w:r>
      <w:r w:rsidR="007C7DAD" w:rsidRPr="00B56069">
        <w:t>ing</w:t>
      </w:r>
      <w:r w:rsidR="001C6E4C" w:rsidRPr="00B56069">
        <w:t xml:space="preserve"> than non-schooling species. However, the species is not territorial, and any inadvertent or deliberate releases into water ways would </w:t>
      </w:r>
      <w:r w:rsidR="00D1311C" w:rsidRPr="00B56069">
        <w:t xml:space="preserve">likely </w:t>
      </w:r>
      <w:r w:rsidR="001C6E4C" w:rsidRPr="00B56069">
        <w:t xml:space="preserve">disperse. A moderate to high probability of establishing a self-sustaining population would require deliberate </w:t>
      </w:r>
      <w:r w:rsidR="007C7DAD" w:rsidRPr="00B56069">
        <w:t xml:space="preserve">release </w:t>
      </w:r>
      <w:r w:rsidR="001C6E4C" w:rsidRPr="00B56069">
        <w:t xml:space="preserve">into very specific waterways – it is unlikely </w:t>
      </w:r>
      <w:r w:rsidR="007D0290" w:rsidRPr="00B56069">
        <w:t xml:space="preserve">therefore </w:t>
      </w:r>
      <w:r w:rsidR="001C6E4C" w:rsidRPr="00B56069">
        <w:t>to happen at random</w:t>
      </w:r>
      <w:r w:rsidR="00D1311C" w:rsidRPr="00B56069">
        <w:t xml:space="preserve"> </w:t>
      </w:r>
      <w:bookmarkStart w:id="8" w:name="_Hlk55555966"/>
      <w:r w:rsidR="00D1311C" w:rsidRPr="00B56069">
        <w:t>(DAWE 2020</w:t>
      </w:r>
      <w:r w:rsidR="00A72FB0" w:rsidRPr="00B56069">
        <w:t>a</w:t>
      </w:r>
      <w:r w:rsidR="00D1311C" w:rsidRPr="00B56069">
        <w:t>)</w:t>
      </w:r>
      <w:r w:rsidR="001C6E4C" w:rsidRPr="00B56069">
        <w:t xml:space="preserve">. </w:t>
      </w:r>
      <w:bookmarkEnd w:id="8"/>
      <w:r w:rsidR="001C6E4C" w:rsidRPr="00B56069">
        <w:t>The possible locations where establishment may occur are generally remote from populated areas</w:t>
      </w:r>
      <w:r w:rsidR="007C7DAD" w:rsidRPr="00B56069">
        <w:t>;</w:t>
      </w:r>
      <w:r w:rsidR="001C6E4C" w:rsidRPr="00B56069">
        <w:t xml:space="preserve"> this includes areas in Arnhem Land and far Northern Australia. It is </w:t>
      </w:r>
      <w:r w:rsidR="007C7DAD" w:rsidRPr="00B56069">
        <w:t>highly</w:t>
      </w:r>
      <w:r w:rsidR="001C6E4C" w:rsidRPr="00B56069">
        <w:t xml:space="preserve"> unlikely that enough fish would be </w:t>
      </w:r>
      <w:r w:rsidR="007C7DAD" w:rsidRPr="00B56069">
        <w:t xml:space="preserve">accidently or deliberately </w:t>
      </w:r>
      <w:r w:rsidR="001C6E4C" w:rsidRPr="00B56069">
        <w:t>released into a suitable receiving environment to establish a breeding population.</w:t>
      </w:r>
      <w:bookmarkEnd w:id="7"/>
      <w:r w:rsidR="003B4841" w:rsidRPr="00B56069">
        <w:t xml:space="preserve"> </w:t>
      </w:r>
    </w:p>
    <w:p w14:paraId="7992CED3" w14:textId="71C509D5" w:rsidR="003B4841" w:rsidRPr="00B56069" w:rsidRDefault="003808E6" w:rsidP="00C50E9D">
      <w:pPr>
        <w:pStyle w:val="ListBullet2"/>
        <w:numPr>
          <w:ilvl w:val="1"/>
          <w:numId w:val="22"/>
        </w:numPr>
      </w:pPr>
      <w:r w:rsidRPr="00B56069">
        <w:rPr>
          <w:i/>
          <w:iCs/>
        </w:rPr>
        <w:t>Climate match</w:t>
      </w:r>
      <w:r w:rsidRPr="00B56069">
        <w:t>—introduction to an area with a climate that closely matches that of the species’ original range</w:t>
      </w:r>
      <w:r w:rsidR="001424CE" w:rsidRPr="00B56069">
        <w:t>:</w:t>
      </w:r>
      <w:bookmarkStart w:id="9" w:name="_Hlk58140655"/>
      <w:r w:rsidR="00C525D9" w:rsidRPr="00B56069">
        <w:t xml:space="preserve"> </w:t>
      </w:r>
      <w:bookmarkStart w:id="10" w:name="_Hlk59021842"/>
      <w:proofErr w:type="spellStart"/>
      <w:r w:rsidR="00C525D9" w:rsidRPr="00B56069">
        <w:t>Climatch</w:t>
      </w:r>
      <w:proofErr w:type="spellEnd"/>
      <w:r w:rsidR="00C525D9" w:rsidRPr="00B56069">
        <w:t xml:space="preserve"> (</w:t>
      </w:r>
      <w:r w:rsidR="008D7052" w:rsidRPr="00B56069">
        <w:t xml:space="preserve">original </w:t>
      </w:r>
      <w:r w:rsidR="00C525D9" w:rsidRPr="00B56069">
        <w:t>v</w:t>
      </w:r>
      <w:r w:rsidR="008D7052" w:rsidRPr="00B56069">
        <w:t>1</w:t>
      </w:r>
      <w:r w:rsidR="00C525D9" w:rsidRPr="00B56069">
        <w:t xml:space="preserve">.0) was run </w:t>
      </w:r>
      <w:r w:rsidR="008D7052" w:rsidRPr="00B56069">
        <w:t xml:space="preserve">with </w:t>
      </w:r>
      <w:r w:rsidR="00C525D9" w:rsidRPr="00B56069">
        <w:t xml:space="preserve">the source region set to circumscribe nine stations in the Western Ghats ranges of India including the location of sampling sites (in and around 75ºE, 12ºN) used by Solomon </w:t>
      </w:r>
      <w:r w:rsidR="00C525D9" w:rsidRPr="00B56069">
        <w:rPr>
          <w:i/>
          <w:iCs/>
        </w:rPr>
        <w:t>et al.</w:t>
      </w:r>
      <w:r w:rsidR="00C525D9" w:rsidRPr="00B56069">
        <w:t xml:space="preserve"> (2011) and the broader </w:t>
      </w:r>
      <w:r w:rsidR="00A36DDD" w:rsidRPr="00B56069">
        <w:t>‘</w:t>
      </w:r>
      <w:r w:rsidR="00C525D9" w:rsidRPr="00B56069">
        <w:t>extant and probably extant</w:t>
      </w:r>
      <w:r w:rsidR="00A36DDD" w:rsidRPr="00B56069">
        <w:t>’</w:t>
      </w:r>
      <w:r w:rsidR="00C525D9" w:rsidRPr="00B56069">
        <w:t xml:space="preserve"> geographical range described in the IUCN species assessment (Ali </w:t>
      </w:r>
      <w:r w:rsidR="00C525D9" w:rsidRPr="00B56069">
        <w:rPr>
          <w:i/>
          <w:iCs/>
        </w:rPr>
        <w:t>et al.</w:t>
      </w:r>
      <w:r w:rsidR="00C525D9" w:rsidRPr="00B56069">
        <w:t xml:space="preserve"> 2015).  A climate match prediction was generated using the Euclidian algorithm applied to the ‘world stations’ data set. </w:t>
      </w:r>
      <w:proofErr w:type="spellStart"/>
      <w:r w:rsidR="00AF4DA2" w:rsidRPr="00B56069">
        <w:t>Climatch</w:t>
      </w:r>
      <w:proofErr w:type="spellEnd"/>
      <w:r w:rsidR="00AF4DA2" w:rsidRPr="00B56069">
        <w:t xml:space="preserve"> calculated a ‘value X’ (Climate Euclidian Sum Level 5) of </w:t>
      </w:r>
      <w:r w:rsidR="00A37611" w:rsidRPr="00B56069">
        <w:t>655</w:t>
      </w:r>
      <w:r w:rsidR="00AF4DA2" w:rsidRPr="00B56069">
        <w:t xml:space="preserve">, equating to a climate match score of </w:t>
      </w:r>
      <w:r w:rsidR="00A37611" w:rsidRPr="00B56069">
        <w:t>5</w:t>
      </w:r>
      <w:r w:rsidR="00AF4DA2" w:rsidRPr="00B56069">
        <w:t xml:space="preserve">, increased to </w:t>
      </w:r>
      <w:r w:rsidR="00A37611" w:rsidRPr="00B56069">
        <w:t>6</w:t>
      </w:r>
      <w:r w:rsidR="00AF4DA2" w:rsidRPr="00B56069">
        <w:t xml:space="preserve"> because there were less than 12 meteorological stations used in the prediction. </w:t>
      </w:r>
      <w:r w:rsidR="000F657C" w:rsidRPr="00B56069">
        <w:t xml:space="preserve">DAWE (2020a) </w:t>
      </w:r>
      <w:r w:rsidR="00B46616" w:rsidRPr="00B56069">
        <w:t xml:space="preserve">suggested the need for some </w:t>
      </w:r>
      <w:r w:rsidR="000F657C" w:rsidRPr="00B56069">
        <w:t xml:space="preserve">caution in predicting climate suitability for freshwater aquatic species because </w:t>
      </w:r>
      <w:proofErr w:type="spellStart"/>
      <w:r w:rsidR="000F657C" w:rsidRPr="00B56069">
        <w:t>Climatch</w:t>
      </w:r>
      <w:proofErr w:type="spellEnd"/>
      <w:r w:rsidR="000F657C" w:rsidRPr="00B56069">
        <w:t xml:space="preserve"> is based on terrestrial climate measurements. </w:t>
      </w:r>
      <w:r w:rsidR="00E875FD" w:rsidRPr="00B56069">
        <w:t xml:space="preserve">The new upgraded </w:t>
      </w:r>
      <w:r w:rsidR="00B46616" w:rsidRPr="00B56069">
        <w:t>version</w:t>
      </w:r>
      <w:r w:rsidR="00E875FD" w:rsidRPr="00B56069">
        <w:t xml:space="preserve"> of </w:t>
      </w:r>
      <w:proofErr w:type="spellStart"/>
      <w:r w:rsidR="00E875FD" w:rsidRPr="00B56069">
        <w:t>Climatch</w:t>
      </w:r>
      <w:proofErr w:type="spellEnd"/>
      <w:r w:rsidR="00E875FD" w:rsidRPr="00B56069">
        <w:t xml:space="preserve"> (v2.0) was not used in this assessment because </w:t>
      </w:r>
      <w:r w:rsidR="000F657C" w:rsidRPr="00B56069">
        <w:t xml:space="preserve">its improved mapping resolution results in higher </w:t>
      </w:r>
      <w:r w:rsidR="00B46616" w:rsidRPr="00B56069">
        <w:t xml:space="preserve">output values </w:t>
      </w:r>
      <w:r w:rsidR="000F657C" w:rsidRPr="00B56069">
        <w:t xml:space="preserve">that are yet to be calibrated for purposes of applying the </w:t>
      </w:r>
      <w:proofErr w:type="spellStart"/>
      <w:r w:rsidR="000F657C" w:rsidRPr="00B56069">
        <w:t>Bomford</w:t>
      </w:r>
      <w:proofErr w:type="spellEnd"/>
      <w:r w:rsidR="000F657C" w:rsidRPr="00B56069">
        <w:t xml:space="preserve"> methodology. </w:t>
      </w:r>
      <w:bookmarkEnd w:id="10"/>
    </w:p>
    <w:p w14:paraId="35A551E5" w14:textId="0F778A33" w:rsidR="00D1492C" w:rsidRPr="00B56069" w:rsidRDefault="00DF1A56" w:rsidP="00A317F5">
      <w:pPr>
        <w:pStyle w:val="ListBullet2"/>
        <w:numPr>
          <w:ilvl w:val="1"/>
          <w:numId w:val="22"/>
        </w:numPr>
      </w:pPr>
      <w:bookmarkStart w:id="11" w:name="_Hlk58140725"/>
      <w:bookmarkEnd w:id="9"/>
      <w:r w:rsidRPr="00B56069">
        <w:rPr>
          <w:i/>
          <w:iCs/>
        </w:rPr>
        <w:t xml:space="preserve">Overseas range: </w:t>
      </w:r>
      <w:r w:rsidR="00231C98" w:rsidRPr="00B56069">
        <w:t xml:space="preserve">The species is a stenotherm (18-26ºC) endemic to Kerala and south Karnataka in southern India (Malabar Coast) </w:t>
      </w:r>
      <w:r w:rsidR="00881483" w:rsidRPr="00B56069">
        <w:t>(</w:t>
      </w:r>
      <w:r w:rsidR="006C2276" w:rsidRPr="00B56069">
        <w:t>S</w:t>
      </w:r>
      <w:r w:rsidR="00881483" w:rsidRPr="00B56069">
        <w:t>harpe</w:t>
      </w:r>
      <w:r w:rsidR="006C2276" w:rsidRPr="00B56069">
        <w:t xml:space="preserve"> 2020</w:t>
      </w:r>
      <w:r w:rsidR="00881483" w:rsidRPr="00B56069">
        <w:t>)</w:t>
      </w:r>
      <w:r w:rsidR="00231C98" w:rsidRPr="00B56069">
        <w:t xml:space="preserve">. </w:t>
      </w:r>
      <w:r w:rsidR="004E35A4" w:rsidRPr="00B56069">
        <w:t xml:space="preserve">It </w:t>
      </w:r>
      <w:r w:rsidR="00231C98" w:rsidRPr="00B56069">
        <w:t>has an estimated range of 8,805 km</w:t>
      </w:r>
      <w:r w:rsidR="00231C98" w:rsidRPr="00B56069">
        <w:rPr>
          <w:vertAlign w:val="superscript"/>
        </w:rPr>
        <w:t>2</w:t>
      </w:r>
      <w:r w:rsidR="004E35A4" w:rsidRPr="00B56069">
        <w:rPr>
          <w:vertAlign w:val="superscript"/>
        </w:rPr>
        <w:t xml:space="preserve"> </w:t>
      </w:r>
      <w:r w:rsidR="004E35A4" w:rsidRPr="00B56069">
        <w:t xml:space="preserve">and is </w:t>
      </w:r>
      <w:r w:rsidR="00D1492C" w:rsidRPr="00B56069">
        <w:t xml:space="preserve">conservatively </w:t>
      </w:r>
      <w:r w:rsidR="00920C53" w:rsidRPr="00B56069">
        <w:t xml:space="preserve">estimated to </w:t>
      </w:r>
      <w:r w:rsidR="00D1492C" w:rsidRPr="00B56069">
        <w:t xml:space="preserve">occupy a total </w:t>
      </w:r>
      <w:r w:rsidR="00920C53" w:rsidRPr="00B56069">
        <w:t>6</w:t>
      </w:r>
      <w:r w:rsidR="00D1492C" w:rsidRPr="00B56069">
        <w:t xml:space="preserve">, </w:t>
      </w:r>
      <w:r w:rsidR="00CA669E" w:rsidRPr="00B56069">
        <w:t>1</w:t>
      </w:r>
      <w:r w:rsidR="00CA669E" w:rsidRPr="00B56069">
        <w:rPr>
          <w:vertAlign w:val="superscript"/>
        </w:rPr>
        <w:t>o</w:t>
      </w:r>
      <w:r w:rsidR="00CA669E" w:rsidRPr="00B56069">
        <w:t xml:space="preserve"> latitude x 1</w:t>
      </w:r>
      <w:r w:rsidR="00CA669E" w:rsidRPr="00B56069">
        <w:rPr>
          <w:vertAlign w:val="superscript"/>
        </w:rPr>
        <w:t>o</w:t>
      </w:r>
      <w:r w:rsidR="00CA669E" w:rsidRPr="00B56069">
        <w:t xml:space="preserve"> longitude grid squares</w:t>
      </w:r>
      <w:r w:rsidR="00D1492C" w:rsidRPr="00B56069">
        <w:t xml:space="preserve"> (</w:t>
      </w:r>
      <w:proofErr w:type="spellStart"/>
      <w:r w:rsidR="00D1492C" w:rsidRPr="00B56069">
        <w:t>Bomford</w:t>
      </w:r>
      <w:proofErr w:type="spellEnd"/>
      <w:r w:rsidR="00D1492C" w:rsidRPr="00B56069">
        <w:t xml:space="preserve"> 2008). </w:t>
      </w:r>
    </w:p>
    <w:bookmarkEnd w:id="11"/>
    <w:p w14:paraId="629F5390" w14:textId="4ED94029" w:rsidR="003808E6" w:rsidRPr="00B56069" w:rsidRDefault="003808E6" w:rsidP="0083088D">
      <w:pPr>
        <w:pStyle w:val="ListBullet2"/>
        <w:numPr>
          <w:ilvl w:val="1"/>
          <w:numId w:val="22"/>
        </w:numPr>
      </w:pPr>
      <w:r w:rsidRPr="00B56069">
        <w:rPr>
          <w:i/>
          <w:iCs/>
        </w:rPr>
        <w:t>History of establishment elsewhere—previous successful establishment</w:t>
      </w:r>
      <w:r w:rsidR="00DF1A56" w:rsidRPr="00B56069">
        <w:rPr>
          <w:i/>
          <w:iCs/>
        </w:rPr>
        <w:t>:</w:t>
      </w:r>
      <w:r w:rsidR="00231C98" w:rsidRPr="00B56069">
        <w:rPr>
          <w:i/>
          <w:iCs/>
        </w:rPr>
        <w:t xml:space="preserve"> </w:t>
      </w:r>
      <w:r w:rsidR="00231C98" w:rsidRPr="00B56069">
        <w:t xml:space="preserve">There have been no recorded establishment of wild populations of </w:t>
      </w:r>
      <w:r w:rsidR="00231C98" w:rsidRPr="00B56069">
        <w:rPr>
          <w:i/>
          <w:iCs/>
        </w:rPr>
        <w:t xml:space="preserve">S. </w:t>
      </w:r>
      <w:proofErr w:type="spellStart"/>
      <w:r w:rsidR="00231C98" w:rsidRPr="00B56069">
        <w:rPr>
          <w:i/>
          <w:iCs/>
        </w:rPr>
        <w:t>denisonii</w:t>
      </w:r>
      <w:proofErr w:type="spellEnd"/>
      <w:r w:rsidR="00231C98" w:rsidRPr="00B56069">
        <w:rPr>
          <w:i/>
          <w:iCs/>
        </w:rPr>
        <w:t xml:space="preserve"> </w:t>
      </w:r>
      <w:r w:rsidR="00231C98" w:rsidRPr="00B56069">
        <w:t>outside its natural range</w:t>
      </w:r>
      <w:r w:rsidR="001C22EF" w:rsidRPr="00B56069">
        <w:t xml:space="preserve">, </w:t>
      </w:r>
      <w:r w:rsidR="001C22EF" w:rsidRPr="00B56069">
        <w:tab/>
      </w:r>
      <w:bookmarkStart w:id="12" w:name="_Hlk55287081"/>
      <w:r w:rsidR="001C22EF" w:rsidRPr="00B56069">
        <w:t>despite likely inadvertent or deliberate introductions as an internationally traded aquarium species</w:t>
      </w:r>
      <w:bookmarkEnd w:id="12"/>
      <w:r w:rsidR="00231C98" w:rsidRPr="00B56069">
        <w:t>.</w:t>
      </w:r>
      <w:r w:rsidR="001C22EF" w:rsidRPr="00B56069">
        <w:t xml:space="preserve"> </w:t>
      </w:r>
      <w:bookmarkStart w:id="13" w:name="_Hlk55287055"/>
      <w:r w:rsidR="001C22EF" w:rsidRPr="00B56069">
        <w:t>The species is considered to have been “introduce but never established”</w:t>
      </w:r>
      <w:r w:rsidR="00CC325C" w:rsidRPr="00B56069">
        <w:t xml:space="preserve"> </w:t>
      </w:r>
      <w:r w:rsidR="001C22EF" w:rsidRPr="00B56069">
        <w:t>(</w:t>
      </w:r>
      <w:proofErr w:type="spellStart"/>
      <w:r w:rsidR="001C22EF" w:rsidRPr="00B56069">
        <w:t>Bomford</w:t>
      </w:r>
      <w:proofErr w:type="spellEnd"/>
      <w:r w:rsidR="001C22EF" w:rsidRPr="00B56069">
        <w:t xml:space="preserve"> 2008). </w:t>
      </w:r>
    </w:p>
    <w:bookmarkEnd w:id="13"/>
    <w:p w14:paraId="5FE45B9D" w14:textId="4423E1F6" w:rsidR="00DF1A56" w:rsidRPr="00B56069" w:rsidRDefault="00DF1A56" w:rsidP="0083088D">
      <w:pPr>
        <w:pStyle w:val="ListBullet2"/>
        <w:numPr>
          <w:ilvl w:val="1"/>
          <w:numId w:val="22"/>
        </w:numPr>
      </w:pPr>
      <w:r w:rsidRPr="00B56069">
        <w:rPr>
          <w:i/>
          <w:iCs/>
        </w:rPr>
        <w:t xml:space="preserve">Introduction success: </w:t>
      </w:r>
      <w:r w:rsidR="00231C98" w:rsidRPr="00B56069">
        <w:rPr>
          <w:rFonts w:cs="Arial"/>
          <w:lang w:eastAsia="en-AU"/>
        </w:rPr>
        <w:t>The species is n</w:t>
      </w:r>
      <w:r w:rsidR="00F60749" w:rsidRPr="00B56069">
        <w:rPr>
          <w:rFonts w:cs="Arial"/>
          <w:lang w:eastAsia="en-AU"/>
        </w:rPr>
        <w:t>ot</w:t>
      </w:r>
      <w:r w:rsidR="00231C98" w:rsidRPr="00B56069">
        <w:rPr>
          <w:rFonts w:cs="Arial"/>
          <w:lang w:eastAsia="en-AU"/>
        </w:rPr>
        <w:t xml:space="preserve"> known to have been released or established. However, after decades of trade worldwide it can be assumed it has been released into non-native areas on many occasions.  </w:t>
      </w:r>
      <w:r w:rsidR="00EB5FD1" w:rsidRPr="00B56069">
        <w:rPr>
          <w:rFonts w:cs="Arial"/>
          <w:lang w:eastAsia="en-AU"/>
        </w:rPr>
        <w:t xml:space="preserve">The introduction </w:t>
      </w:r>
      <w:r w:rsidR="00410E38" w:rsidRPr="00B56069">
        <w:rPr>
          <w:rFonts w:cs="Arial"/>
          <w:lang w:eastAsia="en-AU"/>
        </w:rPr>
        <w:t xml:space="preserve">success </w:t>
      </w:r>
      <w:r w:rsidR="00EB5FD1" w:rsidRPr="00B56069">
        <w:rPr>
          <w:rFonts w:cs="Arial"/>
          <w:lang w:eastAsia="en-AU"/>
        </w:rPr>
        <w:t>rate is conservatively considered to be less than 0.25</w:t>
      </w:r>
      <w:r w:rsidR="00CC325C" w:rsidRPr="00B56069">
        <w:rPr>
          <w:rFonts w:cs="Arial"/>
          <w:lang w:eastAsia="en-AU"/>
        </w:rPr>
        <w:t xml:space="preserve"> or 25%</w:t>
      </w:r>
      <w:r w:rsidR="00EB5FD1" w:rsidRPr="00B56069">
        <w:rPr>
          <w:rFonts w:cs="Arial"/>
          <w:lang w:eastAsia="en-AU"/>
        </w:rPr>
        <w:t>.</w:t>
      </w:r>
    </w:p>
    <w:p w14:paraId="2EF6C85E" w14:textId="2CE3AA85" w:rsidR="00BC4281" w:rsidRPr="00B56069" w:rsidRDefault="003808E6" w:rsidP="0083088D">
      <w:pPr>
        <w:pStyle w:val="ListBullet2"/>
        <w:numPr>
          <w:ilvl w:val="1"/>
          <w:numId w:val="22"/>
        </w:numPr>
      </w:pPr>
      <w:r w:rsidRPr="00B56069">
        <w:rPr>
          <w:i/>
          <w:iCs/>
        </w:rPr>
        <w:lastRenderedPageBreak/>
        <w:t>Taxonomic group</w:t>
      </w:r>
      <w:r w:rsidR="00E959F0" w:rsidRPr="00B56069">
        <w:rPr>
          <w:rFonts w:cs="Arial"/>
        </w:rPr>
        <w:t>—</w:t>
      </w:r>
      <w:r w:rsidR="00E959F0" w:rsidRPr="00B56069">
        <w:rPr>
          <w:rFonts w:cs="Arial"/>
          <w:i/>
          <w:iCs/>
        </w:rPr>
        <w:t>belonging to a family or genus which has a high establishment success rate</w:t>
      </w:r>
      <w:r w:rsidR="00E959F0" w:rsidRPr="00B56069">
        <w:rPr>
          <w:i/>
          <w:iCs/>
        </w:rPr>
        <w:t xml:space="preserve">: </w:t>
      </w:r>
      <w:r w:rsidR="001078A9" w:rsidRPr="00B56069">
        <w:rPr>
          <w:i/>
          <w:iCs/>
        </w:rPr>
        <w:t xml:space="preserve">S. </w:t>
      </w:r>
      <w:proofErr w:type="spellStart"/>
      <w:r w:rsidR="001078A9" w:rsidRPr="00B56069">
        <w:rPr>
          <w:i/>
          <w:iCs/>
        </w:rPr>
        <w:t>denisonii</w:t>
      </w:r>
      <w:proofErr w:type="spellEnd"/>
      <w:r w:rsidR="001078A9" w:rsidRPr="00B56069">
        <w:t xml:space="preserve"> belongs to the family </w:t>
      </w:r>
      <w:proofErr w:type="spellStart"/>
      <w:r w:rsidR="001078A9" w:rsidRPr="00B56069">
        <w:t>Cyprinidae</w:t>
      </w:r>
      <w:proofErr w:type="spellEnd"/>
      <w:r w:rsidR="001078A9" w:rsidRPr="00B56069">
        <w:t xml:space="preserve"> (freshwater fish that includes the carps, the true minnows, and their relatives such as barbs and barbels) and the subfamily </w:t>
      </w:r>
      <w:proofErr w:type="spellStart"/>
      <w:r w:rsidR="001078A9" w:rsidRPr="00B56069">
        <w:t>Barbinae</w:t>
      </w:r>
      <w:proofErr w:type="spellEnd"/>
      <w:r w:rsidR="001078A9" w:rsidRPr="00B56069">
        <w:t xml:space="preserve"> ─ the taxonomy of the </w:t>
      </w:r>
      <w:proofErr w:type="spellStart"/>
      <w:r w:rsidR="001078A9" w:rsidRPr="00B56069">
        <w:t>Barbinae</w:t>
      </w:r>
      <w:proofErr w:type="spellEnd"/>
      <w:r w:rsidR="001078A9" w:rsidRPr="00B56069">
        <w:t xml:space="preserve"> is uncertain as some genera historically considered within it are still considered </w:t>
      </w:r>
      <w:proofErr w:type="spellStart"/>
      <w:r w:rsidR="001078A9" w:rsidRPr="00B56069">
        <w:rPr>
          <w:i/>
          <w:iCs/>
        </w:rPr>
        <w:t>incertae</w:t>
      </w:r>
      <w:proofErr w:type="spellEnd"/>
      <w:r w:rsidR="001078A9" w:rsidRPr="00B56069">
        <w:rPr>
          <w:i/>
          <w:iCs/>
        </w:rPr>
        <w:t xml:space="preserve"> </w:t>
      </w:r>
      <w:proofErr w:type="spellStart"/>
      <w:r w:rsidR="001078A9" w:rsidRPr="00B56069">
        <w:rPr>
          <w:i/>
          <w:iCs/>
        </w:rPr>
        <w:t>sedis</w:t>
      </w:r>
      <w:proofErr w:type="spellEnd"/>
      <w:r w:rsidR="001078A9" w:rsidRPr="00B56069">
        <w:t xml:space="preserve"> (</w:t>
      </w:r>
      <w:r w:rsidR="00E4727D" w:rsidRPr="00B56069">
        <w:t xml:space="preserve">Wikipedia </w:t>
      </w:r>
      <w:proofErr w:type="spellStart"/>
      <w:r w:rsidR="00B07E4D" w:rsidRPr="00B56069">
        <w:t>n.d.</w:t>
      </w:r>
      <w:r w:rsidR="00B07E4D" w:rsidRPr="00B56069">
        <w:rPr>
          <w:rFonts w:cs="Arial"/>
        </w:rPr>
        <w:t>─</w:t>
      </w:r>
      <w:r w:rsidR="00E4727D" w:rsidRPr="00B56069">
        <w:t>a</w:t>
      </w:r>
      <w:proofErr w:type="spellEnd"/>
      <w:r w:rsidR="001078A9" w:rsidRPr="00B56069">
        <w:t>). There are four ornamental cyprinid species that are reported to have established self-maintaining populations in Australian waters; namely goldfish (</w:t>
      </w:r>
      <w:r w:rsidR="001078A9" w:rsidRPr="00B56069">
        <w:rPr>
          <w:i/>
          <w:iCs/>
        </w:rPr>
        <w:t>Carassius auratus</w:t>
      </w:r>
      <w:r w:rsidR="001078A9" w:rsidRPr="00B56069">
        <w:t>), rosy barb (</w:t>
      </w:r>
      <w:r w:rsidR="001078A9" w:rsidRPr="00B56069">
        <w:rPr>
          <w:i/>
          <w:iCs/>
        </w:rPr>
        <w:t xml:space="preserve">Puntius </w:t>
      </w:r>
      <w:proofErr w:type="spellStart"/>
      <w:r w:rsidR="001078A9" w:rsidRPr="00B56069">
        <w:rPr>
          <w:i/>
          <w:iCs/>
        </w:rPr>
        <w:t>conchonius</w:t>
      </w:r>
      <w:proofErr w:type="spellEnd"/>
      <w:r w:rsidR="001078A9" w:rsidRPr="00B56069">
        <w:t>), Sumatra barb (</w:t>
      </w:r>
      <w:r w:rsidR="001078A9" w:rsidRPr="00B56069">
        <w:rPr>
          <w:i/>
          <w:iCs/>
        </w:rPr>
        <w:t xml:space="preserve">Puntius </w:t>
      </w:r>
      <w:proofErr w:type="spellStart"/>
      <w:r w:rsidR="001078A9" w:rsidRPr="00B56069">
        <w:rPr>
          <w:i/>
          <w:iCs/>
        </w:rPr>
        <w:t>tetrazona</w:t>
      </w:r>
      <w:proofErr w:type="spellEnd"/>
      <w:r w:rsidR="001078A9" w:rsidRPr="00B56069">
        <w:t>) and white cloud mountain minnow (</w:t>
      </w:r>
      <w:proofErr w:type="spellStart"/>
      <w:r w:rsidR="001078A9" w:rsidRPr="00B56069">
        <w:rPr>
          <w:i/>
          <w:iCs/>
        </w:rPr>
        <w:t>Tanichthys</w:t>
      </w:r>
      <w:proofErr w:type="spellEnd"/>
      <w:r w:rsidR="001078A9" w:rsidRPr="00B56069">
        <w:rPr>
          <w:i/>
          <w:iCs/>
        </w:rPr>
        <w:t xml:space="preserve"> </w:t>
      </w:r>
      <w:proofErr w:type="spellStart"/>
      <w:r w:rsidR="001078A9" w:rsidRPr="00B56069">
        <w:rPr>
          <w:i/>
          <w:iCs/>
        </w:rPr>
        <w:t>albonubes</w:t>
      </w:r>
      <w:proofErr w:type="spellEnd"/>
      <w:r w:rsidR="001078A9" w:rsidRPr="00B56069">
        <w:t xml:space="preserve">) (Corfield </w:t>
      </w:r>
      <w:r w:rsidR="001078A9" w:rsidRPr="00B56069">
        <w:rPr>
          <w:i/>
          <w:iCs/>
        </w:rPr>
        <w:t>et al.</w:t>
      </w:r>
      <w:r w:rsidR="001078A9" w:rsidRPr="00B56069">
        <w:t xml:space="preserve"> 2008).  However, there is limited value in assigning a level of invasiveness risk to the family as a whole because the </w:t>
      </w:r>
      <w:proofErr w:type="spellStart"/>
      <w:r w:rsidR="001078A9" w:rsidRPr="00B56069">
        <w:t>Cyprinidae</w:t>
      </w:r>
      <w:proofErr w:type="spellEnd"/>
      <w:r w:rsidR="001078A9" w:rsidRPr="00B56069">
        <w:t xml:space="preserve"> is the largest and most diverse fish family and the largest vertebrate animal family in general, with about </w:t>
      </w:r>
      <w:r w:rsidR="0016355F" w:rsidRPr="00B56069">
        <w:t>1750 valid species</w:t>
      </w:r>
      <w:r w:rsidR="001078A9" w:rsidRPr="00B56069">
        <w:t xml:space="preserve">, </w:t>
      </w:r>
      <w:r w:rsidR="0016355F" w:rsidRPr="00B56069">
        <w:t xml:space="preserve">representing </w:t>
      </w:r>
      <w:r w:rsidR="001078A9" w:rsidRPr="00B56069">
        <w:t xml:space="preserve">about </w:t>
      </w:r>
      <w:r w:rsidR="0016355F" w:rsidRPr="00B56069">
        <w:t>150</w:t>
      </w:r>
      <w:r w:rsidR="001078A9" w:rsidRPr="00B56069">
        <w:t xml:space="preserve"> genera </w:t>
      </w:r>
      <w:r w:rsidR="0016355F" w:rsidRPr="00B56069">
        <w:t xml:space="preserve">(Fricke </w:t>
      </w:r>
      <w:r w:rsidR="0016355F" w:rsidRPr="00B56069">
        <w:rPr>
          <w:i/>
          <w:iCs/>
        </w:rPr>
        <w:t>et al</w:t>
      </w:r>
      <w:r w:rsidR="0016355F" w:rsidRPr="00B56069">
        <w:t xml:space="preserve">. 2020) </w:t>
      </w:r>
      <w:r w:rsidR="007B415E" w:rsidRPr="00B56069">
        <w:t xml:space="preserve">(Froese and Pauly </w:t>
      </w:r>
      <w:proofErr w:type="spellStart"/>
      <w:r w:rsidR="00A823CA" w:rsidRPr="00B56069">
        <w:t>n.d.</w:t>
      </w:r>
      <w:r w:rsidR="00A823CA" w:rsidRPr="00B56069">
        <w:rPr>
          <w:rFonts w:cs="Arial"/>
        </w:rPr>
        <w:t>─</w:t>
      </w:r>
      <w:r w:rsidR="00A823CA" w:rsidRPr="00B56069">
        <w:t>a</w:t>
      </w:r>
      <w:proofErr w:type="spellEnd"/>
      <w:r w:rsidR="007B415E" w:rsidRPr="00B56069">
        <w:t>)</w:t>
      </w:r>
      <w:r w:rsidR="001078A9" w:rsidRPr="00B56069">
        <w:t xml:space="preserve"> </w:t>
      </w:r>
      <w:r w:rsidR="001078A9" w:rsidRPr="00B56069">
        <w:br/>
      </w:r>
      <w:r w:rsidR="001078A9" w:rsidRPr="00B56069">
        <w:br/>
        <w:t>A</w:t>
      </w:r>
      <w:r w:rsidR="00E959F0" w:rsidRPr="00B56069">
        <w:t xml:space="preserve">t a </w:t>
      </w:r>
      <w:r w:rsidR="001078A9" w:rsidRPr="00B56069">
        <w:t xml:space="preserve">genus </w:t>
      </w:r>
      <w:r w:rsidR="00E959F0" w:rsidRPr="00B56069">
        <w:t xml:space="preserve">level, </w:t>
      </w:r>
      <w:r w:rsidR="001078A9" w:rsidRPr="00B56069">
        <w:t>s</w:t>
      </w:r>
      <w:r w:rsidR="00E959F0" w:rsidRPr="00B56069">
        <w:t xml:space="preserve">ince there are only </w:t>
      </w:r>
      <w:r w:rsidR="00C32779" w:rsidRPr="00B56069">
        <w:t xml:space="preserve">two </w:t>
      </w:r>
      <w:r w:rsidR="00E959F0" w:rsidRPr="00B56069">
        <w:t xml:space="preserve">species in the genus </w:t>
      </w:r>
      <w:proofErr w:type="spellStart"/>
      <w:r w:rsidR="00E959F0" w:rsidRPr="00B56069">
        <w:rPr>
          <w:i/>
          <w:iCs/>
        </w:rPr>
        <w:t>Sahyadria</w:t>
      </w:r>
      <w:proofErr w:type="spellEnd"/>
      <w:r w:rsidR="00E959F0" w:rsidRPr="00B56069">
        <w:t xml:space="preserve">, all species currently in the genus </w:t>
      </w:r>
      <w:r w:rsidR="00E959F0" w:rsidRPr="00B56069">
        <w:rPr>
          <w:i/>
          <w:iCs/>
        </w:rPr>
        <w:t>Puntius</w:t>
      </w:r>
      <w:r w:rsidR="00E959F0" w:rsidRPr="00B56069">
        <w:t xml:space="preserve"> </w:t>
      </w:r>
      <w:r w:rsidR="001078A9" w:rsidRPr="00B56069">
        <w:t xml:space="preserve">(to which the species previously belonged) </w:t>
      </w:r>
      <w:r w:rsidR="00E959F0" w:rsidRPr="00B56069">
        <w:t xml:space="preserve">plus the two species of </w:t>
      </w:r>
      <w:proofErr w:type="spellStart"/>
      <w:r w:rsidR="00E959F0" w:rsidRPr="00B56069">
        <w:rPr>
          <w:i/>
          <w:iCs/>
        </w:rPr>
        <w:t>Sahyadria</w:t>
      </w:r>
      <w:proofErr w:type="spellEnd"/>
      <w:r w:rsidR="00E959F0" w:rsidRPr="00B56069">
        <w:t xml:space="preserve"> may be considered as a single group for risk assessment purposes. </w:t>
      </w:r>
      <w:r w:rsidR="003F1474" w:rsidRPr="00B56069">
        <w:t xml:space="preserve">According to </w:t>
      </w:r>
      <w:proofErr w:type="spellStart"/>
      <w:r w:rsidR="002F6224" w:rsidRPr="00B56069">
        <w:t>FishBase</w:t>
      </w:r>
      <w:proofErr w:type="spellEnd"/>
      <w:r w:rsidR="002F6224" w:rsidRPr="00B56069">
        <w:t xml:space="preserve"> (</w:t>
      </w:r>
      <w:r w:rsidR="003F1474" w:rsidRPr="00B56069">
        <w:t xml:space="preserve">Froese and Pauly </w:t>
      </w:r>
      <w:proofErr w:type="spellStart"/>
      <w:r w:rsidR="00A823CA" w:rsidRPr="00B56069">
        <w:t>n.d.</w:t>
      </w:r>
      <w:r w:rsidR="00A823CA" w:rsidRPr="00B56069">
        <w:rPr>
          <w:rFonts w:cs="Arial"/>
        </w:rPr>
        <w:t>─b</w:t>
      </w:r>
      <w:proofErr w:type="spellEnd"/>
      <w:r w:rsidR="003F1474" w:rsidRPr="00B56069">
        <w:t>), o</w:t>
      </w:r>
      <w:r w:rsidR="00E959F0" w:rsidRPr="00B56069">
        <w:t xml:space="preserve">f a total 52 species (50 </w:t>
      </w:r>
      <w:r w:rsidR="00E959F0" w:rsidRPr="00B56069">
        <w:rPr>
          <w:i/>
          <w:iCs/>
        </w:rPr>
        <w:t>Puntius</w:t>
      </w:r>
      <w:r w:rsidR="00E959F0" w:rsidRPr="00B56069">
        <w:t xml:space="preserve"> and 2 </w:t>
      </w:r>
      <w:proofErr w:type="spellStart"/>
      <w:r w:rsidR="00E959F0" w:rsidRPr="00B56069">
        <w:rPr>
          <w:i/>
          <w:iCs/>
        </w:rPr>
        <w:t>Sahyadria</w:t>
      </w:r>
      <w:proofErr w:type="spellEnd"/>
      <w:r w:rsidR="00E959F0" w:rsidRPr="00B56069">
        <w:t xml:space="preserve">), 11 (10 </w:t>
      </w:r>
      <w:r w:rsidR="00E959F0" w:rsidRPr="00B56069">
        <w:rPr>
          <w:i/>
          <w:iCs/>
        </w:rPr>
        <w:t>Puntius</w:t>
      </w:r>
      <w:r w:rsidR="00E959F0" w:rsidRPr="00B56069">
        <w:t xml:space="preserve"> and 1 </w:t>
      </w:r>
      <w:proofErr w:type="spellStart"/>
      <w:r w:rsidR="00E959F0" w:rsidRPr="00B56069">
        <w:rPr>
          <w:i/>
          <w:iCs/>
        </w:rPr>
        <w:t>Sahyadria</w:t>
      </w:r>
      <w:proofErr w:type="spellEnd"/>
      <w:r w:rsidR="00E959F0" w:rsidRPr="00B56069">
        <w:t>) are traded as ornamental species</w:t>
      </w:r>
      <w:r w:rsidR="00BC4281" w:rsidRPr="00B56069">
        <w:t xml:space="preserve">, and of these 11, there are seven records (representing only two species) on </w:t>
      </w:r>
      <w:proofErr w:type="spellStart"/>
      <w:r w:rsidR="00BC4281" w:rsidRPr="00B56069">
        <w:t>FishBase</w:t>
      </w:r>
      <w:proofErr w:type="spellEnd"/>
      <w:r w:rsidR="00BC4281" w:rsidRPr="00B56069">
        <w:t xml:space="preserve"> of </w:t>
      </w:r>
      <w:r w:rsidR="00BC4281" w:rsidRPr="00B56069">
        <w:rPr>
          <w:i/>
          <w:iCs/>
        </w:rPr>
        <w:t>Puntius</w:t>
      </w:r>
      <w:r w:rsidR="00BC4281" w:rsidRPr="00B56069">
        <w:t xml:space="preserve"> species being found to have established wild populations outside the countries to which they are native. </w:t>
      </w:r>
      <w:r w:rsidR="00234DEE" w:rsidRPr="00B56069">
        <w:t xml:space="preserve">As internationally traded species, </w:t>
      </w:r>
      <w:r w:rsidR="00BC4281" w:rsidRPr="00B56069">
        <w:t xml:space="preserve">it is </w:t>
      </w:r>
      <w:r w:rsidR="00234DEE" w:rsidRPr="00B56069">
        <w:t xml:space="preserve">reasonable to </w:t>
      </w:r>
      <w:r w:rsidR="00BC4281" w:rsidRPr="00B56069">
        <w:t>assume</w:t>
      </w:r>
      <w:r w:rsidR="00234DEE" w:rsidRPr="00B56069">
        <w:t xml:space="preserve"> </w:t>
      </w:r>
      <w:r w:rsidR="00BC4281" w:rsidRPr="00B56069">
        <w:t xml:space="preserve">that </w:t>
      </w:r>
      <w:r w:rsidR="00234DEE" w:rsidRPr="00B56069">
        <w:t>these 11</w:t>
      </w:r>
      <w:r w:rsidR="00BC4281" w:rsidRPr="00B56069">
        <w:t xml:space="preserve"> species have been introduced to non-native environments many times over the past several decades of international trade – conservatively assumed to be 50 introductions for the purposes of this risk assessment</w:t>
      </w:r>
      <w:r w:rsidR="00BD6F8C" w:rsidRPr="00B56069">
        <w:t xml:space="preserve">. This assumed </w:t>
      </w:r>
      <w:r w:rsidR="00BC4281" w:rsidRPr="00B56069">
        <w:t>level of introductions has resulted in 7 established populations of two species</w:t>
      </w:r>
      <w:r w:rsidR="00234DEE" w:rsidRPr="00B56069">
        <w:t>. T</w:t>
      </w:r>
      <w:r w:rsidR="00BC4281" w:rsidRPr="00B56069">
        <w:t xml:space="preserve">he ‘genus level’ taxa risk is </w:t>
      </w:r>
      <w:r w:rsidR="00234DEE" w:rsidRPr="00B56069">
        <w:t xml:space="preserve">therefore </w:t>
      </w:r>
      <w:r w:rsidR="00BC4281" w:rsidRPr="00B56069">
        <w:t xml:space="preserve">7/50 (14%). </w:t>
      </w:r>
    </w:p>
    <w:bookmarkEnd w:id="6"/>
    <w:p w14:paraId="0D3A9291" w14:textId="77484995" w:rsidR="00B910AE" w:rsidRPr="00B56069" w:rsidRDefault="00B910AE" w:rsidP="0083088D">
      <w:pPr>
        <w:pStyle w:val="ListBullet2"/>
        <w:numPr>
          <w:ilvl w:val="1"/>
          <w:numId w:val="22"/>
        </w:numPr>
      </w:pPr>
      <w:r w:rsidRPr="00B56069">
        <w:rPr>
          <w:i/>
          <w:iCs/>
        </w:rPr>
        <w:t>Ability to find food sources</w:t>
      </w:r>
      <w:r w:rsidRPr="00B56069">
        <w:t xml:space="preserve">: As </w:t>
      </w:r>
      <w:proofErr w:type="gramStart"/>
      <w:r w:rsidRPr="00B56069">
        <w:t>a</w:t>
      </w:r>
      <w:proofErr w:type="gramEnd"/>
      <w:r w:rsidRPr="00B56069">
        <w:t xml:space="preserve"> herbivore feeding on filamentous algae and plant matter, the species is expected to find food sources in the unlikely event it is introduced into the wild.   </w:t>
      </w:r>
    </w:p>
    <w:p w14:paraId="777ADCC2" w14:textId="5B6148C2" w:rsidR="00940335" w:rsidRPr="00B56069" w:rsidRDefault="0070404D" w:rsidP="0083088D">
      <w:pPr>
        <w:pStyle w:val="ListBullet2"/>
        <w:numPr>
          <w:ilvl w:val="1"/>
          <w:numId w:val="22"/>
        </w:numPr>
      </w:pPr>
      <w:r w:rsidRPr="00B56069">
        <w:rPr>
          <w:i/>
          <w:iCs/>
        </w:rPr>
        <w:t>A</w:t>
      </w:r>
      <w:r w:rsidR="00A33C5A" w:rsidRPr="00B56069">
        <w:rPr>
          <w:i/>
          <w:iCs/>
        </w:rPr>
        <w:t>bility to survive and adapt to different climatic conditions (</w:t>
      </w:r>
      <w:proofErr w:type="gramStart"/>
      <w:r w:rsidR="00A33C5A" w:rsidRPr="00B56069">
        <w:rPr>
          <w:i/>
          <w:iCs/>
        </w:rPr>
        <w:t>e.g.</w:t>
      </w:r>
      <w:proofErr w:type="gramEnd"/>
      <w:r w:rsidR="00A33C5A" w:rsidRPr="00B56069">
        <w:rPr>
          <w:i/>
          <w:iCs/>
        </w:rPr>
        <w:t xml:space="preserve"> temperatures, rainfall patterns)</w:t>
      </w:r>
      <w:r w:rsidRPr="00B56069">
        <w:t xml:space="preserve">: </w:t>
      </w:r>
      <w:r w:rsidRPr="00B56069">
        <w:rPr>
          <w:i/>
          <w:iCs/>
        </w:rPr>
        <w:t xml:space="preserve">S. </w:t>
      </w:r>
      <w:proofErr w:type="spellStart"/>
      <w:r w:rsidRPr="00B56069">
        <w:rPr>
          <w:i/>
          <w:iCs/>
        </w:rPr>
        <w:t>denisonii</w:t>
      </w:r>
      <w:proofErr w:type="spellEnd"/>
      <w:r w:rsidRPr="00B56069">
        <w:rPr>
          <w:i/>
          <w:iCs/>
        </w:rPr>
        <w:t xml:space="preserve"> </w:t>
      </w:r>
      <w:r w:rsidRPr="00B56069">
        <w:t xml:space="preserve">is a </w:t>
      </w:r>
      <w:r w:rsidR="00940335" w:rsidRPr="00B56069">
        <w:t xml:space="preserve">benthopelagic </w:t>
      </w:r>
      <w:r w:rsidRPr="00B56069">
        <w:t xml:space="preserve">stenotherm </w:t>
      </w:r>
      <w:r w:rsidR="00652AFE" w:rsidRPr="00B56069">
        <w:t xml:space="preserve">endemic to the </w:t>
      </w:r>
      <w:proofErr w:type="spellStart"/>
      <w:r w:rsidR="00652AFE" w:rsidRPr="00B56069">
        <w:t>Achenkovil</w:t>
      </w:r>
      <w:proofErr w:type="spellEnd"/>
      <w:r w:rsidR="00652AFE" w:rsidRPr="00B56069">
        <w:t xml:space="preserve">, </w:t>
      </w:r>
      <w:proofErr w:type="spellStart"/>
      <w:r w:rsidR="00652AFE" w:rsidRPr="00B56069">
        <w:t>Pamba</w:t>
      </w:r>
      <w:proofErr w:type="spellEnd"/>
      <w:r w:rsidR="00652AFE" w:rsidRPr="00B56069">
        <w:t xml:space="preserve"> and </w:t>
      </w:r>
      <w:proofErr w:type="spellStart"/>
      <w:r w:rsidR="00652AFE" w:rsidRPr="00B56069">
        <w:t>Chaliyar</w:t>
      </w:r>
      <w:proofErr w:type="spellEnd"/>
      <w:r w:rsidR="00652AFE" w:rsidRPr="00B56069">
        <w:t xml:space="preserve"> rivers; specifically in four locations — </w:t>
      </w:r>
      <w:proofErr w:type="spellStart"/>
      <w:r w:rsidR="00652AFE" w:rsidRPr="00B56069">
        <w:t>Cheenkannipuzha</w:t>
      </w:r>
      <w:proofErr w:type="spellEnd"/>
      <w:r w:rsidR="00652AFE" w:rsidRPr="00B56069">
        <w:t xml:space="preserve"> (a major tributary of </w:t>
      </w:r>
      <w:proofErr w:type="spellStart"/>
      <w:r w:rsidR="00652AFE" w:rsidRPr="00B56069">
        <w:t>Valapattanam</w:t>
      </w:r>
      <w:proofErr w:type="spellEnd"/>
      <w:r w:rsidR="00652AFE" w:rsidRPr="00B56069">
        <w:t xml:space="preserve"> River), the </w:t>
      </w:r>
      <w:proofErr w:type="spellStart"/>
      <w:r w:rsidR="00652AFE" w:rsidRPr="00B56069">
        <w:t>Achankovil</w:t>
      </w:r>
      <w:proofErr w:type="spellEnd"/>
      <w:r w:rsidR="00652AFE" w:rsidRPr="00B56069">
        <w:t xml:space="preserve"> river, the </w:t>
      </w:r>
      <w:proofErr w:type="spellStart"/>
      <w:r w:rsidR="00652AFE" w:rsidRPr="00B56069">
        <w:t>Chaliyar</w:t>
      </w:r>
      <w:proofErr w:type="spellEnd"/>
      <w:r w:rsidR="00652AFE" w:rsidRPr="00B56069">
        <w:t xml:space="preserve"> river and near </w:t>
      </w:r>
      <w:proofErr w:type="spellStart"/>
      <w:r w:rsidR="00652AFE" w:rsidRPr="00B56069">
        <w:t>Mundakayam</w:t>
      </w:r>
      <w:proofErr w:type="spellEnd"/>
      <w:r w:rsidR="00652AFE" w:rsidRPr="00B56069">
        <w:t xml:space="preserve"> town </w:t>
      </w:r>
      <w:r w:rsidR="002336F5" w:rsidRPr="00B56069">
        <w:t>(Wikipedia</w:t>
      </w:r>
      <w:r w:rsidR="00B07E4D" w:rsidRPr="00B56069">
        <w:t xml:space="preserve"> </w:t>
      </w:r>
      <w:proofErr w:type="spellStart"/>
      <w:r w:rsidR="00B07E4D" w:rsidRPr="00B56069">
        <w:t>n.d.</w:t>
      </w:r>
      <w:r w:rsidR="00B07E4D" w:rsidRPr="00B56069">
        <w:rPr>
          <w:rFonts w:cs="Arial"/>
        </w:rPr>
        <w:t>─</w:t>
      </w:r>
      <w:r w:rsidR="00E4727D" w:rsidRPr="00B56069">
        <w:t>b</w:t>
      </w:r>
      <w:proofErr w:type="spellEnd"/>
      <w:r w:rsidR="002336F5" w:rsidRPr="00B56069">
        <w:t xml:space="preserve">). </w:t>
      </w:r>
      <w:r w:rsidR="00940335" w:rsidRPr="00B56069">
        <w:t>The species thrives in a subtropical climate in water with a 6.8</w:t>
      </w:r>
      <w:r w:rsidR="009C5B85" w:rsidRPr="00B56069">
        <w:t>-</w:t>
      </w:r>
      <w:r w:rsidR="00940335" w:rsidRPr="00B56069">
        <w:t>7.8 pH, a water hardness of 5</w:t>
      </w:r>
      <w:r w:rsidR="009C5B85" w:rsidRPr="00B56069">
        <w:t>-</w:t>
      </w:r>
      <w:r w:rsidR="00940335" w:rsidRPr="00B56069">
        <w:t xml:space="preserve">25 </w:t>
      </w:r>
      <w:proofErr w:type="spellStart"/>
      <w:r w:rsidR="00940335" w:rsidRPr="00B56069">
        <w:t>dGH</w:t>
      </w:r>
      <w:proofErr w:type="spellEnd"/>
      <w:r w:rsidR="00940335" w:rsidRPr="00B56069">
        <w:t xml:space="preserve"> and a temperature range of 18 to 26°C. This climat</w:t>
      </w:r>
      <w:r w:rsidR="005F3D33" w:rsidRPr="00B56069">
        <w:t>i</w:t>
      </w:r>
      <w:r w:rsidR="00940335" w:rsidRPr="00B56069">
        <w:t xml:space="preserve">c range together with its </w:t>
      </w:r>
      <w:r w:rsidR="005F3D33" w:rsidRPr="00B56069">
        <w:t>stream habitat</w:t>
      </w:r>
      <w:r w:rsidR="00940335" w:rsidRPr="00B56069">
        <w:t xml:space="preserve"> requirements limits the potential geographical range where the species could theoretically </w:t>
      </w:r>
      <w:r w:rsidR="002336F5" w:rsidRPr="00B56069">
        <w:t>(Wikipedia 2020</w:t>
      </w:r>
      <w:r w:rsidR="00E4727D" w:rsidRPr="00B56069">
        <w:t>b</w:t>
      </w:r>
      <w:r w:rsidR="002336F5" w:rsidRPr="00B56069">
        <w:t>)</w:t>
      </w:r>
      <w:r w:rsidR="00940335" w:rsidRPr="00B56069">
        <w:t>.</w:t>
      </w:r>
    </w:p>
    <w:p w14:paraId="78B956BE" w14:textId="58837F19" w:rsidR="00A33C5A" w:rsidRPr="00B56069" w:rsidRDefault="00444DC7" w:rsidP="0083088D">
      <w:pPr>
        <w:pStyle w:val="ListBullet2"/>
        <w:numPr>
          <w:ilvl w:val="1"/>
          <w:numId w:val="22"/>
        </w:numPr>
      </w:pPr>
      <w:r w:rsidRPr="00B56069">
        <w:rPr>
          <w:i/>
          <w:iCs/>
        </w:rPr>
        <w:t>A</w:t>
      </w:r>
      <w:r w:rsidR="00A33C5A" w:rsidRPr="00B56069">
        <w:rPr>
          <w:i/>
          <w:iCs/>
        </w:rPr>
        <w:t>bility to find shelter</w:t>
      </w:r>
      <w:r w:rsidR="00707D1A" w:rsidRPr="00B56069">
        <w:t xml:space="preserve">: </w:t>
      </w:r>
      <w:r w:rsidR="00A33C5A" w:rsidRPr="00B56069">
        <w:t xml:space="preserve"> </w:t>
      </w:r>
      <w:r w:rsidR="005F3D33" w:rsidRPr="00B56069">
        <w:t xml:space="preserve">As a stream dwelling fish with an affinity towards rocky pools, edges with thick overhanging vegetation along its banks </w:t>
      </w:r>
      <w:r w:rsidR="002336F5" w:rsidRPr="00B56069">
        <w:t xml:space="preserve">(Wikipedia </w:t>
      </w:r>
      <w:proofErr w:type="spellStart"/>
      <w:r w:rsidR="00B07E4D" w:rsidRPr="00B56069">
        <w:t>n.d.</w:t>
      </w:r>
      <w:r w:rsidR="00B07E4D" w:rsidRPr="00B56069">
        <w:rPr>
          <w:rFonts w:cs="Arial"/>
        </w:rPr>
        <w:t>─</w:t>
      </w:r>
      <w:r w:rsidR="00B07E4D" w:rsidRPr="00B56069">
        <w:t>b</w:t>
      </w:r>
      <w:proofErr w:type="spellEnd"/>
      <w:r w:rsidR="002336F5" w:rsidRPr="00B56069">
        <w:t>)</w:t>
      </w:r>
      <w:r w:rsidR="005F3D33" w:rsidRPr="00B56069">
        <w:t>, opportunity to find shelter in the even</w:t>
      </w:r>
      <w:r w:rsidR="00754A3E" w:rsidRPr="00B56069">
        <w:t>t</w:t>
      </w:r>
      <w:r w:rsidR="005F3D33" w:rsidRPr="00B56069">
        <w:t xml:space="preserve"> of </w:t>
      </w:r>
      <w:r w:rsidR="00DE1DE8" w:rsidRPr="00B56069">
        <w:t xml:space="preserve">deliberate or inadvertent </w:t>
      </w:r>
      <w:r w:rsidR="005F3D33" w:rsidRPr="00B56069">
        <w:t xml:space="preserve">release into the wild would be limited.  </w:t>
      </w:r>
    </w:p>
    <w:p w14:paraId="4FE516C8" w14:textId="33E29376" w:rsidR="00973CD9" w:rsidRPr="00B56069" w:rsidRDefault="00444DC7" w:rsidP="0083088D">
      <w:pPr>
        <w:pStyle w:val="ListBullet2"/>
        <w:numPr>
          <w:ilvl w:val="1"/>
          <w:numId w:val="22"/>
        </w:numPr>
      </w:pPr>
      <w:r w:rsidRPr="00B56069">
        <w:rPr>
          <w:i/>
          <w:iCs/>
        </w:rPr>
        <w:t>R</w:t>
      </w:r>
      <w:r w:rsidR="00A33C5A" w:rsidRPr="00B56069">
        <w:rPr>
          <w:i/>
          <w:iCs/>
        </w:rPr>
        <w:t>ate of reproducing</w:t>
      </w:r>
      <w:r w:rsidR="00973CD9" w:rsidRPr="00B56069">
        <w:t xml:space="preserve">: Solomon </w:t>
      </w:r>
      <w:r w:rsidR="00980826" w:rsidRPr="00B56069">
        <w:rPr>
          <w:i/>
          <w:iCs/>
        </w:rPr>
        <w:t>et al.</w:t>
      </w:r>
      <w:r w:rsidR="00973CD9" w:rsidRPr="00B56069">
        <w:t xml:space="preserve"> 2011 reported absolute fecundity of </w:t>
      </w:r>
      <w:r w:rsidR="002E4AF0" w:rsidRPr="00B56069">
        <w:rPr>
          <w:i/>
          <w:iCs/>
        </w:rPr>
        <w:t>S</w:t>
      </w:r>
      <w:r w:rsidR="00973CD9" w:rsidRPr="00B56069">
        <w:rPr>
          <w:i/>
          <w:iCs/>
        </w:rPr>
        <w:t xml:space="preserve">. </w:t>
      </w:r>
      <w:proofErr w:type="spellStart"/>
      <w:r w:rsidR="00973CD9" w:rsidRPr="00B56069">
        <w:rPr>
          <w:i/>
          <w:iCs/>
        </w:rPr>
        <w:t>denisonii</w:t>
      </w:r>
      <w:proofErr w:type="spellEnd"/>
      <w:r w:rsidR="00973CD9" w:rsidRPr="00B56069">
        <w:t xml:space="preserve"> to be extremely low</w:t>
      </w:r>
      <w:r w:rsidR="00353C60" w:rsidRPr="00B56069">
        <w:t>,</w:t>
      </w:r>
      <w:r w:rsidR="00973CD9" w:rsidRPr="00B56069">
        <w:t xml:space="preserve"> compared to other cyprinids such as </w:t>
      </w:r>
      <w:proofErr w:type="spellStart"/>
      <w:r w:rsidR="00A55F1A" w:rsidRPr="00B56069">
        <w:rPr>
          <w:i/>
          <w:iCs/>
        </w:rPr>
        <w:t>Systomus</w:t>
      </w:r>
      <w:proofErr w:type="spellEnd"/>
      <w:r w:rsidR="00A55F1A" w:rsidRPr="00B56069">
        <w:rPr>
          <w:i/>
          <w:iCs/>
        </w:rPr>
        <w:t xml:space="preserve"> </w:t>
      </w:r>
      <w:r w:rsidR="00A55F1A" w:rsidRPr="00B56069">
        <w:t>(</w:t>
      </w:r>
      <w:r w:rsidR="00A55F1A" w:rsidRPr="00B56069">
        <w:rPr>
          <w:i/>
          <w:iCs/>
        </w:rPr>
        <w:t>Puntius</w:t>
      </w:r>
      <w:r w:rsidR="00A55F1A" w:rsidRPr="00B56069">
        <w:t>)</w:t>
      </w:r>
      <w:r w:rsidR="00973CD9" w:rsidRPr="00B56069">
        <w:rPr>
          <w:i/>
          <w:iCs/>
        </w:rPr>
        <w:t xml:space="preserve"> </w:t>
      </w:r>
      <w:proofErr w:type="spellStart"/>
      <w:r w:rsidR="00973CD9" w:rsidRPr="00B56069">
        <w:rPr>
          <w:i/>
          <w:iCs/>
        </w:rPr>
        <w:t>sarana</w:t>
      </w:r>
      <w:proofErr w:type="spellEnd"/>
      <w:r w:rsidR="00973CD9" w:rsidRPr="00B56069">
        <w:t xml:space="preserve"> </w:t>
      </w:r>
      <w:r w:rsidR="00973CD9" w:rsidRPr="00B56069">
        <w:lastRenderedPageBreak/>
        <w:t xml:space="preserve">and </w:t>
      </w:r>
      <w:r w:rsidR="00973CD9" w:rsidRPr="00B56069">
        <w:rPr>
          <w:i/>
          <w:iCs/>
        </w:rPr>
        <w:t xml:space="preserve">Rasbora </w:t>
      </w:r>
      <w:proofErr w:type="spellStart"/>
      <w:r w:rsidR="00973CD9" w:rsidRPr="00B56069">
        <w:rPr>
          <w:i/>
          <w:iCs/>
        </w:rPr>
        <w:t>daniconius</w:t>
      </w:r>
      <w:proofErr w:type="spellEnd"/>
      <w:r w:rsidR="00973CD9" w:rsidRPr="00B56069">
        <w:t xml:space="preserve">. </w:t>
      </w:r>
      <w:proofErr w:type="gramStart"/>
      <w:r w:rsidR="00973CD9" w:rsidRPr="00B56069">
        <w:t>Similar to</w:t>
      </w:r>
      <w:proofErr w:type="gramEnd"/>
      <w:r w:rsidR="00973CD9" w:rsidRPr="00B56069">
        <w:t xml:space="preserve"> this species, three endemic cyprinids threatened by aquarium collections in </w:t>
      </w:r>
      <w:r w:rsidR="00A55F1A" w:rsidRPr="00B56069">
        <w:t xml:space="preserve">Sri Lanka, </w:t>
      </w:r>
      <w:proofErr w:type="spellStart"/>
      <w:r w:rsidR="00A55F1A" w:rsidRPr="00B56069">
        <w:rPr>
          <w:i/>
          <w:iCs/>
        </w:rPr>
        <w:t>Pethia</w:t>
      </w:r>
      <w:proofErr w:type="spellEnd"/>
      <w:r w:rsidR="00A55F1A" w:rsidRPr="00B56069">
        <w:rPr>
          <w:i/>
          <w:iCs/>
        </w:rPr>
        <w:t xml:space="preserve"> </w:t>
      </w:r>
      <w:r w:rsidR="00A55F1A" w:rsidRPr="00B56069">
        <w:t>(</w:t>
      </w:r>
      <w:r w:rsidR="00A55F1A" w:rsidRPr="00B56069">
        <w:rPr>
          <w:i/>
          <w:iCs/>
        </w:rPr>
        <w:t>Puntius</w:t>
      </w:r>
      <w:r w:rsidR="00A55F1A" w:rsidRPr="00B56069">
        <w:t xml:space="preserve">) </w:t>
      </w:r>
      <w:proofErr w:type="spellStart"/>
      <w:r w:rsidR="00A55F1A" w:rsidRPr="00B56069">
        <w:rPr>
          <w:i/>
          <w:iCs/>
        </w:rPr>
        <w:t>nigrofasciatus</w:t>
      </w:r>
      <w:proofErr w:type="spellEnd"/>
      <w:r w:rsidR="00A55F1A" w:rsidRPr="00B56069">
        <w:t xml:space="preserve">, </w:t>
      </w:r>
      <w:proofErr w:type="spellStart"/>
      <w:r w:rsidR="00A55F1A" w:rsidRPr="00B56069">
        <w:rPr>
          <w:i/>
          <w:iCs/>
        </w:rPr>
        <w:t>Pethia</w:t>
      </w:r>
      <w:proofErr w:type="spellEnd"/>
      <w:r w:rsidR="00A55F1A" w:rsidRPr="00B56069">
        <w:rPr>
          <w:i/>
          <w:iCs/>
        </w:rPr>
        <w:t xml:space="preserve"> </w:t>
      </w:r>
      <w:r w:rsidR="00A55F1A" w:rsidRPr="00B56069">
        <w:t>(</w:t>
      </w:r>
      <w:r w:rsidR="00A55F1A" w:rsidRPr="00B56069">
        <w:rPr>
          <w:i/>
          <w:iCs/>
        </w:rPr>
        <w:t>Puntius</w:t>
      </w:r>
      <w:r w:rsidR="00A55F1A" w:rsidRPr="00B56069">
        <w:t xml:space="preserve">) </w:t>
      </w:r>
      <w:proofErr w:type="spellStart"/>
      <w:r w:rsidR="00A55F1A" w:rsidRPr="00B56069">
        <w:rPr>
          <w:i/>
          <w:iCs/>
        </w:rPr>
        <w:t>cumingi</w:t>
      </w:r>
      <w:proofErr w:type="spellEnd"/>
      <w:r w:rsidR="00A55F1A" w:rsidRPr="00B56069">
        <w:t xml:space="preserve"> and </w:t>
      </w:r>
      <w:proofErr w:type="spellStart"/>
      <w:r w:rsidR="00A55F1A" w:rsidRPr="00B56069">
        <w:rPr>
          <w:i/>
          <w:iCs/>
        </w:rPr>
        <w:t>Systomus</w:t>
      </w:r>
      <w:proofErr w:type="spellEnd"/>
      <w:r w:rsidR="00A55F1A" w:rsidRPr="00B56069">
        <w:rPr>
          <w:i/>
          <w:iCs/>
        </w:rPr>
        <w:t xml:space="preserve"> </w:t>
      </w:r>
      <w:r w:rsidR="00A55F1A" w:rsidRPr="00B56069">
        <w:t>(</w:t>
      </w:r>
      <w:r w:rsidR="00A55F1A" w:rsidRPr="00B56069">
        <w:rPr>
          <w:i/>
          <w:iCs/>
        </w:rPr>
        <w:t>Puntius</w:t>
      </w:r>
      <w:r w:rsidR="00A55F1A" w:rsidRPr="00B56069">
        <w:t xml:space="preserve">) </w:t>
      </w:r>
      <w:proofErr w:type="spellStart"/>
      <w:r w:rsidR="00A55F1A" w:rsidRPr="00B56069">
        <w:rPr>
          <w:i/>
          <w:iCs/>
        </w:rPr>
        <w:t>pleurotaenia</w:t>
      </w:r>
      <w:proofErr w:type="spellEnd"/>
      <w:r w:rsidR="00973CD9" w:rsidRPr="00B56069">
        <w:t xml:space="preserve"> are known to have a low absolute fecundity (151–638 for 46–64 mm TL). The net reproductive rate (</w:t>
      </w:r>
      <w:r w:rsidRPr="00B56069">
        <w:t xml:space="preserve">the </w:t>
      </w:r>
      <w:r w:rsidR="00973CD9" w:rsidRPr="00B56069">
        <w:t xml:space="preserve">number of offspring that a female produces during </w:t>
      </w:r>
      <w:r w:rsidRPr="00B56069">
        <w:t>its</w:t>
      </w:r>
      <w:r w:rsidR="00973CD9" w:rsidRPr="00B56069">
        <w:t xml:space="preserve"> lifetime) is therefore considered relatively low</w:t>
      </w:r>
      <w:r w:rsidRPr="00B56069">
        <w:t xml:space="preserve"> compared to other cyprinids</w:t>
      </w:r>
      <w:r w:rsidR="00973CD9" w:rsidRPr="00B56069">
        <w:t>.</w:t>
      </w:r>
    </w:p>
    <w:p w14:paraId="6783F03C" w14:textId="4545895E" w:rsidR="00A33C5A" w:rsidRPr="00B56069" w:rsidRDefault="0002190E" w:rsidP="0083088D">
      <w:pPr>
        <w:pStyle w:val="ListBullet2"/>
        <w:numPr>
          <w:ilvl w:val="1"/>
          <w:numId w:val="22"/>
        </w:numPr>
      </w:pPr>
      <w:r w:rsidRPr="00B56069">
        <w:rPr>
          <w:i/>
          <w:iCs/>
        </w:rPr>
        <w:t>A</w:t>
      </w:r>
      <w:r w:rsidR="00A33C5A" w:rsidRPr="00B56069">
        <w:rPr>
          <w:i/>
          <w:iCs/>
        </w:rPr>
        <w:t>ny characteristics that the species has which could increase its chance of survival in the Australian envir</w:t>
      </w:r>
      <w:r w:rsidR="00C5024C" w:rsidRPr="00B56069">
        <w:rPr>
          <w:i/>
          <w:iCs/>
        </w:rPr>
        <w:t>onment</w:t>
      </w:r>
      <w:r w:rsidRPr="00B56069">
        <w:t>: The species is not considered to have any characteristics that would increase it</w:t>
      </w:r>
      <w:r w:rsidR="00E27221" w:rsidRPr="00B56069">
        <w:t>s</w:t>
      </w:r>
      <w:r w:rsidRPr="00B56069">
        <w:t xml:space="preserve"> likelihood of survival in the wild in Australia.</w:t>
      </w:r>
    </w:p>
    <w:p w14:paraId="17B3B092" w14:textId="03719594" w:rsidR="007323D9" w:rsidRPr="00B56069" w:rsidRDefault="007323D9" w:rsidP="001078A9">
      <w:pPr>
        <w:pStyle w:val="ListNumber"/>
        <w:numPr>
          <w:ilvl w:val="0"/>
          <w:numId w:val="0"/>
        </w:numPr>
        <w:ind w:left="369"/>
      </w:pPr>
      <w:r w:rsidRPr="00B56069">
        <w:t xml:space="preserve">In summary, </w:t>
      </w:r>
      <w:r w:rsidR="00AD4F3F" w:rsidRPr="00B56069">
        <w:rPr>
          <w:i/>
          <w:iCs/>
        </w:rPr>
        <w:t xml:space="preserve">S. </w:t>
      </w:r>
      <w:proofErr w:type="spellStart"/>
      <w:r w:rsidR="00AD4F3F" w:rsidRPr="00B56069">
        <w:rPr>
          <w:i/>
          <w:iCs/>
        </w:rPr>
        <w:t>denisonii</w:t>
      </w:r>
      <w:proofErr w:type="spellEnd"/>
      <w:r w:rsidR="00AD4F3F" w:rsidRPr="00B56069">
        <w:t xml:space="preserve"> is considered unlikely to </w:t>
      </w:r>
      <w:r w:rsidRPr="00B56069">
        <w:t>establish</w:t>
      </w:r>
      <w:r w:rsidR="001078A9" w:rsidRPr="00B56069">
        <w:t xml:space="preserve">, in main </w:t>
      </w:r>
      <w:r w:rsidRPr="00B56069">
        <w:t xml:space="preserve">because </w:t>
      </w:r>
      <w:bookmarkStart w:id="14" w:name="_Hlk56422588"/>
      <w:r w:rsidR="00AD4F3F" w:rsidRPr="00B56069">
        <w:t xml:space="preserve">the species </w:t>
      </w:r>
      <w:bookmarkEnd w:id="14"/>
      <w:r w:rsidR="001C6E4C" w:rsidRPr="00B56069">
        <w:t xml:space="preserve">is not reported to have established breeding populations outside its natural range despite being traded internationally as an ornamental species </w:t>
      </w:r>
      <w:r w:rsidR="001E7B6C" w:rsidRPr="00B56069">
        <w:t>for the last 30</w:t>
      </w:r>
      <w:r w:rsidR="00770028" w:rsidRPr="00B56069">
        <w:t xml:space="preserve"> years, </w:t>
      </w:r>
      <w:r w:rsidR="001078A9" w:rsidRPr="00B56069">
        <w:t xml:space="preserve">and </w:t>
      </w:r>
      <w:r w:rsidR="00774624" w:rsidRPr="00B56069">
        <w:t xml:space="preserve">because </w:t>
      </w:r>
      <w:r w:rsidR="001078A9" w:rsidRPr="00B56069">
        <w:t>there are f</w:t>
      </w:r>
      <w:r w:rsidR="001C6E4C" w:rsidRPr="00B56069">
        <w:t xml:space="preserve">ew areas in Australia expected to have habitat suitable for </w:t>
      </w:r>
      <w:r w:rsidR="001078A9" w:rsidRPr="00B56069">
        <w:t xml:space="preserve">the </w:t>
      </w:r>
      <w:r w:rsidR="001C6E4C" w:rsidRPr="00B56069">
        <w:t xml:space="preserve">species </w:t>
      </w:r>
      <w:r w:rsidR="001078A9" w:rsidRPr="00B56069">
        <w:t xml:space="preserve">to </w:t>
      </w:r>
      <w:r w:rsidR="001C6E4C" w:rsidRPr="00B56069">
        <w:t xml:space="preserve">establish. </w:t>
      </w:r>
      <w:r w:rsidR="005835C3" w:rsidRPr="00B56069">
        <w:t xml:space="preserve">This conclusion </w:t>
      </w:r>
      <w:r w:rsidR="002F1122" w:rsidRPr="00B56069">
        <w:t>can be ground-</w:t>
      </w:r>
      <w:proofErr w:type="spellStart"/>
      <w:r w:rsidR="002F1122" w:rsidRPr="00B56069">
        <w:t>truthed</w:t>
      </w:r>
      <w:proofErr w:type="spellEnd"/>
      <w:r w:rsidR="002F1122" w:rsidRPr="00B56069">
        <w:t xml:space="preserve"> </w:t>
      </w:r>
      <w:r w:rsidR="00C80A54" w:rsidRPr="00B56069">
        <w:t xml:space="preserve">to an extent </w:t>
      </w:r>
      <w:r w:rsidR="005835C3" w:rsidRPr="00B56069">
        <w:t xml:space="preserve">by comparing </w:t>
      </w:r>
      <w:r w:rsidR="005835C3" w:rsidRPr="00B56069">
        <w:rPr>
          <w:i/>
          <w:iCs/>
        </w:rPr>
        <w:t xml:space="preserve">S. </w:t>
      </w:r>
      <w:proofErr w:type="spellStart"/>
      <w:r w:rsidR="005835C3" w:rsidRPr="00B56069">
        <w:rPr>
          <w:i/>
          <w:iCs/>
        </w:rPr>
        <w:t>denisonii</w:t>
      </w:r>
      <w:proofErr w:type="spellEnd"/>
      <w:r w:rsidR="005835C3" w:rsidRPr="00B56069">
        <w:t xml:space="preserve"> with similar species such as </w:t>
      </w:r>
      <w:proofErr w:type="spellStart"/>
      <w:r w:rsidR="00B8220F" w:rsidRPr="00B56069">
        <w:rPr>
          <w:i/>
          <w:iCs/>
        </w:rPr>
        <w:t>Dawkinsia</w:t>
      </w:r>
      <w:proofErr w:type="spellEnd"/>
      <w:r w:rsidR="00B8220F" w:rsidRPr="00B56069">
        <w:rPr>
          <w:i/>
          <w:iCs/>
        </w:rPr>
        <w:t> </w:t>
      </w:r>
      <w:proofErr w:type="spellStart"/>
      <w:r w:rsidR="00B8220F" w:rsidRPr="00B56069">
        <w:rPr>
          <w:i/>
          <w:iCs/>
        </w:rPr>
        <w:t>filamentosa</w:t>
      </w:r>
      <w:proofErr w:type="spellEnd"/>
      <w:r w:rsidR="00B8220F" w:rsidRPr="00B56069">
        <w:t xml:space="preserve"> </w:t>
      </w:r>
      <w:r w:rsidR="005835C3" w:rsidRPr="00B56069">
        <w:t xml:space="preserve">that have not established self-maintaining </w:t>
      </w:r>
      <w:r w:rsidR="002F1122" w:rsidRPr="00B56069">
        <w:t xml:space="preserve">wild </w:t>
      </w:r>
      <w:r w:rsidR="005835C3" w:rsidRPr="00B56069">
        <w:t xml:space="preserve">populations </w:t>
      </w:r>
      <w:r w:rsidR="002F1122" w:rsidRPr="00B56069">
        <w:t>despite</w:t>
      </w:r>
      <w:r w:rsidR="005835C3" w:rsidRPr="00B56069">
        <w:t xml:space="preserve"> decades of importation to </w:t>
      </w:r>
      <w:r w:rsidR="002F1122" w:rsidRPr="00B56069">
        <w:t>Australia for</w:t>
      </w:r>
      <w:r w:rsidR="005835C3" w:rsidRPr="00B56069">
        <w:t xml:space="preserve"> the aquarium trade.</w:t>
      </w:r>
      <w:r w:rsidR="00DB681A" w:rsidRPr="00B56069">
        <w:t xml:space="preserve"> Furthermore, there </w:t>
      </w:r>
      <w:r w:rsidR="00560D5F" w:rsidRPr="00B56069">
        <w:t>currently exists</w:t>
      </w:r>
      <w:r w:rsidR="00DB681A" w:rsidRPr="00B56069">
        <w:t xml:space="preserve"> breeding </w:t>
      </w:r>
      <w:r w:rsidR="00927E3D" w:rsidRPr="00B56069">
        <w:t>population</w:t>
      </w:r>
      <w:r w:rsidR="00DB681A" w:rsidRPr="00B56069">
        <w:t>s</w:t>
      </w:r>
      <w:r w:rsidR="00927E3D" w:rsidRPr="00B56069">
        <w:t xml:space="preserve"> of </w:t>
      </w:r>
      <w:r w:rsidR="00DB681A" w:rsidRPr="00B56069">
        <w:rPr>
          <w:i/>
          <w:iCs/>
        </w:rPr>
        <w:t xml:space="preserve">S. </w:t>
      </w:r>
      <w:proofErr w:type="spellStart"/>
      <w:r w:rsidR="00DB681A" w:rsidRPr="00B56069">
        <w:rPr>
          <w:i/>
          <w:iCs/>
        </w:rPr>
        <w:t>denisonii</w:t>
      </w:r>
      <w:proofErr w:type="spellEnd"/>
      <w:r w:rsidR="00DB681A" w:rsidRPr="00B56069">
        <w:t xml:space="preserve"> in the Australian </w:t>
      </w:r>
      <w:r w:rsidR="00927E3D" w:rsidRPr="00B56069">
        <w:t>hobby – th</w:t>
      </w:r>
      <w:r w:rsidR="00DB681A" w:rsidRPr="00B56069">
        <w:t>ese</w:t>
      </w:r>
      <w:r w:rsidR="00927E3D" w:rsidRPr="00B56069">
        <w:t xml:space="preserve"> ha</w:t>
      </w:r>
      <w:r w:rsidR="00DB681A" w:rsidRPr="00B56069">
        <w:t xml:space="preserve">ve </w:t>
      </w:r>
      <w:r w:rsidR="00927E3D" w:rsidRPr="00B56069">
        <w:t xml:space="preserve">not </w:t>
      </w:r>
      <w:r w:rsidR="00EC2E74" w:rsidRPr="00B56069">
        <w:t xml:space="preserve">led to </w:t>
      </w:r>
      <w:r w:rsidR="00DB681A" w:rsidRPr="00B56069">
        <w:t xml:space="preserve">the </w:t>
      </w:r>
      <w:r w:rsidR="00927E3D" w:rsidRPr="00B56069">
        <w:t>establishment of feral populations</w:t>
      </w:r>
      <w:r w:rsidR="00DB681A" w:rsidRPr="00B56069">
        <w:t xml:space="preserve"> in Australia</w:t>
      </w:r>
      <w:r w:rsidR="00927E3D" w:rsidRPr="00B56069">
        <w:t xml:space="preserve">. </w:t>
      </w:r>
      <w:r w:rsidR="000923E5" w:rsidRPr="00B56069">
        <w:br/>
      </w:r>
      <w:r w:rsidR="000923E5" w:rsidRPr="00B56069">
        <w:br/>
        <w:t xml:space="preserve">The above information is presented as a structured </w:t>
      </w:r>
      <w:proofErr w:type="spellStart"/>
      <w:r w:rsidR="000923E5" w:rsidRPr="00B56069">
        <w:t>Bomford</w:t>
      </w:r>
      <w:proofErr w:type="spellEnd"/>
      <w:r w:rsidR="000923E5" w:rsidRPr="00B56069">
        <w:t xml:space="preserve"> (2008) risk assessment at Appendix A.</w:t>
      </w:r>
    </w:p>
    <w:p w14:paraId="4BA4151F" w14:textId="176C4335" w:rsidR="00A33C5A" w:rsidRPr="00B56069" w:rsidRDefault="00A33C5A" w:rsidP="00FD34A3">
      <w:pPr>
        <w:pStyle w:val="ListNumber"/>
        <w:rPr>
          <w:i/>
          <w:iCs/>
        </w:rPr>
      </w:pPr>
      <w:r w:rsidRPr="00B56069">
        <w:rPr>
          <w:i/>
          <w:iCs/>
        </w:rPr>
        <w:t xml:space="preserve">Provide a comprehensive assessment of the potential impact of the species should it establish feral population/s in Australia. Include, but do not restrict your assessment to the impact of this species on: </w:t>
      </w:r>
    </w:p>
    <w:p w14:paraId="416E09C3" w14:textId="2F9ECA1D" w:rsidR="007F666E" w:rsidRPr="00B56069" w:rsidRDefault="007D19EA" w:rsidP="0083088D">
      <w:pPr>
        <w:pStyle w:val="ListBullet2"/>
        <w:numPr>
          <w:ilvl w:val="1"/>
          <w:numId w:val="23"/>
        </w:numPr>
      </w:pPr>
      <w:r w:rsidRPr="00B56069">
        <w:rPr>
          <w:i/>
          <w:iCs/>
        </w:rPr>
        <w:t>S</w:t>
      </w:r>
      <w:r w:rsidR="00A33C5A" w:rsidRPr="00B56069">
        <w:rPr>
          <w:i/>
          <w:iCs/>
        </w:rPr>
        <w:t>imilar niche species (</w:t>
      </w:r>
      <w:proofErr w:type="gramStart"/>
      <w:r w:rsidR="00A33C5A" w:rsidRPr="00B56069">
        <w:rPr>
          <w:i/>
          <w:iCs/>
        </w:rPr>
        <w:t>i.e.</w:t>
      </w:r>
      <w:proofErr w:type="gramEnd"/>
      <w:r w:rsidR="00A33C5A" w:rsidRPr="00B56069">
        <w:rPr>
          <w:i/>
          <w:iCs/>
        </w:rPr>
        <w:t xml:space="preserve"> competition with other species for food, shelter etc.)</w:t>
      </w:r>
      <w:r w:rsidR="00667D28" w:rsidRPr="00B56069">
        <w:t xml:space="preserve">: In the unlikely event </w:t>
      </w:r>
      <w:r w:rsidR="007D0F6C" w:rsidRPr="00B56069">
        <w:t xml:space="preserve">this </w:t>
      </w:r>
      <w:r w:rsidR="007614C7" w:rsidRPr="00B56069">
        <w:t xml:space="preserve">species </w:t>
      </w:r>
      <w:r w:rsidR="007D0F6C" w:rsidRPr="00B56069">
        <w:t>establishe</w:t>
      </w:r>
      <w:r w:rsidR="007614C7" w:rsidRPr="00B56069">
        <w:t>s</w:t>
      </w:r>
      <w:r w:rsidR="007D0F6C" w:rsidRPr="00B56069">
        <w:t xml:space="preserve"> in the wild in Australia, it </w:t>
      </w:r>
      <w:r w:rsidR="007614C7" w:rsidRPr="00B56069">
        <w:t xml:space="preserve">may </w:t>
      </w:r>
      <w:r w:rsidR="007D0F6C" w:rsidRPr="00B56069">
        <w:t xml:space="preserve">compete </w:t>
      </w:r>
      <w:r w:rsidR="007614C7" w:rsidRPr="00B56069">
        <w:t xml:space="preserve">for </w:t>
      </w:r>
      <w:r w:rsidR="00CC1D88" w:rsidRPr="00B56069">
        <w:t xml:space="preserve">benthic </w:t>
      </w:r>
      <w:r w:rsidR="007614C7" w:rsidRPr="00B56069">
        <w:t xml:space="preserve">algae and plant matter </w:t>
      </w:r>
      <w:r w:rsidR="007D0F6C" w:rsidRPr="00B56069">
        <w:t>with other small herbivores</w:t>
      </w:r>
      <w:r w:rsidR="007614C7" w:rsidRPr="00B56069">
        <w:t xml:space="preserve"> and omnivores</w:t>
      </w:r>
      <w:r w:rsidR="007D0F6C" w:rsidRPr="00B56069">
        <w:t xml:space="preserve"> in </w:t>
      </w:r>
      <w:r w:rsidR="007614C7" w:rsidRPr="00B56069">
        <w:t>tropical waters (17-28</w:t>
      </w:r>
      <w:r w:rsidR="0055655A" w:rsidRPr="00B56069">
        <w:t>°C</w:t>
      </w:r>
      <w:r w:rsidR="007614C7" w:rsidRPr="00B56069">
        <w:t xml:space="preserve">), typically in pebble, rock or boulder-substrate running water habitats. </w:t>
      </w:r>
      <w:r w:rsidRPr="00B56069">
        <w:t xml:space="preserve">These niche species could include </w:t>
      </w:r>
      <w:r w:rsidR="00CC1D88" w:rsidRPr="00B56069">
        <w:t xml:space="preserve">bottom feeders such as </w:t>
      </w:r>
      <w:r w:rsidR="004449F9" w:rsidRPr="00B56069">
        <w:t>rainbowfishes</w:t>
      </w:r>
      <w:r w:rsidR="002E3E7C" w:rsidRPr="00B56069">
        <w:t xml:space="preserve"> (</w:t>
      </w:r>
      <w:proofErr w:type="spellStart"/>
      <w:r w:rsidR="002E3E7C" w:rsidRPr="00B56069">
        <w:rPr>
          <w:i/>
          <w:iCs/>
        </w:rPr>
        <w:t>Melanotaenia</w:t>
      </w:r>
      <w:proofErr w:type="spellEnd"/>
      <w:r w:rsidR="002E3E7C" w:rsidRPr="00B56069">
        <w:rPr>
          <w:i/>
          <w:iCs/>
        </w:rPr>
        <w:t xml:space="preserve"> </w:t>
      </w:r>
      <w:r w:rsidR="00CC1D88" w:rsidRPr="00B56069">
        <w:t>spp</w:t>
      </w:r>
      <w:r w:rsidR="0056797C" w:rsidRPr="00B56069">
        <w:t>.</w:t>
      </w:r>
      <w:r w:rsidR="00CC1D88" w:rsidRPr="00B56069">
        <w:t>)</w:t>
      </w:r>
      <w:r w:rsidR="0056797C" w:rsidRPr="00B56069">
        <w:t xml:space="preserve">, </w:t>
      </w:r>
      <w:proofErr w:type="spellStart"/>
      <w:r w:rsidR="00CC1D88" w:rsidRPr="00B56069">
        <w:rPr>
          <w:i/>
          <w:iCs/>
        </w:rPr>
        <w:t>Pseudomugil</w:t>
      </w:r>
      <w:proofErr w:type="spellEnd"/>
      <w:r w:rsidR="00CC1D88" w:rsidRPr="00B56069">
        <w:rPr>
          <w:i/>
          <w:iCs/>
        </w:rPr>
        <w:t xml:space="preserve"> </w:t>
      </w:r>
      <w:r w:rsidR="00CC1D88" w:rsidRPr="00B56069">
        <w:t>spp</w:t>
      </w:r>
      <w:r w:rsidR="00CC1D88" w:rsidRPr="00B56069">
        <w:rPr>
          <w:i/>
          <w:iCs/>
        </w:rPr>
        <w:t>.</w:t>
      </w:r>
      <w:r w:rsidR="00CC1D88" w:rsidRPr="00B56069">
        <w:t xml:space="preserve"> </w:t>
      </w:r>
      <w:r w:rsidR="0056797C" w:rsidRPr="00B56069">
        <w:t xml:space="preserve">and other small omnivores. </w:t>
      </w:r>
      <w:r w:rsidR="00CC1D88" w:rsidRPr="00B56069">
        <w:rPr>
          <w:i/>
          <w:iCs/>
        </w:rPr>
        <w:t xml:space="preserve">S. </w:t>
      </w:r>
      <w:proofErr w:type="spellStart"/>
      <w:r w:rsidR="00CC1D88" w:rsidRPr="00B56069">
        <w:rPr>
          <w:i/>
          <w:iCs/>
        </w:rPr>
        <w:t>denisonii</w:t>
      </w:r>
      <w:proofErr w:type="spellEnd"/>
      <w:r w:rsidR="00CC1D88" w:rsidRPr="00B56069">
        <w:rPr>
          <w:i/>
          <w:iCs/>
        </w:rPr>
        <w:t xml:space="preserve"> </w:t>
      </w:r>
      <w:r w:rsidR="00CC1D88" w:rsidRPr="00B56069">
        <w:t xml:space="preserve">is unlikely to compete with species that feed in the water column such as </w:t>
      </w:r>
      <w:r w:rsidR="004449F9" w:rsidRPr="00B56069">
        <w:t>glassfishes</w:t>
      </w:r>
      <w:r w:rsidR="00D346BC" w:rsidRPr="00B56069">
        <w:t xml:space="preserve">/Agassiz's </w:t>
      </w:r>
      <w:proofErr w:type="spellStart"/>
      <w:r w:rsidR="00D346BC" w:rsidRPr="00B56069">
        <w:t>perchlet</w:t>
      </w:r>
      <w:proofErr w:type="spellEnd"/>
      <w:r w:rsidR="00D346BC" w:rsidRPr="00B56069">
        <w:t xml:space="preserve"> (</w:t>
      </w:r>
      <w:proofErr w:type="spellStart"/>
      <w:r w:rsidR="00D346BC" w:rsidRPr="00B56069">
        <w:rPr>
          <w:i/>
          <w:iCs/>
        </w:rPr>
        <w:t>Ambassis</w:t>
      </w:r>
      <w:proofErr w:type="spellEnd"/>
      <w:r w:rsidR="00D346BC" w:rsidRPr="00B56069">
        <w:rPr>
          <w:i/>
          <w:iCs/>
        </w:rPr>
        <w:t xml:space="preserve"> </w:t>
      </w:r>
      <w:proofErr w:type="spellStart"/>
      <w:r w:rsidR="00D346BC" w:rsidRPr="00B56069">
        <w:rPr>
          <w:i/>
          <w:iCs/>
        </w:rPr>
        <w:t>agassizii</w:t>
      </w:r>
      <w:proofErr w:type="spellEnd"/>
      <w:r w:rsidR="00D346BC" w:rsidRPr="00B56069">
        <w:t>) (AKA Agassiz's glass fish)</w:t>
      </w:r>
      <w:r w:rsidR="004449F9" w:rsidRPr="00B56069">
        <w:t xml:space="preserve">, flyspecked </w:t>
      </w:r>
      <w:proofErr w:type="spellStart"/>
      <w:r w:rsidR="004449F9" w:rsidRPr="00B56069">
        <w:t>hardyheads</w:t>
      </w:r>
      <w:proofErr w:type="spellEnd"/>
      <w:r w:rsidR="004449F9" w:rsidRPr="00B56069">
        <w:t xml:space="preserve"> (</w:t>
      </w:r>
      <w:proofErr w:type="spellStart"/>
      <w:r w:rsidR="004449F9" w:rsidRPr="00B56069">
        <w:rPr>
          <w:i/>
          <w:iCs/>
        </w:rPr>
        <w:t>Craterocephalus</w:t>
      </w:r>
      <w:proofErr w:type="spellEnd"/>
      <w:r w:rsidR="004449F9" w:rsidRPr="00B56069">
        <w:rPr>
          <w:i/>
          <w:iCs/>
        </w:rPr>
        <w:t xml:space="preserve"> </w:t>
      </w:r>
      <w:proofErr w:type="spellStart"/>
      <w:r w:rsidR="004449F9" w:rsidRPr="00B56069">
        <w:rPr>
          <w:i/>
          <w:iCs/>
        </w:rPr>
        <w:t>stercusmuscarum</w:t>
      </w:r>
      <w:proofErr w:type="spellEnd"/>
      <w:r w:rsidR="004449F9" w:rsidRPr="00B56069">
        <w:t xml:space="preserve">), </w:t>
      </w:r>
      <w:proofErr w:type="spellStart"/>
      <w:r w:rsidR="00D346BC" w:rsidRPr="00B56069">
        <w:t>u</w:t>
      </w:r>
      <w:r w:rsidR="004449F9" w:rsidRPr="00B56069">
        <w:t>nspecked</w:t>
      </w:r>
      <w:proofErr w:type="spellEnd"/>
      <w:r w:rsidR="004449F9" w:rsidRPr="00B56069">
        <w:t xml:space="preserve"> </w:t>
      </w:r>
      <w:proofErr w:type="spellStart"/>
      <w:r w:rsidR="00D346BC" w:rsidRPr="00B56069">
        <w:t>h</w:t>
      </w:r>
      <w:r w:rsidR="004449F9" w:rsidRPr="00B56069">
        <w:t>ardyhead</w:t>
      </w:r>
      <w:proofErr w:type="spellEnd"/>
      <w:r w:rsidR="004449F9" w:rsidRPr="00B56069">
        <w:t xml:space="preserve"> (</w:t>
      </w:r>
      <w:proofErr w:type="spellStart"/>
      <w:r w:rsidR="004449F9" w:rsidRPr="00B56069">
        <w:rPr>
          <w:i/>
          <w:iCs/>
        </w:rPr>
        <w:t>Craterocephalus</w:t>
      </w:r>
      <w:proofErr w:type="spellEnd"/>
      <w:r w:rsidR="004449F9" w:rsidRPr="00B56069">
        <w:rPr>
          <w:i/>
          <w:iCs/>
        </w:rPr>
        <w:t xml:space="preserve"> </w:t>
      </w:r>
      <w:proofErr w:type="spellStart"/>
      <w:r w:rsidR="004449F9" w:rsidRPr="00B56069">
        <w:rPr>
          <w:i/>
          <w:iCs/>
        </w:rPr>
        <w:t>fulvusgudgeons</w:t>
      </w:r>
      <w:proofErr w:type="spellEnd"/>
      <w:r w:rsidR="004449F9" w:rsidRPr="00B56069">
        <w:t>) and other similar species.</w:t>
      </w:r>
    </w:p>
    <w:p w14:paraId="3E61572D" w14:textId="2D8E6FCC" w:rsidR="00A33C5A" w:rsidRPr="00B56069" w:rsidRDefault="006068E4" w:rsidP="0083088D">
      <w:pPr>
        <w:pStyle w:val="ListBullet2"/>
        <w:numPr>
          <w:ilvl w:val="1"/>
          <w:numId w:val="23"/>
        </w:numPr>
      </w:pPr>
      <w:r w:rsidRPr="00B56069">
        <w:rPr>
          <w:i/>
          <w:iCs/>
        </w:rPr>
        <w:t>I</w:t>
      </w:r>
      <w:r w:rsidR="00A33C5A" w:rsidRPr="00B56069">
        <w:rPr>
          <w:i/>
          <w:iCs/>
        </w:rPr>
        <w:t xml:space="preserve">s the species susceptible to, or could </w:t>
      </w:r>
      <w:r w:rsidR="00201140" w:rsidRPr="00B56069">
        <w:rPr>
          <w:i/>
          <w:iCs/>
        </w:rPr>
        <w:t xml:space="preserve">it </w:t>
      </w:r>
      <w:r w:rsidR="00A33C5A" w:rsidRPr="00B56069">
        <w:rPr>
          <w:i/>
          <w:iCs/>
        </w:rPr>
        <w:t>transmit any pests or disease</w:t>
      </w:r>
      <w:r w:rsidR="00A774EB" w:rsidRPr="00B56069">
        <w:t>:</w:t>
      </w:r>
      <w:r w:rsidR="00A33C5A" w:rsidRPr="00B56069">
        <w:t xml:space="preserve"> </w:t>
      </w:r>
      <w:r w:rsidR="007F666E" w:rsidRPr="00B56069">
        <w:br/>
      </w:r>
      <w:r w:rsidR="00CA4CD6" w:rsidRPr="00B56069">
        <w:t xml:space="preserve">No </w:t>
      </w:r>
      <w:r w:rsidR="008053BB" w:rsidRPr="00B56069">
        <w:t>significant</w:t>
      </w:r>
      <w:r w:rsidR="00CA4CD6" w:rsidRPr="00B56069">
        <w:t xml:space="preserve"> pests or diseases have been </w:t>
      </w:r>
      <w:r w:rsidR="00A676F8" w:rsidRPr="00B56069">
        <w:t>associated with t</w:t>
      </w:r>
      <w:r w:rsidR="00CA4CD6" w:rsidRPr="00B56069">
        <w:t>his species</w:t>
      </w:r>
      <w:r w:rsidR="008053BB" w:rsidRPr="00B56069">
        <w:t>, including any of the diseases to which there are disease-specific risk management measures applied for importation of ornamental fish to Australia</w:t>
      </w:r>
      <w:r w:rsidR="00CA4CD6" w:rsidRPr="00B56069">
        <w:t xml:space="preserve">. </w:t>
      </w:r>
      <w:r w:rsidR="008053BB" w:rsidRPr="00B56069">
        <w:t xml:space="preserve">The </w:t>
      </w:r>
      <w:r w:rsidRPr="00B56069">
        <w:t xml:space="preserve">barbs </w:t>
      </w:r>
      <w:r w:rsidR="00A774EB" w:rsidRPr="00B56069">
        <w:t xml:space="preserve">as a group are considered of low risk in terms of disease risk </w:t>
      </w:r>
      <w:r w:rsidR="00A676F8" w:rsidRPr="00B56069">
        <w:t>in that they are subject to the minimum one-week post arrival quarantine isolation on importation to Australia (</w:t>
      </w:r>
      <w:r w:rsidR="00E73D7D" w:rsidRPr="00B56069">
        <w:t>DAWE 2020</w:t>
      </w:r>
      <w:r w:rsidR="00A72FB0" w:rsidRPr="00B56069">
        <w:t>b</w:t>
      </w:r>
      <w:r w:rsidR="00E73D7D" w:rsidRPr="00B56069">
        <w:t>).</w:t>
      </w:r>
    </w:p>
    <w:p w14:paraId="375A1E5C" w14:textId="3227C3C1" w:rsidR="00A33C5A" w:rsidRPr="00B56069" w:rsidRDefault="002E4AF0" w:rsidP="0083088D">
      <w:pPr>
        <w:pStyle w:val="ListBullet2"/>
        <w:numPr>
          <w:ilvl w:val="1"/>
          <w:numId w:val="23"/>
        </w:numPr>
      </w:pPr>
      <w:r w:rsidRPr="00B56069">
        <w:rPr>
          <w:i/>
          <w:iCs/>
        </w:rPr>
        <w:lastRenderedPageBreak/>
        <w:t>P</w:t>
      </w:r>
      <w:r w:rsidR="00A33C5A" w:rsidRPr="00B56069">
        <w:rPr>
          <w:i/>
          <w:iCs/>
        </w:rPr>
        <w:t>robable prey/food sources, including agricultural crops</w:t>
      </w:r>
      <w:r w:rsidRPr="00B56069">
        <w:t xml:space="preserve">: </w:t>
      </w:r>
      <w:r w:rsidR="00267FE2" w:rsidRPr="00B56069">
        <w:rPr>
          <w:i/>
          <w:iCs/>
        </w:rPr>
        <w:t xml:space="preserve">S. </w:t>
      </w:r>
      <w:proofErr w:type="spellStart"/>
      <w:r w:rsidR="00267FE2" w:rsidRPr="00B56069">
        <w:rPr>
          <w:i/>
          <w:iCs/>
        </w:rPr>
        <w:t>denisonii</w:t>
      </w:r>
      <w:proofErr w:type="spellEnd"/>
      <w:r w:rsidR="00267FE2" w:rsidRPr="00B56069">
        <w:t xml:space="preserve"> has not been reported to pose any threat to agricultural crops or pose a threat as a predator </w:t>
      </w:r>
      <w:r w:rsidR="00E73D7D" w:rsidRPr="00B56069">
        <w:rPr>
          <w:rFonts w:cs="Arial"/>
        </w:rPr>
        <w:t>─</w:t>
      </w:r>
      <w:r w:rsidR="00267FE2" w:rsidRPr="00B56069">
        <w:t xml:space="preserve"> it is </w:t>
      </w:r>
      <w:proofErr w:type="gramStart"/>
      <w:r w:rsidR="00267FE2" w:rsidRPr="00B56069">
        <w:t>a</w:t>
      </w:r>
      <w:proofErr w:type="gramEnd"/>
      <w:r w:rsidR="00267FE2" w:rsidRPr="00B56069">
        <w:t xml:space="preserve"> herbivore.  </w:t>
      </w:r>
    </w:p>
    <w:p w14:paraId="476A6074" w14:textId="43A4391C" w:rsidR="00267FE2" w:rsidRPr="00B56069" w:rsidRDefault="00267FE2" w:rsidP="0083088D">
      <w:pPr>
        <w:pStyle w:val="ListBullet2"/>
        <w:numPr>
          <w:ilvl w:val="1"/>
          <w:numId w:val="23"/>
        </w:numPr>
      </w:pPr>
      <w:r w:rsidRPr="00B56069">
        <w:rPr>
          <w:i/>
          <w:iCs/>
        </w:rPr>
        <w:t>H</w:t>
      </w:r>
      <w:r w:rsidR="00A33C5A" w:rsidRPr="00B56069">
        <w:rPr>
          <w:i/>
          <w:iCs/>
        </w:rPr>
        <w:t>abitat and local environmental conditions</w:t>
      </w:r>
      <w:r w:rsidRPr="00B56069">
        <w:t xml:space="preserve">: </w:t>
      </w:r>
      <w:r w:rsidR="00A33C5A" w:rsidRPr="00B56069">
        <w:t xml:space="preserve"> </w:t>
      </w:r>
      <w:r w:rsidRPr="00B56069">
        <w:rPr>
          <w:i/>
          <w:iCs/>
        </w:rPr>
        <w:t xml:space="preserve">S. </w:t>
      </w:r>
      <w:proofErr w:type="spellStart"/>
      <w:r w:rsidRPr="00B56069">
        <w:rPr>
          <w:i/>
          <w:iCs/>
        </w:rPr>
        <w:t>denisonii</w:t>
      </w:r>
      <w:proofErr w:type="spellEnd"/>
      <w:r w:rsidRPr="00B56069">
        <w:t xml:space="preserve"> </w:t>
      </w:r>
      <w:proofErr w:type="gramStart"/>
      <w:r w:rsidRPr="00B56069">
        <w:t>has</w:t>
      </w:r>
      <w:proofErr w:type="gramEnd"/>
      <w:r w:rsidRPr="00B56069">
        <w:t xml:space="preserve"> not been reported to change its environment or habitat. It is a stream dwelling fish with an affinity towards rocky pools, edges with thick overhanging vegetation along its banks (</w:t>
      </w:r>
      <w:r w:rsidR="00353C60" w:rsidRPr="00B56069">
        <w:t xml:space="preserve">Ali </w:t>
      </w:r>
      <w:r w:rsidR="00353C60" w:rsidRPr="00B56069">
        <w:rPr>
          <w:i/>
          <w:iCs/>
        </w:rPr>
        <w:t>et al</w:t>
      </w:r>
      <w:r w:rsidR="00353C60" w:rsidRPr="00B56069">
        <w:t>. 2015</w:t>
      </w:r>
      <w:r w:rsidRPr="00B56069">
        <w:t>).</w:t>
      </w:r>
      <w:r w:rsidR="00AE74B9" w:rsidRPr="00B56069">
        <w:t xml:space="preserve"> It does not build nests and lays adhesive eggs that attach to the pebbly substrate of stream bottoms.</w:t>
      </w:r>
    </w:p>
    <w:p w14:paraId="43CA2FF5" w14:textId="4AC07BBC" w:rsidR="00A33C5A" w:rsidRPr="00B56069" w:rsidRDefault="00151957" w:rsidP="0083088D">
      <w:pPr>
        <w:pStyle w:val="ListBullet2"/>
        <w:numPr>
          <w:ilvl w:val="1"/>
          <w:numId w:val="23"/>
        </w:numPr>
      </w:pPr>
      <w:r w:rsidRPr="00B56069">
        <w:rPr>
          <w:i/>
          <w:iCs/>
        </w:rPr>
        <w:t>C</w:t>
      </w:r>
      <w:r w:rsidR="00A33C5A" w:rsidRPr="00B56069">
        <w:rPr>
          <w:i/>
          <w:iCs/>
        </w:rPr>
        <w:t>ontrol/eradication programs that could be applied in Australia if the species was released or escaped</w:t>
      </w:r>
      <w:r w:rsidRPr="00B56069">
        <w:t xml:space="preserve">: </w:t>
      </w:r>
      <w:bookmarkStart w:id="15" w:name="_Hlk55809096"/>
      <w:r w:rsidR="00411DEB" w:rsidRPr="00B56069">
        <w:t>Potential controls measures include l</w:t>
      </w:r>
      <w:r w:rsidRPr="00B56069">
        <w:t xml:space="preserve">isting as a noxious species; eradication or containment </w:t>
      </w:r>
      <w:r w:rsidR="00411DEB" w:rsidRPr="00B56069">
        <w:t xml:space="preserve">programs (including </w:t>
      </w:r>
      <w:r w:rsidRPr="00B56069">
        <w:t>movement controls</w:t>
      </w:r>
      <w:r w:rsidR="00411DEB" w:rsidRPr="00B56069">
        <w:t xml:space="preserve">) or broader education/awareness building campaigns such as </w:t>
      </w:r>
      <w:r w:rsidR="00202349" w:rsidRPr="00B56069">
        <w:t xml:space="preserve">the NAQS program </w:t>
      </w:r>
      <w:r w:rsidR="00B869A2" w:rsidRPr="00B56069">
        <w:t xml:space="preserve">for </w:t>
      </w:r>
      <w:r w:rsidR="00202349" w:rsidRPr="00B56069">
        <w:t>labelling fish bags in aquarium shops in northern Australia</w:t>
      </w:r>
      <w:r w:rsidR="0055655A" w:rsidRPr="00B56069">
        <w:t>.</w:t>
      </w:r>
      <w:bookmarkEnd w:id="15"/>
    </w:p>
    <w:p w14:paraId="3E9EA32B" w14:textId="1625729D" w:rsidR="00A33C5A" w:rsidRPr="00B56069" w:rsidRDefault="005F7397" w:rsidP="0083088D">
      <w:pPr>
        <w:pStyle w:val="ListBullet2"/>
        <w:numPr>
          <w:ilvl w:val="1"/>
          <w:numId w:val="23"/>
        </w:numPr>
      </w:pPr>
      <w:r w:rsidRPr="00B56069">
        <w:rPr>
          <w:i/>
          <w:iCs/>
        </w:rPr>
        <w:t>C</w:t>
      </w:r>
      <w:r w:rsidR="00A33C5A" w:rsidRPr="00B56069">
        <w:rPr>
          <w:i/>
          <w:iCs/>
        </w:rPr>
        <w:t xml:space="preserve">haracteristic or behaviour of the species which may cause land degradation </w:t>
      </w:r>
      <w:proofErr w:type="gramStart"/>
      <w:r w:rsidR="00A33C5A" w:rsidRPr="00B56069">
        <w:rPr>
          <w:i/>
          <w:iCs/>
        </w:rPr>
        <w:t>i.e.</w:t>
      </w:r>
      <w:proofErr w:type="gramEnd"/>
      <w:r w:rsidR="00A33C5A" w:rsidRPr="00B56069">
        <w:rPr>
          <w:i/>
          <w:iCs/>
        </w:rPr>
        <w:t xml:space="preserve"> soil erosion from hooves, digging</w:t>
      </w:r>
      <w:r w:rsidRPr="00B56069">
        <w:t xml:space="preserve">: There are no reports of this species exhibiting any behaviours that my cause </w:t>
      </w:r>
      <w:r w:rsidR="00DF3AAB" w:rsidRPr="00B56069">
        <w:t>habitat</w:t>
      </w:r>
      <w:r w:rsidRPr="00B56069">
        <w:t xml:space="preserve"> degradation.</w:t>
      </w:r>
      <w:r w:rsidR="00A33C5A" w:rsidRPr="00B56069">
        <w:t xml:space="preserve"> </w:t>
      </w:r>
    </w:p>
    <w:p w14:paraId="66E6884D" w14:textId="68EBCF08" w:rsidR="00A33C5A" w:rsidRPr="00B56069" w:rsidRDefault="005F7397" w:rsidP="0083088D">
      <w:pPr>
        <w:pStyle w:val="ListBullet2"/>
        <w:numPr>
          <w:ilvl w:val="1"/>
          <w:numId w:val="23"/>
        </w:numPr>
      </w:pPr>
      <w:r w:rsidRPr="00B56069">
        <w:rPr>
          <w:i/>
          <w:iCs/>
        </w:rPr>
        <w:t>P</w:t>
      </w:r>
      <w:r w:rsidR="00C5024C" w:rsidRPr="00B56069">
        <w:rPr>
          <w:i/>
          <w:iCs/>
        </w:rPr>
        <w:t>otential threat to humans</w:t>
      </w:r>
      <w:r w:rsidRPr="00B56069">
        <w:t>: The species is not reported as posing any threat to humans</w:t>
      </w:r>
      <w:r w:rsidR="00C5024C" w:rsidRPr="00B56069">
        <w:t>.</w:t>
      </w:r>
    </w:p>
    <w:p w14:paraId="3507F074" w14:textId="6796DCDD" w:rsidR="00A33C5A" w:rsidRPr="00B56069" w:rsidRDefault="00A33C5A" w:rsidP="00FD34A3">
      <w:pPr>
        <w:pStyle w:val="ListNumber"/>
      </w:pPr>
      <w:r w:rsidRPr="00B56069">
        <w:rPr>
          <w:i/>
          <w:iCs/>
        </w:rPr>
        <w:t>What conditions or restrictions, if any, could be applied to the import of the species to reduce any potential for negative environmental impacts (</w:t>
      </w:r>
      <w:proofErr w:type="gramStart"/>
      <w:r w:rsidRPr="00B56069">
        <w:rPr>
          <w:i/>
          <w:iCs/>
        </w:rPr>
        <w:t>e.g.</w:t>
      </w:r>
      <w:proofErr w:type="gramEnd"/>
      <w:r w:rsidRPr="00B56069">
        <w:rPr>
          <w:i/>
          <w:iCs/>
        </w:rPr>
        <w:t xml:space="preserve"> single sex imports, de</w:t>
      </w:r>
      <w:r w:rsidR="00024EF2" w:rsidRPr="00B56069">
        <w:rPr>
          <w:i/>
          <w:iCs/>
        </w:rPr>
        <w:t>-</w:t>
      </w:r>
      <w:r w:rsidRPr="00B56069">
        <w:rPr>
          <w:i/>
          <w:iCs/>
        </w:rPr>
        <w:t>sexi</w:t>
      </w:r>
      <w:r w:rsidR="00C5024C" w:rsidRPr="00B56069">
        <w:rPr>
          <w:i/>
          <w:iCs/>
        </w:rPr>
        <w:t>ng animal prior to import etc.).</w:t>
      </w:r>
      <w:r w:rsidR="000E1203" w:rsidRPr="00B56069">
        <w:rPr>
          <w:i/>
          <w:iCs/>
        </w:rPr>
        <w:br/>
      </w:r>
      <w:r w:rsidR="006F44B7" w:rsidRPr="00B56069">
        <w:rPr>
          <w:i/>
          <w:iCs/>
        </w:rPr>
        <w:br/>
      </w:r>
      <w:r w:rsidR="00821704" w:rsidRPr="00B56069">
        <w:t xml:space="preserve">Potential environmental impacts from importation of live animals into Australia can take the form of direct pest risks or indirect risks associated with the introduction of new diseases that may be carried in imported sock. In the case of </w:t>
      </w:r>
      <w:r w:rsidR="00821704" w:rsidRPr="00B56069">
        <w:rPr>
          <w:i/>
          <w:iCs/>
        </w:rPr>
        <w:t xml:space="preserve">S. </w:t>
      </w:r>
      <w:proofErr w:type="spellStart"/>
      <w:r w:rsidR="00821704" w:rsidRPr="00B56069">
        <w:rPr>
          <w:i/>
          <w:iCs/>
        </w:rPr>
        <w:t>denisonii</w:t>
      </w:r>
      <w:proofErr w:type="spellEnd"/>
      <w:r w:rsidR="00821704" w:rsidRPr="00B56069">
        <w:t>, i</w:t>
      </w:r>
      <w:r w:rsidR="00CE4BCE" w:rsidRPr="00B56069">
        <w:t xml:space="preserve">mportation under Australia’s current import conditions would reduce </w:t>
      </w:r>
      <w:r w:rsidR="008267C1" w:rsidRPr="00B56069">
        <w:t xml:space="preserve">potential </w:t>
      </w:r>
      <w:r w:rsidR="00CE4BCE" w:rsidRPr="00B56069">
        <w:t xml:space="preserve">disease risks to an acceptable level, consistent with previous </w:t>
      </w:r>
      <w:r w:rsidR="005E7E63" w:rsidRPr="00B56069">
        <w:t xml:space="preserve">Australian Government </w:t>
      </w:r>
      <w:r w:rsidR="008267C1" w:rsidRPr="00B56069">
        <w:t xml:space="preserve">disease </w:t>
      </w:r>
      <w:r w:rsidR="00CE4BCE" w:rsidRPr="00B56069">
        <w:t>risk analyses (</w:t>
      </w:r>
      <w:bookmarkStart w:id="16" w:name="_Hlk54181763"/>
      <w:r w:rsidR="001763EC" w:rsidRPr="00B56069">
        <w:t>AQIS, 1999, DOA, 2014</w:t>
      </w:r>
      <w:bookmarkEnd w:id="16"/>
      <w:r w:rsidR="00CE4BCE" w:rsidRPr="00B56069">
        <w:t xml:space="preserve">). </w:t>
      </w:r>
    </w:p>
    <w:p w14:paraId="0CA05CFF" w14:textId="258DFD7A" w:rsidR="00A33C5A" w:rsidRPr="00B56069" w:rsidRDefault="00A33C5A" w:rsidP="00FD34A3">
      <w:pPr>
        <w:pStyle w:val="ListNumber"/>
        <w:rPr>
          <w:i/>
          <w:iCs/>
        </w:rPr>
      </w:pPr>
      <w:r w:rsidRPr="00B56069">
        <w:rPr>
          <w:i/>
          <w:iCs/>
        </w:rPr>
        <w:t>Provide a summary of the types of activities that the specimen may be used for if imported</w:t>
      </w:r>
      <w:r w:rsidR="0087253F" w:rsidRPr="00B56069">
        <w:rPr>
          <w:i/>
          <w:iCs/>
        </w:rPr>
        <w:t xml:space="preserve"> </w:t>
      </w:r>
      <w:r w:rsidR="005F7397" w:rsidRPr="00B56069">
        <w:rPr>
          <w:i/>
          <w:iCs/>
        </w:rPr>
        <w:t>into</w:t>
      </w:r>
      <w:r w:rsidRPr="00B56069">
        <w:rPr>
          <w:i/>
          <w:iCs/>
        </w:rPr>
        <w:t xml:space="preserve"> Australia (</w:t>
      </w:r>
      <w:proofErr w:type="gramStart"/>
      <w:r w:rsidRPr="00B56069">
        <w:rPr>
          <w:i/>
          <w:iCs/>
        </w:rPr>
        <w:t>e.g.</w:t>
      </w:r>
      <w:proofErr w:type="gramEnd"/>
      <w:r w:rsidRPr="00B56069">
        <w:rPr>
          <w:i/>
          <w:iCs/>
        </w:rPr>
        <w:t xml:space="preserve"> pet, commercial, scientific). </w:t>
      </w:r>
    </w:p>
    <w:p w14:paraId="7F1C67B8" w14:textId="66E5C4CE" w:rsidR="00A33C5A" w:rsidRPr="00B56069" w:rsidRDefault="003D4DBB" w:rsidP="0083088D">
      <w:pPr>
        <w:pStyle w:val="ListBullet2"/>
        <w:numPr>
          <w:ilvl w:val="0"/>
          <w:numId w:val="25"/>
        </w:numPr>
      </w:pPr>
      <w:r w:rsidRPr="00B56069">
        <w:rPr>
          <w:i/>
          <w:iCs/>
        </w:rPr>
        <w:t>B</w:t>
      </w:r>
      <w:r w:rsidR="00A33C5A" w:rsidRPr="00B56069">
        <w:rPr>
          <w:i/>
          <w:iCs/>
        </w:rPr>
        <w:t>enefit of this species for these activities</w:t>
      </w:r>
      <w:r w:rsidR="00815A06" w:rsidRPr="00B56069">
        <w:t xml:space="preserve">: </w:t>
      </w:r>
      <w:bookmarkStart w:id="17" w:name="_Hlk56840251"/>
      <w:bookmarkStart w:id="18" w:name="_Hlk56850633"/>
      <w:r w:rsidR="002E19A2" w:rsidRPr="00B56069">
        <w:t>P</w:t>
      </w:r>
      <w:r w:rsidR="00815A06" w:rsidRPr="00B56069">
        <w:t xml:space="preserve">ermitting importation of this species will support the ornamental fish industry. </w:t>
      </w:r>
      <w:r w:rsidR="00A00AE7" w:rsidRPr="00B56069">
        <w:t xml:space="preserve">In a broader context, the ornamental fish hobby is an important one. Aside </w:t>
      </w:r>
      <w:r w:rsidR="00C37B2C" w:rsidRPr="00B56069">
        <w:t xml:space="preserve">from </w:t>
      </w:r>
      <w:r w:rsidR="00A00AE7" w:rsidRPr="00B56069">
        <w:t xml:space="preserve">creating employment and contributing to the economy of all </w:t>
      </w:r>
      <w:r w:rsidR="00736528" w:rsidRPr="00B56069">
        <w:t>S</w:t>
      </w:r>
      <w:r w:rsidR="00A00AE7" w:rsidRPr="00B56069">
        <w:t xml:space="preserve">tates and Territories, it has become especially important during the </w:t>
      </w:r>
      <w:proofErr w:type="spellStart"/>
      <w:r w:rsidR="00A00AE7" w:rsidRPr="00B56069">
        <w:t>CoViD</w:t>
      </w:r>
      <w:proofErr w:type="spellEnd"/>
      <w:r w:rsidR="00A00AE7" w:rsidRPr="00B56069">
        <w:t xml:space="preserve"> pandemic where individuals subject to movement restrictions are turning increasingly to the hobby for recreation – the hobby therefore plays a significant part in helping alleviate the stressors associated with the pandemic and post-</w:t>
      </w:r>
      <w:proofErr w:type="spellStart"/>
      <w:r w:rsidR="00A00AE7" w:rsidRPr="00B56069">
        <w:t>CoViD</w:t>
      </w:r>
      <w:proofErr w:type="spellEnd"/>
      <w:r w:rsidR="00A00AE7" w:rsidRPr="00B56069">
        <w:t xml:space="preserve"> recovery, both from economic and social perspectives. </w:t>
      </w:r>
      <w:r w:rsidR="00A00AE7" w:rsidRPr="00B56069">
        <w:br/>
      </w:r>
      <w:r w:rsidR="00A00AE7" w:rsidRPr="00B56069">
        <w:br/>
      </w:r>
      <w:r w:rsidR="00EF5D5F" w:rsidRPr="00B56069">
        <w:t xml:space="preserve">The direct and indirect economic benefits </w:t>
      </w:r>
      <w:r w:rsidR="00A00AE7" w:rsidRPr="00B56069">
        <w:t xml:space="preserve">of ornamental fish importation carry through the </w:t>
      </w:r>
      <w:r w:rsidR="00EF5D5F" w:rsidRPr="00B56069">
        <w:t xml:space="preserve">aquarium industry </w:t>
      </w:r>
      <w:r w:rsidR="00A00AE7" w:rsidRPr="00B56069">
        <w:t xml:space="preserve">supply chain </w:t>
      </w:r>
      <w:r w:rsidR="00EF5D5F" w:rsidRPr="00B56069">
        <w:t xml:space="preserve">and into the hobby. The economic beneficiaries include, but are not limited to, aquarium fish importers, wholesalers, aquarium hard goods distributors, retail pet and aquarium shops, commercial and </w:t>
      </w:r>
      <w:r w:rsidR="00EF5D5F" w:rsidRPr="00B56069">
        <w:lastRenderedPageBreak/>
        <w:t xml:space="preserve">hobby breeders as well as freight and logistics providers and other associated vendors.  </w:t>
      </w:r>
      <w:r w:rsidR="00EF5D5F" w:rsidRPr="00B56069">
        <w:br/>
      </w:r>
      <w:r w:rsidR="00EF5D5F" w:rsidRPr="00B56069">
        <w:br/>
      </w:r>
      <w:r w:rsidR="00A00AE7" w:rsidRPr="00B56069">
        <w:t>Importantly, k</w:t>
      </w:r>
      <w:r w:rsidR="00EF5D5F" w:rsidRPr="00B56069">
        <w:t xml:space="preserve">eeping ornamental fish fosters companion animal care which has benefits to society beyond the direct economic value of the trade. There </w:t>
      </w:r>
      <w:proofErr w:type="gramStart"/>
      <w:r w:rsidR="00EF5D5F" w:rsidRPr="00B56069">
        <w:t>are</w:t>
      </w:r>
      <w:proofErr w:type="gramEnd"/>
      <w:r w:rsidR="00EF5D5F" w:rsidRPr="00B56069">
        <w:t xml:space="preserve"> companionship as well as mental health benefits. There has never been a more important time for these benefits to flow through Australian society. </w:t>
      </w:r>
      <w:r w:rsidR="00A00AE7" w:rsidRPr="00B56069">
        <w:t>The a</w:t>
      </w:r>
      <w:r w:rsidR="00EF5D5F" w:rsidRPr="00B56069">
        <w:t>quarium hobby</w:t>
      </w:r>
      <w:r w:rsidR="00A00AE7" w:rsidRPr="00B56069">
        <w:t xml:space="preserve"> also plays an </w:t>
      </w:r>
      <w:proofErr w:type="gramStart"/>
      <w:r w:rsidR="00A00AE7" w:rsidRPr="00B56069">
        <w:t>often undervalued</w:t>
      </w:r>
      <w:proofErr w:type="gramEnd"/>
      <w:r w:rsidR="00A00AE7" w:rsidRPr="00B56069">
        <w:t xml:space="preserve"> educational role, especially relevant to younger Australians. </w:t>
      </w:r>
      <w:r w:rsidR="00EF5D5F" w:rsidRPr="00B56069">
        <w:t xml:space="preserve">The benefits </w:t>
      </w:r>
      <w:r w:rsidR="00A00AE7" w:rsidRPr="00B56069">
        <w:t xml:space="preserve">in this respect </w:t>
      </w:r>
      <w:r w:rsidR="00EF5D5F" w:rsidRPr="00B56069">
        <w:t xml:space="preserve">include, but are not limited to, an increased understanding </w:t>
      </w:r>
      <w:r w:rsidR="00A00AE7" w:rsidRPr="00B56069">
        <w:t xml:space="preserve">of, and appreciation for, </w:t>
      </w:r>
      <w:r w:rsidR="00EF5D5F" w:rsidRPr="00B56069">
        <w:t>biology, chemistry, physiology as well as geography and natural history.</w:t>
      </w:r>
      <w:bookmarkEnd w:id="17"/>
    </w:p>
    <w:bookmarkEnd w:id="18"/>
    <w:p w14:paraId="7FC3E9D0" w14:textId="146F0BAE" w:rsidR="00A33C5A" w:rsidRPr="00B56069" w:rsidRDefault="002E19A2" w:rsidP="0083088D">
      <w:pPr>
        <w:pStyle w:val="ListBullet2"/>
        <w:numPr>
          <w:ilvl w:val="0"/>
          <w:numId w:val="25"/>
        </w:numPr>
      </w:pPr>
      <w:r w:rsidRPr="00B56069">
        <w:rPr>
          <w:i/>
          <w:iCs/>
        </w:rPr>
        <w:t>P</w:t>
      </w:r>
      <w:r w:rsidR="00A33C5A" w:rsidRPr="00B56069">
        <w:rPr>
          <w:i/>
          <w:iCs/>
        </w:rPr>
        <w:t>otential trade in the species</w:t>
      </w:r>
      <w:r w:rsidR="00E92C32" w:rsidRPr="00B56069">
        <w:t>:</w:t>
      </w:r>
      <w:r w:rsidR="00815A06" w:rsidRPr="00B56069">
        <w:t xml:space="preserve"> </w:t>
      </w:r>
      <w:bookmarkStart w:id="19" w:name="_Hlk55809175"/>
      <w:r w:rsidR="00E92C32" w:rsidRPr="00B56069">
        <w:t>T</w:t>
      </w:r>
      <w:r w:rsidR="00815A06" w:rsidRPr="00B56069">
        <w:t>he species is routinely traded internationally</w:t>
      </w:r>
      <w:r w:rsidRPr="00B56069">
        <w:t xml:space="preserve"> </w:t>
      </w:r>
      <w:r w:rsidR="00F92F3B" w:rsidRPr="00B56069">
        <w:t xml:space="preserve">(and to a </w:t>
      </w:r>
      <w:r w:rsidR="00B27FA2" w:rsidRPr="00B56069">
        <w:t xml:space="preserve">much </w:t>
      </w:r>
      <w:r w:rsidR="00F92F3B" w:rsidRPr="00B56069">
        <w:t xml:space="preserve">smaller extent, domestically) </w:t>
      </w:r>
      <w:r w:rsidRPr="00B56069">
        <w:t xml:space="preserve">and would be a welcome addition to the species </w:t>
      </w:r>
      <w:r w:rsidR="00F92F3B" w:rsidRPr="00B56069">
        <w:t>permitted importation</w:t>
      </w:r>
      <w:r w:rsidR="0055655A" w:rsidRPr="00B56069">
        <w:t xml:space="preserve">. In the order of 3 million fish of the species are </w:t>
      </w:r>
      <w:r w:rsidR="00D26CAB" w:rsidRPr="00B56069">
        <w:t>traded internationally</w:t>
      </w:r>
      <w:r w:rsidR="0055655A" w:rsidRPr="00B56069">
        <w:t xml:space="preserve"> and </w:t>
      </w:r>
      <w:r w:rsidR="00B27FA2" w:rsidRPr="00B56069">
        <w:t xml:space="preserve">given the growing popularity of the hobby in Australia, </w:t>
      </w:r>
      <w:r w:rsidR="0055655A" w:rsidRPr="00B56069">
        <w:t xml:space="preserve">the </w:t>
      </w:r>
      <w:r w:rsidR="00D26CAB" w:rsidRPr="00B56069">
        <w:t>likely market demand in</w:t>
      </w:r>
      <w:r w:rsidR="0055655A" w:rsidRPr="00B56069">
        <w:t xml:space="preserve"> Australia </w:t>
      </w:r>
      <w:r w:rsidR="005C43C8" w:rsidRPr="00B56069">
        <w:t xml:space="preserve">for imported </w:t>
      </w:r>
      <w:r w:rsidR="005C43C8" w:rsidRPr="00B56069">
        <w:rPr>
          <w:i/>
          <w:iCs/>
        </w:rPr>
        <w:t xml:space="preserve">S. </w:t>
      </w:r>
      <w:proofErr w:type="spellStart"/>
      <w:r w:rsidR="005C43C8" w:rsidRPr="00B56069">
        <w:rPr>
          <w:i/>
          <w:iCs/>
        </w:rPr>
        <w:t>denisonii</w:t>
      </w:r>
      <w:proofErr w:type="spellEnd"/>
      <w:r w:rsidR="005C43C8" w:rsidRPr="00B56069">
        <w:t xml:space="preserve"> stock </w:t>
      </w:r>
      <w:r w:rsidR="0055655A" w:rsidRPr="00B56069">
        <w:t xml:space="preserve">would represent about </w:t>
      </w:r>
      <w:r w:rsidR="00C45C8F" w:rsidRPr="00B56069">
        <w:t>one</w:t>
      </w:r>
      <w:r w:rsidR="00777168">
        <w:t xml:space="preserve"> percent of this</w:t>
      </w:r>
      <w:r w:rsidR="00144F63" w:rsidRPr="00B56069">
        <w:t>.</w:t>
      </w:r>
      <w:r w:rsidR="00B8220F" w:rsidRPr="00B56069">
        <w:t xml:space="preserve"> </w:t>
      </w:r>
    </w:p>
    <w:bookmarkEnd w:id="19"/>
    <w:p w14:paraId="19EDC707" w14:textId="28BC1CE2" w:rsidR="00A33C5A" w:rsidRPr="00B56069" w:rsidRDefault="00E92C32" w:rsidP="0083088D">
      <w:pPr>
        <w:pStyle w:val="ListBullet2"/>
        <w:numPr>
          <w:ilvl w:val="0"/>
          <w:numId w:val="25"/>
        </w:numPr>
      </w:pPr>
      <w:r w:rsidRPr="00B56069">
        <w:rPr>
          <w:i/>
          <w:iCs/>
        </w:rPr>
        <w:t>W</w:t>
      </w:r>
      <w:r w:rsidR="00C5024C" w:rsidRPr="00B56069">
        <w:rPr>
          <w:i/>
          <w:iCs/>
        </w:rPr>
        <w:t>hy this species has been chosen</w:t>
      </w:r>
      <w:r w:rsidRPr="00B56069">
        <w:t>:</w:t>
      </w:r>
      <w:r w:rsidR="005F5DA8" w:rsidRPr="00B56069">
        <w:t xml:space="preserve"> </w:t>
      </w:r>
      <w:r w:rsidR="00D64133" w:rsidRPr="00B56069">
        <w:t>Internationally, the species is in high demand by hobbyists</w:t>
      </w:r>
      <w:r w:rsidR="00235F73" w:rsidRPr="00B56069">
        <w:t xml:space="preserve"> because </w:t>
      </w:r>
      <w:proofErr w:type="spellStart"/>
      <w:r w:rsidR="00235F73" w:rsidRPr="00B56069">
        <w:t>aquacultured</w:t>
      </w:r>
      <w:proofErr w:type="spellEnd"/>
      <w:r w:rsidR="00235F73" w:rsidRPr="00B56069">
        <w:t xml:space="preserve"> specimens are very affordable to the average hobbyist</w:t>
      </w:r>
      <w:r w:rsidR="00D64133" w:rsidRPr="00B56069">
        <w:t xml:space="preserve">. </w:t>
      </w:r>
      <w:r w:rsidR="00D64133" w:rsidRPr="00B56069">
        <w:rPr>
          <w:i/>
          <w:iCs/>
        </w:rPr>
        <w:t xml:space="preserve">S. </w:t>
      </w:r>
      <w:proofErr w:type="spellStart"/>
      <w:r w:rsidR="00D64133" w:rsidRPr="00B56069">
        <w:rPr>
          <w:i/>
          <w:iCs/>
        </w:rPr>
        <w:t>denisonii</w:t>
      </w:r>
      <w:proofErr w:type="spellEnd"/>
      <w:r w:rsidR="00D64133" w:rsidRPr="00B56069">
        <w:t xml:space="preserve"> </w:t>
      </w:r>
      <w:r w:rsidR="00235F73" w:rsidRPr="00B56069">
        <w:t>is prohibitively priced in Australia due to unavailability of imported stock and as a result, beyond the reach of m</w:t>
      </w:r>
      <w:r w:rsidR="00FF47E8" w:rsidRPr="00B56069">
        <w:t xml:space="preserve">ost </w:t>
      </w:r>
      <w:r w:rsidR="00A15F1F" w:rsidRPr="00B56069">
        <w:t>hobbyists</w:t>
      </w:r>
      <w:r w:rsidR="00235F73" w:rsidRPr="00B56069">
        <w:t xml:space="preserve">. Permitting importation will mean that the species could be offered at a more affordable price, </w:t>
      </w:r>
      <w:r w:rsidR="00806127" w:rsidRPr="00B56069">
        <w:t xml:space="preserve">with associated benefits to the </w:t>
      </w:r>
      <w:r w:rsidR="00235F73" w:rsidRPr="00B56069">
        <w:t xml:space="preserve">trade and the hobby. </w:t>
      </w:r>
      <w:r w:rsidR="00D64133" w:rsidRPr="00B56069">
        <w:t xml:space="preserve">The species is not aggressive and compatible to keep in aquaria with </w:t>
      </w:r>
      <w:r w:rsidR="00A22A59" w:rsidRPr="00B56069">
        <w:t>other tropical species</w:t>
      </w:r>
      <w:r w:rsidR="00D64133" w:rsidRPr="00B56069">
        <w:t>.</w:t>
      </w:r>
      <w:r w:rsidR="00A22A59" w:rsidRPr="00B56069">
        <w:t xml:space="preserve"> </w:t>
      </w:r>
    </w:p>
    <w:p w14:paraId="51F911C3" w14:textId="231E2A55" w:rsidR="00A33C5A" w:rsidRPr="00B56069" w:rsidRDefault="00A33C5A" w:rsidP="0083088D">
      <w:pPr>
        <w:pStyle w:val="ListNumber"/>
        <w:numPr>
          <w:ilvl w:val="0"/>
          <w:numId w:val="25"/>
        </w:numPr>
      </w:pPr>
      <w:r w:rsidRPr="00B56069">
        <w:rPr>
          <w:i/>
          <w:iCs/>
        </w:rPr>
        <w:t xml:space="preserve">Provide detailed guidelines on the way in which the species should be kept, </w:t>
      </w:r>
      <w:proofErr w:type="gramStart"/>
      <w:r w:rsidRPr="00B56069">
        <w:rPr>
          <w:i/>
          <w:iCs/>
        </w:rPr>
        <w:t>transported</w:t>
      </w:r>
      <w:proofErr w:type="gramEnd"/>
      <w:r w:rsidRPr="00B56069">
        <w:rPr>
          <w:i/>
          <w:iCs/>
        </w:rPr>
        <w:t xml:space="preserve"> and disposed of in accordance with the types of activity that the species may be used for if imported into Australia.</w:t>
      </w:r>
      <w:r w:rsidRPr="00B56069">
        <w:t xml:space="preserve"> </w:t>
      </w:r>
    </w:p>
    <w:p w14:paraId="6795ACE8" w14:textId="165C1A63" w:rsidR="004A0C12" w:rsidRPr="00B56069" w:rsidRDefault="00E92C32" w:rsidP="0083088D">
      <w:pPr>
        <w:pStyle w:val="ListBullet2"/>
        <w:numPr>
          <w:ilvl w:val="0"/>
          <w:numId w:val="25"/>
        </w:numPr>
      </w:pPr>
      <w:r w:rsidRPr="00B56069">
        <w:rPr>
          <w:i/>
          <w:iCs/>
        </w:rPr>
        <w:t>T</w:t>
      </w:r>
      <w:r w:rsidR="00A33C5A" w:rsidRPr="00B56069">
        <w:rPr>
          <w:i/>
          <w:iCs/>
        </w:rPr>
        <w:t>he containment (</w:t>
      </w:r>
      <w:proofErr w:type="gramStart"/>
      <w:r w:rsidR="00A33C5A" w:rsidRPr="00B56069">
        <w:rPr>
          <w:i/>
          <w:iCs/>
        </w:rPr>
        <w:t>e.g.</w:t>
      </w:r>
      <w:proofErr w:type="gramEnd"/>
      <w:r w:rsidR="00A33C5A" w:rsidRPr="00B56069">
        <w:rPr>
          <w:i/>
          <w:iCs/>
        </w:rPr>
        <w:t xml:space="preserve"> cage, enclosure) and management standards for this species to prevent escape or release. This should also talk about the security standards for this specimen</w:t>
      </w:r>
      <w:r w:rsidR="004A0C12" w:rsidRPr="00B56069">
        <w:t>:</w:t>
      </w:r>
      <w:r w:rsidR="00D26CAB" w:rsidRPr="00B56069">
        <w:t xml:space="preserve"> </w:t>
      </w:r>
      <w:r w:rsidR="004A0C12" w:rsidRPr="00B56069">
        <w:t xml:space="preserve">The fish will be transported as per the International Air Transport Association (IATA) guidelines and the provisions of the </w:t>
      </w:r>
      <w:r w:rsidR="004A0C12" w:rsidRPr="00B56069">
        <w:rPr>
          <w:i/>
          <w:iCs/>
        </w:rPr>
        <w:t>BICON Import Conditions for Freshwater Aquarium Fish: Effective 18 July 2020</w:t>
      </w:r>
      <w:r w:rsidR="004A0C12" w:rsidRPr="00B56069">
        <w:t xml:space="preserve"> </w:t>
      </w:r>
      <w:r w:rsidR="005E7E63" w:rsidRPr="00B56069">
        <w:t>(DAWE 2020</w:t>
      </w:r>
      <w:r w:rsidR="00A72FB0" w:rsidRPr="00B56069">
        <w:t>b</w:t>
      </w:r>
      <w:r w:rsidR="005E7E63" w:rsidRPr="00B56069">
        <w:t>)</w:t>
      </w:r>
      <w:r w:rsidR="002905CD" w:rsidRPr="00B56069">
        <w:t>.</w:t>
      </w:r>
    </w:p>
    <w:p w14:paraId="25FD1EF6" w14:textId="263C4968" w:rsidR="00A33C5A" w:rsidRPr="00B56069" w:rsidRDefault="00E92C32" w:rsidP="0083088D">
      <w:pPr>
        <w:pStyle w:val="ListBullet2"/>
        <w:numPr>
          <w:ilvl w:val="0"/>
          <w:numId w:val="25"/>
        </w:numPr>
      </w:pPr>
      <w:r w:rsidRPr="00B56069">
        <w:rPr>
          <w:i/>
          <w:iCs/>
        </w:rPr>
        <w:t>T</w:t>
      </w:r>
      <w:r w:rsidR="00A33C5A" w:rsidRPr="00B56069">
        <w:rPr>
          <w:i/>
          <w:iCs/>
        </w:rPr>
        <w:t>he disposa</w:t>
      </w:r>
      <w:r w:rsidR="00C5024C" w:rsidRPr="00B56069">
        <w:rPr>
          <w:i/>
          <w:iCs/>
        </w:rPr>
        <w:t>l options for surplus specimens</w:t>
      </w:r>
      <w:r w:rsidRPr="00B56069">
        <w:t>:</w:t>
      </w:r>
      <w:r w:rsidR="00D26CAB" w:rsidRPr="00B56069">
        <w:rPr>
          <w:color w:val="FF0000"/>
        </w:rPr>
        <w:t xml:space="preserve"> </w:t>
      </w:r>
      <w:r w:rsidR="00EF55AC" w:rsidRPr="00B56069">
        <w:t>Fish will be imported for purposes of supplying the aquarium fish trade</w:t>
      </w:r>
      <w:r w:rsidR="00A37004" w:rsidRPr="00B56069">
        <w:t xml:space="preserve"> and as such no s</w:t>
      </w:r>
      <w:r w:rsidR="00EF55AC" w:rsidRPr="00B56069">
        <w:t xml:space="preserve">urplus specimens are expected. In the event of mortality, animals will be disposed as per the provisions of the </w:t>
      </w:r>
      <w:r w:rsidR="00EF55AC" w:rsidRPr="00B56069">
        <w:rPr>
          <w:i/>
          <w:iCs/>
        </w:rPr>
        <w:t>BICON Import Conditions for Freshwater Aquarium Fish: Effective 18 July 2020</w:t>
      </w:r>
      <w:r w:rsidR="00EF55AC" w:rsidRPr="00B56069">
        <w:t xml:space="preserve"> </w:t>
      </w:r>
      <w:r w:rsidR="005E7E63" w:rsidRPr="00B56069">
        <w:t>(DAWE 2020</w:t>
      </w:r>
      <w:r w:rsidR="00A72FB0" w:rsidRPr="00B56069">
        <w:t>b</w:t>
      </w:r>
      <w:r w:rsidR="005E7E63" w:rsidRPr="00B56069">
        <w:t xml:space="preserve">) </w:t>
      </w:r>
      <w:r w:rsidR="00EF55AC" w:rsidRPr="00B56069">
        <w:t xml:space="preserve">and in accordance with </w:t>
      </w:r>
      <w:r w:rsidR="00A37004" w:rsidRPr="00B56069">
        <w:t xml:space="preserve">the </w:t>
      </w:r>
      <w:r w:rsidR="00A910B7" w:rsidRPr="00B56069">
        <w:t xml:space="preserve">Pet Industry Association of Australia (PIAA) National Code of Practice </w:t>
      </w:r>
      <w:r w:rsidR="005E7E63" w:rsidRPr="00B56069">
        <w:t>(PIAA 2008).</w:t>
      </w:r>
      <w:r w:rsidR="00D26CAB" w:rsidRPr="00B56069">
        <w:t xml:space="preserve"> </w:t>
      </w:r>
    </w:p>
    <w:p w14:paraId="7A998CF2" w14:textId="77777777" w:rsidR="00A33C5A" w:rsidRPr="00B56069" w:rsidRDefault="00A33C5A" w:rsidP="00FD34A3">
      <w:pPr>
        <w:pStyle w:val="ListNumber"/>
      </w:pPr>
      <w:r w:rsidRPr="00B56069">
        <w:t xml:space="preserve">Provide information on all other Commonwealth, </w:t>
      </w:r>
      <w:proofErr w:type="gramStart"/>
      <w:r w:rsidRPr="00B56069">
        <w:t>state</w:t>
      </w:r>
      <w:proofErr w:type="gramEnd"/>
      <w:r w:rsidRPr="00B56069">
        <w:t xml:space="preserve"> and territory legislative controls on the species, including: </w:t>
      </w:r>
    </w:p>
    <w:p w14:paraId="6FC107FD" w14:textId="50C61F1E" w:rsidR="00A33C5A" w:rsidRPr="00B56069" w:rsidRDefault="00E92C32" w:rsidP="0083088D">
      <w:pPr>
        <w:pStyle w:val="ListBullet2"/>
        <w:numPr>
          <w:ilvl w:val="1"/>
          <w:numId w:val="26"/>
        </w:numPr>
      </w:pPr>
      <w:r w:rsidRPr="00B56069">
        <w:rPr>
          <w:i/>
          <w:iCs/>
        </w:rPr>
        <w:t>T</w:t>
      </w:r>
      <w:r w:rsidR="00A33C5A" w:rsidRPr="00B56069">
        <w:rPr>
          <w:i/>
          <w:iCs/>
        </w:rPr>
        <w:t>he species’ current quarantine status</w:t>
      </w:r>
      <w:r w:rsidR="00B70F14" w:rsidRPr="00B56069">
        <w:t>: The species is n</w:t>
      </w:r>
      <w:r w:rsidR="0020138A" w:rsidRPr="00B56069">
        <w:t xml:space="preserve">ot </w:t>
      </w:r>
      <w:r w:rsidR="00B70F14" w:rsidRPr="00B56069">
        <w:t xml:space="preserve">currently </w:t>
      </w:r>
      <w:r w:rsidR="0020138A" w:rsidRPr="00B56069">
        <w:t>on the permitted species list</w:t>
      </w:r>
      <w:r w:rsidR="00B70F14" w:rsidRPr="00B56069">
        <w:t>.</w:t>
      </w:r>
    </w:p>
    <w:p w14:paraId="5B5C5A49" w14:textId="574798B1" w:rsidR="00A33C5A" w:rsidRPr="00B56069" w:rsidRDefault="00E92C32" w:rsidP="0083088D">
      <w:pPr>
        <w:pStyle w:val="ListBullet2"/>
        <w:numPr>
          <w:ilvl w:val="1"/>
          <w:numId w:val="26"/>
        </w:numPr>
      </w:pPr>
      <w:r w:rsidRPr="00B56069">
        <w:rPr>
          <w:i/>
          <w:iCs/>
        </w:rPr>
        <w:lastRenderedPageBreak/>
        <w:t>P</w:t>
      </w:r>
      <w:r w:rsidR="00A33C5A" w:rsidRPr="00B56069">
        <w:rPr>
          <w:i/>
          <w:iCs/>
        </w:rPr>
        <w:t>est or noxious status</w:t>
      </w:r>
      <w:r w:rsidR="00B70F14" w:rsidRPr="00B56069">
        <w:t>: The species is n</w:t>
      </w:r>
      <w:r w:rsidR="0020138A" w:rsidRPr="00B56069">
        <w:t>ot list on any state or federal pest or noxious species list</w:t>
      </w:r>
      <w:r w:rsidR="00B70F14" w:rsidRPr="00B56069">
        <w:t>.</w:t>
      </w:r>
    </w:p>
    <w:p w14:paraId="01009996" w14:textId="1A3F7810" w:rsidR="00A33C5A" w:rsidRPr="00B56069" w:rsidRDefault="00E92C32" w:rsidP="0083088D">
      <w:pPr>
        <w:pStyle w:val="ListBullet2"/>
        <w:numPr>
          <w:ilvl w:val="1"/>
          <w:numId w:val="26"/>
        </w:numPr>
      </w:pPr>
      <w:r w:rsidRPr="00B56069">
        <w:rPr>
          <w:i/>
          <w:iCs/>
        </w:rPr>
        <w:t>W</w:t>
      </w:r>
      <w:r w:rsidR="00A33C5A" w:rsidRPr="00B56069">
        <w:rPr>
          <w:i/>
          <w:iCs/>
        </w:rPr>
        <w:t>hether it is prohibited or controlled by permit or li</w:t>
      </w:r>
      <w:r w:rsidR="00C5024C" w:rsidRPr="00B56069">
        <w:rPr>
          <w:i/>
          <w:iCs/>
        </w:rPr>
        <w:t>cence in any state or territory</w:t>
      </w:r>
      <w:r w:rsidR="00B70F14" w:rsidRPr="00B56069">
        <w:t>: The species is n</w:t>
      </w:r>
      <w:r w:rsidR="0020138A" w:rsidRPr="00B56069">
        <w:t xml:space="preserve">ot prohibited or controlled by permit or licence in any state or territory. </w:t>
      </w:r>
    </w:p>
    <w:p w14:paraId="0F10B4A9" w14:textId="77777777" w:rsidR="00E50E0E" w:rsidRPr="00B56069" w:rsidRDefault="00E50E0E" w:rsidP="00640BEB">
      <w:pPr>
        <w:pStyle w:val="ListNumber"/>
        <w:numPr>
          <w:ilvl w:val="0"/>
          <w:numId w:val="0"/>
        </w:numPr>
      </w:pPr>
    </w:p>
    <w:p w14:paraId="4F1B3E8F" w14:textId="77777777" w:rsidR="00E94BFB" w:rsidRPr="00B56069" w:rsidRDefault="00E94BFB">
      <w:pPr>
        <w:spacing w:after="0" w:line="240" w:lineRule="auto"/>
      </w:pPr>
      <w:r w:rsidRPr="00B56069">
        <w:br w:type="page"/>
      </w:r>
    </w:p>
    <w:p w14:paraId="0EEF6E79" w14:textId="31240D34" w:rsidR="00A33C5A" w:rsidRPr="00B56069" w:rsidRDefault="00587803" w:rsidP="00A33C5A">
      <w:r w:rsidRPr="00B56069">
        <w:lastRenderedPageBreak/>
        <w:t>REFERENCES</w:t>
      </w:r>
    </w:p>
    <w:p w14:paraId="33FC0E38" w14:textId="48F0ABF7" w:rsidR="001D65BE" w:rsidRPr="00B56069" w:rsidRDefault="001D65BE" w:rsidP="001D65BE">
      <w:r w:rsidRPr="00B56069">
        <w:t xml:space="preserve">Ali A, Raghavan R and </w:t>
      </w:r>
      <w:proofErr w:type="spellStart"/>
      <w:r w:rsidRPr="00B56069">
        <w:t>Dahanukar</w:t>
      </w:r>
      <w:proofErr w:type="spellEnd"/>
      <w:r w:rsidRPr="00B56069">
        <w:t xml:space="preserve"> N (2015) </w:t>
      </w:r>
      <w:proofErr w:type="spellStart"/>
      <w:r w:rsidRPr="00B56069">
        <w:t>Sahyadria</w:t>
      </w:r>
      <w:proofErr w:type="spellEnd"/>
      <w:r w:rsidRPr="00B56069">
        <w:t xml:space="preserve"> </w:t>
      </w:r>
      <w:proofErr w:type="spellStart"/>
      <w:r w:rsidRPr="00B56069">
        <w:t>denisonii</w:t>
      </w:r>
      <w:proofErr w:type="spellEnd"/>
      <w:r w:rsidRPr="00B56069">
        <w:t>. The IUCN Red List of Threatened Species 2015: e.T169662A70082469</w:t>
      </w:r>
      <w:r w:rsidR="009C5B85" w:rsidRPr="00B56069">
        <w:t xml:space="preserve"> [online] </w:t>
      </w:r>
      <w:r w:rsidR="00CC1B77" w:rsidRPr="00B56069">
        <w:t>Available</w:t>
      </w:r>
      <w:r w:rsidR="009C5B85" w:rsidRPr="00B56069">
        <w:t xml:space="preserve"> at: </w:t>
      </w:r>
      <w:hyperlink r:id="rId14" w:history="1">
        <w:r w:rsidR="009C5B85" w:rsidRPr="00B56069">
          <w:t>https://www.researchgate.net/publication/230814395_Puntius_denisonii</w:t>
        </w:r>
      </w:hyperlink>
      <w:r w:rsidR="009C5B85" w:rsidRPr="00B56069">
        <w:t xml:space="preserve"> [</w:t>
      </w:r>
      <w:r w:rsidR="00CC1B77" w:rsidRPr="00B56069">
        <w:t>A</w:t>
      </w:r>
      <w:r w:rsidR="009C5B85" w:rsidRPr="00B56069">
        <w:t xml:space="preserve">ccessed </w:t>
      </w:r>
      <w:r w:rsidRPr="00B56069">
        <w:t>1</w:t>
      </w:r>
      <w:r w:rsidR="009C5B85" w:rsidRPr="00B56069">
        <w:t xml:space="preserve"> November </w:t>
      </w:r>
      <w:r w:rsidRPr="00B56069">
        <w:t>2020</w:t>
      </w:r>
      <w:r w:rsidR="009C5B85" w:rsidRPr="00B56069">
        <w:t>]</w:t>
      </w:r>
    </w:p>
    <w:p w14:paraId="1676647B" w14:textId="77777777" w:rsidR="001B3118" w:rsidRPr="00B56069" w:rsidRDefault="001B3118" w:rsidP="001B3118">
      <w:bookmarkStart w:id="20" w:name="_Hlk54181813"/>
      <w:r w:rsidRPr="00B56069">
        <w:t xml:space="preserve">AQIS (1999) Import Risk Analysis on Live Ornamental Finfish. Australian Quarantine and Inspection Service, Department of Agriculture, Canberra. Available online: </w:t>
      </w:r>
      <w:hyperlink r:id="rId15" w:history="1">
        <w:r w:rsidRPr="00B56069">
          <w:rPr>
            <w:rStyle w:val="Hyperlink"/>
          </w:rPr>
          <w:t>https://www.agriculture.gov.au/sites/default/files/sitecollectiondocuments/ba/animal/horsesubmissions/finalornamental.pdf</w:t>
        </w:r>
      </w:hyperlink>
      <w:r w:rsidRPr="00B56069">
        <w:t xml:space="preserve"> [Downloaded 1 November 2020]</w:t>
      </w:r>
    </w:p>
    <w:p w14:paraId="17C8DCB8" w14:textId="77777777" w:rsidR="001B3118" w:rsidRPr="00B56069" w:rsidRDefault="001B3118" w:rsidP="001B3118">
      <w:bookmarkStart w:id="21" w:name="_Hlk55809303"/>
      <w:bookmarkStart w:id="22" w:name="_Hlk55815307"/>
      <w:proofErr w:type="spellStart"/>
      <w:r w:rsidRPr="00B56069">
        <w:t>Bomford</w:t>
      </w:r>
      <w:proofErr w:type="spellEnd"/>
      <w:r w:rsidRPr="00B56069">
        <w:t xml:space="preserve"> M (2008) Risk assessment models for the establishment of exotic vertebrates in Australia and New Zealand: validating and refining risk assessment models. Invasive Animals Cooperative Research Centre, Canberra. Available online: https://pestsmart.org.au/wp-content/uploads/sites/3/2020/06/Risk_Assess_Models_2008_FINAL.pdf [Downloaded 1 November 2020]</w:t>
      </w:r>
    </w:p>
    <w:bookmarkEnd w:id="21"/>
    <w:bookmarkEnd w:id="22"/>
    <w:p w14:paraId="56F48015" w14:textId="586E4DAD" w:rsidR="00BA1350" w:rsidRPr="00B56069" w:rsidRDefault="00BA1350" w:rsidP="00BA1350">
      <w:r w:rsidRPr="00B56069">
        <w:t xml:space="preserve">Corfield J, </w:t>
      </w:r>
      <w:proofErr w:type="spellStart"/>
      <w:r w:rsidRPr="00B56069">
        <w:t>Diggles</w:t>
      </w:r>
      <w:proofErr w:type="spellEnd"/>
      <w:r w:rsidRPr="00B56069">
        <w:t xml:space="preserve"> B, </w:t>
      </w:r>
      <w:proofErr w:type="spellStart"/>
      <w:r w:rsidRPr="00B56069">
        <w:t>Jubb</w:t>
      </w:r>
      <w:proofErr w:type="spellEnd"/>
      <w:r w:rsidRPr="00B56069">
        <w:t xml:space="preserve"> C, McDowall RM, Moore A, Richards A and Rowe DK (2008). Review of the impacts of introduced ornamental fish species that have established wild populations in Australia’. Prepared for the Australian Government Department of the Environment, Water, </w:t>
      </w:r>
      <w:proofErr w:type="gramStart"/>
      <w:r w:rsidRPr="00B56069">
        <w:t>Heritage</w:t>
      </w:r>
      <w:proofErr w:type="gramEnd"/>
      <w:r w:rsidRPr="00B56069">
        <w:t xml:space="preserve"> and the Arts. Available </w:t>
      </w:r>
      <w:r w:rsidR="00EF3F9C" w:rsidRPr="00B56069">
        <w:t>online</w:t>
      </w:r>
      <w:r w:rsidRPr="00B56069">
        <w:t xml:space="preserve">: </w:t>
      </w:r>
      <w:hyperlink r:id="rId16" w:history="1">
        <w:r w:rsidRPr="00B56069">
          <w:t>https://www.environment.gov.au/system/files/resources/fb1584f5-1d57-4b3c-9a0f-b1d5beff76a4/files/ornamental-fish.pdf</w:t>
        </w:r>
      </w:hyperlink>
      <w:r w:rsidRPr="00B56069">
        <w:t xml:space="preserve"> [</w:t>
      </w:r>
      <w:r w:rsidR="00EF3F9C" w:rsidRPr="00B56069">
        <w:t>Downloaded</w:t>
      </w:r>
      <w:r w:rsidRPr="00B56069">
        <w:t xml:space="preserve"> 1 November 2020]</w:t>
      </w:r>
    </w:p>
    <w:p w14:paraId="5076FBB2" w14:textId="77777777" w:rsidR="001B3118" w:rsidRPr="00B56069" w:rsidRDefault="001B3118" w:rsidP="001B3118">
      <w:bookmarkStart w:id="23" w:name="_Hlk56874065"/>
      <w:bookmarkStart w:id="24" w:name="_Hlk55284178"/>
      <w:bookmarkEnd w:id="20"/>
      <w:r w:rsidRPr="00B56069">
        <w:t xml:space="preserve">DOA (2014) Importation of freshwater ornamental fish: review of biosecurity risks associated with gourami iridovirus and related viruses—Final import risk analysis report, Department of Agriculture, Canberra. Available online: </w:t>
      </w:r>
      <w:hyperlink r:id="rId17" w:history="1">
        <w:r w:rsidRPr="00B56069">
          <w:rPr>
            <w:rStyle w:val="Hyperlink"/>
          </w:rPr>
          <w:t>https://www.agriculture.gov.au/sites/default/files/style%20library/images/daff/__data/assets/pdffile/0004/2404309/gourami-ira.pdf</w:t>
        </w:r>
      </w:hyperlink>
      <w:r w:rsidRPr="00B56069">
        <w:t xml:space="preserve"> [Downloaded 1 November 2020]</w:t>
      </w:r>
    </w:p>
    <w:bookmarkEnd w:id="23"/>
    <w:p w14:paraId="76098E24" w14:textId="6BBCC0E5" w:rsidR="00C168D7" w:rsidRPr="00B56069" w:rsidRDefault="00C168D7" w:rsidP="00C168D7">
      <w:r w:rsidRPr="00B56069">
        <w:t xml:space="preserve">DAWE (2020a) Risk Assessment to add </w:t>
      </w:r>
      <w:proofErr w:type="spellStart"/>
      <w:r w:rsidRPr="00B56069">
        <w:rPr>
          <w:i/>
          <w:iCs/>
        </w:rPr>
        <w:t>Kryptopterus</w:t>
      </w:r>
      <w:proofErr w:type="spellEnd"/>
      <w:r w:rsidRPr="00B56069">
        <w:rPr>
          <w:i/>
          <w:iCs/>
        </w:rPr>
        <w:t xml:space="preserve"> </w:t>
      </w:r>
      <w:proofErr w:type="spellStart"/>
      <w:r w:rsidRPr="00B56069">
        <w:rPr>
          <w:i/>
          <w:iCs/>
        </w:rPr>
        <w:t>vitreolus</w:t>
      </w:r>
      <w:proofErr w:type="spellEnd"/>
      <w:r w:rsidRPr="00B56069">
        <w:t xml:space="preserve"> to, and remove </w:t>
      </w:r>
      <w:proofErr w:type="spellStart"/>
      <w:r w:rsidRPr="00B56069">
        <w:rPr>
          <w:i/>
          <w:iCs/>
        </w:rPr>
        <w:t>Kryptopterus</w:t>
      </w:r>
      <w:proofErr w:type="spellEnd"/>
      <w:r w:rsidRPr="00B56069">
        <w:rPr>
          <w:i/>
          <w:iCs/>
        </w:rPr>
        <w:t xml:space="preserve"> </w:t>
      </w:r>
      <w:proofErr w:type="spellStart"/>
      <w:r w:rsidRPr="00B56069">
        <w:rPr>
          <w:i/>
          <w:iCs/>
        </w:rPr>
        <w:t>bicirrhis</w:t>
      </w:r>
      <w:proofErr w:type="spellEnd"/>
      <w:r w:rsidRPr="00B56069">
        <w:t xml:space="preserve"> from, the Environment Protection and Biodiversity Conservation Act 1999 List of Specimens taken to be Suitable for Live Import August 2020. Department of Agriculture, </w:t>
      </w:r>
      <w:proofErr w:type="gramStart"/>
      <w:r w:rsidRPr="00B56069">
        <w:t>Water</w:t>
      </w:r>
      <w:proofErr w:type="gramEnd"/>
      <w:r w:rsidRPr="00B56069">
        <w:t xml:space="preserve"> and the Environment</w:t>
      </w:r>
      <w:r w:rsidR="000A6565" w:rsidRPr="00B56069">
        <w:t xml:space="preserve">. </w:t>
      </w:r>
      <w:r w:rsidR="009C5B85" w:rsidRPr="00B56069">
        <w:t xml:space="preserve">Available </w:t>
      </w:r>
      <w:r w:rsidR="0083088D" w:rsidRPr="00B56069">
        <w:t>online</w:t>
      </w:r>
      <w:r w:rsidR="009C5B85" w:rsidRPr="00B56069">
        <w:t>:</w:t>
      </w:r>
      <w:r w:rsidR="0083088D" w:rsidRPr="00B56069">
        <w:t xml:space="preserve"> </w:t>
      </w:r>
      <w:hyperlink r:id="rId18" w:history="1">
        <w:r w:rsidR="009C5B85" w:rsidRPr="00B56069">
          <w:t>https://environment.gov.au/system/files/consultations/1b591465-8486-450a-b12f-2f824fd925ca/files/glass-catfish-risk-assessment.pdf</w:t>
        </w:r>
      </w:hyperlink>
      <w:r w:rsidRPr="00B56069">
        <w:t xml:space="preserve"> [</w:t>
      </w:r>
      <w:r w:rsidR="0083088D" w:rsidRPr="00B56069">
        <w:t>Downloaded</w:t>
      </w:r>
      <w:r w:rsidRPr="00B56069">
        <w:t xml:space="preserve"> 1 November 2020].</w:t>
      </w:r>
    </w:p>
    <w:p w14:paraId="1F2A8F9C" w14:textId="6D6E992E" w:rsidR="001D65BE" w:rsidRPr="00B56069" w:rsidRDefault="001D65BE" w:rsidP="001D65BE">
      <w:r w:rsidRPr="00B56069">
        <w:t>DAWE (2020</w:t>
      </w:r>
      <w:r w:rsidR="00C168D7" w:rsidRPr="00B56069">
        <w:t>b</w:t>
      </w:r>
      <w:r w:rsidRPr="00B56069">
        <w:t xml:space="preserve">) </w:t>
      </w:r>
      <w:r w:rsidR="004E0DCE" w:rsidRPr="00B56069">
        <w:t>“</w:t>
      </w:r>
      <w:r w:rsidRPr="00B56069">
        <w:t>Import conditions for freshwater aquarium fish: Effective 18 July 2020. Department of Agriculture, Water and the Environment</w:t>
      </w:r>
      <w:r w:rsidR="004E0DCE" w:rsidRPr="00B56069">
        <w:t>”</w:t>
      </w:r>
      <w:r w:rsidRPr="00B56069">
        <w:t xml:space="preserve"> </w:t>
      </w:r>
      <w:r w:rsidR="009C5B85" w:rsidRPr="00B56069">
        <w:t xml:space="preserve">[online] </w:t>
      </w:r>
      <w:r w:rsidR="00D1311C" w:rsidRPr="00B56069">
        <w:t xml:space="preserve">Available at: </w:t>
      </w:r>
      <w:hyperlink r:id="rId19" w:history="1">
        <w:r w:rsidR="009C5B85" w:rsidRPr="00B56069">
          <w:t>https://bicon.agriculture.gov.au/BiconWeb4.0/ImportConditions/Conditions?EvaluatableElementId=482052&amp;Path=UNDEFINED&amp;UserContext=External&amp;EvaluationStateId=7f1ea5c5-8bef-4b34-a789-2987549620ff&amp;CaseElementPk=1354044&amp;EvaluationPhase=ImportDefinition&amp;HasAlerts=False&amp;HasChangeNotices=False&amp;IsAEP=False</w:t>
        </w:r>
      </w:hyperlink>
      <w:r w:rsidR="009C5B85" w:rsidRPr="00B56069">
        <w:t xml:space="preserve"> [</w:t>
      </w:r>
      <w:r w:rsidR="00CC1B77" w:rsidRPr="00B56069">
        <w:t>A</w:t>
      </w:r>
      <w:r w:rsidRPr="00B56069">
        <w:t>ccessed 12 Oct</w:t>
      </w:r>
      <w:r w:rsidR="00F43D98" w:rsidRPr="00B56069">
        <w:t>ober</w:t>
      </w:r>
      <w:r w:rsidRPr="00B56069">
        <w:t xml:space="preserve"> 2020</w:t>
      </w:r>
      <w:r w:rsidR="009C5B85" w:rsidRPr="00B56069">
        <w:t>]</w:t>
      </w:r>
      <w:r w:rsidR="00F43D98" w:rsidRPr="00B56069">
        <w:t>.</w:t>
      </w:r>
    </w:p>
    <w:bookmarkEnd w:id="24"/>
    <w:p w14:paraId="67348DAF" w14:textId="5C74F100" w:rsidR="007B415E" w:rsidRPr="00B56069" w:rsidRDefault="007B415E" w:rsidP="00A33C5A">
      <w:r w:rsidRPr="00B56069">
        <w:t>Froese R and Pauly D Editors (</w:t>
      </w:r>
      <w:proofErr w:type="spellStart"/>
      <w:r w:rsidR="00A823CA" w:rsidRPr="00B56069">
        <w:t>n.d.</w:t>
      </w:r>
      <w:r w:rsidR="00A823CA" w:rsidRPr="00B56069">
        <w:rPr>
          <w:rFonts w:cs="Arial"/>
        </w:rPr>
        <w:t>─</w:t>
      </w:r>
      <w:r w:rsidR="00A823CA" w:rsidRPr="00B56069">
        <w:t>a</w:t>
      </w:r>
      <w:proofErr w:type="spellEnd"/>
      <w:r w:rsidRPr="00B56069">
        <w:t xml:space="preserve">) “Family </w:t>
      </w:r>
      <w:proofErr w:type="spellStart"/>
      <w:r w:rsidRPr="00B56069">
        <w:t>Cyprinidae</w:t>
      </w:r>
      <w:proofErr w:type="spellEnd"/>
      <w:r w:rsidRPr="00B56069">
        <w:t xml:space="preserve"> - Minnows or carps” [online] Available at: </w:t>
      </w:r>
      <w:hyperlink r:id="rId20" w:history="1">
        <w:r w:rsidRPr="00B56069">
          <w:t>http://www.fishbase.org/Summary/FamilySummary.php?Family=Cyprinidae</w:t>
        </w:r>
      </w:hyperlink>
      <w:r w:rsidRPr="00B56069">
        <w:t xml:space="preserve"> [</w:t>
      </w:r>
      <w:r w:rsidR="00CC1B77" w:rsidRPr="00B56069">
        <w:t>A</w:t>
      </w:r>
      <w:r w:rsidRPr="00B56069">
        <w:t>ccessed 1 November 2020]</w:t>
      </w:r>
    </w:p>
    <w:p w14:paraId="652C59CD" w14:textId="5AE064B0" w:rsidR="003F1474" w:rsidRPr="00B56069" w:rsidRDefault="003F1474" w:rsidP="003F1474">
      <w:r w:rsidRPr="00B56069">
        <w:lastRenderedPageBreak/>
        <w:t>Froese R and Pauly D Editors (</w:t>
      </w:r>
      <w:proofErr w:type="spellStart"/>
      <w:r w:rsidR="00A823CA" w:rsidRPr="00B56069">
        <w:t>n.d.</w:t>
      </w:r>
      <w:r w:rsidR="00A823CA" w:rsidRPr="00B56069">
        <w:rPr>
          <w:rFonts w:cs="Arial"/>
        </w:rPr>
        <w:t>─b</w:t>
      </w:r>
      <w:proofErr w:type="spellEnd"/>
      <w:r w:rsidRPr="00B56069">
        <w:t>) “Scientific Names where Genus Equals Puntius”</w:t>
      </w:r>
      <w:r w:rsidR="00F60B1B" w:rsidRPr="00B56069">
        <w:t xml:space="preserve">: </w:t>
      </w:r>
      <w:proofErr w:type="spellStart"/>
      <w:r w:rsidR="00F60B1B" w:rsidRPr="00B56069">
        <w:t>FishBase</w:t>
      </w:r>
      <w:proofErr w:type="spellEnd"/>
      <w:r w:rsidR="00F60B1B" w:rsidRPr="00B56069">
        <w:t xml:space="preserve"> search results for species belonging to the genus Puntius</w:t>
      </w:r>
      <w:r w:rsidRPr="00B56069">
        <w:t xml:space="preserve"> [online] Available at: </w:t>
      </w:r>
      <w:r w:rsidR="00F60B1B" w:rsidRPr="00B56069">
        <w:t>https://www.fishbase.se/search.php</w:t>
      </w:r>
      <w:r w:rsidRPr="00B56069">
        <w:t xml:space="preserve"> [</w:t>
      </w:r>
      <w:r w:rsidR="00CC1B77" w:rsidRPr="00B56069">
        <w:t>A</w:t>
      </w:r>
      <w:r w:rsidRPr="00B56069">
        <w:t>ccessed 1 November 2020]</w:t>
      </w:r>
    </w:p>
    <w:p w14:paraId="48A5CC70" w14:textId="198553A1" w:rsidR="0016355F" w:rsidRPr="00B56069" w:rsidRDefault="0016355F" w:rsidP="00A33C5A">
      <w:r w:rsidRPr="00B56069">
        <w:t xml:space="preserve">Fricke R, Eschmeyer W and Fong JD (2020) “Species by family/subfamily”. </w:t>
      </w:r>
      <w:proofErr w:type="spellStart"/>
      <w:r w:rsidRPr="00B56069">
        <w:t>Catalog</w:t>
      </w:r>
      <w:proofErr w:type="spellEnd"/>
      <w:r w:rsidRPr="00B56069">
        <w:t xml:space="preserve"> of Fishes. California Academy of Science. [online] Available at: </w:t>
      </w:r>
      <w:hyperlink r:id="rId21" w:history="1">
        <w:r w:rsidRPr="00B56069">
          <w:rPr>
            <w:rStyle w:val="Hyperlink"/>
          </w:rPr>
          <w:t>http://researcharchive.calacademy.org/research/ichthyology/catalog/SpeciesByFamily.asp</w:t>
        </w:r>
      </w:hyperlink>
      <w:r w:rsidRPr="00B56069">
        <w:t xml:space="preserve"> [</w:t>
      </w:r>
      <w:r w:rsidR="00CC1B77" w:rsidRPr="00B56069">
        <w:t>Accessed</w:t>
      </w:r>
      <w:r w:rsidRPr="00B56069">
        <w:t xml:space="preserve"> 1 November 2020]</w:t>
      </w:r>
    </w:p>
    <w:p w14:paraId="317DC589" w14:textId="4A0D5B96" w:rsidR="00587803" w:rsidRPr="00B56069" w:rsidRDefault="00F0480E" w:rsidP="00A33C5A">
      <w:r w:rsidRPr="00B56069">
        <w:t xml:space="preserve">Mercy TVA, S. </w:t>
      </w:r>
      <w:proofErr w:type="spellStart"/>
      <w:r w:rsidRPr="00B56069">
        <w:t>Sajan</w:t>
      </w:r>
      <w:proofErr w:type="spellEnd"/>
      <w:r w:rsidRPr="00B56069">
        <w:t xml:space="preserve"> S and Malika V (2015) </w:t>
      </w:r>
      <w:r w:rsidR="00747962" w:rsidRPr="00B56069">
        <w:t xml:space="preserve">Captive breeding and developmental biology of </w:t>
      </w:r>
      <w:proofErr w:type="spellStart"/>
      <w:r w:rsidR="00747962" w:rsidRPr="00B56069">
        <w:rPr>
          <w:i/>
          <w:iCs/>
        </w:rPr>
        <w:t>Sahyadria</w:t>
      </w:r>
      <w:proofErr w:type="spellEnd"/>
      <w:r w:rsidR="00747962" w:rsidRPr="00B56069">
        <w:rPr>
          <w:i/>
          <w:iCs/>
        </w:rPr>
        <w:t xml:space="preserve"> </w:t>
      </w:r>
      <w:proofErr w:type="spellStart"/>
      <w:r w:rsidR="00747962" w:rsidRPr="00B56069">
        <w:rPr>
          <w:i/>
          <w:iCs/>
        </w:rPr>
        <w:t>denisonii</w:t>
      </w:r>
      <w:proofErr w:type="spellEnd"/>
      <w:r w:rsidR="00747962" w:rsidRPr="00B56069">
        <w:t xml:space="preserve"> (Day 1865) (</w:t>
      </w:r>
      <w:proofErr w:type="spellStart"/>
      <w:r w:rsidR="00747962" w:rsidRPr="00B56069">
        <w:t>Cyprinidae</w:t>
      </w:r>
      <w:proofErr w:type="spellEnd"/>
      <w:r w:rsidR="00747962" w:rsidRPr="00B56069">
        <w:t>), an endangered fish of the Western Ghats, India</w:t>
      </w:r>
      <w:r w:rsidR="00CC1B77" w:rsidRPr="00B56069">
        <w:t>.</w:t>
      </w:r>
      <w:r w:rsidR="00747962" w:rsidRPr="00B56069">
        <w:t xml:space="preserve"> Indian J. Fish. 62(2): 19-28</w:t>
      </w:r>
    </w:p>
    <w:p w14:paraId="4E8460CF" w14:textId="56D924DF" w:rsidR="00085D7E" w:rsidRPr="00B56069" w:rsidRDefault="00085D7E" w:rsidP="001D65BE">
      <w:r w:rsidRPr="00B56069">
        <w:t xml:space="preserve">Page A (2020) “The Need </w:t>
      </w:r>
      <w:proofErr w:type="gramStart"/>
      <w:r w:rsidRPr="00B56069">
        <w:t>To</w:t>
      </w:r>
      <w:proofErr w:type="gramEnd"/>
      <w:r w:rsidRPr="00B56069">
        <w:t xml:space="preserve"> </w:t>
      </w:r>
      <w:proofErr w:type="spellStart"/>
      <w:r w:rsidRPr="00B56069">
        <w:t>Know’s</w:t>
      </w:r>
      <w:proofErr w:type="spellEnd"/>
      <w:r w:rsidRPr="00B56069">
        <w:t xml:space="preserve"> of Denison Barbs” [online] Available at: </w:t>
      </w:r>
      <w:hyperlink r:id="rId22" w:history="1">
        <w:r w:rsidRPr="00B56069">
          <w:rPr>
            <w:rStyle w:val="Hyperlink"/>
          </w:rPr>
          <w:t>https://www.aquariadise.com/denison-barbs/</w:t>
        </w:r>
      </w:hyperlink>
      <w:r w:rsidRPr="00B56069">
        <w:t xml:space="preserve"> [Accessed 1 November 2020]</w:t>
      </w:r>
    </w:p>
    <w:p w14:paraId="0576B45A" w14:textId="13E4C2AE" w:rsidR="00AA0C70" w:rsidRPr="00B56069" w:rsidRDefault="00AA0C70" w:rsidP="00AA0C70">
      <w:bookmarkStart w:id="25" w:name="_Hlk56873098"/>
      <w:r w:rsidRPr="00B56069">
        <w:t xml:space="preserve">PIAA (2008) Pet Industry Association of Australia (PIAA) National Code of Practice (PIAA 2008) [online] Available at: </w:t>
      </w:r>
      <w:hyperlink r:id="rId23" w:history="1">
        <w:r w:rsidRPr="00B56069">
          <w:rPr>
            <w:rStyle w:val="Hyperlink"/>
          </w:rPr>
          <w:t>http://piaa.net.au/wp-content/uploads/2015/03/PIAA-CodeofPractice.pdf</w:t>
        </w:r>
      </w:hyperlink>
      <w:r w:rsidRPr="00B56069">
        <w:t xml:space="preserve"> [Accessed 12 October 2020]</w:t>
      </w:r>
    </w:p>
    <w:bookmarkEnd w:id="25"/>
    <w:p w14:paraId="476288B0" w14:textId="1B0CC5D0" w:rsidR="000230CE" w:rsidRPr="00B56069" w:rsidRDefault="004E610E" w:rsidP="000230CE">
      <w:r w:rsidRPr="00B56069">
        <w:t xml:space="preserve">Raghavan R, </w:t>
      </w:r>
      <w:proofErr w:type="spellStart"/>
      <w:r w:rsidRPr="00B56069">
        <w:t>Prasada</w:t>
      </w:r>
      <w:proofErr w:type="spellEnd"/>
      <w:r w:rsidRPr="00B56069">
        <w:t xml:space="preserve"> G, Pereira Ba, </w:t>
      </w:r>
      <w:proofErr w:type="spellStart"/>
      <w:r w:rsidRPr="00B56069">
        <w:t>Anvar</w:t>
      </w:r>
      <w:proofErr w:type="spellEnd"/>
      <w:r w:rsidRPr="00B56069">
        <w:t xml:space="preserve"> </w:t>
      </w:r>
      <w:proofErr w:type="spellStart"/>
      <w:r w:rsidRPr="00B56069">
        <w:t>ali</w:t>
      </w:r>
      <w:proofErr w:type="spellEnd"/>
      <w:r w:rsidRPr="00B56069">
        <w:t xml:space="preserve"> PH </w:t>
      </w:r>
      <w:proofErr w:type="spellStart"/>
      <w:r w:rsidRPr="00B56069">
        <w:t>Sujarittanonta</w:t>
      </w:r>
      <w:proofErr w:type="spellEnd"/>
      <w:r w:rsidRPr="00B56069">
        <w:t xml:space="preserve"> L (2009). </w:t>
      </w:r>
      <w:r w:rsidR="000230CE" w:rsidRPr="00B56069">
        <w:t xml:space="preserve">‘Damsel in distress’- The tale of Miss Kerala, Puntius </w:t>
      </w:r>
      <w:proofErr w:type="spellStart"/>
      <w:r w:rsidR="000230CE" w:rsidRPr="00B56069">
        <w:t>denisonii</w:t>
      </w:r>
      <w:proofErr w:type="spellEnd"/>
      <w:r w:rsidR="000230CE" w:rsidRPr="00B56069">
        <w:t xml:space="preserve"> (Day), an endemic and endangered cyprinid of the Western Ghats biodiversity hotspot (South India). </w:t>
      </w:r>
      <w:r w:rsidRPr="00B56069">
        <w:t xml:space="preserve">Aquatic Conservation: Marine and Freshwater Ecosystems </w:t>
      </w:r>
      <w:r w:rsidR="000230CE" w:rsidRPr="00B56069">
        <w:t>19: 67–74</w:t>
      </w:r>
    </w:p>
    <w:p w14:paraId="7A4E40ED" w14:textId="052094AC" w:rsidR="001D65BE" w:rsidRPr="00B56069" w:rsidRDefault="001D65BE" w:rsidP="001D65BE">
      <w:proofErr w:type="spellStart"/>
      <w:r w:rsidRPr="00B56069">
        <w:t>Sajan</w:t>
      </w:r>
      <w:proofErr w:type="spellEnd"/>
      <w:r w:rsidRPr="00B56069">
        <w:t xml:space="preserve"> S, Mercy TVA and Malika V (2015) Age, Growth and Population Dynamics of an Endangered Fish </w:t>
      </w:r>
      <w:proofErr w:type="spellStart"/>
      <w:r w:rsidRPr="00B56069">
        <w:rPr>
          <w:i/>
          <w:iCs/>
        </w:rPr>
        <w:t>Sahyadria</w:t>
      </w:r>
      <w:proofErr w:type="spellEnd"/>
      <w:r w:rsidRPr="00B56069">
        <w:rPr>
          <w:i/>
          <w:iCs/>
        </w:rPr>
        <w:t xml:space="preserve"> </w:t>
      </w:r>
      <w:proofErr w:type="spellStart"/>
      <w:r w:rsidRPr="00B56069">
        <w:rPr>
          <w:i/>
          <w:iCs/>
        </w:rPr>
        <w:t>denisonii</w:t>
      </w:r>
      <w:proofErr w:type="spellEnd"/>
      <w:r w:rsidRPr="00B56069">
        <w:rPr>
          <w:i/>
          <w:iCs/>
        </w:rPr>
        <w:t xml:space="preserve"> </w:t>
      </w:r>
      <w:r w:rsidRPr="00B56069">
        <w:t xml:space="preserve">(Day 1865) from the Western Ghats Hotspot of India. Asian Fisheries Science 28 (2015): 130-142. </w:t>
      </w:r>
      <w:r w:rsidR="00E05956" w:rsidRPr="00B56069">
        <w:t xml:space="preserve">Available at: </w:t>
      </w:r>
      <w:r w:rsidRPr="00B56069">
        <w:t>http://www.asianfisheriessociety.org/publication/downloadfile.php?id=1082&amp;file=Y0dSbUx6QTJNelV4TnpZd01ERTBORE0yTURFeE16WXVjR1Jt&amp;dldname=Age,%20Growth%20and%20Population%20Dynamics%20of%20an%20Endangered%20Fish%20Sahyadria%20denisonii%20(Day%201865)%20from%20the%20Western%20Ghats%20Hotspot%20of%20India.pdf</w:t>
      </w:r>
    </w:p>
    <w:p w14:paraId="10D9BA75" w14:textId="1A3032E0" w:rsidR="000F48C3" w:rsidRPr="00B56069" w:rsidRDefault="000F48C3" w:rsidP="001D65BE">
      <w:r w:rsidRPr="00B56069">
        <w:t>Sharp</w:t>
      </w:r>
      <w:r w:rsidR="006C2276" w:rsidRPr="00B56069">
        <w:t>e</w:t>
      </w:r>
      <w:r w:rsidRPr="00B56069">
        <w:t xml:space="preserve"> S (2020) “Denison Barb Fish Species Profile” [online] Available at: </w:t>
      </w:r>
      <w:hyperlink r:id="rId24" w:history="1">
        <w:r w:rsidRPr="00B56069">
          <w:rPr>
            <w:rStyle w:val="Hyperlink"/>
          </w:rPr>
          <w:t>https://www.thesprucepets.com/denison-barb-1380763</w:t>
        </w:r>
      </w:hyperlink>
      <w:r w:rsidRPr="00B56069">
        <w:t xml:space="preserve"> [Accessed 1 November 2020]</w:t>
      </w:r>
    </w:p>
    <w:p w14:paraId="1BAC9B7C" w14:textId="5629EB5A" w:rsidR="000230CE" w:rsidRPr="00B56069" w:rsidRDefault="001D65BE" w:rsidP="00FE5B9C">
      <w:r w:rsidRPr="00B56069">
        <w:t xml:space="preserve">Solomon S, </w:t>
      </w:r>
      <w:proofErr w:type="spellStart"/>
      <w:r w:rsidRPr="00B56069">
        <w:t>Ramprasanth</w:t>
      </w:r>
      <w:proofErr w:type="spellEnd"/>
      <w:r w:rsidRPr="00B56069">
        <w:t xml:space="preserve"> MR, Baby F, Pereira B, </w:t>
      </w:r>
      <w:proofErr w:type="spellStart"/>
      <w:r w:rsidRPr="00B56069">
        <w:t>Tharian</w:t>
      </w:r>
      <w:proofErr w:type="spellEnd"/>
      <w:r w:rsidRPr="00B56069">
        <w:t xml:space="preserve"> J, Ali A and Raghavan R (2011). Reproductive biology of </w:t>
      </w:r>
      <w:r w:rsidRPr="00B56069">
        <w:rPr>
          <w:i/>
          <w:iCs/>
        </w:rPr>
        <w:t xml:space="preserve">Puntius </w:t>
      </w:r>
      <w:proofErr w:type="spellStart"/>
      <w:r w:rsidRPr="00B56069">
        <w:rPr>
          <w:i/>
          <w:iCs/>
        </w:rPr>
        <w:t>denisonii</w:t>
      </w:r>
      <w:proofErr w:type="spellEnd"/>
      <w:r w:rsidRPr="00B56069">
        <w:t>, an endemic and threatened aquarium fish of the Western Ghats and its implications for conservation. Journal of Threatened Taxa 3(9): 2071</w:t>
      </w:r>
      <w:r w:rsidR="00E0768D" w:rsidRPr="00B56069">
        <w:t>-</w:t>
      </w:r>
      <w:r w:rsidRPr="00B56069">
        <w:t>2077</w:t>
      </w:r>
    </w:p>
    <w:p w14:paraId="52C9C4CD" w14:textId="756AF308" w:rsidR="00E4727D" w:rsidRPr="00B56069" w:rsidRDefault="00E4727D" w:rsidP="00E4727D">
      <w:r w:rsidRPr="00B56069">
        <w:t>Wikipedia (</w:t>
      </w:r>
      <w:proofErr w:type="spellStart"/>
      <w:r w:rsidR="00B07E4D" w:rsidRPr="00B56069">
        <w:t>n.d.</w:t>
      </w:r>
      <w:r w:rsidR="00B07E4D" w:rsidRPr="00B56069">
        <w:rPr>
          <w:rFonts w:cs="Arial"/>
        </w:rPr>
        <w:t>─</w:t>
      </w:r>
      <w:r w:rsidRPr="00B56069">
        <w:t>a</w:t>
      </w:r>
      <w:proofErr w:type="spellEnd"/>
      <w:r w:rsidRPr="00B56069">
        <w:t>) “</w:t>
      </w:r>
      <w:proofErr w:type="spellStart"/>
      <w:r w:rsidRPr="00B56069">
        <w:t>Barbinae</w:t>
      </w:r>
      <w:proofErr w:type="spellEnd"/>
      <w:r w:rsidRPr="00B56069">
        <w:t>” [online] Available at: https://en.wikipedia.org/wiki/Barbinae [Accessed 1 November 2020]</w:t>
      </w:r>
    </w:p>
    <w:p w14:paraId="6B64177C" w14:textId="553673C7" w:rsidR="008F6441" w:rsidRPr="00B56069" w:rsidRDefault="00E4727D" w:rsidP="00FE5B9C">
      <w:r w:rsidRPr="00B56069">
        <w:t>Wikipedia (</w:t>
      </w:r>
      <w:proofErr w:type="spellStart"/>
      <w:r w:rsidR="00B07E4D" w:rsidRPr="00B56069">
        <w:t>n.d.</w:t>
      </w:r>
      <w:r w:rsidR="00B07E4D" w:rsidRPr="00B56069">
        <w:rPr>
          <w:rFonts w:cs="Arial"/>
        </w:rPr>
        <w:t>─</w:t>
      </w:r>
      <w:r w:rsidRPr="00B56069">
        <w:t>b</w:t>
      </w:r>
      <w:proofErr w:type="spellEnd"/>
      <w:r w:rsidRPr="00B56069">
        <w:t xml:space="preserve">) “Denison barb” [online] Available at: </w:t>
      </w:r>
      <w:hyperlink r:id="rId25" w:history="1">
        <w:r w:rsidRPr="00B56069">
          <w:t>https://en.wikipedia.org/wiki/Denison_barb</w:t>
        </w:r>
      </w:hyperlink>
      <w:r w:rsidRPr="00B56069">
        <w:t xml:space="preserve"> [Accessed 1 November 2020]</w:t>
      </w:r>
    </w:p>
    <w:p w14:paraId="250472AF" w14:textId="77777777" w:rsidR="008F6441" w:rsidRPr="00B56069" w:rsidRDefault="008F6441">
      <w:pPr>
        <w:spacing w:after="0" w:line="240" w:lineRule="auto"/>
      </w:pPr>
      <w:r w:rsidRPr="00B56069">
        <w:br w:type="page"/>
      </w:r>
    </w:p>
    <w:p w14:paraId="1ACC70CD" w14:textId="77777777" w:rsidR="008F6441" w:rsidRPr="00B56069" w:rsidRDefault="008F6441" w:rsidP="008F6441">
      <w:pPr>
        <w:pStyle w:val="ListNumber"/>
        <w:numPr>
          <w:ilvl w:val="0"/>
          <w:numId w:val="0"/>
        </w:numPr>
      </w:pPr>
    </w:p>
    <w:p w14:paraId="5794E77F" w14:textId="77777777" w:rsidR="00C32F21" w:rsidRPr="00B56069" w:rsidRDefault="00C32F21" w:rsidP="00C32F21">
      <w:pPr>
        <w:rPr>
          <w:rFonts w:cs="Arial"/>
          <w:b/>
          <w:bCs/>
          <w:sz w:val="24"/>
          <w:szCs w:val="24"/>
        </w:rPr>
      </w:pPr>
      <w:r w:rsidRPr="00B56069">
        <w:rPr>
          <w:b/>
          <w:bCs/>
          <w:sz w:val="24"/>
          <w:szCs w:val="24"/>
        </w:rPr>
        <w:t xml:space="preserve">Appendix A: </w:t>
      </w:r>
      <w:proofErr w:type="spellStart"/>
      <w:r w:rsidRPr="00B56069">
        <w:rPr>
          <w:rFonts w:cs="Arial"/>
          <w:b/>
          <w:bCs/>
          <w:sz w:val="24"/>
          <w:szCs w:val="24"/>
        </w:rPr>
        <w:t>Bomford</w:t>
      </w:r>
      <w:proofErr w:type="spellEnd"/>
      <w:r w:rsidRPr="00B56069">
        <w:rPr>
          <w:rFonts w:cs="Arial"/>
          <w:b/>
          <w:bCs/>
          <w:sz w:val="24"/>
          <w:szCs w:val="24"/>
        </w:rPr>
        <w:t xml:space="preserve"> model risk assessment: </w:t>
      </w:r>
      <w:proofErr w:type="spellStart"/>
      <w:r w:rsidRPr="00B56069">
        <w:rPr>
          <w:rFonts w:cs="Arial"/>
          <w:b/>
          <w:bCs/>
          <w:i/>
          <w:iCs/>
          <w:sz w:val="24"/>
          <w:szCs w:val="24"/>
        </w:rPr>
        <w:t>Sahyadria</w:t>
      </w:r>
      <w:proofErr w:type="spellEnd"/>
      <w:r w:rsidRPr="00B56069">
        <w:rPr>
          <w:rFonts w:cs="Arial"/>
          <w:b/>
          <w:bCs/>
          <w:i/>
          <w:iCs/>
          <w:sz w:val="24"/>
          <w:szCs w:val="24"/>
        </w:rPr>
        <w:t xml:space="preserve"> </w:t>
      </w:r>
      <w:proofErr w:type="spellStart"/>
      <w:r w:rsidRPr="00B56069">
        <w:rPr>
          <w:rFonts w:cs="Arial"/>
          <w:b/>
          <w:bCs/>
          <w:i/>
          <w:iCs/>
          <w:sz w:val="24"/>
          <w:szCs w:val="24"/>
        </w:rPr>
        <w:t>denisonii</w:t>
      </w:r>
      <w:proofErr w:type="spellEnd"/>
      <w:r w:rsidRPr="00B56069">
        <w:rPr>
          <w:rFonts w:cs="Arial"/>
          <w:b/>
          <w:bCs/>
          <w:i/>
          <w:iCs/>
          <w:sz w:val="24"/>
          <w:szCs w:val="24"/>
        </w:rPr>
        <w:t xml:space="preserve"> </w:t>
      </w:r>
    </w:p>
    <w:p w14:paraId="0681E675" w14:textId="77777777" w:rsidR="00C32F21" w:rsidRPr="00B56069" w:rsidRDefault="00C32F21" w:rsidP="00C32F21">
      <w:pPr>
        <w:rPr>
          <w:rFonts w:cs="Arial"/>
        </w:rPr>
      </w:pPr>
      <w:r w:rsidRPr="00B56069">
        <w:rPr>
          <w:rFonts w:cs="Arial"/>
        </w:rPr>
        <w:t xml:space="preserve">Assessing the risk of the potential of introducing a new organism into the environment involves assessing the likelihood of it becoming established and spreading and the likely impacts if the species does establish. The following analysis applies the assessment method for determining the risk of establishment of exotic freshwater fish introduced to Australia (Model 1) described in </w:t>
      </w:r>
      <w:proofErr w:type="spellStart"/>
      <w:r w:rsidRPr="00B56069">
        <w:rPr>
          <w:rFonts w:cs="Arial"/>
        </w:rPr>
        <w:t>Bomford</w:t>
      </w:r>
      <w:proofErr w:type="spellEnd"/>
      <w:r w:rsidRPr="00B56069">
        <w:rPr>
          <w:rFonts w:cs="Arial"/>
        </w:rPr>
        <w:t xml:space="preserve"> (2008) and is guided by the recent DAWE risk assessment of glass catfish (DAWE 2020a).</w:t>
      </w:r>
    </w:p>
    <w:p w14:paraId="4072B886" w14:textId="77777777" w:rsidR="00C32F21" w:rsidRPr="00B56069" w:rsidRDefault="00C32F21" w:rsidP="00C32F21">
      <w:pPr>
        <w:spacing w:after="120"/>
        <w:rPr>
          <w:rFonts w:cs="Arial"/>
        </w:rPr>
      </w:pPr>
      <w:proofErr w:type="spellStart"/>
      <w:r w:rsidRPr="00B56069">
        <w:rPr>
          <w:rFonts w:cs="Arial"/>
        </w:rPr>
        <w:t>Bomford</w:t>
      </w:r>
      <w:proofErr w:type="spellEnd"/>
      <w:r w:rsidRPr="00B56069">
        <w:rPr>
          <w:rFonts w:cs="Arial"/>
        </w:rPr>
        <w:t xml:space="preserve"> (2008) identified a range of factors that determined establishment success of freshwater fish, including propagule pressure, climate match, history of establishment elsewhere, geographic range and taxonomic group. These risk factors together with potential impacts should </w:t>
      </w:r>
      <w:proofErr w:type="spellStart"/>
      <w:r w:rsidRPr="00B56069">
        <w:rPr>
          <w:i/>
          <w:iCs/>
        </w:rPr>
        <w:t>Sahyadria</w:t>
      </w:r>
      <w:proofErr w:type="spellEnd"/>
      <w:r w:rsidRPr="00B56069">
        <w:rPr>
          <w:i/>
          <w:iCs/>
        </w:rPr>
        <w:t xml:space="preserve"> </w:t>
      </w:r>
      <w:proofErr w:type="spellStart"/>
      <w:r w:rsidRPr="00B56069">
        <w:rPr>
          <w:i/>
          <w:iCs/>
        </w:rPr>
        <w:t>denisonii</w:t>
      </w:r>
      <w:proofErr w:type="spellEnd"/>
      <w:r w:rsidRPr="00B56069">
        <w:t xml:space="preserve"> (Day 1865) e</w:t>
      </w:r>
      <w:r w:rsidRPr="00B56069">
        <w:rPr>
          <w:rFonts w:cs="Arial"/>
        </w:rPr>
        <w:t xml:space="preserve">stablish wild populations in Australia are discussed below, as are the outputs of applying the </w:t>
      </w:r>
      <w:proofErr w:type="spellStart"/>
      <w:r w:rsidRPr="00B56069">
        <w:rPr>
          <w:rFonts w:cs="Arial"/>
        </w:rPr>
        <w:t>Bomford</w:t>
      </w:r>
      <w:proofErr w:type="spellEnd"/>
      <w:r w:rsidRPr="00B56069">
        <w:rPr>
          <w:rFonts w:cs="Arial"/>
        </w:rPr>
        <w:t xml:space="preserve"> (2008) methodology. These findings should be considered together with information addressing the DAWE terms of reference for proposed amendments to the </w:t>
      </w:r>
      <w:r w:rsidRPr="00B56069">
        <w:rPr>
          <w:rFonts w:cs="Arial"/>
          <w:i/>
          <w:iCs/>
        </w:rPr>
        <w:t>List of Specimens taken to be Suitable for Live Import (Live Import List)</w:t>
      </w:r>
      <w:r w:rsidRPr="00B56069">
        <w:rPr>
          <w:rFonts w:cs="Arial"/>
        </w:rPr>
        <w:t xml:space="preserve"> in the body of this submission.   </w:t>
      </w:r>
    </w:p>
    <w:p w14:paraId="6A42116C" w14:textId="77777777" w:rsidR="00C32F21" w:rsidRPr="00B56069" w:rsidRDefault="00C32F21" w:rsidP="00C32F21">
      <w:pPr>
        <w:pStyle w:val="1BulletStyleList"/>
        <w:rPr>
          <w:rFonts w:cs="Arial"/>
          <w:b/>
          <w:szCs w:val="22"/>
        </w:rPr>
      </w:pPr>
      <w:r w:rsidRPr="00B56069">
        <w:rPr>
          <w:rFonts w:cs="Arial"/>
          <w:b/>
          <w:szCs w:val="22"/>
        </w:rPr>
        <w:t>Establishment success</w:t>
      </w:r>
    </w:p>
    <w:p w14:paraId="03A34643" w14:textId="77777777" w:rsidR="00C32F21" w:rsidRPr="00B56069" w:rsidRDefault="00C32F21" w:rsidP="00C32F21">
      <w:pPr>
        <w:pStyle w:val="Heading4"/>
        <w:spacing w:after="60"/>
        <w:rPr>
          <w:bCs/>
        </w:rPr>
      </w:pPr>
      <w:r w:rsidRPr="00B56069">
        <w:rPr>
          <w:bCs/>
        </w:rPr>
        <w:t>Propagule pressure—the release of large numbers of animals at different times and places</w:t>
      </w:r>
    </w:p>
    <w:p w14:paraId="29CB2CA4" w14:textId="77777777" w:rsidR="00C32F21" w:rsidRPr="00B56069" w:rsidRDefault="00C32F21" w:rsidP="00C32F21">
      <w:r w:rsidRPr="00B56069">
        <w:t xml:space="preserve">As a schooling species </w:t>
      </w:r>
      <w:r w:rsidRPr="00B56069">
        <w:rPr>
          <w:i/>
          <w:iCs/>
        </w:rPr>
        <w:t xml:space="preserve">S. </w:t>
      </w:r>
      <w:proofErr w:type="spellStart"/>
      <w:r w:rsidRPr="00B56069">
        <w:rPr>
          <w:i/>
          <w:iCs/>
        </w:rPr>
        <w:t>denisonii</w:t>
      </w:r>
      <w:proofErr w:type="spellEnd"/>
      <w:r w:rsidRPr="00B56069">
        <w:rPr>
          <w:i/>
          <w:iCs/>
        </w:rPr>
        <w:t xml:space="preserve"> </w:t>
      </w:r>
      <w:r w:rsidRPr="00B56069">
        <w:t xml:space="preserve">has a higher likelihood of establishing than non-schooling species. However, the species is not territorial, and any inadvertent or deliberate releases into water ways would likely disperse. A moderate to high probability of establishing a self-sustaining population would require deliberate release into very specific waterways – it is unlikely therefore to happen at random (DAWE 2020a). The possible locations where establishment may occur are generally remote from populated areas; this includes areas in Arnhem Land and far Northern Australia. It is highly unlikely that enough fish would be accidently or deliberately released into a suitable receiving environment to establish a breeding population. </w:t>
      </w:r>
    </w:p>
    <w:p w14:paraId="727C612C" w14:textId="77777777" w:rsidR="00C32F21" w:rsidRPr="00B56069" w:rsidRDefault="00C32F21" w:rsidP="00C32F21">
      <w:pPr>
        <w:rPr>
          <w:rFonts w:cs="Arial"/>
        </w:rPr>
      </w:pPr>
      <w:r w:rsidRPr="00B56069">
        <w:rPr>
          <w:rFonts w:cs="Arial"/>
          <w:iCs/>
        </w:rPr>
        <w:t xml:space="preserve">If permitted importation </w:t>
      </w:r>
      <w:proofErr w:type="spellStart"/>
      <w:r w:rsidRPr="00B56069">
        <w:rPr>
          <w:rFonts w:cs="Arial"/>
          <w:i/>
        </w:rPr>
        <w:t>Sahyadria</w:t>
      </w:r>
      <w:proofErr w:type="spellEnd"/>
      <w:r w:rsidRPr="00B56069">
        <w:rPr>
          <w:rFonts w:cs="Arial"/>
          <w:i/>
        </w:rPr>
        <w:t xml:space="preserve"> </w:t>
      </w:r>
      <w:proofErr w:type="spellStart"/>
      <w:r w:rsidRPr="00B56069">
        <w:rPr>
          <w:rFonts w:cs="Arial"/>
          <w:i/>
        </w:rPr>
        <w:t>denisonii</w:t>
      </w:r>
      <w:proofErr w:type="spellEnd"/>
      <w:r w:rsidRPr="00B56069">
        <w:rPr>
          <w:rFonts w:cs="Arial"/>
        </w:rPr>
        <w:t xml:space="preserve"> would be freely available in Australia through aquarium stores and retail at about $10-20 per fish.  The species would be common enough in Australia that theft due to lack of availability is unlikely. </w:t>
      </w:r>
    </w:p>
    <w:p w14:paraId="28A8CDC5" w14:textId="77777777" w:rsidR="00C32F21" w:rsidRPr="00B56069" w:rsidRDefault="00C32F21" w:rsidP="00C32F21">
      <w:pPr>
        <w:rPr>
          <w:rFonts w:cs="Arial"/>
        </w:rPr>
      </w:pPr>
      <w:r w:rsidRPr="00B56069">
        <w:rPr>
          <w:rFonts w:cs="Arial"/>
        </w:rPr>
        <w:t>Only a very deliberate and planned release might result in establishment of the species, although the limited potentially suitable habitats and their remoteness from populated areas makes this scenario highly unlikely.</w:t>
      </w:r>
    </w:p>
    <w:p w14:paraId="6EEAD0E9" w14:textId="1F52DC57" w:rsidR="00C32F21" w:rsidRPr="00B56069" w:rsidRDefault="00C32F21" w:rsidP="00C32F21">
      <w:pPr>
        <w:pStyle w:val="Heading3"/>
        <w:spacing w:after="60"/>
        <w:rPr>
          <w:b w:val="0"/>
          <w:bCs/>
        </w:rPr>
      </w:pPr>
      <w:r w:rsidRPr="00B56069">
        <w:rPr>
          <w:b w:val="0"/>
          <w:bCs/>
        </w:rPr>
        <w:t>Climate match—introduction to an area with a climate that closely matches that of the species’ original range</w:t>
      </w:r>
      <w:r w:rsidR="00737E87" w:rsidRPr="00B56069">
        <w:rPr>
          <w:b w:val="0"/>
          <w:bCs/>
        </w:rPr>
        <w:t xml:space="preserve">: </w:t>
      </w:r>
    </w:p>
    <w:p w14:paraId="1AFFE877" w14:textId="5D5A620A" w:rsidR="00B46616" w:rsidRPr="00B56069" w:rsidRDefault="00B46616" w:rsidP="00D37665">
      <w:r w:rsidRPr="00B56069">
        <w:t xml:space="preserve">Map coordinates of collection sites provided in Solomon et al. (2011) provides </w:t>
      </w:r>
      <w:proofErr w:type="gramStart"/>
      <w:r w:rsidRPr="00B56069">
        <w:t>fairly precise</w:t>
      </w:r>
      <w:proofErr w:type="gramEnd"/>
      <w:r w:rsidRPr="00B56069">
        <w:t xml:space="preserve"> data for climate matching purposes. </w:t>
      </w:r>
      <w:proofErr w:type="spellStart"/>
      <w:r w:rsidRPr="00B56069">
        <w:t>Climatch</w:t>
      </w:r>
      <w:proofErr w:type="spellEnd"/>
      <w:r w:rsidRPr="00B56069">
        <w:t xml:space="preserve"> (v1.0) was run with the source region set </w:t>
      </w:r>
      <w:r w:rsidR="00EB4015" w:rsidRPr="00B56069">
        <w:t xml:space="preserve">conservatively </w:t>
      </w:r>
      <w:r w:rsidRPr="00B56069">
        <w:t xml:space="preserve">to circumscribe </w:t>
      </w:r>
      <w:r w:rsidR="00EB4015" w:rsidRPr="00B56069">
        <w:t xml:space="preserve">weather stations </w:t>
      </w:r>
      <w:r w:rsidRPr="00B56069">
        <w:t xml:space="preserve">in the Western Ghats ranges of India including the location of sampling sites (in and around 75ºE, 12ºN) used by Solomon </w:t>
      </w:r>
      <w:r w:rsidRPr="00B56069">
        <w:rPr>
          <w:i/>
          <w:iCs/>
        </w:rPr>
        <w:t>et al.</w:t>
      </w:r>
      <w:r w:rsidRPr="00B56069">
        <w:t xml:space="preserve"> (2011) and the broader ‘extant and probably extant’ geographical range described in the IUCN species assessment (Ali </w:t>
      </w:r>
      <w:r w:rsidRPr="00B56069">
        <w:rPr>
          <w:i/>
          <w:iCs/>
        </w:rPr>
        <w:t>et al.</w:t>
      </w:r>
      <w:r w:rsidRPr="00B56069">
        <w:t xml:space="preserve"> 2015).  A climate match prediction was generated using the Euclidian algorithm applied to the ‘world stations’ data set (Figure 1). </w:t>
      </w:r>
      <w:proofErr w:type="spellStart"/>
      <w:r w:rsidRPr="00B56069">
        <w:t>Climatch</w:t>
      </w:r>
      <w:proofErr w:type="spellEnd"/>
      <w:r w:rsidRPr="00B56069">
        <w:t xml:space="preserve"> calculated </w:t>
      </w:r>
      <w:r w:rsidRPr="00B56069">
        <w:lastRenderedPageBreak/>
        <w:t xml:space="preserve">a ‘value X’ (Climate Euclidian Sum Level 5) of </w:t>
      </w:r>
      <w:r w:rsidR="00EB4015" w:rsidRPr="00B56069">
        <w:t>655</w:t>
      </w:r>
      <w:r w:rsidRPr="00B56069">
        <w:t xml:space="preserve">, equating to a climate match score of </w:t>
      </w:r>
      <w:r w:rsidR="00EB4015" w:rsidRPr="00B56069">
        <w:t>5</w:t>
      </w:r>
      <w:r w:rsidRPr="00B56069">
        <w:t xml:space="preserve">, increased to </w:t>
      </w:r>
      <w:r w:rsidR="00EB4015" w:rsidRPr="00B56069">
        <w:t>6</w:t>
      </w:r>
      <w:r w:rsidRPr="00B56069">
        <w:t xml:space="preserve"> because there were less than 12 meteorological stations used in the prediction. DAWE (2020a) suggested the need for some caution in predicting climate suitability for freshwater aquatic species because </w:t>
      </w:r>
      <w:proofErr w:type="spellStart"/>
      <w:r w:rsidRPr="00B56069">
        <w:t>Climatch</w:t>
      </w:r>
      <w:proofErr w:type="spellEnd"/>
      <w:r w:rsidRPr="00B56069">
        <w:t xml:space="preserve"> is based on terrestrial climate measurements. The </w:t>
      </w:r>
      <w:r w:rsidR="00EB4015" w:rsidRPr="00B56069">
        <w:t xml:space="preserve">recently released </w:t>
      </w:r>
      <w:r w:rsidRPr="00B56069">
        <w:t xml:space="preserve">upgraded version of </w:t>
      </w:r>
      <w:proofErr w:type="spellStart"/>
      <w:r w:rsidRPr="00B56069">
        <w:t>Climatch</w:t>
      </w:r>
      <w:proofErr w:type="spellEnd"/>
      <w:r w:rsidRPr="00B56069">
        <w:t xml:space="preserve"> (v2.0) was not used in this assessment because its improved mapping resolution results in higher output values that are yet to be calibrated for purposes of applying the </w:t>
      </w:r>
      <w:proofErr w:type="spellStart"/>
      <w:r w:rsidRPr="00B56069">
        <w:t>Bomford</w:t>
      </w:r>
      <w:proofErr w:type="spellEnd"/>
      <w:r w:rsidRPr="00B56069">
        <w:t xml:space="preserve"> methodology.</w:t>
      </w:r>
    </w:p>
    <w:p w14:paraId="35D7AE87" w14:textId="77777777" w:rsidR="00EB4015" w:rsidRPr="00B56069" w:rsidRDefault="00EB4015" w:rsidP="00CC279F">
      <w:pPr>
        <w:spacing w:after="160" w:line="336" w:lineRule="atLeast"/>
        <w:rPr>
          <w:rFonts w:cs="Arial"/>
        </w:rPr>
      </w:pPr>
    </w:p>
    <w:p w14:paraId="14EF3D90" w14:textId="0413E081" w:rsidR="0013371B" w:rsidRPr="00B56069" w:rsidRDefault="00EB4015" w:rsidP="00EB4015">
      <w:pPr>
        <w:spacing w:after="160" w:line="336" w:lineRule="atLeast"/>
        <w:jc w:val="center"/>
      </w:pPr>
      <w:r w:rsidRPr="00B56069">
        <w:rPr>
          <w:noProof/>
          <w:lang w:eastAsia="en-AU"/>
        </w:rPr>
        <w:drawing>
          <wp:inline distT="0" distB="0" distL="0" distR="0" wp14:anchorId="28B1EE55" wp14:editId="49366169">
            <wp:extent cx="3907857" cy="27334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43579" cy="2758404"/>
                    </a:xfrm>
                    <a:prstGeom prst="rect">
                      <a:avLst/>
                    </a:prstGeom>
                    <a:noFill/>
                    <a:ln>
                      <a:noFill/>
                    </a:ln>
                  </pic:spPr>
                </pic:pic>
              </a:graphicData>
            </a:graphic>
          </wp:inline>
        </w:drawing>
      </w:r>
    </w:p>
    <w:tbl>
      <w:tblPr>
        <w:tblStyle w:val="TableGrid"/>
        <w:tblW w:w="0" w:type="auto"/>
        <w:jc w:val="center"/>
        <w:tblLook w:val="04A0" w:firstRow="1" w:lastRow="0" w:firstColumn="1" w:lastColumn="0" w:noHBand="0" w:noVBand="1"/>
      </w:tblPr>
      <w:tblGrid>
        <w:gridCol w:w="750"/>
        <w:gridCol w:w="661"/>
        <w:gridCol w:w="661"/>
        <w:gridCol w:w="661"/>
        <w:gridCol w:w="661"/>
        <w:gridCol w:w="661"/>
        <w:gridCol w:w="661"/>
        <w:gridCol w:w="562"/>
        <w:gridCol w:w="562"/>
        <w:gridCol w:w="562"/>
        <w:gridCol w:w="562"/>
        <w:gridCol w:w="562"/>
      </w:tblGrid>
      <w:tr w:rsidR="00167ABA" w:rsidRPr="00B56069" w14:paraId="6364C11F" w14:textId="77777777" w:rsidTr="00676D88">
        <w:trPr>
          <w:cnfStyle w:val="100000000000" w:firstRow="1" w:lastRow="0" w:firstColumn="0" w:lastColumn="0" w:oddVBand="0" w:evenVBand="0" w:oddHBand="0" w:evenHBand="0" w:firstRowFirstColumn="0" w:firstRowLastColumn="0" w:lastRowFirstColumn="0" w:lastRowLastColumn="0"/>
          <w:trHeight w:val="383"/>
          <w:jc w:val="center"/>
        </w:trPr>
        <w:tc>
          <w:tcPr>
            <w:tcW w:w="750" w:type="dxa"/>
            <w:vAlign w:val="center"/>
          </w:tcPr>
          <w:p w14:paraId="46D3C018" w14:textId="77777777" w:rsidR="00167ABA" w:rsidRPr="00B56069" w:rsidRDefault="00167ABA" w:rsidP="00EB4015">
            <w:pPr>
              <w:spacing w:after="0" w:line="240" w:lineRule="auto"/>
              <w:rPr>
                <w:sz w:val="16"/>
                <w:szCs w:val="16"/>
              </w:rPr>
            </w:pPr>
            <w:r w:rsidRPr="00B56069">
              <w:rPr>
                <w:sz w:val="16"/>
                <w:szCs w:val="16"/>
              </w:rPr>
              <w:t>Score</w:t>
            </w:r>
          </w:p>
        </w:tc>
        <w:tc>
          <w:tcPr>
            <w:tcW w:w="661" w:type="dxa"/>
            <w:vAlign w:val="center"/>
          </w:tcPr>
          <w:p w14:paraId="447D2093" w14:textId="77777777" w:rsidR="00167ABA" w:rsidRPr="00B56069" w:rsidRDefault="00167ABA" w:rsidP="00EB4015">
            <w:pPr>
              <w:spacing w:after="0" w:line="240" w:lineRule="auto"/>
              <w:rPr>
                <w:sz w:val="16"/>
                <w:szCs w:val="16"/>
              </w:rPr>
            </w:pPr>
            <w:r w:rsidRPr="00B56069">
              <w:rPr>
                <w:sz w:val="16"/>
                <w:szCs w:val="16"/>
              </w:rPr>
              <w:t>0</w:t>
            </w:r>
          </w:p>
        </w:tc>
        <w:tc>
          <w:tcPr>
            <w:tcW w:w="661" w:type="dxa"/>
            <w:vAlign w:val="center"/>
          </w:tcPr>
          <w:p w14:paraId="0F5788AA" w14:textId="77777777" w:rsidR="00167ABA" w:rsidRPr="00B56069" w:rsidRDefault="00167ABA" w:rsidP="00EB4015">
            <w:pPr>
              <w:spacing w:after="0" w:line="240" w:lineRule="auto"/>
              <w:rPr>
                <w:sz w:val="16"/>
                <w:szCs w:val="16"/>
              </w:rPr>
            </w:pPr>
            <w:r w:rsidRPr="00B56069">
              <w:rPr>
                <w:sz w:val="16"/>
                <w:szCs w:val="16"/>
              </w:rPr>
              <w:t>1</w:t>
            </w:r>
          </w:p>
        </w:tc>
        <w:tc>
          <w:tcPr>
            <w:tcW w:w="661" w:type="dxa"/>
            <w:vAlign w:val="center"/>
          </w:tcPr>
          <w:p w14:paraId="2C228C65" w14:textId="77777777" w:rsidR="00167ABA" w:rsidRPr="00B56069" w:rsidRDefault="00167ABA" w:rsidP="00EB4015">
            <w:pPr>
              <w:spacing w:after="0" w:line="240" w:lineRule="auto"/>
              <w:rPr>
                <w:sz w:val="16"/>
                <w:szCs w:val="16"/>
              </w:rPr>
            </w:pPr>
            <w:r w:rsidRPr="00B56069">
              <w:rPr>
                <w:sz w:val="16"/>
                <w:szCs w:val="16"/>
              </w:rPr>
              <w:t>2</w:t>
            </w:r>
          </w:p>
        </w:tc>
        <w:tc>
          <w:tcPr>
            <w:tcW w:w="661" w:type="dxa"/>
            <w:vAlign w:val="center"/>
          </w:tcPr>
          <w:p w14:paraId="4470BFBB" w14:textId="77777777" w:rsidR="00167ABA" w:rsidRPr="00B56069" w:rsidRDefault="00167ABA" w:rsidP="00EB4015">
            <w:pPr>
              <w:spacing w:after="0" w:line="240" w:lineRule="auto"/>
              <w:rPr>
                <w:sz w:val="16"/>
                <w:szCs w:val="16"/>
              </w:rPr>
            </w:pPr>
            <w:r w:rsidRPr="00B56069">
              <w:rPr>
                <w:sz w:val="16"/>
                <w:szCs w:val="16"/>
              </w:rPr>
              <w:t>3</w:t>
            </w:r>
          </w:p>
        </w:tc>
        <w:tc>
          <w:tcPr>
            <w:tcW w:w="661" w:type="dxa"/>
            <w:vAlign w:val="center"/>
          </w:tcPr>
          <w:p w14:paraId="347835E3" w14:textId="77777777" w:rsidR="00167ABA" w:rsidRPr="00B56069" w:rsidRDefault="00167ABA" w:rsidP="00EB4015">
            <w:pPr>
              <w:spacing w:after="0" w:line="240" w:lineRule="auto"/>
              <w:rPr>
                <w:sz w:val="16"/>
                <w:szCs w:val="16"/>
              </w:rPr>
            </w:pPr>
            <w:r w:rsidRPr="00B56069">
              <w:rPr>
                <w:sz w:val="16"/>
                <w:szCs w:val="16"/>
              </w:rPr>
              <w:t>4</w:t>
            </w:r>
          </w:p>
        </w:tc>
        <w:tc>
          <w:tcPr>
            <w:tcW w:w="661" w:type="dxa"/>
            <w:vAlign w:val="center"/>
          </w:tcPr>
          <w:p w14:paraId="02B80DDA" w14:textId="77777777" w:rsidR="00167ABA" w:rsidRPr="00B56069" w:rsidRDefault="00167ABA" w:rsidP="00EB4015">
            <w:pPr>
              <w:spacing w:after="0" w:line="240" w:lineRule="auto"/>
              <w:rPr>
                <w:sz w:val="16"/>
                <w:szCs w:val="16"/>
              </w:rPr>
            </w:pPr>
            <w:r w:rsidRPr="00B56069">
              <w:rPr>
                <w:sz w:val="16"/>
                <w:szCs w:val="16"/>
              </w:rPr>
              <w:t>5</w:t>
            </w:r>
          </w:p>
        </w:tc>
        <w:tc>
          <w:tcPr>
            <w:tcW w:w="562" w:type="dxa"/>
            <w:vAlign w:val="center"/>
          </w:tcPr>
          <w:p w14:paraId="69F80323" w14:textId="77777777" w:rsidR="00167ABA" w:rsidRPr="00B56069" w:rsidRDefault="00167ABA" w:rsidP="00EB4015">
            <w:pPr>
              <w:spacing w:after="0" w:line="240" w:lineRule="auto"/>
              <w:rPr>
                <w:sz w:val="16"/>
                <w:szCs w:val="16"/>
              </w:rPr>
            </w:pPr>
            <w:r w:rsidRPr="00B56069">
              <w:rPr>
                <w:sz w:val="16"/>
                <w:szCs w:val="16"/>
              </w:rPr>
              <w:t>6</w:t>
            </w:r>
          </w:p>
        </w:tc>
        <w:tc>
          <w:tcPr>
            <w:tcW w:w="562" w:type="dxa"/>
            <w:vAlign w:val="center"/>
          </w:tcPr>
          <w:p w14:paraId="6A9D5697" w14:textId="77777777" w:rsidR="00167ABA" w:rsidRPr="00B56069" w:rsidRDefault="00167ABA" w:rsidP="00EB4015">
            <w:pPr>
              <w:spacing w:after="0" w:line="240" w:lineRule="auto"/>
              <w:rPr>
                <w:sz w:val="16"/>
                <w:szCs w:val="16"/>
              </w:rPr>
            </w:pPr>
            <w:r w:rsidRPr="00B56069">
              <w:rPr>
                <w:sz w:val="16"/>
                <w:szCs w:val="16"/>
              </w:rPr>
              <w:t>7</w:t>
            </w:r>
          </w:p>
        </w:tc>
        <w:tc>
          <w:tcPr>
            <w:tcW w:w="562" w:type="dxa"/>
            <w:vAlign w:val="center"/>
          </w:tcPr>
          <w:p w14:paraId="310FDFE2" w14:textId="77777777" w:rsidR="00167ABA" w:rsidRPr="00B56069" w:rsidRDefault="00167ABA" w:rsidP="00EB4015">
            <w:pPr>
              <w:spacing w:after="0" w:line="240" w:lineRule="auto"/>
              <w:rPr>
                <w:sz w:val="16"/>
                <w:szCs w:val="16"/>
              </w:rPr>
            </w:pPr>
            <w:r w:rsidRPr="00B56069">
              <w:rPr>
                <w:sz w:val="16"/>
                <w:szCs w:val="16"/>
              </w:rPr>
              <w:t>8</w:t>
            </w:r>
          </w:p>
        </w:tc>
        <w:tc>
          <w:tcPr>
            <w:tcW w:w="562" w:type="dxa"/>
            <w:vAlign w:val="center"/>
          </w:tcPr>
          <w:p w14:paraId="490CB2B3" w14:textId="77777777" w:rsidR="00167ABA" w:rsidRPr="00B56069" w:rsidRDefault="00167ABA" w:rsidP="00EB4015">
            <w:pPr>
              <w:spacing w:after="0" w:line="240" w:lineRule="auto"/>
              <w:rPr>
                <w:sz w:val="16"/>
                <w:szCs w:val="16"/>
              </w:rPr>
            </w:pPr>
            <w:r w:rsidRPr="00B56069">
              <w:rPr>
                <w:sz w:val="16"/>
                <w:szCs w:val="16"/>
              </w:rPr>
              <w:t>9</w:t>
            </w:r>
          </w:p>
        </w:tc>
        <w:tc>
          <w:tcPr>
            <w:tcW w:w="562" w:type="dxa"/>
            <w:vAlign w:val="center"/>
          </w:tcPr>
          <w:p w14:paraId="07304F74" w14:textId="77777777" w:rsidR="00167ABA" w:rsidRPr="00B56069" w:rsidRDefault="00167ABA" w:rsidP="00EB4015">
            <w:pPr>
              <w:spacing w:after="0" w:line="240" w:lineRule="auto"/>
              <w:rPr>
                <w:sz w:val="16"/>
                <w:szCs w:val="16"/>
              </w:rPr>
            </w:pPr>
            <w:r w:rsidRPr="00B56069">
              <w:rPr>
                <w:sz w:val="16"/>
                <w:szCs w:val="16"/>
              </w:rPr>
              <w:t>10</w:t>
            </w:r>
          </w:p>
        </w:tc>
      </w:tr>
      <w:tr w:rsidR="00EB4015" w:rsidRPr="00B56069" w14:paraId="7A7927E0" w14:textId="77777777" w:rsidTr="00FE27DF">
        <w:trPr>
          <w:cnfStyle w:val="000000100000" w:firstRow="0" w:lastRow="0" w:firstColumn="0" w:lastColumn="0" w:oddVBand="0" w:evenVBand="0" w:oddHBand="1" w:evenHBand="0" w:firstRowFirstColumn="0" w:firstRowLastColumn="0" w:lastRowFirstColumn="0" w:lastRowLastColumn="0"/>
          <w:trHeight w:val="387"/>
          <w:jc w:val="center"/>
        </w:trPr>
        <w:tc>
          <w:tcPr>
            <w:tcW w:w="750" w:type="dxa"/>
            <w:vAlign w:val="center"/>
          </w:tcPr>
          <w:p w14:paraId="2B51B401" w14:textId="77777777" w:rsidR="00EB4015" w:rsidRPr="00B56069" w:rsidRDefault="00EB4015" w:rsidP="00EB4015">
            <w:pPr>
              <w:spacing w:after="0" w:line="240" w:lineRule="auto"/>
              <w:rPr>
                <w:sz w:val="16"/>
                <w:szCs w:val="16"/>
              </w:rPr>
            </w:pPr>
            <w:r w:rsidRPr="00B56069">
              <w:rPr>
                <w:sz w:val="16"/>
                <w:szCs w:val="16"/>
              </w:rPr>
              <w:t>Count</w:t>
            </w:r>
          </w:p>
        </w:tc>
        <w:tc>
          <w:tcPr>
            <w:tcW w:w="661" w:type="dxa"/>
            <w:vAlign w:val="center"/>
          </w:tcPr>
          <w:p w14:paraId="787359DC" w14:textId="609B51CB" w:rsidR="00EB4015" w:rsidRPr="00B56069" w:rsidRDefault="00EB4015" w:rsidP="00EB4015">
            <w:pPr>
              <w:spacing w:after="0" w:line="240" w:lineRule="auto"/>
              <w:rPr>
                <w:sz w:val="16"/>
                <w:szCs w:val="16"/>
              </w:rPr>
            </w:pPr>
            <w:r w:rsidRPr="00B56069">
              <w:rPr>
                <w:sz w:val="16"/>
                <w:szCs w:val="16"/>
              </w:rPr>
              <w:t>33</w:t>
            </w:r>
          </w:p>
        </w:tc>
        <w:tc>
          <w:tcPr>
            <w:tcW w:w="661" w:type="dxa"/>
            <w:vAlign w:val="center"/>
          </w:tcPr>
          <w:p w14:paraId="7C4B4268" w14:textId="5AD30AE9" w:rsidR="00EB4015" w:rsidRPr="00B56069" w:rsidRDefault="00EB4015" w:rsidP="00EB4015">
            <w:pPr>
              <w:spacing w:after="0" w:line="240" w:lineRule="auto"/>
              <w:rPr>
                <w:sz w:val="16"/>
                <w:szCs w:val="16"/>
              </w:rPr>
            </w:pPr>
            <w:r w:rsidRPr="00B56069">
              <w:rPr>
                <w:sz w:val="16"/>
                <w:szCs w:val="16"/>
              </w:rPr>
              <w:t>195</w:t>
            </w:r>
          </w:p>
        </w:tc>
        <w:tc>
          <w:tcPr>
            <w:tcW w:w="661" w:type="dxa"/>
            <w:vAlign w:val="center"/>
          </w:tcPr>
          <w:p w14:paraId="6E3F88CA" w14:textId="2A582A2C" w:rsidR="00EB4015" w:rsidRPr="00B56069" w:rsidRDefault="00EB4015" w:rsidP="00EB4015">
            <w:pPr>
              <w:spacing w:after="0" w:line="240" w:lineRule="auto"/>
              <w:rPr>
                <w:sz w:val="16"/>
                <w:szCs w:val="16"/>
              </w:rPr>
            </w:pPr>
            <w:r w:rsidRPr="00B56069">
              <w:rPr>
                <w:sz w:val="16"/>
                <w:szCs w:val="16"/>
              </w:rPr>
              <w:t>699</w:t>
            </w:r>
          </w:p>
        </w:tc>
        <w:tc>
          <w:tcPr>
            <w:tcW w:w="661" w:type="dxa"/>
            <w:vAlign w:val="center"/>
          </w:tcPr>
          <w:p w14:paraId="166F94B6" w14:textId="7E380E99" w:rsidR="00EB4015" w:rsidRPr="00B56069" w:rsidRDefault="00EB4015" w:rsidP="00EB4015">
            <w:pPr>
              <w:spacing w:after="0" w:line="240" w:lineRule="auto"/>
              <w:rPr>
                <w:sz w:val="16"/>
                <w:szCs w:val="16"/>
              </w:rPr>
            </w:pPr>
            <w:r w:rsidRPr="00B56069">
              <w:rPr>
                <w:sz w:val="16"/>
                <w:szCs w:val="16"/>
              </w:rPr>
              <w:t>721</w:t>
            </w:r>
          </w:p>
        </w:tc>
        <w:tc>
          <w:tcPr>
            <w:tcW w:w="661" w:type="dxa"/>
            <w:vAlign w:val="center"/>
          </w:tcPr>
          <w:p w14:paraId="51A8D02D" w14:textId="3C9C324C" w:rsidR="00EB4015" w:rsidRPr="00B56069" w:rsidRDefault="00EB4015" w:rsidP="00EB4015">
            <w:pPr>
              <w:spacing w:after="0" w:line="240" w:lineRule="auto"/>
              <w:rPr>
                <w:sz w:val="16"/>
                <w:szCs w:val="16"/>
              </w:rPr>
            </w:pPr>
            <w:r w:rsidRPr="00B56069">
              <w:rPr>
                <w:sz w:val="16"/>
                <w:szCs w:val="16"/>
              </w:rPr>
              <w:t>482</w:t>
            </w:r>
          </w:p>
        </w:tc>
        <w:tc>
          <w:tcPr>
            <w:tcW w:w="661" w:type="dxa"/>
            <w:shd w:val="clear" w:color="auto" w:fill="FFFF00"/>
            <w:vAlign w:val="center"/>
          </w:tcPr>
          <w:p w14:paraId="544721D1" w14:textId="4378C213" w:rsidR="00EB4015" w:rsidRPr="00B56069" w:rsidRDefault="00EB4015" w:rsidP="00EB4015">
            <w:pPr>
              <w:spacing w:after="0" w:line="240" w:lineRule="auto"/>
              <w:rPr>
                <w:sz w:val="16"/>
                <w:szCs w:val="16"/>
              </w:rPr>
            </w:pPr>
            <w:r w:rsidRPr="00B56069">
              <w:rPr>
                <w:sz w:val="16"/>
                <w:szCs w:val="16"/>
              </w:rPr>
              <w:t>551</w:t>
            </w:r>
          </w:p>
        </w:tc>
        <w:tc>
          <w:tcPr>
            <w:tcW w:w="562" w:type="dxa"/>
            <w:shd w:val="clear" w:color="auto" w:fill="FFFF00"/>
            <w:vAlign w:val="center"/>
          </w:tcPr>
          <w:p w14:paraId="47E9361A" w14:textId="25A64BED" w:rsidR="00EB4015" w:rsidRPr="00B56069" w:rsidRDefault="00EB4015" w:rsidP="00EB4015">
            <w:pPr>
              <w:spacing w:after="0" w:line="240" w:lineRule="auto"/>
              <w:rPr>
                <w:sz w:val="16"/>
                <w:szCs w:val="16"/>
              </w:rPr>
            </w:pPr>
            <w:r w:rsidRPr="00B56069">
              <w:rPr>
                <w:sz w:val="16"/>
                <w:szCs w:val="16"/>
              </w:rPr>
              <w:t>103</w:t>
            </w:r>
          </w:p>
        </w:tc>
        <w:tc>
          <w:tcPr>
            <w:tcW w:w="562" w:type="dxa"/>
            <w:shd w:val="clear" w:color="auto" w:fill="FFFF00"/>
            <w:vAlign w:val="center"/>
          </w:tcPr>
          <w:p w14:paraId="58CD61DB" w14:textId="72136548" w:rsidR="00EB4015" w:rsidRPr="00B56069" w:rsidRDefault="00EB4015" w:rsidP="00EB4015">
            <w:pPr>
              <w:spacing w:after="0" w:line="240" w:lineRule="auto"/>
              <w:rPr>
                <w:sz w:val="16"/>
                <w:szCs w:val="16"/>
              </w:rPr>
            </w:pPr>
            <w:r w:rsidRPr="00B56069">
              <w:rPr>
                <w:sz w:val="16"/>
                <w:szCs w:val="16"/>
              </w:rPr>
              <w:t>1</w:t>
            </w:r>
          </w:p>
        </w:tc>
        <w:tc>
          <w:tcPr>
            <w:tcW w:w="562" w:type="dxa"/>
            <w:shd w:val="clear" w:color="auto" w:fill="FFFF00"/>
            <w:vAlign w:val="center"/>
          </w:tcPr>
          <w:p w14:paraId="5A2FE34D" w14:textId="3669E27C" w:rsidR="00EB4015" w:rsidRPr="00B56069" w:rsidRDefault="00EB4015" w:rsidP="00EB4015">
            <w:pPr>
              <w:spacing w:after="0" w:line="240" w:lineRule="auto"/>
              <w:rPr>
                <w:sz w:val="16"/>
                <w:szCs w:val="16"/>
              </w:rPr>
            </w:pPr>
            <w:r w:rsidRPr="00B56069">
              <w:rPr>
                <w:sz w:val="16"/>
                <w:szCs w:val="16"/>
              </w:rPr>
              <w:t>0</w:t>
            </w:r>
          </w:p>
        </w:tc>
        <w:tc>
          <w:tcPr>
            <w:tcW w:w="562" w:type="dxa"/>
            <w:shd w:val="clear" w:color="auto" w:fill="FFFF00"/>
            <w:vAlign w:val="center"/>
          </w:tcPr>
          <w:p w14:paraId="7A2FEB84" w14:textId="1F46E80A" w:rsidR="00EB4015" w:rsidRPr="00B56069" w:rsidRDefault="00EB4015" w:rsidP="00EB4015">
            <w:pPr>
              <w:spacing w:after="0" w:line="240" w:lineRule="auto"/>
              <w:rPr>
                <w:sz w:val="16"/>
                <w:szCs w:val="16"/>
              </w:rPr>
            </w:pPr>
            <w:r w:rsidRPr="00B56069">
              <w:rPr>
                <w:sz w:val="16"/>
                <w:szCs w:val="16"/>
              </w:rPr>
              <w:t>0</w:t>
            </w:r>
          </w:p>
        </w:tc>
        <w:tc>
          <w:tcPr>
            <w:tcW w:w="562" w:type="dxa"/>
            <w:shd w:val="clear" w:color="auto" w:fill="FFFF00"/>
            <w:vAlign w:val="center"/>
          </w:tcPr>
          <w:p w14:paraId="1B6B3266" w14:textId="0F4EBE57" w:rsidR="00EB4015" w:rsidRPr="00B56069" w:rsidRDefault="00EB4015" w:rsidP="00EB4015">
            <w:pPr>
              <w:spacing w:after="0" w:line="240" w:lineRule="auto"/>
              <w:rPr>
                <w:sz w:val="16"/>
                <w:szCs w:val="16"/>
              </w:rPr>
            </w:pPr>
            <w:r w:rsidRPr="00B56069">
              <w:rPr>
                <w:sz w:val="16"/>
                <w:szCs w:val="16"/>
              </w:rPr>
              <w:t>0</w:t>
            </w:r>
          </w:p>
        </w:tc>
      </w:tr>
    </w:tbl>
    <w:p w14:paraId="0292654F" w14:textId="77777777" w:rsidR="00167ABA" w:rsidRPr="00B56069" w:rsidRDefault="00167ABA" w:rsidP="00167ABA">
      <w:pPr>
        <w:spacing w:after="0"/>
        <w:rPr>
          <w:sz w:val="20"/>
          <w:szCs w:val="20"/>
        </w:rPr>
      </w:pPr>
    </w:p>
    <w:p w14:paraId="4139D2FB" w14:textId="2AE61BA3" w:rsidR="00B46616" w:rsidRPr="00B56069" w:rsidRDefault="00B46616" w:rsidP="00B46616">
      <w:pPr>
        <w:tabs>
          <w:tab w:val="left" w:pos="0"/>
        </w:tabs>
        <w:rPr>
          <w:rFonts w:cs="Arial"/>
        </w:rPr>
      </w:pPr>
      <w:r w:rsidRPr="00B56069">
        <w:rPr>
          <w:rFonts w:cs="Arial"/>
          <w:b/>
          <w:bCs/>
        </w:rPr>
        <w:t>Figure 1</w:t>
      </w:r>
      <w:r w:rsidRPr="00B56069">
        <w:rPr>
          <w:rFonts w:cs="Arial"/>
        </w:rPr>
        <w:t xml:space="preserve"> </w:t>
      </w:r>
      <w:proofErr w:type="spellStart"/>
      <w:r w:rsidRPr="00B56069">
        <w:rPr>
          <w:rFonts w:cs="Arial"/>
        </w:rPr>
        <w:t>Climatch</w:t>
      </w:r>
      <w:proofErr w:type="spellEnd"/>
      <w:r w:rsidRPr="00B56069">
        <w:rPr>
          <w:rFonts w:cs="Arial"/>
        </w:rPr>
        <w:t xml:space="preserve"> output for </w:t>
      </w:r>
      <w:proofErr w:type="spellStart"/>
      <w:r w:rsidRPr="00B56069">
        <w:rPr>
          <w:rFonts w:cs="Arial"/>
          <w:i/>
          <w:iCs/>
        </w:rPr>
        <w:t>S</w:t>
      </w:r>
      <w:r w:rsidR="00474543" w:rsidRPr="00B56069">
        <w:rPr>
          <w:rFonts w:cs="Arial"/>
          <w:i/>
          <w:iCs/>
        </w:rPr>
        <w:t>ahyadria</w:t>
      </w:r>
      <w:proofErr w:type="spellEnd"/>
      <w:r w:rsidRPr="00B56069">
        <w:rPr>
          <w:rFonts w:cs="Arial"/>
          <w:i/>
          <w:iCs/>
        </w:rPr>
        <w:t xml:space="preserve"> </w:t>
      </w:r>
      <w:proofErr w:type="spellStart"/>
      <w:r w:rsidRPr="00B56069">
        <w:rPr>
          <w:rFonts w:cs="Arial"/>
          <w:i/>
          <w:iCs/>
        </w:rPr>
        <w:t>denisonii</w:t>
      </w:r>
      <w:proofErr w:type="spellEnd"/>
      <w:r w:rsidRPr="00B56069">
        <w:rPr>
          <w:rFonts w:cs="Arial"/>
        </w:rPr>
        <w:t xml:space="preserve"> </w:t>
      </w:r>
    </w:p>
    <w:p w14:paraId="625FCB70" w14:textId="77777777" w:rsidR="00B46616" w:rsidRPr="00B56069" w:rsidRDefault="00B46616" w:rsidP="00B46616">
      <w:pPr>
        <w:tabs>
          <w:tab w:val="left" w:pos="0"/>
        </w:tabs>
        <w:rPr>
          <w:rFonts w:cs="Arial"/>
        </w:rPr>
        <w:sectPr w:rsidR="00B46616" w:rsidRPr="00B56069" w:rsidSect="00C32F21">
          <w:headerReference w:type="even" r:id="rId27"/>
          <w:footerReference w:type="default" r:id="rId28"/>
          <w:headerReference w:type="first" r:id="rId29"/>
          <w:type w:val="continuous"/>
          <w:pgSz w:w="11906" w:h="16838"/>
          <w:pgMar w:top="1440" w:right="1440" w:bottom="1440" w:left="1440" w:header="708" w:footer="708" w:gutter="0"/>
          <w:cols w:space="2"/>
          <w:docGrid w:linePitch="360"/>
        </w:sectPr>
      </w:pPr>
    </w:p>
    <w:p w14:paraId="0F3DEDB3" w14:textId="77777777" w:rsidR="00583BC4" w:rsidRPr="00B56069" w:rsidRDefault="00583BC4" w:rsidP="00737E87">
      <w:pPr>
        <w:pStyle w:val="Heading4"/>
        <w:tabs>
          <w:tab w:val="left" w:pos="0"/>
        </w:tabs>
        <w:spacing w:after="60"/>
      </w:pPr>
    </w:p>
    <w:p w14:paraId="3F70FEA3" w14:textId="73549751" w:rsidR="00737E87" w:rsidRPr="00B56069" w:rsidRDefault="00C32F21" w:rsidP="00737E87">
      <w:pPr>
        <w:pStyle w:val="Heading4"/>
        <w:tabs>
          <w:tab w:val="left" w:pos="0"/>
        </w:tabs>
        <w:spacing w:after="60"/>
      </w:pPr>
      <w:r w:rsidRPr="00B56069">
        <w:t>History of establishment elsewhere—previous successful establishment</w:t>
      </w:r>
      <w:r w:rsidR="00737E87" w:rsidRPr="00B56069">
        <w:t xml:space="preserve">: </w:t>
      </w:r>
    </w:p>
    <w:p w14:paraId="2C51A389" w14:textId="506266B8" w:rsidR="00C32F21" w:rsidRPr="00B56069" w:rsidRDefault="00C32F21" w:rsidP="00221954">
      <w:pPr>
        <w:tabs>
          <w:tab w:val="left" w:pos="0"/>
        </w:tabs>
        <w:rPr>
          <w:rFonts w:cs="Arial"/>
        </w:rPr>
      </w:pPr>
      <w:r w:rsidRPr="00B56069">
        <w:rPr>
          <w:rFonts w:cs="Arial"/>
        </w:rPr>
        <w:t xml:space="preserve">There have been no recorded establishment of wild populations of </w:t>
      </w:r>
      <w:r w:rsidRPr="00B56069">
        <w:rPr>
          <w:rFonts w:cs="Arial"/>
          <w:i/>
          <w:iCs/>
        </w:rPr>
        <w:t xml:space="preserve">S. </w:t>
      </w:r>
      <w:proofErr w:type="spellStart"/>
      <w:r w:rsidRPr="00B56069">
        <w:rPr>
          <w:rFonts w:cs="Arial"/>
          <w:i/>
          <w:iCs/>
        </w:rPr>
        <w:t>denisonii</w:t>
      </w:r>
      <w:proofErr w:type="spellEnd"/>
      <w:r w:rsidRPr="00B56069">
        <w:rPr>
          <w:rFonts w:cs="Arial"/>
        </w:rPr>
        <w:t xml:space="preserve"> outside its natural range, despite likely inadvertent or deliberate introductions as an internationally traded aquarium species. The species is considered to have been “introduce but never established” (</w:t>
      </w:r>
      <w:proofErr w:type="spellStart"/>
      <w:r w:rsidRPr="00B56069">
        <w:rPr>
          <w:rFonts w:cs="Arial"/>
        </w:rPr>
        <w:t>Bomford</w:t>
      </w:r>
      <w:proofErr w:type="spellEnd"/>
      <w:r w:rsidRPr="00B56069">
        <w:rPr>
          <w:rFonts w:cs="Arial"/>
        </w:rPr>
        <w:t xml:space="preserve"> 2008).</w:t>
      </w:r>
    </w:p>
    <w:p w14:paraId="3E5578C4" w14:textId="3C4019F5" w:rsidR="00737E87" w:rsidRPr="00B56069" w:rsidRDefault="00C32F21" w:rsidP="00737E87">
      <w:pPr>
        <w:pStyle w:val="Heading4"/>
        <w:tabs>
          <w:tab w:val="left" w:pos="0"/>
        </w:tabs>
        <w:spacing w:after="60"/>
      </w:pPr>
      <w:r w:rsidRPr="00B56069">
        <w:t>Overseas range</w:t>
      </w:r>
      <w:r w:rsidR="00737E87" w:rsidRPr="00B56069">
        <w:t>:</w:t>
      </w:r>
    </w:p>
    <w:p w14:paraId="52FB7C36" w14:textId="6D96381B" w:rsidR="00C32F21" w:rsidRPr="00B56069" w:rsidRDefault="00C32F21" w:rsidP="00C32F21">
      <w:pPr>
        <w:tabs>
          <w:tab w:val="left" w:pos="0"/>
        </w:tabs>
        <w:rPr>
          <w:rFonts w:cs="Arial"/>
        </w:rPr>
      </w:pPr>
      <w:r w:rsidRPr="00B56069">
        <w:rPr>
          <w:rFonts w:cs="Arial"/>
        </w:rPr>
        <w:t>The species is a stenotherm (18-26ºC) endemic to Kerala and south Karnataka in southern India (Malabar Coast) (Sharpe 2020). It has an estimated range of 8,805 km2 and is conservatively estimated to occupy a total 6, 1</w:t>
      </w:r>
      <w:r w:rsidR="00E365F2" w:rsidRPr="00B56069">
        <w:rPr>
          <w:rFonts w:cs="Arial"/>
        </w:rPr>
        <w:t>º</w:t>
      </w:r>
      <w:r w:rsidRPr="00B56069">
        <w:rPr>
          <w:rFonts w:cs="Arial"/>
        </w:rPr>
        <w:t xml:space="preserve"> latitude x 1</w:t>
      </w:r>
      <w:r w:rsidR="00E365F2" w:rsidRPr="00B56069">
        <w:rPr>
          <w:rFonts w:cs="Arial"/>
        </w:rPr>
        <w:t>º</w:t>
      </w:r>
      <w:r w:rsidRPr="00B56069">
        <w:rPr>
          <w:rFonts w:cs="Arial"/>
        </w:rPr>
        <w:t xml:space="preserve"> longitude grid squares (</w:t>
      </w:r>
      <w:proofErr w:type="spellStart"/>
      <w:r w:rsidRPr="00B56069">
        <w:rPr>
          <w:rFonts w:cs="Arial"/>
        </w:rPr>
        <w:t>Bomford</w:t>
      </w:r>
      <w:proofErr w:type="spellEnd"/>
      <w:r w:rsidRPr="00B56069">
        <w:rPr>
          <w:rFonts w:cs="Arial"/>
        </w:rPr>
        <w:t xml:space="preserve"> 2008).</w:t>
      </w:r>
    </w:p>
    <w:p w14:paraId="3AD3868C" w14:textId="77777777" w:rsidR="00737E87" w:rsidRPr="00B56069" w:rsidRDefault="00C32F21" w:rsidP="00737E87">
      <w:pPr>
        <w:pStyle w:val="Heading4"/>
        <w:tabs>
          <w:tab w:val="left" w:pos="0"/>
        </w:tabs>
        <w:spacing w:after="60"/>
      </w:pPr>
      <w:r w:rsidRPr="00B56069">
        <w:t xml:space="preserve">Introduction success: </w:t>
      </w:r>
    </w:p>
    <w:p w14:paraId="14D8FB5C" w14:textId="6AE01ACE" w:rsidR="00C32F21" w:rsidRPr="00B56069" w:rsidRDefault="00C32F21" w:rsidP="00C32F21">
      <w:pPr>
        <w:tabs>
          <w:tab w:val="left" w:pos="0"/>
        </w:tabs>
        <w:rPr>
          <w:rFonts w:cs="Arial"/>
        </w:rPr>
      </w:pPr>
      <w:r w:rsidRPr="00B56069">
        <w:rPr>
          <w:rFonts w:cs="Arial"/>
        </w:rPr>
        <w:t xml:space="preserve">The species is not known to have been released or established. However, after decades of trade worldwide it can be assumed it has been released into non-native areas on many </w:t>
      </w:r>
      <w:r w:rsidRPr="00B56069">
        <w:rPr>
          <w:rFonts w:cs="Arial"/>
        </w:rPr>
        <w:lastRenderedPageBreak/>
        <w:t xml:space="preserve">occasions.  The introduction </w:t>
      </w:r>
      <w:r w:rsidR="0055654D" w:rsidRPr="00B56069">
        <w:rPr>
          <w:rFonts w:cs="Arial"/>
        </w:rPr>
        <w:t xml:space="preserve">success </w:t>
      </w:r>
      <w:r w:rsidRPr="00B56069">
        <w:rPr>
          <w:rFonts w:cs="Arial"/>
        </w:rPr>
        <w:t>rate is conservatively considered to be less than 0.25 or 25%.</w:t>
      </w:r>
    </w:p>
    <w:p w14:paraId="77C48764" w14:textId="77777777" w:rsidR="00737E87" w:rsidRPr="00B56069" w:rsidRDefault="00C32F21" w:rsidP="00737E87">
      <w:pPr>
        <w:pStyle w:val="Heading4"/>
        <w:tabs>
          <w:tab w:val="left" w:pos="0"/>
        </w:tabs>
        <w:spacing w:after="60"/>
      </w:pPr>
      <w:r w:rsidRPr="00B56069">
        <w:t xml:space="preserve">Taxonomic group—belonging to a family or genus which has a high establishment success rate: </w:t>
      </w:r>
    </w:p>
    <w:p w14:paraId="632FC6CC" w14:textId="5534D308" w:rsidR="00C32F21" w:rsidRPr="00B56069" w:rsidRDefault="00C32F21" w:rsidP="00C32F21">
      <w:pPr>
        <w:tabs>
          <w:tab w:val="left" w:pos="0"/>
        </w:tabs>
      </w:pPr>
      <w:r w:rsidRPr="00B56069">
        <w:rPr>
          <w:rFonts w:cs="Arial"/>
          <w:i/>
          <w:iCs/>
        </w:rPr>
        <w:t xml:space="preserve">S. </w:t>
      </w:r>
      <w:proofErr w:type="spellStart"/>
      <w:r w:rsidRPr="00B56069">
        <w:rPr>
          <w:rFonts w:cs="Arial"/>
          <w:i/>
          <w:iCs/>
        </w:rPr>
        <w:t>denisonii</w:t>
      </w:r>
      <w:proofErr w:type="spellEnd"/>
      <w:r w:rsidRPr="00B56069">
        <w:rPr>
          <w:rFonts w:cs="Arial"/>
          <w:i/>
          <w:iCs/>
        </w:rPr>
        <w:t xml:space="preserve"> </w:t>
      </w:r>
      <w:r w:rsidRPr="00B56069">
        <w:rPr>
          <w:rFonts w:cs="Arial"/>
        </w:rPr>
        <w:t xml:space="preserve">belongs to the family </w:t>
      </w:r>
      <w:proofErr w:type="spellStart"/>
      <w:r w:rsidRPr="00B56069">
        <w:rPr>
          <w:rFonts w:cs="Arial"/>
        </w:rPr>
        <w:t>Cyprinidae</w:t>
      </w:r>
      <w:proofErr w:type="spellEnd"/>
      <w:r w:rsidRPr="00B56069">
        <w:rPr>
          <w:rFonts w:cs="Arial"/>
        </w:rPr>
        <w:t xml:space="preserve"> (freshwater fish that includes the carps, the true minnows, and their relatives such as barbs and barbels) and the subfamily </w:t>
      </w:r>
      <w:proofErr w:type="spellStart"/>
      <w:r w:rsidRPr="00B56069">
        <w:rPr>
          <w:rFonts w:cs="Arial"/>
        </w:rPr>
        <w:t>Barbinae</w:t>
      </w:r>
      <w:proofErr w:type="spellEnd"/>
      <w:r w:rsidRPr="00B56069">
        <w:rPr>
          <w:rFonts w:cs="Arial"/>
        </w:rPr>
        <w:t xml:space="preserve"> ─ the taxonomy of the </w:t>
      </w:r>
      <w:proofErr w:type="spellStart"/>
      <w:r w:rsidRPr="00B56069">
        <w:rPr>
          <w:rFonts w:cs="Arial"/>
        </w:rPr>
        <w:t>Barbinae</w:t>
      </w:r>
      <w:proofErr w:type="spellEnd"/>
      <w:r w:rsidRPr="00B56069">
        <w:rPr>
          <w:rFonts w:cs="Arial"/>
        </w:rPr>
        <w:t xml:space="preserve"> is uncertain as some genera historically considered within it are still considered </w:t>
      </w:r>
      <w:proofErr w:type="spellStart"/>
      <w:r w:rsidRPr="00B56069">
        <w:rPr>
          <w:rFonts w:cs="Arial"/>
        </w:rPr>
        <w:t>incertae</w:t>
      </w:r>
      <w:proofErr w:type="spellEnd"/>
      <w:r w:rsidRPr="00B56069">
        <w:rPr>
          <w:rFonts w:cs="Arial"/>
        </w:rPr>
        <w:t xml:space="preserve"> </w:t>
      </w:r>
      <w:proofErr w:type="spellStart"/>
      <w:r w:rsidRPr="00B56069">
        <w:rPr>
          <w:rFonts w:cs="Arial"/>
        </w:rPr>
        <w:t>sedis</w:t>
      </w:r>
      <w:proofErr w:type="spellEnd"/>
      <w:r w:rsidRPr="00B56069">
        <w:rPr>
          <w:rFonts w:cs="Arial"/>
        </w:rPr>
        <w:t xml:space="preserve"> (Wikipedia </w:t>
      </w:r>
      <w:proofErr w:type="spellStart"/>
      <w:r w:rsidRPr="00B56069">
        <w:rPr>
          <w:rFonts w:cs="Arial"/>
        </w:rPr>
        <w:t>n.d.─a</w:t>
      </w:r>
      <w:proofErr w:type="spellEnd"/>
      <w:r w:rsidRPr="00B56069">
        <w:rPr>
          <w:rFonts w:cs="Arial"/>
        </w:rPr>
        <w:t>). There are four ornamental cyprinid species that are reported to have established self-maintaining populations in Australian waters; namely goldfish (</w:t>
      </w:r>
      <w:r w:rsidRPr="00B56069">
        <w:rPr>
          <w:rFonts w:cs="Arial"/>
          <w:i/>
          <w:iCs/>
        </w:rPr>
        <w:t>Carassius auratus</w:t>
      </w:r>
      <w:r w:rsidRPr="00B56069">
        <w:rPr>
          <w:rFonts w:cs="Arial"/>
        </w:rPr>
        <w:t>), rosy barb (</w:t>
      </w:r>
      <w:r w:rsidRPr="00B56069">
        <w:rPr>
          <w:rFonts w:cs="Arial"/>
          <w:i/>
          <w:iCs/>
        </w:rPr>
        <w:t xml:space="preserve">Puntius </w:t>
      </w:r>
      <w:proofErr w:type="spellStart"/>
      <w:r w:rsidRPr="00B56069">
        <w:rPr>
          <w:rFonts w:cs="Arial"/>
          <w:i/>
          <w:iCs/>
        </w:rPr>
        <w:t>conchonius</w:t>
      </w:r>
      <w:proofErr w:type="spellEnd"/>
      <w:r w:rsidRPr="00B56069">
        <w:rPr>
          <w:rFonts w:cs="Arial"/>
        </w:rPr>
        <w:t>), Sumatra barb (</w:t>
      </w:r>
      <w:r w:rsidRPr="00B56069">
        <w:rPr>
          <w:rFonts w:cs="Arial"/>
          <w:i/>
          <w:iCs/>
        </w:rPr>
        <w:t xml:space="preserve">Puntius </w:t>
      </w:r>
      <w:proofErr w:type="spellStart"/>
      <w:r w:rsidRPr="00B56069">
        <w:rPr>
          <w:rFonts w:cs="Arial"/>
          <w:i/>
          <w:iCs/>
        </w:rPr>
        <w:t>tetrazona</w:t>
      </w:r>
      <w:proofErr w:type="spellEnd"/>
      <w:r w:rsidRPr="00B56069">
        <w:rPr>
          <w:rFonts w:cs="Arial"/>
        </w:rPr>
        <w:t>) and white cloud mountain minnow (</w:t>
      </w:r>
      <w:proofErr w:type="spellStart"/>
      <w:r w:rsidRPr="00B56069">
        <w:rPr>
          <w:rFonts w:cs="Arial"/>
          <w:i/>
          <w:iCs/>
        </w:rPr>
        <w:t>Tanichthys</w:t>
      </w:r>
      <w:proofErr w:type="spellEnd"/>
      <w:r w:rsidRPr="00B56069">
        <w:rPr>
          <w:rFonts w:cs="Arial"/>
          <w:i/>
          <w:iCs/>
        </w:rPr>
        <w:t xml:space="preserve"> </w:t>
      </w:r>
      <w:proofErr w:type="spellStart"/>
      <w:r w:rsidRPr="00B56069">
        <w:rPr>
          <w:rFonts w:cs="Arial"/>
          <w:i/>
          <w:iCs/>
        </w:rPr>
        <w:t>albonubes</w:t>
      </w:r>
      <w:proofErr w:type="spellEnd"/>
      <w:r w:rsidRPr="00B56069">
        <w:rPr>
          <w:rFonts w:cs="Arial"/>
        </w:rPr>
        <w:t xml:space="preserve">) (Corfield </w:t>
      </w:r>
      <w:r w:rsidRPr="00B56069">
        <w:rPr>
          <w:rFonts w:cs="Arial"/>
          <w:i/>
          <w:iCs/>
        </w:rPr>
        <w:t>et al.</w:t>
      </w:r>
      <w:r w:rsidRPr="00B56069">
        <w:rPr>
          <w:rFonts w:cs="Arial"/>
        </w:rPr>
        <w:t xml:space="preserve"> 2008).  However, there is limited value in assigning a level of invasiveness risk to the family as a whole because the </w:t>
      </w:r>
      <w:proofErr w:type="spellStart"/>
      <w:r w:rsidRPr="00B56069">
        <w:rPr>
          <w:rFonts w:cs="Arial"/>
        </w:rPr>
        <w:t>Cyprinidae</w:t>
      </w:r>
      <w:proofErr w:type="spellEnd"/>
      <w:r w:rsidRPr="00B56069">
        <w:rPr>
          <w:rFonts w:cs="Arial"/>
        </w:rPr>
        <w:t xml:space="preserve"> is the largest and most diverse fish family and the largest vertebrate animal family in general, with about 1750 valid species, representing about 150 genera (Fricke </w:t>
      </w:r>
      <w:r w:rsidRPr="00B56069">
        <w:rPr>
          <w:rFonts w:cs="Arial"/>
          <w:i/>
          <w:iCs/>
        </w:rPr>
        <w:t>et al</w:t>
      </w:r>
      <w:r w:rsidRPr="00B56069">
        <w:rPr>
          <w:rFonts w:cs="Arial"/>
        </w:rPr>
        <w:t xml:space="preserve">. 2020) (Froese and Pauly </w:t>
      </w:r>
      <w:proofErr w:type="spellStart"/>
      <w:r w:rsidR="00A823CA" w:rsidRPr="00B56069">
        <w:t>n.d.</w:t>
      </w:r>
      <w:r w:rsidR="00A823CA" w:rsidRPr="00B56069">
        <w:rPr>
          <w:rFonts w:cs="Arial"/>
        </w:rPr>
        <w:t>─</w:t>
      </w:r>
      <w:r w:rsidR="00A823CA" w:rsidRPr="00B56069">
        <w:t>a</w:t>
      </w:r>
      <w:proofErr w:type="spellEnd"/>
      <w:r w:rsidRPr="00B56069">
        <w:rPr>
          <w:rFonts w:cs="Arial"/>
        </w:rPr>
        <w:t xml:space="preserve">) </w:t>
      </w:r>
      <w:r w:rsidRPr="00B56069">
        <w:rPr>
          <w:rFonts w:cs="Arial"/>
        </w:rPr>
        <w:br/>
      </w:r>
      <w:r w:rsidRPr="00B56069">
        <w:rPr>
          <w:rFonts w:cs="Arial"/>
        </w:rPr>
        <w:br/>
        <w:t xml:space="preserve">At a genus level, since there are only two species in the genus </w:t>
      </w:r>
      <w:proofErr w:type="spellStart"/>
      <w:r w:rsidRPr="00B56069">
        <w:rPr>
          <w:rFonts w:cs="Arial"/>
          <w:i/>
          <w:iCs/>
        </w:rPr>
        <w:t>Sahyadria</w:t>
      </w:r>
      <w:proofErr w:type="spellEnd"/>
      <w:r w:rsidRPr="00B56069">
        <w:rPr>
          <w:rFonts w:cs="Arial"/>
        </w:rPr>
        <w:t xml:space="preserve">, all species currently in the genus </w:t>
      </w:r>
      <w:r w:rsidRPr="00B56069">
        <w:rPr>
          <w:rFonts w:cs="Arial"/>
          <w:i/>
          <w:iCs/>
        </w:rPr>
        <w:t xml:space="preserve">Puntius </w:t>
      </w:r>
      <w:r w:rsidRPr="00B56069">
        <w:rPr>
          <w:rFonts w:cs="Arial"/>
        </w:rPr>
        <w:t xml:space="preserve">(to which the species previously belonged) plus the two species of </w:t>
      </w:r>
      <w:proofErr w:type="spellStart"/>
      <w:r w:rsidRPr="00B56069">
        <w:rPr>
          <w:rFonts w:cs="Arial"/>
          <w:i/>
          <w:iCs/>
        </w:rPr>
        <w:t>Sahyadria</w:t>
      </w:r>
      <w:proofErr w:type="spellEnd"/>
      <w:r w:rsidRPr="00B56069">
        <w:rPr>
          <w:rFonts w:cs="Arial"/>
        </w:rPr>
        <w:t xml:space="preserve"> may be considered as a single group for risk assessment purposes. According to </w:t>
      </w:r>
      <w:proofErr w:type="spellStart"/>
      <w:r w:rsidRPr="00B56069">
        <w:rPr>
          <w:rFonts w:cs="Arial"/>
        </w:rPr>
        <w:t>FishBase</w:t>
      </w:r>
      <w:proofErr w:type="spellEnd"/>
      <w:r w:rsidRPr="00B56069">
        <w:rPr>
          <w:rFonts w:cs="Arial"/>
        </w:rPr>
        <w:t xml:space="preserve"> (Froese and Pauly </w:t>
      </w:r>
      <w:proofErr w:type="spellStart"/>
      <w:r w:rsidR="00A823CA" w:rsidRPr="00B56069">
        <w:t>n.d.</w:t>
      </w:r>
      <w:r w:rsidR="00A823CA" w:rsidRPr="00B56069">
        <w:rPr>
          <w:rFonts w:cs="Arial"/>
        </w:rPr>
        <w:t>─</w:t>
      </w:r>
      <w:r w:rsidR="00A823CA" w:rsidRPr="00B56069">
        <w:t>b</w:t>
      </w:r>
      <w:proofErr w:type="spellEnd"/>
      <w:r w:rsidRPr="00B56069">
        <w:rPr>
          <w:rFonts w:cs="Arial"/>
        </w:rPr>
        <w:t xml:space="preserve">), of a total 52 species (50 </w:t>
      </w:r>
      <w:r w:rsidRPr="00B56069">
        <w:rPr>
          <w:rFonts w:cs="Arial"/>
          <w:i/>
          <w:iCs/>
        </w:rPr>
        <w:t>Puntius</w:t>
      </w:r>
      <w:r w:rsidRPr="00B56069">
        <w:rPr>
          <w:rFonts w:cs="Arial"/>
        </w:rPr>
        <w:t xml:space="preserve"> and 2 </w:t>
      </w:r>
      <w:proofErr w:type="spellStart"/>
      <w:r w:rsidRPr="00B56069">
        <w:rPr>
          <w:rFonts w:cs="Arial"/>
          <w:i/>
          <w:iCs/>
        </w:rPr>
        <w:t>Sahyadria</w:t>
      </w:r>
      <w:proofErr w:type="spellEnd"/>
      <w:r w:rsidRPr="00B56069">
        <w:rPr>
          <w:rFonts w:cs="Arial"/>
        </w:rPr>
        <w:t xml:space="preserve">), 11 (10 </w:t>
      </w:r>
      <w:r w:rsidRPr="00B56069">
        <w:rPr>
          <w:rFonts w:cs="Arial"/>
          <w:i/>
          <w:iCs/>
        </w:rPr>
        <w:t xml:space="preserve">Puntius </w:t>
      </w:r>
      <w:r w:rsidRPr="00B56069">
        <w:rPr>
          <w:rFonts w:cs="Arial"/>
        </w:rPr>
        <w:t xml:space="preserve">and 1 </w:t>
      </w:r>
      <w:proofErr w:type="spellStart"/>
      <w:r w:rsidRPr="00B56069">
        <w:rPr>
          <w:rFonts w:cs="Arial"/>
          <w:i/>
          <w:iCs/>
        </w:rPr>
        <w:t>Sahyadria</w:t>
      </w:r>
      <w:proofErr w:type="spellEnd"/>
      <w:r w:rsidRPr="00B56069">
        <w:rPr>
          <w:rFonts w:cs="Arial"/>
        </w:rPr>
        <w:t xml:space="preserve">) are traded as ornamental species, and of these 11, there are seven records (representing only two species) on </w:t>
      </w:r>
      <w:proofErr w:type="spellStart"/>
      <w:r w:rsidRPr="00B56069">
        <w:rPr>
          <w:rFonts w:cs="Arial"/>
        </w:rPr>
        <w:t>FishBase</w:t>
      </w:r>
      <w:proofErr w:type="spellEnd"/>
      <w:r w:rsidRPr="00B56069">
        <w:rPr>
          <w:rFonts w:cs="Arial"/>
        </w:rPr>
        <w:t xml:space="preserve"> of Puntius species being found to have established wild populations outside the countries to which they are native. As internationally traded species, it is reasonable to assume that these 11 species have been introduced to non-native environments many times over the past several decades of international trade – conservatively assumed to be 50 introductions for the purposes of this risk assessment</w:t>
      </w:r>
      <w:r w:rsidR="00BD6F8C" w:rsidRPr="00B56069">
        <w:rPr>
          <w:rFonts w:cs="Arial"/>
        </w:rPr>
        <w:t>. T</w:t>
      </w:r>
      <w:r w:rsidRPr="00B56069">
        <w:rPr>
          <w:rFonts w:cs="Arial"/>
        </w:rPr>
        <w:t xml:space="preserve">his level of </w:t>
      </w:r>
      <w:r w:rsidR="00BD6F8C" w:rsidRPr="00B56069">
        <w:rPr>
          <w:rFonts w:cs="Arial"/>
        </w:rPr>
        <w:t xml:space="preserve">assumed </w:t>
      </w:r>
      <w:r w:rsidRPr="00B56069">
        <w:rPr>
          <w:rFonts w:cs="Arial"/>
        </w:rPr>
        <w:t>introductions has resulted in 7 established populations of two species. The ‘genus level’ taxa risk is therefore 7/50 (14%).</w:t>
      </w:r>
      <w:r w:rsidRPr="00B56069">
        <w:t xml:space="preserve"> </w:t>
      </w:r>
    </w:p>
    <w:p w14:paraId="3AEA59CD" w14:textId="77777777" w:rsidR="00C32F21" w:rsidRPr="00B56069" w:rsidRDefault="00C32F21" w:rsidP="00C32F21">
      <w:pPr>
        <w:tabs>
          <w:tab w:val="left" w:pos="0"/>
        </w:tabs>
        <w:rPr>
          <w:b/>
          <w:bCs/>
        </w:rPr>
      </w:pPr>
      <w:r w:rsidRPr="00B56069">
        <w:rPr>
          <w:b/>
          <w:bCs/>
        </w:rPr>
        <w:t>Potential impacts of established feral populations</w:t>
      </w:r>
    </w:p>
    <w:p w14:paraId="4B83D135" w14:textId="77777777" w:rsidR="00C32F21" w:rsidRPr="00B56069" w:rsidRDefault="00C32F21" w:rsidP="00C32F21">
      <w:pPr>
        <w:tabs>
          <w:tab w:val="left" w:pos="0"/>
        </w:tabs>
        <w:rPr>
          <w:rFonts w:cs="Arial"/>
        </w:rPr>
      </w:pPr>
      <w:proofErr w:type="spellStart"/>
      <w:r w:rsidRPr="00B56069">
        <w:rPr>
          <w:rFonts w:cs="Arial"/>
          <w:i/>
        </w:rPr>
        <w:t>Sahyadria</w:t>
      </w:r>
      <w:proofErr w:type="spellEnd"/>
      <w:r w:rsidRPr="00B56069">
        <w:rPr>
          <w:rFonts w:cs="Arial"/>
          <w:i/>
        </w:rPr>
        <w:t xml:space="preserve"> </w:t>
      </w:r>
      <w:proofErr w:type="spellStart"/>
      <w:r w:rsidRPr="00B56069">
        <w:rPr>
          <w:rFonts w:cs="Arial"/>
          <w:i/>
        </w:rPr>
        <w:t>denisonii</w:t>
      </w:r>
      <w:proofErr w:type="spellEnd"/>
      <w:r w:rsidRPr="00B56069">
        <w:rPr>
          <w:rFonts w:cs="Arial"/>
        </w:rPr>
        <w:t xml:space="preserve"> is a schooling nonaggressive fish that is not reported to be territorial or to change its habitat. If a population did manage to become established in the wild in Australia it may compete for food resources with native fish, this would include small invertebrates and zooplankton. As there are no reports of any </w:t>
      </w:r>
      <w:proofErr w:type="spellStart"/>
      <w:r w:rsidRPr="00B56069">
        <w:rPr>
          <w:rFonts w:cs="Arial"/>
          <w:i/>
        </w:rPr>
        <w:t>Sahyadria</w:t>
      </w:r>
      <w:proofErr w:type="spellEnd"/>
      <w:r w:rsidRPr="00B56069">
        <w:rPr>
          <w:rFonts w:cs="Arial"/>
          <w:i/>
          <w:iCs/>
        </w:rPr>
        <w:t xml:space="preserve"> </w:t>
      </w:r>
      <w:r w:rsidRPr="00B56069">
        <w:rPr>
          <w:rFonts w:cs="Arial"/>
        </w:rPr>
        <w:t>species establishing feral populations direct impacts are not certain but unlikely.</w:t>
      </w:r>
    </w:p>
    <w:p w14:paraId="1AFDBFE3" w14:textId="7C5F8ABA" w:rsidR="00C32F21" w:rsidRPr="00B56069" w:rsidRDefault="00C32F21" w:rsidP="00C32F21">
      <w:pPr>
        <w:tabs>
          <w:tab w:val="left" w:pos="0"/>
        </w:tabs>
        <w:rPr>
          <w:rFonts w:cs="Arial"/>
        </w:rPr>
      </w:pPr>
      <w:r w:rsidRPr="00B56069">
        <w:rPr>
          <w:rFonts w:cs="Arial"/>
          <w:i/>
        </w:rPr>
        <w:t xml:space="preserve">S. </w:t>
      </w:r>
      <w:proofErr w:type="spellStart"/>
      <w:r w:rsidRPr="00B56069">
        <w:rPr>
          <w:rFonts w:cs="Arial"/>
          <w:i/>
        </w:rPr>
        <w:t>denisonii</w:t>
      </w:r>
      <w:proofErr w:type="spellEnd"/>
      <w:r w:rsidRPr="00B56069">
        <w:rPr>
          <w:rFonts w:cs="Arial"/>
        </w:rPr>
        <w:t xml:space="preserve"> poses a minor </w:t>
      </w:r>
      <w:r w:rsidR="00402176" w:rsidRPr="00B56069">
        <w:rPr>
          <w:rFonts w:cs="Arial"/>
        </w:rPr>
        <w:t xml:space="preserve">impact </w:t>
      </w:r>
      <w:r w:rsidRPr="00B56069">
        <w:rPr>
          <w:rFonts w:cs="Arial"/>
        </w:rPr>
        <w:t xml:space="preserve">risk to the Australian environment as they have been freely traded internationally for many years, with no evidence of establishment of feral populations or any detrimental impact in any other country. </w:t>
      </w:r>
    </w:p>
    <w:p w14:paraId="13B734F2" w14:textId="77777777" w:rsidR="00C32F21" w:rsidRPr="00B56069" w:rsidRDefault="00C32F21" w:rsidP="00737E87">
      <w:pPr>
        <w:pStyle w:val="Heading4"/>
        <w:tabs>
          <w:tab w:val="left" w:pos="0"/>
        </w:tabs>
        <w:spacing w:after="60"/>
      </w:pPr>
      <w:r w:rsidRPr="00B56069">
        <w:t>Disease transmission to Australian fish and aquarium fish populations</w:t>
      </w:r>
    </w:p>
    <w:p w14:paraId="7676D458" w14:textId="77777777" w:rsidR="00C32F21" w:rsidRPr="00B56069" w:rsidRDefault="00C32F21" w:rsidP="00C32F21">
      <w:pPr>
        <w:tabs>
          <w:tab w:val="left" w:pos="0"/>
        </w:tabs>
        <w:rPr>
          <w:rFonts w:cs="Arial"/>
          <w:b/>
        </w:rPr>
      </w:pPr>
      <w:r w:rsidRPr="00B56069">
        <w:t>No significant pests or diseases have been associated with this species, including any of the diseases to which there are disease-specific risk management measures applied for importation of ornamental fish to Australia. The barbs as a group are considered of low risk in terms of disease risk in that they are subject to the minimum one-week post arrival quarantine isolation on importation to Australia (DAWE 2020b).</w:t>
      </w:r>
    </w:p>
    <w:p w14:paraId="3EE0C0AB" w14:textId="6F7E0F0D" w:rsidR="00C32F21" w:rsidRPr="00B56069" w:rsidRDefault="008C4E29" w:rsidP="00C32F21">
      <w:pPr>
        <w:tabs>
          <w:tab w:val="left" w:pos="0"/>
        </w:tabs>
        <w:rPr>
          <w:rFonts w:cs="Arial"/>
          <w:b/>
        </w:rPr>
      </w:pPr>
      <w:r w:rsidRPr="00B56069">
        <w:rPr>
          <w:rFonts w:cs="Arial"/>
          <w:b/>
        </w:rPr>
        <w:br/>
      </w:r>
      <w:proofErr w:type="spellStart"/>
      <w:r w:rsidR="00C32F21" w:rsidRPr="00B56069">
        <w:rPr>
          <w:rFonts w:cs="Arial"/>
          <w:b/>
        </w:rPr>
        <w:t>Bomford</w:t>
      </w:r>
      <w:proofErr w:type="spellEnd"/>
      <w:r w:rsidR="00C32F21" w:rsidRPr="00B56069">
        <w:rPr>
          <w:rFonts w:cs="Arial"/>
          <w:b/>
        </w:rPr>
        <w:t xml:space="preserve"> 2008 Exotic Freshwater Fish Risk Assessment Model </w:t>
      </w:r>
    </w:p>
    <w:tbl>
      <w:tblPr>
        <w:tblW w:w="8796" w:type="dxa"/>
        <w:tblInd w:w="-5" w:type="dxa"/>
        <w:tblLook w:val="04A0" w:firstRow="1" w:lastRow="0" w:firstColumn="1" w:lastColumn="0" w:noHBand="0" w:noVBand="1"/>
      </w:tblPr>
      <w:tblGrid>
        <w:gridCol w:w="1985"/>
        <w:gridCol w:w="850"/>
        <w:gridCol w:w="1000"/>
        <w:gridCol w:w="4961"/>
      </w:tblGrid>
      <w:tr w:rsidR="00C32F21" w:rsidRPr="00B56069" w14:paraId="3EEDEF61" w14:textId="77777777" w:rsidTr="00B83672">
        <w:trPr>
          <w:trHeight w:val="152"/>
        </w:trPr>
        <w:tc>
          <w:tcPr>
            <w:tcW w:w="3835" w:type="dxa"/>
            <w:gridSpan w:val="3"/>
            <w:tcBorders>
              <w:top w:val="single" w:sz="4" w:space="0" w:color="auto"/>
              <w:left w:val="single" w:sz="4" w:space="0" w:color="auto"/>
              <w:bottom w:val="single" w:sz="4" w:space="0" w:color="auto"/>
              <w:right w:val="single" w:sz="4" w:space="0" w:color="000000"/>
            </w:tcBorders>
            <w:hideMark/>
          </w:tcPr>
          <w:p w14:paraId="4F4C317E" w14:textId="77777777" w:rsidR="00C32F21" w:rsidRPr="00B56069" w:rsidRDefault="00C32F21" w:rsidP="00B83672">
            <w:pPr>
              <w:spacing w:after="100" w:afterAutospacing="1"/>
              <w:rPr>
                <w:rFonts w:cs="Arial"/>
                <w:lang w:eastAsia="en-AU"/>
              </w:rPr>
            </w:pPr>
            <w:r w:rsidRPr="00B56069">
              <w:rPr>
                <w:rFonts w:cs="Arial"/>
                <w:lang w:eastAsia="en-AU"/>
              </w:rPr>
              <w:lastRenderedPageBreak/>
              <w:t>Common name</w:t>
            </w:r>
          </w:p>
        </w:tc>
        <w:tc>
          <w:tcPr>
            <w:tcW w:w="4961" w:type="dxa"/>
            <w:tcBorders>
              <w:top w:val="single" w:sz="4" w:space="0" w:color="auto"/>
              <w:left w:val="nil"/>
              <w:bottom w:val="single" w:sz="4" w:space="0" w:color="auto"/>
              <w:right w:val="single" w:sz="4" w:space="0" w:color="auto"/>
            </w:tcBorders>
            <w:shd w:val="clear" w:color="000000" w:fill="CCFFCC"/>
            <w:hideMark/>
          </w:tcPr>
          <w:p w14:paraId="391392A7" w14:textId="0DB860F0" w:rsidR="00C32F21" w:rsidRPr="00B56069" w:rsidRDefault="00C32F21" w:rsidP="00B83672">
            <w:pPr>
              <w:spacing w:after="100" w:afterAutospacing="1"/>
              <w:rPr>
                <w:rFonts w:cs="Arial"/>
                <w:lang w:eastAsia="en-AU"/>
              </w:rPr>
            </w:pPr>
            <w:r w:rsidRPr="00B56069">
              <w:rPr>
                <w:rFonts w:cs="Arial"/>
                <w:lang w:eastAsia="en-AU"/>
              </w:rPr>
              <w:t>Torpedo barb</w:t>
            </w:r>
            <w:r w:rsidR="001E1382" w:rsidRPr="00B56069">
              <w:rPr>
                <w:rFonts w:cs="Arial"/>
                <w:lang w:eastAsia="en-AU"/>
              </w:rPr>
              <w:t xml:space="preserve"> </w:t>
            </w:r>
          </w:p>
        </w:tc>
      </w:tr>
      <w:tr w:rsidR="00C32F21" w:rsidRPr="00B56069" w14:paraId="278EBD52" w14:textId="77777777" w:rsidTr="00B83672">
        <w:trPr>
          <w:trHeight w:val="152"/>
        </w:trPr>
        <w:tc>
          <w:tcPr>
            <w:tcW w:w="3835" w:type="dxa"/>
            <w:gridSpan w:val="3"/>
            <w:tcBorders>
              <w:top w:val="single" w:sz="4" w:space="0" w:color="auto"/>
              <w:left w:val="single" w:sz="4" w:space="0" w:color="auto"/>
              <w:bottom w:val="single" w:sz="4" w:space="0" w:color="auto"/>
              <w:right w:val="single" w:sz="4" w:space="0" w:color="000000"/>
            </w:tcBorders>
            <w:hideMark/>
          </w:tcPr>
          <w:p w14:paraId="4905267E" w14:textId="77777777" w:rsidR="00C32F21" w:rsidRPr="00B56069" w:rsidRDefault="00C32F21" w:rsidP="00B83672">
            <w:pPr>
              <w:spacing w:after="100" w:afterAutospacing="1"/>
              <w:rPr>
                <w:rFonts w:cs="Arial"/>
                <w:lang w:eastAsia="en-AU"/>
              </w:rPr>
            </w:pPr>
            <w:r w:rsidRPr="00B56069">
              <w:rPr>
                <w:rFonts w:cs="Arial"/>
                <w:lang w:eastAsia="en-AU"/>
              </w:rPr>
              <w:t>Scientific name</w:t>
            </w:r>
          </w:p>
        </w:tc>
        <w:tc>
          <w:tcPr>
            <w:tcW w:w="4961" w:type="dxa"/>
            <w:tcBorders>
              <w:top w:val="nil"/>
              <w:left w:val="nil"/>
              <w:bottom w:val="single" w:sz="4" w:space="0" w:color="auto"/>
              <w:right w:val="single" w:sz="4" w:space="0" w:color="auto"/>
            </w:tcBorders>
            <w:shd w:val="clear" w:color="000000" w:fill="CCFFCC"/>
            <w:hideMark/>
          </w:tcPr>
          <w:p w14:paraId="65A289D6" w14:textId="37EE415E" w:rsidR="00C32F21" w:rsidRPr="00B56069" w:rsidRDefault="00C32F21" w:rsidP="00B83672">
            <w:pPr>
              <w:spacing w:after="100" w:afterAutospacing="1"/>
              <w:rPr>
                <w:rFonts w:cs="Arial"/>
                <w:i/>
                <w:iCs/>
                <w:lang w:eastAsia="en-AU"/>
              </w:rPr>
            </w:pPr>
            <w:proofErr w:type="spellStart"/>
            <w:r w:rsidRPr="00B56069">
              <w:rPr>
                <w:rFonts w:cs="Arial"/>
                <w:i/>
              </w:rPr>
              <w:t>Sahyadria</w:t>
            </w:r>
            <w:proofErr w:type="spellEnd"/>
            <w:r w:rsidRPr="00B56069">
              <w:rPr>
                <w:rFonts w:cs="Arial"/>
                <w:i/>
              </w:rPr>
              <w:t xml:space="preserve"> </w:t>
            </w:r>
            <w:proofErr w:type="spellStart"/>
            <w:r w:rsidRPr="00B56069">
              <w:rPr>
                <w:rFonts w:cs="Arial"/>
                <w:i/>
              </w:rPr>
              <w:t>denisonii</w:t>
            </w:r>
            <w:proofErr w:type="spellEnd"/>
            <w:r w:rsidR="001E1382" w:rsidRPr="00B56069">
              <w:rPr>
                <w:rFonts w:cs="Arial"/>
                <w:i/>
              </w:rPr>
              <w:t xml:space="preserve"> </w:t>
            </w:r>
            <w:r w:rsidR="001E1382" w:rsidRPr="00B56069">
              <w:t>Day 1865</w:t>
            </w:r>
          </w:p>
        </w:tc>
      </w:tr>
      <w:tr w:rsidR="00C32F21" w:rsidRPr="00B56069" w14:paraId="4D6758FB" w14:textId="77777777" w:rsidTr="00B83672">
        <w:trPr>
          <w:trHeight w:val="47"/>
        </w:trPr>
        <w:tc>
          <w:tcPr>
            <w:tcW w:w="3835" w:type="dxa"/>
            <w:gridSpan w:val="3"/>
            <w:tcBorders>
              <w:top w:val="single" w:sz="4" w:space="0" w:color="auto"/>
              <w:left w:val="single" w:sz="4" w:space="0" w:color="auto"/>
              <w:bottom w:val="single" w:sz="4" w:space="0" w:color="auto"/>
              <w:right w:val="single" w:sz="4" w:space="0" w:color="000000"/>
            </w:tcBorders>
            <w:hideMark/>
          </w:tcPr>
          <w:p w14:paraId="2A01BFD1" w14:textId="77777777" w:rsidR="00C32F21" w:rsidRPr="00B56069" w:rsidRDefault="00C32F21" w:rsidP="00B83672">
            <w:pPr>
              <w:spacing w:after="100" w:afterAutospacing="1"/>
              <w:rPr>
                <w:rFonts w:cs="Arial"/>
                <w:lang w:eastAsia="en-AU"/>
              </w:rPr>
            </w:pPr>
            <w:r w:rsidRPr="00B56069">
              <w:rPr>
                <w:rFonts w:cs="Arial"/>
                <w:lang w:eastAsia="en-AU"/>
              </w:rPr>
              <w:t>Date assessed</w:t>
            </w:r>
          </w:p>
        </w:tc>
        <w:tc>
          <w:tcPr>
            <w:tcW w:w="4961" w:type="dxa"/>
            <w:tcBorders>
              <w:top w:val="nil"/>
              <w:left w:val="nil"/>
              <w:bottom w:val="single" w:sz="4" w:space="0" w:color="auto"/>
              <w:right w:val="single" w:sz="4" w:space="0" w:color="auto"/>
            </w:tcBorders>
            <w:shd w:val="clear" w:color="000000" w:fill="CCFFCC"/>
            <w:hideMark/>
          </w:tcPr>
          <w:p w14:paraId="20288447" w14:textId="77777777" w:rsidR="00C32F21" w:rsidRPr="00B56069" w:rsidRDefault="00C32F21" w:rsidP="00B83672">
            <w:pPr>
              <w:spacing w:after="100" w:afterAutospacing="1"/>
              <w:rPr>
                <w:rFonts w:cs="Arial"/>
                <w:lang w:eastAsia="en-AU"/>
              </w:rPr>
            </w:pPr>
            <w:bookmarkStart w:id="26" w:name="RANGE!C10:D13"/>
            <w:bookmarkStart w:id="27" w:name="RANGE!D12"/>
            <w:bookmarkEnd w:id="26"/>
            <w:bookmarkEnd w:id="27"/>
            <w:r w:rsidRPr="00B56069">
              <w:rPr>
                <w:rFonts w:cs="Arial"/>
                <w:lang w:eastAsia="en-AU"/>
              </w:rPr>
              <w:t>10 October 2020</w:t>
            </w:r>
          </w:p>
        </w:tc>
      </w:tr>
      <w:tr w:rsidR="00C32F21" w:rsidRPr="00B56069" w14:paraId="2D6BF10E" w14:textId="77777777" w:rsidTr="00B83672">
        <w:trPr>
          <w:trHeight w:val="152"/>
        </w:trPr>
        <w:tc>
          <w:tcPr>
            <w:tcW w:w="3835" w:type="dxa"/>
            <w:gridSpan w:val="3"/>
            <w:tcBorders>
              <w:top w:val="single" w:sz="4" w:space="0" w:color="auto"/>
              <w:left w:val="single" w:sz="4" w:space="0" w:color="auto"/>
              <w:bottom w:val="single" w:sz="4" w:space="0" w:color="auto"/>
              <w:right w:val="single" w:sz="4" w:space="0" w:color="000000"/>
            </w:tcBorders>
            <w:hideMark/>
          </w:tcPr>
          <w:p w14:paraId="10CD7013" w14:textId="77777777" w:rsidR="00C32F21" w:rsidRPr="00B56069" w:rsidRDefault="00C32F21" w:rsidP="00B83672">
            <w:pPr>
              <w:spacing w:after="100" w:afterAutospacing="1"/>
              <w:rPr>
                <w:rFonts w:cs="Arial"/>
                <w:lang w:eastAsia="en-AU"/>
              </w:rPr>
            </w:pPr>
            <w:r w:rsidRPr="00B56069">
              <w:rPr>
                <w:rFonts w:cs="Arial"/>
                <w:lang w:eastAsia="en-AU"/>
              </w:rPr>
              <w:t xml:space="preserve">Literature Search Type and Date:  </w:t>
            </w:r>
          </w:p>
        </w:tc>
        <w:tc>
          <w:tcPr>
            <w:tcW w:w="4961" w:type="dxa"/>
            <w:tcBorders>
              <w:top w:val="nil"/>
              <w:left w:val="nil"/>
              <w:bottom w:val="single" w:sz="4" w:space="0" w:color="auto"/>
              <w:right w:val="single" w:sz="4" w:space="0" w:color="auto"/>
            </w:tcBorders>
            <w:shd w:val="clear" w:color="000000" w:fill="CCFFCC"/>
            <w:hideMark/>
          </w:tcPr>
          <w:p w14:paraId="3451490B" w14:textId="77777777" w:rsidR="00C32F21" w:rsidRPr="00B56069" w:rsidRDefault="00C32F21" w:rsidP="00B83672">
            <w:pPr>
              <w:spacing w:after="100" w:afterAutospacing="1"/>
              <w:rPr>
                <w:rFonts w:cs="Arial"/>
                <w:lang w:eastAsia="en-AU"/>
              </w:rPr>
            </w:pPr>
            <w:proofErr w:type="spellStart"/>
            <w:r w:rsidRPr="00B56069">
              <w:rPr>
                <w:rFonts w:cs="Arial"/>
                <w:lang w:eastAsia="en-AU"/>
              </w:rPr>
              <w:t>FishBase</w:t>
            </w:r>
            <w:proofErr w:type="spellEnd"/>
            <w:r w:rsidRPr="00B56069">
              <w:rPr>
                <w:rFonts w:cs="Arial"/>
                <w:lang w:eastAsia="en-AU"/>
              </w:rPr>
              <w:t xml:space="preserve"> October 2020</w:t>
            </w:r>
          </w:p>
        </w:tc>
      </w:tr>
      <w:tr w:rsidR="00C32F21" w:rsidRPr="00B56069" w14:paraId="6B5841FE" w14:textId="77777777" w:rsidTr="00737E87">
        <w:trPr>
          <w:trHeight w:val="152"/>
        </w:trPr>
        <w:tc>
          <w:tcPr>
            <w:tcW w:w="1985" w:type="dxa"/>
            <w:tcBorders>
              <w:top w:val="nil"/>
              <w:left w:val="nil"/>
              <w:bottom w:val="nil"/>
              <w:right w:val="nil"/>
            </w:tcBorders>
            <w:hideMark/>
          </w:tcPr>
          <w:p w14:paraId="210B798F" w14:textId="77777777" w:rsidR="00C32F21" w:rsidRPr="00B56069" w:rsidRDefault="00C32F21" w:rsidP="00B83672">
            <w:pPr>
              <w:rPr>
                <w:rFonts w:cs="Arial"/>
                <w:lang w:eastAsia="en-AU"/>
              </w:rPr>
            </w:pPr>
          </w:p>
        </w:tc>
        <w:tc>
          <w:tcPr>
            <w:tcW w:w="850" w:type="dxa"/>
            <w:tcBorders>
              <w:top w:val="nil"/>
              <w:left w:val="nil"/>
              <w:bottom w:val="nil"/>
              <w:right w:val="nil"/>
            </w:tcBorders>
            <w:hideMark/>
          </w:tcPr>
          <w:p w14:paraId="504323C3" w14:textId="77777777" w:rsidR="00C32F21" w:rsidRPr="00B56069" w:rsidRDefault="00C32F21" w:rsidP="00B83672">
            <w:pPr>
              <w:rPr>
                <w:rFonts w:cs="Arial"/>
                <w:lang w:eastAsia="en-AU"/>
              </w:rPr>
            </w:pPr>
          </w:p>
        </w:tc>
        <w:tc>
          <w:tcPr>
            <w:tcW w:w="5961" w:type="dxa"/>
            <w:gridSpan w:val="2"/>
            <w:tcBorders>
              <w:top w:val="nil"/>
              <w:left w:val="nil"/>
              <w:bottom w:val="nil"/>
              <w:right w:val="nil"/>
            </w:tcBorders>
            <w:hideMark/>
          </w:tcPr>
          <w:p w14:paraId="3ABFCE40" w14:textId="77777777" w:rsidR="00C32F21" w:rsidRPr="00B56069" w:rsidRDefault="00C32F21" w:rsidP="00B83672">
            <w:pPr>
              <w:rPr>
                <w:rFonts w:cs="Arial"/>
                <w:lang w:eastAsia="en-AU"/>
              </w:rPr>
            </w:pPr>
          </w:p>
        </w:tc>
      </w:tr>
      <w:tr w:rsidR="00C32F21" w:rsidRPr="00B56069" w14:paraId="78343850" w14:textId="77777777" w:rsidTr="00737E87">
        <w:trPr>
          <w:trHeight w:val="461"/>
        </w:trPr>
        <w:tc>
          <w:tcPr>
            <w:tcW w:w="1985" w:type="dxa"/>
            <w:tcBorders>
              <w:top w:val="single" w:sz="4" w:space="0" w:color="auto"/>
              <w:left w:val="single" w:sz="4" w:space="0" w:color="auto"/>
              <w:bottom w:val="single" w:sz="4" w:space="0" w:color="auto"/>
              <w:right w:val="single" w:sz="4" w:space="0" w:color="auto"/>
            </w:tcBorders>
            <w:vAlign w:val="center"/>
          </w:tcPr>
          <w:p w14:paraId="33E897D3" w14:textId="77777777" w:rsidR="00C32F21" w:rsidRPr="00B56069" w:rsidRDefault="00C32F21" w:rsidP="00B83672">
            <w:pPr>
              <w:spacing w:after="0"/>
              <w:jc w:val="both"/>
              <w:rPr>
                <w:rFonts w:cs="Arial"/>
                <w:b/>
                <w:bCs/>
                <w:lang w:eastAsia="en-AU"/>
              </w:rPr>
            </w:pPr>
            <w:r w:rsidRPr="00B56069">
              <w:rPr>
                <w:rFonts w:cs="Arial"/>
                <w:b/>
                <w:bCs/>
                <w:lang w:eastAsia="en-AU"/>
              </w:rPr>
              <w:t>Risk criterion</w:t>
            </w:r>
          </w:p>
        </w:tc>
        <w:tc>
          <w:tcPr>
            <w:tcW w:w="850" w:type="dxa"/>
            <w:tcBorders>
              <w:top w:val="single" w:sz="4" w:space="0" w:color="auto"/>
              <w:left w:val="nil"/>
              <w:bottom w:val="single" w:sz="4" w:space="0" w:color="auto"/>
              <w:right w:val="single" w:sz="4" w:space="0" w:color="auto"/>
            </w:tcBorders>
            <w:shd w:val="clear" w:color="000000" w:fill="CCFFCC"/>
            <w:vAlign w:val="center"/>
          </w:tcPr>
          <w:p w14:paraId="7D153884" w14:textId="77777777" w:rsidR="00C32F21" w:rsidRPr="00B56069" w:rsidRDefault="00C32F21" w:rsidP="00B83672">
            <w:pPr>
              <w:spacing w:after="0"/>
              <w:jc w:val="both"/>
              <w:rPr>
                <w:rFonts w:cs="Arial"/>
                <w:b/>
                <w:bCs/>
                <w:lang w:eastAsia="en-AU"/>
              </w:rPr>
            </w:pPr>
            <w:r w:rsidRPr="00B56069">
              <w:rPr>
                <w:rFonts w:cs="Arial"/>
                <w:b/>
                <w:bCs/>
                <w:lang w:eastAsia="en-AU"/>
              </w:rPr>
              <w:t>Value</w:t>
            </w:r>
          </w:p>
        </w:tc>
        <w:tc>
          <w:tcPr>
            <w:tcW w:w="5961" w:type="dxa"/>
            <w:gridSpan w:val="2"/>
            <w:tcBorders>
              <w:top w:val="single" w:sz="4" w:space="0" w:color="auto"/>
              <w:left w:val="nil"/>
              <w:bottom w:val="single" w:sz="4" w:space="0" w:color="auto"/>
              <w:right w:val="single" w:sz="4" w:space="0" w:color="auto"/>
            </w:tcBorders>
            <w:vAlign w:val="center"/>
          </w:tcPr>
          <w:p w14:paraId="32260901" w14:textId="77777777" w:rsidR="00C32F21" w:rsidRPr="00B56069" w:rsidRDefault="00C32F21" w:rsidP="00B83672">
            <w:pPr>
              <w:spacing w:after="0"/>
              <w:jc w:val="both"/>
              <w:rPr>
                <w:rFonts w:cs="Arial"/>
                <w:b/>
                <w:bCs/>
                <w:lang w:eastAsia="en-AU"/>
              </w:rPr>
            </w:pPr>
            <w:r w:rsidRPr="00B56069">
              <w:rPr>
                <w:rFonts w:cs="Arial"/>
                <w:b/>
                <w:bCs/>
                <w:lang w:eastAsia="en-AU"/>
              </w:rPr>
              <w:t>Explanation</w:t>
            </w:r>
          </w:p>
        </w:tc>
      </w:tr>
      <w:tr w:rsidR="00C32F21" w:rsidRPr="00B56069" w14:paraId="53D4DA77" w14:textId="77777777" w:rsidTr="00737E87">
        <w:trPr>
          <w:trHeight w:val="461"/>
        </w:trPr>
        <w:tc>
          <w:tcPr>
            <w:tcW w:w="1985" w:type="dxa"/>
            <w:tcBorders>
              <w:top w:val="single" w:sz="4" w:space="0" w:color="auto"/>
              <w:left w:val="single" w:sz="4" w:space="0" w:color="auto"/>
              <w:bottom w:val="single" w:sz="4" w:space="0" w:color="auto"/>
              <w:right w:val="single" w:sz="4" w:space="0" w:color="auto"/>
            </w:tcBorders>
            <w:hideMark/>
          </w:tcPr>
          <w:p w14:paraId="066143CF" w14:textId="77777777" w:rsidR="00C32F21" w:rsidRPr="00B56069" w:rsidRDefault="00C32F21" w:rsidP="00C32F21">
            <w:pPr>
              <w:pStyle w:val="ListBullet2"/>
              <w:numPr>
                <w:ilvl w:val="0"/>
                <w:numId w:val="14"/>
              </w:numPr>
              <w:spacing w:after="0"/>
              <w:rPr>
                <w:rFonts w:cs="Arial"/>
                <w:lang w:eastAsia="en-AU"/>
              </w:rPr>
            </w:pPr>
            <w:r w:rsidRPr="00B56069">
              <w:rPr>
                <w:rFonts w:cs="Arial"/>
                <w:lang w:eastAsia="en-AU"/>
              </w:rPr>
              <w:t>Climate Match Score (1–8)</w:t>
            </w:r>
          </w:p>
        </w:tc>
        <w:tc>
          <w:tcPr>
            <w:tcW w:w="850" w:type="dxa"/>
            <w:tcBorders>
              <w:top w:val="single" w:sz="4" w:space="0" w:color="auto"/>
              <w:left w:val="nil"/>
              <w:bottom w:val="single" w:sz="4" w:space="0" w:color="auto"/>
              <w:right w:val="single" w:sz="4" w:space="0" w:color="auto"/>
            </w:tcBorders>
            <w:shd w:val="clear" w:color="000000" w:fill="CCFFCC"/>
            <w:hideMark/>
          </w:tcPr>
          <w:p w14:paraId="5C7321A8" w14:textId="5A616D45" w:rsidR="00C32F21" w:rsidRPr="00B56069" w:rsidRDefault="00853689" w:rsidP="00B83672">
            <w:pPr>
              <w:spacing w:after="0"/>
              <w:jc w:val="center"/>
              <w:rPr>
                <w:rFonts w:cs="Arial"/>
                <w:lang w:eastAsia="en-AU"/>
              </w:rPr>
            </w:pPr>
            <w:bookmarkStart w:id="28" w:name="RANGE!C16:C20"/>
            <w:bookmarkEnd w:id="28"/>
            <w:r w:rsidRPr="00B56069">
              <w:rPr>
                <w:rFonts w:cs="Arial"/>
                <w:lang w:eastAsia="en-AU"/>
              </w:rPr>
              <w:t>6</w:t>
            </w:r>
          </w:p>
        </w:tc>
        <w:tc>
          <w:tcPr>
            <w:tcW w:w="5961" w:type="dxa"/>
            <w:gridSpan w:val="2"/>
            <w:tcBorders>
              <w:top w:val="single" w:sz="4" w:space="0" w:color="auto"/>
              <w:left w:val="nil"/>
              <w:bottom w:val="single" w:sz="4" w:space="0" w:color="auto"/>
              <w:right w:val="single" w:sz="4" w:space="0" w:color="auto"/>
            </w:tcBorders>
            <w:hideMark/>
          </w:tcPr>
          <w:p w14:paraId="47DF127B" w14:textId="1F094F68" w:rsidR="00C32F21" w:rsidRPr="00B56069" w:rsidRDefault="000B1222" w:rsidP="00516E61">
            <w:pPr>
              <w:spacing w:after="0"/>
              <w:rPr>
                <w:rFonts w:cs="Arial"/>
                <w:bCs/>
                <w:lang w:eastAsia="en-AU"/>
              </w:rPr>
            </w:pPr>
            <w:proofErr w:type="spellStart"/>
            <w:r w:rsidRPr="00B56069">
              <w:rPr>
                <w:rFonts w:cs="Arial"/>
                <w:bCs/>
                <w:lang w:eastAsia="en-AU"/>
              </w:rPr>
              <w:t>Climatch</w:t>
            </w:r>
            <w:proofErr w:type="spellEnd"/>
            <w:r w:rsidR="00516E61" w:rsidRPr="00B56069">
              <w:rPr>
                <w:rFonts w:cs="Arial"/>
                <w:bCs/>
                <w:lang w:eastAsia="en-AU"/>
              </w:rPr>
              <w:t xml:space="preserve"> </w:t>
            </w:r>
            <w:r w:rsidR="00B46616" w:rsidRPr="00B56069">
              <w:rPr>
                <w:rFonts w:cs="Arial"/>
                <w:bCs/>
                <w:lang w:eastAsia="en-AU"/>
              </w:rPr>
              <w:t xml:space="preserve">(v1.0) </w:t>
            </w:r>
            <w:r w:rsidR="00516E61" w:rsidRPr="00B56069">
              <w:rPr>
                <w:rFonts w:cs="Arial"/>
                <w:bCs/>
                <w:lang w:eastAsia="en-AU"/>
              </w:rPr>
              <w:t>Euclidian Sum Level 5 (Value X) =</w:t>
            </w:r>
            <w:r w:rsidR="00B46616" w:rsidRPr="00B56069">
              <w:rPr>
                <w:rFonts w:cs="Arial"/>
                <w:bCs/>
                <w:lang w:eastAsia="en-AU"/>
              </w:rPr>
              <w:t xml:space="preserve"> </w:t>
            </w:r>
            <w:r w:rsidR="00853689" w:rsidRPr="00B56069">
              <w:rPr>
                <w:rFonts w:cs="Arial"/>
                <w:bCs/>
                <w:lang w:eastAsia="en-AU"/>
              </w:rPr>
              <w:t>655</w:t>
            </w:r>
            <w:r w:rsidR="00B46616" w:rsidRPr="00B56069">
              <w:rPr>
                <w:rFonts w:cs="Arial"/>
                <w:bCs/>
                <w:lang w:eastAsia="en-AU"/>
              </w:rPr>
              <w:t xml:space="preserve">. </w:t>
            </w:r>
            <w:r w:rsidR="00942A80" w:rsidRPr="00B56069">
              <w:rPr>
                <w:rFonts w:cs="Arial"/>
                <w:bCs/>
                <w:lang w:eastAsia="en-AU"/>
              </w:rPr>
              <w:t xml:space="preserve">This value </w:t>
            </w:r>
            <w:r w:rsidRPr="00B56069">
              <w:rPr>
                <w:rFonts w:cs="Arial"/>
                <w:bCs/>
                <w:lang w:eastAsia="en-AU"/>
              </w:rPr>
              <w:t xml:space="preserve">equates </w:t>
            </w:r>
            <w:r w:rsidR="0092540F" w:rsidRPr="00B56069">
              <w:rPr>
                <w:rFonts w:cs="Arial"/>
                <w:bCs/>
                <w:lang w:eastAsia="en-AU"/>
              </w:rPr>
              <w:t xml:space="preserve">to </w:t>
            </w:r>
            <w:r w:rsidR="00C32F21" w:rsidRPr="00B56069">
              <w:rPr>
                <w:rFonts w:cs="Arial"/>
                <w:bCs/>
                <w:lang w:eastAsia="en-AU"/>
              </w:rPr>
              <w:t xml:space="preserve">a </w:t>
            </w:r>
            <w:r w:rsidR="00BC5204" w:rsidRPr="00B56069">
              <w:rPr>
                <w:rFonts w:cs="Arial"/>
                <w:bCs/>
                <w:lang w:eastAsia="en-AU"/>
              </w:rPr>
              <w:t xml:space="preserve">climate match </w:t>
            </w:r>
            <w:r w:rsidR="00C32F21" w:rsidRPr="00B56069">
              <w:rPr>
                <w:rFonts w:cs="Arial"/>
                <w:bCs/>
                <w:lang w:eastAsia="en-AU"/>
              </w:rPr>
              <w:t xml:space="preserve">score of </w:t>
            </w:r>
            <w:r w:rsidR="00853689" w:rsidRPr="00B56069">
              <w:rPr>
                <w:rFonts w:cs="Arial"/>
                <w:bCs/>
                <w:lang w:eastAsia="en-AU"/>
              </w:rPr>
              <w:t>5</w:t>
            </w:r>
            <w:r w:rsidR="00C32F21" w:rsidRPr="00B56069">
              <w:rPr>
                <w:rFonts w:cs="Arial"/>
                <w:bCs/>
                <w:lang w:eastAsia="en-AU"/>
              </w:rPr>
              <w:t xml:space="preserve">, </w:t>
            </w:r>
            <w:r w:rsidR="0092540F" w:rsidRPr="00B56069">
              <w:rPr>
                <w:rFonts w:cs="Arial"/>
                <w:bCs/>
                <w:lang w:eastAsia="en-AU"/>
              </w:rPr>
              <w:t xml:space="preserve">which is </w:t>
            </w:r>
            <w:r w:rsidR="00C32F21" w:rsidRPr="00B56069">
              <w:rPr>
                <w:rFonts w:cs="Arial"/>
                <w:bCs/>
                <w:lang w:eastAsia="en-AU"/>
              </w:rPr>
              <w:t xml:space="preserve">increased to </w:t>
            </w:r>
            <w:r w:rsidR="00853689" w:rsidRPr="00B56069">
              <w:rPr>
                <w:rFonts w:cs="Arial"/>
                <w:bCs/>
                <w:lang w:eastAsia="en-AU"/>
              </w:rPr>
              <w:t>6</w:t>
            </w:r>
            <w:r w:rsidR="00C32F21" w:rsidRPr="00B56069">
              <w:rPr>
                <w:rFonts w:cs="Arial"/>
                <w:bCs/>
                <w:lang w:eastAsia="en-AU"/>
              </w:rPr>
              <w:t xml:space="preserve"> </w:t>
            </w:r>
            <w:r w:rsidR="00BC5204" w:rsidRPr="00B56069">
              <w:rPr>
                <w:rFonts w:cs="Arial"/>
                <w:bCs/>
                <w:lang w:eastAsia="en-AU"/>
              </w:rPr>
              <w:t xml:space="preserve">because </w:t>
            </w:r>
            <w:r w:rsidR="00C32F21" w:rsidRPr="00B56069">
              <w:rPr>
                <w:rFonts w:cs="Arial"/>
                <w:bCs/>
                <w:lang w:eastAsia="en-AU"/>
              </w:rPr>
              <w:t xml:space="preserve">there were less than 12 meteorological stations used in the prediction. </w:t>
            </w:r>
          </w:p>
        </w:tc>
      </w:tr>
      <w:tr w:rsidR="00C32F21" w:rsidRPr="00B56069" w14:paraId="14214536" w14:textId="77777777" w:rsidTr="00737E87">
        <w:trPr>
          <w:trHeight w:val="529"/>
        </w:trPr>
        <w:tc>
          <w:tcPr>
            <w:tcW w:w="1985" w:type="dxa"/>
            <w:tcBorders>
              <w:top w:val="nil"/>
              <w:left w:val="single" w:sz="4" w:space="0" w:color="auto"/>
              <w:bottom w:val="single" w:sz="4" w:space="0" w:color="auto"/>
              <w:right w:val="single" w:sz="4" w:space="0" w:color="auto"/>
            </w:tcBorders>
            <w:hideMark/>
          </w:tcPr>
          <w:p w14:paraId="27CDE2A5" w14:textId="77777777" w:rsidR="00C32F21" w:rsidRPr="00B56069" w:rsidRDefault="00C32F21" w:rsidP="00C32F21">
            <w:pPr>
              <w:pStyle w:val="ListBullet2"/>
              <w:numPr>
                <w:ilvl w:val="0"/>
                <w:numId w:val="14"/>
              </w:numPr>
              <w:spacing w:after="0"/>
              <w:rPr>
                <w:rFonts w:cs="Arial"/>
                <w:lang w:eastAsia="en-AU"/>
              </w:rPr>
            </w:pPr>
            <w:r w:rsidRPr="00B56069">
              <w:rPr>
                <w:rFonts w:cs="Arial"/>
                <w:lang w:eastAsia="en-AU"/>
              </w:rPr>
              <w:t>Overseas Range Score (0–4)</w:t>
            </w:r>
          </w:p>
        </w:tc>
        <w:tc>
          <w:tcPr>
            <w:tcW w:w="850" w:type="dxa"/>
            <w:tcBorders>
              <w:top w:val="nil"/>
              <w:left w:val="nil"/>
              <w:bottom w:val="single" w:sz="4" w:space="0" w:color="auto"/>
              <w:right w:val="single" w:sz="4" w:space="0" w:color="auto"/>
            </w:tcBorders>
            <w:shd w:val="clear" w:color="000000" w:fill="CCFFCC"/>
            <w:hideMark/>
          </w:tcPr>
          <w:p w14:paraId="207C9E7F" w14:textId="77777777" w:rsidR="00C32F21" w:rsidRPr="00B56069" w:rsidRDefault="00C32F21" w:rsidP="00B83672">
            <w:pPr>
              <w:spacing w:after="0"/>
              <w:jc w:val="center"/>
              <w:rPr>
                <w:rFonts w:cs="Arial"/>
                <w:lang w:eastAsia="en-AU"/>
              </w:rPr>
            </w:pPr>
            <w:bookmarkStart w:id="29" w:name="RANGE!C17"/>
            <w:bookmarkEnd w:id="29"/>
            <w:r w:rsidRPr="00B56069">
              <w:rPr>
                <w:rFonts w:cs="Arial"/>
                <w:lang w:eastAsia="en-AU"/>
              </w:rPr>
              <w:t>1</w:t>
            </w:r>
          </w:p>
        </w:tc>
        <w:tc>
          <w:tcPr>
            <w:tcW w:w="5961" w:type="dxa"/>
            <w:gridSpan w:val="2"/>
            <w:tcBorders>
              <w:top w:val="nil"/>
              <w:left w:val="nil"/>
              <w:bottom w:val="single" w:sz="4" w:space="0" w:color="auto"/>
              <w:right w:val="single" w:sz="4" w:space="0" w:color="auto"/>
            </w:tcBorders>
            <w:hideMark/>
          </w:tcPr>
          <w:p w14:paraId="67D93DB5" w14:textId="77777777" w:rsidR="00C32F21" w:rsidRPr="00B56069" w:rsidRDefault="00C32F21" w:rsidP="00B83672">
            <w:pPr>
              <w:spacing w:after="0"/>
              <w:rPr>
                <w:rFonts w:cs="Arial"/>
                <w:lang w:eastAsia="en-AU"/>
              </w:rPr>
            </w:pPr>
            <w:r w:rsidRPr="00B56069">
              <w:rPr>
                <w:rFonts w:cs="Arial"/>
                <w:lang w:eastAsia="en-AU"/>
              </w:rPr>
              <w:t>Applying a conservative estimate of 6, 1-degree grid squares.</w:t>
            </w:r>
          </w:p>
        </w:tc>
      </w:tr>
      <w:tr w:rsidR="00C32F21" w:rsidRPr="00B56069" w14:paraId="39916145" w14:textId="77777777" w:rsidTr="00737E87">
        <w:trPr>
          <w:trHeight w:val="152"/>
        </w:trPr>
        <w:tc>
          <w:tcPr>
            <w:tcW w:w="1985" w:type="dxa"/>
            <w:tcBorders>
              <w:top w:val="nil"/>
              <w:left w:val="single" w:sz="4" w:space="0" w:color="auto"/>
              <w:bottom w:val="single" w:sz="4" w:space="0" w:color="auto"/>
              <w:right w:val="single" w:sz="4" w:space="0" w:color="auto"/>
            </w:tcBorders>
            <w:hideMark/>
          </w:tcPr>
          <w:p w14:paraId="5B68F724" w14:textId="77777777" w:rsidR="00C32F21" w:rsidRPr="00B56069" w:rsidRDefault="00C32F21" w:rsidP="00C32F21">
            <w:pPr>
              <w:pStyle w:val="ListBullet2"/>
              <w:numPr>
                <w:ilvl w:val="0"/>
                <w:numId w:val="14"/>
              </w:numPr>
              <w:spacing w:after="0"/>
              <w:rPr>
                <w:rFonts w:cs="Arial"/>
                <w:lang w:eastAsia="en-AU"/>
              </w:rPr>
            </w:pPr>
            <w:r w:rsidRPr="00B56069">
              <w:rPr>
                <w:rFonts w:cs="Arial"/>
                <w:lang w:eastAsia="en-AU"/>
              </w:rPr>
              <w:t>Establishment Score (0–3)</w:t>
            </w:r>
          </w:p>
        </w:tc>
        <w:tc>
          <w:tcPr>
            <w:tcW w:w="850" w:type="dxa"/>
            <w:tcBorders>
              <w:top w:val="nil"/>
              <w:left w:val="nil"/>
              <w:bottom w:val="single" w:sz="4" w:space="0" w:color="auto"/>
              <w:right w:val="single" w:sz="4" w:space="0" w:color="auto"/>
            </w:tcBorders>
            <w:shd w:val="clear" w:color="000000" w:fill="CCFFCC"/>
            <w:hideMark/>
          </w:tcPr>
          <w:p w14:paraId="64DE07B4" w14:textId="77777777" w:rsidR="00C32F21" w:rsidRPr="00B56069" w:rsidRDefault="00C32F21" w:rsidP="00B83672">
            <w:pPr>
              <w:spacing w:after="0"/>
              <w:jc w:val="center"/>
              <w:rPr>
                <w:rFonts w:cs="Arial"/>
                <w:lang w:eastAsia="en-AU"/>
              </w:rPr>
            </w:pPr>
            <w:r w:rsidRPr="00B56069">
              <w:rPr>
                <w:rFonts w:cs="Arial"/>
                <w:lang w:eastAsia="en-AU"/>
              </w:rPr>
              <w:t>0</w:t>
            </w:r>
          </w:p>
        </w:tc>
        <w:tc>
          <w:tcPr>
            <w:tcW w:w="5961" w:type="dxa"/>
            <w:gridSpan w:val="2"/>
            <w:tcBorders>
              <w:top w:val="nil"/>
              <w:left w:val="nil"/>
              <w:bottom w:val="single" w:sz="4" w:space="0" w:color="auto"/>
              <w:right w:val="single" w:sz="4" w:space="0" w:color="auto"/>
            </w:tcBorders>
            <w:hideMark/>
          </w:tcPr>
          <w:p w14:paraId="34DA663F" w14:textId="5697C2A2" w:rsidR="00C32F21" w:rsidRPr="00B56069" w:rsidRDefault="00C32F21" w:rsidP="00B83672">
            <w:pPr>
              <w:spacing w:after="0"/>
              <w:rPr>
                <w:rFonts w:cs="Arial"/>
                <w:lang w:eastAsia="en-AU"/>
              </w:rPr>
            </w:pPr>
            <w:r w:rsidRPr="00B56069">
              <w:rPr>
                <w:rFonts w:cs="Arial"/>
                <w:lang w:eastAsia="en-AU"/>
              </w:rPr>
              <w:t>The species is considered to have been “introduce but never established”, representing a</w:t>
            </w:r>
            <w:r w:rsidR="00B44ED4" w:rsidRPr="00B56069">
              <w:rPr>
                <w:rFonts w:cs="Arial"/>
                <w:lang w:eastAsia="en-AU"/>
              </w:rPr>
              <w:t>n</w:t>
            </w:r>
            <w:r w:rsidRPr="00B56069">
              <w:rPr>
                <w:rFonts w:cs="Arial"/>
                <w:lang w:eastAsia="en-AU"/>
              </w:rPr>
              <w:t xml:space="preserve"> establishment score of 0.</w:t>
            </w:r>
            <w:r w:rsidRPr="00B56069">
              <w:rPr>
                <w:rFonts w:cs="Arial"/>
                <w:lang w:eastAsia="en-AU"/>
              </w:rPr>
              <w:br/>
            </w:r>
          </w:p>
        </w:tc>
      </w:tr>
      <w:tr w:rsidR="00C32F21" w:rsidRPr="00B56069" w14:paraId="72907C9D" w14:textId="77777777" w:rsidTr="00737E87">
        <w:trPr>
          <w:trHeight w:val="152"/>
        </w:trPr>
        <w:tc>
          <w:tcPr>
            <w:tcW w:w="1985" w:type="dxa"/>
            <w:tcBorders>
              <w:top w:val="nil"/>
              <w:left w:val="single" w:sz="4" w:space="0" w:color="auto"/>
              <w:bottom w:val="single" w:sz="4" w:space="0" w:color="auto"/>
              <w:right w:val="single" w:sz="4" w:space="0" w:color="auto"/>
            </w:tcBorders>
            <w:hideMark/>
          </w:tcPr>
          <w:p w14:paraId="194D5A80" w14:textId="77777777" w:rsidR="00C32F21" w:rsidRPr="00B56069" w:rsidRDefault="00C32F21" w:rsidP="00C32F21">
            <w:pPr>
              <w:pStyle w:val="ListBullet2"/>
              <w:numPr>
                <w:ilvl w:val="0"/>
                <w:numId w:val="14"/>
              </w:numPr>
              <w:spacing w:after="0"/>
              <w:rPr>
                <w:rFonts w:cs="Arial"/>
                <w:lang w:eastAsia="en-AU"/>
              </w:rPr>
            </w:pPr>
            <w:r w:rsidRPr="00B56069">
              <w:rPr>
                <w:rFonts w:cs="Arial"/>
                <w:lang w:eastAsia="en-AU"/>
              </w:rPr>
              <w:t>Introduction Success Score (0–4)</w:t>
            </w:r>
          </w:p>
        </w:tc>
        <w:tc>
          <w:tcPr>
            <w:tcW w:w="850" w:type="dxa"/>
            <w:tcBorders>
              <w:top w:val="nil"/>
              <w:left w:val="nil"/>
              <w:bottom w:val="single" w:sz="4" w:space="0" w:color="auto"/>
              <w:right w:val="single" w:sz="4" w:space="0" w:color="auto"/>
            </w:tcBorders>
            <w:shd w:val="clear" w:color="000000" w:fill="CCFFCC"/>
            <w:hideMark/>
          </w:tcPr>
          <w:p w14:paraId="4795B073" w14:textId="77777777" w:rsidR="00C32F21" w:rsidRPr="00B56069" w:rsidRDefault="00C32F21" w:rsidP="00B83672">
            <w:pPr>
              <w:spacing w:after="0"/>
              <w:jc w:val="center"/>
              <w:rPr>
                <w:rFonts w:cs="Arial"/>
                <w:lang w:eastAsia="en-AU"/>
              </w:rPr>
            </w:pPr>
            <w:r w:rsidRPr="00B56069">
              <w:rPr>
                <w:rFonts w:cs="Arial"/>
                <w:lang w:eastAsia="en-AU"/>
              </w:rPr>
              <w:t>&lt;1</w:t>
            </w:r>
          </w:p>
        </w:tc>
        <w:tc>
          <w:tcPr>
            <w:tcW w:w="5961" w:type="dxa"/>
            <w:gridSpan w:val="2"/>
            <w:tcBorders>
              <w:top w:val="nil"/>
              <w:left w:val="nil"/>
              <w:bottom w:val="single" w:sz="4" w:space="0" w:color="auto"/>
              <w:right w:val="single" w:sz="4" w:space="0" w:color="auto"/>
            </w:tcBorders>
            <w:hideMark/>
          </w:tcPr>
          <w:p w14:paraId="549EFE59" w14:textId="5EBC8B69" w:rsidR="00C32F21" w:rsidRPr="00B56069" w:rsidRDefault="00C32F21" w:rsidP="00B83672">
            <w:pPr>
              <w:spacing w:after="0"/>
              <w:rPr>
                <w:rFonts w:cs="Arial"/>
                <w:lang w:eastAsia="en-AU"/>
              </w:rPr>
            </w:pPr>
            <w:r w:rsidRPr="00B56069">
              <w:rPr>
                <w:rFonts w:cs="Arial"/>
                <w:lang w:eastAsia="en-AU"/>
              </w:rPr>
              <w:t xml:space="preserve">Never known to be released or established. However, after decades of trade worldwide it can be assumed </w:t>
            </w:r>
            <w:r w:rsidR="00B44ED4" w:rsidRPr="00B56069">
              <w:rPr>
                <w:rFonts w:cs="Arial"/>
                <w:lang w:eastAsia="en-AU"/>
              </w:rPr>
              <w:t xml:space="preserve">the species </w:t>
            </w:r>
            <w:r w:rsidRPr="00B56069">
              <w:rPr>
                <w:rFonts w:cs="Arial"/>
                <w:lang w:eastAsia="en-AU"/>
              </w:rPr>
              <w:t xml:space="preserve">has been released into non-native areas.  </w:t>
            </w:r>
            <w:bookmarkStart w:id="30" w:name="_Hlk55287538"/>
            <w:r w:rsidRPr="00B56069">
              <w:rPr>
                <w:rFonts w:cs="Arial"/>
                <w:lang w:eastAsia="en-AU"/>
              </w:rPr>
              <w:t xml:space="preserve">The introduction </w:t>
            </w:r>
            <w:r w:rsidR="0055654D" w:rsidRPr="00B56069">
              <w:rPr>
                <w:rFonts w:cs="Arial"/>
                <w:lang w:eastAsia="en-AU"/>
              </w:rPr>
              <w:t xml:space="preserve">success </w:t>
            </w:r>
            <w:r w:rsidRPr="00B56069">
              <w:rPr>
                <w:rFonts w:cs="Arial"/>
                <w:lang w:eastAsia="en-AU"/>
              </w:rPr>
              <w:t xml:space="preserve">rate is conservatively considered </w:t>
            </w:r>
            <w:r w:rsidR="00B44ED4" w:rsidRPr="00B56069">
              <w:rPr>
                <w:rFonts w:cs="Arial"/>
                <w:lang w:eastAsia="en-AU"/>
              </w:rPr>
              <w:t xml:space="preserve">to be </w:t>
            </w:r>
            <w:r w:rsidRPr="00B56069">
              <w:rPr>
                <w:rFonts w:cs="Arial"/>
                <w:lang w:eastAsia="en-AU"/>
              </w:rPr>
              <w:t xml:space="preserve">&lt;0.25, representing an introduction success score of </w:t>
            </w:r>
            <w:r w:rsidR="002670EF" w:rsidRPr="00B56069">
              <w:rPr>
                <w:rFonts w:cs="Arial"/>
                <w:lang w:eastAsia="en-AU"/>
              </w:rPr>
              <w:t>&lt;</w:t>
            </w:r>
            <w:r w:rsidRPr="00B56069">
              <w:rPr>
                <w:rFonts w:cs="Arial"/>
                <w:lang w:eastAsia="en-AU"/>
              </w:rPr>
              <w:t>1.</w:t>
            </w:r>
            <w:bookmarkEnd w:id="30"/>
            <w:r w:rsidRPr="00B56069">
              <w:rPr>
                <w:rFonts w:cs="Arial"/>
                <w:lang w:eastAsia="en-AU"/>
              </w:rPr>
              <w:br/>
            </w:r>
          </w:p>
        </w:tc>
      </w:tr>
      <w:tr w:rsidR="00C32F21" w:rsidRPr="00B56069" w14:paraId="7D58D65A" w14:textId="77777777" w:rsidTr="00737E87">
        <w:trPr>
          <w:trHeight w:val="306"/>
        </w:trPr>
        <w:tc>
          <w:tcPr>
            <w:tcW w:w="1985" w:type="dxa"/>
            <w:tcBorders>
              <w:top w:val="nil"/>
              <w:left w:val="single" w:sz="4" w:space="0" w:color="auto"/>
              <w:bottom w:val="single" w:sz="4" w:space="0" w:color="auto"/>
              <w:right w:val="single" w:sz="4" w:space="0" w:color="auto"/>
            </w:tcBorders>
            <w:hideMark/>
          </w:tcPr>
          <w:p w14:paraId="2C097C89" w14:textId="77777777" w:rsidR="00C32F21" w:rsidRPr="00B56069" w:rsidRDefault="00C32F21" w:rsidP="00C32F21">
            <w:pPr>
              <w:pStyle w:val="ListBullet2"/>
              <w:numPr>
                <w:ilvl w:val="0"/>
                <w:numId w:val="14"/>
              </w:numPr>
              <w:spacing w:after="0"/>
              <w:rPr>
                <w:rFonts w:cs="Arial"/>
                <w:lang w:eastAsia="en-AU"/>
              </w:rPr>
            </w:pPr>
            <w:r w:rsidRPr="00B56069">
              <w:rPr>
                <w:rFonts w:cs="Arial"/>
                <w:lang w:eastAsia="en-AU"/>
              </w:rPr>
              <w:t xml:space="preserve">Taxa Risk Score </w:t>
            </w:r>
            <w:r w:rsidRPr="00B56069">
              <w:rPr>
                <w:rFonts w:cs="Arial"/>
                <w:lang w:eastAsia="en-AU"/>
              </w:rPr>
              <w:br/>
              <w:t>1(0–5)</w:t>
            </w:r>
          </w:p>
        </w:tc>
        <w:tc>
          <w:tcPr>
            <w:tcW w:w="850" w:type="dxa"/>
            <w:tcBorders>
              <w:top w:val="nil"/>
              <w:left w:val="nil"/>
              <w:bottom w:val="single" w:sz="4" w:space="0" w:color="auto"/>
              <w:right w:val="single" w:sz="4" w:space="0" w:color="auto"/>
            </w:tcBorders>
            <w:shd w:val="clear" w:color="000000" w:fill="CCFFCC"/>
            <w:hideMark/>
          </w:tcPr>
          <w:p w14:paraId="02FB6406" w14:textId="77777777" w:rsidR="00C32F21" w:rsidRPr="00B56069" w:rsidRDefault="00C32F21" w:rsidP="00B83672">
            <w:pPr>
              <w:spacing w:after="0"/>
              <w:jc w:val="center"/>
              <w:rPr>
                <w:rFonts w:cs="Arial"/>
                <w:lang w:eastAsia="en-AU"/>
              </w:rPr>
            </w:pPr>
            <w:r w:rsidRPr="00B56069">
              <w:rPr>
                <w:rFonts w:cs="Arial"/>
                <w:lang w:eastAsia="en-AU"/>
              </w:rPr>
              <w:t>1</w:t>
            </w:r>
          </w:p>
        </w:tc>
        <w:tc>
          <w:tcPr>
            <w:tcW w:w="5961" w:type="dxa"/>
            <w:gridSpan w:val="2"/>
            <w:tcBorders>
              <w:top w:val="nil"/>
              <w:left w:val="nil"/>
              <w:bottom w:val="single" w:sz="4" w:space="0" w:color="auto"/>
              <w:right w:val="single" w:sz="4" w:space="0" w:color="auto"/>
            </w:tcBorders>
            <w:shd w:val="clear" w:color="auto" w:fill="auto"/>
            <w:hideMark/>
          </w:tcPr>
          <w:p w14:paraId="0138DBE7" w14:textId="23AFA8A9" w:rsidR="00C32F21" w:rsidRPr="00B56069" w:rsidRDefault="00C32F21" w:rsidP="00B83672">
            <w:pPr>
              <w:spacing w:after="0"/>
            </w:pPr>
            <w:r w:rsidRPr="00B56069">
              <w:t xml:space="preserve">As an internationally traded aquarium species, </w:t>
            </w:r>
            <w:bookmarkStart w:id="31" w:name="_Hlk55566134"/>
            <w:r w:rsidRPr="00B56069">
              <w:t xml:space="preserve">it is reasonable to assume that there would have been many instances of inadvertent or deliberate introduction </w:t>
            </w:r>
            <w:bookmarkStart w:id="32" w:name="_Hlk55566200"/>
            <w:r w:rsidRPr="00B56069">
              <w:t>around the world</w:t>
            </w:r>
            <w:bookmarkEnd w:id="32"/>
            <w:r w:rsidRPr="00B56069">
              <w:t xml:space="preserve"> of the </w:t>
            </w:r>
            <w:bookmarkEnd w:id="31"/>
            <w:r w:rsidRPr="00B56069">
              <w:t xml:space="preserve">11 ornamental fish species currently or formerly belonging to the genus </w:t>
            </w:r>
            <w:r w:rsidRPr="00B56069">
              <w:rPr>
                <w:i/>
                <w:iCs/>
              </w:rPr>
              <w:t>Puntius</w:t>
            </w:r>
            <w:r w:rsidR="00B44ED4" w:rsidRPr="00B56069">
              <w:rPr>
                <w:i/>
                <w:iCs/>
              </w:rPr>
              <w:t xml:space="preserve">. </w:t>
            </w:r>
            <w:r w:rsidR="00B44ED4" w:rsidRPr="00B56069">
              <w:t>C</w:t>
            </w:r>
            <w:r w:rsidRPr="00B56069">
              <w:t xml:space="preserve">onservatively, 50 past introductions are assumed for the purposes of this risk assessment. </w:t>
            </w:r>
            <w:r w:rsidR="00B44ED4" w:rsidRPr="00B56069">
              <w:t>T</w:t>
            </w:r>
            <w:r w:rsidRPr="00B56069">
              <w:t xml:space="preserve">here are only seven records (representing only two species) on </w:t>
            </w:r>
            <w:proofErr w:type="spellStart"/>
            <w:r w:rsidRPr="00B56069">
              <w:t>FishBase</w:t>
            </w:r>
            <w:proofErr w:type="spellEnd"/>
            <w:r w:rsidRPr="00B56069">
              <w:t xml:space="preserve"> of </w:t>
            </w:r>
            <w:r w:rsidRPr="00B56069">
              <w:rPr>
                <w:i/>
                <w:iCs/>
              </w:rPr>
              <w:t>Puntius</w:t>
            </w:r>
            <w:r w:rsidRPr="00B56069">
              <w:t xml:space="preserve"> species being found to have established wild populations outside the countries to which they are native. The ‘genus level’ taxa risk is therefore 7/50 (14%). Notably, there are several species of barbs such as </w:t>
            </w:r>
            <w:r w:rsidRPr="00B56069">
              <w:rPr>
                <w:i/>
                <w:iCs/>
              </w:rPr>
              <w:t xml:space="preserve">Puntius </w:t>
            </w:r>
            <w:proofErr w:type="spellStart"/>
            <w:r w:rsidRPr="00B56069">
              <w:rPr>
                <w:i/>
                <w:iCs/>
              </w:rPr>
              <w:t>vittatus</w:t>
            </w:r>
            <w:proofErr w:type="spellEnd"/>
            <w:r w:rsidRPr="00B56069">
              <w:rPr>
                <w:i/>
                <w:iCs/>
              </w:rPr>
              <w:t xml:space="preserve"> </w:t>
            </w:r>
            <w:r w:rsidR="00B44ED4" w:rsidRPr="00B56069">
              <w:t xml:space="preserve">that </w:t>
            </w:r>
            <w:r w:rsidRPr="00B56069">
              <w:t xml:space="preserve">are on the current </w:t>
            </w:r>
            <w:r w:rsidR="00B44ED4" w:rsidRPr="00B56069">
              <w:t>Live Import List</w:t>
            </w:r>
            <w:r w:rsidRPr="00B56069">
              <w:t>.</w:t>
            </w:r>
          </w:p>
        </w:tc>
      </w:tr>
      <w:tr w:rsidR="00C32F21" w:rsidRPr="00B56069" w14:paraId="06A854D3" w14:textId="77777777" w:rsidTr="00737E87">
        <w:trPr>
          <w:trHeight w:val="152"/>
        </w:trPr>
        <w:tc>
          <w:tcPr>
            <w:tcW w:w="1985" w:type="dxa"/>
            <w:tcBorders>
              <w:top w:val="nil"/>
              <w:left w:val="nil"/>
              <w:bottom w:val="nil"/>
              <w:right w:val="nil"/>
            </w:tcBorders>
            <w:noWrap/>
            <w:vAlign w:val="bottom"/>
            <w:hideMark/>
          </w:tcPr>
          <w:p w14:paraId="54243CB0" w14:textId="77777777" w:rsidR="00C32F21" w:rsidRPr="00B56069" w:rsidRDefault="00C32F21" w:rsidP="00B83672">
            <w:pPr>
              <w:spacing w:after="0"/>
              <w:rPr>
                <w:rFonts w:cs="Arial"/>
                <w:lang w:eastAsia="en-AU"/>
              </w:rPr>
            </w:pPr>
          </w:p>
        </w:tc>
        <w:tc>
          <w:tcPr>
            <w:tcW w:w="850" w:type="dxa"/>
            <w:tcBorders>
              <w:top w:val="nil"/>
              <w:left w:val="nil"/>
              <w:bottom w:val="nil"/>
              <w:right w:val="nil"/>
            </w:tcBorders>
            <w:noWrap/>
            <w:vAlign w:val="bottom"/>
            <w:hideMark/>
          </w:tcPr>
          <w:p w14:paraId="0D391EA8" w14:textId="77777777" w:rsidR="00C32F21" w:rsidRPr="00B56069" w:rsidRDefault="00C32F21" w:rsidP="00B83672">
            <w:pPr>
              <w:spacing w:after="0"/>
              <w:rPr>
                <w:rFonts w:cs="Arial"/>
                <w:lang w:eastAsia="en-AU"/>
              </w:rPr>
            </w:pPr>
          </w:p>
        </w:tc>
        <w:tc>
          <w:tcPr>
            <w:tcW w:w="5961" w:type="dxa"/>
            <w:gridSpan w:val="2"/>
            <w:tcBorders>
              <w:top w:val="nil"/>
              <w:left w:val="nil"/>
              <w:bottom w:val="nil"/>
              <w:right w:val="nil"/>
            </w:tcBorders>
            <w:noWrap/>
            <w:vAlign w:val="bottom"/>
            <w:hideMark/>
          </w:tcPr>
          <w:p w14:paraId="6359CA07" w14:textId="77777777" w:rsidR="00C32F21" w:rsidRPr="00B56069" w:rsidRDefault="00C32F21" w:rsidP="00B83672">
            <w:pPr>
              <w:spacing w:after="0"/>
              <w:rPr>
                <w:rFonts w:cs="Arial"/>
                <w:lang w:eastAsia="en-AU"/>
              </w:rPr>
            </w:pPr>
          </w:p>
        </w:tc>
      </w:tr>
      <w:tr w:rsidR="00C32F21" w:rsidRPr="00B56069" w14:paraId="7E6292F5" w14:textId="77777777" w:rsidTr="00737E87">
        <w:trPr>
          <w:trHeight w:val="152"/>
        </w:trPr>
        <w:tc>
          <w:tcPr>
            <w:tcW w:w="1985" w:type="dxa"/>
            <w:tcBorders>
              <w:top w:val="nil"/>
              <w:left w:val="nil"/>
              <w:bottom w:val="nil"/>
              <w:right w:val="nil"/>
            </w:tcBorders>
            <w:noWrap/>
            <w:vAlign w:val="bottom"/>
            <w:hideMark/>
          </w:tcPr>
          <w:p w14:paraId="02CAD3CF" w14:textId="77777777" w:rsidR="00C32F21" w:rsidRPr="00B56069" w:rsidRDefault="00C32F21" w:rsidP="00B83672">
            <w:pPr>
              <w:spacing w:after="0"/>
              <w:rPr>
                <w:rFonts w:cs="Arial"/>
                <w:b/>
                <w:bCs/>
                <w:lang w:eastAsia="en-AU"/>
              </w:rPr>
            </w:pPr>
            <w:r w:rsidRPr="00B56069">
              <w:rPr>
                <w:rFonts w:cs="Arial"/>
                <w:b/>
                <w:bCs/>
                <w:lang w:eastAsia="en-AU"/>
              </w:rPr>
              <w:t>Summary</w:t>
            </w:r>
          </w:p>
        </w:tc>
        <w:tc>
          <w:tcPr>
            <w:tcW w:w="850" w:type="dxa"/>
            <w:tcBorders>
              <w:top w:val="nil"/>
              <w:left w:val="nil"/>
              <w:bottom w:val="nil"/>
              <w:right w:val="nil"/>
            </w:tcBorders>
            <w:noWrap/>
            <w:vAlign w:val="bottom"/>
            <w:hideMark/>
          </w:tcPr>
          <w:p w14:paraId="3A2C65AB" w14:textId="77777777" w:rsidR="00C32F21" w:rsidRPr="00B56069" w:rsidRDefault="00C32F21" w:rsidP="00B83672">
            <w:pPr>
              <w:spacing w:after="0"/>
              <w:rPr>
                <w:rFonts w:cs="Arial"/>
                <w:i/>
                <w:iCs/>
                <w:lang w:eastAsia="en-AU"/>
              </w:rPr>
            </w:pPr>
            <w:r w:rsidRPr="00B56069">
              <w:rPr>
                <w:rFonts w:cs="Arial"/>
                <w:i/>
                <w:iCs/>
                <w:lang w:eastAsia="en-AU"/>
              </w:rPr>
              <w:t>Score</w:t>
            </w:r>
          </w:p>
        </w:tc>
        <w:tc>
          <w:tcPr>
            <w:tcW w:w="5961" w:type="dxa"/>
            <w:gridSpan w:val="2"/>
            <w:tcBorders>
              <w:top w:val="nil"/>
              <w:left w:val="nil"/>
              <w:bottom w:val="nil"/>
              <w:right w:val="nil"/>
            </w:tcBorders>
            <w:noWrap/>
            <w:vAlign w:val="bottom"/>
            <w:hideMark/>
          </w:tcPr>
          <w:p w14:paraId="5445372D" w14:textId="77777777" w:rsidR="00C32F21" w:rsidRPr="00B56069" w:rsidRDefault="00C32F21" w:rsidP="00B83672">
            <w:pPr>
              <w:spacing w:after="0"/>
              <w:rPr>
                <w:rFonts w:cs="Arial"/>
                <w:i/>
                <w:iCs/>
                <w:lang w:eastAsia="en-AU"/>
              </w:rPr>
            </w:pPr>
            <w:r w:rsidRPr="00B56069">
              <w:rPr>
                <w:rFonts w:cs="Arial"/>
                <w:i/>
                <w:iCs/>
                <w:lang w:eastAsia="en-AU"/>
              </w:rPr>
              <w:t>Rank</w:t>
            </w:r>
          </w:p>
        </w:tc>
      </w:tr>
      <w:tr w:rsidR="00C32F21" w:rsidRPr="00B56069" w14:paraId="506AACAB" w14:textId="77777777" w:rsidTr="00F70935">
        <w:trPr>
          <w:trHeight w:val="152"/>
        </w:trPr>
        <w:tc>
          <w:tcPr>
            <w:tcW w:w="1985" w:type="dxa"/>
            <w:tcBorders>
              <w:top w:val="single" w:sz="4" w:space="0" w:color="auto"/>
              <w:left w:val="single" w:sz="4" w:space="0" w:color="auto"/>
              <w:bottom w:val="single" w:sz="4" w:space="0" w:color="auto"/>
              <w:right w:val="single" w:sz="4" w:space="0" w:color="auto"/>
            </w:tcBorders>
            <w:hideMark/>
          </w:tcPr>
          <w:p w14:paraId="26ACCA80" w14:textId="77777777" w:rsidR="00C32F21" w:rsidRPr="00B56069" w:rsidRDefault="00C32F21" w:rsidP="00B83672">
            <w:pPr>
              <w:spacing w:after="0"/>
              <w:rPr>
                <w:rFonts w:cs="Arial"/>
                <w:lang w:eastAsia="en-AU"/>
              </w:rPr>
            </w:pPr>
            <w:r w:rsidRPr="00B56069">
              <w:rPr>
                <w:rFonts w:cs="Arial"/>
                <w:lang w:eastAsia="en-AU"/>
              </w:rPr>
              <w:t>Establishment Risk</w:t>
            </w:r>
          </w:p>
        </w:tc>
        <w:tc>
          <w:tcPr>
            <w:tcW w:w="850" w:type="dxa"/>
            <w:tcBorders>
              <w:top w:val="single" w:sz="4" w:space="0" w:color="auto"/>
              <w:left w:val="nil"/>
              <w:bottom w:val="single" w:sz="4" w:space="0" w:color="auto"/>
              <w:right w:val="single" w:sz="4" w:space="0" w:color="auto"/>
            </w:tcBorders>
            <w:shd w:val="clear" w:color="auto" w:fill="92D050"/>
            <w:vAlign w:val="center"/>
            <w:hideMark/>
          </w:tcPr>
          <w:p w14:paraId="4DE14FF7" w14:textId="23E5B3E5" w:rsidR="00C32F21" w:rsidRPr="00B56069" w:rsidRDefault="00853689" w:rsidP="00B83672">
            <w:pPr>
              <w:spacing w:after="0"/>
              <w:jc w:val="center"/>
              <w:rPr>
                <w:rFonts w:cs="Arial"/>
                <w:lang w:eastAsia="en-AU"/>
              </w:rPr>
            </w:pPr>
            <w:r w:rsidRPr="00B56069">
              <w:rPr>
                <w:rFonts w:cs="Arial"/>
                <w:lang w:eastAsia="en-AU"/>
              </w:rPr>
              <w:t>9</w:t>
            </w:r>
          </w:p>
        </w:tc>
        <w:tc>
          <w:tcPr>
            <w:tcW w:w="5961" w:type="dxa"/>
            <w:gridSpan w:val="2"/>
            <w:tcBorders>
              <w:top w:val="single" w:sz="4" w:space="0" w:color="auto"/>
              <w:left w:val="nil"/>
              <w:bottom w:val="single" w:sz="4" w:space="0" w:color="auto"/>
              <w:right w:val="single" w:sz="4" w:space="0" w:color="auto"/>
            </w:tcBorders>
            <w:vAlign w:val="center"/>
            <w:hideMark/>
          </w:tcPr>
          <w:p w14:paraId="57C58ACD" w14:textId="0E869CCB" w:rsidR="00C32F21" w:rsidRPr="00B56069" w:rsidRDefault="00853689" w:rsidP="00B83672">
            <w:pPr>
              <w:spacing w:after="0"/>
              <w:rPr>
                <w:rFonts w:cs="Arial"/>
                <w:lang w:eastAsia="en-AU"/>
              </w:rPr>
            </w:pPr>
            <w:r w:rsidRPr="00B56069">
              <w:rPr>
                <w:rFonts w:cs="Arial"/>
                <w:lang w:eastAsia="en-AU"/>
              </w:rPr>
              <w:t>Moderate</w:t>
            </w:r>
          </w:p>
        </w:tc>
      </w:tr>
      <w:tr w:rsidR="00C32F21" w:rsidRPr="00B56069" w14:paraId="43E7E45F" w14:textId="77777777" w:rsidTr="00737E87">
        <w:trPr>
          <w:trHeight w:val="152"/>
        </w:trPr>
        <w:tc>
          <w:tcPr>
            <w:tcW w:w="1985" w:type="dxa"/>
            <w:tcBorders>
              <w:top w:val="nil"/>
              <w:left w:val="nil"/>
              <w:bottom w:val="nil"/>
              <w:right w:val="nil"/>
            </w:tcBorders>
            <w:noWrap/>
            <w:vAlign w:val="bottom"/>
            <w:hideMark/>
          </w:tcPr>
          <w:p w14:paraId="276EFFED" w14:textId="77777777" w:rsidR="00C32F21" w:rsidRPr="00B56069" w:rsidRDefault="00C32F21" w:rsidP="00B83672">
            <w:pPr>
              <w:rPr>
                <w:rFonts w:cs="Arial"/>
                <w:b/>
                <w:bCs/>
                <w:color w:val="7030A0"/>
                <w:lang w:eastAsia="en-AU"/>
              </w:rPr>
            </w:pPr>
          </w:p>
        </w:tc>
        <w:tc>
          <w:tcPr>
            <w:tcW w:w="850" w:type="dxa"/>
            <w:tcBorders>
              <w:top w:val="nil"/>
              <w:left w:val="nil"/>
              <w:bottom w:val="nil"/>
              <w:right w:val="nil"/>
            </w:tcBorders>
            <w:noWrap/>
            <w:vAlign w:val="bottom"/>
            <w:hideMark/>
          </w:tcPr>
          <w:p w14:paraId="685CFED6" w14:textId="77777777" w:rsidR="00C32F21" w:rsidRPr="00B56069" w:rsidRDefault="00C32F21" w:rsidP="00B83672">
            <w:pPr>
              <w:rPr>
                <w:rFonts w:cs="Arial"/>
                <w:color w:val="7030A0"/>
                <w:lang w:eastAsia="en-AU"/>
              </w:rPr>
            </w:pPr>
          </w:p>
        </w:tc>
        <w:tc>
          <w:tcPr>
            <w:tcW w:w="5961" w:type="dxa"/>
            <w:gridSpan w:val="2"/>
            <w:tcBorders>
              <w:top w:val="nil"/>
              <w:left w:val="nil"/>
              <w:bottom w:val="nil"/>
              <w:right w:val="nil"/>
            </w:tcBorders>
            <w:noWrap/>
            <w:vAlign w:val="bottom"/>
            <w:hideMark/>
          </w:tcPr>
          <w:p w14:paraId="52A94C7B" w14:textId="77777777" w:rsidR="00C32F21" w:rsidRPr="00B56069" w:rsidRDefault="00C32F21" w:rsidP="00B83672">
            <w:pPr>
              <w:rPr>
                <w:rFonts w:cs="Arial"/>
                <w:color w:val="7030A0"/>
                <w:lang w:eastAsia="en-AU"/>
              </w:rPr>
            </w:pPr>
          </w:p>
        </w:tc>
      </w:tr>
    </w:tbl>
    <w:p w14:paraId="3230FA9D" w14:textId="77777777" w:rsidR="00C32F21" w:rsidRPr="00B56069" w:rsidRDefault="00C32F21" w:rsidP="00C32F21">
      <w:pPr>
        <w:rPr>
          <w:rFonts w:eastAsiaTheme="minorEastAsia" w:cs="Arial"/>
          <w:b/>
          <w:color w:val="7030A0"/>
          <w:lang w:eastAsia="en-AU"/>
        </w:rPr>
      </w:pPr>
    </w:p>
    <w:p w14:paraId="1C0B144E" w14:textId="667F223C" w:rsidR="00C32F21" w:rsidRPr="00B56069" w:rsidRDefault="00C32F21" w:rsidP="00C32F21">
      <w:pPr>
        <w:rPr>
          <w:rFonts w:eastAsiaTheme="minorEastAsia" w:cs="Arial"/>
          <w:b/>
          <w:lang w:eastAsia="en-AU"/>
        </w:rPr>
      </w:pPr>
      <w:r w:rsidRPr="00B56069">
        <w:rPr>
          <w:rFonts w:eastAsiaTheme="minorEastAsia" w:cs="Arial"/>
          <w:b/>
          <w:lang w:eastAsia="en-AU"/>
        </w:rPr>
        <w:t>Conclusion</w:t>
      </w:r>
    </w:p>
    <w:p w14:paraId="7016C1CF" w14:textId="483E7A83" w:rsidR="00C32F21" w:rsidRPr="00C32F21" w:rsidRDefault="00C32F21" w:rsidP="00C32F21">
      <w:pPr>
        <w:tabs>
          <w:tab w:val="left" w:pos="0"/>
        </w:tabs>
        <w:rPr>
          <w:rFonts w:cs="Arial"/>
        </w:rPr>
      </w:pPr>
      <w:r w:rsidRPr="00B56069">
        <w:rPr>
          <w:rFonts w:cs="Arial"/>
        </w:rPr>
        <w:t>The estimated risk of ‘</w:t>
      </w:r>
      <w:r w:rsidR="00F656D7" w:rsidRPr="00B56069">
        <w:rPr>
          <w:rFonts w:cs="Arial"/>
        </w:rPr>
        <w:t>moderate</w:t>
      </w:r>
      <w:r w:rsidRPr="00B56069">
        <w:rPr>
          <w:rFonts w:cs="Arial"/>
        </w:rPr>
        <w:t xml:space="preserve">’ using the </w:t>
      </w:r>
      <w:proofErr w:type="spellStart"/>
      <w:r w:rsidRPr="00B56069">
        <w:rPr>
          <w:rFonts w:cs="Arial"/>
        </w:rPr>
        <w:t>Bomford</w:t>
      </w:r>
      <w:proofErr w:type="spellEnd"/>
      <w:r w:rsidRPr="00B56069">
        <w:rPr>
          <w:rFonts w:cs="Arial"/>
        </w:rPr>
        <w:t xml:space="preserve"> (2008) methodology is generally consistent with the risk that would be posed by most of the species currently permitted live importation to Australia. It is recommended that </w:t>
      </w:r>
      <w:r w:rsidRPr="00B56069">
        <w:rPr>
          <w:rFonts w:cs="Arial"/>
          <w:i/>
          <w:iCs/>
        </w:rPr>
        <w:t xml:space="preserve">S. </w:t>
      </w:r>
      <w:proofErr w:type="spellStart"/>
      <w:r w:rsidRPr="00B56069">
        <w:rPr>
          <w:rFonts w:cs="Arial"/>
          <w:i/>
          <w:iCs/>
        </w:rPr>
        <w:t>denisonii</w:t>
      </w:r>
      <w:proofErr w:type="spellEnd"/>
      <w:r w:rsidRPr="00B56069">
        <w:rPr>
          <w:rFonts w:cs="Arial"/>
        </w:rPr>
        <w:t xml:space="preserve"> is added to the Live Import List.</w:t>
      </w:r>
    </w:p>
    <w:sectPr w:rsidR="00C32F21" w:rsidRPr="00C32F21" w:rsidSect="0019600F">
      <w:headerReference w:type="even" r:id="rId30"/>
      <w:headerReference w:type="default" r:id="rId31"/>
      <w:footerReference w:type="even" r:id="rId32"/>
      <w:footerReference w:type="default" r:id="rId33"/>
      <w:headerReference w:type="first" r:id="rId34"/>
      <w:footerReference w:type="first" r:id="rId35"/>
      <w:type w:val="continuous"/>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A16AF" w14:textId="77777777" w:rsidR="0048192E" w:rsidRDefault="0048192E" w:rsidP="00A60185">
      <w:pPr>
        <w:spacing w:after="0" w:line="240" w:lineRule="auto"/>
      </w:pPr>
      <w:r>
        <w:separator/>
      </w:r>
    </w:p>
  </w:endnote>
  <w:endnote w:type="continuationSeparator" w:id="0">
    <w:p w14:paraId="1CE6E034" w14:textId="77777777" w:rsidR="0048192E" w:rsidRDefault="0048192E"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4758585"/>
      <w:docPartObj>
        <w:docPartGallery w:val="Page Numbers (Bottom of Page)"/>
        <w:docPartUnique/>
      </w:docPartObj>
    </w:sdtPr>
    <w:sdtEndPr>
      <w:rPr>
        <w:noProof/>
      </w:rPr>
    </w:sdtEndPr>
    <w:sdtContent>
      <w:p w14:paraId="26A6FF2C" w14:textId="77777777" w:rsidR="00B46616" w:rsidRDefault="00B46616">
        <w:pPr>
          <w:pStyle w:val="Footer"/>
          <w:jc w:val="right"/>
        </w:pPr>
        <w:r>
          <w:fldChar w:fldCharType="begin"/>
        </w:r>
        <w:r>
          <w:instrText xml:space="preserve"> PAGE   \* MERGEFORMAT </w:instrText>
        </w:r>
        <w:r>
          <w:fldChar w:fldCharType="separate"/>
        </w:r>
        <w:r w:rsidR="00537479">
          <w:rPr>
            <w:noProof/>
          </w:rPr>
          <w:t>15</w:t>
        </w:r>
        <w:r>
          <w:rPr>
            <w:noProof/>
          </w:rPr>
          <w:fldChar w:fldCharType="end"/>
        </w:r>
      </w:p>
    </w:sdtContent>
  </w:sdt>
  <w:p w14:paraId="6F980A8E" w14:textId="77777777" w:rsidR="00B46616" w:rsidRDefault="00B46616">
    <w:pPr>
      <w:pStyle w:val="Head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8BAED" w14:textId="77777777" w:rsidR="007E3E9D" w:rsidRDefault="007E3E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8932556"/>
      <w:docPartObj>
        <w:docPartGallery w:val="Page Numbers (Bottom of Page)"/>
        <w:docPartUnique/>
      </w:docPartObj>
    </w:sdtPr>
    <w:sdtEndPr>
      <w:rPr>
        <w:noProof/>
      </w:rPr>
    </w:sdtEndPr>
    <w:sdtContent>
      <w:p w14:paraId="7807EA64" w14:textId="43E98467" w:rsidR="007E3E9D" w:rsidRDefault="007E3E9D">
        <w:pPr>
          <w:pStyle w:val="Footer"/>
          <w:jc w:val="right"/>
        </w:pPr>
        <w:r>
          <w:fldChar w:fldCharType="begin"/>
        </w:r>
        <w:r>
          <w:instrText xml:space="preserve"> PAGE   \* MERGEFORMAT </w:instrText>
        </w:r>
        <w:r>
          <w:fldChar w:fldCharType="separate"/>
        </w:r>
        <w:r w:rsidR="00537479">
          <w:rPr>
            <w:noProof/>
          </w:rPr>
          <w:t>3</w:t>
        </w:r>
        <w:r>
          <w:rPr>
            <w:noProof/>
          </w:rPr>
          <w:fldChar w:fldCharType="end"/>
        </w:r>
      </w:p>
    </w:sdtContent>
  </w:sdt>
  <w:p w14:paraId="5194C098" w14:textId="77777777" w:rsidR="009C5B85" w:rsidRDefault="009C5B85">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3817197"/>
      <w:docPartObj>
        <w:docPartGallery w:val="Page Numbers (Bottom of Page)"/>
        <w:docPartUnique/>
      </w:docPartObj>
    </w:sdtPr>
    <w:sdtEndPr>
      <w:rPr>
        <w:noProof/>
      </w:rPr>
    </w:sdtEndPr>
    <w:sdtContent>
      <w:p w14:paraId="5D3A73CE" w14:textId="22D84B56" w:rsidR="009C5B85" w:rsidRDefault="009C5B8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1268148" w14:textId="77777777" w:rsidR="009C5B85" w:rsidRDefault="009C5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A4DD02" w14:textId="77777777" w:rsidR="0048192E" w:rsidRDefault="0048192E" w:rsidP="00A60185">
      <w:pPr>
        <w:spacing w:after="0" w:line="240" w:lineRule="auto"/>
      </w:pPr>
      <w:r>
        <w:separator/>
      </w:r>
    </w:p>
  </w:footnote>
  <w:footnote w:type="continuationSeparator" w:id="0">
    <w:p w14:paraId="1A8F8634" w14:textId="77777777" w:rsidR="0048192E" w:rsidRDefault="0048192E" w:rsidP="00A60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F3EE3" w14:textId="61903D69" w:rsidR="00B46616" w:rsidRDefault="00D76924" w:rsidP="00E45765">
    <w:pPr>
      <w:pStyle w:val="ListParagraph"/>
    </w:pPr>
    <w:r>
      <w:rPr>
        <w:noProof/>
      </w:rPr>
      <w:pict w14:anchorId="100C62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463.85pt;height:185.55pt;rotation:315;z-index:-25166131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B46616">
      <w:fldChar w:fldCharType="begin"/>
    </w:r>
    <w:r w:rsidR="00B46616">
      <w:instrText xml:space="preserve"> DOCPROPERTY SecurityClassification \* MERGEFORMAT </w:instrText>
    </w:r>
    <w:r w:rsidR="00B46616">
      <w:fldChar w:fldCharType="separate"/>
    </w:r>
    <w:r w:rsidR="00AE6481">
      <w:rPr>
        <w:b/>
        <w:bCs/>
        <w:lang w:val="en-US"/>
      </w:rPr>
      <w:t>Error! Unknown document property name.</w:t>
    </w:r>
    <w:r w:rsidR="00B46616">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5B0298" w14:textId="77777777" w:rsidR="00B46616" w:rsidRDefault="00D76924" w:rsidP="00290B8E">
    <w:r>
      <w:rPr>
        <w:noProof/>
      </w:rPr>
      <w:pict w14:anchorId="3B3A3C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63.85pt;height:185.55pt;rotation:315;z-index:-2516592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42FDE" w14:textId="4F87D3BD" w:rsidR="009C5B85" w:rsidRDefault="009C5B85" w:rsidP="00E45765">
    <w:pPr>
      <w:pStyle w:val="Classification"/>
    </w:pPr>
    <w:r>
      <w:fldChar w:fldCharType="begin"/>
    </w:r>
    <w:r>
      <w:instrText xml:space="preserve"> DOCPROPERTY SecurityClassification \* MERGEFORMAT </w:instrText>
    </w:r>
    <w:r>
      <w:fldChar w:fldCharType="separate"/>
    </w:r>
    <w:r w:rsidR="00AE6481">
      <w:rPr>
        <w:b/>
        <w:bCs/>
        <w:lang w:val="en-US"/>
      </w:rPr>
      <w:t>Error! Unknown document property name.</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61520" w14:textId="00876632" w:rsidR="009C5B85" w:rsidRDefault="009C5B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4FCEF" w14:textId="488B48CF" w:rsidR="009C5B85" w:rsidRDefault="009C5B85" w:rsidP="00290B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97A8240"/>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A09CEF60"/>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0A6885B2"/>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C1C8B1F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15:restartNumberingAfterBreak="0">
    <w:nsid w:val="02036936"/>
    <w:multiLevelType w:val="multilevel"/>
    <w:tmpl w:val="FDDC85E0"/>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Arial" w:hAnsi="Aria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 w15:restartNumberingAfterBreak="0">
    <w:nsid w:val="08F37DA6"/>
    <w:multiLevelType w:val="hybridMultilevel"/>
    <w:tmpl w:val="2BFA6C3E"/>
    <w:lvl w:ilvl="0" w:tplc="821C0AAE">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448DA"/>
    <w:multiLevelType w:val="hybridMultilevel"/>
    <w:tmpl w:val="4832F752"/>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C313960"/>
    <w:multiLevelType w:val="multilevel"/>
    <w:tmpl w:val="ADD8DF7E"/>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Arial" w:hAnsi="Aria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15:restartNumberingAfterBreak="0">
    <w:nsid w:val="1F745BC2"/>
    <w:multiLevelType w:val="multilevel"/>
    <w:tmpl w:val="E5E89F92"/>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0" w15:restartNumberingAfterBreak="0">
    <w:nsid w:val="240E5A9A"/>
    <w:multiLevelType w:val="multilevel"/>
    <w:tmpl w:val="1D5CC42C"/>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273847BE"/>
    <w:multiLevelType w:val="multilevel"/>
    <w:tmpl w:val="0DE08D40"/>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2" w15:restartNumberingAfterBreak="0">
    <w:nsid w:val="2F3830CF"/>
    <w:multiLevelType w:val="multilevel"/>
    <w:tmpl w:val="5ABC40C2"/>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Symbol" w:hAnsi="Symbo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5A46342"/>
    <w:multiLevelType w:val="hybridMultilevel"/>
    <w:tmpl w:val="47A61A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2874E01"/>
    <w:multiLevelType w:val="hybridMultilevel"/>
    <w:tmpl w:val="83640018"/>
    <w:lvl w:ilvl="0" w:tplc="0C09000F">
      <w:start w:val="1"/>
      <w:numFmt w:val="decimal"/>
      <w:lvlText w:val="%1."/>
      <w:lvlJc w:val="left"/>
      <w:pPr>
        <w:ind w:left="788" w:hanging="360"/>
      </w:pPr>
    </w:lvl>
    <w:lvl w:ilvl="1" w:tplc="0C090019" w:tentative="1">
      <w:start w:val="1"/>
      <w:numFmt w:val="lowerLetter"/>
      <w:lvlText w:val="%2."/>
      <w:lvlJc w:val="left"/>
      <w:pPr>
        <w:ind w:left="1508" w:hanging="360"/>
      </w:pPr>
    </w:lvl>
    <w:lvl w:ilvl="2" w:tplc="0C09001B" w:tentative="1">
      <w:start w:val="1"/>
      <w:numFmt w:val="lowerRoman"/>
      <w:lvlText w:val="%3."/>
      <w:lvlJc w:val="right"/>
      <w:pPr>
        <w:ind w:left="2228" w:hanging="180"/>
      </w:pPr>
    </w:lvl>
    <w:lvl w:ilvl="3" w:tplc="0C09000F" w:tentative="1">
      <w:start w:val="1"/>
      <w:numFmt w:val="decimal"/>
      <w:lvlText w:val="%4."/>
      <w:lvlJc w:val="left"/>
      <w:pPr>
        <w:ind w:left="2948" w:hanging="360"/>
      </w:pPr>
    </w:lvl>
    <w:lvl w:ilvl="4" w:tplc="0C090019" w:tentative="1">
      <w:start w:val="1"/>
      <w:numFmt w:val="lowerLetter"/>
      <w:lvlText w:val="%5."/>
      <w:lvlJc w:val="left"/>
      <w:pPr>
        <w:ind w:left="3668" w:hanging="360"/>
      </w:pPr>
    </w:lvl>
    <w:lvl w:ilvl="5" w:tplc="0C09001B" w:tentative="1">
      <w:start w:val="1"/>
      <w:numFmt w:val="lowerRoman"/>
      <w:lvlText w:val="%6."/>
      <w:lvlJc w:val="right"/>
      <w:pPr>
        <w:ind w:left="4388" w:hanging="180"/>
      </w:pPr>
    </w:lvl>
    <w:lvl w:ilvl="6" w:tplc="0C09000F" w:tentative="1">
      <w:start w:val="1"/>
      <w:numFmt w:val="decimal"/>
      <w:lvlText w:val="%7."/>
      <w:lvlJc w:val="left"/>
      <w:pPr>
        <w:ind w:left="5108" w:hanging="360"/>
      </w:pPr>
    </w:lvl>
    <w:lvl w:ilvl="7" w:tplc="0C090019" w:tentative="1">
      <w:start w:val="1"/>
      <w:numFmt w:val="lowerLetter"/>
      <w:lvlText w:val="%8."/>
      <w:lvlJc w:val="left"/>
      <w:pPr>
        <w:ind w:left="5828" w:hanging="360"/>
      </w:pPr>
    </w:lvl>
    <w:lvl w:ilvl="8" w:tplc="0C09001B" w:tentative="1">
      <w:start w:val="1"/>
      <w:numFmt w:val="lowerRoman"/>
      <w:lvlText w:val="%9."/>
      <w:lvlJc w:val="right"/>
      <w:pPr>
        <w:ind w:left="6548" w:hanging="180"/>
      </w:pPr>
    </w:lvl>
  </w:abstractNum>
  <w:abstractNum w:abstractNumId="17" w15:restartNumberingAfterBreak="0">
    <w:nsid w:val="65456429"/>
    <w:multiLevelType w:val="multilevel"/>
    <w:tmpl w:val="E898CC72"/>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67690148"/>
    <w:multiLevelType w:val="hybridMultilevel"/>
    <w:tmpl w:val="B4B05FE0"/>
    <w:lvl w:ilvl="0" w:tplc="821C0AAE">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F560932"/>
    <w:multiLevelType w:val="multilevel"/>
    <w:tmpl w:val="DDC0930A"/>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0" w15:restartNumberingAfterBreak="0">
    <w:nsid w:val="70233B18"/>
    <w:multiLevelType w:val="multilevel"/>
    <w:tmpl w:val="84264BFE"/>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1" w15:restartNumberingAfterBreak="0">
    <w:nsid w:val="72FD31BC"/>
    <w:multiLevelType w:val="multilevel"/>
    <w:tmpl w:val="53E845FC"/>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22"/>
  </w:num>
  <w:num w:numId="2">
    <w:abstractNumId w:val="4"/>
  </w:num>
  <w:num w:numId="3">
    <w:abstractNumId w:val="14"/>
  </w:num>
  <w:num w:numId="4">
    <w:abstractNumId w:val="13"/>
  </w:num>
  <w:num w:numId="5">
    <w:abstractNumId w:val="17"/>
  </w:num>
  <w:num w:numId="6">
    <w:abstractNumId w:val="9"/>
  </w:num>
  <w:num w:numId="7">
    <w:abstractNumId w:val="12"/>
  </w:num>
  <w:num w:numId="8">
    <w:abstractNumId w:val="17"/>
  </w:num>
  <w:num w:numId="9">
    <w:abstractNumId w:val="3"/>
  </w:num>
  <w:num w:numId="10">
    <w:abstractNumId w:val="1"/>
  </w:num>
  <w:num w:numId="11">
    <w:abstractNumId w:val="2"/>
  </w:num>
  <w:num w:numId="12">
    <w:abstractNumId w:val="16"/>
  </w:num>
  <w:num w:numId="13">
    <w:abstractNumId w:val="15"/>
  </w:num>
  <w:num w:numId="14">
    <w:abstractNumId w:val="7"/>
  </w:num>
  <w:num w:numId="15">
    <w:abstractNumId w:val="17"/>
  </w:num>
  <w:num w:numId="16">
    <w:abstractNumId w:val="17"/>
  </w:num>
  <w:num w:numId="17">
    <w:abstractNumId w:val="0"/>
  </w:num>
  <w:num w:numId="18">
    <w:abstractNumId w:val="8"/>
  </w:num>
  <w:num w:numId="19">
    <w:abstractNumId w:val="5"/>
  </w:num>
  <w:num w:numId="20">
    <w:abstractNumId w:val="11"/>
  </w:num>
  <w:num w:numId="21">
    <w:abstractNumId w:val="10"/>
  </w:num>
  <w:num w:numId="22">
    <w:abstractNumId w:val="21"/>
  </w:num>
  <w:num w:numId="23">
    <w:abstractNumId w:val="20"/>
  </w:num>
  <w:num w:numId="24">
    <w:abstractNumId w:val="18"/>
  </w:num>
  <w:num w:numId="25">
    <w:abstractNumId w:val="6"/>
  </w:num>
  <w:num w:numId="26">
    <w:abstractNumId w:val="19"/>
  </w:num>
  <w:num w:numId="27">
    <w:abstractNumId w:val="17"/>
  </w:num>
  <w:num w:numId="28">
    <w:abstractNumId w:val="9"/>
  </w:num>
  <w:num w:numId="2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5F30B0"/>
    <w:rsid w:val="00003C0E"/>
    <w:rsid w:val="00004AEE"/>
    <w:rsid w:val="00005CAA"/>
    <w:rsid w:val="00010210"/>
    <w:rsid w:val="00012700"/>
    <w:rsid w:val="00012D66"/>
    <w:rsid w:val="00015ADA"/>
    <w:rsid w:val="000174AF"/>
    <w:rsid w:val="00020C99"/>
    <w:rsid w:val="0002190E"/>
    <w:rsid w:val="00022D29"/>
    <w:rsid w:val="000230CE"/>
    <w:rsid w:val="00024EF2"/>
    <w:rsid w:val="0002707B"/>
    <w:rsid w:val="00027272"/>
    <w:rsid w:val="00040C36"/>
    <w:rsid w:val="00042AB6"/>
    <w:rsid w:val="00045E2D"/>
    <w:rsid w:val="0004617D"/>
    <w:rsid w:val="0005148E"/>
    <w:rsid w:val="00056F67"/>
    <w:rsid w:val="00060397"/>
    <w:rsid w:val="000668C6"/>
    <w:rsid w:val="00072C5A"/>
    <w:rsid w:val="00075511"/>
    <w:rsid w:val="000759E5"/>
    <w:rsid w:val="00083DD6"/>
    <w:rsid w:val="00084AC6"/>
    <w:rsid w:val="00085D7E"/>
    <w:rsid w:val="00086DE5"/>
    <w:rsid w:val="00091608"/>
    <w:rsid w:val="000923E5"/>
    <w:rsid w:val="0009282F"/>
    <w:rsid w:val="0009290D"/>
    <w:rsid w:val="0009333C"/>
    <w:rsid w:val="0009704F"/>
    <w:rsid w:val="000A0F11"/>
    <w:rsid w:val="000A125A"/>
    <w:rsid w:val="000A1BDC"/>
    <w:rsid w:val="000A57CD"/>
    <w:rsid w:val="000A6565"/>
    <w:rsid w:val="000B1222"/>
    <w:rsid w:val="000B2379"/>
    <w:rsid w:val="000B24D2"/>
    <w:rsid w:val="000B2E6A"/>
    <w:rsid w:val="000B3758"/>
    <w:rsid w:val="000B5AA5"/>
    <w:rsid w:val="000B5B84"/>
    <w:rsid w:val="000B7681"/>
    <w:rsid w:val="000B7B42"/>
    <w:rsid w:val="000C02B7"/>
    <w:rsid w:val="000C0E56"/>
    <w:rsid w:val="000C13F7"/>
    <w:rsid w:val="000C5100"/>
    <w:rsid w:val="000C5342"/>
    <w:rsid w:val="000C6DE9"/>
    <w:rsid w:val="000C706A"/>
    <w:rsid w:val="000D2887"/>
    <w:rsid w:val="000D6D63"/>
    <w:rsid w:val="000E0081"/>
    <w:rsid w:val="000E07CF"/>
    <w:rsid w:val="000E1203"/>
    <w:rsid w:val="000E31C1"/>
    <w:rsid w:val="000F041B"/>
    <w:rsid w:val="000F1FA1"/>
    <w:rsid w:val="000F2CF2"/>
    <w:rsid w:val="000F48C3"/>
    <w:rsid w:val="000F657C"/>
    <w:rsid w:val="00100BEF"/>
    <w:rsid w:val="001078A9"/>
    <w:rsid w:val="001106EE"/>
    <w:rsid w:val="00111326"/>
    <w:rsid w:val="00113BAC"/>
    <w:rsid w:val="0011498E"/>
    <w:rsid w:val="00117A45"/>
    <w:rsid w:val="001224AE"/>
    <w:rsid w:val="00123AA0"/>
    <w:rsid w:val="00127BD6"/>
    <w:rsid w:val="0013057D"/>
    <w:rsid w:val="0013371B"/>
    <w:rsid w:val="001337D4"/>
    <w:rsid w:val="00133A60"/>
    <w:rsid w:val="001404F5"/>
    <w:rsid w:val="00141E81"/>
    <w:rsid w:val="001424CE"/>
    <w:rsid w:val="00144F63"/>
    <w:rsid w:val="00147926"/>
    <w:rsid w:val="00147C12"/>
    <w:rsid w:val="001510D2"/>
    <w:rsid w:val="00151957"/>
    <w:rsid w:val="001527A1"/>
    <w:rsid w:val="001530DC"/>
    <w:rsid w:val="00154989"/>
    <w:rsid w:val="00155A9F"/>
    <w:rsid w:val="00157ADA"/>
    <w:rsid w:val="00160262"/>
    <w:rsid w:val="0016355F"/>
    <w:rsid w:val="00167539"/>
    <w:rsid w:val="001676BF"/>
    <w:rsid w:val="0016780A"/>
    <w:rsid w:val="00167ABA"/>
    <w:rsid w:val="001713FA"/>
    <w:rsid w:val="00173EBF"/>
    <w:rsid w:val="00175ED3"/>
    <w:rsid w:val="001763EC"/>
    <w:rsid w:val="001778D2"/>
    <w:rsid w:val="00177FB5"/>
    <w:rsid w:val="001842A2"/>
    <w:rsid w:val="00184777"/>
    <w:rsid w:val="00187FA8"/>
    <w:rsid w:val="001908B5"/>
    <w:rsid w:val="00192F5E"/>
    <w:rsid w:val="0019600F"/>
    <w:rsid w:val="001970F2"/>
    <w:rsid w:val="00197772"/>
    <w:rsid w:val="001A2E46"/>
    <w:rsid w:val="001A3793"/>
    <w:rsid w:val="001A51C8"/>
    <w:rsid w:val="001A7DB6"/>
    <w:rsid w:val="001B3118"/>
    <w:rsid w:val="001B4CA8"/>
    <w:rsid w:val="001B5EA1"/>
    <w:rsid w:val="001C22EF"/>
    <w:rsid w:val="001C4F3D"/>
    <w:rsid w:val="001C6E4C"/>
    <w:rsid w:val="001D0CDC"/>
    <w:rsid w:val="001D1D82"/>
    <w:rsid w:val="001D5D6A"/>
    <w:rsid w:val="001D65BE"/>
    <w:rsid w:val="001E1182"/>
    <w:rsid w:val="001E1382"/>
    <w:rsid w:val="001E6829"/>
    <w:rsid w:val="001E7B6C"/>
    <w:rsid w:val="001E7EC1"/>
    <w:rsid w:val="001F1940"/>
    <w:rsid w:val="00200A0B"/>
    <w:rsid w:val="00201140"/>
    <w:rsid w:val="0020138A"/>
    <w:rsid w:val="00201817"/>
    <w:rsid w:val="00202349"/>
    <w:rsid w:val="00202C90"/>
    <w:rsid w:val="00204F7C"/>
    <w:rsid w:val="00211EA8"/>
    <w:rsid w:val="00213C8D"/>
    <w:rsid w:val="00213DE8"/>
    <w:rsid w:val="0021409B"/>
    <w:rsid w:val="00216118"/>
    <w:rsid w:val="002170C2"/>
    <w:rsid w:val="002209AB"/>
    <w:rsid w:val="00221954"/>
    <w:rsid w:val="00223404"/>
    <w:rsid w:val="002251E3"/>
    <w:rsid w:val="00225760"/>
    <w:rsid w:val="00227A95"/>
    <w:rsid w:val="002316BD"/>
    <w:rsid w:val="00231B05"/>
    <w:rsid w:val="00231C98"/>
    <w:rsid w:val="002336F5"/>
    <w:rsid w:val="00234DEE"/>
    <w:rsid w:val="00235F73"/>
    <w:rsid w:val="0023673E"/>
    <w:rsid w:val="00244CA1"/>
    <w:rsid w:val="002473FC"/>
    <w:rsid w:val="00252E3C"/>
    <w:rsid w:val="00257127"/>
    <w:rsid w:val="00260C68"/>
    <w:rsid w:val="002617A6"/>
    <w:rsid w:val="00262198"/>
    <w:rsid w:val="002670EF"/>
    <w:rsid w:val="00267FE2"/>
    <w:rsid w:val="002738FF"/>
    <w:rsid w:val="00274121"/>
    <w:rsid w:val="00274556"/>
    <w:rsid w:val="00276E79"/>
    <w:rsid w:val="002803EF"/>
    <w:rsid w:val="00285F1B"/>
    <w:rsid w:val="0028644A"/>
    <w:rsid w:val="002869EE"/>
    <w:rsid w:val="00290436"/>
    <w:rsid w:val="002905CD"/>
    <w:rsid w:val="00290B8E"/>
    <w:rsid w:val="00292B81"/>
    <w:rsid w:val="0029477E"/>
    <w:rsid w:val="00296845"/>
    <w:rsid w:val="00297C32"/>
    <w:rsid w:val="002A1E94"/>
    <w:rsid w:val="002A60F3"/>
    <w:rsid w:val="002A6DA5"/>
    <w:rsid w:val="002B0AB6"/>
    <w:rsid w:val="002B18AE"/>
    <w:rsid w:val="002C100C"/>
    <w:rsid w:val="002C1C93"/>
    <w:rsid w:val="002C2070"/>
    <w:rsid w:val="002C5066"/>
    <w:rsid w:val="002C5813"/>
    <w:rsid w:val="002D00EB"/>
    <w:rsid w:val="002D0BA5"/>
    <w:rsid w:val="002D3301"/>
    <w:rsid w:val="002D3B5A"/>
    <w:rsid w:val="002D4AAC"/>
    <w:rsid w:val="002D7C2B"/>
    <w:rsid w:val="002E19A2"/>
    <w:rsid w:val="002E2ADB"/>
    <w:rsid w:val="002E3E7C"/>
    <w:rsid w:val="002E4AF0"/>
    <w:rsid w:val="002E70C7"/>
    <w:rsid w:val="002E7756"/>
    <w:rsid w:val="002F045A"/>
    <w:rsid w:val="002F1122"/>
    <w:rsid w:val="002F12EB"/>
    <w:rsid w:val="002F32EE"/>
    <w:rsid w:val="002F53CC"/>
    <w:rsid w:val="002F6224"/>
    <w:rsid w:val="0030039D"/>
    <w:rsid w:val="0030326F"/>
    <w:rsid w:val="003065D2"/>
    <w:rsid w:val="00310701"/>
    <w:rsid w:val="00313486"/>
    <w:rsid w:val="00315980"/>
    <w:rsid w:val="00316F7F"/>
    <w:rsid w:val="00320C05"/>
    <w:rsid w:val="003218E8"/>
    <w:rsid w:val="00323849"/>
    <w:rsid w:val="00325E34"/>
    <w:rsid w:val="00326C23"/>
    <w:rsid w:val="00330DCE"/>
    <w:rsid w:val="00331E11"/>
    <w:rsid w:val="0033263E"/>
    <w:rsid w:val="00334761"/>
    <w:rsid w:val="00334C37"/>
    <w:rsid w:val="003365D6"/>
    <w:rsid w:val="00337EBC"/>
    <w:rsid w:val="00341DCD"/>
    <w:rsid w:val="00342229"/>
    <w:rsid w:val="003442EC"/>
    <w:rsid w:val="0034563E"/>
    <w:rsid w:val="00346333"/>
    <w:rsid w:val="00350ECC"/>
    <w:rsid w:val="003518D6"/>
    <w:rsid w:val="00353C60"/>
    <w:rsid w:val="0035460C"/>
    <w:rsid w:val="0035547F"/>
    <w:rsid w:val="003556BD"/>
    <w:rsid w:val="00362F39"/>
    <w:rsid w:val="00365147"/>
    <w:rsid w:val="0037016E"/>
    <w:rsid w:val="00370BA1"/>
    <w:rsid w:val="00372908"/>
    <w:rsid w:val="003758A2"/>
    <w:rsid w:val="003808E6"/>
    <w:rsid w:val="00381A13"/>
    <w:rsid w:val="00383020"/>
    <w:rsid w:val="00383EBB"/>
    <w:rsid w:val="00387EDA"/>
    <w:rsid w:val="00393162"/>
    <w:rsid w:val="00394D7E"/>
    <w:rsid w:val="003975FD"/>
    <w:rsid w:val="003A2A46"/>
    <w:rsid w:val="003A539F"/>
    <w:rsid w:val="003B057D"/>
    <w:rsid w:val="003B4841"/>
    <w:rsid w:val="003B48CD"/>
    <w:rsid w:val="003B60CC"/>
    <w:rsid w:val="003B6FE2"/>
    <w:rsid w:val="003B7F27"/>
    <w:rsid w:val="003C0B92"/>
    <w:rsid w:val="003C1B25"/>
    <w:rsid w:val="003C1E1A"/>
    <w:rsid w:val="003C2443"/>
    <w:rsid w:val="003C4810"/>
    <w:rsid w:val="003C4A60"/>
    <w:rsid w:val="003C56C1"/>
    <w:rsid w:val="003C5DA3"/>
    <w:rsid w:val="003D4BCD"/>
    <w:rsid w:val="003D4DBB"/>
    <w:rsid w:val="003D6C2B"/>
    <w:rsid w:val="003D72D8"/>
    <w:rsid w:val="003D734D"/>
    <w:rsid w:val="003E01D8"/>
    <w:rsid w:val="003E05E5"/>
    <w:rsid w:val="003E2100"/>
    <w:rsid w:val="003E3778"/>
    <w:rsid w:val="003E3D45"/>
    <w:rsid w:val="003E4BCB"/>
    <w:rsid w:val="003E7C08"/>
    <w:rsid w:val="003F1474"/>
    <w:rsid w:val="003F2C80"/>
    <w:rsid w:val="003F3B6D"/>
    <w:rsid w:val="003F3C8C"/>
    <w:rsid w:val="003F53A7"/>
    <w:rsid w:val="003F6F5B"/>
    <w:rsid w:val="00402176"/>
    <w:rsid w:val="0040342D"/>
    <w:rsid w:val="00407664"/>
    <w:rsid w:val="0041085D"/>
    <w:rsid w:val="00410E38"/>
    <w:rsid w:val="0041192D"/>
    <w:rsid w:val="00411DEB"/>
    <w:rsid w:val="00413EE1"/>
    <w:rsid w:val="00415B7C"/>
    <w:rsid w:val="00417395"/>
    <w:rsid w:val="0042128E"/>
    <w:rsid w:val="00422098"/>
    <w:rsid w:val="004227C8"/>
    <w:rsid w:val="0042735B"/>
    <w:rsid w:val="00431001"/>
    <w:rsid w:val="00432B60"/>
    <w:rsid w:val="00435D2A"/>
    <w:rsid w:val="00436208"/>
    <w:rsid w:val="0043641A"/>
    <w:rsid w:val="00440614"/>
    <w:rsid w:val="00440698"/>
    <w:rsid w:val="004449F9"/>
    <w:rsid w:val="00444DC7"/>
    <w:rsid w:val="004540E2"/>
    <w:rsid w:val="00454454"/>
    <w:rsid w:val="004558DE"/>
    <w:rsid w:val="00456473"/>
    <w:rsid w:val="00456E98"/>
    <w:rsid w:val="00460341"/>
    <w:rsid w:val="00466822"/>
    <w:rsid w:val="00467924"/>
    <w:rsid w:val="00470DD2"/>
    <w:rsid w:val="004712A5"/>
    <w:rsid w:val="0047266F"/>
    <w:rsid w:val="00473422"/>
    <w:rsid w:val="00474543"/>
    <w:rsid w:val="0047576B"/>
    <w:rsid w:val="0047691C"/>
    <w:rsid w:val="00476D6B"/>
    <w:rsid w:val="0048192E"/>
    <w:rsid w:val="0048596B"/>
    <w:rsid w:val="00492C16"/>
    <w:rsid w:val="004951D6"/>
    <w:rsid w:val="004958BB"/>
    <w:rsid w:val="0049664C"/>
    <w:rsid w:val="00497C46"/>
    <w:rsid w:val="004A0678"/>
    <w:rsid w:val="004A0C12"/>
    <w:rsid w:val="004A48A3"/>
    <w:rsid w:val="004A69F4"/>
    <w:rsid w:val="004B0D92"/>
    <w:rsid w:val="004B0EC0"/>
    <w:rsid w:val="004B106A"/>
    <w:rsid w:val="004B2490"/>
    <w:rsid w:val="004B6165"/>
    <w:rsid w:val="004B66F1"/>
    <w:rsid w:val="004B6DFD"/>
    <w:rsid w:val="004B7A12"/>
    <w:rsid w:val="004C3EA0"/>
    <w:rsid w:val="004C6C63"/>
    <w:rsid w:val="004E0DCE"/>
    <w:rsid w:val="004E18DC"/>
    <w:rsid w:val="004E35A4"/>
    <w:rsid w:val="004E4077"/>
    <w:rsid w:val="004E610E"/>
    <w:rsid w:val="004F02B4"/>
    <w:rsid w:val="004F0811"/>
    <w:rsid w:val="004F620D"/>
    <w:rsid w:val="004F6617"/>
    <w:rsid w:val="004F6878"/>
    <w:rsid w:val="004F7169"/>
    <w:rsid w:val="00500D66"/>
    <w:rsid w:val="0050462C"/>
    <w:rsid w:val="00510343"/>
    <w:rsid w:val="00510EB2"/>
    <w:rsid w:val="00512922"/>
    <w:rsid w:val="00513AB5"/>
    <w:rsid w:val="00514B27"/>
    <w:rsid w:val="00514C8E"/>
    <w:rsid w:val="00516E61"/>
    <w:rsid w:val="005171A8"/>
    <w:rsid w:val="005201A4"/>
    <w:rsid w:val="00524FBB"/>
    <w:rsid w:val="00531DBF"/>
    <w:rsid w:val="00537479"/>
    <w:rsid w:val="00545759"/>
    <w:rsid w:val="00545BE0"/>
    <w:rsid w:val="00546930"/>
    <w:rsid w:val="00551011"/>
    <w:rsid w:val="00553698"/>
    <w:rsid w:val="00554C6A"/>
    <w:rsid w:val="0055654D"/>
    <w:rsid w:val="0055655A"/>
    <w:rsid w:val="00560ACD"/>
    <w:rsid w:val="00560D5F"/>
    <w:rsid w:val="00562E85"/>
    <w:rsid w:val="0056332F"/>
    <w:rsid w:val="00565FB4"/>
    <w:rsid w:val="0056797C"/>
    <w:rsid w:val="005719B3"/>
    <w:rsid w:val="0057295E"/>
    <w:rsid w:val="0057607F"/>
    <w:rsid w:val="00581C39"/>
    <w:rsid w:val="005835C3"/>
    <w:rsid w:val="00583BC4"/>
    <w:rsid w:val="00587803"/>
    <w:rsid w:val="005903B6"/>
    <w:rsid w:val="00592476"/>
    <w:rsid w:val="005956F2"/>
    <w:rsid w:val="0059694B"/>
    <w:rsid w:val="005976C6"/>
    <w:rsid w:val="005A0104"/>
    <w:rsid w:val="005A0247"/>
    <w:rsid w:val="005A126E"/>
    <w:rsid w:val="005A4465"/>
    <w:rsid w:val="005A452F"/>
    <w:rsid w:val="005A5586"/>
    <w:rsid w:val="005A7735"/>
    <w:rsid w:val="005B0812"/>
    <w:rsid w:val="005B140D"/>
    <w:rsid w:val="005B4216"/>
    <w:rsid w:val="005C1FEA"/>
    <w:rsid w:val="005C3495"/>
    <w:rsid w:val="005C43C8"/>
    <w:rsid w:val="005D15E8"/>
    <w:rsid w:val="005D2B6A"/>
    <w:rsid w:val="005E3DFC"/>
    <w:rsid w:val="005E5783"/>
    <w:rsid w:val="005E5942"/>
    <w:rsid w:val="005E60AF"/>
    <w:rsid w:val="005E7E63"/>
    <w:rsid w:val="005F1DEA"/>
    <w:rsid w:val="005F247F"/>
    <w:rsid w:val="005F30B0"/>
    <w:rsid w:val="005F3D33"/>
    <w:rsid w:val="005F5DA8"/>
    <w:rsid w:val="005F7397"/>
    <w:rsid w:val="005F7A79"/>
    <w:rsid w:val="0060085A"/>
    <w:rsid w:val="00600AF5"/>
    <w:rsid w:val="00600F29"/>
    <w:rsid w:val="006068E4"/>
    <w:rsid w:val="0060765B"/>
    <w:rsid w:val="00607FC9"/>
    <w:rsid w:val="00616849"/>
    <w:rsid w:val="00616C54"/>
    <w:rsid w:val="006172D4"/>
    <w:rsid w:val="00622FE1"/>
    <w:rsid w:val="006246D4"/>
    <w:rsid w:val="0062521C"/>
    <w:rsid w:val="00625911"/>
    <w:rsid w:val="00630A2B"/>
    <w:rsid w:val="00631DB4"/>
    <w:rsid w:val="00632DC7"/>
    <w:rsid w:val="006357FB"/>
    <w:rsid w:val="006406FC"/>
    <w:rsid w:val="00640BEB"/>
    <w:rsid w:val="00640E57"/>
    <w:rsid w:val="00641991"/>
    <w:rsid w:val="00641A44"/>
    <w:rsid w:val="00644127"/>
    <w:rsid w:val="00646122"/>
    <w:rsid w:val="00646358"/>
    <w:rsid w:val="006521CA"/>
    <w:rsid w:val="00652AFE"/>
    <w:rsid w:val="00653E16"/>
    <w:rsid w:val="00656793"/>
    <w:rsid w:val="00656E06"/>
    <w:rsid w:val="00657220"/>
    <w:rsid w:val="00657362"/>
    <w:rsid w:val="0066104B"/>
    <w:rsid w:val="006618DA"/>
    <w:rsid w:val="006655EE"/>
    <w:rsid w:val="00667C10"/>
    <w:rsid w:val="00667D28"/>
    <w:rsid w:val="00667EF4"/>
    <w:rsid w:val="00672944"/>
    <w:rsid w:val="006738A0"/>
    <w:rsid w:val="00676D88"/>
    <w:rsid w:val="00676FCA"/>
    <w:rsid w:val="00677177"/>
    <w:rsid w:val="0068612E"/>
    <w:rsid w:val="006862A4"/>
    <w:rsid w:val="00687C92"/>
    <w:rsid w:val="0069534E"/>
    <w:rsid w:val="0069669C"/>
    <w:rsid w:val="006A1200"/>
    <w:rsid w:val="006A348D"/>
    <w:rsid w:val="006A4F4E"/>
    <w:rsid w:val="006A6C23"/>
    <w:rsid w:val="006B14DB"/>
    <w:rsid w:val="006B21C4"/>
    <w:rsid w:val="006B2848"/>
    <w:rsid w:val="006C2276"/>
    <w:rsid w:val="006C4A1A"/>
    <w:rsid w:val="006C7FC7"/>
    <w:rsid w:val="006D0393"/>
    <w:rsid w:val="006D14C8"/>
    <w:rsid w:val="006D1A4E"/>
    <w:rsid w:val="006D1A83"/>
    <w:rsid w:val="006E1CFE"/>
    <w:rsid w:val="006E24C7"/>
    <w:rsid w:val="006E2741"/>
    <w:rsid w:val="006E31A8"/>
    <w:rsid w:val="006F10C4"/>
    <w:rsid w:val="006F40E9"/>
    <w:rsid w:val="006F44B7"/>
    <w:rsid w:val="006F5603"/>
    <w:rsid w:val="006F7802"/>
    <w:rsid w:val="006F7B87"/>
    <w:rsid w:val="00701400"/>
    <w:rsid w:val="007030CB"/>
    <w:rsid w:val="007037CF"/>
    <w:rsid w:val="0070404D"/>
    <w:rsid w:val="00707D1A"/>
    <w:rsid w:val="00711522"/>
    <w:rsid w:val="00715C4E"/>
    <w:rsid w:val="00715E9E"/>
    <w:rsid w:val="007167C0"/>
    <w:rsid w:val="00720481"/>
    <w:rsid w:val="00727C47"/>
    <w:rsid w:val="00730C2A"/>
    <w:rsid w:val="007323D9"/>
    <w:rsid w:val="00733193"/>
    <w:rsid w:val="00734632"/>
    <w:rsid w:val="00736528"/>
    <w:rsid w:val="00737E87"/>
    <w:rsid w:val="00744DDA"/>
    <w:rsid w:val="00745E03"/>
    <w:rsid w:val="00747962"/>
    <w:rsid w:val="00754A3E"/>
    <w:rsid w:val="0075732A"/>
    <w:rsid w:val="007600F8"/>
    <w:rsid w:val="00760262"/>
    <w:rsid w:val="007614C7"/>
    <w:rsid w:val="0076310C"/>
    <w:rsid w:val="0076390D"/>
    <w:rsid w:val="00764449"/>
    <w:rsid w:val="0076714B"/>
    <w:rsid w:val="0076744F"/>
    <w:rsid w:val="00767BCE"/>
    <w:rsid w:val="00767EFC"/>
    <w:rsid w:val="00770028"/>
    <w:rsid w:val="007707DE"/>
    <w:rsid w:val="00770B5D"/>
    <w:rsid w:val="00772106"/>
    <w:rsid w:val="00774624"/>
    <w:rsid w:val="007752F1"/>
    <w:rsid w:val="00776768"/>
    <w:rsid w:val="00777168"/>
    <w:rsid w:val="0078187A"/>
    <w:rsid w:val="0078362F"/>
    <w:rsid w:val="00794ED8"/>
    <w:rsid w:val="007959E0"/>
    <w:rsid w:val="00796CE3"/>
    <w:rsid w:val="007A0661"/>
    <w:rsid w:val="007A2573"/>
    <w:rsid w:val="007A2577"/>
    <w:rsid w:val="007A4F29"/>
    <w:rsid w:val="007A5732"/>
    <w:rsid w:val="007B106C"/>
    <w:rsid w:val="007B1A4E"/>
    <w:rsid w:val="007B3D05"/>
    <w:rsid w:val="007B415E"/>
    <w:rsid w:val="007B5503"/>
    <w:rsid w:val="007B5A99"/>
    <w:rsid w:val="007B6897"/>
    <w:rsid w:val="007B6919"/>
    <w:rsid w:val="007C179C"/>
    <w:rsid w:val="007C1C0F"/>
    <w:rsid w:val="007C1D31"/>
    <w:rsid w:val="007C6BB3"/>
    <w:rsid w:val="007C6CA0"/>
    <w:rsid w:val="007C77D6"/>
    <w:rsid w:val="007C7DAD"/>
    <w:rsid w:val="007D0290"/>
    <w:rsid w:val="007D0F6C"/>
    <w:rsid w:val="007D14B4"/>
    <w:rsid w:val="007D19EA"/>
    <w:rsid w:val="007D2A90"/>
    <w:rsid w:val="007D3AD7"/>
    <w:rsid w:val="007D5A99"/>
    <w:rsid w:val="007D61E3"/>
    <w:rsid w:val="007D72F5"/>
    <w:rsid w:val="007E24F6"/>
    <w:rsid w:val="007E35C9"/>
    <w:rsid w:val="007E3E9D"/>
    <w:rsid w:val="007E7168"/>
    <w:rsid w:val="007F666E"/>
    <w:rsid w:val="00800F64"/>
    <w:rsid w:val="00801050"/>
    <w:rsid w:val="00802F0B"/>
    <w:rsid w:val="00804FC8"/>
    <w:rsid w:val="008053BB"/>
    <w:rsid w:val="00806127"/>
    <w:rsid w:val="00810A67"/>
    <w:rsid w:val="00815A06"/>
    <w:rsid w:val="00817043"/>
    <w:rsid w:val="00821704"/>
    <w:rsid w:val="00825106"/>
    <w:rsid w:val="00826563"/>
    <w:rsid w:val="008267C1"/>
    <w:rsid w:val="0083019D"/>
    <w:rsid w:val="0083052D"/>
    <w:rsid w:val="0083088D"/>
    <w:rsid w:val="00831A58"/>
    <w:rsid w:val="00831E3C"/>
    <w:rsid w:val="008332B8"/>
    <w:rsid w:val="00833CF7"/>
    <w:rsid w:val="00834667"/>
    <w:rsid w:val="00834CDE"/>
    <w:rsid w:val="008350BD"/>
    <w:rsid w:val="008352B4"/>
    <w:rsid w:val="00842464"/>
    <w:rsid w:val="00845601"/>
    <w:rsid w:val="00845FDA"/>
    <w:rsid w:val="0085168B"/>
    <w:rsid w:val="00853689"/>
    <w:rsid w:val="0085438C"/>
    <w:rsid w:val="00855C5C"/>
    <w:rsid w:val="008600F4"/>
    <w:rsid w:val="00860A9B"/>
    <w:rsid w:val="008611F9"/>
    <w:rsid w:val="00864DD9"/>
    <w:rsid w:val="00870A87"/>
    <w:rsid w:val="00872451"/>
    <w:rsid w:val="0087253F"/>
    <w:rsid w:val="00872CD4"/>
    <w:rsid w:val="008731B3"/>
    <w:rsid w:val="00877D0E"/>
    <w:rsid w:val="00881483"/>
    <w:rsid w:val="008841E2"/>
    <w:rsid w:val="00890AAF"/>
    <w:rsid w:val="008979D4"/>
    <w:rsid w:val="008A12B7"/>
    <w:rsid w:val="008A3C96"/>
    <w:rsid w:val="008B4019"/>
    <w:rsid w:val="008B43BC"/>
    <w:rsid w:val="008B45A3"/>
    <w:rsid w:val="008B5597"/>
    <w:rsid w:val="008B659F"/>
    <w:rsid w:val="008B65C9"/>
    <w:rsid w:val="008C0B2F"/>
    <w:rsid w:val="008C2D4A"/>
    <w:rsid w:val="008C4E29"/>
    <w:rsid w:val="008C6379"/>
    <w:rsid w:val="008C6F37"/>
    <w:rsid w:val="008C7425"/>
    <w:rsid w:val="008D3900"/>
    <w:rsid w:val="008D6E1D"/>
    <w:rsid w:val="008D7052"/>
    <w:rsid w:val="008E3817"/>
    <w:rsid w:val="008E4A3B"/>
    <w:rsid w:val="008E683E"/>
    <w:rsid w:val="008F2ED7"/>
    <w:rsid w:val="008F39B4"/>
    <w:rsid w:val="008F4162"/>
    <w:rsid w:val="008F4891"/>
    <w:rsid w:val="008F5BDC"/>
    <w:rsid w:val="008F6441"/>
    <w:rsid w:val="00901C3F"/>
    <w:rsid w:val="00903E02"/>
    <w:rsid w:val="00913175"/>
    <w:rsid w:val="00915566"/>
    <w:rsid w:val="00916EDB"/>
    <w:rsid w:val="00920861"/>
    <w:rsid w:val="00920869"/>
    <w:rsid w:val="00920C53"/>
    <w:rsid w:val="00922B13"/>
    <w:rsid w:val="009242EF"/>
    <w:rsid w:val="0092540F"/>
    <w:rsid w:val="00925BE8"/>
    <w:rsid w:val="00927E3D"/>
    <w:rsid w:val="00932291"/>
    <w:rsid w:val="00932861"/>
    <w:rsid w:val="00934079"/>
    <w:rsid w:val="0093408E"/>
    <w:rsid w:val="00936E05"/>
    <w:rsid w:val="00940335"/>
    <w:rsid w:val="009426BB"/>
    <w:rsid w:val="00942A80"/>
    <w:rsid w:val="00952DDF"/>
    <w:rsid w:val="00957A42"/>
    <w:rsid w:val="00961055"/>
    <w:rsid w:val="009610A3"/>
    <w:rsid w:val="00963B6A"/>
    <w:rsid w:val="009673DD"/>
    <w:rsid w:val="00970950"/>
    <w:rsid w:val="00973CD9"/>
    <w:rsid w:val="009747A9"/>
    <w:rsid w:val="00974F17"/>
    <w:rsid w:val="00980826"/>
    <w:rsid w:val="009812D4"/>
    <w:rsid w:val="009827AF"/>
    <w:rsid w:val="00986052"/>
    <w:rsid w:val="00987115"/>
    <w:rsid w:val="009875CE"/>
    <w:rsid w:val="009920D8"/>
    <w:rsid w:val="009952F5"/>
    <w:rsid w:val="0099741C"/>
    <w:rsid w:val="00997AEA"/>
    <w:rsid w:val="009A60A2"/>
    <w:rsid w:val="009B38BE"/>
    <w:rsid w:val="009B39E5"/>
    <w:rsid w:val="009C36AE"/>
    <w:rsid w:val="009C3D0F"/>
    <w:rsid w:val="009C5515"/>
    <w:rsid w:val="009C5B85"/>
    <w:rsid w:val="009D6ADC"/>
    <w:rsid w:val="009D753F"/>
    <w:rsid w:val="009E1B19"/>
    <w:rsid w:val="009E25D1"/>
    <w:rsid w:val="009E3903"/>
    <w:rsid w:val="009E3ED8"/>
    <w:rsid w:val="009F35E2"/>
    <w:rsid w:val="009F65F9"/>
    <w:rsid w:val="009F68BA"/>
    <w:rsid w:val="009F7254"/>
    <w:rsid w:val="00A00AE7"/>
    <w:rsid w:val="00A025B1"/>
    <w:rsid w:val="00A06277"/>
    <w:rsid w:val="00A079DC"/>
    <w:rsid w:val="00A111C2"/>
    <w:rsid w:val="00A14913"/>
    <w:rsid w:val="00A15F1F"/>
    <w:rsid w:val="00A22A59"/>
    <w:rsid w:val="00A25DBE"/>
    <w:rsid w:val="00A338E7"/>
    <w:rsid w:val="00A33C5A"/>
    <w:rsid w:val="00A35CAA"/>
    <w:rsid w:val="00A36DDD"/>
    <w:rsid w:val="00A36E7F"/>
    <w:rsid w:val="00A37004"/>
    <w:rsid w:val="00A37611"/>
    <w:rsid w:val="00A41E65"/>
    <w:rsid w:val="00A42CAC"/>
    <w:rsid w:val="00A43E0A"/>
    <w:rsid w:val="00A47AF2"/>
    <w:rsid w:val="00A530C7"/>
    <w:rsid w:val="00A55F1A"/>
    <w:rsid w:val="00A55F5B"/>
    <w:rsid w:val="00A570AB"/>
    <w:rsid w:val="00A60185"/>
    <w:rsid w:val="00A61FED"/>
    <w:rsid w:val="00A637E3"/>
    <w:rsid w:val="00A661EA"/>
    <w:rsid w:val="00A676F8"/>
    <w:rsid w:val="00A678DD"/>
    <w:rsid w:val="00A71913"/>
    <w:rsid w:val="00A72FB0"/>
    <w:rsid w:val="00A774EB"/>
    <w:rsid w:val="00A823CA"/>
    <w:rsid w:val="00A830E5"/>
    <w:rsid w:val="00A84B7A"/>
    <w:rsid w:val="00A85BAA"/>
    <w:rsid w:val="00A87135"/>
    <w:rsid w:val="00A910B7"/>
    <w:rsid w:val="00A93280"/>
    <w:rsid w:val="00A94FF2"/>
    <w:rsid w:val="00A951EA"/>
    <w:rsid w:val="00A960BC"/>
    <w:rsid w:val="00AA0C70"/>
    <w:rsid w:val="00AA2548"/>
    <w:rsid w:val="00AA58C4"/>
    <w:rsid w:val="00AA7003"/>
    <w:rsid w:val="00AB11C8"/>
    <w:rsid w:val="00AB481A"/>
    <w:rsid w:val="00AC0898"/>
    <w:rsid w:val="00AC08A8"/>
    <w:rsid w:val="00AC3458"/>
    <w:rsid w:val="00AD4F3F"/>
    <w:rsid w:val="00AD56C8"/>
    <w:rsid w:val="00AD58F2"/>
    <w:rsid w:val="00AD5F43"/>
    <w:rsid w:val="00AE2FAC"/>
    <w:rsid w:val="00AE6481"/>
    <w:rsid w:val="00AE74B9"/>
    <w:rsid w:val="00AE77EE"/>
    <w:rsid w:val="00AF2980"/>
    <w:rsid w:val="00AF4DA2"/>
    <w:rsid w:val="00B0512A"/>
    <w:rsid w:val="00B0529F"/>
    <w:rsid w:val="00B067A4"/>
    <w:rsid w:val="00B07E4D"/>
    <w:rsid w:val="00B11CA1"/>
    <w:rsid w:val="00B1418B"/>
    <w:rsid w:val="00B21195"/>
    <w:rsid w:val="00B212DF"/>
    <w:rsid w:val="00B2268F"/>
    <w:rsid w:val="00B24788"/>
    <w:rsid w:val="00B24B22"/>
    <w:rsid w:val="00B25310"/>
    <w:rsid w:val="00B27920"/>
    <w:rsid w:val="00B27FA2"/>
    <w:rsid w:val="00B32F8F"/>
    <w:rsid w:val="00B3492A"/>
    <w:rsid w:val="00B435B7"/>
    <w:rsid w:val="00B44ED4"/>
    <w:rsid w:val="00B45CFE"/>
    <w:rsid w:val="00B46616"/>
    <w:rsid w:val="00B539C6"/>
    <w:rsid w:val="00B54DE9"/>
    <w:rsid w:val="00B553EC"/>
    <w:rsid w:val="00B55E3F"/>
    <w:rsid w:val="00B56069"/>
    <w:rsid w:val="00B62A9C"/>
    <w:rsid w:val="00B635E9"/>
    <w:rsid w:val="00B63C1E"/>
    <w:rsid w:val="00B6593E"/>
    <w:rsid w:val="00B65C5B"/>
    <w:rsid w:val="00B70F14"/>
    <w:rsid w:val="00B714B7"/>
    <w:rsid w:val="00B72702"/>
    <w:rsid w:val="00B75FF4"/>
    <w:rsid w:val="00B8220F"/>
    <w:rsid w:val="00B83778"/>
    <w:rsid w:val="00B8440E"/>
    <w:rsid w:val="00B85E58"/>
    <w:rsid w:val="00B869A2"/>
    <w:rsid w:val="00B87DC1"/>
    <w:rsid w:val="00B90B18"/>
    <w:rsid w:val="00B910AE"/>
    <w:rsid w:val="00B93DD0"/>
    <w:rsid w:val="00B97732"/>
    <w:rsid w:val="00BA1350"/>
    <w:rsid w:val="00BA16F7"/>
    <w:rsid w:val="00BA34D5"/>
    <w:rsid w:val="00BA5D98"/>
    <w:rsid w:val="00BA65A8"/>
    <w:rsid w:val="00BA6D19"/>
    <w:rsid w:val="00BA7461"/>
    <w:rsid w:val="00BA74BE"/>
    <w:rsid w:val="00BA7DA9"/>
    <w:rsid w:val="00BB2C3D"/>
    <w:rsid w:val="00BB3F1B"/>
    <w:rsid w:val="00BB5D44"/>
    <w:rsid w:val="00BB6E8F"/>
    <w:rsid w:val="00BC4215"/>
    <w:rsid w:val="00BC4281"/>
    <w:rsid w:val="00BC5204"/>
    <w:rsid w:val="00BD1A6F"/>
    <w:rsid w:val="00BD2875"/>
    <w:rsid w:val="00BD6F8C"/>
    <w:rsid w:val="00BE3A43"/>
    <w:rsid w:val="00BE3B51"/>
    <w:rsid w:val="00BE6D3C"/>
    <w:rsid w:val="00BE7852"/>
    <w:rsid w:val="00BF15DD"/>
    <w:rsid w:val="00BF7CEE"/>
    <w:rsid w:val="00C00372"/>
    <w:rsid w:val="00C03880"/>
    <w:rsid w:val="00C1326A"/>
    <w:rsid w:val="00C135CF"/>
    <w:rsid w:val="00C14255"/>
    <w:rsid w:val="00C14E32"/>
    <w:rsid w:val="00C168D7"/>
    <w:rsid w:val="00C22398"/>
    <w:rsid w:val="00C263B9"/>
    <w:rsid w:val="00C2683F"/>
    <w:rsid w:val="00C3184D"/>
    <w:rsid w:val="00C32779"/>
    <w:rsid w:val="00C32F21"/>
    <w:rsid w:val="00C34E86"/>
    <w:rsid w:val="00C35CF4"/>
    <w:rsid w:val="00C37B2C"/>
    <w:rsid w:val="00C42638"/>
    <w:rsid w:val="00C44404"/>
    <w:rsid w:val="00C45C8F"/>
    <w:rsid w:val="00C4714E"/>
    <w:rsid w:val="00C47511"/>
    <w:rsid w:val="00C47A0F"/>
    <w:rsid w:val="00C5024C"/>
    <w:rsid w:val="00C50E9D"/>
    <w:rsid w:val="00C51CCA"/>
    <w:rsid w:val="00C525D9"/>
    <w:rsid w:val="00C53344"/>
    <w:rsid w:val="00C538DF"/>
    <w:rsid w:val="00C54FE7"/>
    <w:rsid w:val="00C5504F"/>
    <w:rsid w:val="00C557EE"/>
    <w:rsid w:val="00C558ED"/>
    <w:rsid w:val="00C57B55"/>
    <w:rsid w:val="00C62D3B"/>
    <w:rsid w:val="00C63326"/>
    <w:rsid w:val="00C63376"/>
    <w:rsid w:val="00C64F01"/>
    <w:rsid w:val="00C66C00"/>
    <w:rsid w:val="00C66E82"/>
    <w:rsid w:val="00C7241E"/>
    <w:rsid w:val="00C74749"/>
    <w:rsid w:val="00C74F97"/>
    <w:rsid w:val="00C80A54"/>
    <w:rsid w:val="00C82416"/>
    <w:rsid w:val="00C824BF"/>
    <w:rsid w:val="00C8276E"/>
    <w:rsid w:val="00C842AC"/>
    <w:rsid w:val="00C84604"/>
    <w:rsid w:val="00C8472F"/>
    <w:rsid w:val="00C867B4"/>
    <w:rsid w:val="00C86A4D"/>
    <w:rsid w:val="00C91B54"/>
    <w:rsid w:val="00C94D9F"/>
    <w:rsid w:val="00C955EE"/>
    <w:rsid w:val="00C96451"/>
    <w:rsid w:val="00C96688"/>
    <w:rsid w:val="00CA0723"/>
    <w:rsid w:val="00CA2F96"/>
    <w:rsid w:val="00CA4CD6"/>
    <w:rsid w:val="00CA669E"/>
    <w:rsid w:val="00CA6D4A"/>
    <w:rsid w:val="00CB1690"/>
    <w:rsid w:val="00CB30D8"/>
    <w:rsid w:val="00CC0312"/>
    <w:rsid w:val="00CC0AF9"/>
    <w:rsid w:val="00CC1B77"/>
    <w:rsid w:val="00CC1D88"/>
    <w:rsid w:val="00CC279F"/>
    <w:rsid w:val="00CC325C"/>
    <w:rsid w:val="00CC4365"/>
    <w:rsid w:val="00CC5277"/>
    <w:rsid w:val="00CC7FF7"/>
    <w:rsid w:val="00CD11B0"/>
    <w:rsid w:val="00CE01DC"/>
    <w:rsid w:val="00CE053E"/>
    <w:rsid w:val="00CE062D"/>
    <w:rsid w:val="00CE1E41"/>
    <w:rsid w:val="00CE4BCE"/>
    <w:rsid w:val="00CE71C2"/>
    <w:rsid w:val="00CE794C"/>
    <w:rsid w:val="00CF1770"/>
    <w:rsid w:val="00CF34E9"/>
    <w:rsid w:val="00CF42D5"/>
    <w:rsid w:val="00CF4EDA"/>
    <w:rsid w:val="00CF5AF0"/>
    <w:rsid w:val="00CF630C"/>
    <w:rsid w:val="00D01414"/>
    <w:rsid w:val="00D021CB"/>
    <w:rsid w:val="00D03B1F"/>
    <w:rsid w:val="00D059D4"/>
    <w:rsid w:val="00D10F1A"/>
    <w:rsid w:val="00D116F8"/>
    <w:rsid w:val="00D1311C"/>
    <w:rsid w:val="00D142C5"/>
    <w:rsid w:val="00D143B0"/>
    <w:rsid w:val="00D1492C"/>
    <w:rsid w:val="00D17596"/>
    <w:rsid w:val="00D21D54"/>
    <w:rsid w:val="00D224A1"/>
    <w:rsid w:val="00D22640"/>
    <w:rsid w:val="00D23681"/>
    <w:rsid w:val="00D24B48"/>
    <w:rsid w:val="00D26CAB"/>
    <w:rsid w:val="00D26D3A"/>
    <w:rsid w:val="00D27509"/>
    <w:rsid w:val="00D27C5E"/>
    <w:rsid w:val="00D3207A"/>
    <w:rsid w:val="00D32B8A"/>
    <w:rsid w:val="00D346BC"/>
    <w:rsid w:val="00D34E10"/>
    <w:rsid w:val="00D37665"/>
    <w:rsid w:val="00D45EE3"/>
    <w:rsid w:val="00D46C8D"/>
    <w:rsid w:val="00D502A3"/>
    <w:rsid w:val="00D502F0"/>
    <w:rsid w:val="00D50618"/>
    <w:rsid w:val="00D509E9"/>
    <w:rsid w:val="00D51C94"/>
    <w:rsid w:val="00D53B1C"/>
    <w:rsid w:val="00D56A49"/>
    <w:rsid w:val="00D60A25"/>
    <w:rsid w:val="00D64133"/>
    <w:rsid w:val="00D64F86"/>
    <w:rsid w:val="00D66EEC"/>
    <w:rsid w:val="00D76026"/>
    <w:rsid w:val="00D76924"/>
    <w:rsid w:val="00D820FD"/>
    <w:rsid w:val="00DA1B12"/>
    <w:rsid w:val="00DA2613"/>
    <w:rsid w:val="00DA54C9"/>
    <w:rsid w:val="00DA6739"/>
    <w:rsid w:val="00DA6CAE"/>
    <w:rsid w:val="00DB022E"/>
    <w:rsid w:val="00DB0B98"/>
    <w:rsid w:val="00DB1A9E"/>
    <w:rsid w:val="00DB1AB3"/>
    <w:rsid w:val="00DB263A"/>
    <w:rsid w:val="00DB31D6"/>
    <w:rsid w:val="00DB383B"/>
    <w:rsid w:val="00DB4005"/>
    <w:rsid w:val="00DB681A"/>
    <w:rsid w:val="00DC34EB"/>
    <w:rsid w:val="00DD636E"/>
    <w:rsid w:val="00DD65B8"/>
    <w:rsid w:val="00DD7952"/>
    <w:rsid w:val="00DE01FA"/>
    <w:rsid w:val="00DE1DE8"/>
    <w:rsid w:val="00DE4FC9"/>
    <w:rsid w:val="00DE7F79"/>
    <w:rsid w:val="00DF081D"/>
    <w:rsid w:val="00DF1A56"/>
    <w:rsid w:val="00DF1E5B"/>
    <w:rsid w:val="00DF2275"/>
    <w:rsid w:val="00DF3AAB"/>
    <w:rsid w:val="00DF3F5E"/>
    <w:rsid w:val="00DF484C"/>
    <w:rsid w:val="00DF5653"/>
    <w:rsid w:val="00DF5774"/>
    <w:rsid w:val="00DF61C7"/>
    <w:rsid w:val="00DF6BEE"/>
    <w:rsid w:val="00E02844"/>
    <w:rsid w:val="00E02B9A"/>
    <w:rsid w:val="00E048E8"/>
    <w:rsid w:val="00E057DD"/>
    <w:rsid w:val="00E05956"/>
    <w:rsid w:val="00E0596E"/>
    <w:rsid w:val="00E0627E"/>
    <w:rsid w:val="00E06F66"/>
    <w:rsid w:val="00E0768D"/>
    <w:rsid w:val="00E17389"/>
    <w:rsid w:val="00E209AD"/>
    <w:rsid w:val="00E210C9"/>
    <w:rsid w:val="00E21E83"/>
    <w:rsid w:val="00E22FAF"/>
    <w:rsid w:val="00E27221"/>
    <w:rsid w:val="00E32BAD"/>
    <w:rsid w:val="00E356E5"/>
    <w:rsid w:val="00E365F2"/>
    <w:rsid w:val="00E36F81"/>
    <w:rsid w:val="00E37341"/>
    <w:rsid w:val="00E3747C"/>
    <w:rsid w:val="00E37EA5"/>
    <w:rsid w:val="00E44D8A"/>
    <w:rsid w:val="00E45765"/>
    <w:rsid w:val="00E4727D"/>
    <w:rsid w:val="00E47549"/>
    <w:rsid w:val="00E5098C"/>
    <w:rsid w:val="00E50E0E"/>
    <w:rsid w:val="00E52B9A"/>
    <w:rsid w:val="00E56013"/>
    <w:rsid w:val="00E60213"/>
    <w:rsid w:val="00E61A1C"/>
    <w:rsid w:val="00E661B2"/>
    <w:rsid w:val="00E703AF"/>
    <w:rsid w:val="00E7143D"/>
    <w:rsid w:val="00E73D7D"/>
    <w:rsid w:val="00E74D29"/>
    <w:rsid w:val="00E83C74"/>
    <w:rsid w:val="00E83CEE"/>
    <w:rsid w:val="00E875FD"/>
    <w:rsid w:val="00E90BA7"/>
    <w:rsid w:val="00E911A0"/>
    <w:rsid w:val="00E91F18"/>
    <w:rsid w:val="00E9226D"/>
    <w:rsid w:val="00E92C32"/>
    <w:rsid w:val="00E94207"/>
    <w:rsid w:val="00E94BFB"/>
    <w:rsid w:val="00E959F0"/>
    <w:rsid w:val="00E97748"/>
    <w:rsid w:val="00EA416C"/>
    <w:rsid w:val="00EA5941"/>
    <w:rsid w:val="00EA6578"/>
    <w:rsid w:val="00EA6EC7"/>
    <w:rsid w:val="00EA74B5"/>
    <w:rsid w:val="00EB4015"/>
    <w:rsid w:val="00EB4CA8"/>
    <w:rsid w:val="00EB5FD1"/>
    <w:rsid w:val="00EB60CE"/>
    <w:rsid w:val="00EB6C54"/>
    <w:rsid w:val="00EB7D53"/>
    <w:rsid w:val="00EC2E74"/>
    <w:rsid w:val="00EC318D"/>
    <w:rsid w:val="00EC5F8D"/>
    <w:rsid w:val="00EC6448"/>
    <w:rsid w:val="00ED2B91"/>
    <w:rsid w:val="00ED2DD0"/>
    <w:rsid w:val="00ED3DA7"/>
    <w:rsid w:val="00ED59B8"/>
    <w:rsid w:val="00ED5A07"/>
    <w:rsid w:val="00ED7D5D"/>
    <w:rsid w:val="00EE2614"/>
    <w:rsid w:val="00EE3146"/>
    <w:rsid w:val="00EE36E6"/>
    <w:rsid w:val="00EF3F9C"/>
    <w:rsid w:val="00EF50BB"/>
    <w:rsid w:val="00EF53FF"/>
    <w:rsid w:val="00EF55AC"/>
    <w:rsid w:val="00EF5797"/>
    <w:rsid w:val="00EF5D5F"/>
    <w:rsid w:val="00F00192"/>
    <w:rsid w:val="00F011AF"/>
    <w:rsid w:val="00F01DF6"/>
    <w:rsid w:val="00F0340D"/>
    <w:rsid w:val="00F0480E"/>
    <w:rsid w:val="00F059A6"/>
    <w:rsid w:val="00F142D2"/>
    <w:rsid w:val="00F16DFD"/>
    <w:rsid w:val="00F170AE"/>
    <w:rsid w:val="00F23756"/>
    <w:rsid w:val="00F2523A"/>
    <w:rsid w:val="00F25FFA"/>
    <w:rsid w:val="00F30464"/>
    <w:rsid w:val="00F310D2"/>
    <w:rsid w:val="00F3348B"/>
    <w:rsid w:val="00F349C5"/>
    <w:rsid w:val="00F369FF"/>
    <w:rsid w:val="00F36F3D"/>
    <w:rsid w:val="00F435C9"/>
    <w:rsid w:val="00F43D98"/>
    <w:rsid w:val="00F45354"/>
    <w:rsid w:val="00F477BD"/>
    <w:rsid w:val="00F53491"/>
    <w:rsid w:val="00F53A21"/>
    <w:rsid w:val="00F5485E"/>
    <w:rsid w:val="00F60749"/>
    <w:rsid w:val="00F60B1B"/>
    <w:rsid w:val="00F656D7"/>
    <w:rsid w:val="00F65A1C"/>
    <w:rsid w:val="00F66F50"/>
    <w:rsid w:val="00F70935"/>
    <w:rsid w:val="00F71496"/>
    <w:rsid w:val="00F74ADD"/>
    <w:rsid w:val="00F77D5F"/>
    <w:rsid w:val="00F82FF8"/>
    <w:rsid w:val="00F8307A"/>
    <w:rsid w:val="00F8330D"/>
    <w:rsid w:val="00F84305"/>
    <w:rsid w:val="00F8485C"/>
    <w:rsid w:val="00F87149"/>
    <w:rsid w:val="00F87FFE"/>
    <w:rsid w:val="00F92F3B"/>
    <w:rsid w:val="00F94F60"/>
    <w:rsid w:val="00F954C9"/>
    <w:rsid w:val="00F960EA"/>
    <w:rsid w:val="00F97F82"/>
    <w:rsid w:val="00FA47C7"/>
    <w:rsid w:val="00FA4CF0"/>
    <w:rsid w:val="00FA61AA"/>
    <w:rsid w:val="00FA69A4"/>
    <w:rsid w:val="00FB1279"/>
    <w:rsid w:val="00FB1495"/>
    <w:rsid w:val="00FB1520"/>
    <w:rsid w:val="00FB303D"/>
    <w:rsid w:val="00FB47DC"/>
    <w:rsid w:val="00FB64DD"/>
    <w:rsid w:val="00FB70C0"/>
    <w:rsid w:val="00FC3F83"/>
    <w:rsid w:val="00FC4CB5"/>
    <w:rsid w:val="00FD1694"/>
    <w:rsid w:val="00FD34A3"/>
    <w:rsid w:val="00FD7636"/>
    <w:rsid w:val="00FE1E0B"/>
    <w:rsid w:val="00FE27DF"/>
    <w:rsid w:val="00FE3229"/>
    <w:rsid w:val="00FE3243"/>
    <w:rsid w:val="00FE3CAD"/>
    <w:rsid w:val="00FE5B9C"/>
    <w:rsid w:val="00FE74C3"/>
    <w:rsid w:val="00FF215C"/>
    <w:rsid w:val="00FF263E"/>
    <w:rsid w:val="00FF47E8"/>
    <w:rsid w:val="00FF49E8"/>
    <w:rsid w:val="00FF5E86"/>
    <w:rsid w:val="00FF6500"/>
    <w:rsid w:val="00FF66A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B170361"/>
  <w15:docId w15:val="{2BCB00C1-A6C4-4C43-B900-90740C59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99"/>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8A12B7"/>
    <w:rPr>
      <w:sz w:val="16"/>
      <w:szCs w:val="16"/>
    </w:rPr>
  </w:style>
  <w:style w:type="paragraph" w:styleId="CommentText">
    <w:name w:val="annotation text"/>
    <w:basedOn w:val="Normal"/>
    <w:link w:val="CommentTextChar"/>
    <w:uiPriority w:val="99"/>
    <w:semiHidden/>
    <w:unhideWhenUsed/>
    <w:rsid w:val="008A12B7"/>
    <w:pPr>
      <w:spacing w:line="240" w:lineRule="auto"/>
    </w:pPr>
    <w:rPr>
      <w:sz w:val="20"/>
      <w:szCs w:val="20"/>
    </w:rPr>
  </w:style>
  <w:style w:type="character" w:customStyle="1" w:styleId="CommentTextChar">
    <w:name w:val="Comment Text Char"/>
    <w:basedOn w:val="DefaultParagraphFont"/>
    <w:link w:val="CommentText"/>
    <w:uiPriority w:val="99"/>
    <w:semiHidden/>
    <w:rsid w:val="008A12B7"/>
    <w:rPr>
      <w:lang w:eastAsia="en-US"/>
    </w:rPr>
  </w:style>
  <w:style w:type="paragraph" w:styleId="CommentSubject">
    <w:name w:val="annotation subject"/>
    <w:basedOn w:val="CommentText"/>
    <w:next w:val="CommentText"/>
    <w:link w:val="CommentSubjectChar"/>
    <w:uiPriority w:val="99"/>
    <w:semiHidden/>
    <w:unhideWhenUsed/>
    <w:rsid w:val="008A12B7"/>
    <w:rPr>
      <w:b/>
      <w:bCs/>
    </w:rPr>
  </w:style>
  <w:style w:type="character" w:customStyle="1" w:styleId="CommentSubjectChar">
    <w:name w:val="Comment Subject Char"/>
    <w:basedOn w:val="CommentTextChar"/>
    <w:link w:val="CommentSubject"/>
    <w:uiPriority w:val="99"/>
    <w:semiHidden/>
    <w:rsid w:val="008A12B7"/>
    <w:rPr>
      <w:b/>
      <w:bCs/>
      <w:lang w:eastAsia="en-US"/>
    </w:rPr>
  </w:style>
  <w:style w:type="character" w:styleId="Hyperlink">
    <w:name w:val="Hyperlink"/>
    <w:basedOn w:val="DefaultParagraphFont"/>
    <w:uiPriority w:val="99"/>
    <w:unhideWhenUsed/>
    <w:rsid w:val="00587803"/>
    <w:rPr>
      <w:color w:val="0000FF" w:themeColor="hyperlink"/>
      <w:u w:val="single"/>
    </w:rPr>
  </w:style>
  <w:style w:type="character" w:customStyle="1" w:styleId="UnresolvedMention1">
    <w:name w:val="Unresolved Mention1"/>
    <w:basedOn w:val="DefaultParagraphFont"/>
    <w:uiPriority w:val="99"/>
    <w:semiHidden/>
    <w:unhideWhenUsed/>
    <w:rsid w:val="00587803"/>
    <w:rPr>
      <w:color w:val="605E5C"/>
      <w:shd w:val="clear" w:color="auto" w:fill="E1DFDD"/>
    </w:rPr>
  </w:style>
  <w:style w:type="character" w:customStyle="1" w:styleId="sciname">
    <w:name w:val="sciname"/>
    <w:basedOn w:val="DefaultParagraphFont"/>
    <w:rsid w:val="00E37341"/>
  </w:style>
  <w:style w:type="character" w:styleId="FollowedHyperlink">
    <w:name w:val="FollowedHyperlink"/>
    <w:basedOn w:val="DefaultParagraphFont"/>
    <w:uiPriority w:val="99"/>
    <w:semiHidden/>
    <w:unhideWhenUsed/>
    <w:rsid w:val="008841E2"/>
    <w:rPr>
      <w:color w:val="800080" w:themeColor="followedHyperlink"/>
      <w:u w:val="single"/>
    </w:rPr>
  </w:style>
  <w:style w:type="character" w:styleId="PlaceholderText">
    <w:name w:val="Placeholder Text"/>
    <w:basedOn w:val="DefaultParagraphFont"/>
    <w:uiPriority w:val="99"/>
    <w:semiHidden/>
    <w:rsid w:val="00B07E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1052738">
      <w:bodyDiv w:val="1"/>
      <w:marLeft w:val="0"/>
      <w:marRight w:val="0"/>
      <w:marTop w:val="0"/>
      <w:marBottom w:val="0"/>
      <w:divBdr>
        <w:top w:val="none" w:sz="0" w:space="0" w:color="auto"/>
        <w:left w:val="none" w:sz="0" w:space="0" w:color="auto"/>
        <w:bottom w:val="none" w:sz="0" w:space="0" w:color="auto"/>
        <w:right w:val="none" w:sz="0" w:space="0" w:color="auto"/>
      </w:divBdr>
    </w:div>
    <w:div w:id="478963455">
      <w:bodyDiv w:val="1"/>
      <w:marLeft w:val="0"/>
      <w:marRight w:val="0"/>
      <w:marTop w:val="0"/>
      <w:marBottom w:val="0"/>
      <w:divBdr>
        <w:top w:val="none" w:sz="0" w:space="0" w:color="auto"/>
        <w:left w:val="none" w:sz="0" w:space="0" w:color="auto"/>
        <w:bottom w:val="none" w:sz="0" w:space="0" w:color="auto"/>
        <w:right w:val="none" w:sz="0" w:space="0" w:color="auto"/>
      </w:divBdr>
    </w:div>
    <w:div w:id="498345765">
      <w:bodyDiv w:val="1"/>
      <w:marLeft w:val="0"/>
      <w:marRight w:val="0"/>
      <w:marTop w:val="0"/>
      <w:marBottom w:val="0"/>
      <w:divBdr>
        <w:top w:val="none" w:sz="0" w:space="0" w:color="auto"/>
        <w:left w:val="none" w:sz="0" w:space="0" w:color="auto"/>
        <w:bottom w:val="none" w:sz="0" w:space="0" w:color="auto"/>
        <w:right w:val="none" w:sz="0" w:space="0" w:color="auto"/>
      </w:divBdr>
    </w:div>
    <w:div w:id="787088444">
      <w:bodyDiv w:val="1"/>
      <w:marLeft w:val="0"/>
      <w:marRight w:val="0"/>
      <w:marTop w:val="0"/>
      <w:marBottom w:val="0"/>
      <w:divBdr>
        <w:top w:val="none" w:sz="0" w:space="0" w:color="auto"/>
        <w:left w:val="none" w:sz="0" w:space="0" w:color="auto"/>
        <w:bottom w:val="none" w:sz="0" w:space="0" w:color="auto"/>
        <w:right w:val="none" w:sz="0" w:space="0" w:color="auto"/>
      </w:divBdr>
      <w:divsChild>
        <w:div w:id="1344278357">
          <w:marLeft w:val="0"/>
          <w:marRight w:val="0"/>
          <w:marTop w:val="0"/>
          <w:marBottom w:val="0"/>
          <w:divBdr>
            <w:top w:val="none" w:sz="0" w:space="0" w:color="auto"/>
            <w:left w:val="none" w:sz="0" w:space="0" w:color="auto"/>
            <w:bottom w:val="none" w:sz="0" w:space="0" w:color="auto"/>
            <w:right w:val="none" w:sz="0" w:space="0" w:color="auto"/>
          </w:divBdr>
        </w:div>
      </w:divsChild>
    </w:div>
    <w:div w:id="931819090">
      <w:bodyDiv w:val="1"/>
      <w:marLeft w:val="0"/>
      <w:marRight w:val="0"/>
      <w:marTop w:val="0"/>
      <w:marBottom w:val="0"/>
      <w:divBdr>
        <w:top w:val="none" w:sz="0" w:space="0" w:color="auto"/>
        <w:left w:val="none" w:sz="0" w:space="0" w:color="auto"/>
        <w:bottom w:val="none" w:sz="0" w:space="0" w:color="auto"/>
        <w:right w:val="none" w:sz="0" w:space="0" w:color="auto"/>
      </w:divBdr>
    </w:div>
    <w:div w:id="956910778">
      <w:bodyDiv w:val="1"/>
      <w:marLeft w:val="0"/>
      <w:marRight w:val="0"/>
      <w:marTop w:val="0"/>
      <w:marBottom w:val="0"/>
      <w:divBdr>
        <w:top w:val="none" w:sz="0" w:space="0" w:color="auto"/>
        <w:left w:val="none" w:sz="0" w:space="0" w:color="auto"/>
        <w:bottom w:val="none" w:sz="0" w:space="0" w:color="auto"/>
        <w:right w:val="none" w:sz="0" w:space="0" w:color="auto"/>
      </w:divBdr>
    </w:div>
    <w:div w:id="1019546975">
      <w:bodyDiv w:val="1"/>
      <w:marLeft w:val="0"/>
      <w:marRight w:val="0"/>
      <w:marTop w:val="0"/>
      <w:marBottom w:val="0"/>
      <w:divBdr>
        <w:top w:val="none" w:sz="0" w:space="0" w:color="auto"/>
        <w:left w:val="none" w:sz="0" w:space="0" w:color="auto"/>
        <w:bottom w:val="none" w:sz="0" w:space="0" w:color="auto"/>
        <w:right w:val="none" w:sz="0" w:space="0" w:color="auto"/>
      </w:divBdr>
    </w:div>
    <w:div w:id="1582063367">
      <w:bodyDiv w:val="1"/>
      <w:marLeft w:val="0"/>
      <w:marRight w:val="0"/>
      <w:marTop w:val="0"/>
      <w:marBottom w:val="0"/>
      <w:divBdr>
        <w:top w:val="none" w:sz="0" w:space="0" w:color="auto"/>
        <w:left w:val="none" w:sz="0" w:space="0" w:color="auto"/>
        <w:bottom w:val="none" w:sz="0" w:space="0" w:color="auto"/>
        <w:right w:val="none" w:sz="0" w:space="0" w:color="auto"/>
      </w:divBdr>
    </w:div>
    <w:div w:id="18054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environment.gov.au/system/files/consultations/1b591465-8486-450a-b12f-2f824fd925ca/files/glass-catfish-risk-assessment.pdf" TargetMode="External"/><Relationship Id="rId26" Type="http://schemas.openxmlformats.org/officeDocument/2006/relationships/image" Target="media/image2.png"/><Relationship Id="rId21" Type="http://schemas.openxmlformats.org/officeDocument/2006/relationships/hyperlink" Target="http://researcharchive.calacademy.org/research/ichthyology/catalog/SpeciesByFamily.asp" TargetMode="External"/><Relationship Id="rId34"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agriculture.gov.au/sites/default/files/style%20library/images/daff/__data/assets/pdffile/0004/2404309/gourami-ira.pdf" TargetMode="External"/><Relationship Id="rId25" Type="http://schemas.openxmlformats.org/officeDocument/2006/relationships/hyperlink" Target="https://en.wikipedia.org/wiki/Denison_barb"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nvironment.gov.au/system/files/resources/fb1584f5-1d57-4b3c-9a0f-b1d5beff76a4/files/ornamental-fish.pdf" TargetMode="External"/><Relationship Id="rId20" Type="http://schemas.openxmlformats.org/officeDocument/2006/relationships/hyperlink" Target="http://www.fishbase.org/Summary/FamilySummary.php?Family=Cyprinidae" TargetMode="External"/><Relationship Id="rId29" Type="http://schemas.openxmlformats.org/officeDocument/2006/relationships/header" Target="header2.xml"/><Relationship Id="rId1" Type="http://schemas.openxmlformats.org/officeDocument/2006/relationships/customXml" Target="../customXml/item1.xml"/><Relationship Id="rId37" Type="http://schemas.openxmlformats.org/officeDocument/2006/relationships/theme" Target="theme/theme1.xml"/><Relationship Id="rId11" Type="http://schemas.openxmlformats.org/officeDocument/2006/relationships/footnotes" Target="footnotes.xml"/><Relationship Id="rId24" Type="http://schemas.openxmlformats.org/officeDocument/2006/relationships/hyperlink" Target="https://www.thesprucepets.com/denison-barb-1380763" TargetMode="Externa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agriculture.gov.au/sites/default/files/sitecollectiondocuments/ba/animal/horsesubmissions/finalornamental.pdf" TargetMode="External"/><Relationship Id="rId23" Type="http://schemas.openxmlformats.org/officeDocument/2006/relationships/hyperlink" Target="http://piaa.net.au/wp-content/uploads/2015/03/PIAA-CodeofPractice.pdf"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bicon.agriculture.gov.au/BiconWeb4.0/ImportConditions/Conditions?EvaluatableElementId=482052&amp;Path=UNDEFINED&amp;UserContext=External&amp;EvaluationStateId=7f1ea5c5-8bef-4b34-a789-2987549620ff&amp;CaseElementPk=1354044&amp;EvaluationPhase=ImportDefinition&amp;HasAlerts=False&amp;HasChangeNotices=False&amp;IsAEP=False" TargetMode="External"/><Relationship Id="rId31" Type="http://schemas.openxmlformats.org/officeDocument/2006/relationships/header" Target="header4.xml"/><Relationship Id="rId35" Type="http://schemas.openxmlformats.org/officeDocument/2006/relationships/footer" Target="footer4.xml"/><Relationship Id="rId9" Type="http://schemas.openxmlformats.org/officeDocument/2006/relationships/settings" Target="settings.xml"/><Relationship Id="rId14" Type="http://schemas.openxmlformats.org/officeDocument/2006/relationships/hyperlink" Target="https://www.researchgate.net/publication/230814395_Puntius_denisonii" TargetMode="External"/><Relationship Id="rId22" Type="http://schemas.openxmlformats.org/officeDocument/2006/relationships/hyperlink" Target="https://www.aquariadise.com/denison-barbs/"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6.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B9BC507C-F271-4B42-AE07-356B8FA317E5}"/>
</file>

<file path=customXml/itemProps2.xml><?xml version="1.0" encoding="utf-8"?>
<ds:datastoreItem xmlns:ds="http://schemas.openxmlformats.org/officeDocument/2006/customXml" ds:itemID="{66E01CF9-A3D0-49AF-8CFC-052D993D18B5}">
  <ds:schemaRefs>
    <ds:schemaRef ds:uri="http://schemas.openxmlformats.org/officeDocument/2006/bibliography"/>
  </ds:schemaRefs>
</ds:datastoreItem>
</file>

<file path=customXml/itemProps3.xml><?xml version="1.0" encoding="utf-8"?>
<ds:datastoreItem xmlns:ds="http://schemas.openxmlformats.org/officeDocument/2006/customXml" ds:itemID="{656FA3B1-D6D2-4578-9988-F6BE82BECD95}">
  <ds:schemaRefs>
    <ds:schemaRef ds:uri="http://schemas.microsoft.com/sharepoint/v3/contenttype/forms"/>
  </ds:schemaRefs>
</ds:datastoreItem>
</file>

<file path=customXml/itemProps4.xml><?xml version="1.0" encoding="utf-8"?>
<ds:datastoreItem xmlns:ds="http://schemas.openxmlformats.org/officeDocument/2006/customXml" ds:itemID="{48FA0C6C-10FE-4D91-8F8B-381BE2B2C732}">
  <ds:schemaRefs>
    <ds:schemaRef ds:uri="http://schemas.microsoft.com/office/2006/metadata/customXsn"/>
  </ds:schemaRefs>
</ds:datastoreItem>
</file>

<file path=customXml/itemProps5.xml><?xml version="1.0" encoding="utf-8"?>
<ds:datastoreItem xmlns:ds="http://schemas.openxmlformats.org/officeDocument/2006/customXml" ds:itemID="{43DA9B59-F19A-42DE-87F6-EC039C237901}">
  <ds:schemaRefs>
    <ds:schemaRef ds:uri="http://schemas.microsoft.com/sharepoint/v4"/>
    <ds:schemaRef ds:uri="http://purl.org/dc/terms/"/>
    <ds:schemaRef ds:uri="344c6e69-c594-4ca4-b341-09ae9dfc1422"/>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808CFBAE-B3D3-4B6B-8C83-4A308942B6E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6739</Words>
  <Characters>38413</Characters>
  <Application>Microsoft Office Word</Application>
  <DocSecurity>4</DocSecurity>
  <Lines>320</Lines>
  <Paragraphs>90</Paragraphs>
  <ScaleCrop>false</ScaleCrop>
  <HeadingPairs>
    <vt:vector size="2" baseType="variant">
      <vt:variant>
        <vt:lpstr>Title</vt:lpstr>
      </vt:variant>
      <vt:variant>
        <vt:i4>1</vt:i4>
      </vt:variant>
    </vt:vector>
  </HeadingPairs>
  <TitlesOfParts>
    <vt:vector size="1" baseType="lpstr">
      <vt:lpstr>Sahyadria denisonii: Report addressing the Department of Agriculture, Water and the Environment terms of reference for proposed amendments to the List of Specimens taken to be Suitable for Live Import (Live Import List)</vt:lpstr>
    </vt:vector>
  </TitlesOfParts>
  <Company/>
  <LinksUpToDate>false</LinksUpToDate>
  <CharactersWithSpaces>45062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Sahyadria denisonii: Report addressing the Department of Agriculture, Water and the Environment terms of reference for proposed amendments to the List of Specimens taken to be Suitable for Live Import (Live Import List)</dc:title>
  <dc:creator>Department of Agriculture, Water and the Environment</dc:creator>
  <cp:lastModifiedBy>Bec Durack</cp:lastModifiedBy>
  <cp:revision>2</cp:revision>
  <cp:lastPrinted>2021-02-11T23:32:00Z</cp:lastPrinted>
  <dcterms:created xsi:type="dcterms:W3CDTF">2021-02-16T03:13:00Z</dcterms:created>
  <dcterms:modified xsi:type="dcterms:W3CDTF">2021-02-16T03:13:00Z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WorkflowType">
    <vt:lpwstr>ActiveSubmitStub</vt:lpwstr>
  </property>
  <property fmtid="{D5CDD505-2E9C-101B-9397-08002B2CF9AE}" pid="4" name="RecordPoint_ActiveItemSiteId">
    <vt:lpwstr>{8003c3b3-d20c-4e9a-bee9-0e2243d810ee}</vt:lpwstr>
  </property>
  <property fmtid="{D5CDD505-2E9C-101B-9397-08002B2CF9AE}" pid="5" name="RecordPoint_ActiveItemListId">
    <vt:lpwstr>{a0e6c625-28a9-4898-9066-97abccbd6970}</vt:lpwstr>
  </property>
  <property fmtid="{D5CDD505-2E9C-101B-9397-08002B2CF9AE}" pid="6" name="RecordPoint_ActiveItemUniqueId">
    <vt:lpwstr>{73d0d169-562b-4ba3-8a55-a2b61517725a}</vt:lpwstr>
  </property>
  <property fmtid="{D5CDD505-2E9C-101B-9397-08002B2CF9AE}" pid="7" name="RecordPoint_ActiveItemWebId">
    <vt:lpwstr>{ce0940a8-fbdd-4d61-aa5f-5fccf7e3a693}</vt:lpwstr>
  </property>
</Properties>
</file>