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167800">
      <w:pPr>
        <w:spacing w:after="200" w:line="276" w:lineRule="auto"/>
        <w:jc w:val="center"/>
        <w:rPr>
          <w:rFonts w:ascii="Arial" w:hAnsi="Arial" w:cs="Arial"/>
          <w:b/>
          <w:sz w:val="28"/>
          <w:szCs w:val="28"/>
        </w:rPr>
      </w:pPr>
      <w:r w:rsidRPr="003A6857">
        <w:rPr>
          <w:rFonts w:ascii="Arial" w:hAnsi="Arial" w:cs="Arial"/>
          <w:b/>
          <w:sz w:val="28"/>
          <w:szCs w:val="28"/>
        </w:rPr>
        <w:t>Consultation Document on Listing Eligibility and Conservation Actions</w:t>
      </w:r>
      <w:bookmarkStart w:id="0" w:name="_GoBack"/>
      <w:bookmarkEnd w:id="0"/>
    </w:p>
    <w:p w14:paraId="71590D0A" w14:textId="7FF8ADDE" w:rsidR="00860E65" w:rsidRPr="003A6857" w:rsidRDefault="00852883" w:rsidP="00167800">
      <w:pPr>
        <w:pStyle w:val="Title"/>
        <w:spacing w:after="200" w:line="276" w:lineRule="auto"/>
        <w:rPr>
          <w:rFonts w:ascii="Arial" w:hAnsi="Arial" w:cs="Arial"/>
          <w:sz w:val="24"/>
          <w:szCs w:val="24"/>
          <w:lang w:val="en-US"/>
        </w:rPr>
      </w:pPr>
      <w:proofErr w:type="spellStart"/>
      <w:r w:rsidRPr="00852883">
        <w:rPr>
          <w:rFonts w:ascii="Arial" w:hAnsi="Arial" w:cs="Arial"/>
          <w:i/>
          <w:iCs/>
          <w:sz w:val="24"/>
          <w:szCs w:val="24"/>
        </w:rPr>
        <w:t>Trachystoma</w:t>
      </w:r>
      <w:proofErr w:type="spellEnd"/>
      <w:r w:rsidRPr="00852883">
        <w:rPr>
          <w:rFonts w:ascii="Arial" w:hAnsi="Arial" w:cs="Arial"/>
          <w:i/>
          <w:iCs/>
          <w:sz w:val="24"/>
          <w:szCs w:val="24"/>
        </w:rPr>
        <w:t xml:space="preserve"> </w:t>
      </w:r>
      <w:proofErr w:type="spellStart"/>
      <w:r w:rsidRPr="00852883">
        <w:rPr>
          <w:rFonts w:ascii="Arial" w:hAnsi="Arial" w:cs="Arial"/>
          <w:i/>
          <w:iCs/>
          <w:sz w:val="24"/>
          <w:szCs w:val="24"/>
        </w:rPr>
        <w:t>petardi</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pinkeye mullet</w:t>
      </w:r>
      <w:r w:rsidR="00860E65" w:rsidRPr="003A6857">
        <w:rPr>
          <w:rFonts w:ascii="Arial" w:hAnsi="Arial" w:cs="Arial"/>
          <w:iCs/>
          <w:sz w:val="24"/>
          <w:szCs w:val="24"/>
        </w:rPr>
        <w:t>)</w:t>
      </w:r>
    </w:p>
    <w:p w14:paraId="71590D10" w14:textId="77777777" w:rsidR="00860E65" w:rsidRDefault="00860E65" w:rsidP="00167800">
      <w:pPr>
        <w:pStyle w:val="NormalWeb"/>
        <w:spacing w:before="120" w:after="200" w:afterAutospacing="0" w:line="276" w:lineRule="auto"/>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017A600B" w:rsidR="00860E65" w:rsidRDefault="00860E65" w:rsidP="00167800">
      <w:pPr>
        <w:pStyle w:val="NormalWeb"/>
        <w:tabs>
          <w:tab w:val="left" w:pos="426"/>
        </w:tabs>
        <w:spacing w:before="0" w:beforeAutospacing="0" w:after="0" w:afterAutospacing="0" w:line="276" w:lineRule="auto"/>
        <w:ind w:left="425" w:hanging="425"/>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proofErr w:type="spellStart"/>
      <w:r w:rsidR="00852883" w:rsidRPr="00852883">
        <w:rPr>
          <w:rFonts w:ascii="Arial" w:hAnsi="Arial" w:cs="Arial"/>
          <w:i/>
          <w:iCs/>
          <w:sz w:val="22"/>
          <w:szCs w:val="22"/>
        </w:rPr>
        <w:t>Trachystoma</w:t>
      </w:r>
      <w:proofErr w:type="spellEnd"/>
      <w:r w:rsidR="00852883" w:rsidRPr="00852883">
        <w:rPr>
          <w:rFonts w:ascii="Arial" w:hAnsi="Arial" w:cs="Arial"/>
          <w:i/>
          <w:iCs/>
          <w:sz w:val="22"/>
          <w:szCs w:val="22"/>
        </w:rPr>
        <w:t xml:space="preserve"> </w:t>
      </w:r>
      <w:proofErr w:type="spellStart"/>
      <w:r w:rsidR="00852883" w:rsidRPr="00852883">
        <w:rPr>
          <w:rFonts w:ascii="Arial" w:hAnsi="Arial" w:cs="Arial"/>
          <w:i/>
          <w:iCs/>
          <w:sz w:val="22"/>
          <w:szCs w:val="22"/>
        </w:rPr>
        <w:t>petardi</w:t>
      </w:r>
      <w:proofErr w:type="spellEnd"/>
      <w:r w:rsidR="00852883" w:rsidRPr="00852883">
        <w:rPr>
          <w:rFonts w:ascii="Arial" w:hAnsi="Arial" w:cs="Arial"/>
          <w:i/>
          <w:iCs/>
          <w:sz w:val="22"/>
          <w:szCs w:val="22"/>
        </w:rPr>
        <w:t xml:space="preserve"> </w:t>
      </w:r>
      <w:r w:rsidR="00852883" w:rsidRPr="00852883">
        <w:rPr>
          <w:rFonts w:ascii="Arial" w:hAnsi="Arial" w:cs="Arial"/>
          <w:iCs/>
          <w:sz w:val="22"/>
          <w:szCs w:val="22"/>
        </w:rPr>
        <w:t>(pinkeye mullet)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00F2200D">
        <w:rPr>
          <w:rFonts w:ascii="Arial" w:hAnsi="Arial" w:cs="Arial"/>
          <w:sz w:val="22"/>
          <w:szCs w:val="22"/>
        </w:rPr>
        <w:t> </w:t>
      </w:r>
      <w:r w:rsidRPr="00B61DDB">
        <w:rPr>
          <w:rFonts w:ascii="Arial" w:hAnsi="Arial" w:cs="Arial"/>
          <w:sz w:val="22"/>
          <w:szCs w:val="22"/>
        </w:rPr>
        <w:t>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852883">
        <w:rPr>
          <w:rFonts w:ascii="Arial" w:hAnsi="Arial" w:cs="Arial"/>
          <w:sz w:val="22"/>
          <w:szCs w:val="22"/>
        </w:rPr>
        <w:t xml:space="preserve"> </w:t>
      </w:r>
      <w:r w:rsidR="00E36494" w:rsidRPr="00140FD4">
        <w:rPr>
          <w:rFonts w:ascii="Arial" w:hAnsi="Arial" w:cs="Arial"/>
          <w:b/>
          <w:sz w:val="22"/>
          <w:szCs w:val="22"/>
        </w:rPr>
        <w:t>V</w:t>
      </w:r>
      <w:r w:rsidR="00852883" w:rsidRPr="00140FD4">
        <w:rPr>
          <w:rFonts w:ascii="Arial" w:hAnsi="Arial" w:cs="Arial"/>
          <w:b/>
          <w:sz w:val="22"/>
          <w:szCs w:val="22"/>
        </w:rPr>
        <w:t>ulnerable</w:t>
      </w:r>
      <w:r w:rsidR="0035614B">
        <w:rPr>
          <w:rFonts w:ascii="Arial" w:hAnsi="Arial" w:cs="Arial"/>
          <w:sz w:val="22"/>
          <w:szCs w:val="22"/>
        </w:rPr>
        <w:t xml:space="preserve"> category</w:t>
      </w:r>
      <w:r>
        <w:rPr>
          <w:rFonts w:ascii="Arial" w:hAnsi="Arial" w:cs="Arial"/>
          <w:sz w:val="22"/>
          <w:szCs w:val="22"/>
        </w:rPr>
        <w:t>; and</w:t>
      </w:r>
    </w:p>
    <w:p w14:paraId="71590D12" w14:textId="77777777" w:rsidR="00860E65" w:rsidRDefault="00860E65" w:rsidP="00167800">
      <w:pPr>
        <w:pStyle w:val="NormalWeb"/>
        <w:tabs>
          <w:tab w:val="left" w:pos="426"/>
        </w:tabs>
        <w:spacing w:before="0" w:beforeAutospacing="0" w:after="200" w:afterAutospacing="0" w:line="276" w:lineRule="auto"/>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14:paraId="71590D13" w14:textId="667B250E" w:rsidR="00860E65" w:rsidRDefault="009D45F6" w:rsidP="00167800">
      <w:pPr>
        <w:spacing w:before="120" w:after="200" w:line="276" w:lineRule="auto"/>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provided by any interested person</w:t>
      </w:r>
      <w:r w:rsidR="00852883">
        <w:rPr>
          <w:rFonts w:ascii="Arial" w:hAnsi="Arial" w:cs="Arial"/>
          <w:sz w:val="22"/>
          <w:szCs w:val="22"/>
        </w:rPr>
        <w:t>.</w:t>
      </w:r>
    </w:p>
    <w:p w14:paraId="71590D14" w14:textId="620053C8" w:rsidR="00075A57" w:rsidRDefault="00860E65" w:rsidP="00167800">
      <w:pPr>
        <w:spacing w:after="200" w:line="276" w:lineRule="auto"/>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852883">
        <w:rPr>
          <w:rFonts w:ascii="Arial" w:hAnsi="Arial" w:cs="Arial"/>
          <w:sz w:val="22"/>
          <w:szCs w:val="22"/>
        </w:rPr>
        <w:t xml:space="preserve"> and Energy</w:t>
      </w:r>
      <w:r w:rsidRPr="00B61DDB">
        <w:rPr>
          <w:rFonts w:ascii="Arial" w:hAnsi="Arial" w:cs="Arial"/>
          <w:sz w:val="22"/>
          <w:szCs w:val="22"/>
        </w:rPr>
        <w:t>.</w:t>
      </w:r>
    </w:p>
    <w:p w14:paraId="71590D16" w14:textId="1C6ECECD" w:rsidR="00860E65" w:rsidRDefault="00860E65" w:rsidP="00167800">
      <w:pPr>
        <w:spacing w:after="200" w:line="276" w:lineRule="auto"/>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p>
    <w:p w14:paraId="71590D18" w14:textId="77777777" w:rsidR="00860E65" w:rsidRPr="004339D5" w:rsidRDefault="00860E65" w:rsidP="00167800">
      <w:pPr>
        <w:spacing w:after="200" w:line="276" w:lineRule="auto"/>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F" w14:textId="22B50732" w:rsidR="00860E65" w:rsidRPr="00616F58" w:rsidRDefault="00860E65" w:rsidP="00167800">
      <w:pPr>
        <w:spacing w:after="200" w:line="276" w:lineRule="auto"/>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r w:rsidR="00167800">
        <w:rPr>
          <w:rFonts w:ascii="Arial" w:hAnsi="Arial" w:cs="Arial"/>
          <w:color w:val="000000"/>
          <w:sz w:val="22"/>
          <w:szCs w:val="22"/>
        </w:rPr>
        <w:br/>
      </w:r>
      <w:r w:rsidR="0099504B">
        <w:rPr>
          <w:rFonts w:ascii="Arial" w:hAnsi="Arial" w:cs="Arial"/>
          <w:color w:val="000000"/>
          <w:sz w:val="22"/>
          <w:szCs w:val="22"/>
        </w:rPr>
        <w:t>Marine and Freshwater Species Conservation Section</w:t>
      </w:r>
      <w:r w:rsidR="00167800">
        <w:rPr>
          <w:rFonts w:ascii="Arial" w:hAnsi="Arial" w:cs="Arial"/>
          <w:color w:val="000000"/>
          <w:sz w:val="22"/>
          <w:szCs w:val="22"/>
        </w:rPr>
        <w:br/>
      </w:r>
      <w:r w:rsidRPr="00B61DDB">
        <w:rPr>
          <w:rFonts w:ascii="Arial" w:hAnsi="Arial" w:cs="Arial"/>
          <w:color w:val="000000"/>
          <w:sz w:val="22"/>
          <w:szCs w:val="22"/>
        </w:rPr>
        <w:t>Wildlife, Heritage and Marine Division</w:t>
      </w:r>
      <w:r w:rsidR="00167800">
        <w:rPr>
          <w:rFonts w:ascii="Arial" w:hAnsi="Arial" w:cs="Arial"/>
          <w:color w:val="000000"/>
          <w:sz w:val="22"/>
          <w:szCs w:val="22"/>
        </w:rPr>
        <w:br/>
      </w: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r w:rsidR="00167800">
        <w:rPr>
          <w:rFonts w:ascii="Arial" w:hAnsi="Arial" w:cs="Arial"/>
          <w:color w:val="000000"/>
          <w:sz w:val="22"/>
          <w:szCs w:val="22"/>
        </w:rPr>
        <w:br/>
      </w:r>
      <w:r w:rsidRPr="00B61DDB">
        <w:rPr>
          <w:rFonts w:ascii="Arial" w:hAnsi="Arial" w:cs="Arial"/>
          <w:color w:val="000000"/>
          <w:sz w:val="22"/>
          <w:szCs w:val="22"/>
        </w:rPr>
        <w:t>PO Box 787</w:t>
      </w:r>
      <w:r w:rsidR="00167800">
        <w:rPr>
          <w:rFonts w:ascii="Arial" w:hAnsi="Arial" w:cs="Arial"/>
          <w:color w:val="000000"/>
          <w:sz w:val="22"/>
          <w:szCs w:val="22"/>
        </w:rPr>
        <w:br/>
      </w:r>
      <w:proofErr w:type="gramStart"/>
      <w:r w:rsidRPr="00616F58">
        <w:rPr>
          <w:rFonts w:ascii="Arial" w:hAnsi="Arial" w:cs="Arial"/>
          <w:color w:val="000000"/>
          <w:sz w:val="22"/>
          <w:szCs w:val="22"/>
        </w:rPr>
        <w:t xml:space="preserve">Canberra </w:t>
      </w:r>
      <w:r w:rsidR="00167800">
        <w:rPr>
          <w:rFonts w:ascii="Arial" w:hAnsi="Arial" w:cs="Arial"/>
          <w:color w:val="000000"/>
          <w:sz w:val="22"/>
          <w:szCs w:val="22"/>
        </w:rPr>
        <w:t xml:space="preserve"> </w:t>
      </w:r>
      <w:r w:rsidRPr="00616F58">
        <w:rPr>
          <w:rFonts w:ascii="Arial" w:hAnsi="Arial" w:cs="Arial"/>
          <w:color w:val="000000"/>
          <w:sz w:val="22"/>
          <w:szCs w:val="22"/>
        </w:rPr>
        <w:t>ACT</w:t>
      </w:r>
      <w:proofErr w:type="gramEnd"/>
      <w:r w:rsidR="00167800">
        <w:rPr>
          <w:rFonts w:ascii="Arial" w:hAnsi="Arial" w:cs="Arial"/>
          <w:color w:val="000000"/>
          <w:sz w:val="22"/>
          <w:szCs w:val="22"/>
        </w:rPr>
        <w:t xml:space="preserve"> </w:t>
      </w:r>
      <w:r w:rsidRPr="00616F58">
        <w:rPr>
          <w:rFonts w:ascii="Arial" w:hAnsi="Arial" w:cs="Arial"/>
          <w:color w:val="000000"/>
          <w:sz w:val="22"/>
          <w:szCs w:val="22"/>
        </w:rPr>
        <w:t xml:space="preserve"> 2601</w:t>
      </w:r>
    </w:p>
    <w:p w14:paraId="71590D21" w14:textId="4EC347C8" w:rsidR="00860E65" w:rsidRDefault="00860E65" w:rsidP="00167800">
      <w:pPr>
        <w:spacing w:after="200" w:line="276" w:lineRule="auto"/>
        <w:rPr>
          <w:rFonts w:ascii="Arial" w:hAnsi="Arial" w:cs="Arial"/>
          <w:color w:val="000000"/>
          <w:sz w:val="22"/>
          <w:szCs w:val="22"/>
        </w:rPr>
      </w:pPr>
      <w:r w:rsidRPr="00FF093B">
        <w:rPr>
          <w:rFonts w:ascii="Arial" w:hAnsi="Arial" w:cs="Arial"/>
          <w:b/>
          <w:sz w:val="22"/>
          <w:szCs w:val="22"/>
        </w:rPr>
        <w:t xml:space="preserve">Responses are required to be submitted by </w:t>
      </w:r>
      <w:r w:rsidR="00FF093B" w:rsidRPr="00892CA6">
        <w:rPr>
          <w:rFonts w:ascii="Arial" w:hAnsi="Arial" w:cs="Arial"/>
          <w:b/>
          <w:sz w:val="22"/>
          <w:szCs w:val="22"/>
        </w:rPr>
        <w:t>Friday 4 August 2017</w:t>
      </w:r>
      <w:r w:rsidRPr="00892CA6">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860E65" w:rsidRPr="00E72119"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72119" w:rsidRDefault="00860E65" w:rsidP="00167800">
            <w:pPr>
              <w:spacing w:line="276" w:lineRule="auto"/>
              <w:rPr>
                <w:rFonts w:ascii="Arial" w:hAnsi="Arial" w:cs="Arial"/>
                <w:b/>
                <w:sz w:val="22"/>
                <w:szCs w:val="22"/>
              </w:rPr>
            </w:pPr>
            <w:r w:rsidRPr="00E72119">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72119" w:rsidRDefault="00860E65" w:rsidP="00167800">
            <w:pPr>
              <w:spacing w:line="276" w:lineRule="auto"/>
              <w:rPr>
                <w:rFonts w:ascii="Arial" w:hAnsi="Arial" w:cs="Arial"/>
                <w:b/>
                <w:bCs/>
                <w:sz w:val="22"/>
                <w:szCs w:val="22"/>
              </w:rPr>
            </w:pPr>
            <w:r w:rsidRPr="00E72119">
              <w:rPr>
                <w:rFonts w:ascii="Arial" w:hAnsi="Arial" w:cs="Arial"/>
                <w:b/>
                <w:bCs/>
                <w:sz w:val="22"/>
                <w:szCs w:val="22"/>
              </w:rPr>
              <w:t>Page</w:t>
            </w:r>
          </w:p>
        </w:tc>
      </w:tr>
      <w:tr w:rsidR="00860E65" w:rsidRPr="00E72119"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E72119" w:rsidRDefault="00860E65" w:rsidP="00167800">
            <w:pPr>
              <w:spacing w:line="276" w:lineRule="auto"/>
              <w:rPr>
                <w:rFonts w:ascii="Arial" w:hAnsi="Arial" w:cs="Arial"/>
                <w:sz w:val="22"/>
                <w:szCs w:val="22"/>
              </w:rPr>
            </w:pPr>
            <w:r w:rsidRPr="00E72119">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301D9D2F" w:rsidR="00860E65" w:rsidRPr="00E72119" w:rsidRDefault="00A76BA9" w:rsidP="00167800">
            <w:pPr>
              <w:spacing w:line="276" w:lineRule="auto"/>
              <w:jc w:val="right"/>
              <w:rPr>
                <w:rFonts w:ascii="Arial" w:hAnsi="Arial" w:cs="Arial"/>
                <w:sz w:val="22"/>
                <w:szCs w:val="22"/>
              </w:rPr>
            </w:pPr>
            <w:r w:rsidRPr="00E72119">
              <w:rPr>
                <w:rFonts w:ascii="Arial" w:hAnsi="Arial" w:cs="Arial"/>
                <w:sz w:val="22"/>
                <w:szCs w:val="22"/>
              </w:rPr>
              <w:t>2</w:t>
            </w:r>
          </w:p>
        </w:tc>
      </w:tr>
      <w:tr w:rsidR="00860E65" w:rsidRPr="00E72119"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E72119" w:rsidRDefault="00860E65" w:rsidP="00167800">
            <w:pPr>
              <w:spacing w:line="276" w:lineRule="auto"/>
              <w:rPr>
                <w:rFonts w:ascii="Arial" w:hAnsi="Arial" w:cs="Arial"/>
                <w:sz w:val="22"/>
                <w:szCs w:val="22"/>
              </w:rPr>
            </w:pPr>
            <w:r w:rsidRPr="00E72119">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5E90E3EE" w:rsidR="00860E65" w:rsidRPr="00E72119" w:rsidRDefault="00A76BA9" w:rsidP="00167800">
            <w:pPr>
              <w:spacing w:line="276" w:lineRule="auto"/>
              <w:jc w:val="right"/>
              <w:rPr>
                <w:rFonts w:ascii="Arial" w:hAnsi="Arial" w:cs="Arial"/>
                <w:sz w:val="22"/>
                <w:szCs w:val="22"/>
              </w:rPr>
            </w:pPr>
            <w:r w:rsidRPr="00E72119">
              <w:rPr>
                <w:rFonts w:ascii="Arial" w:hAnsi="Arial" w:cs="Arial"/>
                <w:sz w:val="22"/>
                <w:szCs w:val="22"/>
              </w:rPr>
              <w:t>2</w:t>
            </w:r>
          </w:p>
        </w:tc>
      </w:tr>
      <w:tr w:rsidR="00860E65" w:rsidRPr="00E72119"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E72119" w:rsidRDefault="00860E65" w:rsidP="00167800">
            <w:pPr>
              <w:spacing w:line="276" w:lineRule="auto"/>
              <w:rPr>
                <w:rFonts w:ascii="Arial" w:hAnsi="Arial" w:cs="Arial"/>
                <w:sz w:val="22"/>
                <w:szCs w:val="22"/>
              </w:rPr>
            </w:pPr>
            <w:r w:rsidRPr="00E72119">
              <w:rPr>
                <w:rFonts w:ascii="Arial" w:hAnsi="Arial" w:cs="Arial"/>
                <w:sz w:val="22"/>
                <w:szCs w:val="22"/>
              </w:rPr>
              <w:t xml:space="preserve">Draft information about </w:t>
            </w:r>
            <w:r w:rsidRPr="00E72119">
              <w:rPr>
                <w:rFonts w:ascii="Arial" w:hAnsi="Arial" w:cs="Arial"/>
                <w:iCs/>
                <w:sz w:val="22"/>
                <w:szCs w:val="22"/>
              </w:rPr>
              <w:t xml:space="preserve">the </w:t>
            </w:r>
            <w:r w:rsidRPr="00E72119">
              <w:rPr>
                <w:rFonts w:ascii="Arial" w:hAnsi="Arial" w:cs="Arial"/>
                <w:sz w:val="22"/>
                <w:szCs w:val="22"/>
              </w:rPr>
              <w:t>common name and its eligibility for listing</w:t>
            </w:r>
          </w:p>
        </w:tc>
        <w:tc>
          <w:tcPr>
            <w:tcW w:w="815" w:type="dxa"/>
            <w:tcBorders>
              <w:top w:val="single" w:sz="4" w:space="0" w:color="auto"/>
              <w:left w:val="single" w:sz="4" w:space="0" w:color="auto"/>
              <w:bottom w:val="single" w:sz="4" w:space="0" w:color="auto"/>
              <w:right w:val="single" w:sz="4" w:space="0" w:color="auto"/>
            </w:tcBorders>
          </w:tcPr>
          <w:p w14:paraId="71590D2C" w14:textId="09458AD5" w:rsidR="00860E65" w:rsidRPr="00E72119" w:rsidRDefault="00CD4902" w:rsidP="00167800">
            <w:pPr>
              <w:spacing w:line="276" w:lineRule="auto"/>
              <w:jc w:val="right"/>
              <w:rPr>
                <w:rFonts w:ascii="Arial" w:hAnsi="Arial" w:cs="Arial"/>
                <w:sz w:val="22"/>
                <w:szCs w:val="22"/>
              </w:rPr>
            </w:pPr>
            <w:r w:rsidRPr="00E72119">
              <w:rPr>
                <w:rFonts w:ascii="Arial" w:hAnsi="Arial" w:cs="Arial"/>
                <w:sz w:val="22"/>
                <w:szCs w:val="22"/>
              </w:rPr>
              <w:t>3</w:t>
            </w:r>
          </w:p>
        </w:tc>
      </w:tr>
      <w:tr w:rsidR="00860E65" w:rsidRPr="00E72119"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E72119" w:rsidRDefault="00860E65" w:rsidP="00167800">
            <w:pPr>
              <w:spacing w:line="276" w:lineRule="auto"/>
              <w:rPr>
                <w:rFonts w:ascii="Arial" w:hAnsi="Arial" w:cs="Arial"/>
                <w:sz w:val="22"/>
                <w:szCs w:val="22"/>
              </w:rPr>
            </w:pPr>
            <w:r w:rsidRPr="00E72119">
              <w:rPr>
                <w:rFonts w:ascii="Arial" w:hAnsi="Arial" w:cs="Arial"/>
                <w:sz w:val="22"/>
                <w:szCs w:val="22"/>
              </w:rPr>
              <w:t>Conservation actions for the species</w:t>
            </w:r>
          </w:p>
        </w:tc>
        <w:tc>
          <w:tcPr>
            <w:tcW w:w="815" w:type="dxa"/>
            <w:tcBorders>
              <w:top w:val="single" w:sz="4" w:space="0" w:color="auto"/>
              <w:left w:val="single" w:sz="4" w:space="0" w:color="auto"/>
              <w:bottom w:val="single" w:sz="4" w:space="0" w:color="auto"/>
              <w:right w:val="single" w:sz="4" w:space="0" w:color="auto"/>
            </w:tcBorders>
          </w:tcPr>
          <w:p w14:paraId="71590D2F" w14:textId="2ECFE0EC" w:rsidR="00860E65" w:rsidRPr="00E72119" w:rsidRDefault="00E72119" w:rsidP="00167800">
            <w:pPr>
              <w:spacing w:line="276" w:lineRule="auto"/>
              <w:jc w:val="right"/>
              <w:rPr>
                <w:rFonts w:ascii="Arial" w:hAnsi="Arial" w:cs="Arial"/>
                <w:sz w:val="22"/>
                <w:szCs w:val="22"/>
              </w:rPr>
            </w:pPr>
            <w:r w:rsidRPr="00E72119">
              <w:rPr>
                <w:rFonts w:ascii="Arial" w:hAnsi="Arial" w:cs="Arial"/>
                <w:sz w:val="22"/>
                <w:szCs w:val="22"/>
              </w:rPr>
              <w:t>9</w:t>
            </w:r>
          </w:p>
        </w:tc>
      </w:tr>
      <w:tr w:rsidR="007F35C8" w:rsidRPr="00E72119" w14:paraId="0CDDD8A2" w14:textId="77777777" w:rsidTr="006115F8">
        <w:tc>
          <w:tcPr>
            <w:tcW w:w="9039" w:type="dxa"/>
            <w:tcBorders>
              <w:top w:val="single" w:sz="4" w:space="0" w:color="auto"/>
              <w:left w:val="single" w:sz="4" w:space="0" w:color="auto"/>
              <w:bottom w:val="single" w:sz="4" w:space="0" w:color="auto"/>
              <w:right w:val="single" w:sz="4" w:space="0" w:color="auto"/>
            </w:tcBorders>
          </w:tcPr>
          <w:p w14:paraId="2B7E8E78" w14:textId="295CDCF1" w:rsidR="007F35C8" w:rsidRPr="00E72119" w:rsidRDefault="007F35C8" w:rsidP="00E72119">
            <w:pPr>
              <w:spacing w:line="276" w:lineRule="auto"/>
              <w:rPr>
                <w:rFonts w:ascii="Arial" w:hAnsi="Arial" w:cs="Arial"/>
                <w:sz w:val="22"/>
                <w:szCs w:val="22"/>
              </w:rPr>
            </w:pPr>
            <w:r>
              <w:rPr>
                <w:rFonts w:ascii="Arial" w:hAnsi="Arial" w:cs="Arial"/>
                <w:sz w:val="22"/>
                <w:szCs w:val="22"/>
              </w:rPr>
              <w:t>Map of distribution</w:t>
            </w:r>
          </w:p>
        </w:tc>
        <w:tc>
          <w:tcPr>
            <w:tcW w:w="815" w:type="dxa"/>
            <w:tcBorders>
              <w:top w:val="single" w:sz="4" w:space="0" w:color="auto"/>
              <w:left w:val="single" w:sz="4" w:space="0" w:color="auto"/>
              <w:bottom w:val="single" w:sz="4" w:space="0" w:color="auto"/>
              <w:right w:val="single" w:sz="4" w:space="0" w:color="auto"/>
            </w:tcBorders>
          </w:tcPr>
          <w:p w14:paraId="312C55A1" w14:textId="6A94E0FE" w:rsidR="007F35C8" w:rsidRPr="00E72119" w:rsidRDefault="007F35C8" w:rsidP="00E72119">
            <w:pPr>
              <w:spacing w:line="276" w:lineRule="auto"/>
              <w:jc w:val="right"/>
              <w:rPr>
                <w:rFonts w:ascii="Arial" w:hAnsi="Arial" w:cs="Arial"/>
                <w:sz w:val="22"/>
                <w:szCs w:val="22"/>
              </w:rPr>
            </w:pPr>
            <w:r>
              <w:rPr>
                <w:rFonts w:ascii="Arial" w:hAnsi="Arial" w:cs="Arial"/>
                <w:sz w:val="22"/>
                <w:szCs w:val="22"/>
              </w:rPr>
              <w:t>11</w:t>
            </w:r>
          </w:p>
        </w:tc>
      </w:tr>
      <w:tr w:rsidR="00E72119" w:rsidRPr="00E72119"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6CF03872" w:rsidR="00E72119" w:rsidRPr="00E72119" w:rsidRDefault="00E72119" w:rsidP="00E72119">
            <w:pPr>
              <w:spacing w:line="276" w:lineRule="auto"/>
              <w:rPr>
                <w:rFonts w:ascii="Arial" w:hAnsi="Arial" w:cs="Arial"/>
                <w:sz w:val="22"/>
                <w:szCs w:val="22"/>
              </w:rPr>
            </w:pPr>
            <w:r w:rsidRPr="00E72119">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2" w14:textId="34A5AFEE" w:rsidR="00E72119" w:rsidRPr="00E72119" w:rsidRDefault="00E72119" w:rsidP="00E72119">
            <w:pPr>
              <w:spacing w:line="276" w:lineRule="auto"/>
              <w:jc w:val="right"/>
              <w:rPr>
                <w:rFonts w:ascii="Arial" w:hAnsi="Arial" w:cs="Arial"/>
                <w:sz w:val="22"/>
                <w:szCs w:val="22"/>
              </w:rPr>
            </w:pPr>
            <w:r w:rsidRPr="00E72119">
              <w:rPr>
                <w:rFonts w:ascii="Arial" w:hAnsi="Arial" w:cs="Arial"/>
                <w:sz w:val="22"/>
                <w:szCs w:val="22"/>
              </w:rPr>
              <w:t>1</w:t>
            </w:r>
            <w:r w:rsidR="007F35C8">
              <w:rPr>
                <w:rFonts w:ascii="Arial" w:hAnsi="Arial" w:cs="Arial"/>
                <w:sz w:val="22"/>
                <w:szCs w:val="22"/>
              </w:rPr>
              <w:t>2</w:t>
            </w:r>
          </w:p>
        </w:tc>
      </w:tr>
      <w:tr w:rsidR="00E72119" w:rsidRPr="00852883"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143BBDCD" w:rsidR="00E72119" w:rsidRPr="00E72119" w:rsidRDefault="00E72119" w:rsidP="00E72119">
            <w:pPr>
              <w:spacing w:line="276" w:lineRule="auto"/>
              <w:rPr>
                <w:rFonts w:ascii="Arial" w:hAnsi="Arial" w:cs="Arial"/>
                <w:sz w:val="22"/>
                <w:szCs w:val="22"/>
              </w:rPr>
            </w:pPr>
            <w:r w:rsidRPr="00E72119">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5" w14:textId="535B0E75" w:rsidR="00E72119" w:rsidRPr="00E72119" w:rsidRDefault="00E72119">
            <w:pPr>
              <w:spacing w:line="276" w:lineRule="auto"/>
              <w:jc w:val="right"/>
              <w:rPr>
                <w:rFonts w:ascii="Arial" w:hAnsi="Arial" w:cs="Arial"/>
                <w:sz w:val="22"/>
                <w:szCs w:val="22"/>
              </w:rPr>
            </w:pPr>
            <w:r w:rsidRPr="00E72119">
              <w:rPr>
                <w:rFonts w:ascii="Arial" w:hAnsi="Arial" w:cs="Arial"/>
                <w:sz w:val="22"/>
                <w:szCs w:val="22"/>
              </w:rPr>
              <w:t>1</w:t>
            </w:r>
            <w:r w:rsidR="007F35C8">
              <w:rPr>
                <w:rFonts w:ascii="Arial" w:hAnsi="Arial" w:cs="Arial"/>
                <w:sz w:val="22"/>
                <w:szCs w:val="22"/>
              </w:rPr>
              <w:t>5</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182E28"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2BFAF772" w:rsidR="00860E65" w:rsidRPr="008040B8" w:rsidRDefault="00852883" w:rsidP="00167800">
      <w:pPr>
        <w:spacing w:after="200" w:line="276" w:lineRule="auto"/>
        <w:jc w:val="center"/>
        <w:rPr>
          <w:rFonts w:ascii="Arial" w:hAnsi="Arial" w:cs="Arial"/>
          <w:i/>
          <w:sz w:val="32"/>
          <w:szCs w:val="32"/>
        </w:rPr>
      </w:pPr>
      <w:proofErr w:type="spellStart"/>
      <w:r>
        <w:rPr>
          <w:rStyle w:val="Heading1Char"/>
          <w:rFonts w:ascii="Arial" w:hAnsi="Arial" w:cs="Arial"/>
          <w:i/>
          <w:sz w:val="32"/>
          <w:szCs w:val="32"/>
          <w:u w:val="none"/>
        </w:rPr>
        <w:t>Trachystoma</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petardi</w:t>
      </w:r>
      <w:proofErr w:type="spellEnd"/>
    </w:p>
    <w:p w14:paraId="71590D44" w14:textId="68823CFA" w:rsidR="00860E65" w:rsidRPr="00E80F89" w:rsidRDefault="00A31AD9" w:rsidP="00167800">
      <w:pPr>
        <w:spacing w:after="200" w:line="276" w:lineRule="auto"/>
        <w:jc w:val="center"/>
        <w:rPr>
          <w:rFonts w:ascii="Arial" w:hAnsi="Arial" w:cs="Arial"/>
          <w:sz w:val="20"/>
          <w:szCs w:val="20"/>
        </w:rPr>
      </w:pPr>
      <w:proofErr w:type="gramStart"/>
      <w:r>
        <w:rPr>
          <w:rStyle w:val="Heading1Char"/>
          <w:rFonts w:ascii="Arial" w:hAnsi="Arial" w:cs="Arial"/>
          <w:sz w:val="22"/>
          <w:szCs w:val="22"/>
          <w:u w:val="none"/>
        </w:rPr>
        <w:t>pinkeye</w:t>
      </w:r>
      <w:proofErr w:type="gramEnd"/>
      <w:r>
        <w:rPr>
          <w:rStyle w:val="Heading1Char"/>
          <w:rFonts w:ascii="Arial" w:hAnsi="Arial" w:cs="Arial"/>
          <w:sz w:val="22"/>
          <w:szCs w:val="22"/>
          <w:u w:val="none"/>
        </w:rPr>
        <w:t> </w:t>
      </w:r>
      <w:r w:rsidR="00852883">
        <w:rPr>
          <w:rStyle w:val="Heading1Char"/>
          <w:rFonts w:ascii="Arial" w:hAnsi="Arial" w:cs="Arial"/>
          <w:sz w:val="22"/>
          <w:szCs w:val="22"/>
          <w:u w:val="none"/>
        </w:rPr>
        <w:t>mullet</w:t>
      </w:r>
    </w:p>
    <w:p w14:paraId="71590D46" w14:textId="77777777" w:rsidR="008040B8" w:rsidRPr="008040B8" w:rsidRDefault="008040B8" w:rsidP="00167800">
      <w:pPr>
        <w:pStyle w:val="CAminorheading"/>
        <w:spacing w:after="200" w:line="276" w:lineRule="auto"/>
      </w:pPr>
      <w:r w:rsidRPr="008040B8">
        <w:t>Taxonomy</w:t>
      </w:r>
    </w:p>
    <w:p w14:paraId="71590D47" w14:textId="53CBB0D0" w:rsidR="00FD2D19" w:rsidRPr="00852883" w:rsidRDefault="008040B8" w:rsidP="00167800">
      <w:pPr>
        <w:spacing w:after="200" w:line="276" w:lineRule="auto"/>
        <w:ind w:left="720" w:hanging="720"/>
        <w:rPr>
          <w:rFonts w:ascii="Arial" w:hAnsi="Arial" w:cs="Arial"/>
          <w:sz w:val="22"/>
          <w:szCs w:val="22"/>
        </w:rPr>
      </w:pPr>
      <w:r w:rsidRPr="00852883">
        <w:rPr>
          <w:rFonts w:ascii="Arial" w:hAnsi="Arial" w:cs="Arial"/>
          <w:iCs/>
          <w:sz w:val="22"/>
          <w:szCs w:val="22"/>
        </w:rPr>
        <w:t xml:space="preserve">Conventionally accepted as </w:t>
      </w:r>
      <w:proofErr w:type="spellStart"/>
      <w:r w:rsidR="00852883" w:rsidRPr="00852883">
        <w:rPr>
          <w:rFonts w:ascii="Arial" w:hAnsi="Arial" w:cs="Arial"/>
          <w:i/>
          <w:iCs/>
          <w:sz w:val="22"/>
          <w:szCs w:val="22"/>
        </w:rPr>
        <w:t>Trachystoma</w:t>
      </w:r>
      <w:proofErr w:type="spellEnd"/>
      <w:r w:rsidR="00852883" w:rsidRPr="00852883">
        <w:rPr>
          <w:rFonts w:ascii="Arial" w:hAnsi="Arial" w:cs="Arial"/>
          <w:i/>
          <w:iCs/>
          <w:sz w:val="22"/>
          <w:szCs w:val="22"/>
        </w:rPr>
        <w:t xml:space="preserve"> </w:t>
      </w:r>
      <w:proofErr w:type="spellStart"/>
      <w:r w:rsidR="00852883" w:rsidRPr="00852883">
        <w:rPr>
          <w:rFonts w:ascii="Arial" w:hAnsi="Arial" w:cs="Arial"/>
          <w:i/>
          <w:iCs/>
          <w:sz w:val="22"/>
          <w:szCs w:val="22"/>
        </w:rPr>
        <w:t>petardi</w:t>
      </w:r>
      <w:proofErr w:type="spellEnd"/>
      <w:r w:rsidR="00852883" w:rsidRPr="00852883">
        <w:rPr>
          <w:rFonts w:ascii="Arial" w:hAnsi="Arial" w:cs="Arial"/>
          <w:iCs/>
          <w:sz w:val="22"/>
          <w:szCs w:val="22"/>
        </w:rPr>
        <w:t xml:space="preserve"> </w:t>
      </w:r>
      <w:r w:rsidR="00167800">
        <w:rPr>
          <w:rFonts w:ascii="Arial" w:hAnsi="Arial" w:cs="Arial"/>
          <w:iCs/>
          <w:sz w:val="22"/>
          <w:szCs w:val="22"/>
        </w:rPr>
        <w:t>(</w:t>
      </w:r>
      <w:proofErr w:type="spellStart"/>
      <w:r w:rsidR="00167800">
        <w:rPr>
          <w:rFonts w:ascii="Arial" w:hAnsi="Arial" w:cs="Arial"/>
          <w:iCs/>
          <w:sz w:val="22"/>
          <w:szCs w:val="22"/>
        </w:rPr>
        <w:t>Castelnau</w:t>
      </w:r>
      <w:proofErr w:type="spellEnd"/>
      <w:r w:rsidR="00167800">
        <w:rPr>
          <w:rFonts w:ascii="Arial" w:hAnsi="Arial" w:cs="Arial"/>
          <w:iCs/>
          <w:sz w:val="22"/>
          <w:szCs w:val="22"/>
        </w:rPr>
        <w:t> </w:t>
      </w:r>
      <w:r w:rsidR="00852883" w:rsidRPr="00852883">
        <w:rPr>
          <w:rFonts w:ascii="Arial" w:hAnsi="Arial" w:cs="Arial"/>
          <w:iCs/>
          <w:sz w:val="22"/>
          <w:szCs w:val="22"/>
        </w:rPr>
        <w:t>1875).</w:t>
      </w:r>
    </w:p>
    <w:p w14:paraId="6E0A3051" w14:textId="5F7BD3FA" w:rsidR="00167800" w:rsidRDefault="00167800" w:rsidP="00167800">
      <w:pPr>
        <w:spacing w:after="200" w:line="276" w:lineRule="auto"/>
        <w:rPr>
          <w:rFonts w:ascii="Arial" w:hAnsi="Arial" w:cs="Arial"/>
          <w:sz w:val="22"/>
          <w:szCs w:val="22"/>
        </w:rPr>
      </w:pPr>
      <w:r>
        <w:rPr>
          <w:rFonts w:ascii="Arial" w:hAnsi="Arial" w:cs="Arial"/>
          <w:sz w:val="22"/>
          <w:szCs w:val="22"/>
        </w:rPr>
        <w:t xml:space="preserve">Synonym of </w:t>
      </w:r>
      <w:proofErr w:type="spellStart"/>
      <w:r>
        <w:rPr>
          <w:rFonts w:ascii="Arial" w:hAnsi="Arial" w:cs="Arial"/>
          <w:i/>
          <w:sz w:val="22"/>
          <w:szCs w:val="22"/>
        </w:rPr>
        <w:t>Myxus</w:t>
      </w:r>
      <w:proofErr w:type="spellEnd"/>
      <w:r w:rsidR="00A31AD9">
        <w:rPr>
          <w:rFonts w:ascii="Arial" w:hAnsi="Arial" w:cs="Arial"/>
          <w:i/>
          <w:sz w:val="22"/>
          <w:szCs w:val="22"/>
        </w:rPr>
        <w:t> </w:t>
      </w:r>
      <w:proofErr w:type="spellStart"/>
      <w:r>
        <w:rPr>
          <w:rFonts w:ascii="Arial" w:hAnsi="Arial" w:cs="Arial"/>
          <w:i/>
          <w:sz w:val="22"/>
          <w:szCs w:val="22"/>
        </w:rPr>
        <w:t>petardi</w:t>
      </w:r>
      <w:proofErr w:type="spellEnd"/>
      <w:r>
        <w:rPr>
          <w:rFonts w:ascii="Arial" w:hAnsi="Arial" w:cs="Arial"/>
          <w:i/>
          <w:sz w:val="22"/>
          <w:szCs w:val="22"/>
        </w:rPr>
        <w:t xml:space="preserve"> </w:t>
      </w:r>
      <w:r w:rsidR="00A31AD9">
        <w:rPr>
          <w:rFonts w:ascii="Arial" w:hAnsi="Arial" w:cs="Arial"/>
          <w:sz w:val="22"/>
          <w:szCs w:val="22"/>
        </w:rPr>
        <w:t>(</w:t>
      </w:r>
      <w:proofErr w:type="spellStart"/>
      <w:r w:rsidR="00A31AD9">
        <w:rPr>
          <w:rFonts w:ascii="Arial" w:hAnsi="Arial" w:cs="Arial"/>
          <w:sz w:val="22"/>
          <w:szCs w:val="22"/>
        </w:rPr>
        <w:t>Castelnau</w:t>
      </w:r>
      <w:proofErr w:type="spellEnd"/>
      <w:r w:rsidR="00A31AD9">
        <w:rPr>
          <w:rFonts w:ascii="Arial" w:hAnsi="Arial" w:cs="Arial"/>
          <w:sz w:val="22"/>
          <w:szCs w:val="22"/>
        </w:rPr>
        <w:t> </w:t>
      </w:r>
      <w:r>
        <w:rPr>
          <w:rFonts w:ascii="Arial" w:hAnsi="Arial" w:cs="Arial"/>
          <w:sz w:val="22"/>
          <w:szCs w:val="22"/>
        </w:rPr>
        <w:t>1875).</w:t>
      </w:r>
    </w:p>
    <w:p w14:paraId="2B66E85E" w14:textId="58641F92" w:rsidR="00A210E1" w:rsidRPr="00167800" w:rsidRDefault="00A210E1" w:rsidP="00167800">
      <w:pPr>
        <w:spacing w:after="200" w:line="276" w:lineRule="auto"/>
        <w:rPr>
          <w:rFonts w:ascii="Arial" w:hAnsi="Arial" w:cs="Arial"/>
          <w:sz w:val="22"/>
          <w:szCs w:val="22"/>
        </w:rPr>
      </w:pPr>
      <w:r w:rsidRPr="00A210E1">
        <w:rPr>
          <w:rFonts w:ascii="Arial" w:hAnsi="Arial" w:cs="Arial"/>
          <w:sz w:val="22"/>
          <w:szCs w:val="22"/>
        </w:rPr>
        <w:t xml:space="preserve">The species has been referred to as both </w:t>
      </w:r>
      <w:proofErr w:type="spellStart"/>
      <w:r w:rsidRPr="00A210E1">
        <w:rPr>
          <w:rFonts w:ascii="Arial" w:hAnsi="Arial" w:cs="Arial"/>
          <w:i/>
          <w:sz w:val="22"/>
          <w:szCs w:val="22"/>
        </w:rPr>
        <w:t>Myxus</w:t>
      </w:r>
      <w:proofErr w:type="spellEnd"/>
      <w:r w:rsidRPr="00A210E1">
        <w:rPr>
          <w:rFonts w:ascii="Arial" w:hAnsi="Arial" w:cs="Arial"/>
          <w:i/>
          <w:sz w:val="22"/>
          <w:szCs w:val="22"/>
        </w:rPr>
        <w:t xml:space="preserve"> </w:t>
      </w:r>
      <w:proofErr w:type="spellStart"/>
      <w:r w:rsidRPr="00A210E1">
        <w:rPr>
          <w:rFonts w:ascii="Arial" w:hAnsi="Arial" w:cs="Arial"/>
          <w:i/>
          <w:sz w:val="22"/>
          <w:szCs w:val="22"/>
        </w:rPr>
        <w:t>petardi</w:t>
      </w:r>
      <w:proofErr w:type="spellEnd"/>
      <w:r w:rsidRPr="00A210E1">
        <w:rPr>
          <w:rFonts w:ascii="Arial" w:hAnsi="Arial" w:cs="Arial"/>
          <w:sz w:val="22"/>
          <w:szCs w:val="22"/>
        </w:rPr>
        <w:t xml:space="preserve"> and </w:t>
      </w:r>
      <w:proofErr w:type="spellStart"/>
      <w:r w:rsidRPr="00A210E1">
        <w:rPr>
          <w:rFonts w:ascii="Arial" w:hAnsi="Arial" w:cs="Arial"/>
          <w:i/>
          <w:sz w:val="22"/>
          <w:szCs w:val="22"/>
        </w:rPr>
        <w:t>Trachystoma</w:t>
      </w:r>
      <w:proofErr w:type="spellEnd"/>
      <w:r w:rsidRPr="00A210E1">
        <w:rPr>
          <w:rFonts w:ascii="Arial" w:hAnsi="Arial" w:cs="Arial"/>
          <w:i/>
          <w:sz w:val="22"/>
          <w:szCs w:val="22"/>
        </w:rPr>
        <w:t xml:space="preserve"> </w:t>
      </w:r>
      <w:proofErr w:type="spellStart"/>
      <w:r w:rsidR="00642812" w:rsidRPr="00A210E1">
        <w:rPr>
          <w:rFonts w:ascii="Arial" w:hAnsi="Arial" w:cs="Arial"/>
          <w:i/>
          <w:sz w:val="22"/>
          <w:szCs w:val="22"/>
        </w:rPr>
        <w:t>petardi</w:t>
      </w:r>
      <w:proofErr w:type="spellEnd"/>
      <w:r w:rsidR="00642812" w:rsidRPr="00A210E1">
        <w:rPr>
          <w:rFonts w:ascii="Arial" w:hAnsi="Arial" w:cs="Arial"/>
          <w:i/>
          <w:sz w:val="22"/>
          <w:szCs w:val="22"/>
        </w:rPr>
        <w:t xml:space="preserve"> </w:t>
      </w:r>
      <w:r w:rsidR="00642812">
        <w:rPr>
          <w:rFonts w:ascii="Arial" w:hAnsi="Arial" w:cs="Arial"/>
          <w:i/>
          <w:sz w:val="22"/>
          <w:szCs w:val="22"/>
        </w:rPr>
        <w:br/>
      </w:r>
      <w:r w:rsidR="00C93B9B">
        <w:rPr>
          <w:rFonts w:ascii="Arial" w:hAnsi="Arial" w:cs="Arial"/>
          <w:sz w:val="22"/>
          <w:szCs w:val="22"/>
        </w:rPr>
        <w:t>(</w:t>
      </w:r>
      <w:r w:rsidR="00642812">
        <w:rPr>
          <w:rFonts w:ascii="Arial" w:hAnsi="Arial" w:cs="Arial"/>
          <w:sz w:val="22"/>
          <w:szCs w:val="22"/>
        </w:rPr>
        <w:t>Durand et </w:t>
      </w:r>
      <w:r w:rsidRPr="00A210E1">
        <w:rPr>
          <w:rFonts w:ascii="Arial" w:hAnsi="Arial" w:cs="Arial"/>
          <w:sz w:val="22"/>
          <w:szCs w:val="22"/>
        </w:rPr>
        <w:t>al.</w:t>
      </w:r>
      <w:r w:rsidR="00642812">
        <w:rPr>
          <w:rFonts w:ascii="Arial" w:hAnsi="Arial" w:cs="Arial"/>
          <w:sz w:val="22"/>
          <w:szCs w:val="22"/>
        </w:rPr>
        <w:t xml:space="preserve">, </w:t>
      </w:r>
      <w:r w:rsidRPr="00A210E1">
        <w:rPr>
          <w:rFonts w:ascii="Arial" w:hAnsi="Arial" w:cs="Arial"/>
          <w:sz w:val="22"/>
          <w:szCs w:val="22"/>
        </w:rPr>
        <w:t>2012a, 2012b)</w:t>
      </w:r>
      <w:r>
        <w:rPr>
          <w:rFonts w:ascii="Arial" w:hAnsi="Arial" w:cs="Arial"/>
          <w:sz w:val="22"/>
          <w:szCs w:val="22"/>
        </w:rPr>
        <w:t>. A</w:t>
      </w:r>
      <w:r w:rsidRPr="00A210E1">
        <w:rPr>
          <w:rFonts w:ascii="Arial" w:hAnsi="Arial" w:cs="Arial"/>
          <w:sz w:val="22"/>
          <w:szCs w:val="22"/>
        </w:rPr>
        <w:t>nalysis of mitochondr</w:t>
      </w:r>
      <w:r>
        <w:rPr>
          <w:rFonts w:ascii="Arial" w:hAnsi="Arial" w:cs="Arial"/>
          <w:sz w:val="22"/>
          <w:szCs w:val="22"/>
        </w:rPr>
        <w:t>ial-</w:t>
      </w:r>
      <w:r w:rsidRPr="00A210E1">
        <w:rPr>
          <w:rFonts w:ascii="Arial" w:hAnsi="Arial" w:cs="Arial"/>
          <w:sz w:val="22"/>
          <w:szCs w:val="22"/>
        </w:rPr>
        <w:t>DNA fou</w:t>
      </w:r>
      <w:r>
        <w:rPr>
          <w:rFonts w:ascii="Arial" w:hAnsi="Arial" w:cs="Arial"/>
          <w:sz w:val="22"/>
          <w:szCs w:val="22"/>
        </w:rPr>
        <w:t xml:space="preserve">nd that the species </w:t>
      </w:r>
      <w:proofErr w:type="spellStart"/>
      <w:r w:rsidRPr="00A210E1">
        <w:rPr>
          <w:rFonts w:ascii="Arial" w:hAnsi="Arial" w:cs="Arial"/>
          <w:i/>
          <w:sz w:val="22"/>
          <w:szCs w:val="22"/>
        </w:rPr>
        <w:t>Trachystoma</w:t>
      </w:r>
      <w:proofErr w:type="spellEnd"/>
      <w:r w:rsidRPr="00A210E1">
        <w:rPr>
          <w:rFonts w:ascii="Arial" w:hAnsi="Arial" w:cs="Arial"/>
          <w:i/>
          <w:sz w:val="22"/>
          <w:szCs w:val="22"/>
        </w:rPr>
        <w:t> </w:t>
      </w:r>
      <w:proofErr w:type="spellStart"/>
      <w:r w:rsidRPr="00A210E1">
        <w:rPr>
          <w:rFonts w:ascii="Arial" w:hAnsi="Arial" w:cs="Arial"/>
          <w:i/>
          <w:sz w:val="22"/>
          <w:szCs w:val="22"/>
        </w:rPr>
        <w:t>petardi</w:t>
      </w:r>
      <w:proofErr w:type="spellEnd"/>
      <w:r w:rsidRPr="00A210E1">
        <w:rPr>
          <w:rFonts w:ascii="Arial" w:hAnsi="Arial" w:cs="Arial"/>
          <w:sz w:val="22"/>
          <w:szCs w:val="22"/>
        </w:rPr>
        <w:t xml:space="preserve"> (found only on the east coast of Australia) was clearly distinct from mullet in the genus</w:t>
      </w:r>
      <w:r>
        <w:rPr>
          <w:rFonts w:ascii="Arial" w:hAnsi="Arial" w:cs="Arial"/>
          <w:sz w:val="22"/>
          <w:szCs w:val="22"/>
        </w:rPr>
        <w:t> </w:t>
      </w:r>
      <w:proofErr w:type="spellStart"/>
      <w:r w:rsidRPr="00A210E1">
        <w:rPr>
          <w:rFonts w:ascii="Arial" w:hAnsi="Arial" w:cs="Arial"/>
          <w:i/>
          <w:sz w:val="22"/>
          <w:szCs w:val="22"/>
        </w:rPr>
        <w:t>Myxus</w:t>
      </w:r>
      <w:proofErr w:type="spellEnd"/>
      <w:r>
        <w:rPr>
          <w:i/>
        </w:rPr>
        <w:t xml:space="preserve"> </w:t>
      </w:r>
      <w:r>
        <w:t>(</w:t>
      </w:r>
      <w:r>
        <w:rPr>
          <w:rFonts w:ascii="Arial" w:hAnsi="Arial" w:cs="Arial"/>
          <w:sz w:val="22"/>
          <w:szCs w:val="22"/>
        </w:rPr>
        <w:t>Durand et al., 2012a;</w:t>
      </w:r>
      <w:r w:rsidRPr="00A210E1">
        <w:rPr>
          <w:rFonts w:ascii="Arial" w:hAnsi="Arial" w:cs="Arial"/>
          <w:sz w:val="22"/>
          <w:szCs w:val="22"/>
        </w:rPr>
        <w:t xml:space="preserve"> 2012b). </w:t>
      </w:r>
      <w:r>
        <w:rPr>
          <w:rFonts w:ascii="Arial" w:hAnsi="Arial" w:cs="Arial"/>
          <w:sz w:val="22"/>
          <w:szCs w:val="22"/>
        </w:rPr>
        <w:t xml:space="preserve">It </w:t>
      </w:r>
      <w:r w:rsidRPr="00A210E1">
        <w:rPr>
          <w:rFonts w:ascii="Arial" w:hAnsi="Arial" w:cs="Arial"/>
          <w:sz w:val="22"/>
          <w:szCs w:val="22"/>
        </w:rPr>
        <w:t xml:space="preserve">is the only </w:t>
      </w:r>
      <w:r>
        <w:rPr>
          <w:rFonts w:ascii="Arial" w:hAnsi="Arial" w:cs="Arial"/>
          <w:sz w:val="22"/>
          <w:szCs w:val="22"/>
        </w:rPr>
        <w:t>species in its genus (Durand et </w:t>
      </w:r>
      <w:r w:rsidRPr="00A210E1">
        <w:rPr>
          <w:rFonts w:ascii="Arial" w:hAnsi="Arial" w:cs="Arial"/>
          <w:sz w:val="22"/>
          <w:szCs w:val="22"/>
        </w:rPr>
        <w:t>al, 2012a).</w:t>
      </w:r>
    </w:p>
    <w:p w14:paraId="71590D4A" w14:textId="77777777" w:rsidR="00615CF6" w:rsidRPr="00615CF6" w:rsidRDefault="00615CF6" w:rsidP="00167800">
      <w:pPr>
        <w:pStyle w:val="CAmajorheading"/>
        <w:spacing w:after="200" w:line="276" w:lineRule="auto"/>
      </w:pPr>
      <w:r w:rsidRPr="00E95E0E">
        <w:t>Species/Sub-species Information</w:t>
      </w:r>
    </w:p>
    <w:p w14:paraId="71590D4B" w14:textId="77777777" w:rsidR="00424584" w:rsidRPr="002B2B88" w:rsidRDefault="007D7E49" w:rsidP="00167800">
      <w:pPr>
        <w:pStyle w:val="CAminorheading"/>
        <w:spacing w:after="200" w:line="276" w:lineRule="auto"/>
      </w:pPr>
      <w:r w:rsidRPr="002B2B88">
        <w:t>Description</w:t>
      </w:r>
    </w:p>
    <w:p w14:paraId="135591C0" w14:textId="7D243472" w:rsidR="00645C74" w:rsidRDefault="009A6622" w:rsidP="00167800">
      <w:pPr>
        <w:pStyle w:val="Normal12pt"/>
        <w:spacing w:after="200" w:line="276" w:lineRule="auto"/>
        <w:rPr>
          <w:rFonts w:ascii="Arial" w:hAnsi="Arial" w:cs="Arial"/>
          <w:sz w:val="22"/>
          <w:szCs w:val="22"/>
        </w:rPr>
      </w:pPr>
      <w:r>
        <w:rPr>
          <w:rFonts w:ascii="Arial" w:hAnsi="Arial" w:cs="Arial"/>
          <w:sz w:val="22"/>
          <w:szCs w:val="22"/>
        </w:rPr>
        <w:t xml:space="preserve">Pinkeye mullet are </w:t>
      </w:r>
      <w:r w:rsidR="001A0399">
        <w:rPr>
          <w:rFonts w:ascii="Arial" w:hAnsi="Arial" w:cs="Arial"/>
          <w:sz w:val="22"/>
          <w:szCs w:val="22"/>
        </w:rPr>
        <w:t>medium</w:t>
      </w:r>
      <w:r>
        <w:rPr>
          <w:rFonts w:ascii="Arial" w:hAnsi="Arial" w:cs="Arial"/>
          <w:sz w:val="22"/>
          <w:szCs w:val="22"/>
        </w:rPr>
        <w:t xml:space="preserve">, </w:t>
      </w:r>
      <w:r w:rsidR="007007FE">
        <w:rPr>
          <w:rFonts w:ascii="Arial" w:hAnsi="Arial" w:cs="Arial"/>
          <w:sz w:val="22"/>
          <w:szCs w:val="22"/>
        </w:rPr>
        <w:t>stout</w:t>
      </w:r>
      <w:r>
        <w:rPr>
          <w:rFonts w:ascii="Arial" w:hAnsi="Arial" w:cs="Arial"/>
          <w:sz w:val="22"/>
          <w:szCs w:val="22"/>
        </w:rPr>
        <w:t xml:space="preserve">, diadromous </w:t>
      </w:r>
      <w:r w:rsidR="00F95D88">
        <w:rPr>
          <w:rFonts w:ascii="Arial" w:hAnsi="Arial" w:cs="Arial"/>
          <w:sz w:val="22"/>
          <w:szCs w:val="22"/>
        </w:rPr>
        <w:t xml:space="preserve">fish </w:t>
      </w:r>
      <w:r>
        <w:rPr>
          <w:rFonts w:ascii="Arial" w:hAnsi="Arial" w:cs="Arial"/>
          <w:sz w:val="22"/>
          <w:szCs w:val="22"/>
        </w:rPr>
        <w:t>(</w:t>
      </w:r>
      <w:r w:rsidR="001A0399">
        <w:rPr>
          <w:rFonts w:ascii="Arial" w:hAnsi="Arial" w:cs="Arial"/>
          <w:sz w:val="22"/>
          <w:szCs w:val="22"/>
        </w:rPr>
        <w:t xml:space="preserve">migrate between fresh and salt water habitats) which grow to a maximum </w:t>
      </w:r>
      <w:r w:rsidR="00C2502A">
        <w:rPr>
          <w:rFonts w:ascii="Arial" w:hAnsi="Arial" w:cs="Arial"/>
          <w:sz w:val="22"/>
          <w:szCs w:val="22"/>
        </w:rPr>
        <w:t>length</w:t>
      </w:r>
      <w:r w:rsidR="001A0399">
        <w:rPr>
          <w:rFonts w:ascii="Arial" w:hAnsi="Arial" w:cs="Arial"/>
          <w:sz w:val="22"/>
          <w:szCs w:val="22"/>
        </w:rPr>
        <w:t xml:space="preserve"> of 40 cm (Thomson 1996; Allen et al., 2002). </w:t>
      </w:r>
      <w:r w:rsidR="002F16BC">
        <w:rPr>
          <w:rFonts w:ascii="Arial" w:hAnsi="Arial" w:cs="Arial"/>
          <w:sz w:val="22"/>
          <w:szCs w:val="22"/>
        </w:rPr>
        <w:t>Pinkeye</w:t>
      </w:r>
      <w:r w:rsidR="00F95D88">
        <w:rPr>
          <w:rFonts w:ascii="Arial" w:hAnsi="Arial" w:cs="Arial"/>
          <w:sz w:val="22"/>
          <w:szCs w:val="22"/>
        </w:rPr>
        <w:t xml:space="preserve"> </w:t>
      </w:r>
      <w:r w:rsidR="00C93B9B">
        <w:rPr>
          <w:rFonts w:ascii="Arial" w:hAnsi="Arial" w:cs="Arial"/>
          <w:sz w:val="22"/>
          <w:szCs w:val="22"/>
        </w:rPr>
        <w:t>mullet d</w:t>
      </w:r>
      <w:r w:rsidR="007007FE">
        <w:rPr>
          <w:rFonts w:ascii="Arial" w:hAnsi="Arial" w:cs="Arial"/>
          <w:sz w:val="22"/>
          <w:szCs w:val="22"/>
        </w:rPr>
        <w:t xml:space="preserve">iffer from </w:t>
      </w:r>
      <w:r w:rsidR="002F16BC">
        <w:rPr>
          <w:rFonts w:ascii="Arial" w:hAnsi="Arial" w:cs="Arial"/>
          <w:sz w:val="22"/>
          <w:szCs w:val="22"/>
        </w:rPr>
        <w:t xml:space="preserve">another mullet species which often co-inhabits the same areas, </w:t>
      </w:r>
      <w:proofErr w:type="spellStart"/>
      <w:r w:rsidR="002F16BC">
        <w:rPr>
          <w:rFonts w:ascii="Arial" w:hAnsi="Arial" w:cs="Arial"/>
          <w:i/>
          <w:sz w:val="22"/>
          <w:szCs w:val="22"/>
        </w:rPr>
        <w:t>Mugil</w:t>
      </w:r>
      <w:proofErr w:type="spellEnd"/>
      <w:r w:rsidR="002F16BC">
        <w:rPr>
          <w:rFonts w:ascii="Arial" w:hAnsi="Arial" w:cs="Arial"/>
          <w:i/>
          <w:sz w:val="22"/>
          <w:szCs w:val="22"/>
        </w:rPr>
        <w:t> </w:t>
      </w:r>
      <w:proofErr w:type="spellStart"/>
      <w:r w:rsidR="007007FE">
        <w:rPr>
          <w:rFonts w:ascii="Arial" w:hAnsi="Arial" w:cs="Arial"/>
          <w:i/>
          <w:sz w:val="22"/>
          <w:szCs w:val="22"/>
        </w:rPr>
        <w:t>cephalus</w:t>
      </w:r>
      <w:proofErr w:type="spellEnd"/>
      <w:r w:rsidR="007007FE">
        <w:rPr>
          <w:rFonts w:ascii="Arial" w:hAnsi="Arial" w:cs="Arial"/>
          <w:i/>
          <w:sz w:val="22"/>
          <w:szCs w:val="22"/>
        </w:rPr>
        <w:t xml:space="preserve"> </w:t>
      </w:r>
      <w:proofErr w:type="spellStart"/>
      <w:r w:rsidR="007007FE">
        <w:rPr>
          <w:rFonts w:ascii="Arial" w:hAnsi="Arial" w:cs="Arial"/>
          <w:sz w:val="22"/>
          <w:szCs w:val="22"/>
        </w:rPr>
        <w:t>Linneaus</w:t>
      </w:r>
      <w:proofErr w:type="spellEnd"/>
      <w:r w:rsidR="007007FE">
        <w:rPr>
          <w:rFonts w:ascii="Arial" w:hAnsi="Arial" w:cs="Arial"/>
          <w:sz w:val="22"/>
          <w:szCs w:val="22"/>
        </w:rPr>
        <w:t xml:space="preserve"> 1758 </w:t>
      </w:r>
      <w:r w:rsidR="00C2502A">
        <w:rPr>
          <w:rFonts w:ascii="Arial" w:hAnsi="Arial" w:cs="Arial"/>
          <w:sz w:val="22"/>
          <w:szCs w:val="22"/>
        </w:rPr>
        <w:t>(sea mullet)</w:t>
      </w:r>
      <w:r w:rsidR="002F16BC">
        <w:rPr>
          <w:rFonts w:ascii="Arial" w:hAnsi="Arial" w:cs="Arial"/>
          <w:sz w:val="22"/>
          <w:szCs w:val="22"/>
        </w:rPr>
        <w:t>,</w:t>
      </w:r>
      <w:r w:rsidR="00C2502A">
        <w:rPr>
          <w:rFonts w:ascii="Arial" w:hAnsi="Arial" w:cs="Arial"/>
          <w:sz w:val="22"/>
          <w:szCs w:val="22"/>
        </w:rPr>
        <w:t xml:space="preserve"> </w:t>
      </w:r>
      <w:r w:rsidR="007007FE">
        <w:rPr>
          <w:rFonts w:ascii="Arial" w:hAnsi="Arial" w:cs="Arial"/>
          <w:sz w:val="22"/>
          <w:szCs w:val="22"/>
        </w:rPr>
        <w:t xml:space="preserve">by having a small, more slender and pointed snout. </w:t>
      </w:r>
      <w:r w:rsidR="00C2502A">
        <w:rPr>
          <w:rFonts w:ascii="Arial" w:hAnsi="Arial" w:cs="Arial"/>
          <w:sz w:val="22"/>
          <w:szCs w:val="22"/>
        </w:rPr>
        <w:t xml:space="preserve">The species is dark olive-green in colour on the back with a silvery belly </w:t>
      </w:r>
      <w:r w:rsidR="000554A5">
        <w:rPr>
          <w:rFonts w:ascii="Arial" w:hAnsi="Arial" w:cs="Arial"/>
          <w:sz w:val="22"/>
          <w:szCs w:val="22"/>
        </w:rPr>
        <w:t xml:space="preserve">(Thomson 1996; Allen et al., 2002). Fins are </w:t>
      </w:r>
      <w:r w:rsidR="00C2502A">
        <w:rPr>
          <w:rFonts w:ascii="Arial" w:hAnsi="Arial" w:cs="Arial"/>
          <w:sz w:val="22"/>
          <w:szCs w:val="22"/>
        </w:rPr>
        <w:t xml:space="preserve">pale-yellow </w:t>
      </w:r>
      <w:r w:rsidR="000554A5">
        <w:rPr>
          <w:rFonts w:ascii="Arial" w:hAnsi="Arial" w:cs="Arial"/>
          <w:sz w:val="22"/>
          <w:szCs w:val="22"/>
        </w:rPr>
        <w:t xml:space="preserve">and the </w:t>
      </w:r>
      <w:r w:rsidR="00C2502A">
        <w:rPr>
          <w:rFonts w:ascii="Arial" w:hAnsi="Arial" w:cs="Arial"/>
          <w:sz w:val="22"/>
          <w:szCs w:val="22"/>
        </w:rPr>
        <w:t>eye is gold to pinkish (Thomson 1996; Allen et al., 2002).</w:t>
      </w:r>
      <w:r w:rsidR="00CF7968">
        <w:rPr>
          <w:rFonts w:ascii="Arial" w:hAnsi="Arial" w:cs="Arial"/>
          <w:sz w:val="22"/>
          <w:szCs w:val="22"/>
        </w:rPr>
        <w:t xml:space="preserve"> The species exhibit</w:t>
      </w:r>
      <w:r w:rsidR="00224FE6">
        <w:rPr>
          <w:rFonts w:ascii="Arial" w:hAnsi="Arial" w:cs="Arial"/>
          <w:sz w:val="22"/>
          <w:szCs w:val="22"/>
        </w:rPr>
        <w:t>s</w:t>
      </w:r>
      <w:r w:rsidR="00CF7968">
        <w:rPr>
          <w:rFonts w:ascii="Arial" w:hAnsi="Arial" w:cs="Arial"/>
          <w:sz w:val="22"/>
          <w:szCs w:val="22"/>
        </w:rPr>
        <w:t xml:space="preserve"> sexual dimorphism in a number of physical characters such as the positioning of dorsal and anal fins along the main body axis (Grant et al., 1977).</w:t>
      </w:r>
    </w:p>
    <w:p w14:paraId="71590D57" w14:textId="657B2CD3" w:rsidR="007D7E49" w:rsidRPr="007D7E49" w:rsidRDefault="007D7E49" w:rsidP="00167800">
      <w:pPr>
        <w:pStyle w:val="CAminorheading"/>
        <w:spacing w:after="200" w:line="276" w:lineRule="auto"/>
      </w:pPr>
      <w:r w:rsidRPr="00C77AC3">
        <w:t>Distribution</w:t>
      </w:r>
    </w:p>
    <w:p w14:paraId="41739A2E" w14:textId="74A9DE3F" w:rsidR="00645C74" w:rsidRDefault="00A8237C" w:rsidP="00167800">
      <w:pPr>
        <w:spacing w:after="200" w:line="276" w:lineRule="auto"/>
        <w:rPr>
          <w:rFonts w:ascii="Arial" w:hAnsi="Arial" w:cs="Arial"/>
          <w:sz w:val="22"/>
          <w:szCs w:val="22"/>
        </w:rPr>
      </w:pPr>
      <w:r>
        <w:rPr>
          <w:rFonts w:ascii="Arial" w:hAnsi="Arial" w:cs="Arial"/>
          <w:sz w:val="22"/>
          <w:szCs w:val="22"/>
        </w:rPr>
        <w:t>Pinkeye mullet</w:t>
      </w:r>
      <w:r w:rsidR="00054961">
        <w:rPr>
          <w:rFonts w:ascii="Arial" w:hAnsi="Arial" w:cs="Arial"/>
          <w:sz w:val="22"/>
          <w:szCs w:val="22"/>
        </w:rPr>
        <w:t xml:space="preserve"> once inhabited </w:t>
      </w:r>
      <w:r w:rsidR="005537A7">
        <w:rPr>
          <w:rFonts w:ascii="Arial" w:hAnsi="Arial" w:cs="Arial"/>
          <w:sz w:val="22"/>
          <w:szCs w:val="22"/>
        </w:rPr>
        <w:t xml:space="preserve">the freshwater and estuarine reaches of eastern draining river systems </w:t>
      </w:r>
      <w:r w:rsidR="00790302">
        <w:rPr>
          <w:rFonts w:ascii="Arial" w:hAnsi="Arial" w:cs="Arial"/>
          <w:sz w:val="22"/>
          <w:szCs w:val="22"/>
        </w:rPr>
        <w:t xml:space="preserve">from </w:t>
      </w:r>
      <w:r w:rsidR="005537A7">
        <w:rPr>
          <w:rFonts w:ascii="Arial" w:hAnsi="Arial" w:cs="Arial"/>
          <w:sz w:val="22"/>
          <w:szCs w:val="22"/>
        </w:rPr>
        <w:t xml:space="preserve">the </w:t>
      </w:r>
      <w:r w:rsidR="00790302">
        <w:rPr>
          <w:rFonts w:ascii="Arial" w:hAnsi="Arial" w:cs="Arial"/>
          <w:sz w:val="22"/>
          <w:szCs w:val="22"/>
        </w:rPr>
        <w:t>Burnett </w:t>
      </w:r>
      <w:r w:rsidR="005537A7">
        <w:rPr>
          <w:rFonts w:ascii="Arial" w:hAnsi="Arial" w:cs="Arial"/>
          <w:sz w:val="22"/>
          <w:szCs w:val="22"/>
        </w:rPr>
        <w:t>River in Queensland south</w:t>
      </w:r>
      <w:r w:rsidR="00790302">
        <w:rPr>
          <w:rFonts w:ascii="Arial" w:hAnsi="Arial" w:cs="Arial"/>
          <w:sz w:val="22"/>
          <w:szCs w:val="22"/>
        </w:rPr>
        <w:t xml:space="preserve"> </w:t>
      </w:r>
      <w:r w:rsidR="005537A7">
        <w:rPr>
          <w:rFonts w:ascii="Arial" w:hAnsi="Arial" w:cs="Arial"/>
          <w:sz w:val="22"/>
          <w:szCs w:val="22"/>
        </w:rPr>
        <w:t xml:space="preserve">to the </w:t>
      </w:r>
      <w:r w:rsidR="00790302">
        <w:rPr>
          <w:rFonts w:ascii="Arial" w:hAnsi="Arial" w:cs="Arial"/>
          <w:sz w:val="22"/>
          <w:szCs w:val="22"/>
        </w:rPr>
        <w:t>Clyde</w:t>
      </w:r>
      <w:r w:rsidR="005537A7">
        <w:rPr>
          <w:rFonts w:ascii="Arial" w:hAnsi="Arial" w:cs="Arial"/>
          <w:sz w:val="22"/>
          <w:szCs w:val="22"/>
        </w:rPr>
        <w:t> River in New South Wales (Thomso</w:t>
      </w:r>
      <w:r w:rsidR="00F95D88">
        <w:rPr>
          <w:rFonts w:ascii="Arial" w:hAnsi="Arial" w:cs="Arial"/>
          <w:sz w:val="22"/>
          <w:szCs w:val="22"/>
        </w:rPr>
        <w:t xml:space="preserve">n </w:t>
      </w:r>
      <w:r w:rsidR="005537A7">
        <w:rPr>
          <w:rFonts w:ascii="Arial" w:hAnsi="Arial" w:cs="Arial"/>
          <w:sz w:val="22"/>
          <w:szCs w:val="22"/>
        </w:rPr>
        <w:t>1996; Allen et al., 2002</w:t>
      </w:r>
      <w:r w:rsidR="00790302">
        <w:rPr>
          <w:rFonts w:ascii="Arial" w:hAnsi="Arial" w:cs="Arial"/>
          <w:sz w:val="22"/>
          <w:szCs w:val="22"/>
        </w:rPr>
        <w:t>; Miles</w:t>
      </w:r>
      <w:r w:rsidR="00F95D88">
        <w:rPr>
          <w:rFonts w:ascii="Arial" w:hAnsi="Arial" w:cs="Arial"/>
          <w:sz w:val="22"/>
          <w:szCs w:val="22"/>
        </w:rPr>
        <w:t xml:space="preserve"> </w:t>
      </w:r>
      <w:r w:rsidR="00790302">
        <w:rPr>
          <w:rFonts w:ascii="Arial" w:hAnsi="Arial" w:cs="Arial"/>
          <w:sz w:val="22"/>
          <w:szCs w:val="22"/>
        </w:rPr>
        <w:t>2007</w:t>
      </w:r>
      <w:r w:rsidR="005537A7">
        <w:rPr>
          <w:rFonts w:ascii="Arial" w:hAnsi="Arial" w:cs="Arial"/>
          <w:sz w:val="22"/>
          <w:szCs w:val="22"/>
        </w:rPr>
        <w:t>).</w:t>
      </w:r>
      <w:r w:rsidR="00790302">
        <w:rPr>
          <w:rFonts w:ascii="Arial" w:hAnsi="Arial" w:cs="Arial"/>
          <w:sz w:val="22"/>
          <w:szCs w:val="22"/>
        </w:rPr>
        <w:t xml:space="preserve"> </w:t>
      </w:r>
      <w:r w:rsidR="00A733E3">
        <w:rPr>
          <w:rFonts w:ascii="Arial" w:hAnsi="Arial" w:cs="Arial"/>
          <w:sz w:val="22"/>
          <w:szCs w:val="22"/>
        </w:rPr>
        <w:t>While i</w:t>
      </w:r>
      <w:r w:rsidR="00054961">
        <w:rPr>
          <w:rFonts w:ascii="Arial" w:hAnsi="Arial" w:cs="Arial"/>
          <w:sz w:val="22"/>
          <w:szCs w:val="22"/>
        </w:rPr>
        <w:t xml:space="preserve">t is suspected that the species </w:t>
      </w:r>
      <w:r w:rsidR="00704B53">
        <w:rPr>
          <w:rFonts w:ascii="Arial" w:hAnsi="Arial" w:cs="Arial"/>
          <w:sz w:val="22"/>
          <w:szCs w:val="22"/>
        </w:rPr>
        <w:t xml:space="preserve">has become </w:t>
      </w:r>
      <w:r w:rsidR="00054961">
        <w:rPr>
          <w:rFonts w:ascii="Arial" w:hAnsi="Arial" w:cs="Arial"/>
          <w:sz w:val="22"/>
          <w:szCs w:val="22"/>
        </w:rPr>
        <w:t>locally extinct at the northern end of its range, in the Burnett and Isis/</w:t>
      </w:r>
      <w:proofErr w:type="spellStart"/>
      <w:r w:rsidR="00054961">
        <w:rPr>
          <w:rFonts w:ascii="Arial" w:hAnsi="Arial" w:cs="Arial"/>
          <w:sz w:val="22"/>
          <w:szCs w:val="22"/>
        </w:rPr>
        <w:t>Burrum</w:t>
      </w:r>
      <w:proofErr w:type="spellEnd"/>
      <w:r w:rsidR="00054961">
        <w:rPr>
          <w:rFonts w:ascii="Arial" w:hAnsi="Arial" w:cs="Arial"/>
          <w:sz w:val="22"/>
          <w:szCs w:val="22"/>
        </w:rPr>
        <w:t xml:space="preserve"> river catchments (</w:t>
      </w:r>
      <w:r w:rsidR="006C06D6">
        <w:rPr>
          <w:rFonts w:ascii="Arial" w:hAnsi="Arial" w:cs="Arial"/>
          <w:sz w:val="22"/>
          <w:szCs w:val="22"/>
        </w:rPr>
        <w:t>Qld </w:t>
      </w:r>
      <w:r w:rsidR="00054961">
        <w:rPr>
          <w:rFonts w:ascii="Arial" w:hAnsi="Arial" w:cs="Arial"/>
          <w:sz w:val="22"/>
          <w:szCs w:val="22"/>
        </w:rPr>
        <w:t>DNRM 2014)</w:t>
      </w:r>
      <w:r w:rsidR="00A733E3">
        <w:rPr>
          <w:rFonts w:ascii="Arial" w:hAnsi="Arial" w:cs="Arial"/>
          <w:sz w:val="22"/>
          <w:szCs w:val="22"/>
        </w:rPr>
        <w:t xml:space="preserve">, there </w:t>
      </w:r>
      <w:r w:rsidR="000A3589">
        <w:rPr>
          <w:rFonts w:ascii="Arial" w:hAnsi="Arial" w:cs="Arial"/>
          <w:sz w:val="22"/>
          <w:szCs w:val="22"/>
        </w:rPr>
        <w:t xml:space="preserve">is </w:t>
      </w:r>
      <w:r w:rsidR="00A733E3">
        <w:rPr>
          <w:rFonts w:ascii="Arial" w:hAnsi="Arial" w:cs="Arial"/>
          <w:sz w:val="22"/>
          <w:szCs w:val="22"/>
        </w:rPr>
        <w:t xml:space="preserve">a record of the species in Water Park Creek near </w:t>
      </w:r>
      <w:proofErr w:type="spellStart"/>
      <w:r w:rsidR="00A733E3">
        <w:rPr>
          <w:rFonts w:ascii="Arial" w:hAnsi="Arial" w:cs="Arial"/>
          <w:sz w:val="22"/>
          <w:szCs w:val="22"/>
        </w:rPr>
        <w:t>Byfield</w:t>
      </w:r>
      <w:proofErr w:type="spellEnd"/>
      <w:r w:rsidR="00A733E3">
        <w:rPr>
          <w:rFonts w:ascii="Arial" w:hAnsi="Arial" w:cs="Arial"/>
          <w:sz w:val="22"/>
          <w:szCs w:val="22"/>
        </w:rPr>
        <w:t xml:space="preserve"> </w:t>
      </w:r>
      <w:r w:rsidR="000A3589">
        <w:rPr>
          <w:rFonts w:ascii="Arial" w:hAnsi="Arial" w:cs="Arial"/>
          <w:sz w:val="22"/>
          <w:szCs w:val="22"/>
        </w:rPr>
        <w:t xml:space="preserve">taken in </w:t>
      </w:r>
      <w:r w:rsidR="00A733E3">
        <w:rPr>
          <w:rFonts w:ascii="Arial" w:hAnsi="Arial" w:cs="Arial"/>
          <w:sz w:val="22"/>
          <w:szCs w:val="22"/>
        </w:rPr>
        <w:t xml:space="preserve">Queensland Museum </w:t>
      </w:r>
      <w:r w:rsidR="000A3589">
        <w:rPr>
          <w:rFonts w:ascii="Arial" w:hAnsi="Arial" w:cs="Arial"/>
          <w:sz w:val="22"/>
          <w:szCs w:val="22"/>
        </w:rPr>
        <w:t xml:space="preserve">surveys in 2011 </w:t>
      </w:r>
      <w:r w:rsidR="00A733E3">
        <w:rPr>
          <w:rFonts w:ascii="Arial" w:hAnsi="Arial" w:cs="Arial"/>
          <w:sz w:val="22"/>
          <w:szCs w:val="22"/>
        </w:rPr>
        <w:t>(QM 2017)</w:t>
      </w:r>
      <w:r w:rsidR="00ED5963">
        <w:rPr>
          <w:rFonts w:ascii="Arial" w:hAnsi="Arial" w:cs="Arial"/>
          <w:sz w:val="22"/>
          <w:szCs w:val="22"/>
        </w:rPr>
        <w:t xml:space="preserve">. This </w:t>
      </w:r>
      <w:r w:rsidR="00D36C51">
        <w:rPr>
          <w:rFonts w:ascii="Arial" w:hAnsi="Arial" w:cs="Arial"/>
          <w:sz w:val="22"/>
          <w:szCs w:val="22"/>
        </w:rPr>
        <w:t xml:space="preserve">individual </w:t>
      </w:r>
      <w:r w:rsidR="00ED5963">
        <w:rPr>
          <w:rFonts w:ascii="Arial" w:hAnsi="Arial" w:cs="Arial"/>
          <w:sz w:val="22"/>
          <w:szCs w:val="22"/>
        </w:rPr>
        <w:t>record</w:t>
      </w:r>
      <w:r w:rsidR="00A733E3">
        <w:rPr>
          <w:rFonts w:ascii="Arial" w:hAnsi="Arial" w:cs="Arial"/>
          <w:sz w:val="22"/>
          <w:szCs w:val="22"/>
        </w:rPr>
        <w:t xml:space="preserve"> indicate</w:t>
      </w:r>
      <w:r w:rsidR="000A3589">
        <w:rPr>
          <w:rFonts w:ascii="Arial" w:hAnsi="Arial" w:cs="Arial"/>
          <w:sz w:val="22"/>
          <w:szCs w:val="22"/>
        </w:rPr>
        <w:t>s that</w:t>
      </w:r>
      <w:r w:rsidR="00D36C51">
        <w:rPr>
          <w:rFonts w:ascii="Arial" w:hAnsi="Arial" w:cs="Arial"/>
          <w:sz w:val="22"/>
          <w:szCs w:val="22"/>
        </w:rPr>
        <w:t xml:space="preserve"> previous</w:t>
      </w:r>
      <w:r w:rsidR="000A3589">
        <w:rPr>
          <w:rFonts w:ascii="Arial" w:hAnsi="Arial" w:cs="Arial"/>
          <w:sz w:val="22"/>
          <w:szCs w:val="22"/>
        </w:rPr>
        <w:t xml:space="preserve"> </w:t>
      </w:r>
      <w:r w:rsidR="00D36C51">
        <w:rPr>
          <w:rFonts w:ascii="Arial" w:hAnsi="Arial" w:cs="Arial"/>
          <w:sz w:val="22"/>
          <w:szCs w:val="22"/>
        </w:rPr>
        <w:t xml:space="preserve">accepted </w:t>
      </w:r>
      <w:r w:rsidR="000A3589">
        <w:rPr>
          <w:rFonts w:ascii="Arial" w:hAnsi="Arial" w:cs="Arial"/>
          <w:sz w:val="22"/>
          <w:szCs w:val="22"/>
        </w:rPr>
        <w:t>notions of the species’ distribution may not have correctly</w:t>
      </w:r>
      <w:r w:rsidR="00D36C51">
        <w:rPr>
          <w:rFonts w:ascii="Arial" w:hAnsi="Arial" w:cs="Arial"/>
          <w:sz w:val="22"/>
          <w:szCs w:val="22"/>
        </w:rPr>
        <w:t xml:space="preserve"> defined</w:t>
      </w:r>
      <w:r w:rsidR="000A3589">
        <w:rPr>
          <w:rFonts w:ascii="Arial" w:hAnsi="Arial" w:cs="Arial"/>
          <w:sz w:val="22"/>
          <w:szCs w:val="22"/>
        </w:rPr>
        <w:t xml:space="preserve"> its </w:t>
      </w:r>
      <w:r w:rsidR="00A733E3">
        <w:rPr>
          <w:rFonts w:ascii="Arial" w:hAnsi="Arial" w:cs="Arial"/>
          <w:sz w:val="22"/>
          <w:szCs w:val="22"/>
        </w:rPr>
        <w:t>north</w:t>
      </w:r>
      <w:r w:rsidR="000A3589">
        <w:rPr>
          <w:rFonts w:ascii="Arial" w:hAnsi="Arial" w:cs="Arial"/>
          <w:sz w:val="22"/>
          <w:szCs w:val="22"/>
        </w:rPr>
        <w:t>ern extent, which may include</w:t>
      </w:r>
      <w:r w:rsidR="00A733E3">
        <w:rPr>
          <w:rFonts w:ascii="Arial" w:hAnsi="Arial" w:cs="Arial"/>
          <w:sz w:val="22"/>
          <w:szCs w:val="22"/>
        </w:rPr>
        <w:t xml:space="preserve"> </w:t>
      </w:r>
      <w:r w:rsidR="00ED5963">
        <w:rPr>
          <w:rFonts w:ascii="Arial" w:hAnsi="Arial" w:cs="Arial"/>
          <w:sz w:val="22"/>
          <w:szCs w:val="22"/>
        </w:rPr>
        <w:t xml:space="preserve">areas </w:t>
      </w:r>
      <w:r w:rsidR="00A733E3">
        <w:rPr>
          <w:rFonts w:ascii="Arial" w:hAnsi="Arial" w:cs="Arial"/>
          <w:sz w:val="22"/>
          <w:szCs w:val="22"/>
        </w:rPr>
        <w:t>north</w:t>
      </w:r>
      <w:r w:rsidR="000A3589">
        <w:rPr>
          <w:rFonts w:ascii="Arial" w:hAnsi="Arial" w:cs="Arial"/>
          <w:sz w:val="22"/>
          <w:szCs w:val="22"/>
        </w:rPr>
        <w:t xml:space="preserve"> </w:t>
      </w:r>
      <w:r w:rsidR="00ED5963">
        <w:rPr>
          <w:rFonts w:ascii="Arial" w:hAnsi="Arial" w:cs="Arial"/>
          <w:sz w:val="22"/>
          <w:szCs w:val="22"/>
        </w:rPr>
        <w:t xml:space="preserve">of the </w:t>
      </w:r>
      <w:r w:rsidR="00D36C51">
        <w:rPr>
          <w:rFonts w:ascii="Arial" w:hAnsi="Arial" w:cs="Arial"/>
          <w:sz w:val="22"/>
          <w:szCs w:val="22"/>
        </w:rPr>
        <w:t>Burnett </w:t>
      </w:r>
      <w:r w:rsidR="00ED5963">
        <w:rPr>
          <w:rFonts w:ascii="Arial" w:hAnsi="Arial" w:cs="Arial"/>
          <w:sz w:val="22"/>
          <w:szCs w:val="22"/>
        </w:rPr>
        <w:t>River to Water Park Creek</w:t>
      </w:r>
      <w:r w:rsidR="00054961">
        <w:rPr>
          <w:rFonts w:ascii="Arial" w:hAnsi="Arial" w:cs="Arial"/>
          <w:sz w:val="22"/>
          <w:szCs w:val="22"/>
        </w:rPr>
        <w:t>.</w:t>
      </w:r>
      <w:r w:rsidR="00D36C51">
        <w:rPr>
          <w:rFonts w:ascii="Arial" w:hAnsi="Arial" w:cs="Arial"/>
          <w:sz w:val="22"/>
          <w:szCs w:val="22"/>
        </w:rPr>
        <w:t xml:space="preserve"> Another individual record of the species is </w:t>
      </w:r>
      <w:r w:rsidR="00A45707">
        <w:rPr>
          <w:rFonts w:ascii="Arial" w:hAnsi="Arial" w:cs="Arial"/>
          <w:sz w:val="22"/>
          <w:szCs w:val="22"/>
        </w:rPr>
        <w:t xml:space="preserve">known from </w:t>
      </w:r>
      <w:proofErr w:type="spellStart"/>
      <w:r w:rsidR="00D36C51">
        <w:rPr>
          <w:rFonts w:ascii="Arial" w:hAnsi="Arial" w:cs="Arial"/>
          <w:sz w:val="22"/>
          <w:szCs w:val="22"/>
        </w:rPr>
        <w:t>Neerkol</w:t>
      </w:r>
      <w:proofErr w:type="spellEnd"/>
      <w:r w:rsidR="00D36C51">
        <w:rPr>
          <w:rFonts w:ascii="Arial" w:hAnsi="Arial" w:cs="Arial"/>
          <w:sz w:val="22"/>
          <w:szCs w:val="22"/>
        </w:rPr>
        <w:t> Creek</w:t>
      </w:r>
      <w:r w:rsidR="00A45707">
        <w:rPr>
          <w:rFonts w:ascii="Arial" w:hAnsi="Arial" w:cs="Arial"/>
          <w:sz w:val="22"/>
          <w:szCs w:val="22"/>
        </w:rPr>
        <w:t xml:space="preserve"> in 1982</w:t>
      </w:r>
      <w:r w:rsidR="00D36C51">
        <w:rPr>
          <w:rFonts w:ascii="Arial" w:hAnsi="Arial" w:cs="Arial"/>
          <w:sz w:val="22"/>
          <w:szCs w:val="22"/>
        </w:rPr>
        <w:t>, on the floodplain of the Fitzroy</w:t>
      </w:r>
      <w:r w:rsidR="002E3FF4">
        <w:rPr>
          <w:rFonts w:ascii="Arial" w:hAnsi="Arial" w:cs="Arial"/>
          <w:sz w:val="22"/>
          <w:szCs w:val="22"/>
        </w:rPr>
        <w:t xml:space="preserve"> </w:t>
      </w:r>
      <w:r w:rsidR="00D36C51">
        <w:rPr>
          <w:rFonts w:ascii="Arial" w:hAnsi="Arial" w:cs="Arial"/>
          <w:sz w:val="22"/>
          <w:szCs w:val="22"/>
        </w:rPr>
        <w:t>River near Rockhampton (</w:t>
      </w:r>
      <w:r w:rsidR="00A45707">
        <w:rPr>
          <w:rFonts w:ascii="Arial" w:hAnsi="Arial" w:cs="Arial"/>
          <w:sz w:val="22"/>
          <w:szCs w:val="22"/>
        </w:rPr>
        <w:t>QWD 2017).</w:t>
      </w:r>
    </w:p>
    <w:p w14:paraId="5704668D" w14:textId="6BC03941" w:rsidR="00DA2032" w:rsidRDefault="008F6106" w:rsidP="00167800">
      <w:pPr>
        <w:spacing w:after="200" w:line="276" w:lineRule="auto"/>
        <w:rPr>
          <w:rFonts w:ascii="Arial" w:hAnsi="Arial" w:cs="Arial"/>
          <w:sz w:val="22"/>
          <w:szCs w:val="22"/>
        </w:rPr>
      </w:pPr>
      <w:r>
        <w:rPr>
          <w:rFonts w:ascii="Arial" w:hAnsi="Arial" w:cs="Arial"/>
          <w:sz w:val="22"/>
          <w:szCs w:val="22"/>
        </w:rPr>
        <w:t xml:space="preserve">In 1999, 21 individuals were collected </w:t>
      </w:r>
      <w:r w:rsidR="002E3FF4">
        <w:rPr>
          <w:rFonts w:ascii="Arial" w:hAnsi="Arial" w:cs="Arial"/>
          <w:sz w:val="22"/>
          <w:szCs w:val="22"/>
        </w:rPr>
        <w:t xml:space="preserve">for Museum Victoria from </w:t>
      </w:r>
      <w:proofErr w:type="spellStart"/>
      <w:r w:rsidR="002E3FF4">
        <w:rPr>
          <w:rFonts w:ascii="Arial" w:hAnsi="Arial" w:cs="Arial"/>
          <w:sz w:val="22"/>
          <w:szCs w:val="22"/>
        </w:rPr>
        <w:t>Millingandi</w:t>
      </w:r>
      <w:proofErr w:type="spellEnd"/>
      <w:r w:rsidR="002E3FF4">
        <w:rPr>
          <w:rFonts w:ascii="Arial" w:hAnsi="Arial" w:cs="Arial"/>
          <w:sz w:val="22"/>
          <w:szCs w:val="22"/>
        </w:rPr>
        <w:t xml:space="preserve"> </w:t>
      </w:r>
      <w:r>
        <w:rPr>
          <w:rFonts w:ascii="Arial" w:hAnsi="Arial" w:cs="Arial"/>
          <w:sz w:val="22"/>
          <w:szCs w:val="22"/>
        </w:rPr>
        <w:t>Creek, a creek within the Merimbula</w:t>
      </w:r>
      <w:r w:rsidR="002E3FF4">
        <w:rPr>
          <w:rFonts w:ascii="Arial" w:hAnsi="Arial" w:cs="Arial"/>
          <w:sz w:val="22"/>
          <w:szCs w:val="22"/>
        </w:rPr>
        <w:t xml:space="preserve"> </w:t>
      </w:r>
      <w:r>
        <w:rPr>
          <w:rFonts w:ascii="Arial" w:hAnsi="Arial" w:cs="Arial"/>
          <w:sz w:val="22"/>
          <w:szCs w:val="22"/>
        </w:rPr>
        <w:t>Lake catchment in southern New South Wales (MV 2017).</w:t>
      </w:r>
      <w:r w:rsidR="006456A2">
        <w:rPr>
          <w:rFonts w:ascii="Arial" w:hAnsi="Arial" w:cs="Arial"/>
          <w:sz w:val="22"/>
          <w:szCs w:val="22"/>
        </w:rPr>
        <w:t xml:space="preserve"> In 2006, an individual was collected</w:t>
      </w:r>
      <w:r w:rsidR="006439DE">
        <w:rPr>
          <w:rFonts w:ascii="Arial" w:hAnsi="Arial" w:cs="Arial"/>
          <w:sz w:val="22"/>
          <w:szCs w:val="22"/>
        </w:rPr>
        <w:t xml:space="preserve"> by NSW Fisheries</w:t>
      </w:r>
      <w:r w:rsidR="006456A2">
        <w:rPr>
          <w:rFonts w:ascii="Arial" w:hAnsi="Arial" w:cs="Arial"/>
          <w:sz w:val="22"/>
          <w:szCs w:val="22"/>
        </w:rPr>
        <w:t xml:space="preserve"> from the Brogo</w:t>
      </w:r>
      <w:r w:rsidR="002E3FF4">
        <w:rPr>
          <w:rFonts w:ascii="Arial" w:hAnsi="Arial" w:cs="Arial"/>
          <w:sz w:val="22"/>
          <w:szCs w:val="22"/>
        </w:rPr>
        <w:t xml:space="preserve"> </w:t>
      </w:r>
      <w:r w:rsidR="006456A2">
        <w:rPr>
          <w:rFonts w:ascii="Arial" w:hAnsi="Arial" w:cs="Arial"/>
          <w:sz w:val="22"/>
          <w:szCs w:val="22"/>
        </w:rPr>
        <w:t>River which is part of the Bega River catchment to the north of Merimb</w:t>
      </w:r>
      <w:r w:rsidR="00A62238">
        <w:rPr>
          <w:rFonts w:ascii="Arial" w:hAnsi="Arial" w:cs="Arial"/>
          <w:sz w:val="22"/>
          <w:szCs w:val="22"/>
        </w:rPr>
        <w:t>ula Lake but south of the Clyde</w:t>
      </w:r>
      <w:r w:rsidR="002E3FF4">
        <w:rPr>
          <w:rFonts w:ascii="Arial" w:hAnsi="Arial" w:cs="Arial"/>
          <w:sz w:val="22"/>
          <w:szCs w:val="22"/>
        </w:rPr>
        <w:t xml:space="preserve"> </w:t>
      </w:r>
      <w:r w:rsidR="006456A2">
        <w:rPr>
          <w:rFonts w:ascii="Arial" w:hAnsi="Arial" w:cs="Arial"/>
          <w:sz w:val="22"/>
          <w:szCs w:val="22"/>
        </w:rPr>
        <w:t>River (AM 2017).</w:t>
      </w:r>
      <w:r w:rsidR="003D5393">
        <w:rPr>
          <w:rFonts w:ascii="Arial" w:hAnsi="Arial" w:cs="Arial"/>
          <w:sz w:val="22"/>
          <w:szCs w:val="22"/>
        </w:rPr>
        <w:t xml:space="preserve"> Another record which raises questions about the species distribution, is an individual collected by electrofishing in the Retreat River in 1999, which is </w:t>
      </w:r>
      <w:r w:rsidR="00A62238">
        <w:rPr>
          <w:rFonts w:ascii="Arial" w:hAnsi="Arial" w:cs="Arial"/>
          <w:sz w:val="22"/>
          <w:szCs w:val="22"/>
        </w:rPr>
        <w:t xml:space="preserve">an </w:t>
      </w:r>
      <w:r w:rsidR="003D5393">
        <w:rPr>
          <w:rFonts w:ascii="Arial" w:hAnsi="Arial" w:cs="Arial"/>
          <w:sz w:val="22"/>
          <w:szCs w:val="22"/>
        </w:rPr>
        <w:t>upland river of the Lachlan River catchment in the Murray Darling Basin (AM 2017).</w:t>
      </w:r>
    </w:p>
    <w:p w14:paraId="31FB083C" w14:textId="64B46C84" w:rsidR="00704B53" w:rsidRPr="00645C74" w:rsidRDefault="00D36C51" w:rsidP="00167800">
      <w:pPr>
        <w:spacing w:after="200" w:line="276" w:lineRule="auto"/>
        <w:rPr>
          <w:rFonts w:ascii="Arial" w:hAnsi="Arial" w:cs="Arial"/>
          <w:sz w:val="22"/>
          <w:szCs w:val="22"/>
        </w:rPr>
      </w:pPr>
      <w:r>
        <w:rPr>
          <w:rFonts w:ascii="Arial" w:hAnsi="Arial" w:cs="Arial"/>
          <w:sz w:val="22"/>
          <w:szCs w:val="22"/>
        </w:rPr>
        <w:t>Pinkeye</w:t>
      </w:r>
      <w:r w:rsidR="002E3FF4">
        <w:rPr>
          <w:rFonts w:ascii="Arial" w:hAnsi="Arial" w:cs="Arial"/>
          <w:sz w:val="22"/>
          <w:szCs w:val="22"/>
        </w:rPr>
        <w:t xml:space="preserve"> </w:t>
      </w:r>
      <w:r w:rsidR="00A8237C">
        <w:rPr>
          <w:rFonts w:ascii="Arial" w:hAnsi="Arial" w:cs="Arial"/>
          <w:sz w:val="22"/>
          <w:szCs w:val="22"/>
        </w:rPr>
        <w:t>mullet prefer the deep pools and gently flowing sections of rivers, often occurring in smal</w:t>
      </w:r>
      <w:r>
        <w:rPr>
          <w:rFonts w:ascii="Arial" w:hAnsi="Arial" w:cs="Arial"/>
          <w:sz w:val="22"/>
          <w:szCs w:val="22"/>
        </w:rPr>
        <w:t>l shoals (Thomson 1996). Mature</w:t>
      </w:r>
      <w:r w:rsidR="002E3FF4">
        <w:rPr>
          <w:rFonts w:ascii="Arial" w:hAnsi="Arial" w:cs="Arial"/>
          <w:sz w:val="22"/>
          <w:szCs w:val="22"/>
        </w:rPr>
        <w:t xml:space="preserve"> </w:t>
      </w:r>
      <w:r w:rsidR="00A8237C">
        <w:rPr>
          <w:rFonts w:ascii="Arial" w:hAnsi="Arial" w:cs="Arial"/>
          <w:sz w:val="22"/>
          <w:szCs w:val="22"/>
        </w:rPr>
        <w:t xml:space="preserve">adults move into estuaries and ocean habitats in late </w:t>
      </w:r>
      <w:r w:rsidR="002150F8">
        <w:rPr>
          <w:rFonts w:ascii="Arial" w:hAnsi="Arial" w:cs="Arial"/>
          <w:sz w:val="22"/>
          <w:szCs w:val="22"/>
        </w:rPr>
        <w:t>summer and early a</w:t>
      </w:r>
      <w:r w:rsidR="00A8237C">
        <w:rPr>
          <w:rFonts w:ascii="Arial" w:hAnsi="Arial" w:cs="Arial"/>
          <w:sz w:val="22"/>
          <w:szCs w:val="22"/>
        </w:rPr>
        <w:t>utumn months (Thomson</w:t>
      </w:r>
      <w:r w:rsidR="002E3FF4">
        <w:rPr>
          <w:rFonts w:ascii="Arial" w:hAnsi="Arial" w:cs="Arial"/>
          <w:sz w:val="22"/>
          <w:szCs w:val="22"/>
        </w:rPr>
        <w:t xml:space="preserve"> </w:t>
      </w:r>
      <w:r w:rsidR="00A8237C">
        <w:rPr>
          <w:rFonts w:ascii="Arial" w:hAnsi="Arial" w:cs="Arial"/>
          <w:sz w:val="22"/>
          <w:szCs w:val="22"/>
        </w:rPr>
        <w:t xml:space="preserve">1996). </w:t>
      </w:r>
      <w:r w:rsidR="003671F2">
        <w:rPr>
          <w:rFonts w:ascii="Arial" w:hAnsi="Arial" w:cs="Arial"/>
          <w:sz w:val="22"/>
          <w:szCs w:val="22"/>
        </w:rPr>
        <w:t>Analys</w:t>
      </w:r>
      <w:r w:rsidR="00B07A57">
        <w:rPr>
          <w:rFonts w:ascii="Arial" w:hAnsi="Arial" w:cs="Arial"/>
          <w:sz w:val="22"/>
          <w:szCs w:val="22"/>
        </w:rPr>
        <w:t>es</w:t>
      </w:r>
      <w:r w:rsidR="003671F2">
        <w:rPr>
          <w:rFonts w:ascii="Arial" w:hAnsi="Arial" w:cs="Arial"/>
          <w:sz w:val="22"/>
          <w:szCs w:val="22"/>
        </w:rPr>
        <w:t xml:space="preserve"> of otolith chemistry indicate that early life is spent in higher salinity waters and the remainder of life is primarily spent in freshwater</w:t>
      </w:r>
      <w:r w:rsidR="000C5432">
        <w:rPr>
          <w:rFonts w:ascii="Arial" w:hAnsi="Arial" w:cs="Arial"/>
          <w:sz w:val="22"/>
          <w:szCs w:val="22"/>
        </w:rPr>
        <w:t xml:space="preserve"> (Miles 2007).</w:t>
      </w:r>
      <w:r w:rsidR="003671F2">
        <w:rPr>
          <w:rFonts w:ascii="Arial" w:hAnsi="Arial" w:cs="Arial"/>
          <w:sz w:val="22"/>
          <w:szCs w:val="22"/>
        </w:rPr>
        <w:t xml:space="preserve"> </w:t>
      </w:r>
      <w:r w:rsidR="000C5432">
        <w:rPr>
          <w:rFonts w:ascii="Arial" w:hAnsi="Arial" w:cs="Arial"/>
          <w:sz w:val="22"/>
          <w:szCs w:val="22"/>
        </w:rPr>
        <w:t>It is thought that t</w:t>
      </w:r>
      <w:r w:rsidR="003671F2">
        <w:rPr>
          <w:rFonts w:ascii="Arial" w:hAnsi="Arial" w:cs="Arial"/>
          <w:sz w:val="22"/>
          <w:szCs w:val="22"/>
        </w:rPr>
        <w:t xml:space="preserve">he species migrates regularly in both directions between freshwater and estuarine/marine habitats (Miles 2007). </w:t>
      </w:r>
      <w:r>
        <w:rPr>
          <w:rFonts w:ascii="Arial" w:hAnsi="Arial" w:cs="Arial"/>
          <w:sz w:val="22"/>
          <w:szCs w:val="22"/>
        </w:rPr>
        <w:t>The</w:t>
      </w:r>
      <w:r w:rsidR="002E3FF4">
        <w:rPr>
          <w:rFonts w:ascii="Arial" w:hAnsi="Arial" w:cs="Arial"/>
          <w:sz w:val="22"/>
          <w:szCs w:val="22"/>
        </w:rPr>
        <w:t xml:space="preserve"> </w:t>
      </w:r>
      <w:r w:rsidR="002150F8">
        <w:rPr>
          <w:rFonts w:ascii="Arial" w:hAnsi="Arial" w:cs="Arial"/>
          <w:sz w:val="22"/>
          <w:szCs w:val="22"/>
        </w:rPr>
        <w:t>species is tolerant of water temperatures between 9 and 27°C (Allen et al., 2002).</w:t>
      </w:r>
    </w:p>
    <w:p w14:paraId="2852E843" w14:textId="77777777" w:rsidR="004A14BB" w:rsidRPr="007B1471" w:rsidRDefault="004A14BB" w:rsidP="004A14BB">
      <w:pPr>
        <w:pStyle w:val="CAminorheading"/>
        <w:spacing w:after="200" w:line="276" w:lineRule="auto"/>
      </w:pPr>
      <w:r w:rsidRPr="007B1471">
        <w:t>Cultural Significance</w:t>
      </w:r>
    </w:p>
    <w:p w14:paraId="1F430C19" w14:textId="33628A5F" w:rsidR="004A14BB" w:rsidRPr="004A14BB" w:rsidRDefault="004A14BB" w:rsidP="004A14BB">
      <w:pPr>
        <w:spacing w:after="200" w:line="276" w:lineRule="auto"/>
        <w:rPr>
          <w:rFonts w:ascii="Arial" w:hAnsi="Arial" w:cs="Arial"/>
          <w:sz w:val="22"/>
          <w:szCs w:val="22"/>
        </w:rPr>
      </w:pPr>
      <w:r w:rsidRPr="004A14BB">
        <w:rPr>
          <w:rFonts w:ascii="Arial" w:hAnsi="Arial" w:cs="Arial"/>
          <w:sz w:val="22"/>
          <w:szCs w:val="22"/>
        </w:rPr>
        <w:t>Mullet in the Mary River catchment are regarded as b</w:t>
      </w:r>
      <w:r w:rsidR="00DA5CB2">
        <w:rPr>
          <w:rFonts w:ascii="Arial" w:hAnsi="Arial" w:cs="Arial"/>
          <w:sz w:val="22"/>
          <w:szCs w:val="22"/>
        </w:rPr>
        <w:t>eing culturally significant by I</w:t>
      </w:r>
      <w:r w:rsidRPr="004A14BB">
        <w:rPr>
          <w:rFonts w:ascii="Arial" w:hAnsi="Arial" w:cs="Arial"/>
          <w:sz w:val="22"/>
          <w:szCs w:val="22"/>
        </w:rPr>
        <w:t xml:space="preserve">ndigenous groups. One elder of the </w:t>
      </w:r>
      <w:proofErr w:type="spellStart"/>
      <w:r w:rsidRPr="004A14BB">
        <w:rPr>
          <w:rFonts w:ascii="Arial" w:hAnsi="Arial" w:cs="Arial"/>
          <w:sz w:val="22"/>
          <w:szCs w:val="22"/>
        </w:rPr>
        <w:t>Kabi</w:t>
      </w:r>
      <w:proofErr w:type="spellEnd"/>
      <w:r w:rsidRPr="004A14BB">
        <w:rPr>
          <w:rFonts w:ascii="Arial" w:hAnsi="Arial" w:cs="Arial"/>
          <w:sz w:val="22"/>
          <w:szCs w:val="22"/>
        </w:rPr>
        <w:t xml:space="preserve"> </w:t>
      </w:r>
      <w:proofErr w:type="spellStart"/>
      <w:r w:rsidRPr="004A14BB">
        <w:rPr>
          <w:rFonts w:ascii="Arial" w:hAnsi="Arial" w:cs="Arial"/>
          <w:sz w:val="22"/>
          <w:szCs w:val="22"/>
        </w:rPr>
        <w:t>Kabi</w:t>
      </w:r>
      <w:proofErr w:type="spellEnd"/>
      <w:r w:rsidRPr="004A14BB">
        <w:rPr>
          <w:rFonts w:ascii="Arial" w:hAnsi="Arial" w:cs="Arial"/>
          <w:sz w:val="22"/>
          <w:szCs w:val="22"/>
        </w:rPr>
        <w:t xml:space="preserve"> group has reported that the mullet is a totem of</w:t>
      </w:r>
      <w:r>
        <w:rPr>
          <w:rFonts w:ascii="Arial" w:hAnsi="Arial" w:cs="Arial"/>
          <w:sz w:val="22"/>
          <w:szCs w:val="22"/>
        </w:rPr>
        <w:t xml:space="preserve"> the area around Gympie (Bargo</w:t>
      </w:r>
      <w:r w:rsidR="002E3FF4">
        <w:rPr>
          <w:rFonts w:ascii="Arial" w:hAnsi="Arial" w:cs="Arial"/>
          <w:sz w:val="22"/>
          <w:szCs w:val="22"/>
        </w:rPr>
        <w:t xml:space="preserve"> </w:t>
      </w:r>
      <w:r>
        <w:rPr>
          <w:rFonts w:ascii="Arial" w:hAnsi="Arial" w:cs="Arial"/>
          <w:sz w:val="22"/>
          <w:szCs w:val="22"/>
        </w:rPr>
        <w:t>pers.</w:t>
      </w:r>
      <w:r w:rsidRPr="004A14BB">
        <w:rPr>
          <w:rFonts w:ascii="Arial" w:hAnsi="Arial" w:cs="Arial"/>
          <w:sz w:val="22"/>
          <w:szCs w:val="22"/>
        </w:rPr>
        <w:t xml:space="preserve"> comm</w:t>
      </w:r>
      <w:r>
        <w:rPr>
          <w:rFonts w:ascii="Arial" w:hAnsi="Arial" w:cs="Arial"/>
          <w:sz w:val="22"/>
          <w:szCs w:val="22"/>
        </w:rPr>
        <w:t>., 2012</w:t>
      </w:r>
      <w:r w:rsidRPr="004A14BB">
        <w:rPr>
          <w:rFonts w:ascii="Arial" w:hAnsi="Arial" w:cs="Arial"/>
          <w:sz w:val="22"/>
          <w:szCs w:val="22"/>
        </w:rPr>
        <w:t>).</w:t>
      </w:r>
    </w:p>
    <w:p w14:paraId="71590D5F" w14:textId="77777777" w:rsidR="00424584" w:rsidRPr="007D7E49" w:rsidRDefault="007D7E49" w:rsidP="00167800">
      <w:pPr>
        <w:pStyle w:val="CAminorheading"/>
        <w:spacing w:after="200" w:line="276" w:lineRule="auto"/>
      </w:pPr>
      <w:r w:rsidRPr="007D7E49">
        <w:t>Relevant Biology/Ecology</w:t>
      </w:r>
    </w:p>
    <w:p w14:paraId="600CA103" w14:textId="6C72E02D" w:rsidR="00E569D8" w:rsidRDefault="00521750" w:rsidP="00167800">
      <w:pPr>
        <w:pStyle w:val="Normal12pt"/>
        <w:spacing w:after="200" w:line="276" w:lineRule="auto"/>
        <w:rPr>
          <w:rFonts w:ascii="Arial" w:hAnsi="Arial" w:cs="Arial"/>
          <w:sz w:val="22"/>
          <w:szCs w:val="22"/>
        </w:rPr>
      </w:pPr>
      <w:r>
        <w:rPr>
          <w:rFonts w:ascii="Arial" w:hAnsi="Arial" w:cs="Arial"/>
          <w:sz w:val="22"/>
          <w:szCs w:val="22"/>
        </w:rPr>
        <w:t>While it was previously assumed that p</w:t>
      </w:r>
      <w:r w:rsidR="00B13119">
        <w:rPr>
          <w:rFonts w:ascii="Arial" w:hAnsi="Arial" w:cs="Arial"/>
          <w:sz w:val="22"/>
          <w:szCs w:val="22"/>
        </w:rPr>
        <w:t>inkeye mullet spawn mostly during February in estuaries and the sea (Thomson</w:t>
      </w:r>
      <w:r w:rsidR="002E3FF4">
        <w:rPr>
          <w:rFonts w:ascii="Arial" w:hAnsi="Arial" w:cs="Arial"/>
          <w:sz w:val="22"/>
          <w:szCs w:val="22"/>
        </w:rPr>
        <w:t xml:space="preserve"> </w:t>
      </w:r>
      <w:r w:rsidR="00B13119">
        <w:rPr>
          <w:rFonts w:ascii="Arial" w:hAnsi="Arial" w:cs="Arial"/>
          <w:sz w:val="22"/>
          <w:szCs w:val="22"/>
        </w:rPr>
        <w:t>1996; Allen et al., 2002)</w:t>
      </w:r>
      <w:r w:rsidR="003C10E8">
        <w:rPr>
          <w:rFonts w:ascii="Arial" w:hAnsi="Arial" w:cs="Arial"/>
          <w:sz w:val="22"/>
          <w:szCs w:val="22"/>
        </w:rPr>
        <w:t>,</w:t>
      </w:r>
      <w:r>
        <w:rPr>
          <w:rFonts w:ascii="Arial" w:hAnsi="Arial" w:cs="Arial"/>
          <w:sz w:val="22"/>
          <w:szCs w:val="22"/>
        </w:rPr>
        <w:t xml:space="preserve"> studies on otolith chemistry indicate an amphidromous life cycle where spawning occurs in freshwater and larvae move to estuarine and marine environments to develop before moving back to the freshwater as adults (Miles et al., 2009)</w:t>
      </w:r>
      <w:r w:rsidR="00B13119">
        <w:rPr>
          <w:rFonts w:ascii="Arial" w:hAnsi="Arial" w:cs="Arial"/>
          <w:sz w:val="22"/>
          <w:szCs w:val="22"/>
        </w:rPr>
        <w:t xml:space="preserve">. The species appears to reach maturity at four years with fecundity very high, with larger females producing between </w:t>
      </w:r>
      <w:r w:rsidR="00ED1006">
        <w:rPr>
          <w:rFonts w:ascii="Arial" w:hAnsi="Arial" w:cs="Arial"/>
          <w:sz w:val="22"/>
          <w:szCs w:val="22"/>
        </w:rPr>
        <w:t>1 000 000 – 3 000 000</w:t>
      </w:r>
      <w:r w:rsidR="00B13119">
        <w:rPr>
          <w:rFonts w:ascii="Arial" w:hAnsi="Arial" w:cs="Arial"/>
          <w:sz w:val="22"/>
          <w:szCs w:val="22"/>
        </w:rPr>
        <w:t xml:space="preserve"> eggs </w:t>
      </w:r>
      <w:r w:rsidR="00711038">
        <w:rPr>
          <w:rFonts w:ascii="Arial" w:hAnsi="Arial" w:cs="Arial"/>
          <w:sz w:val="22"/>
          <w:szCs w:val="22"/>
        </w:rPr>
        <w:t>(Thomson 1996; Allen et</w:t>
      </w:r>
      <w:r w:rsidR="00A31AD9">
        <w:rPr>
          <w:rFonts w:ascii="Arial" w:hAnsi="Arial" w:cs="Arial"/>
          <w:sz w:val="22"/>
          <w:szCs w:val="22"/>
        </w:rPr>
        <w:t> </w:t>
      </w:r>
      <w:r w:rsidR="00711038">
        <w:rPr>
          <w:rFonts w:ascii="Arial" w:hAnsi="Arial" w:cs="Arial"/>
          <w:sz w:val="22"/>
          <w:szCs w:val="22"/>
        </w:rPr>
        <w:t xml:space="preserve">al., 2002). </w:t>
      </w:r>
      <w:r w:rsidR="004F2459">
        <w:rPr>
          <w:rFonts w:ascii="Arial" w:hAnsi="Arial" w:cs="Arial"/>
          <w:sz w:val="22"/>
          <w:szCs w:val="22"/>
        </w:rPr>
        <w:t>Maximum life span is approximatel</w:t>
      </w:r>
      <w:r w:rsidR="002E3FF4">
        <w:rPr>
          <w:rFonts w:ascii="Arial" w:hAnsi="Arial" w:cs="Arial"/>
          <w:sz w:val="22"/>
          <w:szCs w:val="22"/>
        </w:rPr>
        <w:t xml:space="preserve">y 14 </w:t>
      </w:r>
      <w:r w:rsidR="00E569D8">
        <w:rPr>
          <w:rFonts w:ascii="Arial" w:hAnsi="Arial" w:cs="Arial"/>
          <w:sz w:val="22"/>
          <w:szCs w:val="22"/>
        </w:rPr>
        <w:t>years (Allen et al., 2002). Based on these estimates, generation length is estimated to be nine years.</w:t>
      </w:r>
    </w:p>
    <w:p w14:paraId="5925C7CD" w14:textId="0B8F7998" w:rsidR="008E02CE" w:rsidRDefault="00CD3A02" w:rsidP="00167800">
      <w:pPr>
        <w:pStyle w:val="Normal12pt"/>
        <w:spacing w:after="200" w:line="276" w:lineRule="auto"/>
        <w:rPr>
          <w:rFonts w:ascii="Arial" w:hAnsi="Arial" w:cs="Arial"/>
          <w:sz w:val="22"/>
          <w:szCs w:val="22"/>
        </w:rPr>
      </w:pPr>
      <w:r>
        <w:rPr>
          <w:rFonts w:ascii="Arial" w:hAnsi="Arial" w:cs="Arial"/>
          <w:sz w:val="22"/>
          <w:szCs w:val="22"/>
        </w:rPr>
        <w:t>Pinkeye mullet feed on microscopic algae and other plant material, detritus and benthic invertebrates (Allen et</w:t>
      </w:r>
      <w:r w:rsidR="008836EE">
        <w:rPr>
          <w:rFonts w:ascii="Arial" w:hAnsi="Arial" w:cs="Arial"/>
          <w:sz w:val="22"/>
          <w:szCs w:val="22"/>
        </w:rPr>
        <w:t> </w:t>
      </w:r>
      <w:r>
        <w:rPr>
          <w:rFonts w:ascii="Arial" w:hAnsi="Arial" w:cs="Arial"/>
          <w:sz w:val="22"/>
          <w:szCs w:val="22"/>
        </w:rPr>
        <w:t>al., 2002).</w:t>
      </w:r>
    </w:p>
    <w:p w14:paraId="71590D61" w14:textId="77777777" w:rsidR="00C90335" w:rsidRPr="007D7E49" w:rsidRDefault="00C90335" w:rsidP="00167800">
      <w:pPr>
        <w:pStyle w:val="CAIntextheading1"/>
        <w:spacing w:after="200" w:line="276" w:lineRule="auto"/>
      </w:pPr>
      <w:r w:rsidRPr="007D7E49">
        <w:t>Threats</w:t>
      </w:r>
    </w:p>
    <w:p w14:paraId="45AC11E1" w14:textId="456BE6F4" w:rsidR="00A210E1" w:rsidRPr="00A210E1" w:rsidRDefault="00A11777" w:rsidP="00167800">
      <w:pPr>
        <w:spacing w:after="200" w:line="276" w:lineRule="auto"/>
        <w:rPr>
          <w:rFonts w:ascii="Arial" w:hAnsi="Arial" w:cs="Arial"/>
          <w:sz w:val="22"/>
          <w:szCs w:val="22"/>
        </w:rPr>
      </w:pPr>
      <w:r>
        <w:rPr>
          <w:rFonts w:ascii="Arial" w:hAnsi="Arial" w:cs="Arial"/>
          <w:sz w:val="22"/>
          <w:szCs w:val="22"/>
        </w:rPr>
        <w:t>There has been little directed research into the threats impacting upon pinkeye</w:t>
      </w:r>
      <w:r w:rsidR="002E3FF4">
        <w:rPr>
          <w:rFonts w:ascii="Arial" w:hAnsi="Arial" w:cs="Arial"/>
          <w:sz w:val="22"/>
          <w:szCs w:val="22"/>
        </w:rPr>
        <w:t xml:space="preserve"> </w:t>
      </w:r>
      <w:r>
        <w:rPr>
          <w:rFonts w:ascii="Arial" w:hAnsi="Arial" w:cs="Arial"/>
          <w:sz w:val="22"/>
          <w:szCs w:val="22"/>
        </w:rPr>
        <w:t>mullet. There are indications that riparian</w:t>
      </w:r>
      <w:r w:rsidR="00471D4F">
        <w:rPr>
          <w:rFonts w:ascii="Arial" w:hAnsi="Arial" w:cs="Arial"/>
          <w:sz w:val="22"/>
          <w:szCs w:val="22"/>
        </w:rPr>
        <w:t xml:space="preserve"> vegetation</w:t>
      </w:r>
      <w:r>
        <w:rPr>
          <w:rFonts w:ascii="Arial" w:hAnsi="Arial" w:cs="Arial"/>
          <w:sz w:val="22"/>
          <w:szCs w:val="22"/>
        </w:rPr>
        <w:t xml:space="preserve"> degradation has “significantly” decreased abund</w:t>
      </w:r>
      <w:r w:rsidR="008836EE">
        <w:rPr>
          <w:rFonts w:ascii="Arial" w:hAnsi="Arial" w:cs="Arial"/>
          <w:sz w:val="22"/>
          <w:szCs w:val="22"/>
        </w:rPr>
        <w:t>ances of the species (</w:t>
      </w:r>
      <w:proofErr w:type="spellStart"/>
      <w:r w:rsidR="008836EE">
        <w:rPr>
          <w:rFonts w:ascii="Arial" w:hAnsi="Arial" w:cs="Arial"/>
          <w:sz w:val="22"/>
          <w:szCs w:val="22"/>
        </w:rPr>
        <w:t>Growns</w:t>
      </w:r>
      <w:proofErr w:type="spellEnd"/>
      <w:r w:rsidR="008836EE">
        <w:rPr>
          <w:rFonts w:ascii="Arial" w:hAnsi="Arial" w:cs="Arial"/>
          <w:sz w:val="22"/>
          <w:szCs w:val="22"/>
        </w:rPr>
        <w:t xml:space="preserve"> et </w:t>
      </w:r>
      <w:r>
        <w:rPr>
          <w:rFonts w:ascii="Arial" w:hAnsi="Arial" w:cs="Arial"/>
          <w:sz w:val="22"/>
          <w:szCs w:val="22"/>
        </w:rPr>
        <w:t>al., 1998).</w:t>
      </w:r>
      <w:r w:rsidR="00D32CC5">
        <w:rPr>
          <w:rFonts w:ascii="Arial" w:hAnsi="Arial" w:cs="Arial"/>
          <w:sz w:val="22"/>
          <w:szCs w:val="22"/>
        </w:rPr>
        <w:t xml:space="preserve"> </w:t>
      </w:r>
      <w:r w:rsidR="002D094D">
        <w:rPr>
          <w:rFonts w:ascii="Arial" w:hAnsi="Arial" w:cs="Arial"/>
          <w:sz w:val="22"/>
          <w:szCs w:val="22"/>
        </w:rPr>
        <w:t xml:space="preserve">It is uncertain what </w:t>
      </w:r>
      <w:r w:rsidR="000D11B8">
        <w:rPr>
          <w:rFonts w:ascii="Arial" w:hAnsi="Arial" w:cs="Arial"/>
          <w:sz w:val="22"/>
          <w:szCs w:val="22"/>
        </w:rPr>
        <w:t xml:space="preserve">level other threats </w:t>
      </w:r>
      <w:r w:rsidR="002D094D">
        <w:rPr>
          <w:rFonts w:ascii="Arial" w:hAnsi="Arial" w:cs="Arial"/>
          <w:sz w:val="22"/>
          <w:szCs w:val="22"/>
        </w:rPr>
        <w:t xml:space="preserve">are </w:t>
      </w:r>
      <w:r w:rsidR="000D11B8">
        <w:rPr>
          <w:rFonts w:ascii="Arial" w:hAnsi="Arial" w:cs="Arial"/>
          <w:sz w:val="22"/>
          <w:szCs w:val="22"/>
        </w:rPr>
        <w:t>impacting on the species.</w:t>
      </w:r>
    </w:p>
    <w:p w14:paraId="71590D67" w14:textId="1CB891B6" w:rsidR="00C90335" w:rsidRDefault="00C90335" w:rsidP="00167800">
      <w:pPr>
        <w:keepNext/>
        <w:spacing w:after="200" w:line="276" w:lineRule="auto"/>
        <w:rPr>
          <w:rFonts w:ascii="Arial" w:hAnsi="Arial" w:cs="Arial"/>
          <w:sz w:val="22"/>
          <w:szCs w:val="22"/>
        </w:rPr>
      </w:pPr>
      <w:r w:rsidRPr="004023AD">
        <w:rPr>
          <w:rFonts w:ascii="Arial" w:hAnsi="Arial" w:cs="Arial"/>
          <w:sz w:val="22"/>
          <w:szCs w:val="22"/>
        </w:rPr>
        <w:t xml:space="preserve">Table 1 </w:t>
      </w:r>
      <w:r>
        <w:rPr>
          <w:rFonts w:ascii="Arial" w:hAnsi="Arial" w:cs="Arial"/>
          <w:sz w:val="22"/>
          <w:szCs w:val="22"/>
        </w:rPr>
        <w:t>–</w:t>
      </w:r>
      <w:r w:rsidRPr="004023AD">
        <w:rPr>
          <w:rFonts w:ascii="Arial" w:hAnsi="Arial" w:cs="Arial"/>
          <w:sz w:val="22"/>
          <w:szCs w:val="22"/>
        </w:rPr>
        <w:t xml:space="preserve"> </w:t>
      </w:r>
      <w:r w:rsidR="00B91D83" w:rsidRPr="004023AD">
        <w:rPr>
          <w:rFonts w:ascii="Arial" w:hAnsi="Arial" w:cs="Arial"/>
          <w:sz w:val="22"/>
          <w:szCs w:val="22"/>
        </w:rPr>
        <w:t>Threats</w:t>
      </w:r>
      <w:r w:rsidR="00B91D83" w:rsidRPr="008837E3">
        <w:rPr>
          <w:rFonts w:ascii="Arial" w:hAnsi="Arial" w:cs="Arial"/>
          <w:sz w:val="22"/>
          <w:szCs w:val="22"/>
        </w:rPr>
        <w:t xml:space="preserve"> impacting the </w:t>
      </w:r>
      <w:r w:rsidR="0078699D">
        <w:rPr>
          <w:rFonts w:ascii="Arial" w:hAnsi="Arial" w:cs="Arial"/>
          <w:sz w:val="22"/>
          <w:szCs w:val="22"/>
        </w:rPr>
        <w:t>pinkeye mullet</w:t>
      </w:r>
      <w:r w:rsidR="00B91D83" w:rsidRPr="008837E3">
        <w:rPr>
          <w:rFonts w:ascii="Arial" w:hAnsi="Arial" w:cs="Arial"/>
          <w:sz w:val="22"/>
          <w:szCs w:val="22"/>
        </w:rPr>
        <w:t xml:space="preserve"> in approximate order of severity of risk, based on available evidence</w:t>
      </w:r>
      <w:r w:rsidR="00052026">
        <w:rPr>
          <w:rFonts w:ascii="Arial" w:hAnsi="Arial" w:cs="Arial"/>
          <w:sz w:val="22"/>
          <w:szCs w:val="22"/>
        </w:rPr>
        <w:t>.</w:t>
      </w:r>
    </w:p>
    <w:tbl>
      <w:tblPr>
        <w:tblStyle w:val="TableGrid"/>
        <w:tblW w:w="0" w:type="auto"/>
        <w:tblCellMar>
          <w:top w:w="57" w:type="dxa"/>
          <w:bottom w:w="57" w:type="dxa"/>
        </w:tblCellMar>
        <w:tblLook w:val="04A0" w:firstRow="1" w:lastRow="0" w:firstColumn="1" w:lastColumn="0" w:noHBand="0" w:noVBand="1"/>
      </w:tblPr>
      <w:tblGrid>
        <w:gridCol w:w="1562"/>
        <w:gridCol w:w="1276"/>
        <w:gridCol w:w="6342"/>
      </w:tblGrid>
      <w:tr w:rsidR="003F282F" w:rsidRPr="000C0480" w14:paraId="21E5663B" w14:textId="77777777" w:rsidTr="00790302">
        <w:trPr>
          <w:trHeight w:val="524"/>
        </w:trPr>
        <w:tc>
          <w:tcPr>
            <w:tcW w:w="1562" w:type="dxa"/>
            <w:shd w:val="clear" w:color="auto" w:fill="D9D9D9" w:themeFill="background1" w:themeFillShade="D9"/>
          </w:tcPr>
          <w:p w14:paraId="68554BEC" w14:textId="77777777" w:rsidR="003F282F" w:rsidRPr="000C0480" w:rsidRDefault="003F282F" w:rsidP="00167800">
            <w:pPr>
              <w:spacing w:after="200" w:line="276" w:lineRule="auto"/>
              <w:rPr>
                <w:rFonts w:ascii="Arial" w:hAnsi="Arial" w:cs="Arial"/>
                <w:b/>
                <w:sz w:val="22"/>
                <w:szCs w:val="22"/>
              </w:rPr>
            </w:pPr>
            <w:r w:rsidRPr="000C0480">
              <w:rPr>
                <w:rFonts w:ascii="Arial" w:hAnsi="Arial" w:cs="Arial"/>
                <w:b/>
                <w:sz w:val="22"/>
                <w:szCs w:val="22"/>
              </w:rPr>
              <w:t>Threat factor</w:t>
            </w:r>
          </w:p>
        </w:tc>
        <w:tc>
          <w:tcPr>
            <w:tcW w:w="1276" w:type="dxa"/>
            <w:shd w:val="clear" w:color="auto" w:fill="D9D9D9" w:themeFill="background1" w:themeFillShade="D9"/>
          </w:tcPr>
          <w:p w14:paraId="2B4E8FFA" w14:textId="77777777" w:rsidR="003F282F" w:rsidRPr="000C0480" w:rsidRDefault="003F282F" w:rsidP="00167800">
            <w:pPr>
              <w:spacing w:after="200" w:line="276" w:lineRule="auto"/>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6342" w:type="dxa"/>
            <w:shd w:val="clear" w:color="auto" w:fill="D9D9D9" w:themeFill="background1" w:themeFillShade="D9"/>
          </w:tcPr>
          <w:p w14:paraId="7FF62B3B" w14:textId="77777777" w:rsidR="003F282F" w:rsidRPr="000C0480" w:rsidRDefault="003F282F" w:rsidP="00167800">
            <w:pPr>
              <w:spacing w:after="200" w:line="276" w:lineRule="auto"/>
              <w:rPr>
                <w:rFonts w:ascii="Arial" w:hAnsi="Arial" w:cs="Arial"/>
                <w:b/>
                <w:sz w:val="22"/>
                <w:szCs w:val="22"/>
              </w:rPr>
            </w:pPr>
            <w:r w:rsidRPr="000C0480">
              <w:rPr>
                <w:rFonts w:ascii="Arial" w:hAnsi="Arial" w:cs="Arial"/>
                <w:b/>
                <w:sz w:val="22"/>
                <w:szCs w:val="22"/>
              </w:rPr>
              <w:t>Evidence base</w:t>
            </w:r>
          </w:p>
        </w:tc>
      </w:tr>
      <w:tr w:rsidR="003F282F" w14:paraId="37F573CD" w14:textId="77777777" w:rsidTr="00790302">
        <w:tc>
          <w:tcPr>
            <w:tcW w:w="9180" w:type="dxa"/>
            <w:gridSpan w:val="3"/>
          </w:tcPr>
          <w:p w14:paraId="788F9935" w14:textId="1641E07B" w:rsidR="003F282F" w:rsidRPr="0078699D" w:rsidRDefault="003F282F" w:rsidP="007854E8">
            <w:pPr>
              <w:spacing w:after="200" w:line="276" w:lineRule="auto"/>
              <w:rPr>
                <w:rFonts w:ascii="Arial" w:hAnsi="Arial" w:cs="Arial"/>
                <w:sz w:val="22"/>
                <w:szCs w:val="22"/>
              </w:rPr>
            </w:pPr>
            <w:r w:rsidRPr="0078699D">
              <w:rPr>
                <w:rFonts w:ascii="Arial" w:hAnsi="Arial" w:cs="Arial"/>
                <w:sz w:val="22"/>
                <w:szCs w:val="22"/>
              </w:rPr>
              <w:t xml:space="preserve">Habitat </w:t>
            </w:r>
            <w:r w:rsidR="007854E8">
              <w:rPr>
                <w:rFonts w:ascii="Arial" w:hAnsi="Arial" w:cs="Arial"/>
                <w:sz w:val="22"/>
                <w:szCs w:val="22"/>
              </w:rPr>
              <w:t>loss, disturbance and modification</w:t>
            </w:r>
          </w:p>
        </w:tc>
      </w:tr>
      <w:tr w:rsidR="00665270" w14:paraId="6E3F7FD2" w14:textId="77777777" w:rsidTr="003335A2">
        <w:tc>
          <w:tcPr>
            <w:tcW w:w="1562" w:type="dxa"/>
          </w:tcPr>
          <w:p w14:paraId="1F2A4D1E" w14:textId="77777777" w:rsidR="00665270" w:rsidRDefault="00665270" w:rsidP="003335A2">
            <w:pPr>
              <w:spacing w:after="200" w:line="276" w:lineRule="auto"/>
              <w:rPr>
                <w:rFonts w:ascii="Arial" w:hAnsi="Arial" w:cs="Arial"/>
                <w:sz w:val="22"/>
                <w:szCs w:val="22"/>
              </w:rPr>
            </w:pPr>
            <w:r>
              <w:rPr>
                <w:rFonts w:ascii="Arial" w:hAnsi="Arial" w:cs="Arial"/>
                <w:sz w:val="22"/>
                <w:szCs w:val="22"/>
              </w:rPr>
              <w:t>Riparian vegetation degradation</w:t>
            </w:r>
          </w:p>
        </w:tc>
        <w:tc>
          <w:tcPr>
            <w:tcW w:w="1276" w:type="dxa"/>
          </w:tcPr>
          <w:p w14:paraId="7C48B0CB" w14:textId="71F71330" w:rsidR="00665270" w:rsidRDefault="00665270" w:rsidP="003335A2">
            <w:pPr>
              <w:spacing w:after="200" w:line="276" w:lineRule="auto"/>
              <w:rPr>
                <w:rFonts w:ascii="Arial" w:hAnsi="Arial" w:cs="Arial"/>
                <w:sz w:val="22"/>
                <w:szCs w:val="22"/>
              </w:rPr>
            </w:pPr>
            <w:r w:rsidRPr="00665270">
              <w:rPr>
                <w:rFonts w:ascii="Arial" w:hAnsi="Arial" w:cs="Arial"/>
                <w:sz w:val="22"/>
                <w:szCs w:val="22"/>
              </w:rPr>
              <w:t xml:space="preserve">known </w:t>
            </w:r>
            <w:r w:rsidR="00C75D91">
              <w:rPr>
                <w:rFonts w:ascii="Arial" w:hAnsi="Arial" w:cs="Arial"/>
                <w:sz w:val="22"/>
                <w:szCs w:val="22"/>
              </w:rPr>
              <w:t xml:space="preserve">past, </w:t>
            </w:r>
            <w:r w:rsidRPr="00665270">
              <w:rPr>
                <w:rFonts w:ascii="Arial" w:hAnsi="Arial" w:cs="Arial"/>
                <w:sz w:val="22"/>
                <w:szCs w:val="22"/>
              </w:rPr>
              <w:t>current</w:t>
            </w:r>
          </w:p>
          <w:p w14:paraId="34DD43A7" w14:textId="2EA80F46" w:rsidR="0087322D" w:rsidRPr="00665270" w:rsidRDefault="0087322D" w:rsidP="003335A2">
            <w:pPr>
              <w:spacing w:after="200" w:line="276" w:lineRule="auto"/>
              <w:rPr>
                <w:rFonts w:ascii="Arial" w:hAnsi="Arial" w:cs="Arial"/>
                <w:sz w:val="22"/>
                <w:szCs w:val="22"/>
              </w:rPr>
            </w:pPr>
            <w:r>
              <w:rPr>
                <w:rFonts w:ascii="Arial" w:hAnsi="Arial" w:cs="Arial"/>
                <w:sz w:val="22"/>
                <w:szCs w:val="22"/>
              </w:rPr>
              <w:t>suspected future</w:t>
            </w:r>
          </w:p>
        </w:tc>
        <w:tc>
          <w:tcPr>
            <w:tcW w:w="6342" w:type="dxa"/>
          </w:tcPr>
          <w:p w14:paraId="277929A6" w14:textId="6FB654BF" w:rsidR="00665270" w:rsidRPr="00471D4F" w:rsidRDefault="00665270" w:rsidP="00AB5A85">
            <w:pPr>
              <w:spacing w:after="200" w:line="276" w:lineRule="auto"/>
              <w:rPr>
                <w:rFonts w:ascii="Arial" w:hAnsi="Arial" w:cs="Arial"/>
                <w:sz w:val="22"/>
                <w:szCs w:val="22"/>
              </w:rPr>
            </w:pPr>
            <w:r w:rsidRPr="00471D4F">
              <w:rPr>
                <w:rFonts w:ascii="Arial" w:hAnsi="Arial" w:cs="Arial"/>
                <w:sz w:val="22"/>
                <w:szCs w:val="22"/>
              </w:rPr>
              <w:t>A st</w:t>
            </w:r>
            <w:r>
              <w:rPr>
                <w:rFonts w:ascii="Arial" w:hAnsi="Arial" w:cs="Arial"/>
                <w:sz w:val="22"/>
                <w:szCs w:val="22"/>
              </w:rPr>
              <w:t>udy of fish assemblages in two reaches of the Hawkesbury-Nepean river system in New South Wales found that pinkeye mullet abundances were affected by riparian vegetation degradation (</w:t>
            </w:r>
            <w:proofErr w:type="spellStart"/>
            <w:r>
              <w:rPr>
                <w:rFonts w:ascii="Arial" w:hAnsi="Arial" w:cs="Arial"/>
                <w:sz w:val="22"/>
                <w:szCs w:val="22"/>
              </w:rPr>
              <w:t>Growns</w:t>
            </w:r>
            <w:proofErr w:type="spellEnd"/>
            <w:r>
              <w:rPr>
                <w:rFonts w:ascii="Arial" w:hAnsi="Arial" w:cs="Arial"/>
                <w:sz w:val="22"/>
                <w:szCs w:val="22"/>
              </w:rPr>
              <w:t xml:space="preserve"> et al., 1998). The mean abundance of the species was higher near vegetated banks than along degraded banks in both river reaches (</w:t>
            </w:r>
            <w:proofErr w:type="spellStart"/>
            <w:r>
              <w:rPr>
                <w:rFonts w:ascii="Arial" w:hAnsi="Arial" w:cs="Arial"/>
                <w:sz w:val="22"/>
                <w:szCs w:val="22"/>
              </w:rPr>
              <w:t>Growns</w:t>
            </w:r>
            <w:proofErr w:type="spellEnd"/>
            <w:r>
              <w:rPr>
                <w:rFonts w:ascii="Arial" w:hAnsi="Arial" w:cs="Arial"/>
                <w:sz w:val="22"/>
                <w:szCs w:val="22"/>
              </w:rPr>
              <w:t xml:space="preserve"> et al., 1998).</w:t>
            </w:r>
          </w:p>
        </w:tc>
      </w:tr>
      <w:tr w:rsidR="003F282F" w14:paraId="2E274CBF" w14:textId="77777777" w:rsidTr="00790302">
        <w:tc>
          <w:tcPr>
            <w:tcW w:w="1562" w:type="dxa"/>
          </w:tcPr>
          <w:p w14:paraId="5E684887" w14:textId="29056DD7" w:rsidR="003F282F" w:rsidRPr="00CA566E" w:rsidRDefault="00B815D3" w:rsidP="003335A2">
            <w:pPr>
              <w:spacing w:after="200" w:line="276" w:lineRule="auto"/>
              <w:rPr>
                <w:rFonts w:ascii="Arial" w:hAnsi="Arial" w:cs="Arial"/>
                <w:sz w:val="22"/>
                <w:szCs w:val="22"/>
              </w:rPr>
            </w:pPr>
            <w:r>
              <w:rPr>
                <w:rFonts w:ascii="Arial" w:hAnsi="Arial" w:cs="Arial"/>
                <w:sz w:val="22"/>
                <w:szCs w:val="22"/>
              </w:rPr>
              <w:t>Barriers to movement</w:t>
            </w:r>
          </w:p>
        </w:tc>
        <w:tc>
          <w:tcPr>
            <w:tcW w:w="1276" w:type="dxa"/>
          </w:tcPr>
          <w:p w14:paraId="61B340B4" w14:textId="6A37DDE6" w:rsidR="003F282F" w:rsidRPr="0087322D" w:rsidRDefault="0087322D" w:rsidP="00167800">
            <w:pPr>
              <w:spacing w:after="200" w:line="276" w:lineRule="auto"/>
              <w:rPr>
                <w:rFonts w:ascii="Arial" w:hAnsi="Arial" w:cs="Arial"/>
                <w:sz w:val="22"/>
                <w:szCs w:val="22"/>
              </w:rPr>
            </w:pPr>
            <w:r w:rsidRPr="0087322D">
              <w:rPr>
                <w:rFonts w:ascii="Arial" w:hAnsi="Arial" w:cs="Arial"/>
                <w:sz w:val="22"/>
                <w:szCs w:val="22"/>
              </w:rPr>
              <w:t>suspected past, current, future</w:t>
            </w:r>
          </w:p>
        </w:tc>
        <w:tc>
          <w:tcPr>
            <w:tcW w:w="6342" w:type="dxa"/>
          </w:tcPr>
          <w:p w14:paraId="0DFD817F" w14:textId="3E341C32" w:rsidR="003F282F" w:rsidRDefault="00B815D3" w:rsidP="00017E7B">
            <w:pPr>
              <w:spacing w:after="200" w:line="276" w:lineRule="auto"/>
              <w:rPr>
                <w:rFonts w:ascii="Arial" w:hAnsi="Arial" w:cs="Arial"/>
                <w:sz w:val="22"/>
                <w:szCs w:val="22"/>
              </w:rPr>
            </w:pPr>
            <w:r>
              <w:rPr>
                <w:rFonts w:ascii="Arial" w:hAnsi="Arial" w:cs="Arial"/>
                <w:sz w:val="22"/>
                <w:szCs w:val="22"/>
              </w:rPr>
              <w:t>Ensuring that pinkeye mullet have access to both freshwater and estuar</w:t>
            </w:r>
            <w:r w:rsidR="00FA7F9A">
              <w:rPr>
                <w:rFonts w:ascii="Arial" w:hAnsi="Arial" w:cs="Arial"/>
                <w:sz w:val="22"/>
                <w:szCs w:val="22"/>
              </w:rPr>
              <w:t>ine habitats is important (Anon</w:t>
            </w:r>
            <w:r>
              <w:rPr>
                <w:rFonts w:ascii="Arial" w:hAnsi="Arial" w:cs="Arial"/>
                <w:sz w:val="22"/>
                <w:szCs w:val="22"/>
              </w:rPr>
              <w:t xml:space="preserve"> 2014). </w:t>
            </w:r>
            <w:r w:rsidR="005A184A">
              <w:rPr>
                <w:rFonts w:ascii="Arial" w:hAnsi="Arial" w:cs="Arial"/>
                <w:sz w:val="22"/>
                <w:szCs w:val="22"/>
              </w:rPr>
              <w:t xml:space="preserve">Pinkeye mullet appear not to migrate via the ocean unlike sea mullet, and </w:t>
            </w:r>
            <w:r w:rsidR="00AD7220">
              <w:rPr>
                <w:rFonts w:ascii="Arial" w:hAnsi="Arial" w:cs="Arial"/>
                <w:sz w:val="22"/>
                <w:szCs w:val="22"/>
              </w:rPr>
              <w:t xml:space="preserve">it </w:t>
            </w:r>
            <w:r w:rsidR="005A184A">
              <w:rPr>
                <w:rFonts w:ascii="Arial" w:hAnsi="Arial" w:cs="Arial"/>
                <w:sz w:val="22"/>
                <w:szCs w:val="22"/>
              </w:rPr>
              <w:t>appear</w:t>
            </w:r>
            <w:r w:rsidR="00AD7220">
              <w:rPr>
                <w:rFonts w:ascii="Arial" w:hAnsi="Arial" w:cs="Arial"/>
                <w:sz w:val="22"/>
                <w:szCs w:val="22"/>
              </w:rPr>
              <w:t>s</w:t>
            </w:r>
            <w:r w:rsidR="005A184A">
              <w:rPr>
                <w:rFonts w:ascii="Arial" w:hAnsi="Arial" w:cs="Arial"/>
                <w:sz w:val="22"/>
                <w:szCs w:val="22"/>
              </w:rPr>
              <w:t xml:space="preserve"> that they cannot recolonise river systems once local extinctions occur (An</w:t>
            </w:r>
            <w:r w:rsidR="00FA7F9A">
              <w:rPr>
                <w:rFonts w:ascii="Arial" w:hAnsi="Arial" w:cs="Arial"/>
                <w:sz w:val="22"/>
                <w:szCs w:val="22"/>
              </w:rPr>
              <w:t>on</w:t>
            </w:r>
            <w:r w:rsidR="00543B18">
              <w:rPr>
                <w:rFonts w:ascii="Arial" w:hAnsi="Arial" w:cs="Arial"/>
                <w:sz w:val="22"/>
                <w:szCs w:val="22"/>
              </w:rPr>
              <w:t xml:space="preserve"> 2014). </w:t>
            </w:r>
            <w:r w:rsidR="00F51DB5">
              <w:rPr>
                <w:rFonts w:ascii="Arial" w:hAnsi="Arial" w:cs="Arial"/>
                <w:sz w:val="22"/>
                <w:szCs w:val="22"/>
              </w:rPr>
              <w:t xml:space="preserve">In the Burnett River, </w:t>
            </w:r>
            <w:r w:rsidR="00A76BA9">
              <w:rPr>
                <w:rFonts w:ascii="Arial" w:hAnsi="Arial" w:cs="Arial"/>
                <w:sz w:val="22"/>
                <w:szCs w:val="22"/>
              </w:rPr>
              <w:t xml:space="preserve">the Ben Anderson Barrage is a 4m high </w:t>
            </w:r>
            <w:r w:rsidR="005F03DC">
              <w:rPr>
                <w:rFonts w:ascii="Arial" w:hAnsi="Arial" w:cs="Arial"/>
                <w:sz w:val="22"/>
                <w:szCs w:val="22"/>
              </w:rPr>
              <w:t>tidal barrier dividing fresh and estuarine waters</w:t>
            </w:r>
            <w:r w:rsidR="00A76BA9">
              <w:rPr>
                <w:rFonts w:ascii="Arial" w:hAnsi="Arial" w:cs="Arial"/>
                <w:sz w:val="22"/>
                <w:szCs w:val="22"/>
              </w:rPr>
              <w:t xml:space="preserve">. At the time of construction </w:t>
            </w:r>
            <w:r w:rsidR="005F03DC">
              <w:rPr>
                <w:rFonts w:ascii="Arial" w:hAnsi="Arial" w:cs="Arial"/>
                <w:sz w:val="22"/>
                <w:szCs w:val="22"/>
              </w:rPr>
              <w:t>in 1974</w:t>
            </w:r>
            <w:r w:rsidR="00A76BA9">
              <w:rPr>
                <w:rFonts w:ascii="Arial" w:hAnsi="Arial" w:cs="Arial"/>
                <w:sz w:val="22"/>
                <w:szCs w:val="22"/>
              </w:rPr>
              <w:t xml:space="preserve"> it </w:t>
            </w:r>
            <w:r w:rsidR="005F03DC">
              <w:rPr>
                <w:rFonts w:ascii="Arial" w:hAnsi="Arial" w:cs="Arial"/>
                <w:sz w:val="22"/>
                <w:szCs w:val="22"/>
              </w:rPr>
              <w:t xml:space="preserve">had a pool-and-weir </w:t>
            </w:r>
            <w:proofErr w:type="spellStart"/>
            <w:r w:rsidR="005F03DC">
              <w:rPr>
                <w:rFonts w:ascii="Arial" w:hAnsi="Arial" w:cs="Arial"/>
                <w:sz w:val="22"/>
                <w:szCs w:val="22"/>
              </w:rPr>
              <w:t>fishway</w:t>
            </w:r>
            <w:proofErr w:type="spellEnd"/>
            <w:r w:rsidR="005F03DC">
              <w:rPr>
                <w:rFonts w:ascii="Arial" w:hAnsi="Arial" w:cs="Arial"/>
                <w:sz w:val="22"/>
                <w:szCs w:val="22"/>
              </w:rPr>
              <w:t xml:space="preserve"> installed</w:t>
            </w:r>
            <w:r w:rsidR="008F6183">
              <w:rPr>
                <w:rFonts w:ascii="Arial" w:hAnsi="Arial" w:cs="Arial"/>
                <w:sz w:val="22"/>
                <w:szCs w:val="22"/>
              </w:rPr>
              <w:t xml:space="preserve"> (</w:t>
            </w:r>
            <w:proofErr w:type="spellStart"/>
            <w:r w:rsidR="008F6183">
              <w:rPr>
                <w:rFonts w:ascii="Arial" w:hAnsi="Arial" w:cs="Arial"/>
                <w:sz w:val="22"/>
                <w:szCs w:val="22"/>
              </w:rPr>
              <w:t>SunWater</w:t>
            </w:r>
            <w:proofErr w:type="spellEnd"/>
            <w:r w:rsidR="008F6183">
              <w:rPr>
                <w:rFonts w:ascii="Arial" w:hAnsi="Arial" w:cs="Arial"/>
                <w:sz w:val="22"/>
                <w:szCs w:val="22"/>
              </w:rPr>
              <w:t xml:space="preserve"> 2010)</w:t>
            </w:r>
            <w:r w:rsidR="005F03DC">
              <w:rPr>
                <w:rFonts w:ascii="Arial" w:hAnsi="Arial" w:cs="Arial"/>
                <w:sz w:val="22"/>
                <w:szCs w:val="22"/>
              </w:rPr>
              <w:t>. In</w:t>
            </w:r>
            <w:r w:rsidR="002E3FF4">
              <w:rPr>
                <w:rFonts w:ascii="Arial" w:hAnsi="Arial" w:cs="Arial"/>
                <w:sz w:val="22"/>
                <w:szCs w:val="22"/>
              </w:rPr>
              <w:t xml:space="preserve"> </w:t>
            </w:r>
            <w:r w:rsidR="00862F2E">
              <w:rPr>
                <w:rFonts w:ascii="Arial" w:hAnsi="Arial" w:cs="Arial"/>
                <w:sz w:val="22"/>
                <w:szCs w:val="22"/>
              </w:rPr>
              <w:t>199</w:t>
            </w:r>
            <w:r w:rsidR="00543B18">
              <w:rPr>
                <w:rFonts w:ascii="Arial" w:hAnsi="Arial" w:cs="Arial"/>
                <w:sz w:val="22"/>
                <w:szCs w:val="22"/>
              </w:rPr>
              <w:t>7</w:t>
            </w:r>
            <w:r w:rsidR="005F03DC">
              <w:rPr>
                <w:rFonts w:ascii="Arial" w:hAnsi="Arial" w:cs="Arial"/>
                <w:sz w:val="22"/>
                <w:szCs w:val="22"/>
              </w:rPr>
              <w:t xml:space="preserve">, the </w:t>
            </w:r>
            <w:proofErr w:type="spellStart"/>
            <w:r w:rsidR="005F03DC">
              <w:rPr>
                <w:rFonts w:ascii="Arial" w:hAnsi="Arial" w:cs="Arial"/>
                <w:sz w:val="22"/>
                <w:szCs w:val="22"/>
              </w:rPr>
              <w:t>fishway</w:t>
            </w:r>
            <w:proofErr w:type="spellEnd"/>
            <w:r w:rsidR="005F03DC">
              <w:rPr>
                <w:rFonts w:ascii="Arial" w:hAnsi="Arial" w:cs="Arial"/>
                <w:sz w:val="22"/>
                <w:szCs w:val="22"/>
              </w:rPr>
              <w:t xml:space="preserve"> was upgraded to a “vertical-slot” style (</w:t>
            </w:r>
            <w:proofErr w:type="spellStart"/>
            <w:r w:rsidR="005F03DC">
              <w:rPr>
                <w:rFonts w:ascii="Arial" w:hAnsi="Arial" w:cs="Arial"/>
                <w:sz w:val="22"/>
                <w:szCs w:val="22"/>
              </w:rPr>
              <w:t>SunWater</w:t>
            </w:r>
            <w:proofErr w:type="spellEnd"/>
            <w:r w:rsidR="005F03DC">
              <w:rPr>
                <w:rFonts w:ascii="Arial" w:hAnsi="Arial" w:cs="Arial"/>
                <w:sz w:val="22"/>
                <w:szCs w:val="22"/>
              </w:rPr>
              <w:t xml:space="preserve"> 2010). H</w:t>
            </w:r>
            <w:r w:rsidR="00862F2E">
              <w:rPr>
                <w:rFonts w:ascii="Arial" w:hAnsi="Arial" w:cs="Arial"/>
                <w:sz w:val="22"/>
                <w:szCs w:val="22"/>
              </w:rPr>
              <w:t xml:space="preserve">owever the species remains undetected in </w:t>
            </w:r>
            <w:r w:rsidR="00D905F5">
              <w:rPr>
                <w:rFonts w:ascii="Arial" w:hAnsi="Arial" w:cs="Arial"/>
                <w:sz w:val="22"/>
                <w:szCs w:val="22"/>
              </w:rPr>
              <w:t xml:space="preserve">the Burnett River </w:t>
            </w:r>
            <w:r w:rsidR="00862F2E">
              <w:rPr>
                <w:rFonts w:ascii="Arial" w:hAnsi="Arial" w:cs="Arial"/>
                <w:sz w:val="22"/>
                <w:szCs w:val="22"/>
              </w:rPr>
              <w:t>system, suggest</w:t>
            </w:r>
            <w:r w:rsidR="00AD7220">
              <w:rPr>
                <w:rFonts w:ascii="Arial" w:hAnsi="Arial" w:cs="Arial"/>
                <w:sz w:val="22"/>
                <w:szCs w:val="22"/>
              </w:rPr>
              <w:t>ing</w:t>
            </w:r>
            <w:r w:rsidR="00862F2E">
              <w:rPr>
                <w:rFonts w:ascii="Arial" w:hAnsi="Arial" w:cs="Arial"/>
                <w:sz w:val="22"/>
                <w:szCs w:val="22"/>
              </w:rPr>
              <w:t xml:space="preserve"> no </w:t>
            </w:r>
            <w:proofErr w:type="spellStart"/>
            <w:r w:rsidR="00862F2E">
              <w:rPr>
                <w:rFonts w:ascii="Arial" w:hAnsi="Arial" w:cs="Arial"/>
                <w:sz w:val="22"/>
                <w:szCs w:val="22"/>
              </w:rPr>
              <w:t>recolonisation</w:t>
            </w:r>
            <w:proofErr w:type="spellEnd"/>
            <w:r w:rsidR="00862F2E">
              <w:rPr>
                <w:rFonts w:ascii="Arial" w:hAnsi="Arial" w:cs="Arial"/>
                <w:sz w:val="22"/>
                <w:szCs w:val="22"/>
              </w:rPr>
              <w:t xml:space="preserve"> has occurred from populat</w:t>
            </w:r>
            <w:r w:rsidR="00E3208B">
              <w:rPr>
                <w:rFonts w:ascii="Arial" w:hAnsi="Arial" w:cs="Arial"/>
                <w:sz w:val="22"/>
                <w:szCs w:val="22"/>
              </w:rPr>
              <w:t>ions further s</w:t>
            </w:r>
            <w:r w:rsidR="00FA7F9A">
              <w:rPr>
                <w:rFonts w:ascii="Arial" w:hAnsi="Arial" w:cs="Arial"/>
                <w:sz w:val="22"/>
                <w:szCs w:val="22"/>
              </w:rPr>
              <w:t>outh (Anon</w:t>
            </w:r>
            <w:r w:rsidR="00E3208B">
              <w:rPr>
                <w:rFonts w:ascii="Arial" w:hAnsi="Arial" w:cs="Arial"/>
                <w:sz w:val="22"/>
                <w:szCs w:val="22"/>
              </w:rPr>
              <w:t xml:space="preserve"> 2014).</w:t>
            </w:r>
          </w:p>
          <w:p w14:paraId="4325BD1B" w14:textId="71A82B96" w:rsidR="008F6183" w:rsidRDefault="008F6183" w:rsidP="00BF66DE">
            <w:pPr>
              <w:spacing w:after="200" w:line="276" w:lineRule="auto"/>
              <w:rPr>
                <w:rFonts w:ascii="Arial" w:hAnsi="Arial" w:cs="Arial"/>
                <w:sz w:val="22"/>
                <w:szCs w:val="22"/>
              </w:rPr>
            </w:pPr>
            <w:r>
              <w:rPr>
                <w:rFonts w:ascii="Arial" w:hAnsi="Arial" w:cs="Arial"/>
                <w:sz w:val="22"/>
                <w:szCs w:val="22"/>
              </w:rPr>
              <w:t>In the Mary</w:t>
            </w:r>
            <w:r w:rsidR="002E3FF4">
              <w:rPr>
                <w:rFonts w:ascii="Arial" w:hAnsi="Arial" w:cs="Arial"/>
                <w:sz w:val="22"/>
                <w:szCs w:val="22"/>
              </w:rPr>
              <w:t xml:space="preserve"> </w:t>
            </w:r>
            <w:r>
              <w:rPr>
                <w:rFonts w:ascii="Arial" w:hAnsi="Arial" w:cs="Arial"/>
                <w:sz w:val="22"/>
                <w:szCs w:val="22"/>
              </w:rPr>
              <w:t xml:space="preserve">River catchment, anecdotal evidence suggests that pinkeye mullet are now locally extinct in Tinana Creek above the barrier created by </w:t>
            </w:r>
            <w:proofErr w:type="spellStart"/>
            <w:r>
              <w:rPr>
                <w:rFonts w:ascii="Arial" w:hAnsi="Arial" w:cs="Arial"/>
                <w:sz w:val="22"/>
                <w:szCs w:val="22"/>
              </w:rPr>
              <w:t>Teddington</w:t>
            </w:r>
            <w:proofErr w:type="spellEnd"/>
            <w:r w:rsidR="00FC7433">
              <w:rPr>
                <w:rFonts w:ascii="Arial" w:hAnsi="Arial" w:cs="Arial"/>
                <w:sz w:val="22"/>
                <w:szCs w:val="22"/>
              </w:rPr>
              <w:t xml:space="preserve"> </w:t>
            </w:r>
            <w:r>
              <w:rPr>
                <w:rFonts w:ascii="Arial" w:hAnsi="Arial" w:cs="Arial"/>
                <w:sz w:val="22"/>
                <w:szCs w:val="22"/>
              </w:rPr>
              <w:t>Weir (Hutchison pers. comm. 2012).</w:t>
            </w:r>
          </w:p>
          <w:p w14:paraId="1FAA8F16" w14:textId="77777777" w:rsidR="007D3BBF" w:rsidRDefault="007D3BBF" w:rsidP="00BF0863">
            <w:pPr>
              <w:spacing w:after="200" w:line="276" w:lineRule="auto"/>
              <w:rPr>
                <w:rFonts w:ascii="Arial" w:hAnsi="Arial" w:cs="Arial"/>
                <w:sz w:val="22"/>
                <w:szCs w:val="22"/>
              </w:rPr>
            </w:pPr>
            <w:r>
              <w:rPr>
                <w:rFonts w:ascii="Arial" w:hAnsi="Arial" w:cs="Arial"/>
                <w:sz w:val="22"/>
                <w:szCs w:val="22"/>
              </w:rPr>
              <w:t>An audit identified 3300 barriers to fish movement (weirs, dams, road crossings and floodgates) in coastal New South Wales catchments (</w:t>
            </w:r>
            <w:proofErr w:type="spellStart"/>
            <w:r>
              <w:rPr>
                <w:rFonts w:ascii="Arial" w:hAnsi="Arial" w:cs="Arial"/>
                <w:sz w:val="22"/>
                <w:szCs w:val="22"/>
              </w:rPr>
              <w:t>Gordos</w:t>
            </w:r>
            <w:proofErr w:type="spellEnd"/>
            <w:r>
              <w:rPr>
                <w:rFonts w:ascii="Arial" w:hAnsi="Arial" w:cs="Arial"/>
                <w:sz w:val="22"/>
                <w:szCs w:val="22"/>
              </w:rPr>
              <w:t xml:space="preserve"> et al., 2007).</w:t>
            </w:r>
          </w:p>
          <w:p w14:paraId="34C6152E" w14:textId="28C9B050" w:rsidR="00363758" w:rsidRPr="00CA566E" w:rsidRDefault="00363758" w:rsidP="00FC7433">
            <w:pPr>
              <w:spacing w:after="200" w:line="276" w:lineRule="auto"/>
              <w:rPr>
                <w:rFonts w:ascii="Arial" w:hAnsi="Arial" w:cs="Arial"/>
                <w:sz w:val="22"/>
                <w:szCs w:val="22"/>
              </w:rPr>
            </w:pPr>
            <w:r>
              <w:rPr>
                <w:rFonts w:ascii="Arial" w:hAnsi="Arial" w:cs="Arial"/>
                <w:sz w:val="22"/>
                <w:szCs w:val="22"/>
              </w:rPr>
              <w:t xml:space="preserve">Following a </w:t>
            </w:r>
            <w:proofErr w:type="spellStart"/>
            <w:r>
              <w:rPr>
                <w:rFonts w:ascii="Arial" w:hAnsi="Arial" w:cs="Arial"/>
                <w:sz w:val="22"/>
                <w:szCs w:val="22"/>
              </w:rPr>
              <w:t>fishway</w:t>
            </w:r>
            <w:proofErr w:type="spellEnd"/>
            <w:r>
              <w:rPr>
                <w:rFonts w:ascii="Arial" w:hAnsi="Arial" w:cs="Arial"/>
                <w:sz w:val="22"/>
                <w:szCs w:val="22"/>
              </w:rPr>
              <w:t xml:space="preserve"> installation on </w:t>
            </w:r>
            <w:proofErr w:type="spellStart"/>
            <w:r>
              <w:rPr>
                <w:rFonts w:ascii="Arial" w:hAnsi="Arial" w:cs="Arial"/>
                <w:sz w:val="22"/>
                <w:szCs w:val="22"/>
              </w:rPr>
              <w:t>Tallowa</w:t>
            </w:r>
            <w:proofErr w:type="spellEnd"/>
            <w:r w:rsidR="00FC7433">
              <w:rPr>
                <w:rFonts w:ascii="Arial" w:hAnsi="Arial" w:cs="Arial"/>
                <w:sz w:val="22"/>
                <w:szCs w:val="22"/>
              </w:rPr>
              <w:t xml:space="preserve"> </w:t>
            </w:r>
            <w:r>
              <w:rPr>
                <w:rFonts w:ascii="Arial" w:hAnsi="Arial" w:cs="Arial"/>
                <w:sz w:val="22"/>
                <w:szCs w:val="22"/>
              </w:rPr>
              <w:t>Dam on the Shoalhaven</w:t>
            </w:r>
            <w:r w:rsidR="00FC7433">
              <w:rPr>
                <w:rFonts w:ascii="Arial" w:hAnsi="Arial" w:cs="Arial"/>
                <w:sz w:val="22"/>
                <w:szCs w:val="22"/>
              </w:rPr>
              <w:t xml:space="preserve"> </w:t>
            </w:r>
            <w:r>
              <w:rPr>
                <w:rFonts w:ascii="Arial" w:hAnsi="Arial" w:cs="Arial"/>
                <w:sz w:val="22"/>
                <w:szCs w:val="22"/>
              </w:rPr>
              <w:t xml:space="preserve">River in southern New South Wales, pinkeye mullet have been recorded in strong numbers below the dam wall indicating desire to migrate further upstream, but have not been detected above the dam wall (Walsh et al., 2014). </w:t>
            </w:r>
            <w:r w:rsidR="000059F2">
              <w:rPr>
                <w:rFonts w:ascii="Arial" w:hAnsi="Arial" w:cs="Arial"/>
                <w:sz w:val="22"/>
                <w:szCs w:val="22"/>
              </w:rPr>
              <w:t>A</w:t>
            </w:r>
            <w:r w:rsidR="00A04DBC">
              <w:rPr>
                <w:rFonts w:ascii="Arial" w:hAnsi="Arial" w:cs="Arial"/>
                <w:sz w:val="22"/>
                <w:szCs w:val="22"/>
              </w:rPr>
              <w:t xml:space="preserve"> </w:t>
            </w:r>
            <w:r w:rsidR="000059F2">
              <w:rPr>
                <w:rFonts w:ascii="Arial" w:hAnsi="Arial" w:cs="Arial"/>
                <w:sz w:val="22"/>
                <w:szCs w:val="22"/>
              </w:rPr>
              <w:t xml:space="preserve">tagging study on the species which </w:t>
            </w:r>
            <w:r>
              <w:rPr>
                <w:rFonts w:ascii="Arial" w:hAnsi="Arial" w:cs="Arial"/>
                <w:sz w:val="22"/>
                <w:szCs w:val="22"/>
              </w:rPr>
              <w:t xml:space="preserve">captured </w:t>
            </w:r>
            <w:r w:rsidR="000059F2">
              <w:rPr>
                <w:rFonts w:ascii="Arial" w:hAnsi="Arial" w:cs="Arial"/>
                <w:sz w:val="22"/>
                <w:szCs w:val="22"/>
              </w:rPr>
              <w:t xml:space="preserve">individuals </w:t>
            </w:r>
            <w:r>
              <w:rPr>
                <w:rFonts w:ascii="Arial" w:hAnsi="Arial" w:cs="Arial"/>
                <w:sz w:val="22"/>
                <w:szCs w:val="22"/>
              </w:rPr>
              <w:t xml:space="preserve">downstream of </w:t>
            </w:r>
            <w:proofErr w:type="spellStart"/>
            <w:r>
              <w:rPr>
                <w:rFonts w:ascii="Arial" w:hAnsi="Arial" w:cs="Arial"/>
                <w:sz w:val="22"/>
                <w:szCs w:val="22"/>
              </w:rPr>
              <w:t>Tallowa</w:t>
            </w:r>
            <w:proofErr w:type="spellEnd"/>
            <w:r w:rsidR="00FC7433">
              <w:rPr>
                <w:rFonts w:ascii="Arial" w:hAnsi="Arial" w:cs="Arial"/>
                <w:sz w:val="22"/>
                <w:szCs w:val="22"/>
              </w:rPr>
              <w:t xml:space="preserve"> </w:t>
            </w:r>
            <w:r>
              <w:rPr>
                <w:rFonts w:ascii="Arial" w:hAnsi="Arial" w:cs="Arial"/>
                <w:sz w:val="22"/>
                <w:szCs w:val="22"/>
              </w:rPr>
              <w:t xml:space="preserve">Dam </w:t>
            </w:r>
            <w:r w:rsidR="000059F2">
              <w:rPr>
                <w:rFonts w:ascii="Arial" w:hAnsi="Arial" w:cs="Arial"/>
                <w:sz w:val="22"/>
                <w:szCs w:val="22"/>
              </w:rPr>
              <w:t xml:space="preserve">and released them upstream of the dam, showed that 85% </w:t>
            </w:r>
            <w:r w:rsidR="00E2794C">
              <w:rPr>
                <w:rFonts w:ascii="Arial" w:hAnsi="Arial" w:cs="Arial"/>
                <w:sz w:val="22"/>
                <w:szCs w:val="22"/>
              </w:rPr>
              <w:t>(</w:t>
            </w:r>
            <w:r w:rsidR="000059F2">
              <w:rPr>
                <w:rFonts w:ascii="Arial" w:hAnsi="Arial" w:cs="Arial"/>
                <w:sz w:val="22"/>
                <w:szCs w:val="22"/>
              </w:rPr>
              <w:t>17</w:t>
            </w:r>
            <w:r w:rsidR="00E2794C">
              <w:rPr>
                <w:rFonts w:ascii="Arial" w:hAnsi="Arial" w:cs="Arial"/>
                <w:sz w:val="22"/>
                <w:szCs w:val="22"/>
              </w:rPr>
              <w:t xml:space="preserve"> of 20)</w:t>
            </w:r>
            <w:r w:rsidR="000059F2">
              <w:rPr>
                <w:rFonts w:ascii="Arial" w:hAnsi="Arial" w:cs="Arial"/>
                <w:sz w:val="22"/>
                <w:szCs w:val="22"/>
              </w:rPr>
              <w:t xml:space="preserve"> tagged individuals successfully migrated downstream over the spillway with high rates of survivorship (Walsh </w:t>
            </w:r>
            <w:r w:rsidR="000059F2" w:rsidRPr="00E2794C">
              <w:rPr>
                <w:rFonts w:ascii="Arial" w:hAnsi="Arial" w:cs="Arial"/>
                <w:sz w:val="22"/>
                <w:szCs w:val="22"/>
              </w:rPr>
              <w:t xml:space="preserve">et al., 2014). Only one individual </w:t>
            </w:r>
            <w:r w:rsidR="00E2794C" w:rsidRPr="00E2794C">
              <w:rPr>
                <w:rFonts w:ascii="Arial" w:hAnsi="Arial" w:cs="Arial"/>
                <w:sz w:val="22"/>
                <w:szCs w:val="22"/>
              </w:rPr>
              <w:t xml:space="preserve">made at least one return migration upstream through the </w:t>
            </w:r>
            <w:proofErr w:type="spellStart"/>
            <w:r w:rsidR="00E2794C" w:rsidRPr="00E2794C">
              <w:rPr>
                <w:rFonts w:ascii="Arial" w:hAnsi="Arial" w:cs="Arial"/>
                <w:sz w:val="22"/>
                <w:szCs w:val="22"/>
              </w:rPr>
              <w:t>fishway</w:t>
            </w:r>
            <w:proofErr w:type="spellEnd"/>
            <w:r w:rsidR="00E2794C" w:rsidRPr="00E2794C">
              <w:rPr>
                <w:rFonts w:ascii="Arial" w:hAnsi="Arial" w:cs="Arial"/>
                <w:sz w:val="22"/>
                <w:szCs w:val="22"/>
              </w:rPr>
              <w:t xml:space="preserve"> (Walsh et al., 2014)</w:t>
            </w:r>
            <w:r w:rsidR="001D5760">
              <w:rPr>
                <w:rFonts w:ascii="Arial" w:hAnsi="Arial" w:cs="Arial"/>
                <w:sz w:val="22"/>
                <w:szCs w:val="22"/>
              </w:rPr>
              <w:t xml:space="preserve">, possibly indicating that downstream movement over the dam </w:t>
            </w:r>
            <w:r w:rsidR="00AB36F0">
              <w:rPr>
                <w:rFonts w:ascii="Arial" w:hAnsi="Arial" w:cs="Arial"/>
                <w:sz w:val="22"/>
                <w:szCs w:val="22"/>
              </w:rPr>
              <w:t xml:space="preserve">spillway </w:t>
            </w:r>
            <w:r w:rsidR="001D5760">
              <w:rPr>
                <w:rFonts w:ascii="Arial" w:hAnsi="Arial" w:cs="Arial"/>
                <w:sz w:val="22"/>
                <w:szCs w:val="22"/>
              </w:rPr>
              <w:t>is not adversely impacting the species here, but upstream movement may be inhibited</w:t>
            </w:r>
            <w:r w:rsidR="00AB36F0">
              <w:rPr>
                <w:rFonts w:ascii="Arial" w:hAnsi="Arial" w:cs="Arial"/>
                <w:sz w:val="22"/>
                <w:szCs w:val="22"/>
              </w:rPr>
              <w:t xml:space="preserve"> and not adequately supported by the </w:t>
            </w:r>
            <w:proofErr w:type="spellStart"/>
            <w:r w:rsidR="00AB36F0">
              <w:rPr>
                <w:rFonts w:ascii="Arial" w:hAnsi="Arial" w:cs="Arial"/>
                <w:sz w:val="22"/>
                <w:szCs w:val="22"/>
              </w:rPr>
              <w:t>fishway</w:t>
            </w:r>
            <w:proofErr w:type="spellEnd"/>
            <w:r w:rsidR="001D5760">
              <w:rPr>
                <w:rFonts w:ascii="Arial" w:hAnsi="Arial" w:cs="Arial"/>
                <w:sz w:val="22"/>
                <w:szCs w:val="22"/>
              </w:rPr>
              <w:t>.</w:t>
            </w:r>
          </w:p>
        </w:tc>
      </w:tr>
      <w:tr w:rsidR="003F282F" w14:paraId="1072D907" w14:textId="77777777" w:rsidTr="00790302">
        <w:tc>
          <w:tcPr>
            <w:tcW w:w="9180" w:type="dxa"/>
            <w:gridSpan w:val="3"/>
          </w:tcPr>
          <w:p w14:paraId="34B7F65B" w14:textId="58B872B3" w:rsidR="003F282F" w:rsidRPr="00495C06" w:rsidRDefault="005928EE" w:rsidP="00495C06">
            <w:pPr>
              <w:spacing w:after="200" w:line="276" w:lineRule="auto"/>
              <w:rPr>
                <w:rFonts w:ascii="Arial" w:hAnsi="Arial" w:cs="Arial"/>
                <w:sz w:val="22"/>
                <w:szCs w:val="22"/>
              </w:rPr>
            </w:pPr>
            <w:r>
              <w:rPr>
                <w:rFonts w:ascii="Arial" w:hAnsi="Arial" w:cs="Arial"/>
                <w:sz w:val="22"/>
                <w:szCs w:val="22"/>
              </w:rPr>
              <w:t xml:space="preserve">Harvest </w:t>
            </w:r>
            <w:r w:rsidR="00495C06" w:rsidRPr="00495C06">
              <w:rPr>
                <w:rFonts w:ascii="Arial" w:hAnsi="Arial" w:cs="Arial"/>
                <w:sz w:val="22"/>
                <w:szCs w:val="22"/>
              </w:rPr>
              <w:t>from the wild</w:t>
            </w:r>
          </w:p>
        </w:tc>
      </w:tr>
      <w:tr w:rsidR="003F282F" w14:paraId="7E36863E" w14:textId="77777777" w:rsidTr="00790302">
        <w:tc>
          <w:tcPr>
            <w:tcW w:w="1562" w:type="dxa"/>
          </w:tcPr>
          <w:p w14:paraId="20FC9E76" w14:textId="5685AEEE" w:rsidR="003F282F" w:rsidRPr="00495C06" w:rsidRDefault="00495C06" w:rsidP="00167800">
            <w:pPr>
              <w:spacing w:after="200" w:line="276" w:lineRule="auto"/>
              <w:rPr>
                <w:rFonts w:ascii="Arial" w:hAnsi="Arial" w:cs="Arial"/>
                <w:sz w:val="22"/>
                <w:szCs w:val="22"/>
              </w:rPr>
            </w:pPr>
            <w:r w:rsidRPr="00495C06">
              <w:rPr>
                <w:rFonts w:ascii="Arial" w:hAnsi="Arial" w:cs="Arial"/>
                <w:sz w:val="22"/>
                <w:szCs w:val="22"/>
              </w:rPr>
              <w:t>Bycatch in commercial fisheries</w:t>
            </w:r>
          </w:p>
        </w:tc>
        <w:tc>
          <w:tcPr>
            <w:tcW w:w="1276" w:type="dxa"/>
          </w:tcPr>
          <w:p w14:paraId="1657E232" w14:textId="497C35F9" w:rsidR="003F282F" w:rsidRPr="00495C06" w:rsidRDefault="003F282F" w:rsidP="00495C06">
            <w:pPr>
              <w:spacing w:after="200" w:line="276" w:lineRule="auto"/>
              <w:rPr>
                <w:rFonts w:ascii="Arial" w:hAnsi="Arial" w:cs="Arial"/>
                <w:sz w:val="22"/>
                <w:szCs w:val="22"/>
              </w:rPr>
            </w:pPr>
            <w:r w:rsidRPr="00495C06">
              <w:rPr>
                <w:rFonts w:ascii="Arial" w:hAnsi="Arial" w:cs="Arial"/>
                <w:sz w:val="22"/>
                <w:szCs w:val="22"/>
              </w:rPr>
              <w:t xml:space="preserve">suspected </w:t>
            </w:r>
            <w:r w:rsidR="00DA1539">
              <w:rPr>
                <w:rFonts w:ascii="Arial" w:hAnsi="Arial" w:cs="Arial"/>
                <w:sz w:val="22"/>
                <w:szCs w:val="22"/>
              </w:rPr>
              <w:t xml:space="preserve">past, </w:t>
            </w:r>
            <w:r w:rsidR="00495C06" w:rsidRPr="00495C06">
              <w:rPr>
                <w:rFonts w:ascii="Arial" w:hAnsi="Arial" w:cs="Arial"/>
                <w:sz w:val="22"/>
                <w:szCs w:val="22"/>
              </w:rPr>
              <w:t>current</w:t>
            </w:r>
            <w:r w:rsidR="00DA1539">
              <w:rPr>
                <w:rFonts w:ascii="Arial" w:hAnsi="Arial" w:cs="Arial"/>
                <w:sz w:val="22"/>
                <w:szCs w:val="22"/>
              </w:rPr>
              <w:t>, future</w:t>
            </w:r>
          </w:p>
        </w:tc>
        <w:tc>
          <w:tcPr>
            <w:tcW w:w="6342" w:type="dxa"/>
          </w:tcPr>
          <w:p w14:paraId="448D5D06" w14:textId="404DE405" w:rsidR="003F282F" w:rsidRPr="007F413F" w:rsidRDefault="007F413F" w:rsidP="00FC7433">
            <w:pPr>
              <w:spacing w:after="200" w:line="276" w:lineRule="auto"/>
              <w:rPr>
                <w:rFonts w:ascii="Arial" w:hAnsi="Arial" w:cs="Arial"/>
                <w:sz w:val="22"/>
                <w:szCs w:val="22"/>
              </w:rPr>
            </w:pPr>
            <w:r w:rsidRPr="007F413F">
              <w:rPr>
                <w:rFonts w:ascii="Arial" w:hAnsi="Arial" w:cs="Arial"/>
                <w:sz w:val="22"/>
                <w:szCs w:val="22"/>
              </w:rPr>
              <w:t xml:space="preserve">Pinkeye </w:t>
            </w:r>
            <w:r>
              <w:rPr>
                <w:rFonts w:ascii="Arial" w:hAnsi="Arial" w:cs="Arial"/>
                <w:sz w:val="22"/>
                <w:szCs w:val="22"/>
              </w:rPr>
              <w:t xml:space="preserve">mullet are known to be caught as bycatch </w:t>
            </w:r>
            <w:r w:rsidR="00AD7220">
              <w:rPr>
                <w:rFonts w:ascii="Arial" w:hAnsi="Arial" w:cs="Arial"/>
                <w:sz w:val="22"/>
                <w:szCs w:val="22"/>
              </w:rPr>
              <w:t xml:space="preserve">(secondary species) </w:t>
            </w:r>
            <w:r>
              <w:rPr>
                <w:rFonts w:ascii="Arial" w:hAnsi="Arial" w:cs="Arial"/>
                <w:sz w:val="22"/>
                <w:szCs w:val="22"/>
              </w:rPr>
              <w:t>in a number of New South Wales estuarine fisheries (</w:t>
            </w:r>
            <w:proofErr w:type="spellStart"/>
            <w:r>
              <w:rPr>
                <w:rFonts w:ascii="Arial" w:hAnsi="Arial" w:cs="Arial"/>
                <w:sz w:val="22"/>
                <w:szCs w:val="22"/>
              </w:rPr>
              <w:t>Gray</w:t>
            </w:r>
            <w:proofErr w:type="spellEnd"/>
            <w:r>
              <w:rPr>
                <w:rFonts w:ascii="Arial" w:hAnsi="Arial" w:cs="Arial"/>
                <w:sz w:val="22"/>
                <w:szCs w:val="22"/>
              </w:rPr>
              <w:t xml:space="preserve"> et al., 1990; West &amp; </w:t>
            </w:r>
            <w:proofErr w:type="spellStart"/>
            <w:r>
              <w:rPr>
                <w:rFonts w:ascii="Arial" w:hAnsi="Arial" w:cs="Arial"/>
                <w:sz w:val="22"/>
                <w:szCs w:val="22"/>
              </w:rPr>
              <w:t>Walford</w:t>
            </w:r>
            <w:proofErr w:type="spellEnd"/>
            <w:r>
              <w:rPr>
                <w:rFonts w:ascii="Arial" w:hAnsi="Arial" w:cs="Arial"/>
                <w:sz w:val="22"/>
                <w:szCs w:val="22"/>
              </w:rPr>
              <w:t xml:space="preserve"> 2000).</w:t>
            </w:r>
            <w:r w:rsidR="001C71B3">
              <w:rPr>
                <w:rFonts w:ascii="Arial" w:hAnsi="Arial" w:cs="Arial"/>
                <w:sz w:val="22"/>
                <w:szCs w:val="22"/>
              </w:rPr>
              <w:t xml:space="preserve"> The species is caught as bycatch in mesh nets targeting </w:t>
            </w:r>
            <w:proofErr w:type="spellStart"/>
            <w:r w:rsidR="001C71B3">
              <w:rPr>
                <w:rFonts w:ascii="Arial" w:hAnsi="Arial" w:cs="Arial"/>
                <w:i/>
                <w:sz w:val="22"/>
                <w:szCs w:val="22"/>
              </w:rPr>
              <w:t>Mugil</w:t>
            </w:r>
            <w:proofErr w:type="spellEnd"/>
            <w:r w:rsidR="001C71B3">
              <w:rPr>
                <w:rFonts w:ascii="Arial" w:hAnsi="Arial" w:cs="Arial"/>
                <w:i/>
                <w:sz w:val="22"/>
                <w:szCs w:val="22"/>
              </w:rPr>
              <w:t xml:space="preserve"> </w:t>
            </w:r>
            <w:proofErr w:type="spellStart"/>
            <w:r w:rsidR="001C71B3">
              <w:rPr>
                <w:rFonts w:ascii="Arial" w:hAnsi="Arial" w:cs="Arial"/>
                <w:i/>
                <w:sz w:val="22"/>
                <w:szCs w:val="22"/>
              </w:rPr>
              <w:t>cephalus</w:t>
            </w:r>
            <w:proofErr w:type="spellEnd"/>
            <w:r w:rsidR="001C71B3">
              <w:rPr>
                <w:rFonts w:ascii="Arial" w:hAnsi="Arial" w:cs="Arial"/>
                <w:i/>
                <w:sz w:val="22"/>
                <w:szCs w:val="22"/>
              </w:rPr>
              <w:t xml:space="preserve"> </w:t>
            </w:r>
            <w:r w:rsidR="001C71B3">
              <w:rPr>
                <w:rFonts w:ascii="Arial" w:hAnsi="Arial" w:cs="Arial"/>
                <w:sz w:val="22"/>
                <w:szCs w:val="22"/>
              </w:rPr>
              <w:t>(sea mullet)</w:t>
            </w:r>
            <w:r>
              <w:rPr>
                <w:rFonts w:ascii="Arial" w:hAnsi="Arial" w:cs="Arial"/>
                <w:sz w:val="22"/>
                <w:szCs w:val="22"/>
              </w:rPr>
              <w:t xml:space="preserve"> </w:t>
            </w:r>
            <w:r w:rsidR="001C71B3">
              <w:rPr>
                <w:rFonts w:ascii="Arial" w:hAnsi="Arial" w:cs="Arial"/>
                <w:sz w:val="22"/>
                <w:szCs w:val="22"/>
              </w:rPr>
              <w:t xml:space="preserve">in the </w:t>
            </w:r>
            <w:r w:rsidR="00912134">
              <w:rPr>
                <w:rFonts w:ascii="Arial" w:hAnsi="Arial" w:cs="Arial"/>
                <w:sz w:val="22"/>
                <w:szCs w:val="22"/>
              </w:rPr>
              <w:t xml:space="preserve">New South Wales managed Estuary </w:t>
            </w:r>
            <w:r w:rsidR="001C71B3">
              <w:rPr>
                <w:rFonts w:ascii="Arial" w:hAnsi="Arial" w:cs="Arial"/>
                <w:sz w:val="22"/>
                <w:szCs w:val="22"/>
              </w:rPr>
              <w:t xml:space="preserve">General Fishery (NSW DPI 2013). </w:t>
            </w:r>
            <w:r w:rsidR="00DA59A6">
              <w:rPr>
                <w:rFonts w:ascii="Arial" w:hAnsi="Arial" w:cs="Arial"/>
                <w:sz w:val="22"/>
                <w:szCs w:val="22"/>
              </w:rPr>
              <w:t xml:space="preserve">There is likely to be a low level of catch in the New South Wales managed Ocean Haul Fishery, where sea mullet are targeted using haul nets (NSW DPI 2013). It is also likely caught in trawl nets of the New South Wales managed Estuary Prawn Fishery. In southern Queensland, the pinkeye mullet </w:t>
            </w:r>
            <w:r w:rsidR="00E65BB0">
              <w:rPr>
                <w:rFonts w:ascii="Arial" w:hAnsi="Arial" w:cs="Arial"/>
                <w:sz w:val="22"/>
                <w:szCs w:val="22"/>
              </w:rPr>
              <w:t>is probably caught in the Queensland managed River and Inshore Beam Trawl Fishery which uses trawl nets to target prawns. Bycatch in the fishery is “mainly small fin fish species”</w:t>
            </w:r>
            <w:r w:rsidR="00DA59A6">
              <w:rPr>
                <w:rFonts w:ascii="Arial" w:hAnsi="Arial" w:cs="Arial"/>
                <w:sz w:val="22"/>
                <w:szCs w:val="22"/>
              </w:rPr>
              <w:t xml:space="preserve"> </w:t>
            </w:r>
            <w:r w:rsidR="00E65BB0">
              <w:rPr>
                <w:rFonts w:ascii="Arial" w:hAnsi="Arial" w:cs="Arial"/>
                <w:sz w:val="22"/>
                <w:szCs w:val="22"/>
              </w:rPr>
              <w:t xml:space="preserve">(Qld DAF 2015). </w:t>
            </w:r>
            <w:r w:rsidR="00C818BC">
              <w:rPr>
                <w:rFonts w:ascii="Arial" w:hAnsi="Arial" w:cs="Arial"/>
                <w:sz w:val="22"/>
                <w:szCs w:val="22"/>
              </w:rPr>
              <w:t>Sea</w:t>
            </w:r>
            <w:r w:rsidR="00FC7433">
              <w:rPr>
                <w:rFonts w:ascii="Arial" w:hAnsi="Arial" w:cs="Arial"/>
                <w:sz w:val="22"/>
                <w:szCs w:val="22"/>
              </w:rPr>
              <w:t xml:space="preserve"> </w:t>
            </w:r>
            <w:r w:rsidR="00C818BC">
              <w:rPr>
                <w:rFonts w:ascii="Arial" w:hAnsi="Arial" w:cs="Arial"/>
                <w:sz w:val="22"/>
                <w:szCs w:val="22"/>
              </w:rPr>
              <w:t>mullet are targeted in the Queensland East Coast Inshore Fin Fish Fishery (Qld DAFF 201</w:t>
            </w:r>
            <w:r w:rsidR="00B35E87">
              <w:rPr>
                <w:rFonts w:ascii="Arial" w:hAnsi="Arial" w:cs="Arial"/>
                <w:sz w:val="22"/>
                <w:szCs w:val="22"/>
              </w:rPr>
              <w:t>4</w:t>
            </w:r>
            <w:r w:rsidR="00C818BC">
              <w:rPr>
                <w:rFonts w:ascii="Arial" w:hAnsi="Arial" w:cs="Arial"/>
                <w:sz w:val="22"/>
                <w:szCs w:val="22"/>
              </w:rPr>
              <w:t>), and it is assumed that some the targeting of sea mullet in southern parts of this fishery’s operational area would result in bycatch of pinkeye mullet. S</w:t>
            </w:r>
            <w:r>
              <w:rPr>
                <w:rFonts w:ascii="Arial" w:hAnsi="Arial" w:cs="Arial"/>
                <w:sz w:val="22"/>
                <w:szCs w:val="22"/>
              </w:rPr>
              <w:t xml:space="preserve">ome level of depletion </w:t>
            </w:r>
            <w:r w:rsidR="00C818BC">
              <w:rPr>
                <w:rFonts w:ascii="Arial" w:hAnsi="Arial" w:cs="Arial"/>
                <w:sz w:val="22"/>
                <w:szCs w:val="22"/>
              </w:rPr>
              <w:t xml:space="preserve">from the combined activities of these fisheries in Queensland and New South Wales </w:t>
            </w:r>
            <w:r>
              <w:rPr>
                <w:rFonts w:ascii="Arial" w:hAnsi="Arial" w:cs="Arial"/>
                <w:sz w:val="22"/>
                <w:szCs w:val="22"/>
              </w:rPr>
              <w:t xml:space="preserve">is assumed. </w:t>
            </w:r>
            <w:r w:rsidR="00C818BC">
              <w:rPr>
                <w:rFonts w:ascii="Arial" w:hAnsi="Arial" w:cs="Arial"/>
                <w:sz w:val="22"/>
                <w:szCs w:val="22"/>
              </w:rPr>
              <w:t>However, t</w:t>
            </w:r>
            <w:r>
              <w:rPr>
                <w:rFonts w:ascii="Arial" w:hAnsi="Arial" w:cs="Arial"/>
                <w:sz w:val="22"/>
                <w:szCs w:val="22"/>
              </w:rPr>
              <w:t xml:space="preserve">he level of impact that is being caused by this depletion is unquantified and </w:t>
            </w:r>
            <w:r w:rsidR="005928EE">
              <w:rPr>
                <w:rFonts w:ascii="Arial" w:hAnsi="Arial" w:cs="Arial"/>
                <w:sz w:val="22"/>
                <w:szCs w:val="22"/>
              </w:rPr>
              <w:t>un</w:t>
            </w:r>
            <w:r>
              <w:rPr>
                <w:rFonts w:ascii="Arial" w:hAnsi="Arial" w:cs="Arial"/>
                <w:sz w:val="22"/>
                <w:szCs w:val="22"/>
              </w:rPr>
              <w:t>known.</w:t>
            </w:r>
          </w:p>
        </w:tc>
      </w:tr>
      <w:tr w:rsidR="00E32124" w14:paraId="65C955D0" w14:textId="77777777" w:rsidTr="00A62238">
        <w:tc>
          <w:tcPr>
            <w:tcW w:w="9180" w:type="dxa"/>
            <w:gridSpan w:val="3"/>
          </w:tcPr>
          <w:p w14:paraId="344F6B04" w14:textId="2CD2C78B" w:rsidR="00E32124" w:rsidRPr="007F413F" w:rsidRDefault="003225DE" w:rsidP="00B35E87">
            <w:pPr>
              <w:spacing w:after="200" w:line="276" w:lineRule="auto"/>
              <w:rPr>
                <w:rFonts w:ascii="Arial" w:hAnsi="Arial" w:cs="Arial"/>
                <w:sz w:val="22"/>
                <w:szCs w:val="22"/>
              </w:rPr>
            </w:pPr>
            <w:r>
              <w:rPr>
                <w:rFonts w:ascii="Arial" w:hAnsi="Arial" w:cs="Arial"/>
                <w:sz w:val="22"/>
                <w:szCs w:val="22"/>
              </w:rPr>
              <w:t>Invasive species</w:t>
            </w:r>
          </w:p>
        </w:tc>
      </w:tr>
      <w:tr w:rsidR="00E32124" w14:paraId="68343558" w14:textId="77777777" w:rsidTr="00790302">
        <w:tc>
          <w:tcPr>
            <w:tcW w:w="1562" w:type="dxa"/>
          </w:tcPr>
          <w:p w14:paraId="77EDF2D6" w14:textId="57F05CEA" w:rsidR="00E32124" w:rsidRPr="00495C06" w:rsidRDefault="003225DE" w:rsidP="00167800">
            <w:pPr>
              <w:spacing w:after="200" w:line="276" w:lineRule="auto"/>
              <w:rPr>
                <w:rFonts w:ascii="Arial" w:hAnsi="Arial" w:cs="Arial"/>
                <w:sz w:val="22"/>
                <w:szCs w:val="22"/>
              </w:rPr>
            </w:pPr>
            <w:r>
              <w:rPr>
                <w:rFonts w:ascii="Arial" w:hAnsi="Arial" w:cs="Arial"/>
                <w:sz w:val="22"/>
                <w:szCs w:val="22"/>
              </w:rPr>
              <w:t>Competition and predation by alien fish species</w:t>
            </w:r>
          </w:p>
        </w:tc>
        <w:tc>
          <w:tcPr>
            <w:tcW w:w="1276" w:type="dxa"/>
          </w:tcPr>
          <w:p w14:paraId="7E89F99E" w14:textId="0211A96A" w:rsidR="00E32124" w:rsidRPr="00495C06" w:rsidRDefault="003225DE" w:rsidP="00495C06">
            <w:pPr>
              <w:spacing w:after="200" w:line="276" w:lineRule="auto"/>
              <w:rPr>
                <w:rFonts w:ascii="Arial" w:hAnsi="Arial" w:cs="Arial"/>
                <w:sz w:val="22"/>
                <w:szCs w:val="22"/>
              </w:rPr>
            </w:pPr>
            <w:r>
              <w:rPr>
                <w:rFonts w:ascii="Arial" w:hAnsi="Arial" w:cs="Arial"/>
                <w:sz w:val="22"/>
                <w:szCs w:val="22"/>
              </w:rPr>
              <w:t>suspected past, current, future</w:t>
            </w:r>
          </w:p>
        </w:tc>
        <w:tc>
          <w:tcPr>
            <w:tcW w:w="6342" w:type="dxa"/>
          </w:tcPr>
          <w:p w14:paraId="0E3A2899" w14:textId="43CDD829" w:rsidR="003225DE" w:rsidRPr="003225DE" w:rsidRDefault="00F3375A" w:rsidP="000B1B6B">
            <w:pPr>
              <w:spacing w:after="200" w:line="276" w:lineRule="auto"/>
              <w:rPr>
                <w:rFonts w:ascii="Arial" w:hAnsi="Arial" w:cs="Arial"/>
                <w:sz w:val="22"/>
                <w:szCs w:val="22"/>
                <w:highlight w:val="yellow"/>
              </w:rPr>
            </w:pPr>
            <w:r w:rsidRPr="00F3375A">
              <w:rPr>
                <w:rFonts w:ascii="Arial" w:hAnsi="Arial" w:cs="Arial"/>
                <w:sz w:val="22"/>
                <w:szCs w:val="22"/>
              </w:rPr>
              <w:t xml:space="preserve">A number of alien fish species are likely present in coastal catchments of Queensland and New South Wales </w:t>
            </w:r>
            <w:r>
              <w:rPr>
                <w:rFonts w:ascii="Arial" w:hAnsi="Arial" w:cs="Arial"/>
                <w:sz w:val="22"/>
                <w:szCs w:val="22"/>
              </w:rPr>
              <w:t xml:space="preserve">where pinkeye mullet occur. Species </w:t>
            </w:r>
            <w:r w:rsidR="00147240">
              <w:rPr>
                <w:rFonts w:ascii="Arial" w:hAnsi="Arial" w:cs="Arial"/>
                <w:sz w:val="22"/>
                <w:szCs w:val="22"/>
              </w:rPr>
              <w:t>include the</w:t>
            </w:r>
            <w:r>
              <w:rPr>
                <w:rFonts w:ascii="Arial" w:hAnsi="Arial" w:cs="Arial"/>
                <w:sz w:val="22"/>
                <w:szCs w:val="22"/>
              </w:rPr>
              <w:t xml:space="preserve"> redfin (</w:t>
            </w:r>
            <w:proofErr w:type="spellStart"/>
            <w:r>
              <w:rPr>
                <w:rFonts w:ascii="Arial" w:hAnsi="Arial" w:cs="Arial"/>
                <w:i/>
                <w:sz w:val="22"/>
                <w:szCs w:val="22"/>
              </w:rPr>
              <w:t>Perca</w:t>
            </w:r>
            <w:proofErr w:type="spellEnd"/>
            <w:r>
              <w:rPr>
                <w:rFonts w:ascii="Arial" w:hAnsi="Arial" w:cs="Arial"/>
                <w:i/>
                <w:sz w:val="22"/>
                <w:szCs w:val="22"/>
              </w:rPr>
              <w:t> </w:t>
            </w:r>
            <w:proofErr w:type="spellStart"/>
            <w:r>
              <w:rPr>
                <w:rFonts w:ascii="Arial" w:hAnsi="Arial" w:cs="Arial"/>
                <w:i/>
                <w:sz w:val="22"/>
                <w:szCs w:val="22"/>
              </w:rPr>
              <w:t>fluviatilis</w:t>
            </w:r>
            <w:proofErr w:type="spellEnd"/>
            <w:r>
              <w:rPr>
                <w:rFonts w:ascii="Arial" w:hAnsi="Arial" w:cs="Arial"/>
                <w:sz w:val="22"/>
                <w:szCs w:val="22"/>
              </w:rPr>
              <w:t>), European carp (</w:t>
            </w:r>
            <w:proofErr w:type="spellStart"/>
            <w:r>
              <w:rPr>
                <w:rFonts w:ascii="Arial" w:hAnsi="Arial" w:cs="Arial"/>
                <w:i/>
                <w:sz w:val="22"/>
                <w:szCs w:val="22"/>
              </w:rPr>
              <w:t>Cyprinus</w:t>
            </w:r>
            <w:proofErr w:type="spellEnd"/>
            <w:r>
              <w:rPr>
                <w:rFonts w:ascii="Arial" w:hAnsi="Arial" w:cs="Arial"/>
                <w:i/>
                <w:sz w:val="22"/>
                <w:szCs w:val="22"/>
              </w:rPr>
              <w:t> </w:t>
            </w:r>
            <w:proofErr w:type="spellStart"/>
            <w:r w:rsidRPr="00F3375A">
              <w:rPr>
                <w:rFonts w:ascii="Arial" w:hAnsi="Arial" w:cs="Arial"/>
                <w:i/>
                <w:sz w:val="22"/>
                <w:szCs w:val="22"/>
              </w:rPr>
              <w:t>carpio</w:t>
            </w:r>
            <w:proofErr w:type="spellEnd"/>
            <w:r>
              <w:rPr>
                <w:rFonts w:ascii="Arial" w:hAnsi="Arial" w:cs="Arial"/>
                <w:sz w:val="22"/>
                <w:szCs w:val="22"/>
              </w:rPr>
              <w:t>), Mozambique tilapia (</w:t>
            </w:r>
            <w:proofErr w:type="spellStart"/>
            <w:r>
              <w:rPr>
                <w:rFonts w:ascii="Arial" w:hAnsi="Arial" w:cs="Arial"/>
                <w:i/>
                <w:sz w:val="22"/>
                <w:szCs w:val="22"/>
              </w:rPr>
              <w:t>Oreochromis</w:t>
            </w:r>
            <w:proofErr w:type="spellEnd"/>
            <w:r>
              <w:rPr>
                <w:rFonts w:ascii="Arial" w:hAnsi="Arial" w:cs="Arial"/>
                <w:i/>
                <w:sz w:val="22"/>
                <w:szCs w:val="22"/>
              </w:rPr>
              <w:t> </w:t>
            </w:r>
            <w:proofErr w:type="spellStart"/>
            <w:r>
              <w:rPr>
                <w:rFonts w:ascii="Arial" w:hAnsi="Arial" w:cs="Arial"/>
                <w:i/>
                <w:sz w:val="22"/>
                <w:szCs w:val="22"/>
              </w:rPr>
              <w:t>mossambicus</w:t>
            </w:r>
            <w:proofErr w:type="spellEnd"/>
            <w:r>
              <w:rPr>
                <w:rFonts w:ascii="Arial" w:hAnsi="Arial" w:cs="Arial"/>
                <w:sz w:val="22"/>
                <w:szCs w:val="22"/>
              </w:rPr>
              <w:t xml:space="preserve">) and eastern </w:t>
            </w:r>
            <w:proofErr w:type="spellStart"/>
            <w:r>
              <w:rPr>
                <w:rFonts w:ascii="Arial" w:hAnsi="Arial" w:cs="Arial"/>
                <w:sz w:val="22"/>
                <w:szCs w:val="22"/>
              </w:rPr>
              <w:t>gambusia</w:t>
            </w:r>
            <w:proofErr w:type="spellEnd"/>
            <w:r>
              <w:rPr>
                <w:rFonts w:ascii="Arial" w:hAnsi="Arial" w:cs="Arial"/>
                <w:sz w:val="22"/>
                <w:szCs w:val="22"/>
              </w:rPr>
              <w:t xml:space="preserve"> (</w:t>
            </w:r>
            <w:proofErr w:type="spellStart"/>
            <w:r w:rsidRPr="00F3375A">
              <w:rPr>
                <w:rFonts w:ascii="Arial" w:hAnsi="Arial" w:cs="Arial"/>
                <w:i/>
                <w:iCs/>
                <w:sz w:val="22"/>
                <w:szCs w:val="22"/>
              </w:rPr>
              <w:t>Gambusia</w:t>
            </w:r>
            <w:proofErr w:type="spellEnd"/>
            <w:r w:rsidRPr="00F3375A">
              <w:rPr>
                <w:rFonts w:ascii="Arial" w:hAnsi="Arial" w:cs="Arial"/>
                <w:i/>
                <w:iCs/>
                <w:sz w:val="22"/>
                <w:szCs w:val="22"/>
              </w:rPr>
              <w:t xml:space="preserve"> </w:t>
            </w:r>
            <w:proofErr w:type="spellStart"/>
            <w:r w:rsidRPr="00F3375A">
              <w:rPr>
                <w:rFonts w:ascii="Arial" w:hAnsi="Arial" w:cs="Arial"/>
                <w:i/>
                <w:iCs/>
                <w:sz w:val="22"/>
                <w:szCs w:val="22"/>
              </w:rPr>
              <w:t>holbrooki</w:t>
            </w:r>
            <w:proofErr w:type="spellEnd"/>
            <w:r>
              <w:rPr>
                <w:rFonts w:ascii="Arial" w:hAnsi="Arial" w:cs="Arial"/>
                <w:iCs/>
                <w:sz w:val="22"/>
                <w:szCs w:val="22"/>
              </w:rPr>
              <w:t>) (I&amp;I </w:t>
            </w:r>
            <w:r w:rsidR="00776DCF">
              <w:rPr>
                <w:rFonts w:ascii="Arial" w:hAnsi="Arial" w:cs="Arial"/>
                <w:iCs/>
                <w:sz w:val="22"/>
                <w:szCs w:val="22"/>
              </w:rPr>
              <w:t xml:space="preserve">NSW </w:t>
            </w:r>
            <w:r>
              <w:rPr>
                <w:rFonts w:ascii="Arial" w:hAnsi="Arial" w:cs="Arial"/>
                <w:iCs/>
                <w:sz w:val="22"/>
                <w:szCs w:val="22"/>
              </w:rPr>
              <w:t>2010</w:t>
            </w:r>
            <w:r w:rsidR="00776DCF">
              <w:rPr>
                <w:rFonts w:ascii="Arial" w:hAnsi="Arial" w:cs="Arial"/>
                <w:iCs/>
                <w:sz w:val="22"/>
                <w:szCs w:val="22"/>
              </w:rPr>
              <w:t xml:space="preserve">; </w:t>
            </w:r>
            <w:proofErr w:type="spellStart"/>
            <w:r w:rsidR="00235C4E">
              <w:rPr>
                <w:rFonts w:ascii="Arial" w:hAnsi="Arial" w:cs="Arial"/>
                <w:iCs/>
                <w:sz w:val="22"/>
                <w:szCs w:val="22"/>
              </w:rPr>
              <w:t>PestS</w:t>
            </w:r>
            <w:r w:rsidR="00147240">
              <w:rPr>
                <w:rFonts w:ascii="Arial" w:hAnsi="Arial" w:cs="Arial"/>
                <w:iCs/>
                <w:sz w:val="22"/>
                <w:szCs w:val="22"/>
              </w:rPr>
              <w:t>mart</w:t>
            </w:r>
            <w:proofErr w:type="spellEnd"/>
            <w:r w:rsidR="00147240">
              <w:rPr>
                <w:rFonts w:ascii="Arial" w:hAnsi="Arial" w:cs="Arial"/>
                <w:iCs/>
                <w:sz w:val="22"/>
                <w:szCs w:val="22"/>
              </w:rPr>
              <w:t xml:space="preserve"> 2012; </w:t>
            </w:r>
            <w:r w:rsidR="00776DCF">
              <w:rPr>
                <w:rFonts w:ascii="Arial" w:hAnsi="Arial" w:cs="Arial"/>
                <w:iCs/>
                <w:sz w:val="22"/>
                <w:szCs w:val="22"/>
              </w:rPr>
              <w:t>NSW DPI 2017</w:t>
            </w:r>
            <w:r>
              <w:rPr>
                <w:rFonts w:ascii="Arial" w:hAnsi="Arial" w:cs="Arial"/>
                <w:iCs/>
                <w:sz w:val="22"/>
                <w:szCs w:val="22"/>
              </w:rPr>
              <w:t>)</w:t>
            </w:r>
            <w:r w:rsidR="00776DCF">
              <w:rPr>
                <w:rFonts w:ascii="Arial" w:hAnsi="Arial" w:cs="Arial"/>
                <w:iCs/>
                <w:sz w:val="22"/>
                <w:szCs w:val="22"/>
              </w:rPr>
              <w:t>.</w:t>
            </w:r>
            <w:r w:rsidR="007D3812">
              <w:rPr>
                <w:rFonts w:ascii="Arial" w:hAnsi="Arial" w:cs="Arial"/>
                <w:iCs/>
                <w:sz w:val="22"/>
                <w:szCs w:val="22"/>
              </w:rPr>
              <w:t xml:space="preserve"> Likely impacts to pinkeye mullet in these areas include competition for food and habitat resources, and predation from these species.</w:t>
            </w:r>
          </w:p>
        </w:tc>
      </w:tr>
    </w:tbl>
    <w:p w14:paraId="71590D89" w14:textId="585420EC" w:rsidR="00F328C0" w:rsidRDefault="002939A8" w:rsidP="000B5A4F">
      <w:pPr>
        <w:pStyle w:val="CAmajorheading"/>
        <w:spacing w:before="200" w:after="200" w:line="276" w:lineRule="auto"/>
      </w:pPr>
      <w:r w:rsidRPr="003F4D21">
        <w:t>Assessment of available information</w:t>
      </w:r>
      <w:r w:rsidR="0009403D" w:rsidRPr="003F4D21">
        <w:t xml:space="preserve"> in relation to the EPBC Act C</w:t>
      </w:r>
      <w:r w:rsidR="003445DF" w:rsidRPr="003F4D21">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EC0A32">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EC0A32">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EC0A32">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EC0A32">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EC0A32">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3A52C8FF" w:rsidR="003F4D21" w:rsidRPr="00715477" w:rsidRDefault="00C10BB3" w:rsidP="00EC0A32">
            <w:pPr>
              <w:tabs>
                <w:tab w:val="left" w:pos="426"/>
              </w:tabs>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70651AC8">
                      <wp:simplePos x="0" y="0"/>
                      <wp:positionH relativeFrom="column">
                        <wp:posOffset>2985770</wp:posOffset>
                      </wp:positionH>
                      <wp:positionV relativeFrom="paragraph">
                        <wp:posOffset>29210</wp:posOffset>
                      </wp:positionV>
                      <wp:extent cx="533400" cy="2049780"/>
                      <wp:effectExtent l="0" t="0" r="19050" b="2667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04978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4C721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1pt;margin-top:2.3pt;width:42pt;height:16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" adj="1874"/>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EC0A32">
            <w:pPr>
              <w:tabs>
                <w:tab w:val="left" w:pos="426"/>
              </w:tabs>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EC0A32">
            <w:pPr>
              <w:tabs>
                <w:tab w:val="left" w:pos="426"/>
              </w:tabs>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EC0A32">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EC0A32">
            <w:pPr>
              <w:rPr>
                <w:rFonts w:ascii="Arial" w:hAnsi="Arial" w:cs="Arial"/>
                <w:sz w:val="18"/>
                <w:szCs w:val="18"/>
              </w:rPr>
            </w:pPr>
          </w:p>
          <w:p w14:paraId="050C70A3" w14:textId="77777777" w:rsidR="00EC0A32" w:rsidRDefault="00EC0A32" w:rsidP="00EC0A32">
            <w:pPr>
              <w:tabs>
                <w:tab w:val="left" w:pos="459"/>
                <w:tab w:val="left" w:pos="1927"/>
              </w:tabs>
              <w:ind w:left="1502"/>
              <w:rPr>
                <w:rFonts w:ascii="Arial" w:hAnsi="Arial" w:cs="Arial"/>
                <w:sz w:val="18"/>
                <w:szCs w:val="18"/>
              </w:rPr>
            </w:pPr>
          </w:p>
          <w:p w14:paraId="4949C6E0" w14:textId="77777777" w:rsidR="00EC0A32" w:rsidRDefault="00EC0A32" w:rsidP="00EC0A32">
            <w:pPr>
              <w:tabs>
                <w:tab w:val="left" w:pos="459"/>
                <w:tab w:val="left" w:pos="1927"/>
              </w:tabs>
              <w:ind w:left="1502"/>
              <w:rPr>
                <w:rFonts w:ascii="Arial" w:hAnsi="Arial" w:cs="Arial"/>
                <w:sz w:val="18"/>
                <w:szCs w:val="18"/>
              </w:rPr>
            </w:pPr>
          </w:p>
          <w:p w14:paraId="2E5F58EA" w14:textId="77777777" w:rsidR="00EC0A32" w:rsidRDefault="00EC0A32" w:rsidP="00EC0A32">
            <w:pPr>
              <w:tabs>
                <w:tab w:val="left" w:pos="459"/>
                <w:tab w:val="left" w:pos="1927"/>
              </w:tabs>
              <w:ind w:left="1502"/>
              <w:rPr>
                <w:rFonts w:ascii="Arial" w:hAnsi="Arial" w:cs="Arial"/>
                <w:sz w:val="18"/>
                <w:szCs w:val="18"/>
              </w:rPr>
            </w:pPr>
          </w:p>
          <w:p w14:paraId="71590DA5" w14:textId="6149A61A" w:rsidR="003F4D21" w:rsidRPr="00715477" w:rsidRDefault="003F4D21" w:rsidP="00EC0A32">
            <w:pPr>
              <w:tabs>
                <w:tab w:val="left" w:pos="459"/>
                <w:tab w:val="left" w:pos="1927"/>
              </w:tabs>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61760AF6" w:rsidR="003F4D21" w:rsidRPr="00715477" w:rsidRDefault="00EC0A32" w:rsidP="00EC0A32">
            <w:pPr>
              <w:tabs>
                <w:tab w:val="left" w:pos="459"/>
              </w:tabs>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23C2D27E">
                      <wp:simplePos x="0" y="0"/>
                      <wp:positionH relativeFrom="column">
                        <wp:posOffset>408940</wp:posOffset>
                      </wp:positionH>
                      <wp:positionV relativeFrom="paragraph">
                        <wp:posOffset>132080</wp:posOffset>
                      </wp:positionV>
                      <wp:extent cx="556260" cy="59436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594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A62238" w:rsidRPr="00CE7C59" w:rsidRDefault="00A62238"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32.2pt;margin-top:10.4pt;width:43.8pt;height:4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" stroked="f">
                      <v:textbox>
                        <w:txbxContent>
                          <w:p w14:paraId="71590EF0" w14:textId="77777777" w:rsidR="00A62238" w:rsidRPr="00CE7C59" w:rsidRDefault="00A62238"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3C46224E" w:rsidR="003F4D21" w:rsidRPr="00715477" w:rsidRDefault="003F4D21" w:rsidP="00EC0A32">
            <w:pPr>
              <w:tabs>
                <w:tab w:val="left" w:pos="459"/>
              </w:tabs>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56F3B0D2" w:rsidR="003F4D21" w:rsidRPr="00715477" w:rsidRDefault="003F4D21" w:rsidP="00EC0A32">
            <w:pPr>
              <w:tabs>
                <w:tab w:val="left" w:pos="459"/>
              </w:tabs>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1234CCA8" w:rsidR="003F4D21" w:rsidRPr="00715477" w:rsidRDefault="003F4D21" w:rsidP="00EC0A32">
            <w:pPr>
              <w:tabs>
                <w:tab w:val="left" w:pos="459"/>
              </w:tabs>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67800">
      <w:pPr>
        <w:pStyle w:val="CAIntextheading1"/>
        <w:spacing w:after="200" w:line="276" w:lineRule="auto"/>
      </w:pPr>
      <w:r w:rsidRPr="001973B5">
        <w:t>Evidence</w:t>
      </w:r>
      <w:r>
        <w:t>:</w:t>
      </w:r>
    </w:p>
    <w:p w14:paraId="4FFF734E" w14:textId="77777777" w:rsidR="00E46835" w:rsidRPr="0016024F" w:rsidRDefault="00E46835" w:rsidP="00E46835">
      <w:pPr>
        <w:spacing w:after="200" w:line="276" w:lineRule="auto"/>
        <w:rPr>
          <w:rFonts w:ascii="Arial" w:hAnsi="Arial" w:cs="Arial"/>
          <w:b/>
          <w:sz w:val="22"/>
          <w:szCs w:val="22"/>
        </w:rPr>
      </w:pPr>
      <w:r>
        <w:rPr>
          <w:rFonts w:ascii="Arial" w:hAnsi="Arial" w:cs="Arial"/>
          <w:b/>
          <w:sz w:val="22"/>
          <w:szCs w:val="22"/>
        </w:rPr>
        <w:t>Insufficient data to determine eligibility</w:t>
      </w:r>
    </w:p>
    <w:p w14:paraId="0D65510F" w14:textId="675F8764" w:rsidR="00AD7220" w:rsidRDefault="00A62238" w:rsidP="00544EFF">
      <w:pPr>
        <w:pStyle w:val="CAText"/>
        <w:spacing w:after="200" w:line="276" w:lineRule="auto"/>
      </w:pPr>
      <w:r>
        <w:t>Observational records indicate that pinkeye mullet may be more widespread than has been commonly accepted until now</w:t>
      </w:r>
      <w:r w:rsidR="00544EFF">
        <w:t xml:space="preserve"> (ALA 2017)</w:t>
      </w:r>
      <w:r>
        <w:t xml:space="preserve">. However, </w:t>
      </w:r>
      <w:r w:rsidR="00544EFF">
        <w:t xml:space="preserve">there are </w:t>
      </w:r>
      <w:r w:rsidR="00AD7220">
        <w:t xml:space="preserve">few </w:t>
      </w:r>
      <w:r w:rsidR="00544EFF">
        <w:t xml:space="preserve">data on abundance or population which can be used to adequately assess whether decline has occurred and by how much the species’ total population has declined. </w:t>
      </w:r>
      <w:r w:rsidR="005C2807">
        <w:t xml:space="preserve">While there are anecdotal reports that the species has declined in river catchments in southern Queensland and disappeared from the Burnett, </w:t>
      </w:r>
      <w:proofErr w:type="spellStart"/>
      <w:r w:rsidR="005C2807">
        <w:t>Kolan</w:t>
      </w:r>
      <w:proofErr w:type="spellEnd"/>
      <w:r w:rsidR="005C2807">
        <w:t>, Gregory</w:t>
      </w:r>
      <w:r w:rsidR="0068657F">
        <w:t xml:space="preserve"> and </w:t>
      </w:r>
      <w:proofErr w:type="spellStart"/>
      <w:r w:rsidR="0068657F">
        <w:t>Burrum</w:t>
      </w:r>
      <w:proofErr w:type="spellEnd"/>
      <w:r w:rsidR="0068657F">
        <w:t>/</w:t>
      </w:r>
      <w:r w:rsidR="005C2807">
        <w:t>Isis river catchments (Anon 2014), targeted surveys are required to establish the validity of these claims</w:t>
      </w:r>
      <w:r w:rsidR="0068657F">
        <w:t>, especially given that an individual was recorded from Water Park Creek in 2011 (QM 2017).</w:t>
      </w:r>
      <w:r w:rsidR="005C2807">
        <w:t xml:space="preserve"> </w:t>
      </w:r>
      <w:r w:rsidR="00AD7220">
        <w:t>T</w:t>
      </w:r>
      <w:r w:rsidR="00166223">
        <w:t xml:space="preserve">he area where anecdotal reports are reporting declines and localised extinctions represents a relatively small portion of the species’ entire Australian distribution. </w:t>
      </w:r>
      <w:r w:rsidR="00166223" w:rsidRPr="00166223">
        <w:t xml:space="preserve">Given that </w:t>
      </w:r>
      <w:r w:rsidR="00166223">
        <w:t xml:space="preserve">declines and level of </w:t>
      </w:r>
      <w:r w:rsidR="00166223" w:rsidRPr="00166223">
        <w:t>impacts in the remainder of the species’ Australian distribution remain unclear there are insufficient quantitative data to judge whether the species has undergone substantial declines across its entire range.</w:t>
      </w:r>
    </w:p>
    <w:p w14:paraId="71590DB3" w14:textId="607E2A4E" w:rsidR="006C6378" w:rsidRDefault="00AD7220" w:rsidP="00544EFF">
      <w:pPr>
        <w:pStyle w:val="CAText"/>
        <w:spacing w:after="200" w:line="276" w:lineRule="auto"/>
      </w:pPr>
      <w:r>
        <w:t>I</w:t>
      </w:r>
      <w:r w:rsidR="00544EFF">
        <w:t xml:space="preserve">t appears there are </w:t>
      </w:r>
      <w:r w:rsidR="00064A65">
        <w:t xml:space="preserve">insufficient </w:t>
      </w:r>
      <w:r w:rsidR="00544EFF">
        <w:t xml:space="preserve">data </w:t>
      </w:r>
      <w:r w:rsidR="00064A65">
        <w:t xml:space="preserve">to </w:t>
      </w:r>
      <w:r w:rsidR="00064A65" w:rsidRPr="003659B1">
        <w:t xml:space="preserve">demonstrate </w:t>
      </w:r>
      <w:r w:rsidR="00064A65">
        <w:t xml:space="preserve">if </w:t>
      </w:r>
      <w:r w:rsidR="00064A65" w:rsidRPr="003659B1">
        <w:t xml:space="preserve">the species is </w:t>
      </w:r>
      <w:r w:rsidR="00064A65" w:rsidRPr="00064A65">
        <w:rPr>
          <w:bCs/>
        </w:rPr>
        <w:t xml:space="preserve">eligible for listing </w:t>
      </w:r>
      <w:r w:rsidR="00064A65" w:rsidRPr="003659B1">
        <w:t xml:space="preserve">under this criterion. However, the purpose of this consultation </w:t>
      </w:r>
      <w:r w:rsidR="00064A65">
        <w:t>document</w:t>
      </w:r>
      <w:r w:rsidR="00064A65" w:rsidRPr="003659B1">
        <w:t xml:space="preserve"> is to elicit additional information to better understand the species</w:t>
      </w:r>
      <w:r w:rsidR="00C64884">
        <w:t>’</w:t>
      </w:r>
      <w:r w:rsidR="00064A65" w:rsidRPr="003659B1">
        <w:t xml:space="preserve"> status. This conclusion should therefore be considered to be tentative at this stage, as it may be changed as a result of responses to this consultation process</w:t>
      </w:r>
      <w:r w:rsidR="00064A65">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F03615">
        <w:trPr>
          <w:trHeight w:val="350"/>
        </w:trPr>
        <w:tc>
          <w:tcPr>
            <w:tcW w:w="9407" w:type="dxa"/>
            <w:gridSpan w:val="4"/>
            <w:tcBorders>
              <w:bottom w:val="nil"/>
            </w:tcBorders>
            <w:shd w:val="clear" w:color="auto" w:fill="595959" w:themeFill="text1" w:themeFillTint="A6"/>
            <w:vAlign w:val="center"/>
          </w:tcPr>
          <w:p w14:paraId="71590DB7" w14:textId="77777777" w:rsidR="003F4D21" w:rsidRPr="0064488C" w:rsidRDefault="003F4D21" w:rsidP="00EC0A32">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F03615">
        <w:tc>
          <w:tcPr>
            <w:tcW w:w="3455" w:type="dxa"/>
            <w:tcBorders>
              <w:top w:val="nil"/>
              <w:bottom w:val="nil"/>
              <w:right w:val="nil"/>
            </w:tcBorders>
          </w:tcPr>
          <w:p w14:paraId="71590DB9" w14:textId="77777777" w:rsidR="003F4D21" w:rsidRPr="00715477" w:rsidRDefault="003F4D21" w:rsidP="00EC0A32">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F03615">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EC0A32">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EC0A32">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EC0A32">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F03615">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EC0A32">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EC0A32">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EC0A32">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F03615">
        <w:tc>
          <w:tcPr>
            <w:tcW w:w="9407" w:type="dxa"/>
            <w:gridSpan w:val="4"/>
            <w:tcBorders>
              <w:top w:val="nil"/>
              <w:bottom w:val="nil"/>
            </w:tcBorders>
          </w:tcPr>
          <w:p w14:paraId="71590DCB" w14:textId="77777777" w:rsidR="003F4D21" w:rsidRPr="00715477" w:rsidRDefault="003F4D21" w:rsidP="00EC0A32">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F03615">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EC0A32">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F03615">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EC0A32">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14:paraId="71590DD5" w14:textId="77777777" w:rsidTr="00F03615">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EC0A32">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67800">
      <w:pPr>
        <w:pStyle w:val="CAIntextheading1"/>
        <w:spacing w:after="200" w:line="276" w:lineRule="auto"/>
      </w:pPr>
      <w:r w:rsidRPr="009975EA">
        <w:t>Evidence</w:t>
      </w:r>
      <w:r>
        <w:t>:</w:t>
      </w:r>
    </w:p>
    <w:p w14:paraId="237FF9F5" w14:textId="08005B6B" w:rsidR="00463568" w:rsidRPr="0016024F" w:rsidRDefault="00C00182" w:rsidP="00463568">
      <w:pPr>
        <w:spacing w:after="200" w:line="276" w:lineRule="auto"/>
        <w:rPr>
          <w:rFonts w:ascii="Arial" w:hAnsi="Arial" w:cs="Arial"/>
          <w:b/>
          <w:sz w:val="22"/>
          <w:szCs w:val="22"/>
        </w:rPr>
      </w:pPr>
      <w:r>
        <w:rPr>
          <w:rFonts w:ascii="Arial" w:hAnsi="Arial" w:cs="Arial"/>
          <w:b/>
          <w:sz w:val="22"/>
          <w:szCs w:val="22"/>
        </w:rPr>
        <w:t>E</w:t>
      </w:r>
      <w:r w:rsidR="003C2375">
        <w:rPr>
          <w:rFonts w:ascii="Arial" w:hAnsi="Arial" w:cs="Arial"/>
          <w:b/>
          <w:sz w:val="22"/>
          <w:szCs w:val="22"/>
        </w:rPr>
        <w:t xml:space="preserve">ligible under Criterion 2 </w:t>
      </w:r>
      <w:proofErr w:type="gramStart"/>
      <w:r w:rsidR="003C2375">
        <w:rPr>
          <w:rFonts w:ascii="Arial" w:hAnsi="Arial" w:cs="Arial"/>
          <w:b/>
          <w:sz w:val="22"/>
          <w:szCs w:val="22"/>
        </w:rPr>
        <w:t>B2</w:t>
      </w:r>
      <w:r>
        <w:rPr>
          <w:rFonts w:ascii="Arial" w:hAnsi="Arial" w:cs="Arial"/>
          <w:b/>
          <w:sz w:val="22"/>
          <w:szCs w:val="22"/>
        </w:rPr>
        <w:t>(</w:t>
      </w:r>
      <w:proofErr w:type="gramEnd"/>
      <w:r>
        <w:rPr>
          <w:rFonts w:ascii="Arial" w:hAnsi="Arial" w:cs="Arial"/>
          <w:b/>
          <w:sz w:val="22"/>
          <w:szCs w:val="22"/>
        </w:rPr>
        <w:t>a)(b)(iii)</w:t>
      </w:r>
      <w:r w:rsidDel="00C00182">
        <w:rPr>
          <w:rFonts w:ascii="Arial" w:hAnsi="Arial" w:cs="Arial"/>
          <w:b/>
          <w:sz w:val="22"/>
          <w:szCs w:val="22"/>
        </w:rPr>
        <w:t xml:space="preserve"> </w:t>
      </w:r>
      <w:r w:rsidR="003C2375">
        <w:rPr>
          <w:rFonts w:ascii="Arial" w:hAnsi="Arial" w:cs="Arial"/>
          <w:b/>
          <w:sz w:val="22"/>
          <w:szCs w:val="22"/>
        </w:rPr>
        <w:t>for listing as Vulnerable</w:t>
      </w:r>
    </w:p>
    <w:p w14:paraId="5F0D7432" w14:textId="72003C67" w:rsidR="00C00182" w:rsidRDefault="00303A58" w:rsidP="00167800">
      <w:pPr>
        <w:spacing w:after="200" w:line="276" w:lineRule="auto"/>
        <w:rPr>
          <w:rFonts w:ascii="Arial" w:hAnsi="Arial" w:cs="Arial"/>
          <w:sz w:val="22"/>
          <w:szCs w:val="22"/>
        </w:rPr>
      </w:pPr>
      <w:r>
        <w:rPr>
          <w:rFonts w:ascii="Arial" w:hAnsi="Arial" w:cs="Arial"/>
          <w:sz w:val="22"/>
          <w:szCs w:val="22"/>
        </w:rPr>
        <w:t>T</w:t>
      </w:r>
      <w:r w:rsidR="00C0577E">
        <w:rPr>
          <w:rFonts w:ascii="Arial" w:hAnsi="Arial" w:cs="Arial"/>
          <w:sz w:val="22"/>
          <w:szCs w:val="22"/>
        </w:rPr>
        <w:t xml:space="preserve">he extent of occurrence </w:t>
      </w:r>
      <w:r w:rsidR="00C00182">
        <w:rPr>
          <w:rFonts w:ascii="Arial" w:hAnsi="Arial" w:cs="Arial"/>
          <w:sz w:val="22"/>
          <w:szCs w:val="22"/>
        </w:rPr>
        <w:t xml:space="preserve">(EOO) </w:t>
      </w:r>
      <w:r w:rsidR="00C0577E">
        <w:rPr>
          <w:rFonts w:ascii="Arial" w:hAnsi="Arial" w:cs="Arial"/>
          <w:sz w:val="22"/>
          <w:szCs w:val="22"/>
        </w:rPr>
        <w:t xml:space="preserve">is </w:t>
      </w:r>
      <w:r>
        <w:rPr>
          <w:rFonts w:ascii="Arial" w:hAnsi="Arial" w:cs="Arial"/>
          <w:sz w:val="22"/>
          <w:szCs w:val="22"/>
        </w:rPr>
        <w:t xml:space="preserve">estimated </w:t>
      </w:r>
      <w:r w:rsidR="00C0577E">
        <w:rPr>
          <w:rFonts w:ascii="Arial" w:hAnsi="Arial" w:cs="Arial"/>
          <w:sz w:val="22"/>
          <w:szCs w:val="22"/>
        </w:rPr>
        <w:t>to be 305 512 km</w:t>
      </w:r>
      <w:r w:rsidR="00C0577E" w:rsidRPr="00C0577E">
        <w:rPr>
          <w:rFonts w:ascii="Arial" w:hAnsi="Arial" w:cs="Arial"/>
          <w:sz w:val="22"/>
          <w:szCs w:val="22"/>
          <w:vertAlign w:val="superscript"/>
        </w:rPr>
        <w:t>2</w:t>
      </w:r>
      <w:r>
        <w:rPr>
          <w:rFonts w:ascii="Arial" w:hAnsi="Arial" w:cs="Arial"/>
          <w:sz w:val="22"/>
          <w:szCs w:val="22"/>
        </w:rPr>
        <w:t xml:space="preserve">, </w:t>
      </w:r>
      <w:r w:rsidR="00C0577E" w:rsidRPr="00C0577E">
        <w:rPr>
          <w:rFonts w:ascii="Arial" w:hAnsi="Arial" w:cs="Arial"/>
          <w:sz w:val="22"/>
          <w:szCs w:val="22"/>
        </w:rPr>
        <w:t>and</w:t>
      </w:r>
      <w:r w:rsidR="00C0577E">
        <w:rPr>
          <w:rFonts w:ascii="Arial" w:hAnsi="Arial" w:cs="Arial"/>
          <w:sz w:val="22"/>
          <w:szCs w:val="22"/>
        </w:rPr>
        <w:t xml:space="preserve"> the area of occupancy </w:t>
      </w:r>
      <w:r w:rsidR="00C00182">
        <w:rPr>
          <w:rFonts w:ascii="Arial" w:hAnsi="Arial" w:cs="Arial"/>
          <w:sz w:val="22"/>
          <w:szCs w:val="22"/>
        </w:rPr>
        <w:t xml:space="preserve">(AOO) </w:t>
      </w:r>
      <w:r w:rsidR="00C0577E">
        <w:rPr>
          <w:rFonts w:ascii="Arial" w:hAnsi="Arial" w:cs="Arial"/>
          <w:sz w:val="22"/>
          <w:szCs w:val="22"/>
        </w:rPr>
        <w:t xml:space="preserve">is </w:t>
      </w:r>
      <w:r>
        <w:rPr>
          <w:rFonts w:ascii="Arial" w:hAnsi="Arial" w:cs="Arial"/>
          <w:sz w:val="22"/>
          <w:szCs w:val="22"/>
        </w:rPr>
        <w:t xml:space="preserve">estimated </w:t>
      </w:r>
      <w:r w:rsidR="00C0577E">
        <w:rPr>
          <w:rFonts w:ascii="Arial" w:hAnsi="Arial" w:cs="Arial"/>
          <w:sz w:val="22"/>
          <w:szCs w:val="22"/>
        </w:rPr>
        <w:t>to be 576 km</w:t>
      </w:r>
      <w:r w:rsidR="00C0577E">
        <w:rPr>
          <w:rFonts w:ascii="Arial" w:hAnsi="Arial" w:cs="Arial"/>
          <w:sz w:val="22"/>
          <w:szCs w:val="22"/>
          <w:vertAlign w:val="superscript"/>
        </w:rPr>
        <w:t xml:space="preserve">2 </w:t>
      </w:r>
      <w:r w:rsidR="00ED1006">
        <w:rPr>
          <w:rFonts w:ascii="Arial" w:hAnsi="Arial" w:cs="Arial"/>
          <w:sz w:val="22"/>
          <w:szCs w:val="22"/>
        </w:rPr>
        <w:t xml:space="preserve">(see Figure 1, page 11) </w:t>
      </w:r>
      <w:r w:rsidR="00C0577E">
        <w:rPr>
          <w:rFonts w:ascii="Arial" w:hAnsi="Arial" w:cs="Arial"/>
          <w:sz w:val="22"/>
          <w:szCs w:val="22"/>
        </w:rPr>
        <w:t>(</w:t>
      </w:r>
      <w:proofErr w:type="spellStart"/>
      <w:r w:rsidR="00C0577E">
        <w:rPr>
          <w:rFonts w:ascii="Arial" w:hAnsi="Arial" w:cs="Arial"/>
          <w:sz w:val="22"/>
          <w:szCs w:val="22"/>
        </w:rPr>
        <w:t>DoEE</w:t>
      </w:r>
      <w:proofErr w:type="spellEnd"/>
      <w:r w:rsidR="00C0577E">
        <w:rPr>
          <w:rFonts w:ascii="Arial" w:hAnsi="Arial" w:cs="Arial"/>
          <w:sz w:val="22"/>
          <w:szCs w:val="22"/>
        </w:rPr>
        <w:t> 2017).</w:t>
      </w:r>
      <w:r w:rsidR="001B60D7">
        <w:rPr>
          <w:rFonts w:ascii="Arial" w:hAnsi="Arial" w:cs="Arial"/>
          <w:sz w:val="22"/>
          <w:szCs w:val="22"/>
        </w:rPr>
        <w:t xml:space="preserve"> </w:t>
      </w:r>
      <w:r w:rsidR="00C00182">
        <w:rPr>
          <w:rFonts w:ascii="Arial" w:hAnsi="Arial" w:cs="Arial"/>
          <w:sz w:val="22"/>
          <w:szCs w:val="22"/>
        </w:rPr>
        <w:t xml:space="preserve">These figures are based on the mapping of point records since 1997, obtained from state governments, museums and CSIRO. </w:t>
      </w:r>
      <w:r w:rsidR="001B60D7">
        <w:rPr>
          <w:rFonts w:ascii="Arial" w:hAnsi="Arial" w:cs="Arial"/>
          <w:sz w:val="22"/>
          <w:szCs w:val="22"/>
        </w:rPr>
        <w:t>Therefore, the area of occupancy classifies as limited.</w:t>
      </w:r>
      <w:r w:rsidR="00C00182">
        <w:rPr>
          <w:rFonts w:ascii="Arial" w:hAnsi="Arial" w:cs="Arial"/>
          <w:sz w:val="22"/>
          <w:szCs w:val="22"/>
        </w:rPr>
        <w:t xml:space="preserve"> </w:t>
      </w:r>
      <w:r w:rsidR="00C00182" w:rsidRPr="00C00182">
        <w:rPr>
          <w:rFonts w:ascii="Arial" w:hAnsi="Arial" w:cs="Arial"/>
          <w:sz w:val="22"/>
          <w:szCs w:val="22"/>
        </w:rPr>
        <w:t>The EOO was calculated using a minimum convex hull, and the AOO calculated using a 2x2 km grid cell method, based on the IU</w:t>
      </w:r>
      <w:r w:rsidR="00C00182">
        <w:rPr>
          <w:rFonts w:ascii="Arial" w:hAnsi="Arial" w:cs="Arial"/>
          <w:sz w:val="22"/>
          <w:szCs w:val="22"/>
        </w:rPr>
        <w:t>CN Red List Guidelines 2014</w:t>
      </w:r>
      <w:r w:rsidR="00ED1006">
        <w:rPr>
          <w:rFonts w:ascii="Arial" w:hAnsi="Arial" w:cs="Arial"/>
          <w:sz w:val="22"/>
          <w:szCs w:val="22"/>
        </w:rPr>
        <w:t xml:space="preserve"> (see Figure 1, page 11)</w:t>
      </w:r>
      <w:r w:rsidR="00C00182">
        <w:rPr>
          <w:rFonts w:ascii="Arial" w:hAnsi="Arial" w:cs="Arial"/>
          <w:sz w:val="22"/>
          <w:szCs w:val="22"/>
        </w:rPr>
        <w:t xml:space="preserve"> (</w:t>
      </w:r>
      <w:proofErr w:type="spellStart"/>
      <w:r w:rsidR="00C00182">
        <w:rPr>
          <w:rFonts w:ascii="Arial" w:hAnsi="Arial" w:cs="Arial"/>
          <w:sz w:val="22"/>
          <w:szCs w:val="22"/>
        </w:rPr>
        <w:t>DoEE</w:t>
      </w:r>
      <w:proofErr w:type="spellEnd"/>
      <w:r w:rsidR="00ED1006">
        <w:rPr>
          <w:rFonts w:ascii="Arial" w:hAnsi="Arial" w:cs="Arial"/>
          <w:sz w:val="22"/>
          <w:szCs w:val="22"/>
        </w:rPr>
        <w:t> </w:t>
      </w:r>
      <w:r w:rsidR="00C00182">
        <w:rPr>
          <w:rFonts w:ascii="Arial" w:hAnsi="Arial" w:cs="Arial"/>
          <w:sz w:val="22"/>
          <w:szCs w:val="22"/>
        </w:rPr>
        <w:t>2017</w:t>
      </w:r>
      <w:r w:rsidR="00C00182" w:rsidRPr="00C00182">
        <w:rPr>
          <w:rFonts w:ascii="Arial" w:hAnsi="Arial" w:cs="Arial"/>
          <w:sz w:val="22"/>
          <w:szCs w:val="22"/>
        </w:rPr>
        <w:t>).</w:t>
      </w:r>
      <w:r w:rsidR="001B60D7">
        <w:rPr>
          <w:rFonts w:ascii="Arial" w:hAnsi="Arial" w:cs="Arial"/>
          <w:sz w:val="22"/>
          <w:szCs w:val="22"/>
        </w:rPr>
        <w:t xml:space="preserve"> </w:t>
      </w:r>
      <w:r w:rsidR="00C00182">
        <w:rPr>
          <w:rFonts w:ascii="Arial" w:hAnsi="Arial" w:cs="Arial"/>
          <w:sz w:val="22"/>
          <w:szCs w:val="22"/>
        </w:rPr>
        <w:t xml:space="preserve">With the estimate of AOO </w:t>
      </w:r>
      <w:r w:rsidR="003C2375">
        <w:rPr>
          <w:rFonts w:ascii="Arial" w:hAnsi="Arial" w:cs="Arial"/>
          <w:sz w:val="22"/>
          <w:szCs w:val="22"/>
        </w:rPr>
        <w:t>at 576 </w:t>
      </w:r>
      <w:r w:rsidR="003C2375" w:rsidRPr="003C2375">
        <w:rPr>
          <w:rFonts w:ascii="Arial" w:hAnsi="Arial" w:cs="Arial"/>
          <w:sz w:val="22"/>
          <w:szCs w:val="22"/>
        </w:rPr>
        <w:t>km</w:t>
      </w:r>
      <w:r w:rsidR="003C2375">
        <w:rPr>
          <w:rFonts w:ascii="Arial" w:hAnsi="Arial" w:cs="Arial"/>
          <w:sz w:val="22"/>
          <w:szCs w:val="22"/>
          <w:vertAlign w:val="superscript"/>
        </w:rPr>
        <w:t xml:space="preserve">2 </w:t>
      </w:r>
      <w:r w:rsidR="00C00182" w:rsidRPr="003C2375">
        <w:rPr>
          <w:rFonts w:ascii="Arial" w:hAnsi="Arial" w:cs="Arial"/>
          <w:sz w:val="22"/>
          <w:szCs w:val="22"/>
        </w:rPr>
        <w:t>as</w:t>
      </w:r>
      <w:r w:rsidR="00C00182">
        <w:rPr>
          <w:rFonts w:ascii="Arial" w:hAnsi="Arial" w:cs="Arial"/>
          <w:sz w:val="22"/>
          <w:szCs w:val="22"/>
        </w:rPr>
        <w:t xml:space="preserve"> the indicator, the geographic distribution of pinkeye mullet classifies as Limited.</w:t>
      </w:r>
    </w:p>
    <w:p w14:paraId="33672B68" w14:textId="2C4D42FD" w:rsidR="00F42BBF" w:rsidRDefault="001B60D7" w:rsidP="00167800">
      <w:pPr>
        <w:spacing w:after="200" w:line="276" w:lineRule="auto"/>
        <w:rPr>
          <w:rFonts w:ascii="Arial" w:hAnsi="Arial" w:cs="Arial"/>
          <w:sz w:val="22"/>
          <w:szCs w:val="22"/>
        </w:rPr>
      </w:pPr>
      <w:r>
        <w:rPr>
          <w:rFonts w:ascii="Arial" w:hAnsi="Arial" w:cs="Arial"/>
          <w:sz w:val="22"/>
          <w:szCs w:val="22"/>
        </w:rPr>
        <w:t xml:space="preserve">The geographic distribution is likely to be severely fragmented given that most eastern coastal river catchments in southern Queensland and throughout New South Wales </w:t>
      </w:r>
      <w:r w:rsidR="00EB5B91">
        <w:rPr>
          <w:rFonts w:ascii="Arial" w:hAnsi="Arial" w:cs="Arial"/>
          <w:sz w:val="22"/>
          <w:szCs w:val="22"/>
        </w:rPr>
        <w:t xml:space="preserve">have </w:t>
      </w:r>
      <w:r w:rsidR="00946E22">
        <w:rPr>
          <w:rFonts w:ascii="Arial" w:hAnsi="Arial" w:cs="Arial"/>
          <w:sz w:val="22"/>
          <w:szCs w:val="22"/>
        </w:rPr>
        <w:t>barriers to movement within channels (</w:t>
      </w:r>
      <w:proofErr w:type="spellStart"/>
      <w:r w:rsidR="00946E22">
        <w:rPr>
          <w:rFonts w:ascii="Arial" w:hAnsi="Arial" w:cs="Arial"/>
          <w:sz w:val="22"/>
          <w:szCs w:val="22"/>
        </w:rPr>
        <w:t>Gordos</w:t>
      </w:r>
      <w:proofErr w:type="spellEnd"/>
      <w:r w:rsidR="00946E22">
        <w:rPr>
          <w:rFonts w:ascii="Arial" w:hAnsi="Arial" w:cs="Arial"/>
          <w:sz w:val="22"/>
          <w:szCs w:val="22"/>
        </w:rPr>
        <w:t xml:space="preserve"> et al., 2007; </w:t>
      </w:r>
      <w:proofErr w:type="spellStart"/>
      <w:r w:rsidR="00946E22">
        <w:rPr>
          <w:rFonts w:ascii="Arial" w:hAnsi="Arial" w:cs="Arial"/>
          <w:sz w:val="22"/>
          <w:szCs w:val="22"/>
        </w:rPr>
        <w:t>SunWater</w:t>
      </w:r>
      <w:proofErr w:type="spellEnd"/>
      <w:r w:rsidR="00946E22">
        <w:rPr>
          <w:rFonts w:ascii="Arial" w:hAnsi="Arial" w:cs="Arial"/>
          <w:sz w:val="22"/>
          <w:szCs w:val="22"/>
        </w:rPr>
        <w:t xml:space="preserve"> 2010)</w:t>
      </w:r>
      <w:r w:rsidR="003C2375">
        <w:rPr>
          <w:rFonts w:ascii="Arial" w:hAnsi="Arial" w:cs="Arial"/>
          <w:sz w:val="22"/>
          <w:szCs w:val="22"/>
        </w:rPr>
        <w:t xml:space="preserve"> meeting Condition (a) of this Criterion</w:t>
      </w:r>
      <w:r w:rsidR="00946E22">
        <w:rPr>
          <w:rFonts w:ascii="Arial" w:hAnsi="Arial" w:cs="Arial"/>
          <w:sz w:val="22"/>
          <w:szCs w:val="22"/>
        </w:rPr>
        <w:t>.</w:t>
      </w:r>
      <w:r w:rsidR="00303A58">
        <w:rPr>
          <w:rFonts w:ascii="Arial" w:hAnsi="Arial" w:cs="Arial"/>
          <w:sz w:val="22"/>
          <w:szCs w:val="22"/>
        </w:rPr>
        <w:t xml:space="preserve"> Continuing decline is inferred given that the construction of additional barriers, </w:t>
      </w:r>
      <w:r w:rsidR="00303A58" w:rsidRPr="00303A58">
        <w:rPr>
          <w:rFonts w:ascii="Arial" w:hAnsi="Arial" w:cs="Arial"/>
          <w:sz w:val="22"/>
          <w:szCs w:val="22"/>
        </w:rPr>
        <w:t>such as dams, weirs, levees, culverts</w:t>
      </w:r>
      <w:r w:rsidR="00303A58">
        <w:rPr>
          <w:rFonts w:ascii="Arial" w:hAnsi="Arial" w:cs="Arial"/>
          <w:sz w:val="22"/>
          <w:szCs w:val="22"/>
        </w:rPr>
        <w:t xml:space="preserve"> within the species’ range are allowed for under existing Queensland and New South Wales legislation</w:t>
      </w:r>
      <w:r w:rsidR="003C2375">
        <w:rPr>
          <w:rFonts w:ascii="Arial" w:hAnsi="Arial" w:cs="Arial"/>
          <w:sz w:val="22"/>
          <w:szCs w:val="22"/>
        </w:rPr>
        <w:t>, meeting Condition (b)(iii) of this Criterion</w:t>
      </w:r>
      <w:r w:rsidR="00303A58">
        <w:rPr>
          <w:rFonts w:ascii="Arial" w:hAnsi="Arial" w:cs="Arial"/>
          <w:sz w:val="22"/>
          <w:szCs w:val="22"/>
        </w:rPr>
        <w:t xml:space="preserve">. </w:t>
      </w:r>
      <w:r w:rsidR="00C00182">
        <w:rPr>
          <w:rFonts w:ascii="Arial" w:hAnsi="Arial" w:cs="Arial"/>
          <w:sz w:val="22"/>
          <w:szCs w:val="22"/>
        </w:rPr>
        <w:t>These</w:t>
      </w:r>
      <w:r w:rsidR="00FC7433">
        <w:rPr>
          <w:rFonts w:ascii="Arial" w:hAnsi="Arial" w:cs="Arial"/>
          <w:sz w:val="22"/>
          <w:szCs w:val="22"/>
        </w:rPr>
        <w:t xml:space="preserve"> </w:t>
      </w:r>
      <w:r w:rsidR="00C00182">
        <w:rPr>
          <w:rFonts w:ascii="Arial" w:hAnsi="Arial" w:cs="Arial"/>
          <w:sz w:val="22"/>
          <w:szCs w:val="22"/>
        </w:rPr>
        <w:t>two conditions indicate that given geographic distribution of pinkeye mullet classifies as Limited, the species’ distribution is precarious for survival.</w:t>
      </w:r>
    </w:p>
    <w:p w14:paraId="33CD7B0A" w14:textId="3C93D8D3" w:rsidR="00303A58" w:rsidRDefault="0054669B" w:rsidP="00167800">
      <w:pPr>
        <w:spacing w:after="200" w:line="276" w:lineRule="auto"/>
        <w:rPr>
          <w:rFonts w:ascii="Arial" w:hAnsi="Arial" w:cs="Arial"/>
          <w:sz w:val="22"/>
          <w:szCs w:val="22"/>
        </w:rPr>
      </w:pPr>
      <w:r>
        <w:rPr>
          <w:rFonts w:ascii="Arial" w:hAnsi="Arial" w:cs="Arial"/>
          <w:sz w:val="22"/>
          <w:szCs w:val="22"/>
        </w:rPr>
        <w:t xml:space="preserve">In this context, </w:t>
      </w:r>
      <w:r w:rsidR="00303A58">
        <w:rPr>
          <w:rFonts w:ascii="Arial" w:hAnsi="Arial" w:cs="Arial"/>
          <w:sz w:val="22"/>
          <w:szCs w:val="22"/>
        </w:rPr>
        <w:t xml:space="preserve">the data presenting above appear to demonstrate that the species is </w:t>
      </w:r>
      <w:r w:rsidR="00303A58" w:rsidRPr="00140FD4">
        <w:rPr>
          <w:rFonts w:ascii="Arial" w:hAnsi="Arial" w:cs="Arial"/>
          <w:b/>
          <w:sz w:val="22"/>
          <w:szCs w:val="22"/>
        </w:rPr>
        <w:t>eligible for listing as Vulnerable</w:t>
      </w:r>
      <w:r w:rsidR="00303A58">
        <w:rPr>
          <w:rFonts w:ascii="Arial" w:hAnsi="Arial" w:cs="Arial"/>
          <w:sz w:val="22"/>
          <w:szCs w:val="22"/>
        </w:rPr>
        <w:t xml:space="preserve"> under this criterion. However, the purpose of this consultation document is to elicit additional information to better understand the </w:t>
      </w:r>
      <w:r w:rsidR="00C00182">
        <w:rPr>
          <w:rFonts w:ascii="Arial" w:hAnsi="Arial" w:cs="Arial"/>
          <w:sz w:val="22"/>
          <w:szCs w:val="22"/>
        </w:rPr>
        <w:t>species’</w:t>
      </w:r>
      <w:r w:rsidR="00303A58">
        <w:rPr>
          <w:rFonts w:ascii="Arial" w:hAnsi="Arial" w:cs="Arial"/>
          <w:sz w:val="22"/>
          <w:szCs w:val="22"/>
        </w:rPr>
        <w:t xml:space="preserve"> status. The conclusion should therefore be considered to be tentative at this stage, as it may be changed as a result of responses to this consultation process.</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54669B">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029EA88D" w:rsidR="003F4D21" w:rsidRPr="00506605" w:rsidRDefault="003F4D21" w:rsidP="00EC0A32">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54669B">
        <w:tc>
          <w:tcPr>
            <w:tcW w:w="3523" w:type="dxa"/>
            <w:gridSpan w:val="2"/>
            <w:tcBorders>
              <w:top w:val="nil"/>
              <w:left w:val="single" w:sz="4" w:space="0" w:color="auto"/>
              <w:bottom w:val="nil"/>
              <w:right w:val="nil"/>
            </w:tcBorders>
          </w:tcPr>
          <w:p w14:paraId="71590DEA" w14:textId="77777777" w:rsidR="003F4D21" w:rsidRPr="00715477" w:rsidRDefault="003F4D21" w:rsidP="00EC0A32">
            <w:pPr>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54669B">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EC0A32">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EC0A32">
            <w:pPr>
              <w:jc w:val="center"/>
              <w:rPr>
                <w:sz w:val="18"/>
                <w:szCs w:val="18"/>
              </w:rPr>
            </w:pPr>
            <w:r w:rsidRPr="00715477">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EC0A32">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54669B">
        <w:tc>
          <w:tcPr>
            <w:tcW w:w="3523"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EC0A32">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EC0A32">
            <w:pPr>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EC0A32">
            <w:pPr>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EC0A32">
            <w:pPr>
              <w:jc w:val="center"/>
              <w:rPr>
                <w:rFonts w:ascii="Arial" w:hAnsi="Arial" w:cs="Arial"/>
                <w:b/>
                <w:sz w:val="18"/>
                <w:szCs w:val="18"/>
              </w:rPr>
            </w:pPr>
          </w:p>
        </w:tc>
      </w:tr>
      <w:tr w:rsidR="003F4D21" w:rsidRPr="003D4002" w14:paraId="71590E06" w14:textId="77777777" w:rsidTr="0054669B">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EC0A32">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EC0A32">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EC0A32">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EC0A32">
            <w:pPr>
              <w:jc w:val="center"/>
              <w:rPr>
                <w:rFonts w:ascii="Arial" w:hAnsi="Arial" w:cs="Arial"/>
                <w:b/>
                <w:sz w:val="18"/>
                <w:szCs w:val="18"/>
              </w:rPr>
            </w:pPr>
            <w:r w:rsidRPr="003D4002">
              <w:rPr>
                <w:rFonts w:ascii="Arial" w:hAnsi="Arial" w:cs="Arial"/>
                <w:b/>
                <w:sz w:val="18"/>
                <w:szCs w:val="18"/>
              </w:rPr>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EC0A32">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EC0A32">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EC0A32">
            <w:pPr>
              <w:jc w:val="center"/>
              <w:rPr>
                <w:rFonts w:ascii="Arial" w:hAnsi="Arial" w:cs="Arial"/>
                <w:b/>
                <w:sz w:val="18"/>
                <w:szCs w:val="18"/>
              </w:rPr>
            </w:pPr>
            <w:r w:rsidRPr="003D4002">
              <w:rPr>
                <w:rFonts w:ascii="Arial" w:hAnsi="Arial" w:cs="Arial"/>
                <w:b/>
                <w:sz w:val="18"/>
                <w:szCs w:val="18"/>
              </w:rPr>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EC0A32">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EC0A32">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EC0A32">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54669B">
        <w:tc>
          <w:tcPr>
            <w:tcW w:w="3523"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EC0A32">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71590E08" w14:textId="77777777" w:rsidR="003F4D21" w:rsidRPr="00715477" w:rsidRDefault="003F4D21" w:rsidP="00EC0A32">
            <w:pPr>
              <w:rPr>
                <w:rFonts w:ascii="Arial" w:hAnsi="Arial" w:cs="Arial"/>
                <w:sz w:val="18"/>
                <w:szCs w:val="18"/>
              </w:rPr>
            </w:pPr>
          </w:p>
        </w:tc>
        <w:tc>
          <w:tcPr>
            <w:tcW w:w="1891" w:type="dxa"/>
            <w:tcBorders>
              <w:top w:val="nil"/>
              <w:left w:val="nil"/>
              <w:bottom w:val="nil"/>
              <w:right w:val="nil"/>
            </w:tcBorders>
          </w:tcPr>
          <w:p w14:paraId="71590E09" w14:textId="77777777" w:rsidR="003F4D21" w:rsidRPr="00715477" w:rsidRDefault="003F4D21" w:rsidP="00EC0A32">
            <w:pPr>
              <w:rPr>
                <w:rFonts w:ascii="Arial" w:hAnsi="Arial" w:cs="Arial"/>
                <w:sz w:val="18"/>
                <w:szCs w:val="18"/>
              </w:rPr>
            </w:pPr>
          </w:p>
        </w:tc>
        <w:tc>
          <w:tcPr>
            <w:tcW w:w="1964" w:type="dxa"/>
            <w:tcBorders>
              <w:top w:val="nil"/>
              <w:left w:val="nil"/>
              <w:bottom w:val="nil"/>
              <w:right w:val="single" w:sz="4" w:space="0" w:color="auto"/>
            </w:tcBorders>
          </w:tcPr>
          <w:p w14:paraId="71590E0A" w14:textId="77777777" w:rsidR="003F4D21" w:rsidRPr="00715477" w:rsidRDefault="003F4D21" w:rsidP="00EC0A32">
            <w:pPr>
              <w:rPr>
                <w:rFonts w:ascii="Arial" w:hAnsi="Arial" w:cs="Arial"/>
                <w:sz w:val="18"/>
                <w:szCs w:val="18"/>
              </w:rPr>
            </w:pPr>
          </w:p>
        </w:tc>
      </w:tr>
      <w:tr w:rsidR="003F4D21" w:rsidRPr="00715477" w14:paraId="71590E11" w14:textId="77777777" w:rsidTr="0054669B">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EC0A32">
            <w:pPr>
              <w:tabs>
                <w:tab w:val="left" w:pos="426"/>
              </w:tabs>
              <w:ind w:left="426" w:hanging="426"/>
              <w:rPr>
                <w:rFonts w:ascii="Arial" w:hAnsi="Arial" w:cs="Arial"/>
                <w:sz w:val="18"/>
                <w:szCs w:val="18"/>
              </w:rPr>
            </w:pPr>
            <w:r w:rsidRPr="00715477">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EC0A32">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54669B">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EC0A32">
            <w:pPr>
              <w:tabs>
                <w:tab w:val="left" w:pos="426"/>
              </w:tabs>
              <w:ind w:left="426" w:hanging="426"/>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EC0A32">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EC0A32">
            <w:pPr>
              <w:jc w:val="center"/>
              <w:rPr>
                <w:rFonts w:ascii="Arial" w:hAnsi="Arial" w:cs="Arial"/>
                <w:b/>
                <w:sz w:val="18"/>
                <w:szCs w:val="18"/>
              </w:rPr>
            </w:pPr>
            <w:r>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EC0A32">
            <w:pPr>
              <w:jc w:val="center"/>
              <w:rPr>
                <w:rFonts w:ascii="Arial" w:hAnsi="Arial" w:cs="Arial"/>
                <w:b/>
                <w:sz w:val="18"/>
                <w:szCs w:val="18"/>
              </w:rPr>
            </w:pPr>
            <w:r>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EC0A32">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54669B">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EC0A32">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EC0A32">
            <w:pPr>
              <w:tabs>
                <w:tab w:val="left" w:pos="426"/>
              </w:tabs>
              <w:ind w:left="426" w:hanging="426"/>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71590E1A" w14:textId="77777777" w:rsidR="003F4D21" w:rsidRPr="00715477" w:rsidRDefault="003F4D21" w:rsidP="00EC0A32">
            <w:pPr>
              <w:tabs>
                <w:tab w:val="left" w:pos="426"/>
              </w:tabs>
              <w:ind w:left="426" w:hanging="426"/>
              <w:rPr>
                <w:rFonts w:ascii="Arial" w:hAnsi="Arial" w:cs="Arial"/>
                <w:sz w:val="18"/>
                <w:szCs w:val="18"/>
              </w:rPr>
            </w:pPr>
          </w:p>
        </w:tc>
        <w:tc>
          <w:tcPr>
            <w:tcW w:w="1964"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EC0A32">
            <w:pPr>
              <w:tabs>
                <w:tab w:val="left" w:pos="426"/>
              </w:tabs>
              <w:ind w:left="426" w:hanging="426"/>
              <w:rPr>
                <w:rFonts w:ascii="Arial" w:hAnsi="Arial" w:cs="Arial"/>
                <w:sz w:val="18"/>
                <w:szCs w:val="18"/>
              </w:rPr>
            </w:pPr>
          </w:p>
        </w:tc>
      </w:tr>
    </w:tbl>
    <w:p w14:paraId="71590E1D" w14:textId="77777777" w:rsidR="00C55755" w:rsidRDefault="00C55755" w:rsidP="00167800">
      <w:pPr>
        <w:pStyle w:val="CAIntextheading1"/>
        <w:spacing w:after="200" w:line="276" w:lineRule="auto"/>
      </w:pPr>
      <w:r w:rsidRPr="001973B5">
        <w:t>Evidence</w:t>
      </w:r>
      <w:r>
        <w:t>:</w:t>
      </w:r>
    </w:p>
    <w:p w14:paraId="5FDACD97" w14:textId="73814330" w:rsidR="0016024F" w:rsidRPr="0016024F" w:rsidRDefault="0016024F" w:rsidP="00167800">
      <w:pPr>
        <w:spacing w:after="200" w:line="276" w:lineRule="auto"/>
        <w:rPr>
          <w:rFonts w:ascii="Arial" w:hAnsi="Arial" w:cs="Arial"/>
          <w:b/>
          <w:sz w:val="22"/>
          <w:szCs w:val="22"/>
        </w:rPr>
      </w:pPr>
      <w:r>
        <w:rPr>
          <w:rFonts w:ascii="Arial" w:hAnsi="Arial" w:cs="Arial"/>
          <w:b/>
          <w:sz w:val="22"/>
          <w:szCs w:val="22"/>
        </w:rPr>
        <w:t>Insufficient data to determine eligibility</w:t>
      </w:r>
    </w:p>
    <w:p w14:paraId="40FB7C34" w14:textId="63C0B20B" w:rsidR="0016024F" w:rsidRPr="0016024F" w:rsidRDefault="00986C14" w:rsidP="00167800">
      <w:pPr>
        <w:spacing w:after="200" w:line="276" w:lineRule="auto"/>
        <w:rPr>
          <w:rFonts w:ascii="Arial" w:hAnsi="Arial" w:cs="Arial"/>
          <w:sz w:val="22"/>
          <w:szCs w:val="22"/>
        </w:rPr>
      </w:pPr>
      <w:r>
        <w:rPr>
          <w:rFonts w:ascii="Arial" w:hAnsi="Arial" w:cs="Arial"/>
          <w:sz w:val="22"/>
          <w:szCs w:val="22"/>
        </w:rPr>
        <w:t>From a thorough desktop review of the available scientific literature, t</w:t>
      </w:r>
      <w:r w:rsidR="0016024F">
        <w:rPr>
          <w:rFonts w:ascii="Arial" w:hAnsi="Arial" w:cs="Arial"/>
          <w:sz w:val="22"/>
          <w:szCs w:val="22"/>
        </w:rPr>
        <w:t xml:space="preserve">here appears to be no definitive information on the number of mature individuals of pinkeye mullet across its entire distribution and </w:t>
      </w:r>
      <w:r w:rsidR="004B4BC6">
        <w:rPr>
          <w:rFonts w:ascii="Arial" w:hAnsi="Arial" w:cs="Arial"/>
          <w:sz w:val="22"/>
          <w:szCs w:val="22"/>
        </w:rPr>
        <w:t xml:space="preserve">it </w:t>
      </w:r>
      <w:r w:rsidR="0016024F">
        <w:rPr>
          <w:rFonts w:ascii="Arial" w:hAnsi="Arial" w:cs="Arial"/>
          <w:sz w:val="22"/>
          <w:szCs w:val="22"/>
        </w:rPr>
        <w:t>is unlikely to be eligible for listing under this criterion.</w:t>
      </w:r>
      <w:r w:rsidR="0016024F" w:rsidRPr="003659B1">
        <w:rPr>
          <w:rFonts w:ascii="Arial" w:hAnsi="Arial" w:cs="Arial"/>
          <w:sz w:val="22"/>
          <w:szCs w:val="22"/>
        </w:rPr>
        <w:t xml:space="preserve"> However, the purpose of this consultation </w:t>
      </w:r>
      <w:r w:rsidR="0016024F">
        <w:rPr>
          <w:rFonts w:ascii="Arial" w:hAnsi="Arial" w:cs="Arial"/>
          <w:sz w:val="22"/>
          <w:szCs w:val="22"/>
        </w:rPr>
        <w:t>document</w:t>
      </w:r>
      <w:r w:rsidR="0016024F" w:rsidRPr="003659B1">
        <w:rPr>
          <w:rFonts w:ascii="Arial" w:hAnsi="Arial" w:cs="Arial"/>
          <w:sz w:val="22"/>
          <w:szCs w:val="22"/>
        </w:rPr>
        <w:t xml:space="preserve"> is to elicit additional information to better understand the species</w:t>
      </w:r>
      <w:r w:rsidR="0016024F">
        <w:rPr>
          <w:rFonts w:ascii="Arial" w:hAnsi="Arial" w:cs="Arial"/>
          <w:sz w:val="22"/>
          <w:szCs w:val="22"/>
        </w:rPr>
        <w:t>’</w:t>
      </w:r>
      <w:r w:rsidR="0016024F"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16024F">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16024F">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AB5A2E">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16024F">
        <w:trPr>
          <w:trHeight w:val="524"/>
        </w:trPr>
        <w:tc>
          <w:tcPr>
            <w:tcW w:w="3416" w:type="dxa"/>
            <w:tcBorders>
              <w:top w:val="nil"/>
              <w:left w:val="single" w:sz="4" w:space="0" w:color="auto"/>
              <w:bottom w:val="nil"/>
              <w:right w:val="nil"/>
            </w:tcBorders>
          </w:tcPr>
          <w:p w14:paraId="71590E2C" w14:textId="77777777" w:rsidR="003F4D21" w:rsidRPr="00715477" w:rsidRDefault="003F4D21" w:rsidP="00EC0A32">
            <w:pPr>
              <w:rPr>
                <w:rFonts w:ascii="Arial" w:hAnsi="Arial"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EC0A32">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EC0A32">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198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EC0A32">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16024F">
        <w:trPr>
          <w:trHeight w:val="442"/>
        </w:trPr>
        <w:tc>
          <w:tcPr>
            <w:tcW w:w="34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EC0A32">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EC0A32">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3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EC0A32">
            <w:pPr>
              <w:jc w:val="center"/>
              <w:rPr>
                <w:sz w:val="18"/>
                <w:szCs w:val="18"/>
              </w:rPr>
            </w:pPr>
            <w:r>
              <w:rPr>
                <w:rFonts w:ascii="Arial" w:hAnsi="Arial" w:cs="Arial"/>
                <w:b/>
                <w:sz w:val="18"/>
                <w:szCs w:val="18"/>
              </w:rPr>
              <w:t>&lt; 250</w:t>
            </w:r>
          </w:p>
        </w:tc>
        <w:tc>
          <w:tcPr>
            <w:tcW w:w="198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EC0A32">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67800">
      <w:pPr>
        <w:pStyle w:val="CAIntextheading1"/>
        <w:spacing w:after="200" w:line="276" w:lineRule="auto"/>
      </w:pPr>
      <w:r w:rsidRPr="009975EA">
        <w:t>Evidence</w:t>
      </w:r>
      <w:r>
        <w:t>:</w:t>
      </w:r>
    </w:p>
    <w:p w14:paraId="03AA154E" w14:textId="3C48ED80" w:rsidR="00986C14" w:rsidRPr="00986C14" w:rsidRDefault="00986C14" w:rsidP="00167800">
      <w:pPr>
        <w:spacing w:after="200" w:line="276" w:lineRule="auto"/>
        <w:rPr>
          <w:rFonts w:ascii="Arial" w:hAnsi="Arial" w:cs="Arial"/>
          <w:b/>
          <w:sz w:val="22"/>
          <w:szCs w:val="22"/>
        </w:rPr>
      </w:pPr>
      <w:r>
        <w:rPr>
          <w:rFonts w:ascii="Arial" w:hAnsi="Arial" w:cs="Arial"/>
          <w:b/>
          <w:sz w:val="22"/>
          <w:szCs w:val="22"/>
        </w:rPr>
        <w:t>Insufficient data to determine eligibility</w:t>
      </w:r>
    </w:p>
    <w:p w14:paraId="71590E40" w14:textId="0D2BF6AE" w:rsidR="004F6E9D" w:rsidRDefault="00986C14" w:rsidP="00167800">
      <w:pPr>
        <w:spacing w:after="200" w:line="276" w:lineRule="auto"/>
        <w:rPr>
          <w:rFonts w:ascii="Arial" w:hAnsi="Arial" w:cs="Arial"/>
          <w:sz w:val="22"/>
          <w:szCs w:val="22"/>
        </w:rPr>
      </w:pPr>
      <w:r>
        <w:rPr>
          <w:rFonts w:ascii="Arial" w:hAnsi="Arial" w:cs="Arial"/>
          <w:sz w:val="22"/>
          <w:szCs w:val="22"/>
        </w:rPr>
        <w:t>As mentioned above, from a thorough desktop review of the available scientific literature, there appears to be no definitive information on the number of mature individuals of pinkeye mullet across its entire distribution and is unlikely to be eligible for listing under this criterion.</w:t>
      </w:r>
      <w:r w:rsidR="004F6E9D" w:rsidRPr="003659B1">
        <w:rPr>
          <w:rFonts w:ascii="Arial" w:hAnsi="Arial" w:cs="Arial"/>
          <w:sz w:val="22"/>
          <w:szCs w:val="22"/>
        </w:rPr>
        <w:t xml:space="preserve">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837A25">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44" w14:textId="1BB4E28C" w:rsidR="003F4D21" w:rsidRPr="00506605" w:rsidRDefault="003F4D21" w:rsidP="00EC0A32">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837A25">
        <w:trPr>
          <w:trHeight w:val="439"/>
        </w:trPr>
        <w:tc>
          <w:tcPr>
            <w:tcW w:w="3408" w:type="dxa"/>
            <w:tcBorders>
              <w:top w:val="nil"/>
              <w:left w:val="single" w:sz="4" w:space="0" w:color="auto"/>
              <w:bottom w:val="nil"/>
              <w:right w:val="nil"/>
            </w:tcBorders>
          </w:tcPr>
          <w:p w14:paraId="71590E46" w14:textId="77777777" w:rsidR="003F4D21" w:rsidRPr="00715477" w:rsidRDefault="003F4D21" w:rsidP="00EC0A32">
            <w:pPr>
              <w:rPr>
                <w:rFonts w:ascii="Arial" w:hAnsi="Arial" w:cs="Arial"/>
                <w:sz w:val="18"/>
                <w:szCs w:val="18"/>
              </w:rPr>
            </w:pPr>
          </w:p>
        </w:tc>
        <w:tc>
          <w:tcPr>
            <w:tcW w:w="2045"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EC0A32">
            <w:pPr>
              <w:jc w:val="center"/>
              <w:rPr>
                <w:rFonts w:ascii="Arial" w:hAnsi="Arial" w:cs="Arial"/>
                <w:b/>
                <w:sz w:val="18"/>
                <w:szCs w:val="18"/>
              </w:rPr>
            </w:pPr>
            <w:r>
              <w:rPr>
                <w:rFonts w:ascii="Arial" w:hAnsi="Arial" w:cs="Arial"/>
                <w:b/>
                <w:sz w:val="18"/>
                <w:szCs w:val="18"/>
              </w:rPr>
              <w:t>Immediate future</w:t>
            </w:r>
          </w:p>
        </w:tc>
        <w:tc>
          <w:tcPr>
            <w:tcW w:w="19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EC0A32">
            <w:pPr>
              <w:jc w:val="center"/>
              <w:rPr>
                <w:rFonts w:ascii="Arial" w:hAnsi="Arial" w:cs="Arial"/>
                <w:b/>
                <w:sz w:val="18"/>
                <w:szCs w:val="18"/>
              </w:rPr>
            </w:pPr>
            <w:r>
              <w:rPr>
                <w:rFonts w:ascii="Arial" w:hAnsi="Arial" w:cs="Arial"/>
                <w:b/>
                <w:sz w:val="18"/>
                <w:szCs w:val="18"/>
              </w:rPr>
              <w:t>Near future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EC0A32">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EC0A32">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837A25">
        <w:trPr>
          <w:trHeight w:val="442"/>
        </w:trPr>
        <w:tc>
          <w:tcPr>
            <w:tcW w:w="3408"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EC0A32">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45"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EC0A32">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3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EC0A32">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198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EC0A32">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67800">
      <w:pPr>
        <w:pStyle w:val="CAIntextheading1"/>
        <w:spacing w:after="200" w:line="276" w:lineRule="auto"/>
      </w:pPr>
      <w:r w:rsidRPr="009975EA">
        <w:t>Evidence</w:t>
      </w:r>
      <w:r>
        <w:t>:</w:t>
      </w:r>
    </w:p>
    <w:p w14:paraId="34CEB8B5" w14:textId="1658F929" w:rsidR="0077112C" w:rsidRPr="0077112C" w:rsidRDefault="0077112C" w:rsidP="00167800">
      <w:pPr>
        <w:spacing w:after="200" w:line="276" w:lineRule="auto"/>
        <w:rPr>
          <w:rFonts w:ascii="Arial" w:hAnsi="Arial" w:cs="Arial"/>
          <w:b/>
          <w:sz w:val="22"/>
          <w:szCs w:val="22"/>
        </w:rPr>
      </w:pPr>
      <w:r>
        <w:rPr>
          <w:rFonts w:ascii="Arial" w:hAnsi="Arial" w:cs="Arial"/>
          <w:b/>
          <w:sz w:val="22"/>
          <w:szCs w:val="22"/>
        </w:rPr>
        <w:t>Insufficient data to determine eligibility</w:t>
      </w:r>
    </w:p>
    <w:p w14:paraId="71590E5B" w14:textId="4E8EB077" w:rsidR="004F6E9D" w:rsidRDefault="00A43051" w:rsidP="00167800">
      <w:pPr>
        <w:spacing w:after="200" w:line="276" w:lineRule="auto"/>
        <w:rPr>
          <w:rFonts w:ascii="Arial" w:hAnsi="Arial" w:cs="Arial"/>
          <w:sz w:val="22"/>
          <w:szCs w:val="22"/>
        </w:rPr>
      </w:pPr>
      <w:r>
        <w:rPr>
          <w:rFonts w:ascii="Arial" w:hAnsi="Arial" w:cs="Arial"/>
          <w:sz w:val="22"/>
          <w:szCs w:val="22"/>
        </w:rPr>
        <w:t>From a thorough desktop review of the available scientific literature, it appears that no population viability analysis has been undertaken for pinkeye mullet and</w:t>
      </w:r>
      <w:r w:rsidR="005416F2">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7A168B7C" w14:textId="77777777" w:rsidR="00C50740" w:rsidRDefault="00C50740" w:rsidP="00167800">
      <w:pPr>
        <w:pStyle w:val="CAmajorheading"/>
        <w:spacing w:after="200" w:line="276" w:lineRule="auto"/>
        <w:rPr>
          <w:lang w:eastAsia="en-AU"/>
        </w:rPr>
      </w:pPr>
    </w:p>
    <w:p w14:paraId="71590E67" w14:textId="7EE3755C" w:rsidR="004109D9" w:rsidRPr="00615CF6" w:rsidRDefault="00615CF6" w:rsidP="00167800">
      <w:pPr>
        <w:pStyle w:val="CAmajorheading"/>
        <w:spacing w:after="200" w:line="276" w:lineRule="auto"/>
        <w:rPr>
          <w:lang w:eastAsia="en-AU"/>
        </w:rPr>
      </w:pPr>
      <w:r w:rsidRPr="00615CF6">
        <w:rPr>
          <w:lang w:eastAsia="en-AU"/>
        </w:rPr>
        <w:t>Conservation Actions</w:t>
      </w:r>
    </w:p>
    <w:p w14:paraId="71590E68" w14:textId="77777777" w:rsidR="00615CF6" w:rsidRPr="00F328C0" w:rsidRDefault="00615CF6" w:rsidP="00167800">
      <w:pPr>
        <w:pStyle w:val="CAIntextheading1"/>
        <w:spacing w:after="200" w:line="276" w:lineRule="auto"/>
      </w:pPr>
      <w:r w:rsidRPr="00F328C0">
        <w:t>Recovery Plan</w:t>
      </w:r>
    </w:p>
    <w:p w14:paraId="71590E69" w14:textId="056D332D" w:rsidR="00615CF6" w:rsidRDefault="00615CF6" w:rsidP="00167800">
      <w:pPr>
        <w:keepNext/>
        <w:keepLines/>
        <w:spacing w:after="200" w:line="276" w:lineRule="auto"/>
        <w:rPr>
          <w:rFonts w:ascii="Arial" w:hAnsi="Arial" w:cs="Arial"/>
          <w:sz w:val="22"/>
          <w:szCs w:val="22"/>
        </w:rPr>
      </w:pPr>
      <w:r w:rsidRPr="008C4B90">
        <w:rPr>
          <w:rFonts w:ascii="Arial" w:hAnsi="Arial" w:cs="Arial"/>
          <w:sz w:val="22"/>
          <w:szCs w:val="22"/>
        </w:rPr>
        <w:t xml:space="preserve">A decision about whether there should be a recovery plan for this species has not yet been determined. The purpose of this consultation </w:t>
      </w:r>
      <w:r w:rsidR="005416F2" w:rsidRPr="008C4B90">
        <w:rPr>
          <w:rFonts w:ascii="Arial" w:hAnsi="Arial" w:cs="Arial"/>
          <w:sz w:val="22"/>
          <w:szCs w:val="22"/>
        </w:rPr>
        <w:t>document</w:t>
      </w:r>
      <w:r w:rsidRPr="008C4B90">
        <w:rPr>
          <w:rFonts w:ascii="Arial" w:hAnsi="Arial" w:cs="Arial"/>
          <w:sz w:val="22"/>
          <w:szCs w:val="22"/>
        </w:rPr>
        <w:t xml:space="preserve"> is to elicit additional information to help inform this decision.</w:t>
      </w:r>
    </w:p>
    <w:p w14:paraId="2C1E432C" w14:textId="77777777" w:rsidR="005C54D6" w:rsidRPr="00F328C0" w:rsidRDefault="005C54D6" w:rsidP="005C54D6">
      <w:pPr>
        <w:pStyle w:val="CAIntextheading1"/>
        <w:spacing w:after="200" w:line="276" w:lineRule="auto"/>
      </w:pPr>
      <w:r>
        <w:t>Primary Conservation Action</w:t>
      </w:r>
    </w:p>
    <w:p w14:paraId="52E7FA25" w14:textId="00C97FA0" w:rsidR="005C54D6" w:rsidRPr="00140FD4" w:rsidRDefault="005C54D6" w:rsidP="00140FD4">
      <w:pPr>
        <w:pStyle w:val="CAIntextheading1"/>
        <w:tabs>
          <w:tab w:val="clear" w:pos="426"/>
        </w:tabs>
        <w:spacing w:after="200" w:line="276" w:lineRule="auto"/>
        <w:ind w:left="0" w:firstLine="0"/>
        <w:rPr>
          <w:b w:val="0"/>
        </w:rPr>
      </w:pPr>
      <w:r w:rsidRPr="00140FD4">
        <w:rPr>
          <w:b w:val="0"/>
        </w:rPr>
        <w:t>Implement management and engineering solutions to physical barriers, such as dams, weirs, levees, culverts, to improve connectivity between freshwater and estuarine habitats in coastal river catchments where pinkeye mullet are found, or have been known to occur.</w:t>
      </w:r>
    </w:p>
    <w:p w14:paraId="71590E6C" w14:textId="77777777" w:rsidR="00825EDD" w:rsidRDefault="00825EDD" w:rsidP="00167800">
      <w:pPr>
        <w:pStyle w:val="CAIntextheading1"/>
        <w:spacing w:after="200" w:line="276" w:lineRule="auto"/>
      </w:pPr>
      <w:r>
        <w:t xml:space="preserve">Conservation and Management </w:t>
      </w:r>
      <w:r w:rsidR="00DA5667">
        <w:t>Priorities</w:t>
      </w:r>
    </w:p>
    <w:p w14:paraId="11B1C559" w14:textId="24B061D5" w:rsidR="007854E8" w:rsidRPr="007854E8" w:rsidRDefault="007854E8" w:rsidP="00167800">
      <w:pPr>
        <w:spacing w:before="240" w:after="200" w:line="276" w:lineRule="auto"/>
        <w:rPr>
          <w:rFonts w:ascii="Arial" w:hAnsi="Arial" w:cs="Arial"/>
          <w:sz w:val="22"/>
          <w:szCs w:val="22"/>
        </w:rPr>
      </w:pPr>
      <w:r w:rsidRPr="0078699D">
        <w:rPr>
          <w:rFonts w:ascii="Arial" w:hAnsi="Arial" w:cs="Arial"/>
          <w:sz w:val="22"/>
          <w:szCs w:val="22"/>
        </w:rPr>
        <w:t xml:space="preserve">Habitat </w:t>
      </w:r>
      <w:r>
        <w:rPr>
          <w:rFonts w:ascii="Arial" w:hAnsi="Arial" w:cs="Arial"/>
          <w:sz w:val="22"/>
          <w:szCs w:val="22"/>
        </w:rPr>
        <w:t>loss, disturbance and modification</w:t>
      </w:r>
    </w:p>
    <w:p w14:paraId="254B64DA" w14:textId="6ECBC703" w:rsidR="00E32124" w:rsidRDefault="00F87DE9" w:rsidP="00F71CA9">
      <w:pPr>
        <w:pStyle w:val="CAdotminor"/>
        <w:spacing w:after="200"/>
        <w:rPr>
          <w:bCs/>
          <w:color w:val="auto"/>
          <w:lang w:eastAsia="en-AU"/>
        </w:rPr>
      </w:pPr>
      <w:r>
        <w:rPr>
          <w:bCs/>
          <w:color w:val="auto"/>
          <w:lang w:eastAsia="en-AU"/>
        </w:rPr>
        <w:t>Revegetate and protect riparian vegetation in coastal river catchments in Queensland and New South Wales where pinkeye mullet are found, or have been known to occur.</w:t>
      </w:r>
    </w:p>
    <w:p w14:paraId="71590E98" w14:textId="1CDD11F4" w:rsidR="00B01B1D" w:rsidRPr="002E49D7" w:rsidRDefault="004C2C75" w:rsidP="00167800">
      <w:pPr>
        <w:pStyle w:val="ListBullet"/>
        <w:numPr>
          <w:ilvl w:val="0"/>
          <w:numId w:val="0"/>
        </w:numPr>
        <w:spacing w:after="200" w:line="276" w:lineRule="auto"/>
        <w:rPr>
          <w:rFonts w:ascii="Arial" w:hAnsi="Arial" w:cs="Arial"/>
          <w:sz w:val="22"/>
          <w:szCs w:val="22"/>
        </w:rPr>
      </w:pPr>
      <w:r w:rsidRPr="002E49D7">
        <w:rPr>
          <w:rFonts w:ascii="Arial" w:hAnsi="Arial" w:cs="Arial"/>
          <w:sz w:val="22"/>
          <w:szCs w:val="22"/>
        </w:rPr>
        <w:t xml:space="preserve">Stakeholder </w:t>
      </w:r>
      <w:r w:rsidR="009B07CD" w:rsidRPr="002E49D7">
        <w:rPr>
          <w:rFonts w:ascii="Arial" w:hAnsi="Arial" w:cs="Arial"/>
          <w:sz w:val="22"/>
          <w:szCs w:val="22"/>
        </w:rPr>
        <w:t>e</w:t>
      </w:r>
      <w:r w:rsidRPr="002E49D7">
        <w:rPr>
          <w:rFonts w:ascii="Arial" w:hAnsi="Arial" w:cs="Arial"/>
          <w:sz w:val="22"/>
          <w:szCs w:val="22"/>
        </w:rPr>
        <w:t>ngagement</w:t>
      </w:r>
    </w:p>
    <w:p w14:paraId="1339B82B" w14:textId="70AAC13C" w:rsidR="002E49D7" w:rsidRDefault="002E49D7" w:rsidP="00167800">
      <w:pPr>
        <w:pStyle w:val="CAdotminor"/>
        <w:spacing w:after="200"/>
        <w:rPr>
          <w:color w:val="auto"/>
        </w:rPr>
      </w:pPr>
      <w:r w:rsidRPr="002E49D7">
        <w:rPr>
          <w:color w:val="auto"/>
        </w:rPr>
        <w:t xml:space="preserve">Install appropriate signage (e.g. at boat ramps, popular fishing locations) and distribute literature educating recreational fishers </w:t>
      </w:r>
      <w:r>
        <w:rPr>
          <w:color w:val="auto"/>
        </w:rPr>
        <w:t>about how to identify pinkeye mullet (especially in comparison to other mullet species) and informing of its conservation status.</w:t>
      </w:r>
    </w:p>
    <w:p w14:paraId="69C90320" w14:textId="77777777" w:rsidR="00F536A4" w:rsidRDefault="00F536A4">
      <w:pPr>
        <w:rPr>
          <w:rFonts w:ascii="Arial" w:hAnsi="Arial" w:cs="Arial"/>
          <w:color w:val="000000" w:themeColor="text1"/>
          <w:sz w:val="22"/>
          <w:szCs w:val="22"/>
        </w:rPr>
      </w:pPr>
      <w:r>
        <w:br w:type="page"/>
      </w:r>
    </w:p>
    <w:p w14:paraId="7DE2EDD9" w14:textId="582DA2BD" w:rsidR="002178AE" w:rsidRPr="002178AE" w:rsidRDefault="002178AE" w:rsidP="00A62238">
      <w:pPr>
        <w:pStyle w:val="CAdotminor"/>
        <w:spacing w:after="200"/>
        <w:rPr>
          <w:color w:val="auto"/>
        </w:rPr>
      </w:pPr>
      <w:r w:rsidRPr="002178AE">
        <w:t>Engage with private landholders and land managers responsible for areas adjacent to</w:t>
      </w:r>
      <w:r>
        <w:t xml:space="preserve"> </w:t>
      </w:r>
      <w:r w:rsidRPr="002178AE">
        <w:t xml:space="preserve">waterways in which populations </w:t>
      </w:r>
      <w:r>
        <w:t xml:space="preserve">of pinkeye mullet inhabit at various times of the tear and </w:t>
      </w:r>
      <w:r w:rsidRPr="002178AE">
        <w:t>encourage these key</w:t>
      </w:r>
      <w:r>
        <w:t xml:space="preserve"> </w:t>
      </w:r>
      <w:r w:rsidRPr="002178AE">
        <w:rPr>
          <w:color w:val="auto"/>
        </w:rPr>
        <w:t>stakeholders to contribute to the implementation of conservation management actions.</w:t>
      </w:r>
    </w:p>
    <w:p w14:paraId="71590E9E" w14:textId="77777777" w:rsidR="00825EDD" w:rsidRPr="00962152" w:rsidRDefault="00EE4C43" w:rsidP="00167800">
      <w:pPr>
        <w:pStyle w:val="Normal12pt"/>
        <w:tabs>
          <w:tab w:val="left" w:pos="426"/>
        </w:tabs>
        <w:spacing w:after="200" w:line="276" w:lineRule="auto"/>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p w14:paraId="6F5E195B" w14:textId="77777777" w:rsidR="00684BC4" w:rsidRDefault="00684BC4" w:rsidP="00684BC4">
      <w:pPr>
        <w:pStyle w:val="CAdotminor"/>
        <w:spacing w:after="200"/>
        <w:rPr>
          <w:bCs/>
          <w:color w:val="auto"/>
          <w:lang w:eastAsia="en-AU"/>
        </w:rPr>
      </w:pPr>
      <w:r>
        <w:rPr>
          <w:bCs/>
          <w:color w:val="auto"/>
          <w:lang w:eastAsia="en-AU"/>
        </w:rPr>
        <w:t>Collect and record species-specific data of catch amounts (retained and discarded) for pinkeye mullet in all commercial fisheries where the species is caught.</w:t>
      </w:r>
    </w:p>
    <w:p w14:paraId="16B2872A" w14:textId="5FF2346A" w:rsidR="00634A41" w:rsidRDefault="00634A41" w:rsidP="00634A41">
      <w:pPr>
        <w:pStyle w:val="CAdotminor"/>
        <w:spacing w:after="200"/>
        <w:rPr>
          <w:color w:val="auto"/>
        </w:rPr>
      </w:pPr>
      <w:r>
        <w:rPr>
          <w:color w:val="auto"/>
        </w:rPr>
        <w:t xml:space="preserve">Survey and monitor population abundance </w:t>
      </w:r>
      <w:r w:rsidR="003225DE">
        <w:rPr>
          <w:color w:val="auto"/>
        </w:rPr>
        <w:t xml:space="preserve">across its range </w:t>
      </w:r>
      <w:r>
        <w:rPr>
          <w:color w:val="auto"/>
        </w:rPr>
        <w:t>sufficiently so that judgements can be made about the trajectory of its population (conservation) status.</w:t>
      </w:r>
    </w:p>
    <w:p w14:paraId="71590EAA" w14:textId="77777777" w:rsidR="00825EDD" w:rsidRPr="006A01F4" w:rsidRDefault="00825EDD" w:rsidP="00167800">
      <w:pPr>
        <w:pStyle w:val="Normal12pt"/>
        <w:spacing w:after="200" w:line="276" w:lineRule="auto"/>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14:paraId="3D7FA9A4" w14:textId="52F79AF7" w:rsidR="00CD053A" w:rsidRDefault="00CD053A" w:rsidP="00CD053A">
      <w:pPr>
        <w:pStyle w:val="CAdotmajor"/>
      </w:pPr>
      <w:r w:rsidRPr="00CD053A">
        <w:t>Investigate more effective fish transfer facilities to move</w:t>
      </w:r>
      <w:r>
        <w:t xml:space="preserve"> small to medium schooling fish, such as the pinkeye mullet,</w:t>
      </w:r>
      <w:r w:rsidRPr="00CD053A">
        <w:t xml:space="preserve"> upstream and downstream of man-made barriers built along river courses, such as dams and weirs, to determine the most suitable type</w:t>
      </w:r>
      <w:r>
        <w:t xml:space="preserve">s to allow </w:t>
      </w:r>
      <w:r w:rsidRPr="00CD053A">
        <w:t>movement.</w:t>
      </w:r>
    </w:p>
    <w:p w14:paraId="613661CD" w14:textId="44F110FB" w:rsidR="00ED1006" w:rsidRDefault="00CD053A" w:rsidP="00ED1006">
      <w:pPr>
        <w:pStyle w:val="CAdotmajor"/>
      </w:pPr>
      <w:r>
        <w:t>Study</w:t>
      </w:r>
      <w:r w:rsidR="00ED4C0A">
        <w:t xml:space="preserve"> the </w:t>
      </w:r>
      <w:r w:rsidR="000B1B6B">
        <w:t>impacts</w:t>
      </w:r>
      <w:r w:rsidR="00ED4C0A">
        <w:t xml:space="preserve"> of alien fish species, including but not limited to redfin perch, European carp, tilapia and </w:t>
      </w:r>
      <w:proofErr w:type="spellStart"/>
      <w:r w:rsidR="00ED4C0A">
        <w:t>gambusia</w:t>
      </w:r>
      <w:proofErr w:type="spellEnd"/>
      <w:r w:rsidR="00ED4C0A">
        <w:t>, on pinkeye mullet</w:t>
      </w:r>
      <w:r w:rsidR="000B1B6B">
        <w:t xml:space="preserve">. Specific focus should be placed </w:t>
      </w:r>
      <w:r w:rsidR="00ED4C0A">
        <w:t xml:space="preserve">on competition and predation </w:t>
      </w:r>
      <w:r w:rsidR="000B1B6B">
        <w:t>impacts</w:t>
      </w:r>
      <w:r w:rsidR="00ED4C0A">
        <w:t>.</w:t>
      </w:r>
      <w:r>
        <w:t xml:space="preserve"> This should include studying alien fish stomach contents using DNA assays (to detect small or visually unidentified samples)</w:t>
      </w:r>
      <w:r w:rsidR="00A1470E">
        <w:t>.</w:t>
      </w:r>
    </w:p>
    <w:p w14:paraId="5D3B7252" w14:textId="77777777" w:rsidR="00ED1006" w:rsidRDefault="00ED1006">
      <w:pPr>
        <w:rPr>
          <w:rFonts w:ascii="Arial" w:hAnsi="Arial" w:cs="Arial"/>
          <w:sz w:val="22"/>
          <w:szCs w:val="22"/>
        </w:rPr>
      </w:pPr>
      <w:r>
        <w:br w:type="page"/>
      </w:r>
    </w:p>
    <w:p w14:paraId="6FFA8E46" w14:textId="77777777" w:rsidR="00ED1006" w:rsidRDefault="00ED1006" w:rsidP="00892CA6">
      <w:pPr>
        <w:pStyle w:val="CAdotmajor"/>
        <w:keepNext/>
        <w:numPr>
          <w:ilvl w:val="0"/>
          <w:numId w:val="0"/>
        </w:numPr>
      </w:pPr>
      <w:r>
        <w:rPr>
          <w:noProof/>
          <w:lang w:eastAsia="en-AU"/>
        </w:rPr>
        <w:drawing>
          <wp:inline distT="0" distB="0" distL="0" distR="0" wp14:anchorId="61D3B92A" wp14:editId="62057BEB">
            <wp:extent cx="5958205" cy="802386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rotWithShape="1">
                    <a:blip r:embed="rId12" cstate="print">
                      <a:extLst>
                        <a:ext uri="{28A0092B-C50C-407E-A947-70E740481C1C}">
                          <a14:useLocalDpi xmlns:a14="http://schemas.microsoft.com/office/drawing/2010/main" val="0"/>
                        </a:ext>
                      </a:extLst>
                    </a:blip>
                    <a:srcRect t="4706"/>
                    <a:stretch/>
                  </pic:blipFill>
                  <pic:spPr bwMode="auto">
                    <a:xfrm>
                      <a:off x="0" y="0"/>
                      <a:ext cx="5958205" cy="8023860"/>
                    </a:xfrm>
                    <a:prstGeom prst="rect">
                      <a:avLst/>
                    </a:prstGeom>
                    <a:ln>
                      <a:noFill/>
                    </a:ln>
                    <a:extLst>
                      <a:ext uri="{53640926-AAD7-44D8-BBD7-CCE9431645EC}">
                        <a14:shadowObscured xmlns:a14="http://schemas.microsoft.com/office/drawing/2010/main"/>
                      </a:ext>
                    </a:extLst>
                  </pic:spPr>
                </pic:pic>
              </a:graphicData>
            </a:graphic>
          </wp:inline>
        </w:drawing>
      </w:r>
    </w:p>
    <w:p w14:paraId="60D0CA63" w14:textId="3687EFC4" w:rsidR="00ED1006" w:rsidRPr="00892CA6" w:rsidRDefault="00ED1006" w:rsidP="00892CA6">
      <w:pPr>
        <w:pStyle w:val="Caption"/>
      </w:pPr>
      <w:r w:rsidRPr="00892CA6">
        <w:rPr>
          <w:rFonts w:ascii="Arial" w:hAnsi="Arial" w:cs="Arial"/>
          <w:b/>
          <w:i w:val="0"/>
          <w:color w:val="auto"/>
          <w:sz w:val="22"/>
          <w:szCs w:val="22"/>
        </w:rPr>
        <w:t xml:space="preserve">Figure </w:t>
      </w:r>
      <w:r w:rsidRPr="00892CA6">
        <w:rPr>
          <w:rFonts w:ascii="Arial" w:hAnsi="Arial" w:cs="Arial"/>
          <w:b/>
          <w:i w:val="0"/>
          <w:color w:val="auto"/>
          <w:sz w:val="22"/>
          <w:szCs w:val="22"/>
        </w:rPr>
        <w:fldChar w:fldCharType="begin"/>
      </w:r>
      <w:r w:rsidRPr="00892CA6">
        <w:rPr>
          <w:rFonts w:ascii="Arial" w:hAnsi="Arial" w:cs="Arial"/>
          <w:b/>
          <w:i w:val="0"/>
          <w:color w:val="auto"/>
          <w:sz w:val="22"/>
          <w:szCs w:val="22"/>
        </w:rPr>
        <w:instrText xml:space="preserve"> SEQ Figure \* ARABIC </w:instrText>
      </w:r>
      <w:r w:rsidRPr="00892CA6">
        <w:rPr>
          <w:rFonts w:ascii="Arial" w:hAnsi="Arial" w:cs="Arial"/>
          <w:b/>
          <w:i w:val="0"/>
          <w:color w:val="auto"/>
          <w:sz w:val="22"/>
          <w:szCs w:val="22"/>
        </w:rPr>
        <w:fldChar w:fldCharType="separate"/>
      </w:r>
      <w:r w:rsidRPr="00892CA6">
        <w:rPr>
          <w:rFonts w:ascii="Arial" w:hAnsi="Arial" w:cs="Arial"/>
          <w:b/>
          <w:i w:val="0"/>
          <w:noProof/>
          <w:color w:val="auto"/>
          <w:sz w:val="22"/>
          <w:szCs w:val="22"/>
        </w:rPr>
        <w:t>1</w:t>
      </w:r>
      <w:r w:rsidRPr="00892CA6">
        <w:rPr>
          <w:rFonts w:ascii="Arial" w:hAnsi="Arial" w:cs="Arial"/>
          <w:b/>
          <w:i w:val="0"/>
          <w:color w:val="auto"/>
          <w:sz w:val="22"/>
          <w:szCs w:val="22"/>
        </w:rPr>
        <w:fldChar w:fldCharType="end"/>
      </w:r>
      <w:r w:rsidRPr="00892CA6">
        <w:rPr>
          <w:rFonts w:ascii="Arial" w:hAnsi="Arial" w:cs="Arial"/>
          <w:b/>
          <w:i w:val="0"/>
          <w:color w:val="auto"/>
          <w:sz w:val="22"/>
          <w:szCs w:val="22"/>
        </w:rPr>
        <w:t>:</w:t>
      </w:r>
      <w:r w:rsidRPr="00B64E61">
        <w:rPr>
          <w:rFonts w:ascii="Arial" w:hAnsi="Arial" w:cs="Arial"/>
          <w:i w:val="0"/>
          <w:color w:val="auto"/>
          <w:sz w:val="22"/>
          <w:szCs w:val="22"/>
        </w:rPr>
        <w:t xml:space="preserve"> </w:t>
      </w:r>
      <w:r>
        <w:rPr>
          <w:rFonts w:ascii="Arial" w:hAnsi="Arial" w:cs="Arial"/>
          <w:i w:val="0"/>
          <w:color w:val="auto"/>
          <w:sz w:val="22"/>
          <w:szCs w:val="22"/>
        </w:rPr>
        <w:t xml:space="preserve">Current distribution (EOO and AOO) </w:t>
      </w:r>
      <w:r w:rsidR="00B64E61">
        <w:rPr>
          <w:rFonts w:ascii="Arial" w:hAnsi="Arial" w:cs="Arial"/>
          <w:i w:val="0"/>
          <w:color w:val="auto"/>
          <w:sz w:val="22"/>
          <w:szCs w:val="22"/>
        </w:rPr>
        <w:t xml:space="preserve">of the </w:t>
      </w:r>
      <w:proofErr w:type="spellStart"/>
      <w:r w:rsidR="00B64E61" w:rsidRPr="00892CA6">
        <w:rPr>
          <w:rFonts w:ascii="Arial" w:hAnsi="Arial" w:cs="Arial"/>
          <w:color w:val="auto"/>
          <w:sz w:val="22"/>
          <w:szCs w:val="22"/>
        </w:rPr>
        <w:t>Trachystoma</w:t>
      </w:r>
      <w:proofErr w:type="spellEnd"/>
      <w:r w:rsidR="00B64E61" w:rsidRPr="00892CA6">
        <w:rPr>
          <w:rFonts w:ascii="Arial" w:hAnsi="Arial" w:cs="Arial"/>
          <w:color w:val="auto"/>
          <w:sz w:val="22"/>
          <w:szCs w:val="22"/>
        </w:rPr>
        <w:t> </w:t>
      </w:r>
      <w:proofErr w:type="spellStart"/>
      <w:r w:rsidR="00B64E61" w:rsidRPr="00892CA6">
        <w:rPr>
          <w:rFonts w:ascii="Arial" w:hAnsi="Arial" w:cs="Arial"/>
          <w:color w:val="auto"/>
          <w:sz w:val="22"/>
          <w:szCs w:val="22"/>
        </w:rPr>
        <w:t>petardi</w:t>
      </w:r>
      <w:proofErr w:type="spellEnd"/>
      <w:r w:rsidR="00B64E61">
        <w:rPr>
          <w:rFonts w:ascii="Arial" w:hAnsi="Arial" w:cs="Arial"/>
          <w:i w:val="0"/>
          <w:color w:val="auto"/>
          <w:sz w:val="22"/>
          <w:szCs w:val="22"/>
        </w:rPr>
        <w:t xml:space="preserve"> (pinkeye mullet) based on records </w:t>
      </w:r>
      <w:proofErr w:type="gramStart"/>
      <w:r w:rsidR="00B64E61">
        <w:rPr>
          <w:rFonts w:ascii="Arial" w:hAnsi="Arial" w:cs="Arial"/>
          <w:i w:val="0"/>
          <w:color w:val="auto"/>
          <w:sz w:val="22"/>
          <w:szCs w:val="22"/>
        </w:rPr>
        <w:t>between 1997–2017</w:t>
      </w:r>
      <w:proofErr w:type="gramEnd"/>
      <w:r w:rsidR="00B64E61">
        <w:rPr>
          <w:rFonts w:ascii="Arial" w:hAnsi="Arial" w:cs="Arial"/>
          <w:i w:val="0"/>
          <w:color w:val="auto"/>
          <w:sz w:val="22"/>
          <w:szCs w:val="22"/>
        </w:rPr>
        <w:t>.</w:t>
      </w:r>
    </w:p>
    <w:p w14:paraId="6C75880E" w14:textId="77777777" w:rsidR="007B3F40" w:rsidRDefault="007B3F40">
      <w:pPr>
        <w:rPr>
          <w:rFonts w:ascii="Arial" w:hAnsi="Arial" w:cs="Arial"/>
          <w:b/>
          <w:sz w:val="22"/>
          <w:szCs w:val="22"/>
          <w:u w:val="single"/>
        </w:rPr>
      </w:pPr>
      <w:r>
        <w:rPr>
          <w:rFonts w:ascii="Arial" w:hAnsi="Arial" w:cs="Arial"/>
          <w:b/>
          <w:sz w:val="22"/>
          <w:szCs w:val="22"/>
          <w:u w:val="single"/>
        </w:rPr>
        <w:br w:type="page"/>
      </w:r>
    </w:p>
    <w:p w14:paraId="71590ECC" w14:textId="4B16FBCF" w:rsidR="00121E1E" w:rsidRPr="00121E1E" w:rsidRDefault="005830B7" w:rsidP="00167800">
      <w:pPr>
        <w:pStyle w:val="Normal12ptCharCharCharCharCharChar"/>
        <w:spacing w:before="240" w:after="200" w:line="276" w:lineRule="auto"/>
        <w:rPr>
          <w:rFonts w:ascii="Arial" w:hAnsi="Arial" w:cs="Arial"/>
          <w:b/>
          <w:bCs/>
          <w:sz w:val="22"/>
          <w:szCs w:val="22"/>
          <w:u w:val="single"/>
        </w:rPr>
      </w:pPr>
      <w:r w:rsidRPr="005830B7">
        <w:rPr>
          <w:rFonts w:ascii="Arial" w:hAnsi="Arial" w:cs="Arial"/>
          <w:b/>
          <w:sz w:val="22"/>
          <w:szCs w:val="22"/>
          <w:u w:val="single"/>
        </w:rPr>
        <w:t>Collective list of questions</w:t>
      </w:r>
      <w:r w:rsidR="00A36CC3">
        <w:rPr>
          <w:rFonts w:ascii="Arial" w:hAnsi="Arial" w:cs="Arial"/>
          <w:b/>
          <w:sz w:val="22"/>
          <w:szCs w:val="22"/>
          <w:u w:val="single"/>
        </w:rPr>
        <w:t xml:space="preserve"> for pinkeye mullet (</w:t>
      </w:r>
      <w:proofErr w:type="spellStart"/>
      <w:r w:rsidR="00A36CC3">
        <w:rPr>
          <w:rFonts w:ascii="Arial" w:hAnsi="Arial" w:cs="Arial"/>
          <w:b/>
          <w:i/>
          <w:sz w:val="22"/>
          <w:szCs w:val="22"/>
          <w:u w:val="single"/>
        </w:rPr>
        <w:t>Trachystoma</w:t>
      </w:r>
      <w:proofErr w:type="spellEnd"/>
      <w:r w:rsidR="00A36CC3">
        <w:rPr>
          <w:rFonts w:ascii="Arial" w:hAnsi="Arial" w:cs="Arial"/>
          <w:b/>
          <w:i/>
          <w:sz w:val="22"/>
          <w:szCs w:val="22"/>
          <w:u w:val="single"/>
        </w:rPr>
        <w:t> </w:t>
      </w:r>
      <w:proofErr w:type="spellStart"/>
      <w:r w:rsidR="00A36CC3">
        <w:rPr>
          <w:rFonts w:ascii="Arial" w:hAnsi="Arial" w:cs="Arial"/>
          <w:b/>
          <w:i/>
          <w:sz w:val="22"/>
          <w:szCs w:val="22"/>
          <w:u w:val="single"/>
        </w:rPr>
        <w:t>petardi</w:t>
      </w:r>
      <w:proofErr w:type="spellEnd"/>
      <w:r w:rsidR="00A36CC3">
        <w:rPr>
          <w:rFonts w:ascii="Arial" w:hAnsi="Arial" w:cs="Arial"/>
          <w:b/>
          <w:sz w:val="22"/>
          <w:szCs w:val="22"/>
          <w:u w:val="single"/>
        </w:rPr>
        <w:t>)</w:t>
      </w:r>
      <w:r w:rsidRPr="005830B7">
        <w:rPr>
          <w:rFonts w:ascii="Arial" w:hAnsi="Arial" w:cs="Arial"/>
          <w:b/>
          <w:sz w:val="22"/>
          <w:szCs w:val="22"/>
          <w:u w:val="single"/>
        </w:rPr>
        <w:t xml:space="preserve"> – your views</w:t>
      </w:r>
    </w:p>
    <w:p w14:paraId="1F81D329" w14:textId="77777777" w:rsidR="007B3F40" w:rsidRPr="00797BA3" w:rsidRDefault="007B3F40" w:rsidP="007B3F40">
      <w:pPr>
        <w:spacing w:after="200" w:line="276" w:lineRule="auto"/>
        <w:rPr>
          <w:rFonts w:ascii="Arial" w:hAnsi="Arial" w:cs="Arial"/>
          <w:b/>
          <w:sz w:val="22"/>
          <w:szCs w:val="22"/>
        </w:rPr>
      </w:pPr>
      <w:r w:rsidRPr="00797BA3">
        <w:rPr>
          <w:rFonts w:ascii="Arial" w:hAnsi="Arial" w:cs="Arial"/>
          <w:b/>
          <w:sz w:val="22"/>
          <w:szCs w:val="22"/>
        </w:rPr>
        <w:t>Biological information</w:t>
      </w:r>
    </w:p>
    <w:p w14:paraId="528E9E2A" w14:textId="10420B40" w:rsidR="007B3F40" w:rsidRDefault="007B3F40" w:rsidP="007B3F40">
      <w:pPr>
        <w:numPr>
          <w:ilvl w:val="0"/>
          <w:numId w:val="33"/>
        </w:numPr>
        <w:tabs>
          <w:tab w:val="clear" w:pos="720"/>
        </w:tabs>
        <w:spacing w:after="200" w:line="276" w:lineRule="auto"/>
        <w:ind w:left="426" w:hanging="426"/>
        <w:rPr>
          <w:rFonts w:ascii="Arial" w:hAnsi="Arial" w:cs="Arial"/>
          <w:sz w:val="22"/>
          <w:szCs w:val="22"/>
        </w:rPr>
      </w:pPr>
      <w:r w:rsidRPr="00203935">
        <w:rPr>
          <w:rFonts w:ascii="Arial" w:hAnsi="Arial" w:cs="Arial"/>
          <w:sz w:val="22"/>
          <w:szCs w:val="22"/>
        </w:rPr>
        <w:t xml:space="preserve">Can you provide any </w:t>
      </w:r>
      <w:r w:rsidR="00A36CC3">
        <w:rPr>
          <w:rFonts w:ascii="Arial" w:hAnsi="Arial" w:cs="Arial"/>
          <w:sz w:val="22"/>
          <w:szCs w:val="22"/>
        </w:rPr>
        <w:t xml:space="preserve">additional </w:t>
      </w:r>
      <w:r w:rsidRPr="00203935">
        <w:rPr>
          <w:rFonts w:ascii="Arial" w:hAnsi="Arial" w:cs="Arial"/>
          <w:sz w:val="22"/>
          <w:szCs w:val="22"/>
        </w:rPr>
        <w:t xml:space="preserve">information or </w:t>
      </w:r>
      <w:r w:rsidR="00A36CC3">
        <w:rPr>
          <w:rFonts w:ascii="Arial" w:hAnsi="Arial" w:cs="Arial"/>
          <w:sz w:val="22"/>
          <w:szCs w:val="22"/>
        </w:rPr>
        <w:t xml:space="preserve">alternative </w:t>
      </w:r>
      <w:r w:rsidRPr="00203935">
        <w:rPr>
          <w:rFonts w:ascii="Arial" w:hAnsi="Arial" w:cs="Arial"/>
          <w:sz w:val="22"/>
          <w:szCs w:val="22"/>
        </w:rPr>
        <w:t xml:space="preserve">estimates </w:t>
      </w:r>
      <w:r>
        <w:rPr>
          <w:rFonts w:ascii="Arial" w:hAnsi="Arial" w:cs="Arial"/>
          <w:sz w:val="22"/>
          <w:szCs w:val="22"/>
        </w:rPr>
        <w:t xml:space="preserve">for the </w:t>
      </w:r>
      <w:r w:rsidR="00A1470E">
        <w:rPr>
          <w:rFonts w:ascii="Arial" w:hAnsi="Arial" w:cs="Arial"/>
          <w:sz w:val="22"/>
          <w:szCs w:val="22"/>
        </w:rPr>
        <w:t>pinkeye mullet’s</w:t>
      </w:r>
      <w:r>
        <w:rPr>
          <w:rFonts w:ascii="Arial" w:hAnsi="Arial" w:cs="Arial"/>
          <w:sz w:val="22"/>
          <w:szCs w:val="22"/>
        </w:rPr>
        <w:t xml:space="preserve"> </w:t>
      </w:r>
      <w:r w:rsidRPr="00203935">
        <w:rPr>
          <w:rFonts w:ascii="Arial" w:hAnsi="Arial" w:cs="Arial"/>
          <w:sz w:val="22"/>
          <w:szCs w:val="22"/>
        </w:rPr>
        <w:t>longevity</w:t>
      </w:r>
      <w:r w:rsidR="00A36CC3">
        <w:rPr>
          <w:rFonts w:ascii="Arial" w:hAnsi="Arial" w:cs="Arial"/>
          <w:sz w:val="22"/>
          <w:szCs w:val="22"/>
        </w:rPr>
        <w:t xml:space="preserve"> (14</w:t>
      </w:r>
      <w:r w:rsidR="00423808">
        <w:rPr>
          <w:rFonts w:ascii="Arial" w:hAnsi="Arial" w:cs="Arial"/>
          <w:sz w:val="22"/>
          <w:szCs w:val="22"/>
        </w:rPr>
        <w:t> </w:t>
      </w:r>
      <w:r w:rsidR="00A36CC3">
        <w:rPr>
          <w:rFonts w:ascii="Arial" w:hAnsi="Arial" w:cs="Arial"/>
          <w:sz w:val="22"/>
          <w:szCs w:val="22"/>
        </w:rPr>
        <w:t>years)</w:t>
      </w:r>
      <w:r w:rsidRPr="00203935">
        <w:rPr>
          <w:rFonts w:ascii="Arial" w:hAnsi="Arial" w:cs="Arial"/>
          <w:sz w:val="22"/>
          <w:szCs w:val="22"/>
        </w:rPr>
        <w:t xml:space="preserve">, </w:t>
      </w:r>
      <w:r>
        <w:rPr>
          <w:rFonts w:ascii="Arial" w:hAnsi="Arial" w:cs="Arial"/>
          <w:sz w:val="22"/>
          <w:szCs w:val="22"/>
        </w:rPr>
        <w:t>age-at-maturity</w:t>
      </w:r>
      <w:r w:rsidR="00A36CC3">
        <w:rPr>
          <w:rFonts w:ascii="Arial" w:hAnsi="Arial" w:cs="Arial"/>
          <w:sz w:val="22"/>
          <w:szCs w:val="22"/>
        </w:rPr>
        <w:t xml:space="preserve"> (4</w:t>
      </w:r>
      <w:r w:rsidR="003B13AC">
        <w:rPr>
          <w:rFonts w:ascii="Arial" w:hAnsi="Arial" w:cs="Arial"/>
          <w:sz w:val="22"/>
          <w:szCs w:val="22"/>
        </w:rPr>
        <w:t> </w:t>
      </w:r>
      <w:r w:rsidR="00A36CC3">
        <w:rPr>
          <w:rFonts w:ascii="Arial" w:hAnsi="Arial" w:cs="Arial"/>
          <w:sz w:val="22"/>
          <w:szCs w:val="22"/>
        </w:rPr>
        <w:t>years)</w:t>
      </w:r>
      <w:r w:rsidRPr="00203935">
        <w:rPr>
          <w:rFonts w:ascii="Arial" w:hAnsi="Arial" w:cs="Arial"/>
          <w:sz w:val="22"/>
          <w:szCs w:val="22"/>
        </w:rPr>
        <w:t xml:space="preserve"> </w:t>
      </w:r>
      <w:r>
        <w:rPr>
          <w:rFonts w:ascii="Arial" w:hAnsi="Arial" w:cs="Arial"/>
          <w:sz w:val="22"/>
          <w:szCs w:val="22"/>
        </w:rPr>
        <w:t>or</w:t>
      </w:r>
      <w:r w:rsidRPr="00203935">
        <w:rPr>
          <w:rFonts w:ascii="Arial" w:hAnsi="Arial" w:cs="Arial"/>
          <w:sz w:val="22"/>
          <w:szCs w:val="22"/>
        </w:rPr>
        <w:t xml:space="preserve"> generation length</w:t>
      </w:r>
      <w:r>
        <w:rPr>
          <w:rFonts w:ascii="Arial" w:hAnsi="Arial" w:cs="Arial"/>
          <w:sz w:val="22"/>
          <w:szCs w:val="22"/>
        </w:rPr>
        <w:t xml:space="preserve"> with supporting references</w:t>
      </w:r>
      <w:r w:rsidRPr="00203935">
        <w:rPr>
          <w:rFonts w:ascii="Arial" w:hAnsi="Arial" w:cs="Arial"/>
          <w:sz w:val="22"/>
          <w:szCs w:val="22"/>
        </w:rPr>
        <w:t>?</w:t>
      </w:r>
    </w:p>
    <w:p w14:paraId="352A0AF7" w14:textId="2C3DBD47" w:rsidR="00A1470E" w:rsidRDefault="00727F5F" w:rsidP="007B3F40">
      <w:pPr>
        <w:numPr>
          <w:ilvl w:val="0"/>
          <w:numId w:val="33"/>
        </w:numPr>
        <w:tabs>
          <w:tab w:val="clear" w:pos="720"/>
        </w:tabs>
        <w:spacing w:after="200" w:line="276" w:lineRule="auto"/>
        <w:ind w:left="426" w:hanging="426"/>
        <w:rPr>
          <w:rFonts w:ascii="Arial" w:hAnsi="Arial" w:cs="Arial"/>
          <w:sz w:val="22"/>
          <w:szCs w:val="22"/>
        </w:rPr>
      </w:pPr>
      <w:r>
        <w:rPr>
          <w:rFonts w:ascii="Arial" w:hAnsi="Arial" w:cs="Arial"/>
          <w:sz w:val="22"/>
          <w:szCs w:val="22"/>
        </w:rPr>
        <w:t xml:space="preserve">Given that the species appears to </w:t>
      </w:r>
      <w:r w:rsidR="00F50BD0">
        <w:rPr>
          <w:rFonts w:ascii="Arial" w:hAnsi="Arial" w:cs="Arial"/>
          <w:sz w:val="22"/>
          <w:szCs w:val="22"/>
        </w:rPr>
        <w:t xml:space="preserve">spawn in </w:t>
      </w:r>
      <w:r>
        <w:rPr>
          <w:rFonts w:ascii="Arial" w:hAnsi="Arial" w:cs="Arial"/>
          <w:sz w:val="22"/>
          <w:szCs w:val="22"/>
        </w:rPr>
        <w:t xml:space="preserve">freshwater habitats </w:t>
      </w:r>
      <w:r w:rsidR="00F50BD0">
        <w:rPr>
          <w:rFonts w:ascii="Arial" w:hAnsi="Arial" w:cs="Arial"/>
          <w:sz w:val="22"/>
          <w:szCs w:val="22"/>
        </w:rPr>
        <w:t xml:space="preserve">and larvae drift downstream to </w:t>
      </w:r>
      <w:r>
        <w:rPr>
          <w:rFonts w:ascii="Arial" w:hAnsi="Arial" w:cs="Arial"/>
          <w:sz w:val="22"/>
          <w:szCs w:val="22"/>
        </w:rPr>
        <w:t xml:space="preserve">more saline, estuarine </w:t>
      </w:r>
      <w:r w:rsidR="00F50BD0">
        <w:rPr>
          <w:rFonts w:ascii="Arial" w:hAnsi="Arial" w:cs="Arial"/>
          <w:sz w:val="22"/>
          <w:szCs w:val="22"/>
        </w:rPr>
        <w:t xml:space="preserve">and marine </w:t>
      </w:r>
      <w:r>
        <w:rPr>
          <w:rFonts w:ascii="Arial" w:hAnsi="Arial" w:cs="Arial"/>
          <w:sz w:val="22"/>
          <w:szCs w:val="22"/>
        </w:rPr>
        <w:t>habitats, c</w:t>
      </w:r>
      <w:r w:rsidR="00A1470E">
        <w:rPr>
          <w:rFonts w:ascii="Arial" w:hAnsi="Arial" w:cs="Arial"/>
          <w:sz w:val="22"/>
          <w:szCs w:val="22"/>
        </w:rPr>
        <w:t xml:space="preserve">an you provide any </w:t>
      </w:r>
      <w:r>
        <w:rPr>
          <w:rFonts w:ascii="Arial" w:hAnsi="Arial" w:cs="Arial"/>
          <w:sz w:val="22"/>
          <w:szCs w:val="22"/>
        </w:rPr>
        <w:t xml:space="preserve">additional </w:t>
      </w:r>
      <w:r w:rsidR="00A1470E">
        <w:rPr>
          <w:rFonts w:ascii="Arial" w:hAnsi="Arial" w:cs="Arial"/>
          <w:sz w:val="22"/>
          <w:szCs w:val="22"/>
        </w:rPr>
        <w:t xml:space="preserve">information regarding </w:t>
      </w:r>
      <w:r>
        <w:rPr>
          <w:rFonts w:ascii="Arial" w:hAnsi="Arial" w:cs="Arial"/>
          <w:sz w:val="22"/>
          <w:szCs w:val="22"/>
        </w:rPr>
        <w:t xml:space="preserve">its </w:t>
      </w:r>
      <w:r w:rsidR="00A1470E">
        <w:rPr>
          <w:rFonts w:ascii="Arial" w:hAnsi="Arial" w:cs="Arial"/>
          <w:sz w:val="22"/>
          <w:szCs w:val="22"/>
        </w:rPr>
        <w:t>requirements for recruitment?</w:t>
      </w:r>
    </w:p>
    <w:p w14:paraId="71590ECE" w14:textId="2102D2A5" w:rsidR="00121E1E" w:rsidRDefault="00A1470E" w:rsidP="00167800">
      <w:pPr>
        <w:pStyle w:val="Normal12ptCharCharCharCharCharChar"/>
        <w:spacing w:before="240" w:after="200" w:line="276" w:lineRule="auto"/>
        <w:rPr>
          <w:rFonts w:ascii="Arial" w:hAnsi="Arial" w:cs="Arial"/>
          <w:b/>
          <w:bCs/>
          <w:sz w:val="22"/>
          <w:szCs w:val="22"/>
        </w:rPr>
      </w:pPr>
      <w:r w:rsidRPr="00A1470E">
        <w:rPr>
          <w:rFonts w:ascii="Arial" w:hAnsi="Arial" w:cs="Arial"/>
          <w:b/>
          <w:bCs/>
          <w:sz w:val="22"/>
          <w:szCs w:val="22"/>
        </w:rPr>
        <w:t>Population size</w:t>
      </w:r>
    </w:p>
    <w:p w14:paraId="4712B448" w14:textId="2FE55213" w:rsidR="00FD1677" w:rsidRDefault="00FD1677" w:rsidP="00FD1677">
      <w:pPr>
        <w:numPr>
          <w:ilvl w:val="0"/>
          <w:numId w:val="33"/>
        </w:numPr>
        <w:tabs>
          <w:tab w:val="clear" w:pos="720"/>
        </w:tabs>
        <w:spacing w:after="200" w:line="276" w:lineRule="auto"/>
        <w:ind w:left="426" w:hanging="426"/>
        <w:rPr>
          <w:rFonts w:ascii="Arial" w:hAnsi="Arial" w:cs="Arial"/>
          <w:sz w:val="22"/>
          <w:szCs w:val="22"/>
        </w:rPr>
      </w:pPr>
      <w:r>
        <w:rPr>
          <w:rFonts w:ascii="Arial" w:hAnsi="Arial" w:cs="Arial"/>
          <w:sz w:val="22"/>
          <w:szCs w:val="22"/>
        </w:rPr>
        <w:t>Are you aware of any stock assessments for this species, or mullet species in general, on the east coast of Australia?</w:t>
      </w:r>
      <w:r w:rsidR="00EE04B0">
        <w:rPr>
          <w:rFonts w:ascii="Arial" w:hAnsi="Arial" w:cs="Arial"/>
          <w:sz w:val="22"/>
          <w:szCs w:val="22"/>
        </w:rPr>
        <w:t xml:space="preserve"> Please provide reference to any supporting information.</w:t>
      </w:r>
    </w:p>
    <w:p w14:paraId="0457D05F" w14:textId="502030B9" w:rsidR="00A1470E" w:rsidRDefault="00FD1677" w:rsidP="00167800">
      <w:pPr>
        <w:pStyle w:val="Normal12ptCharCharCharCharCharChar"/>
        <w:spacing w:before="240" w:after="200" w:line="276" w:lineRule="auto"/>
        <w:rPr>
          <w:rFonts w:ascii="Arial" w:hAnsi="Arial" w:cs="Arial"/>
          <w:b/>
          <w:bCs/>
          <w:sz w:val="22"/>
          <w:szCs w:val="22"/>
        </w:rPr>
      </w:pPr>
      <w:r>
        <w:rPr>
          <w:rFonts w:ascii="Arial" w:hAnsi="Arial" w:cs="Arial"/>
          <w:b/>
          <w:bCs/>
          <w:sz w:val="22"/>
          <w:szCs w:val="22"/>
        </w:rPr>
        <w:t>Evidence of total population size change</w:t>
      </w:r>
    </w:p>
    <w:p w14:paraId="7A84BE57" w14:textId="6329EAEC" w:rsidR="00FD1677" w:rsidRDefault="00FD1677" w:rsidP="00FD1677">
      <w:pPr>
        <w:numPr>
          <w:ilvl w:val="0"/>
          <w:numId w:val="33"/>
        </w:numPr>
        <w:tabs>
          <w:tab w:val="clear" w:pos="720"/>
        </w:tabs>
        <w:spacing w:after="200" w:line="276" w:lineRule="auto"/>
        <w:ind w:left="426" w:hanging="426"/>
        <w:rPr>
          <w:rFonts w:ascii="Arial" w:hAnsi="Arial" w:cs="Arial"/>
          <w:sz w:val="22"/>
          <w:szCs w:val="22"/>
        </w:rPr>
      </w:pPr>
      <w:r>
        <w:rPr>
          <w:rFonts w:ascii="Arial" w:hAnsi="Arial" w:cs="Arial"/>
          <w:sz w:val="22"/>
          <w:szCs w:val="22"/>
        </w:rPr>
        <w:t xml:space="preserve">Are you able to provide </w:t>
      </w:r>
      <w:r w:rsidR="00C66B40">
        <w:rPr>
          <w:rFonts w:ascii="Arial" w:hAnsi="Arial" w:cs="Arial"/>
          <w:sz w:val="22"/>
          <w:szCs w:val="22"/>
        </w:rPr>
        <w:t xml:space="preserve">an estimate </w:t>
      </w:r>
      <w:r>
        <w:rPr>
          <w:rFonts w:ascii="Arial" w:hAnsi="Arial" w:cs="Arial"/>
          <w:sz w:val="22"/>
          <w:szCs w:val="22"/>
        </w:rPr>
        <w:t xml:space="preserve">of </w:t>
      </w:r>
      <w:r w:rsidR="00C66B40">
        <w:rPr>
          <w:rFonts w:ascii="Arial" w:hAnsi="Arial" w:cs="Arial"/>
          <w:sz w:val="22"/>
          <w:szCs w:val="22"/>
        </w:rPr>
        <w:t xml:space="preserve">decline </w:t>
      </w:r>
      <w:r>
        <w:rPr>
          <w:rFonts w:ascii="Arial" w:hAnsi="Arial" w:cs="Arial"/>
          <w:sz w:val="22"/>
          <w:szCs w:val="22"/>
        </w:rPr>
        <w:t xml:space="preserve">in the total population size </w:t>
      </w:r>
      <w:r w:rsidR="00C66B40">
        <w:rPr>
          <w:rFonts w:ascii="Arial" w:hAnsi="Arial" w:cs="Arial"/>
          <w:sz w:val="22"/>
          <w:szCs w:val="22"/>
        </w:rPr>
        <w:t xml:space="preserve">over the last three </w:t>
      </w:r>
      <w:r>
        <w:rPr>
          <w:rFonts w:ascii="Arial" w:hAnsi="Arial" w:cs="Arial"/>
          <w:sz w:val="22"/>
          <w:szCs w:val="22"/>
        </w:rPr>
        <w:t>generations (</w:t>
      </w:r>
      <w:r w:rsidR="00AA0B4B">
        <w:rPr>
          <w:rFonts w:ascii="Arial" w:hAnsi="Arial" w:cs="Arial"/>
          <w:sz w:val="22"/>
          <w:szCs w:val="22"/>
        </w:rPr>
        <w:t>27 years</w:t>
      </w:r>
      <w:r>
        <w:rPr>
          <w:rFonts w:ascii="Arial" w:hAnsi="Arial" w:cs="Arial"/>
          <w:sz w:val="22"/>
          <w:szCs w:val="22"/>
        </w:rPr>
        <w:t>)?</w:t>
      </w:r>
      <w:r w:rsidR="00C66B40">
        <w:rPr>
          <w:rFonts w:ascii="Arial" w:hAnsi="Arial" w:cs="Arial"/>
          <w:sz w:val="22"/>
          <w:szCs w:val="22"/>
        </w:rPr>
        <w:t xml:space="preserve"> Please provide justification for your response.</w:t>
      </w:r>
    </w:p>
    <w:p w14:paraId="1B1F58B2" w14:textId="6EB78DDE" w:rsidR="00FD1677" w:rsidRPr="00FD1677" w:rsidRDefault="00FD1677" w:rsidP="00FD1677">
      <w:pPr>
        <w:tabs>
          <w:tab w:val="num" w:pos="426"/>
        </w:tabs>
        <w:spacing w:after="200" w:line="276" w:lineRule="auto"/>
        <w:ind w:left="426"/>
        <w:rPr>
          <w:rFonts w:ascii="Arial" w:hAnsi="Arial" w:cs="Arial"/>
          <w:sz w:val="22"/>
          <w:szCs w:val="22"/>
        </w:rPr>
      </w:pPr>
      <w:r w:rsidRPr="00FD1677">
        <w:rPr>
          <w:rFonts w:ascii="Arial" w:hAnsi="Arial" w:cs="Arial"/>
          <w:sz w:val="22"/>
          <w:szCs w:val="22"/>
        </w:rPr>
        <w:t>If, because of uncertainty, you are unable to provide a single number, you may wish to provide an estimated range. If so, please choose one of the ranges suggested in the table below of possible species numbers, and also choose the level of confidence you have in this estimate.</w:t>
      </w:r>
    </w:p>
    <w:tbl>
      <w:tblPr>
        <w:tblStyle w:val="TableGrid"/>
        <w:tblW w:w="0" w:type="auto"/>
        <w:tblInd w:w="432" w:type="dxa"/>
        <w:tblLook w:val="04A0" w:firstRow="1" w:lastRow="0" w:firstColumn="1" w:lastColumn="0" w:noHBand="0" w:noVBand="1"/>
      </w:tblPr>
      <w:tblGrid>
        <w:gridCol w:w="8941"/>
      </w:tblGrid>
      <w:tr w:rsidR="00C66B40" w14:paraId="7C300295" w14:textId="77777777" w:rsidTr="00EE04B0">
        <w:tc>
          <w:tcPr>
            <w:tcW w:w="8941" w:type="dxa"/>
          </w:tcPr>
          <w:p w14:paraId="6A87F0DB" w14:textId="77777777" w:rsidR="00C66B40" w:rsidRDefault="00C66B40" w:rsidP="00A62238">
            <w:pPr>
              <w:spacing w:after="200" w:line="276" w:lineRule="auto"/>
              <w:ind w:left="102"/>
              <w:rPr>
                <w:rFonts w:ascii="Arial" w:hAnsi="Arial" w:cs="Arial"/>
                <w:sz w:val="22"/>
                <w:szCs w:val="22"/>
              </w:rPr>
            </w:pPr>
            <w:r>
              <w:rPr>
                <w:rFonts w:ascii="Arial" w:hAnsi="Arial" w:cs="Arial"/>
                <w:sz w:val="22"/>
                <w:szCs w:val="22"/>
              </w:rPr>
              <w:t>Decline estimated to be in the range of:</w:t>
            </w:r>
            <w:r>
              <w:rPr>
                <w:rFonts w:ascii="Arial" w:hAnsi="Arial" w:cs="Arial"/>
                <w:sz w:val="22"/>
                <w:szCs w:val="22"/>
              </w:rPr>
              <w:br/>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C66B40" w14:paraId="255672DA" w14:textId="77777777" w:rsidTr="00EE04B0">
        <w:tc>
          <w:tcPr>
            <w:tcW w:w="8941" w:type="dxa"/>
          </w:tcPr>
          <w:p w14:paraId="58E00617" w14:textId="77777777" w:rsidR="00C66B40" w:rsidRDefault="00C66B40" w:rsidP="00A62238">
            <w:pPr>
              <w:spacing w:after="200" w:line="276" w:lineRule="auto"/>
              <w:ind w:left="102"/>
              <w:rPr>
                <w:rFonts w:ascii="Arial" w:hAnsi="Arial" w:cs="Arial"/>
                <w:sz w:val="22"/>
                <w:szCs w:val="22"/>
              </w:rPr>
            </w:pPr>
            <w:r>
              <w:rPr>
                <w:rFonts w:ascii="Arial" w:hAnsi="Arial" w:cs="Arial"/>
                <w:sz w:val="22"/>
                <w:szCs w:val="22"/>
              </w:rPr>
              <w:t>Level of your confidence in this estimated decline:</w:t>
            </w:r>
            <w:r>
              <w:rPr>
                <w:rFonts w:ascii="Arial" w:hAnsi="Arial" w:cs="Arial"/>
                <w:sz w:val="22"/>
                <w:szCs w:val="22"/>
              </w:rPr>
              <w:br/>
            </w:r>
            <w:r w:rsidRPr="009A5FF6">
              <w:rPr>
                <w:rFonts w:ascii="Arial" w:hAnsi="Arial" w:cs="Arial"/>
                <w:sz w:val="44"/>
                <w:szCs w:val="44"/>
              </w:rPr>
              <w:t>□</w:t>
            </w:r>
            <w:r>
              <w:rPr>
                <w:rFonts w:ascii="Arial" w:hAnsi="Arial" w:cs="Arial"/>
                <w:sz w:val="44"/>
                <w:szCs w:val="44"/>
              </w:rPr>
              <w:tab/>
            </w:r>
            <w:r>
              <w:rPr>
                <w:rFonts w:ascii="Arial" w:hAnsi="Arial" w:cs="Arial"/>
                <w:sz w:val="22"/>
                <w:szCs w:val="22"/>
              </w:rPr>
              <w:t>0–30% - low level of certainty/ a bit of a guess/ not much information to go on</w:t>
            </w:r>
            <w:r>
              <w:rPr>
                <w:rFonts w:ascii="Arial" w:hAnsi="Arial" w:cs="Arial"/>
                <w:sz w:val="22"/>
                <w:szCs w:val="22"/>
              </w:rPr>
              <w:br/>
            </w:r>
            <w:r w:rsidRPr="009A5FF6">
              <w:rPr>
                <w:rFonts w:ascii="Arial" w:hAnsi="Arial" w:cs="Arial"/>
                <w:sz w:val="44"/>
                <w:szCs w:val="44"/>
              </w:rPr>
              <w:t>□</w:t>
            </w:r>
            <w:r>
              <w:rPr>
                <w:rFonts w:ascii="Arial" w:hAnsi="Arial" w:cs="Arial"/>
                <w:sz w:val="44"/>
                <w:szCs w:val="44"/>
              </w:rPr>
              <w:tab/>
            </w:r>
            <w:r>
              <w:rPr>
                <w:rFonts w:ascii="Arial" w:hAnsi="Arial" w:cs="Arial"/>
                <w:sz w:val="22"/>
                <w:szCs w:val="22"/>
              </w:rPr>
              <w:t>31–50% - more than a guess, some level of supporting evidence</w:t>
            </w:r>
            <w:r>
              <w:rPr>
                <w:rFonts w:ascii="Arial" w:hAnsi="Arial" w:cs="Arial"/>
                <w:sz w:val="22"/>
                <w:szCs w:val="22"/>
              </w:rPr>
              <w:br/>
            </w:r>
            <w:r w:rsidRPr="009A5FF6">
              <w:rPr>
                <w:rFonts w:ascii="Arial" w:hAnsi="Arial" w:cs="Arial"/>
                <w:sz w:val="44"/>
                <w:szCs w:val="44"/>
              </w:rPr>
              <w:t>□</w:t>
            </w:r>
            <w:r>
              <w:rPr>
                <w:rFonts w:ascii="Arial" w:hAnsi="Arial" w:cs="Arial"/>
                <w:sz w:val="44"/>
                <w:szCs w:val="44"/>
              </w:rPr>
              <w:tab/>
            </w:r>
            <w:r>
              <w:rPr>
                <w:rFonts w:ascii="Arial" w:hAnsi="Arial" w:cs="Arial"/>
                <w:sz w:val="22"/>
                <w:szCs w:val="22"/>
              </w:rPr>
              <w:t>51–95% - reasonably certain, suggests this range of decline</w:t>
            </w:r>
            <w:r>
              <w:rPr>
                <w:rFonts w:ascii="Arial" w:hAnsi="Arial" w:cs="Arial"/>
                <w:sz w:val="22"/>
                <w:szCs w:val="22"/>
              </w:rPr>
              <w:br/>
            </w:r>
            <w:r w:rsidRPr="009A5FF6">
              <w:rPr>
                <w:rFonts w:ascii="Arial" w:hAnsi="Arial" w:cs="Arial"/>
                <w:sz w:val="44"/>
                <w:szCs w:val="44"/>
              </w:rPr>
              <w:t>□</w:t>
            </w:r>
            <w:r>
              <w:rPr>
                <w:rFonts w:ascii="Arial" w:hAnsi="Arial" w:cs="Arial"/>
                <w:sz w:val="44"/>
                <w:szCs w:val="44"/>
              </w:rPr>
              <w:tab/>
            </w:r>
            <w:r>
              <w:rPr>
                <w:rFonts w:ascii="Arial" w:hAnsi="Arial" w:cs="Arial"/>
                <w:sz w:val="22"/>
                <w:szCs w:val="22"/>
              </w:rPr>
              <w:t>95–100% -high level of certainty, information indicates a decline within this range</w:t>
            </w:r>
            <w:r>
              <w:rPr>
                <w:rFonts w:ascii="Arial" w:hAnsi="Arial" w:cs="Arial"/>
                <w:sz w:val="22"/>
                <w:szCs w:val="22"/>
              </w:rPr>
              <w:br/>
            </w:r>
            <w:r w:rsidRPr="009A5FF6">
              <w:rPr>
                <w:rFonts w:ascii="Arial" w:hAnsi="Arial" w:cs="Arial"/>
                <w:sz w:val="44"/>
                <w:szCs w:val="44"/>
              </w:rPr>
              <w:t>□</w:t>
            </w:r>
            <w:r>
              <w:rPr>
                <w:rFonts w:ascii="Arial" w:hAnsi="Arial" w:cs="Arial"/>
                <w:sz w:val="44"/>
                <w:szCs w:val="44"/>
              </w:rPr>
              <w:tab/>
            </w:r>
            <w:r>
              <w:rPr>
                <w:rFonts w:ascii="Arial" w:hAnsi="Arial" w:cs="Arial"/>
                <w:sz w:val="22"/>
                <w:szCs w:val="22"/>
              </w:rPr>
              <w:t>99–100% - very high level of certainty, data are accurate within this range</w:t>
            </w:r>
          </w:p>
        </w:tc>
      </w:tr>
    </w:tbl>
    <w:p w14:paraId="69EFCF01" w14:textId="77777777" w:rsidR="00EE04B0" w:rsidRPr="00203935" w:rsidRDefault="00EE04B0" w:rsidP="00EE04B0">
      <w:pPr>
        <w:numPr>
          <w:ilvl w:val="0"/>
          <w:numId w:val="33"/>
        </w:numPr>
        <w:tabs>
          <w:tab w:val="num" w:pos="851"/>
        </w:tabs>
        <w:spacing w:before="200" w:after="200" w:line="276" w:lineRule="auto"/>
        <w:ind w:left="432" w:hanging="432"/>
        <w:rPr>
          <w:rFonts w:ascii="Arial" w:hAnsi="Arial" w:cs="Arial"/>
          <w:sz w:val="22"/>
          <w:szCs w:val="22"/>
        </w:rPr>
      </w:pPr>
      <w:r w:rsidRPr="00203935">
        <w:rPr>
          <w:rFonts w:ascii="Arial" w:hAnsi="Arial" w:cs="Arial"/>
          <w:sz w:val="22"/>
          <w:szCs w:val="22"/>
        </w:rPr>
        <w:t xml:space="preserve">Please provide (if known) any additional evidence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14:paraId="6EE130F6" w14:textId="58B58FA7" w:rsidR="00FD1677" w:rsidRDefault="00EE04B0" w:rsidP="00167800">
      <w:pPr>
        <w:pStyle w:val="Normal12ptCharCharCharCharCharChar"/>
        <w:spacing w:before="240" w:after="200" w:line="276" w:lineRule="auto"/>
        <w:rPr>
          <w:rFonts w:ascii="Arial" w:hAnsi="Arial" w:cs="Arial"/>
          <w:b/>
          <w:bCs/>
          <w:sz w:val="22"/>
          <w:szCs w:val="22"/>
        </w:rPr>
      </w:pPr>
      <w:r>
        <w:rPr>
          <w:rFonts w:ascii="Arial" w:hAnsi="Arial" w:cs="Arial"/>
          <w:b/>
          <w:bCs/>
          <w:sz w:val="22"/>
          <w:szCs w:val="22"/>
        </w:rPr>
        <w:t>Current distribution/range/extent of occurrence, area of occupancy</w:t>
      </w:r>
    </w:p>
    <w:p w14:paraId="7D67A42C" w14:textId="1F1609D5" w:rsidR="00EE04B0" w:rsidRDefault="00581601" w:rsidP="00EE04B0">
      <w:pPr>
        <w:numPr>
          <w:ilvl w:val="0"/>
          <w:numId w:val="33"/>
        </w:numPr>
        <w:tabs>
          <w:tab w:val="num" w:pos="851"/>
        </w:tabs>
        <w:spacing w:before="200" w:after="200" w:line="276" w:lineRule="auto"/>
        <w:ind w:left="432" w:hanging="432"/>
        <w:rPr>
          <w:rFonts w:ascii="Arial" w:hAnsi="Arial" w:cs="Arial"/>
          <w:sz w:val="22"/>
          <w:szCs w:val="22"/>
        </w:rPr>
      </w:pPr>
      <w:r>
        <w:rPr>
          <w:rFonts w:ascii="Arial" w:hAnsi="Arial" w:cs="Arial"/>
          <w:sz w:val="22"/>
          <w:szCs w:val="22"/>
        </w:rPr>
        <w:t xml:space="preserve">The species appears to be eligible for listing as Vulnerable under Criterion 2. </w:t>
      </w:r>
      <w:r w:rsidR="00DA63D6">
        <w:rPr>
          <w:rFonts w:ascii="Arial" w:hAnsi="Arial" w:cs="Arial"/>
          <w:sz w:val="22"/>
          <w:szCs w:val="22"/>
        </w:rPr>
        <w:t xml:space="preserve">Does the information provided in the advice accurately </w:t>
      </w:r>
      <w:r>
        <w:rPr>
          <w:rFonts w:ascii="Arial" w:hAnsi="Arial" w:cs="Arial"/>
          <w:sz w:val="22"/>
          <w:szCs w:val="22"/>
        </w:rPr>
        <w:t xml:space="preserve">estimate the area of occupancy (see under Criterion 2 (page 7–8) and Figure 1 (page 11)) </w:t>
      </w:r>
      <w:r w:rsidR="00DA63D6">
        <w:rPr>
          <w:rFonts w:ascii="Arial" w:hAnsi="Arial" w:cs="Arial"/>
          <w:sz w:val="22"/>
          <w:szCs w:val="22"/>
        </w:rPr>
        <w:t>of the species</w:t>
      </w:r>
      <w:r w:rsidR="002D4A93">
        <w:rPr>
          <w:rFonts w:ascii="Arial" w:hAnsi="Arial" w:cs="Arial"/>
          <w:sz w:val="22"/>
          <w:szCs w:val="22"/>
        </w:rPr>
        <w:t xml:space="preserve"> in Australia</w:t>
      </w:r>
      <w:r w:rsidR="00DA63D6">
        <w:rPr>
          <w:rFonts w:ascii="Arial" w:hAnsi="Arial" w:cs="Arial"/>
          <w:sz w:val="22"/>
          <w:szCs w:val="22"/>
        </w:rPr>
        <w:t xml:space="preserve">? If not, </w:t>
      </w:r>
      <w:r>
        <w:rPr>
          <w:rFonts w:ascii="Arial" w:hAnsi="Arial" w:cs="Arial"/>
          <w:sz w:val="22"/>
          <w:szCs w:val="22"/>
        </w:rPr>
        <w:t xml:space="preserve">are you able to suggest an alternative method to best capture that information and are you able </w:t>
      </w:r>
      <w:r w:rsidR="00DA63D6">
        <w:rPr>
          <w:rFonts w:ascii="Arial" w:hAnsi="Arial" w:cs="Arial"/>
          <w:sz w:val="22"/>
          <w:szCs w:val="22"/>
        </w:rPr>
        <w:t>provide justification for your response</w:t>
      </w:r>
      <w:r>
        <w:rPr>
          <w:rFonts w:ascii="Arial" w:hAnsi="Arial" w:cs="Arial"/>
          <w:sz w:val="22"/>
          <w:szCs w:val="22"/>
        </w:rPr>
        <w:t>?</w:t>
      </w:r>
    </w:p>
    <w:p w14:paraId="17521268" w14:textId="2B83F7B6" w:rsidR="002D4A93" w:rsidRDefault="002D4A93" w:rsidP="00EE04B0">
      <w:pPr>
        <w:numPr>
          <w:ilvl w:val="0"/>
          <w:numId w:val="33"/>
        </w:numPr>
        <w:tabs>
          <w:tab w:val="num" w:pos="851"/>
        </w:tabs>
        <w:spacing w:before="200" w:after="200" w:line="276" w:lineRule="auto"/>
        <w:ind w:left="432" w:hanging="432"/>
        <w:rPr>
          <w:rFonts w:ascii="Arial" w:hAnsi="Arial" w:cs="Arial"/>
          <w:sz w:val="22"/>
          <w:szCs w:val="22"/>
        </w:rPr>
      </w:pPr>
      <w:r>
        <w:rPr>
          <w:rFonts w:ascii="Arial" w:hAnsi="Arial" w:cs="Arial"/>
          <w:sz w:val="22"/>
          <w:szCs w:val="22"/>
        </w:rPr>
        <w:t>Has the survey effort for the species been adequate to determine its distribution? If not, please provide justification for your response.</w:t>
      </w:r>
    </w:p>
    <w:p w14:paraId="57B08CFC" w14:textId="4DBF4AC5" w:rsidR="002D4A93" w:rsidRPr="00BB7A11" w:rsidRDefault="002D4A93" w:rsidP="00BB7A11">
      <w:pPr>
        <w:numPr>
          <w:ilvl w:val="0"/>
          <w:numId w:val="33"/>
        </w:numPr>
        <w:tabs>
          <w:tab w:val="num" w:pos="851"/>
        </w:tabs>
        <w:spacing w:before="200" w:after="200" w:line="276" w:lineRule="auto"/>
        <w:ind w:left="432" w:hanging="432"/>
        <w:rPr>
          <w:rFonts w:ascii="Arial" w:hAnsi="Arial" w:cs="Arial"/>
          <w:sz w:val="22"/>
          <w:szCs w:val="22"/>
        </w:rPr>
      </w:pPr>
      <w:r>
        <w:rPr>
          <w:rFonts w:ascii="Arial" w:hAnsi="Arial" w:cs="Arial"/>
          <w:sz w:val="22"/>
          <w:szCs w:val="22"/>
        </w:rPr>
        <w:t>Do you agree with the estimates of the current extent of occurrence in the advice</w:t>
      </w:r>
      <w:r w:rsidR="007F35C8">
        <w:rPr>
          <w:rFonts w:ascii="Arial" w:hAnsi="Arial" w:cs="Arial"/>
          <w:sz w:val="22"/>
          <w:szCs w:val="22"/>
        </w:rPr>
        <w:t xml:space="preserve"> (see under Criterion 2 (page 7–8) and Figure 1 (page 11))</w:t>
      </w:r>
      <w:r>
        <w:rPr>
          <w:rFonts w:ascii="Arial" w:hAnsi="Arial" w:cs="Arial"/>
          <w:sz w:val="22"/>
          <w:szCs w:val="22"/>
        </w:rPr>
        <w:t>?</w:t>
      </w:r>
      <w:r w:rsidR="00BB7A11">
        <w:rPr>
          <w:rFonts w:ascii="Arial" w:hAnsi="Arial" w:cs="Arial"/>
          <w:sz w:val="22"/>
          <w:szCs w:val="22"/>
        </w:rPr>
        <w:t xml:space="preserve"> </w:t>
      </w:r>
      <w:r w:rsidR="00BB7A11" w:rsidRPr="00BB7A11">
        <w:rPr>
          <w:rFonts w:ascii="Arial" w:hAnsi="Arial" w:cs="Arial"/>
          <w:sz w:val="22"/>
          <w:szCs w:val="22"/>
        </w:rPr>
        <w:t>If </w:t>
      </w:r>
      <w:r w:rsidRPr="00BB7A11">
        <w:rPr>
          <w:rFonts w:ascii="Arial" w:hAnsi="Arial" w:cs="Arial"/>
          <w:sz w:val="22"/>
          <w:szCs w:val="22"/>
        </w:rPr>
        <w:t xml:space="preserve">not, can you provide an alternative estimate with </w:t>
      </w:r>
      <w:r w:rsidR="00BB7A11">
        <w:rPr>
          <w:rFonts w:ascii="Arial" w:hAnsi="Arial" w:cs="Arial"/>
          <w:sz w:val="22"/>
          <w:szCs w:val="22"/>
        </w:rPr>
        <w:t>supporting information</w:t>
      </w:r>
      <w:r w:rsidRPr="00BB7A11">
        <w:rPr>
          <w:rFonts w:ascii="Arial" w:hAnsi="Arial" w:cs="Arial"/>
          <w:sz w:val="22"/>
          <w:szCs w:val="22"/>
        </w:rPr>
        <w:t>?</w:t>
      </w:r>
    </w:p>
    <w:p w14:paraId="2B1D7232" w14:textId="77777777" w:rsidR="002D4A93" w:rsidRDefault="002D4A93" w:rsidP="002D4A93">
      <w:pPr>
        <w:tabs>
          <w:tab w:val="num" w:pos="851"/>
        </w:tabs>
        <w:spacing w:after="200" w:line="276" w:lineRule="auto"/>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tbl>
      <w:tblPr>
        <w:tblStyle w:val="TableGrid"/>
        <w:tblW w:w="0" w:type="auto"/>
        <w:tblInd w:w="426" w:type="dxa"/>
        <w:tblLook w:val="04A0" w:firstRow="1" w:lastRow="0" w:firstColumn="1" w:lastColumn="0" w:noHBand="0" w:noVBand="1"/>
      </w:tblPr>
      <w:tblGrid>
        <w:gridCol w:w="8947"/>
      </w:tblGrid>
      <w:tr w:rsidR="002D4A93" w14:paraId="180C3D1A" w14:textId="77777777" w:rsidTr="00A62238">
        <w:tc>
          <w:tcPr>
            <w:tcW w:w="9173" w:type="dxa"/>
          </w:tcPr>
          <w:p w14:paraId="23B2A90E" w14:textId="77777777" w:rsidR="002D4A93" w:rsidRDefault="002D4A93" w:rsidP="00A62238">
            <w:pPr>
              <w:spacing w:after="200" w:line="276" w:lineRule="auto"/>
              <w:ind w:left="102"/>
              <w:rPr>
                <w:rFonts w:ascii="Arial" w:hAnsi="Arial" w:cs="Arial"/>
                <w:sz w:val="22"/>
                <w:szCs w:val="22"/>
              </w:rPr>
            </w:pPr>
            <w:r>
              <w:rPr>
                <w:rFonts w:ascii="Arial" w:hAnsi="Arial" w:cs="Arial"/>
                <w:sz w:val="22"/>
                <w:szCs w:val="22"/>
              </w:rPr>
              <w:t>Extent of occurrence is estimated to be in the range of:</w:t>
            </w:r>
            <w:r>
              <w:rPr>
                <w:rFonts w:ascii="Arial" w:hAnsi="Arial" w:cs="Arial"/>
                <w:sz w:val="22"/>
                <w:szCs w:val="22"/>
              </w:rPr>
              <w:br/>
            </w:r>
            <w:r w:rsidRPr="00393F43">
              <w:rPr>
                <w:rFonts w:ascii="Arial" w:hAnsi="Arial" w:cs="Arial"/>
                <w:sz w:val="44"/>
                <w:szCs w:val="44"/>
              </w:rPr>
              <w:t>□</w:t>
            </w:r>
            <w:r w:rsidRPr="00393F43">
              <w:rPr>
                <w:rFonts w:ascii="Arial" w:hAnsi="Arial" w:cs="Arial"/>
                <w:sz w:val="22"/>
                <w:szCs w:val="22"/>
              </w:rPr>
              <w:t xml:space="preserve"> &lt;100 km</w:t>
            </w:r>
            <w:r w:rsidRPr="00393F43">
              <w:rPr>
                <w:rFonts w:ascii="Arial" w:hAnsi="Arial" w:cs="Arial"/>
                <w:sz w:val="22"/>
                <w:szCs w:val="22"/>
                <w:vertAlign w:val="superscript"/>
              </w:rPr>
              <w:t>2</w:t>
            </w:r>
            <w:r w:rsidRPr="00393F43">
              <w:rPr>
                <w:rFonts w:ascii="Arial" w:hAnsi="Arial" w:cs="Arial"/>
                <w:sz w:val="44"/>
                <w:szCs w:val="44"/>
              </w:rPr>
              <w:tab/>
              <w:t xml:space="preserve">□ </w:t>
            </w:r>
            <w:r w:rsidRPr="00393F43">
              <w:rPr>
                <w:rFonts w:ascii="Arial" w:hAnsi="Arial" w:cs="Arial"/>
                <w:sz w:val="22"/>
                <w:szCs w:val="22"/>
              </w:rPr>
              <w:t>100</w:t>
            </w:r>
            <w:r>
              <w:rPr>
                <w:rFonts w:ascii="Arial" w:hAnsi="Arial" w:cs="Arial"/>
                <w:sz w:val="22"/>
                <w:szCs w:val="22"/>
              </w:rPr>
              <w:t xml:space="preserve"> – 5</w:t>
            </w:r>
            <w:r w:rsidRPr="00393F43">
              <w:rPr>
                <w:rFonts w:ascii="Arial" w:hAnsi="Arial" w:cs="Arial"/>
                <w:sz w:val="22"/>
                <w:szCs w:val="22"/>
              </w:rPr>
              <w:t>000 km</w:t>
            </w:r>
            <w:r w:rsidRPr="00393F43">
              <w:rPr>
                <w:rFonts w:ascii="Arial" w:hAnsi="Arial" w:cs="Arial"/>
                <w:sz w:val="22"/>
                <w:szCs w:val="22"/>
                <w:vertAlign w:val="superscript"/>
              </w:rPr>
              <w:t>2</w:t>
            </w:r>
            <w:r w:rsidRPr="00393F43">
              <w:rPr>
                <w:rFonts w:ascii="Arial" w:hAnsi="Arial" w:cs="Arial"/>
                <w:sz w:val="44"/>
                <w:szCs w:val="44"/>
              </w:rPr>
              <w:tab/>
              <w:t xml:space="preserve">□ </w:t>
            </w:r>
            <w:r>
              <w:rPr>
                <w:rFonts w:ascii="Arial" w:hAnsi="Arial" w:cs="Arial"/>
                <w:sz w:val="22"/>
                <w:szCs w:val="22"/>
              </w:rPr>
              <w:t>5</w:t>
            </w:r>
            <w:r w:rsidRPr="00393F43">
              <w:rPr>
                <w:rFonts w:ascii="Arial" w:hAnsi="Arial" w:cs="Arial"/>
                <w:sz w:val="22"/>
                <w:szCs w:val="22"/>
              </w:rPr>
              <w:t>001 – 20 000 km</w:t>
            </w:r>
            <w:r w:rsidRPr="00393F43">
              <w:rPr>
                <w:rFonts w:ascii="Arial" w:hAnsi="Arial" w:cs="Arial"/>
                <w:sz w:val="22"/>
                <w:szCs w:val="22"/>
                <w:vertAlign w:val="superscript"/>
              </w:rPr>
              <w:t>2</w:t>
            </w:r>
            <w:r w:rsidRPr="00393F43">
              <w:rPr>
                <w:rFonts w:ascii="Arial" w:hAnsi="Arial" w:cs="Arial"/>
                <w:sz w:val="44"/>
                <w:szCs w:val="44"/>
              </w:rPr>
              <w:tab/>
              <w:t xml:space="preserve">□ </w:t>
            </w:r>
            <w:r w:rsidRPr="00393F43">
              <w:rPr>
                <w:rFonts w:ascii="Arial" w:hAnsi="Arial" w:cs="Arial"/>
                <w:sz w:val="22"/>
                <w:szCs w:val="22"/>
              </w:rPr>
              <w:t>&gt;20 000 km</w:t>
            </w:r>
            <w:r w:rsidRPr="00393F43">
              <w:rPr>
                <w:rFonts w:ascii="Arial" w:hAnsi="Arial" w:cs="Arial"/>
                <w:sz w:val="22"/>
                <w:szCs w:val="22"/>
                <w:vertAlign w:val="superscript"/>
              </w:rPr>
              <w:t>2</w:t>
            </w:r>
          </w:p>
        </w:tc>
      </w:tr>
      <w:tr w:rsidR="002D4A93" w14:paraId="58CA7A19" w14:textId="77777777" w:rsidTr="00A62238">
        <w:tc>
          <w:tcPr>
            <w:tcW w:w="9173" w:type="dxa"/>
          </w:tcPr>
          <w:p w14:paraId="2890DF12" w14:textId="77777777" w:rsidR="002D4A93" w:rsidRDefault="002D4A93" w:rsidP="00A62238">
            <w:pPr>
              <w:tabs>
                <w:tab w:val="num" w:pos="851"/>
              </w:tabs>
              <w:spacing w:after="200" w:line="276" w:lineRule="auto"/>
              <w:ind w:left="141"/>
              <w:rPr>
                <w:rFonts w:ascii="Arial" w:hAnsi="Arial" w:cs="Arial"/>
                <w:sz w:val="22"/>
                <w:szCs w:val="22"/>
              </w:rPr>
            </w:pPr>
            <w:r>
              <w:rPr>
                <w:rFonts w:ascii="Arial" w:hAnsi="Arial" w:cs="Arial"/>
                <w:sz w:val="22"/>
                <w:szCs w:val="22"/>
              </w:rPr>
              <w:t>Level of your confidence in this estimated extent of occurrence</w:t>
            </w:r>
            <w:r>
              <w:rPr>
                <w:rFonts w:ascii="Arial" w:hAnsi="Arial" w:cs="Arial"/>
                <w:sz w:val="22"/>
                <w:szCs w:val="22"/>
              </w:rPr>
              <w:br/>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r>
              <w:rPr>
                <w:rFonts w:ascii="Arial" w:hAnsi="Arial" w:cs="Arial"/>
                <w:sz w:val="22"/>
                <w:szCs w:val="22"/>
              </w:rPr>
              <w:br/>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r>
              <w:rPr>
                <w:rFonts w:ascii="Arial" w:hAnsi="Arial" w:cs="Arial"/>
                <w:sz w:val="22"/>
                <w:szCs w:val="22"/>
              </w:rPr>
              <w:br/>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r>
              <w:rPr>
                <w:rFonts w:ascii="Arial" w:hAnsi="Arial" w:cs="Arial"/>
                <w:sz w:val="22"/>
                <w:szCs w:val="22"/>
              </w:rPr>
              <w:br/>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r>
              <w:rPr>
                <w:rFonts w:ascii="Arial" w:hAnsi="Arial" w:cs="Arial"/>
                <w:sz w:val="22"/>
                <w:szCs w:val="22"/>
              </w:rPr>
              <w:br/>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tc>
      </w:tr>
    </w:tbl>
    <w:p w14:paraId="7A101FC3" w14:textId="37204AD5" w:rsidR="002D4A93" w:rsidRPr="000D6844" w:rsidRDefault="000D6844" w:rsidP="000D6844">
      <w:pPr>
        <w:spacing w:before="200" w:after="200" w:line="276" w:lineRule="auto"/>
        <w:rPr>
          <w:rFonts w:ascii="Arial" w:hAnsi="Arial" w:cs="Arial"/>
          <w:b/>
          <w:sz w:val="22"/>
          <w:szCs w:val="22"/>
        </w:rPr>
      </w:pPr>
      <w:r w:rsidRPr="000D6844">
        <w:rPr>
          <w:rFonts w:ascii="Arial" w:hAnsi="Arial" w:cs="Arial"/>
          <w:b/>
          <w:sz w:val="22"/>
          <w:szCs w:val="22"/>
        </w:rPr>
        <w:t xml:space="preserve">Past </w:t>
      </w:r>
      <w:r>
        <w:rPr>
          <w:rFonts w:ascii="Arial" w:hAnsi="Arial" w:cs="Arial"/>
          <w:b/>
          <w:sz w:val="22"/>
          <w:szCs w:val="22"/>
        </w:rPr>
        <w:t>distribution/range/extent of occurrence</w:t>
      </w:r>
    </w:p>
    <w:p w14:paraId="0EA530B6" w14:textId="77777777" w:rsidR="009054E3" w:rsidRPr="00203935" w:rsidRDefault="009054E3" w:rsidP="009054E3">
      <w:pPr>
        <w:numPr>
          <w:ilvl w:val="0"/>
          <w:numId w:val="33"/>
        </w:numPr>
        <w:tabs>
          <w:tab w:val="num" w:pos="604"/>
          <w:tab w:val="num" w:pos="851"/>
        </w:tabs>
        <w:spacing w:before="200" w:after="200" w:line="276" w:lineRule="auto"/>
        <w:ind w:left="432" w:hanging="432"/>
        <w:rPr>
          <w:rFonts w:ascii="Arial" w:hAnsi="Arial" w:cs="Arial"/>
          <w:sz w:val="22"/>
          <w:szCs w:val="22"/>
        </w:rPr>
      </w:pPr>
      <w:r w:rsidRPr="00203935">
        <w:rPr>
          <w:rFonts w:ascii="Arial" w:hAnsi="Arial" w:cs="Arial"/>
          <w:sz w:val="22"/>
          <w:szCs w:val="22"/>
        </w:rPr>
        <w:t xml:space="preserve">Do you consider that the way historical distributional information has been estimated is appropriate? </w:t>
      </w:r>
      <w:r>
        <w:rPr>
          <w:rFonts w:ascii="Arial" w:hAnsi="Arial" w:cs="Arial"/>
          <w:sz w:val="22"/>
          <w:szCs w:val="22"/>
        </w:rPr>
        <w:t>Please provide justification for</w:t>
      </w:r>
      <w:r w:rsidRPr="00203935">
        <w:rPr>
          <w:rFonts w:ascii="Arial" w:hAnsi="Arial" w:cs="Arial"/>
          <w:sz w:val="22"/>
          <w:szCs w:val="22"/>
        </w:rPr>
        <w:t xml:space="preserve"> your response?</w:t>
      </w:r>
    </w:p>
    <w:p w14:paraId="2C23797F" w14:textId="0D207E77" w:rsidR="009054E3" w:rsidRPr="00203935" w:rsidRDefault="009054E3" w:rsidP="009054E3">
      <w:pPr>
        <w:spacing w:before="200" w:after="200" w:line="276" w:lineRule="auto"/>
        <w:ind w:left="432"/>
        <w:rPr>
          <w:rFonts w:ascii="Arial" w:hAnsi="Arial" w:cs="Arial"/>
          <w:sz w:val="22"/>
          <w:szCs w:val="22"/>
        </w:rPr>
      </w:pPr>
      <w:r w:rsidRPr="00203935">
        <w:rPr>
          <w:rFonts w:ascii="Arial" w:hAnsi="Arial" w:cs="Arial"/>
          <w:sz w:val="22"/>
          <w:szCs w:val="22"/>
        </w:rPr>
        <w:t>Can you provide estimates (or if you disagree with the estimates provided, alternative estimates) of the former extent of occur</w:t>
      </w:r>
      <w:r w:rsidR="009C492C">
        <w:rPr>
          <w:rFonts w:ascii="Arial" w:hAnsi="Arial" w:cs="Arial"/>
          <w:sz w:val="22"/>
          <w:szCs w:val="22"/>
        </w:rPr>
        <w:t>rence and/or area of occupancy?</w:t>
      </w:r>
    </w:p>
    <w:p w14:paraId="7FED4655" w14:textId="77777777" w:rsidR="009054E3" w:rsidRDefault="009054E3" w:rsidP="009054E3">
      <w:pPr>
        <w:spacing w:before="200" w:after="200" w:line="276" w:lineRule="auto"/>
        <w:ind w:left="432"/>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past extent of occurrence, and also choose the level of confidence you have in this estimated range.</w:t>
      </w:r>
    </w:p>
    <w:tbl>
      <w:tblPr>
        <w:tblStyle w:val="TableGrid"/>
        <w:tblW w:w="0" w:type="auto"/>
        <w:tblInd w:w="607" w:type="dxa"/>
        <w:tblLook w:val="04A0" w:firstRow="1" w:lastRow="0" w:firstColumn="1" w:lastColumn="0" w:noHBand="0" w:noVBand="1"/>
      </w:tblPr>
      <w:tblGrid>
        <w:gridCol w:w="8766"/>
      </w:tblGrid>
      <w:tr w:rsidR="009054E3" w14:paraId="721DF224" w14:textId="77777777" w:rsidTr="00A62238">
        <w:tc>
          <w:tcPr>
            <w:tcW w:w="9428" w:type="dxa"/>
          </w:tcPr>
          <w:p w14:paraId="4CB0398B" w14:textId="77777777" w:rsidR="009054E3" w:rsidRDefault="009054E3" w:rsidP="00A62238">
            <w:pPr>
              <w:ind w:left="244"/>
              <w:rPr>
                <w:rFonts w:ascii="Arial" w:hAnsi="Arial" w:cs="Arial"/>
                <w:sz w:val="22"/>
                <w:szCs w:val="22"/>
              </w:rPr>
            </w:pPr>
            <w:r>
              <w:rPr>
                <w:rFonts w:ascii="Arial" w:hAnsi="Arial" w:cs="Arial"/>
                <w:sz w:val="22"/>
                <w:szCs w:val="22"/>
              </w:rPr>
              <w:t>Past extent of occurrence is estimated to be in the range of:</w:t>
            </w:r>
          </w:p>
          <w:p w14:paraId="1F9C5D58" w14:textId="77777777" w:rsidR="009054E3" w:rsidRDefault="009054E3" w:rsidP="00A62238">
            <w:pPr>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14:paraId="4CB5B642" w14:textId="77777777" w:rsidR="009054E3" w:rsidRDefault="009054E3" w:rsidP="00A62238">
            <w:pPr>
              <w:ind w:left="244"/>
              <w:rPr>
                <w:rFonts w:ascii="Arial" w:hAnsi="Arial" w:cs="Arial"/>
                <w:sz w:val="22"/>
                <w:szCs w:val="22"/>
              </w:rPr>
            </w:pPr>
          </w:p>
        </w:tc>
      </w:tr>
      <w:tr w:rsidR="009054E3" w14:paraId="76AAE078" w14:textId="77777777" w:rsidTr="00A62238">
        <w:tc>
          <w:tcPr>
            <w:tcW w:w="9428" w:type="dxa"/>
          </w:tcPr>
          <w:p w14:paraId="01DF4C10" w14:textId="77777777" w:rsidR="009054E3" w:rsidRDefault="009054E3" w:rsidP="00A62238">
            <w:pPr>
              <w:tabs>
                <w:tab w:val="num" w:pos="851"/>
              </w:tabs>
              <w:ind w:left="244"/>
              <w:rPr>
                <w:rFonts w:ascii="Arial" w:hAnsi="Arial" w:cs="Arial"/>
                <w:sz w:val="22"/>
                <w:szCs w:val="22"/>
              </w:rPr>
            </w:pPr>
            <w:r>
              <w:rPr>
                <w:rFonts w:ascii="Arial" w:hAnsi="Arial" w:cs="Arial"/>
                <w:sz w:val="22"/>
                <w:szCs w:val="22"/>
              </w:rPr>
              <w:t>Level of your confidence in this estimated extent of occurrence</w:t>
            </w:r>
          </w:p>
          <w:p w14:paraId="6E75B463" w14:textId="77777777" w:rsidR="009054E3" w:rsidRDefault="009054E3" w:rsidP="00A62238">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14:paraId="34962B1C" w14:textId="77777777" w:rsidR="009054E3" w:rsidRDefault="009054E3" w:rsidP="00A62238">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0000A65F" w14:textId="77777777" w:rsidR="009054E3" w:rsidRDefault="009054E3" w:rsidP="00A62238">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14:paraId="33FB2BC8" w14:textId="77777777" w:rsidR="009054E3" w:rsidRDefault="009054E3" w:rsidP="00A62238">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14:paraId="45CB6402" w14:textId="77777777" w:rsidR="009054E3" w:rsidRDefault="009054E3" w:rsidP="00A62238">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14:paraId="26C88BE0" w14:textId="77777777" w:rsidR="009054E3" w:rsidRDefault="009054E3" w:rsidP="00A62238">
            <w:pPr>
              <w:ind w:left="244"/>
              <w:rPr>
                <w:rFonts w:ascii="Arial" w:hAnsi="Arial" w:cs="Arial"/>
                <w:sz w:val="22"/>
                <w:szCs w:val="22"/>
              </w:rPr>
            </w:pPr>
          </w:p>
        </w:tc>
      </w:tr>
    </w:tbl>
    <w:p w14:paraId="7464E315" w14:textId="6B788049" w:rsidR="000D6844" w:rsidRPr="00DA2C23" w:rsidRDefault="000D6844" w:rsidP="009054E3">
      <w:pPr>
        <w:tabs>
          <w:tab w:val="num" w:pos="851"/>
        </w:tabs>
        <w:spacing w:before="200" w:after="200" w:line="276" w:lineRule="auto"/>
        <w:rPr>
          <w:rFonts w:ascii="Arial" w:hAnsi="Arial" w:cs="Arial"/>
          <w:sz w:val="22"/>
          <w:szCs w:val="22"/>
          <w:u w:val="single"/>
        </w:rPr>
      </w:pPr>
    </w:p>
    <w:p w14:paraId="0B8A6E49" w14:textId="08DE59CC" w:rsidR="00EE04B0" w:rsidRPr="00EF6A83" w:rsidRDefault="00EF6A83" w:rsidP="00167800">
      <w:pPr>
        <w:pStyle w:val="Normal12ptCharCharCharCharCharChar"/>
        <w:spacing w:before="240" w:after="200" w:line="276" w:lineRule="auto"/>
        <w:rPr>
          <w:rFonts w:ascii="Arial" w:hAnsi="Arial" w:cs="Arial"/>
          <w:b/>
          <w:bCs/>
          <w:sz w:val="22"/>
          <w:szCs w:val="22"/>
        </w:rPr>
      </w:pPr>
      <w:r w:rsidRPr="00EF6A83">
        <w:rPr>
          <w:rFonts w:ascii="Arial" w:hAnsi="Arial" w:cs="Arial"/>
          <w:b/>
          <w:bCs/>
          <w:sz w:val="22"/>
          <w:szCs w:val="22"/>
        </w:rPr>
        <w:t>General</w:t>
      </w:r>
    </w:p>
    <w:p w14:paraId="6C92F074" w14:textId="192A114A" w:rsidR="00EF6A83" w:rsidRDefault="00EF6A83" w:rsidP="00EF6A83">
      <w:pPr>
        <w:numPr>
          <w:ilvl w:val="0"/>
          <w:numId w:val="33"/>
        </w:numPr>
        <w:tabs>
          <w:tab w:val="num" w:pos="426"/>
          <w:tab w:val="num" w:pos="851"/>
        </w:tabs>
        <w:spacing w:before="200" w:after="200" w:line="276" w:lineRule="auto"/>
        <w:ind w:left="426" w:hanging="432"/>
        <w:rPr>
          <w:rFonts w:ascii="Arial" w:hAnsi="Arial" w:cs="Arial"/>
          <w:sz w:val="22"/>
          <w:szCs w:val="22"/>
        </w:rPr>
      </w:pPr>
      <w:r w:rsidRPr="00EF6A83">
        <w:rPr>
          <w:rFonts w:ascii="Arial" w:hAnsi="Arial" w:cs="Arial"/>
          <w:sz w:val="22"/>
          <w:szCs w:val="22"/>
        </w:rPr>
        <w:t xml:space="preserve">What </w:t>
      </w:r>
      <w:r>
        <w:rPr>
          <w:rFonts w:ascii="Arial" w:hAnsi="Arial" w:cs="Arial"/>
          <w:sz w:val="22"/>
          <w:szCs w:val="22"/>
        </w:rPr>
        <w:t xml:space="preserve">are your views on whether the species is eligible for national threatened species listing under the </w:t>
      </w:r>
      <w:r w:rsidRPr="00EF6A83">
        <w:rPr>
          <w:rFonts w:ascii="Arial" w:hAnsi="Arial" w:cs="Arial"/>
          <w:i/>
          <w:sz w:val="22"/>
          <w:szCs w:val="22"/>
        </w:rPr>
        <w:t>Environment Protection and Conservation Biodiversity Act 1999</w:t>
      </w:r>
      <w:r>
        <w:rPr>
          <w:rFonts w:ascii="Arial" w:hAnsi="Arial" w:cs="Arial"/>
          <w:sz w:val="22"/>
          <w:szCs w:val="22"/>
        </w:rPr>
        <w:t>?</w:t>
      </w:r>
    </w:p>
    <w:p w14:paraId="7DE5F52F" w14:textId="79FBF9D7" w:rsidR="00EF6A83" w:rsidRPr="00EF6A83" w:rsidRDefault="00EF6A83" w:rsidP="00EF6A83">
      <w:pPr>
        <w:numPr>
          <w:ilvl w:val="0"/>
          <w:numId w:val="33"/>
        </w:numPr>
        <w:tabs>
          <w:tab w:val="num" w:pos="426"/>
          <w:tab w:val="num" w:pos="851"/>
        </w:tabs>
        <w:spacing w:before="200" w:after="200" w:line="276" w:lineRule="auto"/>
        <w:ind w:left="426" w:hanging="432"/>
        <w:rPr>
          <w:rFonts w:ascii="Arial" w:hAnsi="Arial" w:cs="Arial"/>
          <w:sz w:val="22"/>
          <w:szCs w:val="22"/>
        </w:rPr>
      </w:pPr>
      <w:r>
        <w:rPr>
          <w:rFonts w:ascii="Arial" w:hAnsi="Arial" w:cs="Arial"/>
          <w:sz w:val="22"/>
          <w:szCs w:val="22"/>
        </w:rPr>
        <w:t>Can you provide additional data or information relevant to this assessment?</w:t>
      </w:r>
    </w:p>
    <w:p w14:paraId="43A2C450" w14:textId="77777777" w:rsidR="00FC40B4" w:rsidRPr="00CD6E55" w:rsidRDefault="00FC40B4" w:rsidP="00FC40B4">
      <w:pPr>
        <w:keepNext/>
        <w:spacing w:before="240" w:after="200" w:line="276" w:lineRule="auto"/>
        <w:rPr>
          <w:rFonts w:ascii="Arial" w:hAnsi="Arial" w:cs="Arial"/>
          <w:b/>
          <w:sz w:val="22"/>
          <w:szCs w:val="22"/>
        </w:rPr>
      </w:pPr>
      <w:r w:rsidRPr="00CD6E55">
        <w:rPr>
          <w:rFonts w:ascii="Arial" w:hAnsi="Arial" w:cs="Arial"/>
          <w:b/>
          <w:sz w:val="22"/>
          <w:szCs w:val="22"/>
        </w:rPr>
        <w:t>Threats</w:t>
      </w:r>
    </w:p>
    <w:p w14:paraId="5651F758" w14:textId="77777777" w:rsidR="00FC40B4" w:rsidRDefault="00FC40B4" w:rsidP="00FC40B4">
      <w:pPr>
        <w:numPr>
          <w:ilvl w:val="0"/>
          <w:numId w:val="33"/>
        </w:numPr>
        <w:tabs>
          <w:tab w:val="clear" w:pos="720"/>
          <w:tab w:val="num" w:pos="604"/>
        </w:tabs>
        <w:spacing w:after="200" w:line="276" w:lineRule="auto"/>
        <w:ind w:left="426" w:hanging="426"/>
        <w:rPr>
          <w:rFonts w:ascii="Arial" w:hAnsi="Arial" w:cs="Arial"/>
          <w:sz w:val="22"/>
          <w:szCs w:val="22"/>
        </w:rPr>
      </w:pPr>
      <w:r w:rsidRPr="00203935">
        <w:rPr>
          <w:rFonts w:ascii="Arial" w:hAnsi="Arial" w:cs="Arial"/>
          <w:sz w:val="22"/>
          <w:szCs w:val="22"/>
        </w:rPr>
        <w:t xml:space="preserve">Do you agree that the </w:t>
      </w:r>
      <w:r>
        <w:rPr>
          <w:rFonts w:ascii="Arial" w:hAnsi="Arial" w:cs="Arial"/>
          <w:sz w:val="22"/>
          <w:szCs w:val="22"/>
        </w:rPr>
        <w:t xml:space="preserve">potential </w:t>
      </w:r>
      <w:r w:rsidRPr="00203935">
        <w:rPr>
          <w:rFonts w:ascii="Arial" w:hAnsi="Arial" w:cs="Arial"/>
          <w:sz w:val="22"/>
          <w:szCs w:val="22"/>
        </w:rPr>
        <w:t>threats</w:t>
      </w:r>
      <w:r>
        <w:rPr>
          <w:rFonts w:ascii="Arial" w:hAnsi="Arial" w:cs="Arial"/>
          <w:sz w:val="22"/>
          <w:szCs w:val="22"/>
        </w:rPr>
        <w:t xml:space="preserve"> listed below </w:t>
      </w:r>
      <w:r w:rsidRPr="00203935">
        <w:rPr>
          <w:rFonts w:ascii="Arial" w:hAnsi="Arial" w:cs="Arial"/>
          <w:sz w:val="22"/>
          <w:szCs w:val="22"/>
        </w:rPr>
        <w:t>are correct and tha</w:t>
      </w:r>
      <w:r>
        <w:rPr>
          <w:rFonts w:ascii="Arial" w:hAnsi="Arial" w:cs="Arial"/>
          <w:sz w:val="22"/>
          <w:szCs w:val="22"/>
        </w:rPr>
        <w:t xml:space="preserve">t their effects on the species have been </w:t>
      </w:r>
      <w:r w:rsidRPr="00203935">
        <w:rPr>
          <w:rFonts w:ascii="Arial" w:hAnsi="Arial" w:cs="Arial"/>
          <w:sz w:val="22"/>
          <w:szCs w:val="22"/>
        </w:rPr>
        <w:t>significant?</w:t>
      </w:r>
      <w:r>
        <w:rPr>
          <w:rFonts w:ascii="Arial" w:hAnsi="Arial" w:cs="Arial"/>
          <w:sz w:val="22"/>
          <w:szCs w:val="22"/>
        </w:rPr>
        <w:t xml:space="preserve"> </w:t>
      </w:r>
      <w:r w:rsidRPr="001360DC">
        <w:rPr>
          <w:rFonts w:ascii="Arial" w:hAnsi="Arial" w:cs="Arial"/>
          <w:sz w:val="22"/>
          <w:szCs w:val="22"/>
        </w:rPr>
        <w:t>Are you able to provide any documentation or evidence that these may actually be known threats for the species?</w:t>
      </w:r>
    </w:p>
    <w:p w14:paraId="654D671B" w14:textId="18572B98" w:rsidR="00FC40B4" w:rsidRPr="00087056" w:rsidRDefault="0078405E" w:rsidP="00087056">
      <w:pPr>
        <w:pStyle w:val="ListParagraph"/>
        <w:numPr>
          <w:ilvl w:val="0"/>
          <w:numId w:val="35"/>
        </w:numPr>
        <w:tabs>
          <w:tab w:val="clear" w:pos="720"/>
        </w:tabs>
        <w:spacing w:after="200" w:line="276" w:lineRule="auto"/>
        <w:ind w:left="851" w:hanging="425"/>
        <w:rPr>
          <w:rFonts w:ascii="Arial" w:hAnsi="Arial" w:cs="Arial"/>
          <w:sz w:val="22"/>
          <w:szCs w:val="22"/>
        </w:rPr>
      </w:pPr>
      <w:proofErr w:type="gramStart"/>
      <w:r w:rsidRPr="00087056">
        <w:rPr>
          <w:rFonts w:ascii="Arial" w:hAnsi="Arial" w:cs="Arial"/>
          <w:sz w:val="22"/>
          <w:szCs w:val="22"/>
        </w:rPr>
        <w:t>r</w:t>
      </w:r>
      <w:r w:rsidR="00FC40B4" w:rsidRPr="00087056">
        <w:rPr>
          <w:rFonts w:ascii="Arial" w:hAnsi="Arial" w:cs="Arial"/>
          <w:sz w:val="22"/>
          <w:szCs w:val="22"/>
        </w:rPr>
        <w:t>iparian</w:t>
      </w:r>
      <w:proofErr w:type="gramEnd"/>
      <w:r w:rsidR="00FC40B4" w:rsidRPr="00087056">
        <w:rPr>
          <w:rFonts w:ascii="Arial" w:hAnsi="Arial" w:cs="Arial"/>
          <w:sz w:val="22"/>
          <w:szCs w:val="22"/>
        </w:rPr>
        <w:t xml:space="preserve"> vegetation degradation</w:t>
      </w:r>
      <w:r w:rsidR="00697603" w:rsidRPr="00087056">
        <w:rPr>
          <w:rFonts w:ascii="Arial" w:hAnsi="Arial" w:cs="Arial"/>
          <w:sz w:val="22"/>
          <w:szCs w:val="22"/>
        </w:rPr>
        <w:t>.</w:t>
      </w:r>
    </w:p>
    <w:p w14:paraId="65797223" w14:textId="63302EAC" w:rsidR="00FC40B4" w:rsidRPr="00087056" w:rsidRDefault="0078405E" w:rsidP="00087056">
      <w:pPr>
        <w:pStyle w:val="ListParagraph"/>
        <w:numPr>
          <w:ilvl w:val="0"/>
          <w:numId w:val="35"/>
        </w:numPr>
        <w:tabs>
          <w:tab w:val="clear" w:pos="720"/>
        </w:tabs>
        <w:spacing w:after="200" w:line="276" w:lineRule="auto"/>
        <w:ind w:left="851" w:hanging="425"/>
        <w:rPr>
          <w:rFonts w:ascii="Arial" w:hAnsi="Arial" w:cs="Arial"/>
          <w:sz w:val="22"/>
          <w:szCs w:val="22"/>
        </w:rPr>
      </w:pPr>
      <w:proofErr w:type="gramStart"/>
      <w:r w:rsidRPr="00087056">
        <w:rPr>
          <w:rFonts w:ascii="Arial" w:hAnsi="Arial" w:cs="Arial"/>
          <w:sz w:val="22"/>
          <w:szCs w:val="22"/>
        </w:rPr>
        <w:t>b</w:t>
      </w:r>
      <w:r w:rsidR="00FC40B4" w:rsidRPr="00087056">
        <w:rPr>
          <w:rFonts w:ascii="Arial" w:hAnsi="Arial" w:cs="Arial"/>
          <w:sz w:val="22"/>
          <w:szCs w:val="22"/>
        </w:rPr>
        <w:t>arriers</w:t>
      </w:r>
      <w:proofErr w:type="gramEnd"/>
      <w:r w:rsidR="00FC40B4" w:rsidRPr="00087056">
        <w:rPr>
          <w:rFonts w:ascii="Arial" w:hAnsi="Arial" w:cs="Arial"/>
          <w:sz w:val="22"/>
          <w:szCs w:val="22"/>
        </w:rPr>
        <w:t xml:space="preserve"> to movement</w:t>
      </w:r>
      <w:r w:rsidR="00697603" w:rsidRPr="00087056">
        <w:rPr>
          <w:rFonts w:ascii="Arial" w:hAnsi="Arial" w:cs="Arial"/>
          <w:sz w:val="22"/>
          <w:szCs w:val="22"/>
        </w:rPr>
        <w:t>.</w:t>
      </w:r>
    </w:p>
    <w:p w14:paraId="7F1CA82A" w14:textId="4A7B6F20" w:rsidR="00FC40B4" w:rsidRPr="00087056" w:rsidRDefault="0078405E" w:rsidP="00087056">
      <w:pPr>
        <w:pStyle w:val="ListParagraph"/>
        <w:numPr>
          <w:ilvl w:val="0"/>
          <w:numId w:val="35"/>
        </w:numPr>
        <w:tabs>
          <w:tab w:val="clear" w:pos="720"/>
        </w:tabs>
        <w:ind w:left="851" w:hanging="425"/>
        <w:rPr>
          <w:rFonts w:ascii="Arial" w:hAnsi="Arial" w:cs="Arial"/>
          <w:sz w:val="22"/>
          <w:szCs w:val="22"/>
        </w:rPr>
      </w:pPr>
      <w:proofErr w:type="gramStart"/>
      <w:r w:rsidRPr="00087056">
        <w:rPr>
          <w:rFonts w:ascii="Arial" w:hAnsi="Arial" w:cs="Arial"/>
          <w:sz w:val="22"/>
          <w:szCs w:val="22"/>
        </w:rPr>
        <w:t>b</w:t>
      </w:r>
      <w:r w:rsidR="00FC40B4" w:rsidRPr="00087056">
        <w:rPr>
          <w:rFonts w:ascii="Arial" w:hAnsi="Arial" w:cs="Arial"/>
          <w:sz w:val="22"/>
          <w:szCs w:val="22"/>
        </w:rPr>
        <w:t>ycatch</w:t>
      </w:r>
      <w:proofErr w:type="gramEnd"/>
      <w:r w:rsidR="00FC40B4" w:rsidRPr="00087056">
        <w:rPr>
          <w:rFonts w:ascii="Arial" w:hAnsi="Arial" w:cs="Arial"/>
          <w:sz w:val="22"/>
          <w:szCs w:val="22"/>
        </w:rPr>
        <w:t xml:space="preserve"> in commercial fisheries</w:t>
      </w:r>
      <w:r w:rsidR="00697603" w:rsidRPr="00087056">
        <w:rPr>
          <w:rFonts w:ascii="Arial" w:hAnsi="Arial" w:cs="Arial"/>
          <w:sz w:val="22"/>
          <w:szCs w:val="22"/>
        </w:rPr>
        <w:t>.</w:t>
      </w:r>
    </w:p>
    <w:p w14:paraId="66CA8704" w14:textId="583CA518" w:rsidR="008745FC" w:rsidRPr="008745FC" w:rsidRDefault="0078405E" w:rsidP="008745FC">
      <w:pPr>
        <w:pStyle w:val="ListParagraph"/>
        <w:numPr>
          <w:ilvl w:val="0"/>
          <w:numId w:val="35"/>
        </w:numPr>
        <w:tabs>
          <w:tab w:val="clear" w:pos="720"/>
        </w:tabs>
        <w:spacing w:after="200" w:line="276" w:lineRule="auto"/>
        <w:ind w:left="850" w:hanging="425"/>
        <w:rPr>
          <w:rFonts w:ascii="Arial" w:hAnsi="Arial" w:cs="Arial"/>
          <w:sz w:val="22"/>
          <w:szCs w:val="22"/>
        </w:rPr>
      </w:pPr>
      <w:proofErr w:type="gramStart"/>
      <w:r w:rsidRPr="008745FC">
        <w:rPr>
          <w:rFonts w:ascii="Arial" w:hAnsi="Arial" w:cs="Arial"/>
          <w:sz w:val="22"/>
          <w:szCs w:val="22"/>
        </w:rPr>
        <w:t>c</w:t>
      </w:r>
      <w:r w:rsidR="00FC40B4" w:rsidRPr="008745FC">
        <w:rPr>
          <w:rFonts w:ascii="Arial" w:hAnsi="Arial" w:cs="Arial"/>
          <w:sz w:val="22"/>
          <w:szCs w:val="22"/>
        </w:rPr>
        <w:t>ompetition</w:t>
      </w:r>
      <w:proofErr w:type="gramEnd"/>
      <w:r w:rsidR="00FC40B4" w:rsidRPr="008745FC">
        <w:rPr>
          <w:rFonts w:ascii="Arial" w:hAnsi="Arial" w:cs="Arial"/>
          <w:sz w:val="22"/>
          <w:szCs w:val="22"/>
        </w:rPr>
        <w:t xml:space="preserve"> and predation by alien fish species</w:t>
      </w:r>
      <w:r w:rsidRPr="008745FC">
        <w:rPr>
          <w:rFonts w:ascii="Arial" w:hAnsi="Arial" w:cs="Arial"/>
          <w:sz w:val="22"/>
          <w:szCs w:val="22"/>
        </w:rPr>
        <w:t>, such as redfin (</w:t>
      </w:r>
      <w:proofErr w:type="spellStart"/>
      <w:r w:rsidRPr="008745FC">
        <w:rPr>
          <w:rFonts w:ascii="Arial" w:hAnsi="Arial" w:cs="Arial"/>
          <w:i/>
          <w:sz w:val="22"/>
          <w:szCs w:val="22"/>
        </w:rPr>
        <w:t>Perca</w:t>
      </w:r>
      <w:proofErr w:type="spellEnd"/>
      <w:r w:rsidRPr="008745FC">
        <w:rPr>
          <w:rFonts w:ascii="Arial" w:hAnsi="Arial" w:cs="Arial"/>
          <w:i/>
          <w:sz w:val="22"/>
          <w:szCs w:val="22"/>
        </w:rPr>
        <w:t> </w:t>
      </w:r>
      <w:proofErr w:type="spellStart"/>
      <w:r w:rsidRPr="008745FC">
        <w:rPr>
          <w:rFonts w:ascii="Arial" w:hAnsi="Arial" w:cs="Arial"/>
          <w:i/>
          <w:sz w:val="22"/>
          <w:szCs w:val="22"/>
        </w:rPr>
        <w:t>fluviatilis</w:t>
      </w:r>
      <w:proofErr w:type="spellEnd"/>
      <w:r w:rsidRPr="008745FC">
        <w:rPr>
          <w:rFonts w:ascii="Arial" w:hAnsi="Arial" w:cs="Arial"/>
          <w:sz w:val="22"/>
          <w:szCs w:val="22"/>
        </w:rPr>
        <w:t>), European carp (</w:t>
      </w:r>
      <w:proofErr w:type="spellStart"/>
      <w:r w:rsidRPr="008745FC">
        <w:rPr>
          <w:rFonts w:ascii="Arial" w:hAnsi="Arial" w:cs="Arial"/>
          <w:i/>
          <w:sz w:val="22"/>
          <w:szCs w:val="22"/>
        </w:rPr>
        <w:t>Cyprinus</w:t>
      </w:r>
      <w:proofErr w:type="spellEnd"/>
      <w:r w:rsidRPr="008745FC">
        <w:rPr>
          <w:rFonts w:ascii="Arial" w:hAnsi="Arial" w:cs="Arial"/>
          <w:i/>
          <w:sz w:val="22"/>
          <w:szCs w:val="22"/>
        </w:rPr>
        <w:t> </w:t>
      </w:r>
      <w:proofErr w:type="spellStart"/>
      <w:r w:rsidRPr="008745FC">
        <w:rPr>
          <w:rFonts w:ascii="Arial" w:hAnsi="Arial" w:cs="Arial"/>
          <w:i/>
          <w:sz w:val="22"/>
          <w:szCs w:val="22"/>
        </w:rPr>
        <w:t>carpio</w:t>
      </w:r>
      <w:proofErr w:type="spellEnd"/>
      <w:r w:rsidRPr="008745FC">
        <w:rPr>
          <w:rFonts w:ascii="Arial" w:hAnsi="Arial" w:cs="Arial"/>
          <w:sz w:val="22"/>
          <w:szCs w:val="22"/>
        </w:rPr>
        <w:t>), Mozambique tilapia (</w:t>
      </w:r>
      <w:proofErr w:type="spellStart"/>
      <w:r w:rsidRPr="008745FC">
        <w:rPr>
          <w:rFonts w:ascii="Arial" w:hAnsi="Arial" w:cs="Arial"/>
          <w:i/>
          <w:sz w:val="22"/>
          <w:szCs w:val="22"/>
        </w:rPr>
        <w:t>Oreochromis</w:t>
      </w:r>
      <w:proofErr w:type="spellEnd"/>
      <w:r w:rsidRPr="008745FC">
        <w:rPr>
          <w:rFonts w:ascii="Arial" w:hAnsi="Arial" w:cs="Arial"/>
          <w:i/>
          <w:sz w:val="22"/>
          <w:szCs w:val="22"/>
        </w:rPr>
        <w:t> </w:t>
      </w:r>
      <w:proofErr w:type="spellStart"/>
      <w:r w:rsidRPr="008745FC">
        <w:rPr>
          <w:rFonts w:ascii="Arial" w:hAnsi="Arial" w:cs="Arial"/>
          <w:i/>
          <w:sz w:val="22"/>
          <w:szCs w:val="22"/>
        </w:rPr>
        <w:t>mossambicus</w:t>
      </w:r>
      <w:proofErr w:type="spellEnd"/>
      <w:r w:rsidRPr="008745FC">
        <w:rPr>
          <w:rFonts w:ascii="Arial" w:hAnsi="Arial" w:cs="Arial"/>
          <w:sz w:val="22"/>
          <w:szCs w:val="22"/>
        </w:rPr>
        <w:t xml:space="preserve">) and eastern </w:t>
      </w:r>
      <w:proofErr w:type="spellStart"/>
      <w:r w:rsidRPr="008745FC">
        <w:rPr>
          <w:rFonts w:ascii="Arial" w:hAnsi="Arial" w:cs="Arial"/>
          <w:sz w:val="22"/>
          <w:szCs w:val="22"/>
        </w:rPr>
        <w:t>gambusia</w:t>
      </w:r>
      <w:proofErr w:type="spellEnd"/>
      <w:r w:rsidRPr="008745FC">
        <w:rPr>
          <w:rFonts w:ascii="Arial" w:hAnsi="Arial" w:cs="Arial"/>
          <w:sz w:val="22"/>
          <w:szCs w:val="22"/>
        </w:rPr>
        <w:t xml:space="preserve"> (</w:t>
      </w:r>
      <w:proofErr w:type="spellStart"/>
      <w:r w:rsidRPr="008745FC">
        <w:rPr>
          <w:rFonts w:ascii="Arial" w:hAnsi="Arial" w:cs="Arial"/>
          <w:i/>
          <w:sz w:val="22"/>
          <w:szCs w:val="22"/>
        </w:rPr>
        <w:t>Gambusia</w:t>
      </w:r>
      <w:proofErr w:type="spellEnd"/>
      <w:r w:rsidRPr="008745FC">
        <w:rPr>
          <w:rFonts w:ascii="Arial" w:hAnsi="Arial" w:cs="Arial"/>
          <w:i/>
          <w:sz w:val="22"/>
          <w:szCs w:val="22"/>
        </w:rPr>
        <w:t xml:space="preserve"> </w:t>
      </w:r>
      <w:proofErr w:type="spellStart"/>
      <w:r w:rsidRPr="008745FC">
        <w:rPr>
          <w:rFonts w:ascii="Arial" w:hAnsi="Arial" w:cs="Arial"/>
          <w:i/>
          <w:sz w:val="22"/>
          <w:szCs w:val="22"/>
        </w:rPr>
        <w:t>holbrooki</w:t>
      </w:r>
      <w:proofErr w:type="spellEnd"/>
      <w:r w:rsidRPr="008745FC">
        <w:rPr>
          <w:rFonts w:ascii="Arial" w:hAnsi="Arial" w:cs="Arial"/>
          <w:sz w:val="22"/>
          <w:szCs w:val="22"/>
        </w:rPr>
        <w:t>).</w:t>
      </w:r>
    </w:p>
    <w:p w14:paraId="12F5C8E8" w14:textId="707B6E87" w:rsidR="008745FC" w:rsidRPr="008745FC" w:rsidRDefault="008745FC" w:rsidP="00A62238">
      <w:pPr>
        <w:numPr>
          <w:ilvl w:val="0"/>
          <w:numId w:val="33"/>
        </w:numPr>
        <w:tabs>
          <w:tab w:val="clear" w:pos="720"/>
          <w:tab w:val="num" w:pos="604"/>
        </w:tabs>
        <w:spacing w:after="200" w:line="276" w:lineRule="auto"/>
        <w:ind w:left="426" w:hanging="426"/>
        <w:rPr>
          <w:rFonts w:ascii="Arial" w:hAnsi="Arial" w:cs="Arial"/>
          <w:sz w:val="22"/>
          <w:szCs w:val="22"/>
        </w:rPr>
      </w:pPr>
      <w:r w:rsidRPr="008745FC">
        <w:rPr>
          <w:rFonts w:ascii="Arial" w:hAnsi="Arial" w:cs="Arial"/>
          <w:sz w:val="22"/>
          <w:szCs w:val="22"/>
        </w:rPr>
        <w:t>Can you provide additional or alternative information on threats, past, current or potential that may adversely affect this species at any stage of its life cycle, with supporting references?</w:t>
      </w:r>
      <w:r w:rsidR="00684BC4">
        <w:rPr>
          <w:rFonts w:ascii="Arial" w:hAnsi="Arial" w:cs="Arial"/>
          <w:sz w:val="22"/>
          <w:szCs w:val="22"/>
        </w:rPr>
        <w:t xml:space="preserve"> For example, are you aware of any proposals or plans to construct additional </w:t>
      </w:r>
      <w:r w:rsidR="00A1538B" w:rsidRPr="00303A58">
        <w:rPr>
          <w:rFonts w:ascii="Arial" w:hAnsi="Arial" w:cs="Arial"/>
          <w:sz w:val="22"/>
          <w:szCs w:val="22"/>
        </w:rPr>
        <w:t>dams, weirs, levees, culverts</w:t>
      </w:r>
      <w:r w:rsidR="00A1538B">
        <w:rPr>
          <w:rFonts w:ascii="Arial" w:hAnsi="Arial" w:cs="Arial"/>
          <w:sz w:val="22"/>
          <w:szCs w:val="22"/>
        </w:rPr>
        <w:t>, barrages within the known range of pinkeye mullet that would further affect the species’ distribution and abundance?</w:t>
      </w:r>
    </w:p>
    <w:p w14:paraId="07A48E04" w14:textId="304CF23D" w:rsidR="008745FC" w:rsidRPr="001E346E" w:rsidRDefault="008745FC" w:rsidP="008745FC">
      <w:pPr>
        <w:spacing w:after="200" w:line="276" w:lineRule="auto"/>
        <w:rPr>
          <w:rFonts w:ascii="Arial" w:hAnsi="Arial" w:cs="Arial"/>
          <w:b/>
          <w:sz w:val="22"/>
          <w:szCs w:val="22"/>
        </w:rPr>
      </w:pPr>
      <w:r w:rsidRPr="001E346E">
        <w:rPr>
          <w:rFonts w:ascii="Arial" w:hAnsi="Arial" w:cs="Arial"/>
          <w:b/>
          <w:sz w:val="22"/>
          <w:szCs w:val="22"/>
        </w:rPr>
        <w:t>Management</w:t>
      </w:r>
    </w:p>
    <w:p w14:paraId="14CEED40" w14:textId="6061774D" w:rsidR="00530B81" w:rsidRDefault="00530B81" w:rsidP="008745FC">
      <w:pPr>
        <w:numPr>
          <w:ilvl w:val="0"/>
          <w:numId w:val="33"/>
        </w:numPr>
        <w:tabs>
          <w:tab w:val="clear" w:pos="720"/>
          <w:tab w:val="num" w:pos="604"/>
        </w:tabs>
        <w:spacing w:after="200" w:line="276" w:lineRule="auto"/>
        <w:ind w:left="426" w:hanging="426"/>
        <w:rPr>
          <w:rFonts w:ascii="Arial" w:hAnsi="Arial" w:cs="Arial"/>
          <w:sz w:val="22"/>
          <w:szCs w:val="22"/>
        </w:rPr>
      </w:pPr>
      <w:r>
        <w:rPr>
          <w:rFonts w:ascii="Arial" w:hAnsi="Arial" w:cs="Arial"/>
          <w:sz w:val="22"/>
          <w:szCs w:val="22"/>
        </w:rPr>
        <w:t>Are there any planning, management and/or recovery actions currently in place, in parts or across its entire distribution, which support protection and recovery of the species? To what extent have they been effective?</w:t>
      </w:r>
    </w:p>
    <w:p w14:paraId="4EE8E69A" w14:textId="77777777" w:rsidR="008745FC" w:rsidRPr="001E346E" w:rsidRDefault="008745FC" w:rsidP="008745FC">
      <w:pPr>
        <w:numPr>
          <w:ilvl w:val="0"/>
          <w:numId w:val="33"/>
        </w:numPr>
        <w:tabs>
          <w:tab w:val="clear" w:pos="720"/>
          <w:tab w:val="num" w:pos="604"/>
        </w:tabs>
        <w:spacing w:after="200" w:line="276" w:lineRule="auto"/>
        <w:ind w:left="426" w:hanging="426"/>
        <w:rPr>
          <w:rFonts w:ascii="Arial" w:hAnsi="Arial" w:cs="Arial"/>
          <w:sz w:val="22"/>
          <w:szCs w:val="22"/>
        </w:rPr>
      </w:pPr>
      <w:r w:rsidRPr="001E346E">
        <w:rPr>
          <w:rFonts w:ascii="Arial" w:hAnsi="Arial" w:cs="Arial"/>
          <w:sz w:val="22"/>
          <w:szCs w:val="22"/>
        </w:rPr>
        <w:t>Are you aware of any information on the effectiveness of management and recovery actions that are currently in place for the species?</w:t>
      </w:r>
    </w:p>
    <w:p w14:paraId="5527A287" w14:textId="26EB69F7" w:rsidR="00EF6A83" w:rsidRPr="008745FC" w:rsidRDefault="008745FC" w:rsidP="00A62238">
      <w:pPr>
        <w:numPr>
          <w:ilvl w:val="0"/>
          <w:numId w:val="33"/>
        </w:numPr>
        <w:tabs>
          <w:tab w:val="clear" w:pos="720"/>
          <w:tab w:val="num" w:pos="604"/>
        </w:tabs>
        <w:spacing w:before="240" w:after="200" w:line="276" w:lineRule="auto"/>
        <w:ind w:left="426" w:hanging="426"/>
        <w:rPr>
          <w:rFonts w:ascii="Arial" w:hAnsi="Arial" w:cs="Arial"/>
          <w:bCs/>
          <w:sz w:val="22"/>
          <w:szCs w:val="22"/>
        </w:rPr>
      </w:pPr>
      <w:r w:rsidRPr="008745FC">
        <w:rPr>
          <w:rFonts w:ascii="Arial" w:hAnsi="Arial" w:cs="Arial"/>
          <w:sz w:val="22"/>
          <w:szCs w:val="22"/>
        </w:rPr>
        <w:t>Can you recommend any additional or alternative specific threat abatement or conservation actions that would aid the protection and recovery of the species?</w:t>
      </w:r>
    </w:p>
    <w:p w14:paraId="512BDA9E" w14:textId="77777777" w:rsidR="007F35C8" w:rsidRDefault="007F35C8">
      <w:pPr>
        <w:rPr>
          <w:rFonts w:ascii="Arial" w:hAnsi="Arial" w:cs="Arial"/>
          <w:b/>
          <w:bCs/>
          <w:sz w:val="22"/>
          <w:szCs w:val="22"/>
          <w:u w:val="single"/>
        </w:rPr>
      </w:pPr>
      <w:r>
        <w:rPr>
          <w:rFonts w:ascii="Arial" w:hAnsi="Arial" w:cs="Arial"/>
          <w:b/>
          <w:bCs/>
          <w:sz w:val="22"/>
          <w:szCs w:val="22"/>
          <w:u w:val="single"/>
        </w:rPr>
        <w:br w:type="page"/>
      </w:r>
    </w:p>
    <w:p w14:paraId="71590ECF" w14:textId="529C4C67" w:rsidR="003B2720" w:rsidRPr="00450121" w:rsidRDefault="003B2720" w:rsidP="00167800">
      <w:pPr>
        <w:pStyle w:val="Normal12ptCharCharCharCharCharChar"/>
        <w:spacing w:before="240" w:after="200" w:line="276" w:lineRule="auto"/>
        <w:rPr>
          <w:rFonts w:ascii="Arial" w:hAnsi="Arial" w:cs="Arial"/>
          <w:b/>
          <w:bCs/>
          <w:sz w:val="22"/>
          <w:szCs w:val="22"/>
          <w:u w:val="single"/>
        </w:rPr>
      </w:pPr>
      <w:r w:rsidRPr="00450121">
        <w:rPr>
          <w:rFonts w:ascii="Arial" w:hAnsi="Arial" w:cs="Arial"/>
          <w:b/>
          <w:bCs/>
          <w:sz w:val="22"/>
          <w:szCs w:val="22"/>
          <w:u w:val="single"/>
        </w:rPr>
        <w:t>References cited in the advice</w:t>
      </w:r>
    </w:p>
    <w:p w14:paraId="3C2B679D" w14:textId="00DAF582" w:rsidR="00D8644A" w:rsidRDefault="00D8644A" w:rsidP="00D8644A">
      <w:pPr>
        <w:pStyle w:val="CAReference0"/>
        <w:spacing w:after="200" w:line="276" w:lineRule="auto"/>
      </w:pPr>
      <w:r>
        <w:t xml:space="preserve">Allen, G.R., </w:t>
      </w:r>
      <w:proofErr w:type="spellStart"/>
      <w:r>
        <w:t>Midgley</w:t>
      </w:r>
      <w:proofErr w:type="spellEnd"/>
      <w:r>
        <w:t xml:space="preserve">, S.H., &amp; Allen, M. (2002). </w:t>
      </w:r>
      <w:r>
        <w:rPr>
          <w:i/>
          <w:iCs/>
        </w:rPr>
        <w:t>Field Guide to the Freshwater Fishes of Australia</w:t>
      </w:r>
      <w:r>
        <w:t>. Western Australian Museum, Perth.</w:t>
      </w:r>
    </w:p>
    <w:p w14:paraId="47D97251" w14:textId="77777777" w:rsidR="00235C4E" w:rsidRPr="00235C4E" w:rsidRDefault="00235C4E" w:rsidP="00235C4E">
      <w:pPr>
        <w:pStyle w:val="CAReference0"/>
        <w:spacing w:after="200" w:line="276" w:lineRule="auto"/>
      </w:pPr>
      <w:r w:rsidRPr="00235C4E">
        <w:t xml:space="preserve">Bargo, E. (2012). </w:t>
      </w:r>
      <w:r w:rsidRPr="00235C4E">
        <w:rPr>
          <w:i/>
          <w:iCs/>
        </w:rPr>
        <w:t>Personal communication in person, 25 May 2012</w:t>
      </w:r>
      <w:r w:rsidRPr="00235C4E">
        <w:t>. Mary River Threatened Aquatic Species Recovery Plan Indigenous Working Group Meeting, Gympie.</w:t>
      </w:r>
    </w:p>
    <w:p w14:paraId="6265E8E1" w14:textId="6828AFD0" w:rsidR="005537A7" w:rsidRDefault="005537A7" w:rsidP="00D8644A">
      <w:pPr>
        <w:pStyle w:val="CAReference0"/>
        <w:spacing w:after="200" w:line="276" w:lineRule="auto"/>
      </w:pPr>
      <w:proofErr w:type="spellStart"/>
      <w:r w:rsidRPr="005537A7">
        <w:rPr>
          <w:lang w:val="en"/>
        </w:rPr>
        <w:t>Castelnau</w:t>
      </w:r>
      <w:proofErr w:type="spellEnd"/>
      <w:r w:rsidRPr="005537A7">
        <w:rPr>
          <w:lang w:val="en"/>
        </w:rPr>
        <w:t>, F.L. (1875). Resear</w:t>
      </w:r>
      <w:r w:rsidR="0043381F">
        <w:rPr>
          <w:lang w:val="en"/>
        </w:rPr>
        <w:t>ches on the fishes of Australia –</w:t>
      </w:r>
      <w:r w:rsidRPr="005537A7">
        <w:rPr>
          <w:lang w:val="en"/>
        </w:rPr>
        <w:t xml:space="preserve"> I</w:t>
      </w:r>
      <w:r w:rsidR="0043381F">
        <w:rPr>
          <w:lang w:val="en"/>
        </w:rPr>
        <w:t>ntercolonial Exhibition Essays </w:t>
      </w:r>
      <w:r>
        <w:rPr>
          <w:lang w:val="en"/>
        </w:rPr>
        <w:t xml:space="preserve">2. </w:t>
      </w:r>
      <w:r w:rsidRPr="005537A7">
        <w:rPr>
          <w:i/>
          <w:iCs/>
          <w:lang w:val="en"/>
        </w:rPr>
        <w:t>Philadelphia Centennial Exhibition of 1876: Official Record</w:t>
      </w:r>
      <w:r w:rsidRPr="005537A7">
        <w:rPr>
          <w:lang w:val="en"/>
        </w:rPr>
        <w:t>. Melbourne</w:t>
      </w:r>
      <w:r>
        <w:rPr>
          <w:lang w:val="en"/>
        </w:rPr>
        <w:t>.</w:t>
      </w:r>
    </w:p>
    <w:p w14:paraId="6431F812" w14:textId="00C2D7F7" w:rsidR="00415DFD" w:rsidRDefault="00A210E1" w:rsidP="00140FD4">
      <w:pPr>
        <w:pStyle w:val="CAReference0"/>
        <w:spacing w:after="200" w:line="276" w:lineRule="auto"/>
      </w:pPr>
      <w:r>
        <w:t>Durand, J</w:t>
      </w:r>
      <w:r w:rsidR="000904A0">
        <w:t>.</w:t>
      </w:r>
      <w:r>
        <w:t xml:space="preserve">-D., </w:t>
      </w:r>
      <w:r w:rsidR="00F77DDD">
        <w:t>Chen, W</w:t>
      </w:r>
      <w:r w:rsidR="000904A0">
        <w:t>.</w:t>
      </w:r>
      <w:r w:rsidR="00F77DDD">
        <w:t>-J., Shen, K</w:t>
      </w:r>
      <w:r w:rsidR="000904A0">
        <w:t>.</w:t>
      </w:r>
      <w:r w:rsidR="00F77DDD">
        <w:t xml:space="preserve">-N., Fu, C., </w:t>
      </w:r>
      <w:proofErr w:type="spellStart"/>
      <w:r w:rsidR="00F77DDD">
        <w:t>Borsa</w:t>
      </w:r>
      <w:proofErr w:type="spellEnd"/>
      <w:r w:rsidR="00F77DDD">
        <w:t>, P. (2012</w:t>
      </w:r>
      <w:r w:rsidR="000904A0">
        <w:t>a</w:t>
      </w:r>
      <w:r w:rsidR="00F77DDD">
        <w:t>). Genus-level taxonomic changes implied by the mitochondrial phylogeny of grey mullets (</w:t>
      </w:r>
      <w:proofErr w:type="spellStart"/>
      <w:r w:rsidR="00F77DDD">
        <w:t>Teleostei</w:t>
      </w:r>
      <w:proofErr w:type="spellEnd"/>
      <w:r w:rsidR="00F77DDD">
        <w:t xml:space="preserve">: </w:t>
      </w:r>
      <w:proofErr w:type="spellStart"/>
      <w:r w:rsidR="00F77DDD">
        <w:t>Mugilidae</w:t>
      </w:r>
      <w:proofErr w:type="spellEnd"/>
      <w:r w:rsidR="00F77DDD">
        <w:t xml:space="preserve">). </w:t>
      </w:r>
      <w:proofErr w:type="spellStart"/>
      <w:r w:rsidR="00F77DDD">
        <w:rPr>
          <w:i/>
        </w:rPr>
        <w:t>Comptes</w:t>
      </w:r>
      <w:proofErr w:type="spellEnd"/>
      <w:r w:rsidR="00F77DDD">
        <w:rPr>
          <w:i/>
        </w:rPr>
        <w:t xml:space="preserve"> </w:t>
      </w:r>
      <w:proofErr w:type="spellStart"/>
      <w:r w:rsidR="00F77DDD">
        <w:rPr>
          <w:i/>
        </w:rPr>
        <w:t>Rendrus</w:t>
      </w:r>
      <w:proofErr w:type="spellEnd"/>
      <w:r w:rsidR="00F77DDD">
        <w:rPr>
          <w:i/>
        </w:rPr>
        <w:t xml:space="preserve"> </w:t>
      </w:r>
      <w:proofErr w:type="spellStart"/>
      <w:r w:rsidR="00F77DDD">
        <w:rPr>
          <w:i/>
        </w:rPr>
        <w:t>Biologies</w:t>
      </w:r>
      <w:proofErr w:type="spellEnd"/>
      <w:r w:rsidR="00F77DDD">
        <w:t xml:space="preserve"> </w:t>
      </w:r>
      <w:r w:rsidR="00F77DDD" w:rsidRPr="00F77DDD">
        <w:rPr>
          <w:i/>
        </w:rPr>
        <w:t>335</w:t>
      </w:r>
      <w:r w:rsidR="00F77DDD">
        <w:t>, 687–697.</w:t>
      </w:r>
    </w:p>
    <w:p w14:paraId="55162620" w14:textId="01A2F8DD" w:rsidR="000904A0" w:rsidRPr="000904A0" w:rsidRDefault="000904A0" w:rsidP="006C06D6">
      <w:pPr>
        <w:pStyle w:val="CAReference0"/>
        <w:spacing w:after="200" w:line="276" w:lineRule="auto"/>
      </w:pPr>
      <w:r>
        <w:t xml:space="preserve">Durand, J.-D., Shen, K.-N., Chen, W.-J., </w:t>
      </w:r>
      <w:proofErr w:type="spellStart"/>
      <w:r>
        <w:t>Jamadre</w:t>
      </w:r>
      <w:proofErr w:type="spellEnd"/>
      <w:r>
        <w:t xml:space="preserve">, B.-W., </w:t>
      </w:r>
      <w:proofErr w:type="spellStart"/>
      <w:r>
        <w:t>Blel</w:t>
      </w:r>
      <w:proofErr w:type="spellEnd"/>
      <w:r>
        <w:t xml:space="preserve">, H., </w:t>
      </w:r>
      <w:proofErr w:type="spellStart"/>
      <w:r>
        <w:t>Diop</w:t>
      </w:r>
      <w:proofErr w:type="spellEnd"/>
      <w:r>
        <w:t xml:space="preserve">, K., </w:t>
      </w:r>
      <w:proofErr w:type="spellStart"/>
      <w:r>
        <w:t>Nirchio</w:t>
      </w:r>
      <w:proofErr w:type="spellEnd"/>
      <w:r>
        <w:t xml:space="preserve">, M., Garcia de Leon, F.J., Whitfield, A.K., Chang, C.-W., </w:t>
      </w:r>
      <w:proofErr w:type="spellStart"/>
      <w:r>
        <w:t>Borsa</w:t>
      </w:r>
      <w:proofErr w:type="spellEnd"/>
      <w:r>
        <w:t>, P. (2012b). Systematics of the grey mullets (</w:t>
      </w:r>
      <w:proofErr w:type="spellStart"/>
      <w:r>
        <w:t>Teleostei</w:t>
      </w:r>
      <w:proofErr w:type="spellEnd"/>
      <w:r>
        <w:t xml:space="preserve">: </w:t>
      </w:r>
      <w:proofErr w:type="spellStart"/>
      <w:r>
        <w:t>Mugilidae</w:t>
      </w:r>
      <w:proofErr w:type="spellEnd"/>
      <w:r>
        <w:t xml:space="preserve">): molecular phylogenetic evidence challenges two centuries of morphology-based taxonomy. </w:t>
      </w:r>
      <w:r>
        <w:rPr>
          <w:i/>
        </w:rPr>
        <w:t xml:space="preserve">Molecular </w:t>
      </w:r>
      <w:proofErr w:type="spellStart"/>
      <w:r>
        <w:rPr>
          <w:i/>
        </w:rPr>
        <w:t>Phylogenetics</w:t>
      </w:r>
      <w:proofErr w:type="spellEnd"/>
      <w:r>
        <w:rPr>
          <w:i/>
        </w:rPr>
        <w:t xml:space="preserve"> and Evolution 64(1)</w:t>
      </w:r>
      <w:r>
        <w:t>, 73-92.</w:t>
      </w:r>
    </w:p>
    <w:p w14:paraId="0AAE71C6" w14:textId="724BE995" w:rsidR="00A5365B" w:rsidRDefault="00A5365B" w:rsidP="00054961">
      <w:pPr>
        <w:pStyle w:val="CAReference0"/>
        <w:spacing w:after="200" w:line="276" w:lineRule="auto"/>
      </w:pPr>
      <w:r>
        <w:t>Grant, C.J., Spain, A.V., &amp; Jones, P.N. (1977). Studies of sexual dimorphism and other variation in nine species of Australian mullets (</w:t>
      </w:r>
      <w:proofErr w:type="gramStart"/>
      <w:r>
        <w:t>Pisces :</w:t>
      </w:r>
      <w:proofErr w:type="gramEnd"/>
      <w:r>
        <w:t xml:space="preserve"> </w:t>
      </w:r>
      <w:proofErr w:type="spellStart"/>
      <w:r w:rsidR="00E53FFF">
        <w:t>Mugilidae</w:t>
      </w:r>
      <w:proofErr w:type="spellEnd"/>
      <w:r>
        <w:t xml:space="preserve">). </w:t>
      </w:r>
      <w:r w:rsidRPr="00960BE4">
        <w:rPr>
          <w:i/>
        </w:rPr>
        <w:t>Australian Journal of Zoology 25</w:t>
      </w:r>
      <w:r>
        <w:t xml:space="preserve">, </w:t>
      </w:r>
      <w:r w:rsidR="00960BE4">
        <w:t>615-630.</w:t>
      </w:r>
    </w:p>
    <w:p w14:paraId="029B6359" w14:textId="0184D650" w:rsidR="0053540B" w:rsidRPr="0053540B" w:rsidRDefault="0053540B" w:rsidP="00054961">
      <w:pPr>
        <w:pStyle w:val="CAReference0"/>
        <w:spacing w:after="200" w:line="276" w:lineRule="auto"/>
      </w:pPr>
      <w:proofErr w:type="spellStart"/>
      <w:r>
        <w:t>Gray</w:t>
      </w:r>
      <w:proofErr w:type="spellEnd"/>
      <w:r>
        <w:t xml:space="preserve">, C.A., </w:t>
      </w:r>
      <w:proofErr w:type="spellStart"/>
      <w:r>
        <w:t>McDonall</w:t>
      </w:r>
      <w:proofErr w:type="spellEnd"/>
      <w:r>
        <w:t>, V.C., &amp; Reid,</w:t>
      </w:r>
      <w:r w:rsidR="004E15AD">
        <w:t xml:space="preserve"> D.D. (1990). By-catch from praw</w:t>
      </w:r>
      <w:r>
        <w:t xml:space="preserve">n trawling in the Hawkesbury River, New South Wales: species composition, distribution and abundance. </w:t>
      </w:r>
      <w:r>
        <w:rPr>
          <w:i/>
        </w:rPr>
        <w:t>Australian Journal of Marine and Freshwater Research 41</w:t>
      </w:r>
      <w:r>
        <w:t>, 13-26.</w:t>
      </w:r>
    </w:p>
    <w:p w14:paraId="66EDE758" w14:textId="16C36571" w:rsidR="009A4540" w:rsidRDefault="009A4540" w:rsidP="00054961">
      <w:pPr>
        <w:pStyle w:val="CAReference0"/>
        <w:spacing w:after="200" w:line="276" w:lineRule="auto"/>
      </w:pPr>
      <w:proofErr w:type="spellStart"/>
      <w:r>
        <w:t>Gordos</w:t>
      </w:r>
      <w:proofErr w:type="spellEnd"/>
      <w:r>
        <w:t xml:space="preserve">, M., Nichols, S., Lay, C., Townsend, A., Grove, C., Walsh, S., &amp; Copeland, C. (2007). </w:t>
      </w:r>
      <w:r w:rsidRPr="009A4540">
        <w:rPr>
          <w:bCs/>
        </w:rPr>
        <w:t>Audit and remediation of fish passage barriers in coastal NSW</w:t>
      </w:r>
      <w:r>
        <w:rPr>
          <w:bCs/>
        </w:rPr>
        <w:t xml:space="preserve">. In: Wilson, A.L., </w:t>
      </w:r>
      <w:proofErr w:type="spellStart"/>
      <w:r>
        <w:rPr>
          <w:bCs/>
        </w:rPr>
        <w:t>Dehaan</w:t>
      </w:r>
      <w:proofErr w:type="spellEnd"/>
      <w:r w:rsidR="00F31F36">
        <w:rPr>
          <w:bCs/>
        </w:rPr>
        <w:t>, </w:t>
      </w:r>
      <w:r>
        <w:rPr>
          <w:bCs/>
        </w:rPr>
        <w:t xml:space="preserve">R.L., Watts, R.J., </w:t>
      </w:r>
      <w:proofErr w:type="spellStart"/>
      <w:r>
        <w:rPr>
          <w:bCs/>
        </w:rPr>
        <w:t>Bowmer</w:t>
      </w:r>
      <w:proofErr w:type="spellEnd"/>
      <w:r>
        <w:rPr>
          <w:bCs/>
        </w:rPr>
        <w:t xml:space="preserve">, K.H., &amp; Curtis, A. (2007). </w:t>
      </w:r>
      <w:r w:rsidRPr="009A4540">
        <w:rPr>
          <w:bCs/>
          <w:i/>
        </w:rPr>
        <w:t>Proceedings of the 5</w:t>
      </w:r>
      <w:r w:rsidRPr="009A4540">
        <w:rPr>
          <w:bCs/>
          <w:i/>
          <w:vertAlign w:val="superscript"/>
        </w:rPr>
        <w:t>th</w:t>
      </w:r>
      <w:r w:rsidRPr="009A4540">
        <w:rPr>
          <w:bCs/>
          <w:i/>
        </w:rPr>
        <w:t xml:space="preserve"> Australian Stream Management Conference. Australian rivers: making a difference</w:t>
      </w:r>
      <w:r>
        <w:rPr>
          <w:bCs/>
        </w:rPr>
        <w:t>. Charles Sturt University, Thurgoona, New South Wales.</w:t>
      </w:r>
    </w:p>
    <w:p w14:paraId="05BFCB87" w14:textId="1842CBF4" w:rsidR="00A11777" w:rsidRPr="00A11777" w:rsidRDefault="00A11777" w:rsidP="00054961">
      <w:pPr>
        <w:pStyle w:val="CAReference0"/>
        <w:spacing w:after="200" w:line="276" w:lineRule="auto"/>
      </w:pPr>
      <w:proofErr w:type="spellStart"/>
      <w:r>
        <w:t>Growns</w:t>
      </w:r>
      <w:proofErr w:type="spellEnd"/>
      <w:r>
        <w:t xml:space="preserve">, I.O., Pollard, D.A., &amp; </w:t>
      </w:r>
      <w:proofErr w:type="spellStart"/>
      <w:r>
        <w:t>Gehrke</w:t>
      </w:r>
      <w:proofErr w:type="spellEnd"/>
      <w:r>
        <w:t xml:space="preserve">, P.C. (1998). Changes in river fish assemblages associated with vegetated and degraded banks, upstream of and within nutrient-enriched zones. </w:t>
      </w:r>
      <w:r>
        <w:rPr>
          <w:i/>
        </w:rPr>
        <w:t>Fisheries Management and Ecology 5</w:t>
      </w:r>
      <w:r>
        <w:t>, 55-69.</w:t>
      </w:r>
    </w:p>
    <w:p w14:paraId="103405EB" w14:textId="1D69A045" w:rsidR="00AB5A2E" w:rsidRDefault="00AB5A2E" w:rsidP="00054961">
      <w:pPr>
        <w:pStyle w:val="CAReference0"/>
        <w:spacing w:after="200" w:line="276" w:lineRule="auto"/>
      </w:pPr>
      <w:r>
        <w:t xml:space="preserve">Hutchison, M. (2012). </w:t>
      </w:r>
      <w:r w:rsidRPr="00235C4E">
        <w:rPr>
          <w:i/>
          <w:iCs/>
        </w:rPr>
        <w:t>Personal communication in person, 25 May 2012</w:t>
      </w:r>
      <w:r w:rsidRPr="00235C4E">
        <w:t>. Mary River Threatened Aquatic Species Recovery Plan Indigenous Working Group Meeting, Gympie.</w:t>
      </w:r>
    </w:p>
    <w:p w14:paraId="67E7B394" w14:textId="64D6C4A6" w:rsidR="00054961" w:rsidRDefault="00054961" w:rsidP="00054961">
      <w:pPr>
        <w:pStyle w:val="CAReference0"/>
        <w:spacing w:after="200" w:line="276" w:lineRule="auto"/>
      </w:pPr>
      <w:r>
        <w:t xml:space="preserve">Miles, N. (2007). </w:t>
      </w:r>
      <w:r w:rsidRPr="00175B15">
        <w:rPr>
          <w:i/>
        </w:rPr>
        <w:t>Biology and ecology of diadromous fishes in south eastern Australia</w:t>
      </w:r>
      <w:r>
        <w:t>. Ph</w:t>
      </w:r>
      <w:r w:rsidR="00175B15">
        <w:t>D </w:t>
      </w:r>
      <w:r>
        <w:t>Thesis, University of</w:t>
      </w:r>
      <w:r w:rsidR="00175B15">
        <w:t xml:space="preserve"> </w:t>
      </w:r>
      <w:r>
        <w:t>Wollongong</w:t>
      </w:r>
      <w:r w:rsidR="00175B15">
        <w:t>, New South Wales</w:t>
      </w:r>
      <w:r>
        <w:t>.</w:t>
      </w:r>
    </w:p>
    <w:p w14:paraId="54D80B52" w14:textId="23B8E5A6" w:rsidR="003C10E8" w:rsidRPr="003C10E8" w:rsidRDefault="003C10E8" w:rsidP="00A11777">
      <w:pPr>
        <w:pStyle w:val="CAReference0"/>
        <w:spacing w:after="200" w:line="276" w:lineRule="auto"/>
      </w:pPr>
      <w:r>
        <w:t xml:space="preserve">Miles, N.G., West, R.J., &amp; Norman, M.D. (2009). Does otolith chemistry indicate diadromous lifecycles for five Australian riverine fishes? </w:t>
      </w:r>
      <w:r>
        <w:rPr>
          <w:i/>
        </w:rPr>
        <w:t>Marine and Freshwater Research 60</w:t>
      </w:r>
      <w:r>
        <w:t>, 904-911.</w:t>
      </w:r>
    </w:p>
    <w:p w14:paraId="71590ED6" w14:textId="3EE11D11" w:rsidR="0028003E" w:rsidRDefault="001A0399" w:rsidP="00054961">
      <w:pPr>
        <w:pStyle w:val="CAReference0"/>
        <w:spacing w:after="200" w:line="276" w:lineRule="auto"/>
      </w:pPr>
      <w:r>
        <w:t xml:space="preserve">Thomson, J.M. (1996). Family </w:t>
      </w:r>
      <w:proofErr w:type="spellStart"/>
      <w:r>
        <w:t>Mugilidae</w:t>
      </w:r>
      <w:proofErr w:type="spellEnd"/>
      <w:r>
        <w:t xml:space="preserve">: Grey mullets. In: McDowall, R.M. (1996). </w:t>
      </w:r>
      <w:r w:rsidRPr="00527C15">
        <w:rPr>
          <w:i/>
        </w:rPr>
        <w:t>Freshwater Fishes of South-Eastern Australia</w:t>
      </w:r>
      <w:r>
        <w:t>. Reed Book, Chatswood, New South Wales.</w:t>
      </w:r>
    </w:p>
    <w:p w14:paraId="20154482" w14:textId="2FAA1AC3" w:rsidR="002D44C9" w:rsidRDefault="002D44C9" w:rsidP="00054961">
      <w:pPr>
        <w:pStyle w:val="CAReference0"/>
        <w:spacing w:after="200" w:line="276" w:lineRule="auto"/>
      </w:pPr>
      <w:r>
        <w:t>Walsh, C., Rodgers, M., Robinson, W., &amp; Gilligan, D. (2014</w:t>
      </w:r>
      <w:r w:rsidRPr="003153F6">
        <w:t>).</w:t>
      </w:r>
      <w:r w:rsidRPr="003153F6">
        <w:rPr>
          <w:i/>
        </w:rPr>
        <w:t xml:space="preserve"> Evaluation of the effectiveness of the </w:t>
      </w:r>
      <w:proofErr w:type="spellStart"/>
      <w:r w:rsidRPr="003153F6">
        <w:rPr>
          <w:i/>
        </w:rPr>
        <w:t>Tallowa</w:t>
      </w:r>
      <w:proofErr w:type="spellEnd"/>
      <w:r w:rsidRPr="003153F6">
        <w:rPr>
          <w:i/>
        </w:rPr>
        <w:t xml:space="preserve"> Dam </w:t>
      </w:r>
      <w:proofErr w:type="spellStart"/>
      <w:r w:rsidRPr="003153F6">
        <w:rPr>
          <w:i/>
        </w:rPr>
        <w:t>Fishway</w:t>
      </w:r>
      <w:proofErr w:type="spellEnd"/>
      <w:r>
        <w:t>. Final Report Series No. 143. Department of Primary Industries, Fisheries, New South Wales Government.</w:t>
      </w:r>
    </w:p>
    <w:p w14:paraId="601E7CA0" w14:textId="70AD5C0B" w:rsidR="004E15AD" w:rsidRPr="00716DD5" w:rsidRDefault="004E15AD" w:rsidP="00054961">
      <w:pPr>
        <w:pStyle w:val="CAReference0"/>
        <w:spacing w:after="200" w:line="276" w:lineRule="auto"/>
      </w:pPr>
      <w:r>
        <w:t xml:space="preserve">West, R.J., &amp; </w:t>
      </w:r>
      <w:proofErr w:type="spellStart"/>
      <w:r>
        <w:t>Walford</w:t>
      </w:r>
      <w:proofErr w:type="spellEnd"/>
      <w:r>
        <w:t>, T.</w:t>
      </w:r>
      <w:r w:rsidR="00F02A38">
        <w:t>R</w:t>
      </w:r>
      <w:r>
        <w:t>. (2000). Estuarine fishes in two large eastern Australian coastal rivers</w:t>
      </w:r>
      <w:r w:rsidR="00EC0A32">
        <w:t>–</w:t>
      </w:r>
      <w:r>
        <w:t xml:space="preserve">does prawn trawling influence fish community </w:t>
      </w:r>
      <w:r w:rsidR="00716DD5">
        <w:t>structure</w:t>
      </w:r>
      <w:r w:rsidR="00503626">
        <w:t>?</w:t>
      </w:r>
      <w:r w:rsidR="00716DD5">
        <w:t xml:space="preserve"> </w:t>
      </w:r>
      <w:r w:rsidR="00716DD5">
        <w:rPr>
          <w:i/>
        </w:rPr>
        <w:t>Fisheries Management and Ecology 7</w:t>
      </w:r>
      <w:r w:rsidR="00716DD5">
        <w:t>, 523-536.</w:t>
      </w:r>
    </w:p>
    <w:p w14:paraId="241FD836" w14:textId="77777777" w:rsidR="00527C15" w:rsidRDefault="00527C15" w:rsidP="00527C15">
      <w:pPr>
        <w:pStyle w:val="Default"/>
        <w:spacing w:after="200" w:line="276" w:lineRule="auto"/>
      </w:pPr>
      <w:r>
        <w:rPr>
          <w:rFonts w:ascii="Arial" w:hAnsi="Arial" w:cs="Arial"/>
          <w:b/>
          <w:bCs/>
          <w:sz w:val="22"/>
          <w:szCs w:val="22"/>
          <w:u w:val="single"/>
        </w:rPr>
        <w:t>Other sources cited in the advice</w:t>
      </w:r>
    </w:p>
    <w:p w14:paraId="14A74B14" w14:textId="06BB1BC7" w:rsidR="001A0399" w:rsidRPr="008C5FE4" w:rsidRDefault="00F6208A" w:rsidP="00FE5E8F">
      <w:pPr>
        <w:pStyle w:val="CAReference0"/>
        <w:spacing w:after="200" w:line="276" w:lineRule="auto"/>
        <w:rPr>
          <w:i/>
        </w:rPr>
      </w:pPr>
      <w:r>
        <w:t xml:space="preserve">Anonymous </w:t>
      </w:r>
      <w:r w:rsidR="001A333E">
        <w:t xml:space="preserve">(Anon) </w:t>
      </w:r>
      <w:r>
        <w:t xml:space="preserve">(2014). </w:t>
      </w:r>
      <w:r w:rsidRPr="00FE5E8F">
        <w:rPr>
          <w:i/>
        </w:rPr>
        <w:t>Threatened Species Nomination Form for</w:t>
      </w:r>
      <w:r>
        <w:t xml:space="preserve"> </w:t>
      </w:r>
      <w:proofErr w:type="spellStart"/>
      <w:r w:rsidR="00585E29">
        <w:t>Trachystoma</w:t>
      </w:r>
      <w:proofErr w:type="spellEnd"/>
      <w:r w:rsidR="00585E29">
        <w:t> </w:t>
      </w:r>
      <w:proofErr w:type="spellStart"/>
      <w:r w:rsidRPr="00585E29">
        <w:t>petardi</w:t>
      </w:r>
      <w:proofErr w:type="spellEnd"/>
      <w:r w:rsidRPr="00FE5E8F">
        <w:t xml:space="preserve"> </w:t>
      </w:r>
      <w:r w:rsidR="00585E29" w:rsidRPr="00FE5E8F">
        <w:rPr>
          <w:i/>
        </w:rPr>
        <w:t>(pinkeye mullet)</w:t>
      </w:r>
      <w:r w:rsidR="00585E29" w:rsidRPr="00FE5E8F">
        <w:t xml:space="preserve">. </w:t>
      </w:r>
      <w:r w:rsidR="008C5FE4">
        <w:t xml:space="preserve">Nomination for threatened species listing under the Commonwealth </w:t>
      </w:r>
      <w:r w:rsidR="008C5FE4">
        <w:rPr>
          <w:i/>
        </w:rPr>
        <w:t xml:space="preserve">Environment Protection and Biodiversity Conservation Act 1999 </w:t>
      </w:r>
      <w:r w:rsidR="008C5FE4">
        <w:t xml:space="preserve">received by email, </w:t>
      </w:r>
      <w:r w:rsidR="007656FB">
        <w:t>27 March 2014.</w:t>
      </w:r>
    </w:p>
    <w:p w14:paraId="5451CE26" w14:textId="34F8E627" w:rsidR="00EF5E44" w:rsidRDefault="00EF5E44" w:rsidP="00EF5E44">
      <w:pPr>
        <w:pStyle w:val="CAReference0"/>
        <w:spacing w:after="200" w:line="276" w:lineRule="auto"/>
      </w:pPr>
      <w:r>
        <w:t xml:space="preserve">Atlas of Living Australia (ALA) (2017). </w:t>
      </w:r>
      <w:r w:rsidRPr="00140FD4">
        <w:rPr>
          <w:i/>
        </w:rPr>
        <w:t xml:space="preserve">Records accessed </w:t>
      </w:r>
      <w:r w:rsidR="00695993">
        <w:rPr>
          <w:i/>
        </w:rPr>
        <w:t>from</w:t>
      </w:r>
      <w:r w:rsidRPr="00140FD4">
        <w:rPr>
          <w:i/>
        </w:rPr>
        <w:t xml:space="preserve"> the Atlas of Living Australia website for</w:t>
      </w:r>
      <w:r>
        <w:t xml:space="preserve"> </w:t>
      </w:r>
      <w:proofErr w:type="spellStart"/>
      <w:r>
        <w:t>Trachystoma</w:t>
      </w:r>
      <w:proofErr w:type="spellEnd"/>
      <w:r>
        <w:t xml:space="preserve"> </w:t>
      </w:r>
      <w:proofErr w:type="spellStart"/>
      <w:r>
        <w:t>petardi</w:t>
      </w:r>
      <w:proofErr w:type="spellEnd"/>
      <w:r>
        <w:t>. Available on the Internet at: http://www.ala.org.au</w:t>
      </w:r>
    </w:p>
    <w:p w14:paraId="18D1EA90" w14:textId="13775ED0" w:rsidR="006456A2" w:rsidRPr="001230E5" w:rsidRDefault="006456A2" w:rsidP="00026A00">
      <w:pPr>
        <w:pStyle w:val="CAReference0"/>
        <w:spacing w:after="200" w:line="276" w:lineRule="auto"/>
      </w:pPr>
      <w:r>
        <w:t xml:space="preserve">Australian Museum (AM) (2017). </w:t>
      </w:r>
      <w:r w:rsidRPr="00026A00">
        <w:rPr>
          <w:i/>
        </w:rPr>
        <w:t>Records provided by Australian Museum, accessed through the Atlas of Living Australia website</w:t>
      </w:r>
      <w:r>
        <w:t xml:space="preserve">. </w:t>
      </w:r>
      <w:r w:rsidRPr="00FF6A91">
        <w:t>Available on the Internet at</w:t>
      </w:r>
      <w:proofErr w:type="gramStart"/>
      <w:r w:rsidRPr="00FF6A91">
        <w:t>:</w:t>
      </w:r>
      <w:proofErr w:type="gramEnd"/>
      <w:r>
        <w:br/>
        <w:t>http://www.ala.org.au</w:t>
      </w:r>
    </w:p>
    <w:p w14:paraId="6240EF2E" w14:textId="71636D30" w:rsidR="00C0577E" w:rsidRDefault="00C0577E" w:rsidP="00776DCF">
      <w:pPr>
        <w:pStyle w:val="CAReference0"/>
        <w:spacing w:after="200" w:line="276" w:lineRule="auto"/>
      </w:pPr>
      <w:r w:rsidRPr="00C0577E">
        <w:t>De</w:t>
      </w:r>
      <w:r>
        <w:t>partment of the Environment and Energy (</w:t>
      </w:r>
      <w:proofErr w:type="spellStart"/>
      <w:r>
        <w:t>Do</w:t>
      </w:r>
      <w:r w:rsidRPr="00C0577E">
        <w:t>E</w:t>
      </w:r>
      <w:r>
        <w:t>E</w:t>
      </w:r>
      <w:proofErr w:type="spellEnd"/>
      <w:r>
        <w:t>) (2017</w:t>
      </w:r>
      <w:r w:rsidRPr="00C0577E">
        <w:t xml:space="preserve">). </w:t>
      </w:r>
      <w:r w:rsidRPr="00C0577E">
        <w:rPr>
          <w:i/>
        </w:rPr>
        <w:t>Area of Occupancy and Extent of Occurrence for</w:t>
      </w:r>
      <w:r w:rsidRPr="00C0577E">
        <w:t xml:space="preserve"> </w:t>
      </w:r>
      <w:proofErr w:type="spellStart"/>
      <w:r>
        <w:t>Trachystoma</w:t>
      </w:r>
      <w:proofErr w:type="spellEnd"/>
      <w:r>
        <w:t> </w:t>
      </w:r>
      <w:proofErr w:type="spellStart"/>
      <w:r>
        <w:t>petardi</w:t>
      </w:r>
      <w:proofErr w:type="spellEnd"/>
      <w:r w:rsidRPr="00C0577E">
        <w:t xml:space="preserve"> </w:t>
      </w:r>
      <w:r w:rsidRPr="00C0577E">
        <w:rPr>
          <w:i/>
        </w:rPr>
        <w:t>(pinkeye mullet)</w:t>
      </w:r>
      <w:r w:rsidR="009953EA">
        <w:rPr>
          <w:i/>
        </w:rPr>
        <w:t xml:space="preserve"> 1997 – 2017</w:t>
      </w:r>
      <w:r w:rsidRPr="00C0577E">
        <w:t>. Unpublished report, Australian Government Department of the Environment</w:t>
      </w:r>
      <w:r>
        <w:t xml:space="preserve"> and Energy</w:t>
      </w:r>
      <w:r w:rsidRPr="00C0577E">
        <w:t>, Canberra.</w:t>
      </w:r>
    </w:p>
    <w:p w14:paraId="047DDF2F" w14:textId="77777777" w:rsidR="00776DCF" w:rsidRPr="008B6156" w:rsidRDefault="00776DCF" w:rsidP="00776DCF">
      <w:pPr>
        <w:pStyle w:val="CAReference0"/>
        <w:spacing w:after="200" w:line="276" w:lineRule="auto"/>
      </w:pPr>
      <w:r>
        <w:t xml:space="preserve">Industry &amp; Investment New South Wales (I&amp;I NSW) (2010). </w:t>
      </w:r>
      <w:r>
        <w:rPr>
          <w:i/>
        </w:rPr>
        <w:t xml:space="preserve">NSW Control Plan for the noxious fish carp </w:t>
      </w:r>
      <w:proofErr w:type="spellStart"/>
      <w:r>
        <w:t>Cyprinus</w:t>
      </w:r>
      <w:proofErr w:type="spellEnd"/>
      <w:r>
        <w:t xml:space="preserve"> </w:t>
      </w:r>
      <w:proofErr w:type="spellStart"/>
      <w:r>
        <w:t>carpio</w:t>
      </w:r>
      <w:proofErr w:type="spellEnd"/>
      <w:r>
        <w:t>. Aquatic Biosecurity &amp; Risk Management Unit, Industry &amp; Investment NSW, Orange, November 2010. Available on the Internet at</w:t>
      </w:r>
      <w:proofErr w:type="gramStart"/>
      <w:r>
        <w:t>:</w:t>
      </w:r>
      <w:proofErr w:type="gramEnd"/>
      <w:r>
        <w:br/>
      </w:r>
      <w:r w:rsidRPr="00776DCF">
        <w:t>http://www.dpi.nsw.gov.au/fishing/pests-diseases/freshwater-pests/species/carp/control-plan</w:t>
      </w:r>
    </w:p>
    <w:p w14:paraId="5062390B" w14:textId="02093651" w:rsidR="008F6106" w:rsidRPr="001230E5" w:rsidRDefault="008F6106" w:rsidP="00026A00">
      <w:pPr>
        <w:pStyle w:val="CAReference0"/>
        <w:spacing w:after="200" w:line="276" w:lineRule="auto"/>
      </w:pPr>
      <w:r>
        <w:t xml:space="preserve">Museum Victoria (MV) (2017). </w:t>
      </w:r>
      <w:r w:rsidRPr="00026A00">
        <w:rPr>
          <w:i/>
        </w:rPr>
        <w:t>Records provided by Museum Victoria, accessed through the Atlas of Living Australia website</w:t>
      </w:r>
      <w:r>
        <w:t xml:space="preserve">. </w:t>
      </w:r>
      <w:r w:rsidRPr="00FF6A91">
        <w:t>Available on the Internet at</w:t>
      </w:r>
      <w:proofErr w:type="gramStart"/>
      <w:r w:rsidRPr="00FF6A91">
        <w:t>:</w:t>
      </w:r>
      <w:proofErr w:type="gramEnd"/>
      <w:r>
        <w:br/>
        <w:t>http://www.ala.org.au</w:t>
      </w:r>
    </w:p>
    <w:p w14:paraId="71590ED8" w14:textId="2695F50E" w:rsidR="0064067C" w:rsidRDefault="001C71B3" w:rsidP="00167800">
      <w:pPr>
        <w:pStyle w:val="CAReference0"/>
        <w:spacing w:after="200" w:line="276" w:lineRule="auto"/>
      </w:pPr>
      <w:r>
        <w:t>New South Wales Department of Primary Industries (NSW</w:t>
      </w:r>
      <w:r w:rsidR="008043DF">
        <w:t> </w:t>
      </w:r>
      <w:r>
        <w:t xml:space="preserve">DPI) (2013). </w:t>
      </w:r>
      <w:r w:rsidRPr="001C71B3">
        <w:rPr>
          <w:i/>
        </w:rPr>
        <w:t>Combined 2011 and 2012 annual report for the NSW Estuary General, Ocean Hauling and Estuary Prawn Trawl fisheries</w:t>
      </w:r>
      <w:r>
        <w:t xml:space="preserve">. </w:t>
      </w:r>
      <w:r w:rsidR="008043DF">
        <w:t xml:space="preserve">Application for ongoing export accreditation from </w:t>
      </w:r>
      <w:r w:rsidR="008043DF" w:rsidRPr="008043DF">
        <w:rPr>
          <w:lang w:val="en"/>
        </w:rPr>
        <w:t>New South Wales Department of Primary Industries in October 2013</w:t>
      </w:r>
      <w:r w:rsidR="008043DF">
        <w:rPr>
          <w:lang w:val="en"/>
        </w:rPr>
        <w:t>. Available on the Internet at</w:t>
      </w:r>
      <w:proofErr w:type="gramStart"/>
      <w:r w:rsidR="008043DF">
        <w:rPr>
          <w:lang w:val="en"/>
        </w:rPr>
        <w:t>:</w:t>
      </w:r>
      <w:proofErr w:type="gramEnd"/>
      <w:r w:rsidR="008043DF">
        <w:rPr>
          <w:lang w:val="en"/>
        </w:rPr>
        <w:br/>
      </w:r>
      <w:r w:rsidR="00B81E09" w:rsidRPr="00E65BB0">
        <w:t>http://www.environment.gov.au/marine/fisheries/nsw/estuary/application-2013</w:t>
      </w:r>
    </w:p>
    <w:p w14:paraId="0958DC67" w14:textId="4AEA65E0" w:rsidR="00776DCF" w:rsidRPr="00776DCF" w:rsidRDefault="00776DCF" w:rsidP="00E65BB0">
      <w:pPr>
        <w:pStyle w:val="CAReference0"/>
        <w:spacing w:after="200" w:line="276" w:lineRule="auto"/>
      </w:pPr>
      <w:r>
        <w:t xml:space="preserve">New South Wales Department of Primary Industries (NSW DPI) (2017). </w:t>
      </w:r>
      <w:r>
        <w:rPr>
          <w:i/>
        </w:rPr>
        <w:t>Redfin perch</w:t>
      </w:r>
      <w:r>
        <w:t>. NSW Government. Available on the Internet at</w:t>
      </w:r>
      <w:proofErr w:type="gramStart"/>
      <w:r>
        <w:t>:</w:t>
      </w:r>
      <w:proofErr w:type="gramEnd"/>
      <w:r>
        <w:br/>
      </w:r>
      <w:r w:rsidRPr="00776DCF">
        <w:t>http://www.dpi.nsw.gov.au/fishing/pests-diseases/freshwater-pests/species/redfin-perch</w:t>
      </w:r>
    </w:p>
    <w:p w14:paraId="440266C2" w14:textId="7B935554" w:rsidR="00147240" w:rsidRDefault="00147240" w:rsidP="00147240">
      <w:pPr>
        <w:pStyle w:val="CAReference0"/>
        <w:spacing w:after="200" w:line="276" w:lineRule="auto"/>
      </w:pPr>
      <w:proofErr w:type="spellStart"/>
      <w:r>
        <w:t>Pest</w:t>
      </w:r>
      <w:r w:rsidR="00594B4B">
        <w:t>S</w:t>
      </w:r>
      <w:r>
        <w:t>mart</w:t>
      </w:r>
      <w:proofErr w:type="spellEnd"/>
      <w:r>
        <w:t xml:space="preserve"> (2012). </w:t>
      </w:r>
      <w:r w:rsidRPr="00147240">
        <w:rPr>
          <w:i/>
        </w:rPr>
        <w:t>Mozambique tilapia (</w:t>
      </w:r>
      <w:proofErr w:type="spellStart"/>
      <w:r>
        <w:t>Oreochromis</w:t>
      </w:r>
      <w:proofErr w:type="spellEnd"/>
      <w:r>
        <w:t xml:space="preserve"> </w:t>
      </w:r>
      <w:proofErr w:type="spellStart"/>
      <w:r>
        <w:t>mossambicus</w:t>
      </w:r>
      <w:proofErr w:type="spellEnd"/>
      <w:r w:rsidRPr="00147240">
        <w:rPr>
          <w:i/>
        </w:rPr>
        <w:t>) distribution in Australia</w:t>
      </w:r>
      <w:r>
        <w:t>. Tilapia Factsheet TILFS2, February 2012. Available on the Internet at</w:t>
      </w:r>
      <w:proofErr w:type="gramStart"/>
      <w:r>
        <w:t>:</w:t>
      </w:r>
      <w:proofErr w:type="gramEnd"/>
      <w:r>
        <w:br/>
      </w:r>
      <w:r w:rsidRPr="00147240">
        <w:t>http://www.pestsmart.org.au/pest-animal-species/tilapia/</w:t>
      </w:r>
    </w:p>
    <w:p w14:paraId="71590ED9" w14:textId="60A512DC" w:rsidR="005A7196" w:rsidRDefault="00E65BB0" w:rsidP="00E65BB0">
      <w:pPr>
        <w:pStyle w:val="CAReference0"/>
        <w:spacing w:after="200" w:line="276" w:lineRule="auto"/>
      </w:pPr>
      <w:r w:rsidRPr="00E65BB0">
        <w:t xml:space="preserve">Queensland Department of Agriculture and Fisheries (Qld DAF) (2015). </w:t>
      </w:r>
      <w:r>
        <w:rPr>
          <w:i/>
        </w:rPr>
        <w:t xml:space="preserve">Submission for the reassessment of the Queensland River and Inshore Beam Trawl Fishery Wildlife Trade Operation approval under the </w:t>
      </w:r>
      <w:r w:rsidRPr="00E65BB0">
        <w:t>Environment Protection an</w:t>
      </w:r>
      <w:r w:rsidR="00A45707">
        <w:t>d Biodiversity Conservation Act </w:t>
      </w:r>
      <w:r w:rsidRPr="00E65BB0">
        <w:t>1999. A report prepared by the Queensland Department of Agriculture and Fisheries for ongoing export accreditation</w:t>
      </w:r>
      <w:r w:rsidRPr="00E65BB0">
        <w:rPr>
          <w:i/>
        </w:rPr>
        <w:t>.</w:t>
      </w:r>
      <w:r w:rsidR="00B35E87">
        <w:t xml:space="preserve"> Available on the Internet at</w:t>
      </w:r>
      <w:proofErr w:type="gramStart"/>
      <w:r w:rsidR="00B35E87">
        <w:t>:</w:t>
      </w:r>
      <w:proofErr w:type="gramEnd"/>
      <w:r w:rsidRPr="00E65BB0">
        <w:rPr>
          <w:i/>
        </w:rPr>
        <w:br/>
      </w:r>
      <w:hyperlink r:id="rId13" w:history="1">
        <w:r w:rsidRPr="00E65BB0">
          <w:t>http://www.environment.gov.au/marine/fisheries/qld/river-beam-trawl/application2015</w:t>
        </w:r>
      </w:hyperlink>
    </w:p>
    <w:p w14:paraId="5469A691" w14:textId="77777777" w:rsidR="00F536A4" w:rsidRDefault="00F536A4">
      <w:pPr>
        <w:rPr>
          <w:rFonts w:ascii="Arial" w:hAnsi="Arial" w:cs="Arial"/>
          <w:sz w:val="22"/>
          <w:szCs w:val="22"/>
        </w:rPr>
      </w:pPr>
      <w:r>
        <w:br w:type="page"/>
      </w:r>
    </w:p>
    <w:p w14:paraId="3AB2D0CB" w14:textId="54B8E658" w:rsidR="00B35E87" w:rsidRDefault="00B35E87" w:rsidP="00E65BB0">
      <w:pPr>
        <w:pStyle w:val="CAReference0"/>
        <w:spacing w:after="200" w:line="276" w:lineRule="auto"/>
      </w:pPr>
      <w:r>
        <w:t xml:space="preserve">Queensland Department of Agriculture, Fisheries and Forestry (Qld DAFF) (2014). </w:t>
      </w:r>
      <w:r w:rsidRPr="00B35E87">
        <w:rPr>
          <w:i/>
        </w:rPr>
        <w:t>Status Report 2011 – 2014, Queensland East Coast Inshore Fin Fish Fishery</w:t>
      </w:r>
      <w:r>
        <w:t>. The State of Queensland, provided to the Department of the Environment as part of an application for ongoing export accreditation. Available on the Internet at</w:t>
      </w:r>
      <w:proofErr w:type="gramStart"/>
      <w:r>
        <w:t>:</w:t>
      </w:r>
      <w:proofErr w:type="gramEnd"/>
      <w:r>
        <w:br/>
      </w:r>
      <w:r w:rsidRPr="00B35E87">
        <w:t>http://www.environment.gov.au/marine/fisheries/qld/east-coast-fin-fish/agency-application</w:t>
      </w:r>
    </w:p>
    <w:p w14:paraId="1335725C" w14:textId="77777777" w:rsidR="00477614" w:rsidRPr="006C06D6" w:rsidRDefault="00477614" w:rsidP="00477614">
      <w:pPr>
        <w:pStyle w:val="CAReference0"/>
        <w:spacing w:after="200" w:line="276" w:lineRule="auto"/>
      </w:pPr>
      <w:r>
        <w:t xml:space="preserve">Queensland </w:t>
      </w:r>
      <w:r w:rsidRPr="006C06D6">
        <w:t xml:space="preserve">Department of Natural Resources &amp; Mines </w:t>
      </w:r>
      <w:r>
        <w:t>(Qld DNRM) (</w:t>
      </w:r>
      <w:r w:rsidRPr="006C06D6">
        <w:t>2014</w:t>
      </w:r>
      <w:r>
        <w:t>)</w:t>
      </w:r>
      <w:r w:rsidRPr="006C06D6">
        <w:t xml:space="preserve">. </w:t>
      </w:r>
      <w:r w:rsidRPr="006C06D6">
        <w:rPr>
          <w:i/>
        </w:rPr>
        <w:t>AQEIS database</w:t>
      </w:r>
      <w:r>
        <w:t>. Viewed</w:t>
      </w:r>
      <w:r w:rsidRPr="006C06D6">
        <w:t xml:space="preserve"> March 2014, Queensland Government.</w:t>
      </w:r>
    </w:p>
    <w:p w14:paraId="6729F258" w14:textId="5498BC73" w:rsidR="00A733E3" w:rsidRPr="001230E5" w:rsidRDefault="00A733E3" w:rsidP="00026A00">
      <w:pPr>
        <w:pStyle w:val="CAReference0"/>
        <w:spacing w:after="200" w:line="276" w:lineRule="auto"/>
      </w:pPr>
      <w:r>
        <w:t xml:space="preserve">Queensland Museum (QM) (2017). </w:t>
      </w:r>
      <w:r w:rsidRPr="00026A00">
        <w:rPr>
          <w:i/>
        </w:rPr>
        <w:t>Records provided by Queensland Museum, accessed through the Atlas of Living Australia website</w:t>
      </w:r>
      <w:r>
        <w:t xml:space="preserve">. </w:t>
      </w:r>
      <w:r w:rsidRPr="00FF6A91">
        <w:t>Available on the Internet at</w:t>
      </w:r>
      <w:proofErr w:type="gramStart"/>
      <w:r w:rsidRPr="00FF6A91">
        <w:t>:</w:t>
      </w:r>
      <w:proofErr w:type="gramEnd"/>
      <w:r>
        <w:br/>
        <w:t>http://www.ala.org.au</w:t>
      </w:r>
    </w:p>
    <w:p w14:paraId="7DE25958" w14:textId="45346ABC" w:rsidR="00A45707" w:rsidRPr="001230E5" w:rsidRDefault="00A45707" w:rsidP="00026A00">
      <w:pPr>
        <w:pStyle w:val="CAReference0"/>
        <w:spacing w:after="200" w:line="276" w:lineRule="auto"/>
      </w:pPr>
      <w:r>
        <w:t xml:space="preserve">Queensland Wildlife Data (QWD) (2017). </w:t>
      </w:r>
      <w:r w:rsidRPr="00026A00">
        <w:rPr>
          <w:i/>
        </w:rPr>
        <w:t>Records provided by the Queensland Wildlife Data API, accessed through the Atlas of Living Australia website</w:t>
      </w:r>
      <w:r>
        <w:t xml:space="preserve">. </w:t>
      </w:r>
      <w:r w:rsidRPr="00FF6A91">
        <w:t>Available on the Internet at</w:t>
      </w:r>
      <w:proofErr w:type="gramStart"/>
      <w:r w:rsidRPr="00FF6A91">
        <w:t>:</w:t>
      </w:r>
      <w:proofErr w:type="gramEnd"/>
      <w:r>
        <w:br/>
        <w:t>http://www.ala.org.au</w:t>
      </w:r>
    </w:p>
    <w:p w14:paraId="1E6B5C8F" w14:textId="6F768E20" w:rsidR="0013402D" w:rsidRPr="00736CD7" w:rsidRDefault="005F03DC" w:rsidP="0013402D">
      <w:pPr>
        <w:pStyle w:val="CAReference0"/>
        <w:spacing w:after="200" w:line="276" w:lineRule="auto"/>
      </w:pPr>
      <w:proofErr w:type="spellStart"/>
      <w:r>
        <w:t>SunWater</w:t>
      </w:r>
      <w:proofErr w:type="spellEnd"/>
      <w:r>
        <w:t xml:space="preserve"> </w:t>
      </w:r>
      <w:r w:rsidR="00736CD7">
        <w:t xml:space="preserve">(2010). </w:t>
      </w:r>
      <w:proofErr w:type="spellStart"/>
      <w:r w:rsidR="00736CD7">
        <w:rPr>
          <w:i/>
        </w:rPr>
        <w:t>SunWater</w:t>
      </w:r>
      <w:proofErr w:type="spellEnd"/>
      <w:r w:rsidR="00736CD7">
        <w:rPr>
          <w:i/>
        </w:rPr>
        <w:t xml:space="preserve"> </w:t>
      </w:r>
      <w:proofErr w:type="spellStart"/>
      <w:r w:rsidR="00736CD7">
        <w:rPr>
          <w:i/>
        </w:rPr>
        <w:t>Fishways</w:t>
      </w:r>
      <w:proofErr w:type="spellEnd"/>
      <w:r w:rsidR="00736CD7">
        <w:rPr>
          <w:i/>
        </w:rPr>
        <w:t xml:space="preserve"> – Queensland.</w:t>
      </w:r>
      <w:r w:rsidR="00736CD7">
        <w:t xml:space="preserve"> </w:t>
      </w:r>
      <w:proofErr w:type="spellStart"/>
      <w:r w:rsidR="00736CD7">
        <w:t>Fishway</w:t>
      </w:r>
      <w:proofErr w:type="spellEnd"/>
      <w:r w:rsidR="00736CD7">
        <w:t xml:space="preserve"> Index, </w:t>
      </w:r>
      <w:proofErr w:type="spellStart"/>
      <w:r w:rsidR="00736CD7">
        <w:t>SunWater</w:t>
      </w:r>
      <w:proofErr w:type="spellEnd"/>
      <w:r w:rsidR="00736CD7">
        <w:t>,</w:t>
      </w:r>
      <w:r w:rsidR="0013402D">
        <w:t xml:space="preserve"> Brisbane</w:t>
      </w:r>
      <w:r w:rsidR="00736CD7">
        <w:t xml:space="preserve"> Queensland.</w:t>
      </w:r>
      <w:r w:rsidR="0013402D">
        <w:t xml:space="preserve"> Available on the Internet at</w:t>
      </w:r>
      <w:proofErr w:type="gramStart"/>
      <w:r w:rsidR="0013402D">
        <w:t>:</w:t>
      </w:r>
      <w:proofErr w:type="gramEnd"/>
      <w:r w:rsidR="0013402D">
        <w:br/>
      </w:r>
      <w:r w:rsidR="0013402D" w:rsidRPr="0013402D">
        <w:t>http://www.sunwater.com.au/development/fishways</w:t>
      </w:r>
    </w:p>
    <w:sectPr w:rsidR="0013402D" w:rsidRPr="00736CD7"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A62238" w:rsidRDefault="00A62238">
      <w:r>
        <w:separator/>
      </w:r>
    </w:p>
  </w:endnote>
  <w:endnote w:type="continuationSeparator" w:id="0">
    <w:p w14:paraId="71590EE5" w14:textId="77777777" w:rsidR="00A62238" w:rsidRDefault="00A62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A62238" w:rsidRDefault="00A622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A62238" w:rsidRDefault="00A6223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79E6338C" w:rsidR="00A62238" w:rsidRDefault="00A62238" w:rsidP="00F33606">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Trachystoma</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petardi</w:t>
    </w:r>
    <w:proofErr w:type="spellEnd"/>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pinkeye mullet) consultation</w:t>
    </w:r>
  </w:p>
  <w:p w14:paraId="71590EEA" w14:textId="77777777" w:rsidR="00A62238" w:rsidRPr="00F33606" w:rsidRDefault="00A62238"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182E28">
      <w:rPr>
        <w:rStyle w:val="PageNumber"/>
        <w:rFonts w:ascii="Arial" w:hAnsi="Arial" w:cs="Arial"/>
        <w:noProof/>
        <w:sz w:val="18"/>
        <w:szCs w:val="18"/>
      </w:rPr>
      <w:t>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182E28">
      <w:rPr>
        <w:rStyle w:val="PageNumber"/>
        <w:rFonts w:ascii="Arial" w:hAnsi="Arial" w:cs="Arial"/>
        <w:noProof/>
        <w:sz w:val="18"/>
        <w:szCs w:val="18"/>
      </w:rPr>
      <w:t>17</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41A0C59B" w:rsidR="00A62238" w:rsidRDefault="00642812" w:rsidP="00D040E8">
    <w:pPr>
      <w:jc w:val="center"/>
      <w:rPr>
        <w:rStyle w:val="Heading1Char"/>
        <w:rFonts w:ascii="Arial" w:hAnsi="Arial" w:cs="Arial"/>
        <w:sz w:val="18"/>
        <w:szCs w:val="18"/>
        <w:u w:val="none"/>
      </w:rPr>
    </w:pPr>
    <w:proofErr w:type="spellStart"/>
    <w:r>
      <w:rPr>
        <w:rStyle w:val="Heading1Char"/>
        <w:rFonts w:ascii="Arial" w:hAnsi="Arial" w:cs="Arial"/>
        <w:i/>
        <w:sz w:val="18"/>
        <w:szCs w:val="18"/>
        <w:u w:val="none"/>
      </w:rPr>
      <w:t>Trachystoma</w:t>
    </w:r>
    <w:proofErr w:type="spellEnd"/>
    <w:r>
      <w:rPr>
        <w:rStyle w:val="Heading1Char"/>
        <w:rFonts w:ascii="Arial" w:hAnsi="Arial" w:cs="Arial"/>
        <w:i/>
        <w:sz w:val="18"/>
        <w:szCs w:val="18"/>
        <w:u w:val="none"/>
      </w:rPr>
      <w:t xml:space="preserve"> </w:t>
    </w:r>
    <w:proofErr w:type="spellStart"/>
    <w:r>
      <w:rPr>
        <w:rStyle w:val="Heading1Char"/>
        <w:rFonts w:ascii="Arial" w:hAnsi="Arial" w:cs="Arial"/>
        <w:i/>
        <w:sz w:val="18"/>
        <w:szCs w:val="18"/>
        <w:u w:val="none"/>
      </w:rPr>
      <w:t>petardi</w:t>
    </w:r>
    <w:proofErr w:type="spellEnd"/>
    <w:r>
      <w:rPr>
        <w:rStyle w:val="Heading1Char"/>
        <w:rFonts w:ascii="Arial" w:hAnsi="Arial" w:cs="Arial"/>
        <w:i/>
        <w:sz w:val="18"/>
        <w:szCs w:val="18"/>
        <w:u w:val="none"/>
      </w:rPr>
      <w:t xml:space="preserve"> </w:t>
    </w:r>
    <w:r w:rsidR="00A62238" w:rsidRPr="00420CB1">
      <w:rPr>
        <w:rFonts w:ascii="Arial" w:hAnsi="Arial" w:cs="Arial"/>
        <w:sz w:val="18"/>
        <w:szCs w:val="18"/>
      </w:rPr>
      <w:t>(</w:t>
    </w:r>
    <w:r>
      <w:rPr>
        <w:rStyle w:val="Heading1Char"/>
        <w:rFonts w:ascii="Arial" w:hAnsi="Arial" w:cs="Arial"/>
        <w:sz w:val="18"/>
        <w:szCs w:val="18"/>
        <w:u w:val="none"/>
      </w:rPr>
      <w:t>pinkeye mullet</w:t>
    </w:r>
    <w:r w:rsidR="00A62238">
      <w:rPr>
        <w:rStyle w:val="Heading1Char"/>
        <w:rFonts w:ascii="Arial" w:hAnsi="Arial" w:cs="Arial"/>
        <w:sz w:val="18"/>
        <w:szCs w:val="18"/>
        <w:u w:val="none"/>
      </w:rPr>
      <w:t>) consultation document</w:t>
    </w:r>
  </w:p>
  <w:p w14:paraId="71590EED" w14:textId="4FC99077" w:rsidR="00A62238" w:rsidRDefault="00A62238" w:rsidP="00D040E8">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182E28">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182E28">
      <w:rPr>
        <w:rStyle w:val="PageNumber"/>
        <w:rFonts w:ascii="Arial" w:hAnsi="Arial" w:cs="Arial"/>
        <w:noProof/>
        <w:sz w:val="18"/>
        <w:szCs w:val="18"/>
      </w:rPr>
      <w:t>17</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A62238" w:rsidRDefault="00A62238">
      <w:r>
        <w:separator/>
      </w:r>
    </w:p>
  </w:footnote>
  <w:footnote w:type="continuationSeparator" w:id="0">
    <w:p w14:paraId="71590EE3" w14:textId="77777777" w:rsidR="00A62238" w:rsidRDefault="00A622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4620C" w14:textId="77777777" w:rsidR="00182E28" w:rsidRDefault="00182E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A62238" w:rsidRPr="006115F8" w:rsidRDefault="00A62238"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A62238" w:rsidRDefault="00A62238">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4"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2FF513C"/>
    <w:multiLevelType w:val="hybridMultilevel"/>
    <w:tmpl w:val="68981C16"/>
    <w:lvl w:ilvl="0" w:tplc="0C090017">
      <w:start w:val="1"/>
      <w:numFmt w:val="lowerLetter"/>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2A1B1A17"/>
    <w:multiLevelType w:val="hybridMultilevel"/>
    <w:tmpl w:val="93BAD1E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61A70017"/>
    <w:multiLevelType w:val="hybridMultilevel"/>
    <w:tmpl w:val="0A84C70C"/>
    <w:lvl w:ilvl="0" w:tplc="CA1899A6">
      <w:start w:val="1"/>
      <w:numFmt w:val="lowerLetter"/>
      <w:lvlText w:val="%1."/>
      <w:lvlJc w:val="left"/>
      <w:pPr>
        <w:tabs>
          <w:tab w:val="num" w:pos="720"/>
        </w:tabs>
        <w:ind w:left="720" w:hanging="360"/>
      </w:pPr>
      <w:rPr>
        <w:rFonts w:ascii="Arial" w:hAnsi="Arial" w:cs="Arial" w:hint="default"/>
        <w:i w:val="0"/>
        <w:sz w:val="22"/>
        <w:szCs w:val="22"/>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24"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7"/>
  </w:num>
  <w:num w:numId="4">
    <w:abstractNumId w:val="9"/>
  </w:num>
  <w:num w:numId="5">
    <w:abstractNumId w:val="20"/>
  </w:num>
  <w:num w:numId="6">
    <w:abstractNumId w:val="7"/>
  </w:num>
  <w:num w:numId="7">
    <w:abstractNumId w:val="24"/>
  </w:num>
  <w:num w:numId="8">
    <w:abstractNumId w:val="8"/>
  </w:num>
  <w:num w:numId="9">
    <w:abstractNumId w:val="14"/>
  </w:num>
  <w:num w:numId="10">
    <w:abstractNumId w:val="10"/>
  </w:num>
  <w:num w:numId="11">
    <w:abstractNumId w:val="11"/>
  </w:num>
  <w:num w:numId="12">
    <w:abstractNumId w:val="21"/>
  </w:num>
  <w:num w:numId="13">
    <w:abstractNumId w:val="26"/>
  </w:num>
  <w:num w:numId="14">
    <w:abstractNumId w:val="0"/>
  </w:num>
  <w:num w:numId="15">
    <w:abstractNumId w:val="0"/>
  </w:num>
  <w:num w:numId="16">
    <w:abstractNumId w:val="5"/>
  </w:num>
  <w:num w:numId="17">
    <w:abstractNumId w:val="25"/>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6"/>
  </w:num>
  <w:num w:numId="27">
    <w:abstractNumId w:val="19"/>
  </w:num>
  <w:num w:numId="28">
    <w:abstractNumId w:val="22"/>
  </w:num>
  <w:num w:numId="29">
    <w:abstractNumId w:val="22"/>
  </w:num>
  <w:num w:numId="30">
    <w:abstractNumId w:val="2"/>
  </w:num>
  <w:num w:numId="31">
    <w:abstractNumId w:val="22"/>
  </w:num>
  <w:num w:numId="32">
    <w:abstractNumId w:val="22"/>
  </w:num>
  <w:num w:numId="33">
    <w:abstractNumId w:val="15"/>
  </w:num>
  <w:num w:numId="34">
    <w:abstractNumId w:val="12"/>
  </w:num>
  <w:num w:numId="35">
    <w:abstractNumId w:val="23"/>
  </w:num>
  <w:num w:numId="36">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59F2"/>
    <w:rsid w:val="00017C1C"/>
    <w:rsid w:val="00017E7B"/>
    <w:rsid w:val="00026A00"/>
    <w:rsid w:val="000279C3"/>
    <w:rsid w:val="00036E06"/>
    <w:rsid w:val="00041235"/>
    <w:rsid w:val="0005187C"/>
    <w:rsid w:val="00052026"/>
    <w:rsid w:val="00054713"/>
    <w:rsid w:val="00054961"/>
    <w:rsid w:val="000554A5"/>
    <w:rsid w:val="00055CB2"/>
    <w:rsid w:val="00056EBF"/>
    <w:rsid w:val="00057925"/>
    <w:rsid w:val="00062E62"/>
    <w:rsid w:val="00063273"/>
    <w:rsid w:val="000637EF"/>
    <w:rsid w:val="00063D8D"/>
    <w:rsid w:val="00064A65"/>
    <w:rsid w:val="00066389"/>
    <w:rsid w:val="00075A57"/>
    <w:rsid w:val="00076AE8"/>
    <w:rsid w:val="00087056"/>
    <w:rsid w:val="00087FD1"/>
    <w:rsid w:val="000904A0"/>
    <w:rsid w:val="000920F6"/>
    <w:rsid w:val="00092923"/>
    <w:rsid w:val="00093A91"/>
    <w:rsid w:val="0009403D"/>
    <w:rsid w:val="000954EC"/>
    <w:rsid w:val="000A277F"/>
    <w:rsid w:val="000A3589"/>
    <w:rsid w:val="000B1B6B"/>
    <w:rsid w:val="000B5A4F"/>
    <w:rsid w:val="000C5432"/>
    <w:rsid w:val="000D11B8"/>
    <w:rsid w:val="000D14F8"/>
    <w:rsid w:val="000D6844"/>
    <w:rsid w:val="000E59E6"/>
    <w:rsid w:val="000E7DD5"/>
    <w:rsid w:val="000F0708"/>
    <w:rsid w:val="000F710E"/>
    <w:rsid w:val="001024DD"/>
    <w:rsid w:val="001035E7"/>
    <w:rsid w:val="00104CF2"/>
    <w:rsid w:val="00107756"/>
    <w:rsid w:val="00115212"/>
    <w:rsid w:val="00116F45"/>
    <w:rsid w:val="00121E1E"/>
    <w:rsid w:val="00123DD9"/>
    <w:rsid w:val="0013402D"/>
    <w:rsid w:val="00137631"/>
    <w:rsid w:val="00137655"/>
    <w:rsid w:val="001404C2"/>
    <w:rsid w:val="00140B05"/>
    <w:rsid w:val="00140FD4"/>
    <w:rsid w:val="00147240"/>
    <w:rsid w:val="00147598"/>
    <w:rsid w:val="00156DBE"/>
    <w:rsid w:val="0016024F"/>
    <w:rsid w:val="00166223"/>
    <w:rsid w:val="00167800"/>
    <w:rsid w:val="00171A75"/>
    <w:rsid w:val="00172BD0"/>
    <w:rsid w:val="00175138"/>
    <w:rsid w:val="00175B15"/>
    <w:rsid w:val="0017685D"/>
    <w:rsid w:val="001803F5"/>
    <w:rsid w:val="00182E28"/>
    <w:rsid w:val="001914D9"/>
    <w:rsid w:val="00191B7A"/>
    <w:rsid w:val="00194847"/>
    <w:rsid w:val="001973B5"/>
    <w:rsid w:val="001A0399"/>
    <w:rsid w:val="001A0A23"/>
    <w:rsid w:val="001A333E"/>
    <w:rsid w:val="001A33BE"/>
    <w:rsid w:val="001A3431"/>
    <w:rsid w:val="001A67B4"/>
    <w:rsid w:val="001B2487"/>
    <w:rsid w:val="001B2D8E"/>
    <w:rsid w:val="001B60D7"/>
    <w:rsid w:val="001C71B3"/>
    <w:rsid w:val="001C78A0"/>
    <w:rsid w:val="001D05BF"/>
    <w:rsid w:val="001D2385"/>
    <w:rsid w:val="001D3D6A"/>
    <w:rsid w:val="001D450C"/>
    <w:rsid w:val="001D49A1"/>
    <w:rsid w:val="001D5760"/>
    <w:rsid w:val="001F68F9"/>
    <w:rsid w:val="00204BFF"/>
    <w:rsid w:val="00205C7F"/>
    <w:rsid w:val="002067F2"/>
    <w:rsid w:val="00210CE9"/>
    <w:rsid w:val="00213390"/>
    <w:rsid w:val="00213CC4"/>
    <w:rsid w:val="002150F8"/>
    <w:rsid w:val="00216073"/>
    <w:rsid w:val="002160D8"/>
    <w:rsid w:val="002178AE"/>
    <w:rsid w:val="00224FE6"/>
    <w:rsid w:val="00226E45"/>
    <w:rsid w:val="00235C4E"/>
    <w:rsid w:val="00240F7D"/>
    <w:rsid w:val="00241FA1"/>
    <w:rsid w:val="002454A8"/>
    <w:rsid w:val="00252CFE"/>
    <w:rsid w:val="00254CE0"/>
    <w:rsid w:val="00254E78"/>
    <w:rsid w:val="00260405"/>
    <w:rsid w:val="0026047A"/>
    <w:rsid w:val="00267C6A"/>
    <w:rsid w:val="00271D64"/>
    <w:rsid w:val="00276E44"/>
    <w:rsid w:val="0028003E"/>
    <w:rsid w:val="0028018D"/>
    <w:rsid w:val="00280BDC"/>
    <w:rsid w:val="00293164"/>
    <w:rsid w:val="002939A8"/>
    <w:rsid w:val="002A008A"/>
    <w:rsid w:val="002A2177"/>
    <w:rsid w:val="002A2B15"/>
    <w:rsid w:val="002A385F"/>
    <w:rsid w:val="002A5804"/>
    <w:rsid w:val="002B1013"/>
    <w:rsid w:val="002B2B88"/>
    <w:rsid w:val="002B3975"/>
    <w:rsid w:val="002B7EA2"/>
    <w:rsid w:val="002C0879"/>
    <w:rsid w:val="002C1585"/>
    <w:rsid w:val="002C62D9"/>
    <w:rsid w:val="002D094D"/>
    <w:rsid w:val="002D44C9"/>
    <w:rsid w:val="002D4A93"/>
    <w:rsid w:val="002D5313"/>
    <w:rsid w:val="002D6BA1"/>
    <w:rsid w:val="002D6F98"/>
    <w:rsid w:val="002E214D"/>
    <w:rsid w:val="002E3FF4"/>
    <w:rsid w:val="002E49D7"/>
    <w:rsid w:val="002E5163"/>
    <w:rsid w:val="002E7DDE"/>
    <w:rsid w:val="002E7F8F"/>
    <w:rsid w:val="002F0A52"/>
    <w:rsid w:val="002F16BC"/>
    <w:rsid w:val="00302BDB"/>
    <w:rsid w:val="00303A58"/>
    <w:rsid w:val="00303ECD"/>
    <w:rsid w:val="00311224"/>
    <w:rsid w:val="003153F6"/>
    <w:rsid w:val="00315516"/>
    <w:rsid w:val="00316460"/>
    <w:rsid w:val="003225DE"/>
    <w:rsid w:val="00323730"/>
    <w:rsid w:val="00324E9B"/>
    <w:rsid w:val="00325685"/>
    <w:rsid w:val="003335A2"/>
    <w:rsid w:val="00333C82"/>
    <w:rsid w:val="003351E0"/>
    <w:rsid w:val="00343936"/>
    <w:rsid w:val="003445DF"/>
    <w:rsid w:val="0034720F"/>
    <w:rsid w:val="00347982"/>
    <w:rsid w:val="003504C4"/>
    <w:rsid w:val="003517C6"/>
    <w:rsid w:val="00352893"/>
    <w:rsid w:val="0035614B"/>
    <w:rsid w:val="003609F1"/>
    <w:rsid w:val="00360B63"/>
    <w:rsid w:val="00363758"/>
    <w:rsid w:val="003659B1"/>
    <w:rsid w:val="003671F2"/>
    <w:rsid w:val="00373110"/>
    <w:rsid w:val="003737AB"/>
    <w:rsid w:val="003828CB"/>
    <w:rsid w:val="00390ABC"/>
    <w:rsid w:val="00390D9A"/>
    <w:rsid w:val="00395ED9"/>
    <w:rsid w:val="00396855"/>
    <w:rsid w:val="0039708C"/>
    <w:rsid w:val="003A021F"/>
    <w:rsid w:val="003A28F6"/>
    <w:rsid w:val="003B13AC"/>
    <w:rsid w:val="003B2720"/>
    <w:rsid w:val="003B5A9E"/>
    <w:rsid w:val="003C10E8"/>
    <w:rsid w:val="003C2375"/>
    <w:rsid w:val="003C2E69"/>
    <w:rsid w:val="003C3061"/>
    <w:rsid w:val="003C6972"/>
    <w:rsid w:val="003D27B8"/>
    <w:rsid w:val="003D5393"/>
    <w:rsid w:val="003F282F"/>
    <w:rsid w:val="003F4463"/>
    <w:rsid w:val="003F4D21"/>
    <w:rsid w:val="003F5EA3"/>
    <w:rsid w:val="003F72E3"/>
    <w:rsid w:val="003F7EA5"/>
    <w:rsid w:val="00403462"/>
    <w:rsid w:val="004039E4"/>
    <w:rsid w:val="00405C09"/>
    <w:rsid w:val="004109D9"/>
    <w:rsid w:val="004121E7"/>
    <w:rsid w:val="00415DFD"/>
    <w:rsid w:val="00420228"/>
    <w:rsid w:val="00420CB1"/>
    <w:rsid w:val="00423808"/>
    <w:rsid w:val="00424584"/>
    <w:rsid w:val="004251C0"/>
    <w:rsid w:val="0043381F"/>
    <w:rsid w:val="00444FDB"/>
    <w:rsid w:val="0044620A"/>
    <w:rsid w:val="00450121"/>
    <w:rsid w:val="00463568"/>
    <w:rsid w:val="00465C67"/>
    <w:rsid w:val="004665F8"/>
    <w:rsid w:val="00471798"/>
    <w:rsid w:val="00471D4F"/>
    <w:rsid w:val="00474C15"/>
    <w:rsid w:val="00477614"/>
    <w:rsid w:val="00490C47"/>
    <w:rsid w:val="004928B1"/>
    <w:rsid w:val="00495C06"/>
    <w:rsid w:val="004A0FDE"/>
    <w:rsid w:val="004A14BB"/>
    <w:rsid w:val="004A48FD"/>
    <w:rsid w:val="004B1D49"/>
    <w:rsid w:val="004B1F15"/>
    <w:rsid w:val="004B2FA2"/>
    <w:rsid w:val="004B4BC6"/>
    <w:rsid w:val="004C1A90"/>
    <w:rsid w:val="004C2C75"/>
    <w:rsid w:val="004C3C82"/>
    <w:rsid w:val="004C5904"/>
    <w:rsid w:val="004E1118"/>
    <w:rsid w:val="004E15AD"/>
    <w:rsid w:val="004E19C3"/>
    <w:rsid w:val="004F2459"/>
    <w:rsid w:val="004F64E7"/>
    <w:rsid w:val="004F6E9D"/>
    <w:rsid w:val="005013BD"/>
    <w:rsid w:val="00503626"/>
    <w:rsid w:val="005058B0"/>
    <w:rsid w:val="00510A78"/>
    <w:rsid w:val="00512A6F"/>
    <w:rsid w:val="005138E9"/>
    <w:rsid w:val="005146E6"/>
    <w:rsid w:val="00517C96"/>
    <w:rsid w:val="00521750"/>
    <w:rsid w:val="0052255F"/>
    <w:rsid w:val="0052340E"/>
    <w:rsid w:val="0052457B"/>
    <w:rsid w:val="005255E2"/>
    <w:rsid w:val="00527C15"/>
    <w:rsid w:val="00530252"/>
    <w:rsid w:val="00530B81"/>
    <w:rsid w:val="0053540B"/>
    <w:rsid w:val="00536214"/>
    <w:rsid w:val="005416F2"/>
    <w:rsid w:val="00543B18"/>
    <w:rsid w:val="00544478"/>
    <w:rsid w:val="00544EFF"/>
    <w:rsid w:val="0054669B"/>
    <w:rsid w:val="005501BC"/>
    <w:rsid w:val="005537A7"/>
    <w:rsid w:val="00557732"/>
    <w:rsid w:val="00562B28"/>
    <w:rsid w:val="005677F8"/>
    <w:rsid w:val="00570F9A"/>
    <w:rsid w:val="005718D1"/>
    <w:rsid w:val="005736C1"/>
    <w:rsid w:val="005800EF"/>
    <w:rsid w:val="00581601"/>
    <w:rsid w:val="005830B7"/>
    <w:rsid w:val="0058399B"/>
    <w:rsid w:val="00585E29"/>
    <w:rsid w:val="00586D21"/>
    <w:rsid w:val="00591525"/>
    <w:rsid w:val="0059233B"/>
    <w:rsid w:val="005928EE"/>
    <w:rsid w:val="00594B4B"/>
    <w:rsid w:val="00594DA5"/>
    <w:rsid w:val="005969C3"/>
    <w:rsid w:val="005A07EF"/>
    <w:rsid w:val="005A184A"/>
    <w:rsid w:val="005A1AF0"/>
    <w:rsid w:val="005A7196"/>
    <w:rsid w:val="005A72EE"/>
    <w:rsid w:val="005B4224"/>
    <w:rsid w:val="005C2807"/>
    <w:rsid w:val="005C54D6"/>
    <w:rsid w:val="005C5BD6"/>
    <w:rsid w:val="005C7D6D"/>
    <w:rsid w:val="005D3FD8"/>
    <w:rsid w:val="005D4B90"/>
    <w:rsid w:val="005E7430"/>
    <w:rsid w:val="005F03DC"/>
    <w:rsid w:val="005F37B3"/>
    <w:rsid w:val="005F5B02"/>
    <w:rsid w:val="0060264C"/>
    <w:rsid w:val="00606AD1"/>
    <w:rsid w:val="0060766E"/>
    <w:rsid w:val="006115F8"/>
    <w:rsid w:val="00615CF6"/>
    <w:rsid w:val="006259EB"/>
    <w:rsid w:val="006268D5"/>
    <w:rsid w:val="006308F6"/>
    <w:rsid w:val="006324C4"/>
    <w:rsid w:val="00634A41"/>
    <w:rsid w:val="0064067C"/>
    <w:rsid w:val="006411D2"/>
    <w:rsid w:val="00642812"/>
    <w:rsid w:val="00642FC6"/>
    <w:rsid w:val="006439DE"/>
    <w:rsid w:val="0064488C"/>
    <w:rsid w:val="006456A2"/>
    <w:rsid w:val="00645C74"/>
    <w:rsid w:val="00661FF3"/>
    <w:rsid w:val="00665270"/>
    <w:rsid w:val="006658AC"/>
    <w:rsid w:val="00667DEE"/>
    <w:rsid w:val="00667EAB"/>
    <w:rsid w:val="0067295D"/>
    <w:rsid w:val="0068145D"/>
    <w:rsid w:val="006826F6"/>
    <w:rsid w:val="00684BC4"/>
    <w:rsid w:val="0068657F"/>
    <w:rsid w:val="006875D7"/>
    <w:rsid w:val="006929FE"/>
    <w:rsid w:val="00695993"/>
    <w:rsid w:val="0069720B"/>
    <w:rsid w:val="00697603"/>
    <w:rsid w:val="006A0FD4"/>
    <w:rsid w:val="006A554C"/>
    <w:rsid w:val="006B0939"/>
    <w:rsid w:val="006B169F"/>
    <w:rsid w:val="006B2AC2"/>
    <w:rsid w:val="006B6CF2"/>
    <w:rsid w:val="006C01E6"/>
    <w:rsid w:val="006C06D6"/>
    <w:rsid w:val="006C2087"/>
    <w:rsid w:val="006C6378"/>
    <w:rsid w:val="006E156B"/>
    <w:rsid w:val="006E26BA"/>
    <w:rsid w:val="006E7387"/>
    <w:rsid w:val="006F00A2"/>
    <w:rsid w:val="006F3E4B"/>
    <w:rsid w:val="006F41E9"/>
    <w:rsid w:val="006F543E"/>
    <w:rsid w:val="0070072F"/>
    <w:rsid w:val="007007FE"/>
    <w:rsid w:val="00701ED4"/>
    <w:rsid w:val="00703CF9"/>
    <w:rsid w:val="00704B53"/>
    <w:rsid w:val="00705F8A"/>
    <w:rsid w:val="00711038"/>
    <w:rsid w:val="00716DD5"/>
    <w:rsid w:val="00723D08"/>
    <w:rsid w:val="00727F5F"/>
    <w:rsid w:val="00731AC2"/>
    <w:rsid w:val="007355C9"/>
    <w:rsid w:val="007365DE"/>
    <w:rsid w:val="00736CD7"/>
    <w:rsid w:val="00742742"/>
    <w:rsid w:val="00744492"/>
    <w:rsid w:val="007473BC"/>
    <w:rsid w:val="00755BC6"/>
    <w:rsid w:val="007570DC"/>
    <w:rsid w:val="00764CC3"/>
    <w:rsid w:val="007656FB"/>
    <w:rsid w:val="00767523"/>
    <w:rsid w:val="00767CCC"/>
    <w:rsid w:val="007703B4"/>
    <w:rsid w:val="00770655"/>
    <w:rsid w:val="0077112C"/>
    <w:rsid w:val="00771C0A"/>
    <w:rsid w:val="00775526"/>
    <w:rsid w:val="007761D8"/>
    <w:rsid w:val="00776DCF"/>
    <w:rsid w:val="0078405E"/>
    <w:rsid w:val="007854E8"/>
    <w:rsid w:val="0078699D"/>
    <w:rsid w:val="00790302"/>
    <w:rsid w:val="00792C8C"/>
    <w:rsid w:val="00796134"/>
    <w:rsid w:val="007B2118"/>
    <w:rsid w:val="007B3F40"/>
    <w:rsid w:val="007B65AE"/>
    <w:rsid w:val="007D3812"/>
    <w:rsid w:val="007D3BBF"/>
    <w:rsid w:val="007D6F60"/>
    <w:rsid w:val="007D7E49"/>
    <w:rsid w:val="007E146B"/>
    <w:rsid w:val="007F35C8"/>
    <w:rsid w:val="007F413F"/>
    <w:rsid w:val="008040B8"/>
    <w:rsid w:val="008043DF"/>
    <w:rsid w:val="008052A5"/>
    <w:rsid w:val="008060EB"/>
    <w:rsid w:val="0080639E"/>
    <w:rsid w:val="00807949"/>
    <w:rsid w:val="00807A0A"/>
    <w:rsid w:val="00810AA1"/>
    <w:rsid w:val="00810C63"/>
    <w:rsid w:val="00810FAC"/>
    <w:rsid w:val="00812EB8"/>
    <w:rsid w:val="00822D2B"/>
    <w:rsid w:val="00824BEE"/>
    <w:rsid w:val="00825B32"/>
    <w:rsid w:val="00825EDD"/>
    <w:rsid w:val="00835348"/>
    <w:rsid w:val="00837A25"/>
    <w:rsid w:val="00840EDC"/>
    <w:rsid w:val="0084491E"/>
    <w:rsid w:val="0085016E"/>
    <w:rsid w:val="00851673"/>
    <w:rsid w:val="00852883"/>
    <w:rsid w:val="00855525"/>
    <w:rsid w:val="00857D0E"/>
    <w:rsid w:val="00860E32"/>
    <w:rsid w:val="00860E65"/>
    <w:rsid w:val="00861BA4"/>
    <w:rsid w:val="00862F2E"/>
    <w:rsid w:val="00870AA8"/>
    <w:rsid w:val="00871AD6"/>
    <w:rsid w:val="00872C67"/>
    <w:rsid w:val="0087322D"/>
    <w:rsid w:val="008745FC"/>
    <w:rsid w:val="00877547"/>
    <w:rsid w:val="008836EE"/>
    <w:rsid w:val="008845C5"/>
    <w:rsid w:val="00892CA6"/>
    <w:rsid w:val="008A0076"/>
    <w:rsid w:val="008A2676"/>
    <w:rsid w:val="008A333A"/>
    <w:rsid w:val="008A3E6D"/>
    <w:rsid w:val="008B1251"/>
    <w:rsid w:val="008B130F"/>
    <w:rsid w:val="008B3306"/>
    <w:rsid w:val="008B41C8"/>
    <w:rsid w:val="008B5D5A"/>
    <w:rsid w:val="008B6156"/>
    <w:rsid w:val="008B615F"/>
    <w:rsid w:val="008C0E53"/>
    <w:rsid w:val="008C1409"/>
    <w:rsid w:val="008C4B90"/>
    <w:rsid w:val="008C5FE4"/>
    <w:rsid w:val="008C70B3"/>
    <w:rsid w:val="008D087C"/>
    <w:rsid w:val="008D4B23"/>
    <w:rsid w:val="008E02CE"/>
    <w:rsid w:val="008E05C5"/>
    <w:rsid w:val="008E5BC6"/>
    <w:rsid w:val="008F30A3"/>
    <w:rsid w:val="008F6106"/>
    <w:rsid w:val="008F6183"/>
    <w:rsid w:val="008F7178"/>
    <w:rsid w:val="00902C26"/>
    <w:rsid w:val="009054E3"/>
    <w:rsid w:val="0091021B"/>
    <w:rsid w:val="00911116"/>
    <w:rsid w:val="00912134"/>
    <w:rsid w:val="00925427"/>
    <w:rsid w:val="009304AA"/>
    <w:rsid w:val="009343EB"/>
    <w:rsid w:val="00937754"/>
    <w:rsid w:val="0094073E"/>
    <w:rsid w:val="0094498D"/>
    <w:rsid w:val="00946719"/>
    <w:rsid w:val="0094696A"/>
    <w:rsid w:val="00946E22"/>
    <w:rsid w:val="009530D5"/>
    <w:rsid w:val="00953407"/>
    <w:rsid w:val="009545DC"/>
    <w:rsid w:val="00960BE4"/>
    <w:rsid w:val="0096796F"/>
    <w:rsid w:val="00970680"/>
    <w:rsid w:val="009772B5"/>
    <w:rsid w:val="00986C14"/>
    <w:rsid w:val="0099504B"/>
    <w:rsid w:val="009953EA"/>
    <w:rsid w:val="00997230"/>
    <w:rsid w:val="009975EA"/>
    <w:rsid w:val="009A4540"/>
    <w:rsid w:val="009A47CD"/>
    <w:rsid w:val="009A6622"/>
    <w:rsid w:val="009B07CD"/>
    <w:rsid w:val="009C492C"/>
    <w:rsid w:val="009C701A"/>
    <w:rsid w:val="009D051F"/>
    <w:rsid w:val="009D39D5"/>
    <w:rsid w:val="009D423E"/>
    <w:rsid w:val="009D45F6"/>
    <w:rsid w:val="009D4715"/>
    <w:rsid w:val="009E4CE1"/>
    <w:rsid w:val="009E5E7D"/>
    <w:rsid w:val="009E7EF6"/>
    <w:rsid w:val="00A0347D"/>
    <w:rsid w:val="00A04DBC"/>
    <w:rsid w:val="00A11777"/>
    <w:rsid w:val="00A1470E"/>
    <w:rsid w:val="00A1538B"/>
    <w:rsid w:val="00A210E1"/>
    <w:rsid w:val="00A230F3"/>
    <w:rsid w:val="00A2313B"/>
    <w:rsid w:val="00A256C7"/>
    <w:rsid w:val="00A30B0A"/>
    <w:rsid w:val="00A30F0D"/>
    <w:rsid w:val="00A31AD9"/>
    <w:rsid w:val="00A36CC3"/>
    <w:rsid w:val="00A43051"/>
    <w:rsid w:val="00A44897"/>
    <w:rsid w:val="00A45707"/>
    <w:rsid w:val="00A471FC"/>
    <w:rsid w:val="00A5365B"/>
    <w:rsid w:val="00A5591C"/>
    <w:rsid w:val="00A57783"/>
    <w:rsid w:val="00A62238"/>
    <w:rsid w:val="00A6774C"/>
    <w:rsid w:val="00A733E3"/>
    <w:rsid w:val="00A76BA9"/>
    <w:rsid w:val="00A7780A"/>
    <w:rsid w:val="00A81861"/>
    <w:rsid w:val="00A8237C"/>
    <w:rsid w:val="00AA04B9"/>
    <w:rsid w:val="00AA0B4B"/>
    <w:rsid w:val="00AA13F0"/>
    <w:rsid w:val="00AA1AFA"/>
    <w:rsid w:val="00AA204A"/>
    <w:rsid w:val="00AA5591"/>
    <w:rsid w:val="00AB0719"/>
    <w:rsid w:val="00AB36F0"/>
    <w:rsid w:val="00AB5A2E"/>
    <w:rsid w:val="00AB5A85"/>
    <w:rsid w:val="00AB638E"/>
    <w:rsid w:val="00AC01D6"/>
    <w:rsid w:val="00AC1790"/>
    <w:rsid w:val="00AC6047"/>
    <w:rsid w:val="00AD0AF7"/>
    <w:rsid w:val="00AD2929"/>
    <w:rsid w:val="00AD4B47"/>
    <w:rsid w:val="00AD7220"/>
    <w:rsid w:val="00AD7D68"/>
    <w:rsid w:val="00AE707E"/>
    <w:rsid w:val="00B01B1D"/>
    <w:rsid w:val="00B04BE4"/>
    <w:rsid w:val="00B06352"/>
    <w:rsid w:val="00B07A57"/>
    <w:rsid w:val="00B11181"/>
    <w:rsid w:val="00B13119"/>
    <w:rsid w:val="00B158D5"/>
    <w:rsid w:val="00B179BC"/>
    <w:rsid w:val="00B2521F"/>
    <w:rsid w:val="00B26262"/>
    <w:rsid w:val="00B32539"/>
    <w:rsid w:val="00B35E87"/>
    <w:rsid w:val="00B37C37"/>
    <w:rsid w:val="00B45A20"/>
    <w:rsid w:val="00B51177"/>
    <w:rsid w:val="00B64E61"/>
    <w:rsid w:val="00B67828"/>
    <w:rsid w:val="00B70207"/>
    <w:rsid w:val="00B7378A"/>
    <w:rsid w:val="00B744F8"/>
    <w:rsid w:val="00B75278"/>
    <w:rsid w:val="00B80310"/>
    <w:rsid w:val="00B815D3"/>
    <w:rsid w:val="00B81848"/>
    <w:rsid w:val="00B81E09"/>
    <w:rsid w:val="00B81EB8"/>
    <w:rsid w:val="00B91D83"/>
    <w:rsid w:val="00B96F96"/>
    <w:rsid w:val="00BA18A6"/>
    <w:rsid w:val="00BA64C8"/>
    <w:rsid w:val="00BB0349"/>
    <w:rsid w:val="00BB7A11"/>
    <w:rsid w:val="00BC4F68"/>
    <w:rsid w:val="00BF07E7"/>
    <w:rsid w:val="00BF0863"/>
    <w:rsid w:val="00BF0865"/>
    <w:rsid w:val="00BF34D5"/>
    <w:rsid w:val="00BF5E3A"/>
    <w:rsid w:val="00BF66DE"/>
    <w:rsid w:val="00C00182"/>
    <w:rsid w:val="00C04D0C"/>
    <w:rsid w:val="00C0577E"/>
    <w:rsid w:val="00C06205"/>
    <w:rsid w:val="00C06231"/>
    <w:rsid w:val="00C10BB3"/>
    <w:rsid w:val="00C117A7"/>
    <w:rsid w:val="00C14C53"/>
    <w:rsid w:val="00C218EF"/>
    <w:rsid w:val="00C22F7A"/>
    <w:rsid w:val="00C24ADA"/>
    <w:rsid w:val="00C2502A"/>
    <w:rsid w:val="00C35D98"/>
    <w:rsid w:val="00C44977"/>
    <w:rsid w:val="00C45E75"/>
    <w:rsid w:val="00C503A8"/>
    <w:rsid w:val="00C50740"/>
    <w:rsid w:val="00C522F0"/>
    <w:rsid w:val="00C5333A"/>
    <w:rsid w:val="00C5412E"/>
    <w:rsid w:val="00C55755"/>
    <w:rsid w:val="00C55DF1"/>
    <w:rsid w:val="00C64075"/>
    <w:rsid w:val="00C64884"/>
    <w:rsid w:val="00C64E58"/>
    <w:rsid w:val="00C66B40"/>
    <w:rsid w:val="00C75D91"/>
    <w:rsid w:val="00C77AC3"/>
    <w:rsid w:val="00C818BC"/>
    <w:rsid w:val="00C82BE5"/>
    <w:rsid w:val="00C83B6B"/>
    <w:rsid w:val="00C870C5"/>
    <w:rsid w:val="00C90335"/>
    <w:rsid w:val="00C93B9B"/>
    <w:rsid w:val="00CA566E"/>
    <w:rsid w:val="00CB4A31"/>
    <w:rsid w:val="00CB7F26"/>
    <w:rsid w:val="00CC4497"/>
    <w:rsid w:val="00CC466C"/>
    <w:rsid w:val="00CD053A"/>
    <w:rsid w:val="00CD3A02"/>
    <w:rsid w:val="00CD4902"/>
    <w:rsid w:val="00CD5DDE"/>
    <w:rsid w:val="00CE6B12"/>
    <w:rsid w:val="00CF31F4"/>
    <w:rsid w:val="00CF5E39"/>
    <w:rsid w:val="00CF7968"/>
    <w:rsid w:val="00D010DD"/>
    <w:rsid w:val="00D034DA"/>
    <w:rsid w:val="00D040E8"/>
    <w:rsid w:val="00D04379"/>
    <w:rsid w:val="00D04A4C"/>
    <w:rsid w:val="00D07416"/>
    <w:rsid w:val="00D1400D"/>
    <w:rsid w:val="00D145BE"/>
    <w:rsid w:val="00D24361"/>
    <w:rsid w:val="00D2531B"/>
    <w:rsid w:val="00D32CC5"/>
    <w:rsid w:val="00D34FAF"/>
    <w:rsid w:val="00D36C51"/>
    <w:rsid w:val="00D41164"/>
    <w:rsid w:val="00D45A2A"/>
    <w:rsid w:val="00D47341"/>
    <w:rsid w:val="00D4742A"/>
    <w:rsid w:val="00D52BA2"/>
    <w:rsid w:val="00D55479"/>
    <w:rsid w:val="00D57182"/>
    <w:rsid w:val="00D636FC"/>
    <w:rsid w:val="00D77867"/>
    <w:rsid w:val="00D81C4C"/>
    <w:rsid w:val="00D83382"/>
    <w:rsid w:val="00D839D2"/>
    <w:rsid w:val="00D8524B"/>
    <w:rsid w:val="00D8644A"/>
    <w:rsid w:val="00D905F5"/>
    <w:rsid w:val="00DA1539"/>
    <w:rsid w:val="00DA1554"/>
    <w:rsid w:val="00DA2032"/>
    <w:rsid w:val="00DA5667"/>
    <w:rsid w:val="00DA59A6"/>
    <w:rsid w:val="00DA5CB2"/>
    <w:rsid w:val="00DA63D6"/>
    <w:rsid w:val="00DB3547"/>
    <w:rsid w:val="00DC1482"/>
    <w:rsid w:val="00DD2A02"/>
    <w:rsid w:val="00DE29A0"/>
    <w:rsid w:val="00DE6D5C"/>
    <w:rsid w:val="00DE7A3B"/>
    <w:rsid w:val="00DF2307"/>
    <w:rsid w:val="00E050A5"/>
    <w:rsid w:val="00E0799C"/>
    <w:rsid w:val="00E13B62"/>
    <w:rsid w:val="00E15DE0"/>
    <w:rsid w:val="00E2794C"/>
    <w:rsid w:val="00E30A51"/>
    <w:rsid w:val="00E3208B"/>
    <w:rsid w:val="00E32124"/>
    <w:rsid w:val="00E36494"/>
    <w:rsid w:val="00E46835"/>
    <w:rsid w:val="00E53FFF"/>
    <w:rsid w:val="00E569D8"/>
    <w:rsid w:val="00E57688"/>
    <w:rsid w:val="00E6083B"/>
    <w:rsid w:val="00E61537"/>
    <w:rsid w:val="00E65BB0"/>
    <w:rsid w:val="00E72119"/>
    <w:rsid w:val="00E73840"/>
    <w:rsid w:val="00E80F89"/>
    <w:rsid w:val="00E847FF"/>
    <w:rsid w:val="00E84DBF"/>
    <w:rsid w:val="00E869C6"/>
    <w:rsid w:val="00E9294A"/>
    <w:rsid w:val="00E97DE0"/>
    <w:rsid w:val="00E97F39"/>
    <w:rsid w:val="00EB5B91"/>
    <w:rsid w:val="00EB6F58"/>
    <w:rsid w:val="00EC0A32"/>
    <w:rsid w:val="00EC1305"/>
    <w:rsid w:val="00EC17D4"/>
    <w:rsid w:val="00EC68C9"/>
    <w:rsid w:val="00ED1006"/>
    <w:rsid w:val="00ED1205"/>
    <w:rsid w:val="00ED31A7"/>
    <w:rsid w:val="00ED4C0A"/>
    <w:rsid w:val="00ED528F"/>
    <w:rsid w:val="00ED5963"/>
    <w:rsid w:val="00EE04B0"/>
    <w:rsid w:val="00EE4C43"/>
    <w:rsid w:val="00EF024E"/>
    <w:rsid w:val="00EF074B"/>
    <w:rsid w:val="00EF0FA7"/>
    <w:rsid w:val="00EF5E44"/>
    <w:rsid w:val="00EF6A83"/>
    <w:rsid w:val="00EF7CE7"/>
    <w:rsid w:val="00F01B6F"/>
    <w:rsid w:val="00F02A38"/>
    <w:rsid w:val="00F02DC9"/>
    <w:rsid w:val="00F03615"/>
    <w:rsid w:val="00F113FA"/>
    <w:rsid w:val="00F16B73"/>
    <w:rsid w:val="00F2200D"/>
    <w:rsid w:val="00F2253B"/>
    <w:rsid w:val="00F262EE"/>
    <w:rsid w:val="00F31F36"/>
    <w:rsid w:val="00F328C0"/>
    <w:rsid w:val="00F33606"/>
    <w:rsid w:val="00F3375A"/>
    <w:rsid w:val="00F33C34"/>
    <w:rsid w:val="00F35F2A"/>
    <w:rsid w:val="00F42056"/>
    <w:rsid w:val="00F42BBF"/>
    <w:rsid w:val="00F451F4"/>
    <w:rsid w:val="00F502CC"/>
    <w:rsid w:val="00F50BD0"/>
    <w:rsid w:val="00F51DB5"/>
    <w:rsid w:val="00F536A4"/>
    <w:rsid w:val="00F6208A"/>
    <w:rsid w:val="00F65892"/>
    <w:rsid w:val="00F65A8C"/>
    <w:rsid w:val="00F71CA9"/>
    <w:rsid w:val="00F7621F"/>
    <w:rsid w:val="00F76D14"/>
    <w:rsid w:val="00F77DDD"/>
    <w:rsid w:val="00F81EA0"/>
    <w:rsid w:val="00F82D76"/>
    <w:rsid w:val="00F87DE9"/>
    <w:rsid w:val="00F95D88"/>
    <w:rsid w:val="00F96FF1"/>
    <w:rsid w:val="00F97CEC"/>
    <w:rsid w:val="00FA7F9A"/>
    <w:rsid w:val="00FB0094"/>
    <w:rsid w:val="00FB3A60"/>
    <w:rsid w:val="00FC40B4"/>
    <w:rsid w:val="00FC7433"/>
    <w:rsid w:val="00FD0916"/>
    <w:rsid w:val="00FD1677"/>
    <w:rsid w:val="00FD1B36"/>
    <w:rsid w:val="00FD2D19"/>
    <w:rsid w:val="00FD4DF7"/>
    <w:rsid w:val="00FE2630"/>
    <w:rsid w:val="00FE2A76"/>
    <w:rsid w:val="00FE5E8F"/>
    <w:rsid w:val="00FF0370"/>
    <w:rsid w:val="00FF093B"/>
    <w:rsid w:val="00FF39B6"/>
    <w:rsid w:val="00FF554E"/>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styleId="Caption">
    <w:name w:val="caption"/>
    <w:basedOn w:val="Normal"/>
    <w:next w:val="Normal"/>
    <w:unhideWhenUsed/>
    <w:qFormat/>
    <w:rsid w:val="00ED1006"/>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35843593">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574857102">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768113442">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49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www.environment.gov.au/marine/fisheries/qld/river-beam-trawl/application2015"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pecies.consultation@environment.gov.au" TargetMode="Externa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9CA297B8.dotm</Template>
  <TotalTime>0</TotalTime>
  <Pages>17</Pages>
  <Words>6032</Words>
  <Characters>34475</Characters>
  <Application>Microsoft Office Word</Application>
  <DocSecurity>4</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40427</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dc:title>
  <dc:creator/>
  <cp:lastModifiedBy/>
  <cp:revision>1</cp:revision>
  <dcterms:created xsi:type="dcterms:W3CDTF">2017-06-16T00:13:00Z</dcterms:created>
  <dcterms:modified xsi:type="dcterms:W3CDTF">2017-06-16T00:13:00Z</dcterms:modified>
</cp:coreProperties>
</file>