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C86FA1" w14:textId="53368DC5" w:rsidR="002D6AB0" w:rsidRDefault="00D911DD" w:rsidP="00C72227">
      <w:pPr>
        <w:pStyle w:val="Title"/>
      </w:pPr>
      <w:bookmarkStart w:id="0" w:name="_GoBack"/>
      <w:r>
        <w:t xml:space="preserve">DRAFT </w:t>
      </w:r>
      <w:r w:rsidR="00C72227">
        <w:t xml:space="preserve">Conservation Advice (incorporating listing advice) for the Tasmanian white gum </w:t>
      </w:r>
      <w:r w:rsidR="009043B5">
        <w:t>(</w:t>
      </w:r>
      <w:r w:rsidR="009043B5" w:rsidRPr="009043B5">
        <w:rPr>
          <w:i/>
        </w:rPr>
        <w:t>Eucalyptus viminalis</w:t>
      </w:r>
      <w:r w:rsidR="009043B5">
        <w:t xml:space="preserve">) </w:t>
      </w:r>
      <w:r>
        <w:t>wet forest</w:t>
      </w:r>
    </w:p>
    <w:bookmarkEnd w:id="0"/>
    <w:p w14:paraId="24C47E3D" w14:textId="77777777" w:rsidR="008B0CA1" w:rsidRDefault="008B0CA1" w:rsidP="008B0CA1">
      <w:pPr>
        <w:jc w:val="center"/>
        <w:rPr>
          <w:b/>
        </w:rPr>
      </w:pPr>
      <w:r>
        <w:rPr>
          <w:noProof/>
          <w:lang w:eastAsia="en-AU"/>
        </w:rPr>
        <w:drawing>
          <wp:inline distT="0" distB="0" distL="0" distR="0" wp14:anchorId="268E9906" wp14:editId="58F5D7C1">
            <wp:extent cx="5622358" cy="3338624"/>
            <wp:effectExtent l="0" t="0" r="0" b="0"/>
            <wp:docPr id="3" name="Picture 3" descr="\\spire.environment.gov.au\DavWWWRoot\spire\886644\246810\125\Tasmanian white gum wet forest - listing - photos\Wet Caves Road_IMG_3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ire.environment.gov.au\DavWWWRoot\spire\886644\246810\125\Tasmanian white gum wet forest - listing - photos\Wet Caves Road_IMG_3131.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5653510" cy="3357122"/>
                    </a:xfrm>
                    <a:prstGeom prst="rect">
                      <a:avLst/>
                    </a:prstGeom>
                    <a:noFill/>
                    <a:ln>
                      <a:noFill/>
                    </a:ln>
                    <a:extLst>
                      <a:ext uri="{53640926-AAD7-44D8-BBD7-CCE9431645EC}">
                        <a14:shadowObscured xmlns:a14="http://schemas.microsoft.com/office/drawing/2010/main"/>
                      </a:ext>
                    </a:extLst>
                  </pic:spPr>
                </pic:pic>
              </a:graphicData>
            </a:graphic>
          </wp:inline>
        </w:drawing>
      </w:r>
    </w:p>
    <w:p w14:paraId="22FDB2F6" w14:textId="2F8A0D73" w:rsidR="00A8540A" w:rsidRDefault="00A8540A" w:rsidP="00126438">
      <w:pPr>
        <w:rPr>
          <w:b/>
        </w:rPr>
      </w:pPr>
    </w:p>
    <w:p w14:paraId="385BBDA5" w14:textId="0B8275A6" w:rsidR="00A8540A" w:rsidRPr="00A8540A" w:rsidRDefault="00A8540A" w:rsidP="00A8540A">
      <w:pPr>
        <w:rPr>
          <w:b/>
        </w:rPr>
      </w:pPr>
      <w:r w:rsidRPr="00741572">
        <w:t>The Threatened Species Scientific Committee (the Committee) was established under the EPBC Act and has obligations to present advice to the Minister for the Environment in relation to the listing and conservation of threatened ecological communities, including under sections 189, 194N and 266B of the EPBC Act.</w:t>
      </w:r>
    </w:p>
    <w:p w14:paraId="32873045" w14:textId="2049888B" w:rsidR="00A8540A" w:rsidRDefault="00A8540A" w:rsidP="00A8540A">
      <w:r w:rsidRPr="00741572">
        <w:t xml:space="preserve">The Committee will provide its advice on the </w:t>
      </w:r>
      <w:r>
        <w:t>Tasmanian white gum (</w:t>
      </w:r>
      <w:r w:rsidRPr="00A8540A">
        <w:rPr>
          <w:i/>
        </w:rPr>
        <w:t>Eucalyptus viminalis</w:t>
      </w:r>
      <w:r>
        <w:t xml:space="preserve">) wet forest </w:t>
      </w:r>
      <w:r w:rsidRPr="00741572">
        <w:t>to the Minister as a draft conservation advice in 20</w:t>
      </w:r>
      <w:r>
        <w:t>20</w:t>
      </w:r>
      <w:r w:rsidRPr="00741572">
        <w:t xml:space="preserve">. </w:t>
      </w:r>
    </w:p>
    <w:p w14:paraId="07538BEE" w14:textId="1B8BA63B" w:rsidR="00A8540A" w:rsidRDefault="00A8540A" w:rsidP="00A8540A">
      <w:r w:rsidRPr="00741572">
        <w:t xml:space="preserve">The Minister will decide whether to amend the list of threatened ecological communities under Section 184 of the EPBC Act to include the </w:t>
      </w:r>
      <w:r w:rsidRPr="00A8540A">
        <w:t>Tasmanian white gum (</w:t>
      </w:r>
      <w:r w:rsidRPr="00A8540A">
        <w:rPr>
          <w:i/>
        </w:rPr>
        <w:t>Eucalyptus viminalis</w:t>
      </w:r>
      <w:r w:rsidRPr="00A8540A">
        <w:t>) wet forest</w:t>
      </w:r>
      <w:r>
        <w:t>.</w:t>
      </w:r>
    </w:p>
    <w:p w14:paraId="2B2BDA2A" w14:textId="48DFCEE7" w:rsidR="00A8540A" w:rsidRDefault="00A8540A" w:rsidP="00A8540A">
      <w:r w:rsidRPr="00741572">
        <w:t>This draft conservation advice will be made available for expert and public comment for a minimum of 30 business days. The Committee and Minister will have regard to all public and expert comment relevant to the consideration of the ecological community</w:t>
      </w:r>
      <w:r>
        <w:t xml:space="preserve"> for listing</w:t>
      </w:r>
      <w:r w:rsidRPr="00741572">
        <w:t>.</w:t>
      </w:r>
    </w:p>
    <w:p w14:paraId="7FA471C4" w14:textId="77777777" w:rsidR="00A8540A" w:rsidRDefault="00A8540A" w:rsidP="00126438">
      <w:pPr>
        <w:rPr>
          <w:b/>
        </w:rPr>
      </w:pPr>
    </w:p>
    <w:p w14:paraId="693B972B" w14:textId="77777777" w:rsidR="00A8540A" w:rsidRDefault="00A8540A">
      <w:pPr>
        <w:spacing w:after="160" w:line="259" w:lineRule="auto"/>
        <w:rPr>
          <w:b/>
        </w:rPr>
      </w:pPr>
      <w:r>
        <w:rPr>
          <w:b/>
        </w:rPr>
        <w:br w:type="page"/>
      </w:r>
    </w:p>
    <w:p w14:paraId="15C0303F" w14:textId="1384D066" w:rsidR="00126438" w:rsidRPr="00126438" w:rsidRDefault="00126438" w:rsidP="00A8540A">
      <w:pPr>
        <w:keepNext/>
        <w:rPr>
          <w:b/>
        </w:rPr>
      </w:pPr>
      <w:r w:rsidRPr="00126438">
        <w:rPr>
          <w:b/>
        </w:rPr>
        <w:lastRenderedPageBreak/>
        <w:t>CONTENTS</w:t>
      </w:r>
    </w:p>
    <w:p w14:paraId="4D2F57EF" w14:textId="77777777" w:rsidR="005E6E9C" w:rsidRDefault="00526711">
      <w:pPr>
        <w:pStyle w:val="TOC1"/>
        <w:tabs>
          <w:tab w:val="left" w:pos="482"/>
          <w:tab w:val="right" w:leader="dot" w:pos="9016"/>
        </w:tabs>
        <w:rPr>
          <w:rFonts w:asciiTheme="minorHAnsi" w:eastAsiaTheme="minorEastAsia" w:hAnsiTheme="minorHAnsi"/>
          <w:noProof/>
          <w:sz w:val="22"/>
          <w:lang w:eastAsia="en-AU"/>
        </w:rPr>
      </w:pPr>
      <w:r w:rsidRPr="00496226">
        <w:rPr>
          <w:sz w:val="22"/>
        </w:rPr>
        <w:fldChar w:fldCharType="begin"/>
      </w:r>
      <w:r w:rsidR="00453C27" w:rsidRPr="00496226">
        <w:rPr>
          <w:sz w:val="22"/>
        </w:rPr>
        <w:instrText xml:space="preserve"> TOC \o "1-1" \h \z \t "Heading 2,2" </w:instrText>
      </w:r>
      <w:r w:rsidRPr="00496226">
        <w:rPr>
          <w:sz w:val="22"/>
        </w:rPr>
        <w:fldChar w:fldCharType="separate"/>
      </w:r>
      <w:hyperlink w:anchor="_Toc24970989" w:history="1">
        <w:r w:rsidR="005E6E9C" w:rsidRPr="00525340">
          <w:rPr>
            <w:rStyle w:val="Hyperlink"/>
            <w:noProof/>
          </w:rPr>
          <w:t>1</w:t>
        </w:r>
        <w:r w:rsidR="005E6E9C">
          <w:rPr>
            <w:rFonts w:asciiTheme="minorHAnsi" w:eastAsiaTheme="minorEastAsia" w:hAnsiTheme="minorHAnsi"/>
            <w:noProof/>
            <w:sz w:val="22"/>
            <w:lang w:eastAsia="en-AU"/>
          </w:rPr>
          <w:tab/>
        </w:r>
        <w:r w:rsidR="005E6E9C" w:rsidRPr="00525340">
          <w:rPr>
            <w:rStyle w:val="Hyperlink"/>
            <w:noProof/>
          </w:rPr>
          <w:t>Conservation objective</w:t>
        </w:r>
        <w:r w:rsidR="005E6E9C">
          <w:rPr>
            <w:noProof/>
            <w:webHidden/>
          </w:rPr>
          <w:tab/>
        </w:r>
        <w:r w:rsidR="005E6E9C">
          <w:rPr>
            <w:noProof/>
            <w:webHidden/>
          </w:rPr>
          <w:fldChar w:fldCharType="begin"/>
        </w:r>
        <w:r w:rsidR="005E6E9C">
          <w:rPr>
            <w:noProof/>
            <w:webHidden/>
          </w:rPr>
          <w:instrText xml:space="preserve"> PAGEREF _Toc24970989 \h </w:instrText>
        </w:r>
        <w:r w:rsidR="005E6E9C">
          <w:rPr>
            <w:noProof/>
            <w:webHidden/>
          </w:rPr>
        </w:r>
        <w:r w:rsidR="005E6E9C">
          <w:rPr>
            <w:noProof/>
            <w:webHidden/>
          </w:rPr>
          <w:fldChar w:fldCharType="separate"/>
        </w:r>
        <w:r w:rsidR="005E6E9C">
          <w:rPr>
            <w:noProof/>
            <w:webHidden/>
          </w:rPr>
          <w:t>3</w:t>
        </w:r>
        <w:r w:rsidR="005E6E9C">
          <w:rPr>
            <w:noProof/>
            <w:webHidden/>
          </w:rPr>
          <w:fldChar w:fldCharType="end"/>
        </w:r>
      </w:hyperlink>
    </w:p>
    <w:p w14:paraId="2C4D5D0B" w14:textId="77777777" w:rsidR="005E6E9C" w:rsidRDefault="00092678">
      <w:pPr>
        <w:pStyle w:val="TOC1"/>
        <w:tabs>
          <w:tab w:val="left" w:pos="482"/>
          <w:tab w:val="right" w:leader="dot" w:pos="9016"/>
        </w:tabs>
        <w:rPr>
          <w:rFonts w:asciiTheme="minorHAnsi" w:eastAsiaTheme="minorEastAsia" w:hAnsiTheme="minorHAnsi"/>
          <w:noProof/>
          <w:sz w:val="22"/>
          <w:lang w:eastAsia="en-AU"/>
        </w:rPr>
      </w:pPr>
      <w:hyperlink w:anchor="_Toc24970990" w:history="1">
        <w:r w:rsidR="005E6E9C" w:rsidRPr="00525340">
          <w:rPr>
            <w:rStyle w:val="Hyperlink"/>
            <w:noProof/>
          </w:rPr>
          <w:t>2</w:t>
        </w:r>
        <w:r w:rsidR="005E6E9C">
          <w:rPr>
            <w:rFonts w:asciiTheme="minorHAnsi" w:eastAsiaTheme="minorEastAsia" w:hAnsiTheme="minorHAnsi"/>
            <w:noProof/>
            <w:sz w:val="22"/>
            <w:lang w:eastAsia="en-AU"/>
          </w:rPr>
          <w:tab/>
        </w:r>
        <w:r w:rsidR="005E6E9C" w:rsidRPr="00525340">
          <w:rPr>
            <w:rStyle w:val="Hyperlink"/>
            <w:noProof/>
          </w:rPr>
          <w:t>Description</w:t>
        </w:r>
        <w:r w:rsidR="005E6E9C">
          <w:rPr>
            <w:noProof/>
            <w:webHidden/>
          </w:rPr>
          <w:tab/>
        </w:r>
        <w:r w:rsidR="005E6E9C">
          <w:rPr>
            <w:noProof/>
            <w:webHidden/>
          </w:rPr>
          <w:fldChar w:fldCharType="begin"/>
        </w:r>
        <w:r w:rsidR="005E6E9C">
          <w:rPr>
            <w:noProof/>
            <w:webHidden/>
          </w:rPr>
          <w:instrText xml:space="preserve"> PAGEREF _Toc24970990 \h </w:instrText>
        </w:r>
        <w:r w:rsidR="005E6E9C">
          <w:rPr>
            <w:noProof/>
            <w:webHidden/>
          </w:rPr>
        </w:r>
        <w:r w:rsidR="005E6E9C">
          <w:rPr>
            <w:noProof/>
            <w:webHidden/>
          </w:rPr>
          <w:fldChar w:fldCharType="separate"/>
        </w:r>
        <w:r w:rsidR="005E6E9C">
          <w:rPr>
            <w:noProof/>
            <w:webHidden/>
          </w:rPr>
          <w:t>3</w:t>
        </w:r>
        <w:r w:rsidR="005E6E9C">
          <w:rPr>
            <w:noProof/>
            <w:webHidden/>
          </w:rPr>
          <w:fldChar w:fldCharType="end"/>
        </w:r>
      </w:hyperlink>
    </w:p>
    <w:p w14:paraId="2EF73415"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0991" w:history="1">
        <w:r w:rsidR="005E6E9C" w:rsidRPr="00525340">
          <w:rPr>
            <w:rStyle w:val="Hyperlink"/>
            <w:noProof/>
          </w:rPr>
          <w:t>2.1</w:t>
        </w:r>
        <w:r w:rsidR="005E6E9C">
          <w:rPr>
            <w:rFonts w:asciiTheme="minorHAnsi" w:eastAsiaTheme="minorEastAsia" w:hAnsiTheme="minorHAnsi"/>
            <w:noProof/>
            <w:sz w:val="22"/>
            <w:lang w:eastAsia="en-AU"/>
          </w:rPr>
          <w:tab/>
        </w:r>
        <w:r w:rsidR="005E6E9C" w:rsidRPr="00525340">
          <w:rPr>
            <w:rStyle w:val="Hyperlink"/>
            <w:noProof/>
          </w:rPr>
          <w:t>Name</w:t>
        </w:r>
        <w:r w:rsidR="005E6E9C">
          <w:rPr>
            <w:noProof/>
            <w:webHidden/>
          </w:rPr>
          <w:tab/>
        </w:r>
        <w:r w:rsidR="005E6E9C">
          <w:rPr>
            <w:noProof/>
            <w:webHidden/>
          </w:rPr>
          <w:fldChar w:fldCharType="begin"/>
        </w:r>
        <w:r w:rsidR="005E6E9C">
          <w:rPr>
            <w:noProof/>
            <w:webHidden/>
          </w:rPr>
          <w:instrText xml:space="preserve"> PAGEREF _Toc24970991 \h </w:instrText>
        </w:r>
        <w:r w:rsidR="005E6E9C">
          <w:rPr>
            <w:noProof/>
            <w:webHidden/>
          </w:rPr>
        </w:r>
        <w:r w:rsidR="005E6E9C">
          <w:rPr>
            <w:noProof/>
            <w:webHidden/>
          </w:rPr>
          <w:fldChar w:fldCharType="separate"/>
        </w:r>
        <w:r w:rsidR="005E6E9C">
          <w:rPr>
            <w:noProof/>
            <w:webHidden/>
          </w:rPr>
          <w:t>3</w:t>
        </w:r>
        <w:r w:rsidR="005E6E9C">
          <w:rPr>
            <w:noProof/>
            <w:webHidden/>
          </w:rPr>
          <w:fldChar w:fldCharType="end"/>
        </w:r>
      </w:hyperlink>
    </w:p>
    <w:p w14:paraId="5C95CF3C"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0992" w:history="1">
        <w:r w:rsidR="005E6E9C" w:rsidRPr="00525340">
          <w:rPr>
            <w:rStyle w:val="Hyperlink"/>
            <w:noProof/>
          </w:rPr>
          <w:t>2.2</w:t>
        </w:r>
        <w:r w:rsidR="005E6E9C">
          <w:rPr>
            <w:rFonts w:asciiTheme="minorHAnsi" w:eastAsiaTheme="minorEastAsia" w:hAnsiTheme="minorHAnsi"/>
            <w:noProof/>
            <w:sz w:val="22"/>
            <w:lang w:eastAsia="en-AU"/>
          </w:rPr>
          <w:tab/>
        </w:r>
        <w:r w:rsidR="005E6E9C" w:rsidRPr="00525340">
          <w:rPr>
            <w:rStyle w:val="Hyperlink"/>
            <w:noProof/>
          </w:rPr>
          <w:t>Location and physical environment</w:t>
        </w:r>
        <w:r w:rsidR="005E6E9C">
          <w:rPr>
            <w:noProof/>
            <w:webHidden/>
          </w:rPr>
          <w:tab/>
        </w:r>
        <w:r w:rsidR="005E6E9C">
          <w:rPr>
            <w:noProof/>
            <w:webHidden/>
          </w:rPr>
          <w:fldChar w:fldCharType="begin"/>
        </w:r>
        <w:r w:rsidR="005E6E9C">
          <w:rPr>
            <w:noProof/>
            <w:webHidden/>
          </w:rPr>
          <w:instrText xml:space="preserve"> PAGEREF _Toc24970992 \h </w:instrText>
        </w:r>
        <w:r w:rsidR="005E6E9C">
          <w:rPr>
            <w:noProof/>
            <w:webHidden/>
          </w:rPr>
        </w:r>
        <w:r w:rsidR="005E6E9C">
          <w:rPr>
            <w:noProof/>
            <w:webHidden/>
          </w:rPr>
          <w:fldChar w:fldCharType="separate"/>
        </w:r>
        <w:r w:rsidR="005E6E9C">
          <w:rPr>
            <w:noProof/>
            <w:webHidden/>
          </w:rPr>
          <w:t>3</w:t>
        </w:r>
        <w:r w:rsidR="005E6E9C">
          <w:rPr>
            <w:noProof/>
            <w:webHidden/>
          </w:rPr>
          <w:fldChar w:fldCharType="end"/>
        </w:r>
      </w:hyperlink>
    </w:p>
    <w:p w14:paraId="7A3C272E"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0993" w:history="1">
        <w:r w:rsidR="005E6E9C" w:rsidRPr="00525340">
          <w:rPr>
            <w:rStyle w:val="Hyperlink"/>
            <w:noProof/>
          </w:rPr>
          <w:t>2.3</w:t>
        </w:r>
        <w:r w:rsidR="005E6E9C">
          <w:rPr>
            <w:rFonts w:asciiTheme="minorHAnsi" w:eastAsiaTheme="minorEastAsia" w:hAnsiTheme="minorHAnsi"/>
            <w:noProof/>
            <w:sz w:val="22"/>
            <w:lang w:eastAsia="en-AU"/>
          </w:rPr>
          <w:tab/>
        </w:r>
        <w:r w:rsidR="005E6E9C" w:rsidRPr="00525340">
          <w:rPr>
            <w:rStyle w:val="Hyperlink"/>
            <w:noProof/>
          </w:rPr>
          <w:t>Vegetation structure</w:t>
        </w:r>
        <w:r w:rsidR="005E6E9C">
          <w:rPr>
            <w:noProof/>
            <w:webHidden/>
          </w:rPr>
          <w:tab/>
        </w:r>
        <w:r w:rsidR="005E6E9C">
          <w:rPr>
            <w:noProof/>
            <w:webHidden/>
          </w:rPr>
          <w:fldChar w:fldCharType="begin"/>
        </w:r>
        <w:r w:rsidR="005E6E9C">
          <w:rPr>
            <w:noProof/>
            <w:webHidden/>
          </w:rPr>
          <w:instrText xml:space="preserve"> PAGEREF _Toc24970993 \h </w:instrText>
        </w:r>
        <w:r w:rsidR="005E6E9C">
          <w:rPr>
            <w:noProof/>
            <w:webHidden/>
          </w:rPr>
        </w:r>
        <w:r w:rsidR="005E6E9C">
          <w:rPr>
            <w:noProof/>
            <w:webHidden/>
          </w:rPr>
          <w:fldChar w:fldCharType="separate"/>
        </w:r>
        <w:r w:rsidR="005E6E9C">
          <w:rPr>
            <w:noProof/>
            <w:webHidden/>
          </w:rPr>
          <w:t>5</w:t>
        </w:r>
        <w:r w:rsidR="005E6E9C">
          <w:rPr>
            <w:noProof/>
            <w:webHidden/>
          </w:rPr>
          <w:fldChar w:fldCharType="end"/>
        </w:r>
      </w:hyperlink>
    </w:p>
    <w:p w14:paraId="70B80F9C"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0994" w:history="1">
        <w:r w:rsidR="005E6E9C" w:rsidRPr="00525340">
          <w:rPr>
            <w:rStyle w:val="Hyperlink"/>
            <w:noProof/>
          </w:rPr>
          <w:t>2.4</w:t>
        </w:r>
        <w:r w:rsidR="005E6E9C">
          <w:rPr>
            <w:rFonts w:asciiTheme="minorHAnsi" w:eastAsiaTheme="minorEastAsia" w:hAnsiTheme="minorHAnsi"/>
            <w:noProof/>
            <w:sz w:val="22"/>
            <w:lang w:eastAsia="en-AU"/>
          </w:rPr>
          <w:tab/>
        </w:r>
        <w:r w:rsidR="005E6E9C" w:rsidRPr="00525340">
          <w:rPr>
            <w:rStyle w:val="Hyperlink"/>
            <w:noProof/>
          </w:rPr>
          <w:t>Flora</w:t>
        </w:r>
        <w:r w:rsidR="005E6E9C">
          <w:rPr>
            <w:noProof/>
            <w:webHidden/>
          </w:rPr>
          <w:tab/>
        </w:r>
        <w:r w:rsidR="005E6E9C">
          <w:rPr>
            <w:noProof/>
            <w:webHidden/>
          </w:rPr>
          <w:fldChar w:fldCharType="begin"/>
        </w:r>
        <w:r w:rsidR="005E6E9C">
          <w:rPr>
            <w:noProof/>
            <w:webHidden/>
          </w:rPr>
          <w:instrText xml:space="preserve"> PAGEREF _Toc24970994 \h </w:instrText>
        </w:r>
        <w:r w:rsidR="005E6E9C">
          <w:rPr>
            <w:noProof/>
            <w:webHidden/>
          </w:rPr>
        </w:r>
        <w:r w:rsidR="005E6E9C">
          <w:rPr>
            <w:noProof/>
            <w:webHidden/>
          </w:rPr>
          <w:fldChar w:fldCharType="separate"/>
        </w:r>
        <w:r w:rsidR="005E6E9C">
          <w:rPr>
            <w:noProof/>
            <w:webHidden/>
          </w:rPr>
          <w:t>5</w:t>
        </w:r>
        <w:r w:rsidR="005E6E9C">
          <w:rPr>
            <w:noProof/>
            <w:webHidden/>
          </w:rPr>
          <w:fldChar w:fldCharType="end"/>
        </w:r>
      </w:hyperlink>
    </w:p>
    <w:p w14:paraId="603BD645"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0995" w:history="1">
        <w:r w:rsidR="005E6E9C" w:rsidRPr="00525340">
          <w:rPr>
            <w:rStyle w:val="Hyperlink"/>
            <w:noProof/>
          </w:rPr>
          <w:t>2.5</w:t>
        </w:r>
        <w:r w:rsidR="005E6E9C">
          <w:rPr>
            <w:rFonts w:asciiTheme="minorHAnsi" w:eastAsiaTheme="minorEastAsia" w:hAnsiTheme="minorHAnsi"/>
            <w:noProof/>
            <w:sz w:val="22"/>
            <w:lang w:eastAsia="en-AU"/>
          </w:rPr>
          <w:tab/>
        </w:r>
        <w:r w:rsidR="005E6E9C" w:rsidRPr="00525340">
          <w:rPr>
            <w:rStyle w:val="Hyperlink"/>
            <w:noProof/>
          </w:rPr>
          <w:t>Fauna</w:t>
        </w:r>
        <w:r w:rsidR="005E6E9C">
          <w:rPr>
            <w:noProof/>
            <w:webHidden/>
          </w:rPr>
          <w:tab/>
        </w:r>
        <w:r w:rsidR="005E6E9C">
          <w:rPr>
            <w:noProof/>
            <w:webHidden/>
          </w:rPr>
          <w:fldChar w:fldCharType="begin"/>
        </w:r>
        <w:r w:rsidR="005E6E9C">
          <w:rPr>
            <w:noProof/>
            <w:webHidden/>
          </w:rPr>
          <w:instrText xml:space="preserve"> PAGEREF _Toc24970995 \h </w:instrText>
        </w:r>
        <w:r w:rsidR="005E6E9C">
          <w:rPr>
            <w:noProof/>
            <w:webHidden/>
          </w:rPr>
        </w:r>
        <w:r w:rsidR="005E6E9C">
          <w:rPr>
            <w:noProof/>
            <w:webHidden/>
          </w:rPr>
          <w:fldChar w:fldCharType="separate"/>
        </w:r>
        <w:r w:rsidR="005E6E9C">
          <w:rPr>
            <w:noProof/>
            <w:webHidden/>
          </w:rPr>
          <w:t>6</w:t>
        </w:r>
        <w:r w:rsidR="005E6E9C">
          <w:rPr>
            <w:noProof/>
            <w:webHidden/>
          </w:rPr>
          <w:fldChar w:fldCharType="end"/>
        </w:r>
      </w:hyperlink>
    </w:p>
    <w:p w14:paraId="729805FB" w14:textId="77777777" w:rsidR="005E6E9C" w:rsidRDefault="00092678">
      <w:pPr>
        <w:pStyle w:val="TOC1"/>
        <w:tabs>
          <w:tab w:val="left" w:pos="482"/>
          <w:tab w:val="right" w:leader="dot" w:pos="9016"/>
        </w:tabs>
        <w:rPr>
          <w:rFonts w:asciiTheme="minorHAnsi" w:eastAsiaTheme="minorEastAsia" w:hAnsiTheme="minorHAnsi"/>
          <w:noProof/>
          <w:sz w:val="22"/>
          <w:lang w:eastAsia="en-AU"/>
        </w:rPr>
      </w:pPr>
      <w:hyperlink w:anchor="_Toc24970996" w:history="1">
        <w:r w:rsidR="005E6E9C" w:rsidRPr="00525340">
          <w:rPr>
            <w:rStyle w:val="Hyperlink"/>
            <w:noProof/>
          </w:rPr>
          <w:t>3</w:t>
        </w:r>
        <w:r w:rsidR="005E6E9C">
          <w:rPr>
            <w:rFonts w:asciiTheme="minorHAnsi" w:eastAsiaTheme="minorEastAsia" w:hAnsiTheme="minorHAnsi"/>
            <w:noProof/>
            <w:sz w:val="22"/>
            <w:lang w:eastAsia="en-AU"/>
          </w:rPr>
          <w:tab/>
        </w:r>
        <w:r w:rsidR="005E6E9C" w:rsidRPr="00525340">
          <w:rPr>
            <w:rStyle w:val="Hyperlink"/>
            <w:noProof/>
          </w:rPr>
          <w:t>Threat summary</w:t>
        </w:r>
        <w:r w:rsidR="005E6E9C">
          <w:rPr>
            <w:noProof/>
            <w:webHidden/>
          </w:rPr>
          <w:tab/>
        </w:r>
        <w:r w:rsidR="005E6E9C">
          <w:rPr>
            <w:noProof/>
            <w:webHidden/>
          </w:rPr>
          <w:fldChar w:fldCharType="begin"/>
        </w:r>
        <w:r w:rsidR="005E6E9C">
          <w:rPr>
            <w:noProof/>
            <w:webHidden/>
          </w:rPr>
          <w:instrText xml:space="preserve"> PAGEREF _Toc24970996 \h </w:instrText>
        </w:r>
        <w:r w:rsidR="005E6E9C">
          <w:rPr>
            <w:noProof/>
            <w:webHidden/>
          </w:rPr>
        </w:r>
        <w:r w:rsidR="005E6E9C">
          <w:rPr>
            <w:noProof/>
            <w:webHidden/>
          </w:rPr>
          <w:fldChar w:fldCharType="separate"/>
        </w:r>
        <w:r w:rsidR="005E6E9C">
          <w:rPr>
            <w:noProof/>
            <w:webHidden/>
          </w:rPr>
          <w:t>7</w:t>
        </w:r>
        <w:r w:rsidR="005E6E9C">
          <w:rPr>
            <w:noProof/>
            <w:webHidden/>
          </w:rPr>
          <w:fldChar w:fldCharType="end"/>
        </w:r>
      </w:hyperlink>
    </w:p>
    <w:p w14:paraId="4D2A641F"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0997" w:history="1">
        <w:r w:rsidR="005E6E9C" w:rsidRPr="00525340">
          <w:rPr>
            <w:rStyle w:val="Hyperlink"/>
            <w:noProof/>
          </w:rPr>
          <w:t>3.1</w:t>
        </w:r>
        <w:r w:rsidR="005E6E9C">
          <w:rPr>
            <w:rFonts w:asciiTheme="minorHAnsi" w:eastAsiaTheme="minorEastAsia" w:hAnsiTheme="minorHAnsi"/>
            <w:noProof/>
            <w:sz w:val="22"/>
            <w:lang w:eastAsia="en-AU"/>
          </w:rPr>
          <w:tab/>
        </w:r>
        <w:r w:rsidR="005E6E9C" w:rsidRPr="00525340">
          <w:rPr>
            <w:rStyle w:val="Hyperlink"/>
            <w:noProof/>
          </w:rPr>
          <w:t>Key threatening processes</w:t>
        </w:r>
        <w:r w:rsidR="005E6E9C">
          <w:rPr>
            <w:noProof/>
            <w:webHidden/>
          </w:rPr>
          <w:tab/>
        </w:r>
        <w:r w:rsidR="005E6E9C">
          <w:rPr>
            <w:noProof/>
            <w:webHidden/>
          </w:rPr>
          <w:fldChar w:fldCharType="begin"/>
        </w:r>
        <w:r w:rsidR="005E6E9C">
          <w:rPr>
            <w:noProof/>
            <w:webHidden/>
          </w:rPr>
          <w:instrText xml:space="preserve"> PAGEREF _Toc24970997 \h </w:instrText>
        </w:r>
        <w:r w:rsidR="005E6E9C">
          <w:rPr>
            <w:noProof/>
            <w:webHidden/>
          </w:rPr>
        </w:r>
        <w:r w:rsidR="005E6E9C">
          <w:rPr>
            <w:noProof/>
            <w:webHidden/>
          </w:rPr>
          <w:fldChar w:fldCharType="separate"/>
        </w:r>
        <w:r w:rsidR="005E6E9C">
          <w:rPr>
            <w:noProof/>
            <w:webHidden/>
          </w:rPr>
          <w:t>10</w:t>
        </w:r>
        <w:r w:rsidR="005E6E9C">
          <w:rPr>
            <w:noProof/>
            <w:webHidden/>
          </w:rPr>
          <w:fldChar w:fldCharType="end"/>
        </w:r>
      </w:hyperlink>
    </w:p>
    <w:p w14:paraId="6E4FCF80" w14:textId="77777777" w:rsidR="005E6E9C" w:rsidRDefault="00092678">
      <w:pPr>
        <w:pStyle w:val="TOC1"/>
        <w:tabs>
          <w:tab w:val="left" w:pos="482"/>
          <w:tab w:val="right" w:leader="dot" w:pos="9016"/>
        </w:tabs>
        <w:rPr>
          <w:rFonts w:asciiTheme="minorHAnsi" w:eastAsiaTheme="minorEastAsia" w:hAnsiTheme="minorHAnsi"/>
          <w:noProof/>
          <w:sz w:val="22"/>
          <w:lang w:eastAsia="en-AU"/>
        </w:rPr>
      </w:pPr>
      <w:hyperlink w:anchor="_Toc24970998" w:history="1">
        <w:r w:rsidR="005E6E9C" w:rsidRPr="00525340">
          <w:rPr>
            <w:rStyle w:val="Hyperlink"/>
            <w:noProof/>
          </w:rPr>
          <w:t>4</w:t>
        </w:r>
        <w:r w:rsidR="005E6E9C">
          <w:rPr>
            <w:rFonts w:asciiTheme="minorHAnsi" w:eastAsiaTheme="minorEastAsia" w:hAnsiTheme="minorHAnsi"/>
            <w:noProof/>
            <w:sz w:val="22"/>
            <w:lang w:eastAsia="en-AU"/>
          </w:rPr>
          <w:tab/>
        </w:r>
        <w:r w:rsidR="005E6E9C" w:rsidRPr="00525340">
          <w:rPr>
            <w:rStyle w:val="Hyperlink"/>
            <w:noProof/>
          </w:rPr>
          <w:t>Existing protection</w:t>
        </w:r>
        <w:r w:rsidR="005E6E9C">
          <w:rPr>
            <w:noProof/>
            <w:webHidden/>
          </w:rPr>
          <w:tab/>
        </w:r>
        <w:r w:rsidR="005E6E9C">
          <w:rPr>
            <w:noProof/>
            <w:webHidden/>
          </w:rPr>
          <w:fldChar w:fldCharType="begin"/>
        </w:r>
        <w:r w:rsidR="005E6E9C">
          <w:rPr>
            <w:noProof/>
            <w:webHidden/>
          </w:rPr>
          <w:instrText xml:space="preserve"> PAGEREF _Toc24970998 \h </w:instrText>
        </w:r>
        <w:r w:rsidR="005E6E9C">
          <w:rPr>
            <w:noProof/>
            <w:webHidden/>
          </w:rPr>
        </w:r>
        <w:r w:rsidR="005E6E9C">
          <w:rPr>
            <w:noProof/>
            <w:webHidden/>
          </w:rPr>
          <w:fldChar w:fldCharType="separate"/>
        </w:r>
        <w:r w:rsidR="005E6E9C">
          <w:rPr>
            <w:noProof/>
            <w:webHidden/>
          </w:rPr>
          <w:t>10</w:t>
        </w:r>
        <w:r w:rsidR="005E6E9C">
          <w:rPr>
            <w:noProof/>
            <w:webHidden/>
          </w:rPr>
          <w:fldChar w:fldCharType="end"/>
        </w:r>
      </w:hyperlink>
    </w:p>
    <w:p w14:paraId="06D86454"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0999" w:history="1">
        <w:r w:rsidR="005E6E9C" w:rsidRPr="00525340">
          <w:rPr>
            <w:rStyle w:val="Hyperlink"/>
            <w:noProof/>
          </w:rPr>
          <w:t>4.1</w:t>
        </w:r>
        <w:r w:rsidR="005E6E9C">
          <w:rPr>
            <w:rFonts w:asciiTheme="minorHAnsi" w:eastAsiaTheme="minorEastAsia" w:hAnsiTheme="minorHAnsi"/>
            <w:noProof/>
            <w:sz w:val="22"/>
            <w:lang w:eastAsia="en-AU"/>
          </w:rPr>
          <w:tab/>
        </w:r>
        <w:r w:rsidR="005E6E9C" w:rsidRPr="00525340">
          <w:rPr>
            <w:rStyle w:val="Hyperlink"/>
            <w:noProof/>
          </w:rPr>
          <w:t>Extent of the community in conservation reserves</w:t>
        </w:r>
        <w:r w:rsidR="005E6E9C">
          <w:rPr>
            <w:noProof/>
            <w:webHidden/>
          </w:rPr>
          <w:tab/>
        </w:r>
        <w:r w:rsidR="005E6E9C">
          <w:rPr>
            <w:noProof/>
            <w:webHidden/>
          </w:rPr>
          <w:fldChar w:fldCharType="begin"/>
        </w:r>
        <w:r w:rsidR="005E6E9C">
          <w:rPr>
            <w:noProof/>
            <w:webHidden/>
          </w:rPr>
          <w:instrText xml:space="preserve"> PAGEREF _Toc24970999 \h </w:instrText>
        </w:r>
        <w:r w:rsidR="005E6E9C">
          <w:rPr>
            <w:noProof/>
            <w:webHidden/>
          </w:rPr>
        </w:r>
        <w:r w:rsidR="005E6E9C">
          <w:rPr>
            <w:noProof/>
            <w:webHidden/>
          </w:rPr>
          <w:fldChar w:fldCharType="separate"/>
        </w:r>
        <w:r w:rsidR="005E6E9C">
          <w:rPr>
            <w:noProof/>
            <w:webHidden/>
          </w:rPr>
          <w:t>10</w:t>
        </w:r>
        <w:r w:rsidR="005E6E9C">
          <w:rPr>
            <w:noProof/>
            <w:webHidden/>
          </w:rPr>
          <w:fldChar w:fldCharType="end"/>
        </w:r>
      </w:hyperlink>
    </w:p>
    <w:p w14:paraId="368DA3B0"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00" w:history="1">
        <w:r w:rsidR="005E6E9C" w:rsidRPr="00525340">
          <w:rPr>
            <w:rStyle w:val="Hyperlink"/>
            <w:noProof/>
          </w:rPr>
          <w:t>4.2</w:t>
        </w:r>
        <w:r w:rsidR="005E6E9C">
          <w:rPr>
            <w:rFonts w:asciiTheme="minorHAnsi" w:eastAsiaTheme="minorEastAsia" w:hAnsiTheme="minorHAnsi"/>
            <w:noProof/>
            <w:sz w:val="22"/>
            <w:lang w:eastAsia="en-AU"/>
          </w:rPr>
          <w:tab/>
        </w:r>
        <w:r w:rsidR="005E6E9C" w:rsidRPr="00525340">
          <w:rPr>
            <w:rStyle w:val="Hyperlink"/>
            <w:noProof/>
          </w:rPr>
          <w:t>Existing protection under state laws</w:t>
        </w:r>
        <w:r w:rsidR="005E6E9C">
          <w:rPr>
            <w:noProof/>
            <w:webHidden/>
          </w:rPr>
          <w:tab/>
        </w:r>
        <w:r w:rsidR="005E6E9C">
          <w:rPr>
            <w:noProof/>
            <w:webHidden/>
          </w:rPr>
          <w:fldChar w:fldCharType="begin"/>
        </w:r>
        <w:r w:rsidR="005E6E9C">
          <w:rPr>
            <w:noProof/>
            <w:webHidden/>
          </w:rPr>
          <w:instrText xml:space="preserve"> PAGEREF _Toc24971000 \h </w:instrText>
        </w:r>
        <w:r w:rsidR="005E6E9C">
          <w:rPr>
            <w:noProof/>
            <w:webHidden/>
          </w:rPr>
        </w:r>
        <w:r w:rsidR="005E6E9C">
          <w:rPr>
            <w:noProof/>
            <w:webHidden/>
          </w:rPr>
          <w:fldChar w:fldCharType="separate"/>
        </w:r>
        <w:r w:rsidR="005E6E9C">
          <w:rPr>
            <w:noProof/>
            <w:webHidden/>
          </w:rPr>
          <w:t>11</w:t>
        </w:r>
        <w:r w:rsidR="005E6E9C">
          <w:rPr>
            <w:noProof/>
            <w:webHidden/>
          </w:rPr>
          <w:fldChar w:fldCharType="end"/>
        </w:r>
      </w:hyperlink>
    </w:p>
    <w:p w14:paraId="72CD611D"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01" w:history="1">
        <w:r w:rsidR="005E6E9C" w:rsidRPr="00525340">
          <w:rPr>
            <w:rStyle w:val="Hyperlink"/>
            <w:noProof/>
          </w:rPr>
          <w:t>4.3</w:t>
        </w:r>
        <w:r w:rsidR="005E6E9C">
          <w:rPr>
            <w:rFonts w:asciiTheme="minorHAnsi" w:eastAsiaTheme="minorEastAsia" w:hAnsiTheme="minorHAnsi"/>
            <w:noProof/>
            <w:sz w:val="22"/>
            <w:lang w:eastAsia="en-AU"/>
          </w:rPr>
          <w:tab/>
        </w:r>
        <w:r w:rsidR="005E6E9C" w:rsidRPr="00525340">
          <w:rPr>
            <w:rStyle w:val="Hyperlink"/>
            <w:noProof/>
          </w:rPr>
          <w:t>Existing management plans</w:t>
        </w:r>
        <w:r w:rsidR="005E6E9C">
          <w:rPr>
            <w:noProof/>
            <w:webHidden/>
          </w:rPr>
          <w:tab/>
        </w:r>
        <w:r w:rsidR="005E6E9C">
          <w:rPr>
            <w:noProof/>
            <w:webHidden/>
          </w:rPr>
          <w:fldChar w:fldCharType="begin"/>
        </w:r>
        <w:r w:rsidR="005E6E9C">
          <w:rPr>
            <w:noProof/>
            <w:webHidden/>
          </w:rPr>
          <w:instrText xml:space="preserve"> PAGEREF _Toc24971001 \h </w:instrText>
        </w:r>
        <w:r w:rsidR="005E6E9C">
          <w:rPr>
            <w:noProof/>
            <w:webHidden/>
          </w:rPr>
        </w:r>
        <w:r w:rsidR="005E6E9C">
          <w:rPr>
            <w:noProof/>
            <w:webHidden/>
          </w:rPr>
          <w:fldChar w:fldCharType="separate"/>
        </w:r>
        <w:r w:rsidR="005E6E9C">
          <w:rPr>
            <w:noProof/>
            <w:webHidden/>
          </w:rPr>
          <w:t>11</w:t>
        </w:r>
        <w:r w:rsidR="005E6E9C">
          <w:rPr>
            <w:noProof/>
            <w:webHidden/>
          </w:rPr>
          <w:fldChar w:fldCharType="end"/>
        </w:r>
      </w:hyperlink>
    </w:p>
    <w:p w14:paraId="4C138EFE" w14:textId="77777777" w:rsidR="005E6E9C" w:rsidRDefault="00092678">
      <w:pPr>
        <w:pStyle w:val="TOC1"/>
        <w:tabs>
          <w:tab w:val="left" w:pos="482"/>
          <w:tab w:val="right" w:leader="dot" w:pos="9016"/>
        </w:tabs>
        <w:rPr>
          <w:rFonts w:asciiTheme="minorHAnsi" w:eastAsiaTheme="minorEastAsia" w:hAnsiTheme="minorHAnsi"/>
          <w:noProof/>
          <w:sz w:val="22"/>
          <w:lang w:eastAsia="en-AU"/>
        </w:rPr>
      </w:pPr>
      <w:hyperlink w:anchor="_Toc24971002" w:history="1">
        <w:r w:rsidR="005E6E9C" w:rsidRPr="00525340">
          <w:rPr>
            <w:rStyle w:val="Hyperlink"/>
            <w:noProof/>
          </w:rPr>
          <w:t>5</w:t>
        </w:r>
        <w:r w:rsidR="005E6E9C">
          <w:rPr>
            <w:rFonts w:asciiTheme="minorHAnsi" w:eastAsiaTheme="minorEastAsia" w:hAnsiTheme="minorHAnsi"/>
            <w:noProof/>
            <w:sz w:val="22"/>
            <w:lang w:eastAsia="en-AU"/>
          </w:rPr>
          <w:tab/>
        </w:r>
        <w:r w:rsidR="005E6E9C" w:rsidRPr="00525340">
          <w:rPr>
            <w:rStyle w:val="Hyperlink"/>
            <w:noProof/>
          </w:rPr>
          <w:t>Threatened Species Scientific Committee recommendations</w:t>
        </w:r>
        <w:r w:rsidR="005E6E9C">
          <w:rPr>
            <w:noProof/>
            <w:webHidden/>
          </w:rPr>
          <w:tab/>
        </w:r>
        <w:r w:rsidR="005E6E9C">
          <w:rPr>
            <w:noProof/>
            <w:webHidden/>
          </w:rPr>
          <w:fldChar w:fldCharType="begin"/>
        </w:r>
        <w:r w:rsidR="005E6E9C">
          <w:rPr>
            <w:noProof/>
            <w:webHidden/>
          </w:rPr>
          <w:instrText xml:space="preserve"> PAGEREF _Toc24971002 \h </w:instrText>
        </w:r>
        <w:r w:rsidR="005E6E9C">
          <w:rPr>
            <w:noProof/>
            <w:webHidden/>
          </w:rPr>
        </w:r>
        <w:r w:rsidR="005E6E9C">
          <w:rPr>
            <w:noProof/>
            <w:webHidden/>
          </w:rPr>
          <w:fldChar w:fldCharType="separate"/>
        </w:r>
        <w:r w:rsidR="005E6E9C">
          <w:rPr>
            <w:noProof/>
            <w:webHidden/>
          </w:rPr>
          <w:t>12</w:t>
        </w:r>
        <w:r w:rsidR="005E6E9C">
          <w:rPr>
            <w:noProof/>
            <w:webHidden/>
          </w:rPr>
          <w:fldChar w:fldCharType="end"/>
        </w:r>
      </w:hyperlink>
    </w:p>
    <w:p w14:paraId="2561910C"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03" w:history="1">
        <w:r w:rsidR="005E6E9C" w:rsidRPr="00525340">
          <w:rPr>
            <w:rStyle w:val="Hyperlink"/>
            <w:noProof/>
          </w:rPr>
          <w:t>5.1</w:t>
        </w:r>
        <w:r w:rsidR="005E6E9C">
          <w:rPr>
            <w:rFonts w:asciiTheme="minorHAnsi" w:eastAsiaTheme="minorEastAsia" w:hAnsiTheme="minorHAnsi"/>
            <w:noProof/>
            <w:sz w:val="22"/>
            <w:lang w:eastAsia="en-AU"/>
          </w:rPr>
          <w:tab/>
        </w:r>
        <w:r w:rsidR="005E6E9C" w:rsidRPr="00525340">
          <w:rPr>
            <w:rStyle w:val="Hyperlink"/>
            <w:noProof/>
          </w:rPr>
          <w:t>Eligibility for listing against the EPBC Act criteria</w:t>
        </w:r>
        <w:r w:rsidR="005E6E9C">
          <w:rPr>
            <w:noProof/>
            <w:webHidden/>
          </w:rPr>
          <w:tab/>
        </w:r>
        <w:r w:rsidR="005E6E9C">
          <w:rPr>
            <w:noProof/>
            <w:webHidden/>
          </w:rPr>
          <w:fldChar w:fldCharType="begin"/>
        </w:r>
        <w:r w:rsidR="005E6E9C">
          <w:rPr>
            <w:noProof/>
            <w:webHidden/>
          </w:rPr>
          <w:instrText xml:space="preserve"> PAGEREF _Toc24971003 \h </w:instrText>
        </w:r>
        <w:r w:rsidR="005E6E9C">
          <w:rPr>
            <w:noProof/>
            <w:webHidden/>
          </w:rPr>
        </w:r>
        <w:r w:rsidR="005E6E9C">
          <w:rPr>
            <w:noProof/>
            <w:webHidden/>
          </w:rPr>
          <w:fldChar w:fldCharType="separate"/>
        </w:r>
        <w:r w:rsidR="005E6E9C">
          <w:rPr>
            <w:noProof/>
            <w:webHidden/>
          </w:rPr>
          <w:t>12</w:t>
        </w:r>
        <w:r w:rsidR="005E6E9C">
          <w:rPr>
            <w:noProof/>
            <w:webHidden/>
          </w:rPr>
          <w:fldChar w:fldCharType="end"/>
        </w:r>
      </w:hyperlink>
    </w:p>
    <w:p w14:paraId="2B064CFB"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04" w:history="1">
        <w:r w:rsidR="005E6E9C" w:rsidRPr="00525340">
          <w:rPr>
            <w:rStyle w:val="Hyperlink"/>
            <w:noProof/>
          </w:rPr>
          <w:t>5.2</w:t>
        </w:r>
        <w:r w:rsidR="005E6E9C">
          <w:rPr>
            <w:rFonts w:asciiTheme="minorHAnsi" w:eastAsiaTheme="minorEastAsia" w:hAnsiTheme="minorHAnsi"/>
            <w:noProof/>
            <w:sz w:val="22"/>
            <w:lang w:eastAsia="en-AU"/>
          </w:rPr>
          <w:tab/>
        </w:r>
        <w:r w:rsidR="005E6E9C" w:rsidRPr="00525340">
          <w:rPr>
            <w:rStyle w:val="Hyperlink"/>
            <w:noProof/>
          </w:rPr>
          <w:t>Recovery plan recommendation</w:t>
        </w:r>
        <w:r w:rsidR="005E6E9C">
          <w:rPr>
            <w:noProof/>
            <w:webHidden/>
          </w:rPr>
          <w:tab/>
        </w:r>
        <w:r w:rsidR="005E6E9C">
          <w:rPr>
            <w:noProof/>
            <w:webHidden/>
          </w:rPr>
          <w:fldChar w:fldCharType="begin"/>
        </w:r>
        <w:r w:rsidR="005E6E9C">
          <w:rPr>
            <w:noProof/>
            <w:webHidden/>
          </w:rPr>
          <w:instrText xml:space="preserve"> PAGEREF _Toc24971004 \h </w:instrText>
        </w:r>
        <w:r w:rsidR="005E6E9C">
          <w:rPr>
            <w:noProof/>
            <w:webHidden/>
          </w:rPr>
        </w:r>
        <w:r w:rsidR="005E6E9C">
          <w:rPr>
            <w:noProof/>
            <w:webHidden/>
          </w:rPr>
          <w:fldChar w:fldCharType="separate"/>
        </w:r>
        <w:r w:rsidR="005E6E9C">
          <w:rPr>
            <w:noProof/>
            <w:webHidden/>
          </w:rPr>
          <w:t>14</w:t>
        </w:r>
        <w:r w:rsidR="005E6E9C">
          <w:rPr>
            <w:noProof/>
            <w:webHidden/>
          </w:rPr>
          <w:fldChar w:fldCharType="end"/>
        </w:r>
      </w:hyperlink>
    </w:p>
    <w:p w14:paraId="2BC407EF" w14:textId="77777777" w:rsidR="005E6E9C" w:rsidRDefault="00092678">
      <w:pPr>
        <w:pStyle w:val="TOC1"/>
        <w:tabs>
          <w:tab w:val="left" w:pos="482"/>
          <w:tab w:val="right" w:leader="dot" w:pos="9016"/>
        </w:tabs>
        <w:rPr>
          <w:rFonts w:asciiTheme="minorHAnsi" w:eastAsiaTheme="minorEastAsia" w:hAnsiTheme="minorHAnsi"/>
          <w:noProof/>
          <w:sz w:val="22"/>
          <w:lang w:eastAsia="en-AU"/>
        </w:rPr>
      </w:pPr>
      <w:hyperlink w:anchor="_Toc24971005" w:history="1">
        <w:r w:rsidR="005E6E9C" w:rsidRPr="00525340">
          <w:rPr>
            <w:rStyle w:val="Hyperlink"/>
            <w:noProof/>
          </w:rPr>
          <w:t>6</w:t>
        </w:r>
        <w:r w:rsidR="005E6E9C">
          <w:rPr>
            <w:rFonts w:asciiTheme="minorHAnsi" w:eastAsiaTheme="minorEastAsia" w:hAnsiTheme="minorHAnsi"/>
            <w:noProof/>
            <w:sz w:val="22"/>
            <w:lang w:eastAsia="en-AU"/>
          </w:rPr>
          <w:tab/>
        </w:r>
        <w:r w:rsidR="005E6E9C" w:rsidRPr="00525340">
          <w:rPr>
            <w:rStyle w:val="Hyperlink"/>
            <w:noProof/>
          </w:rPr>
          <w:t>Conservation of the ecological community</w:t>
        </w:r>
        <w:r w:rsidR="005E6E9C">
          <w:rPr>
            <w:noProof/>
            <w:webHidden/>
          </w:rPr>
          <w:tab/>
        </w:r>
        <w:r w:rsidR="005E6E9C">
          <w:rPr>
            <w:noProof/>
            <w:webHidden/>
          </w:rPr>
          <w:fldChar w:fldCharType="begin"/>
        </w:r>
        <w:r w:rsidR="005E6E9C">
          <w:rPr>
            <w:noProof/>
            <w:webHidden/>
          </w:rPr>
          <w:instrText xml:space="preserve"> PAGEREF _Toc24971005 \h </w:instrText>
        </w:r>
        <w:r w:rsidR="005E6E9C">
          <w:rPr>
            <w:noProof/>
            <w:webHidden/>
          </w:rPr>
        </w:r>
        <w:r w:rsidR="005E6E9C">
          <w:rPr>
            <w:noProof/>
            <w:webHidden/>
          </w:rPr>
          <w:fldChar w:fldCharType="separate"/>
        </w:r>
        <w:r w:rsidR="005E6E9C">
          <w:rPr>
            <w:noProof/>
            <w:webHidden/>
          </w:rPr>
          <w:t>15</w:t>
        </w:r>
        <w:r w:rsidR="005E6E9C">
          <w:rPr>
            <w:noProof/>
            <w:webHidden/>
          </w:rPr>
          <w:fldChar w:fldCharType="end"/>
        </w:r>
      </w:hyperlink>
    </w:p>
    <w:p w14:paraId="1A7131FF"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06" w:history="1">
        <w:r w:rsidR="005E6E9C" w:rsidRPr="00525340">
          <w:rPr>
            <w:rStyle w:val="Hyperlink"/>
            <w:noProof/>
          </w:rPr>
          <w:t>6.1</w:t>
        </w:r>
        <w:r w:rsidR="005E6E9C">
          <w:rPr>
            <w:rFonts w:asciiTheme="minorHAnsi" w:eastAsiaTheme="minorEastAsia" w:hAnsiTheme="minorHAnsi"/>
            <w:noProof/>
            <w:sz w:val="22"/>
            <w:lang w:eastAsia="en-AU"/>
          </w:rPr>
          <w:tab/>
        </w:r>
        <w:r w:rsidR="005E6E9C" w:rsidRPr="00525340">
          <w:rPr>
            <w:rStyle w:val="Hyperlink"/>
            <w:noProof/>
          </w:rPr>
          <w:t>Identification of the ecological community</w:t>
        </w:r>
        <w:r w:rsidR="005E6E9C">
          <w:rPr>
            <w:noProof/>
            <w:webHidden/>
          </w:rPr>
          <w:tab/>
        </w:r>
        <w:r w:rsidR="005E6E9C">
          <w:rPr>
            <w:noProof/>
            <w:webHidden/>
          </w:rPr>
          <w:fldChar w:fldCharType="begin"/>
        </w:r>
        <w:r w:rsidR="005E6E9C">
          <w:rPr>
            <w:noProof/>
            <w:webHidden/>
          </w:rPr>
          <w:instrText xml:space="preserve"> PAGEREF _Toc24971006 \h </w:instrText>
        </w:r>
        <w:r w:rsidR="005E6E9C">
          <w:rPr>
            <w:noProof/>
            <w:webHidden/>
          </w:rPr>
        </w:r>
        <w:r w:rsidR="005E6E9C">
          <w:rPr>
            <w:noProof/>
            <w:webHidden/>
          </w:rPr>
          <w:fldChar w:fldCharType="separate"/>
        </w:r>
        <w:r w:rsidR="005E6E9C">
          <w:rPr>
            <w:noProof/>
            <w:webHidden/>
          </w:rPr>
          <w:t>15</w:t>
        </w:r>
        <w:r w:rsidR="005E6E9C">
          <w:rPr>
            <w:noProof/>
            <w:webHidden/>
          </w:rPr>
          <w:fldChar w:fldCharType="end"/>
        </w:r>
      </w:hyperlink>
    </w:p>
    <w:p w14:paraId="0397B2C5"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07" w:history="1">
        <w:r w:rsidR="005E6E9C" w:rsidRPr="00525340">
          <w:rPr>
            <w:rStyle w:val="Hyperlink"/>
            <w:noProof/>
          </w:rPr>
          <w:t>6.2</w:t>
        </w:r>
        <w:r w:rsidR="005E6E9C">
          <w:rPr>
            <w:rFonts w:asciiTheme="minorHAnsi" w:eastAsiaTheme="minorEastAsia" w:hAnsiTheme="minorHAnsi"/>
            <w:noProof/>
            <w:sz w:val="22"/>
            <w:lang w:eastAsia="en-AU"/>
          </w:rPr>
          <w:tab/>
        </w:r>
        <w:r w:rsidR="005E6E9C" w:rsidRPr="00525340">
          <w:rPr>
            <w:rStyle w:val="Hyperlink"/>
            <w:noProof/>
          </w:rPr>
          <w:t>Regulated areas of the ecological community</w:t>
        </w:r>
        <w:r w:rsidR="005E6E9C">
          <w:rPr>
            <w:noProof/>
            <w:webHidden/>
          </w:rPr>
          <w:tab/>
        </w:r>
        <w:r w:rsidR="005E6E9C">
          <w:rPr>
            <w:noProof/>
            <w:webHidden/>
          </w:rPr>
          <w:fldChar w:fldCharType="begin"/>
        </w:r>
        <w:r w:rsidR="005E6E9C">
          <w:rPr>
            <w:noProof/>
            <w:webHidden/>
          </w:rPr>
          <w:instrText xml:space="preserve"> PAGEREF _Toc24971007 \h </w:instrText>
        </w:r>
        <w:r w:rsidR="005E6E9C">
          <w:rPr>
            <w:noProof/>
            <w:webHidden/>
          </w:rPr>
        </w:r>
        <w:r w:rsidR="005E6E9C">
          <w:rPr>
            <w:noProof/>
            <w:webHidden/>
          </w:rPr>
          <w:fldChar w:fldCharType="separate"/>
        </w:r>
        <w:r w:rsidR="005E6E9C">
          <w:rPr>
            <w:noProof/>
            <w:webHidden/>
          </w:rPr>
          <w:t>20</w:t>
        </w:r>
        <w:r w:rsidR="005E6E9C">
          <w:rPr>
            <w:noProof/>
            <w:webHidden/>
          </w:rPr>
          <w:fldChar w:fldCharType="end"/>
        </w:r>
      </w:hyperlink>
    </w:p>
    <w:p w14:paraId="6DB1ECB5"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08" w:history="1">
        <w:r w:rsidR="005E6E9C" w:rsidRPr="00525340">
          <w:rPr>
            <w:rStyle w:val="Hyperlink"/>
            <w:noProof/>
          </w:rPr>
          <w:t>6.3</w:t>
        </w:r>
        <w:r w:rsidR="005E6E9C">
          <w:rPr>
            <w:rFonts w:asciiTheme="minorHAnsi" w:eastAsiaTheme="minorEastAsia" w:hAnsiTheme="minorHAnsi"/>
            <w:noProof/>
            <w:sz w:val="22"/>
            <w:lang w:eastAsia="en-AU"/>
          </w:rPr>
          <w:tab/>
        </w:r>
        <w:r w:rsidR="005E6E9C" w:rsidRPr="00525340">
          <w:rPr>
            <w:rStyle w:val="Hyperlink"/>
            <w:noProof/>
          </w:rPr>
          <w:t>Principles and standards for conservation</w:t>
        </w:r>
        <w:r w:rsidR="005E6E9C">
          <w:rPr>
            <w:noProof/>
            <w:webHidden/>
          </w:rPr>
          <w:tab/>
        </w:r>
        <w:r w:rsidR="005E6E9C">
          <w:rPr>
            <w:noProof/>
            <w:webHidden/>
          </w:rPr>
          <w:fldChar w:fldCharType="begin"/>
        </w:r>
        <w:r w:rsidR="005E6E9C">
          <w:rPr>
            <w:noProof/>
            <w:webHidden/>
          </w:rPr>
          <w:instrText xml:space="preserve"> PAGEREF _Toc24971008 \h </w:instrText>
        </w:r>
        <w:r w:rsidR="005E6E9C">
          <w:rPr>
            <w:noProof/>
            <w:webHidden/>
          </w:rPr>
        </w:r>
        <w:r w:rsidR="005E6E9C">
          <w:rPr>
            <w:noProof/>
            <w:webHidden/>
          </w:rPr>
          <w:fldChar w:fldCharType="separate"/>
        </w:r>
        <w:r w:rsidR="005E6E9C">
          <w:rPr>
            <w:noProof/>
            <w:webHidden/>
          </w:rPr>
          <w:t>23</w:t>
        </w:r>
        <w:r w:rsidR="005E6E9C">
          <w:rPr>
            <w:noProof/>
            <w:webHidden/>
          </w:rPr>
          <w:fldChar w:fldCharType="end"/>
        </w:r>
      </w:hyperlink>
    </w:p>
    <w:p w14:paraId="5DD2BDFC"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09" w:history="1">
        <w:r w:rsidR="005E6E9C" w:rsidRPr="00525340">
          <w:rPr>
            <w:rStyle w:val="Hyperlink"/>
            <w:noProof/>
          </w:rPr>
          <w:t>6.4</w:t>
        </w:r>
        <w:r w:rsidR="005E6E9C">
          <w:rPr>
            <w:rFonts w:asciiTheme="minorHAnsi" w:eastAsiaTheme="minorEastAsia" w:hAnsiTheme="minorHAnsi"/>
            <w:noProof/>
            <w:sz w:val="22"/>
            <w:lang w:eastAsia="en-AU"/>
          </w:rPr>
          <w:tab/>
        </w:r>
        <w:r w:rsidR="005E6E9C" w:rsidRPr="00525340">
          <w:rPr>
            <w:rStyle w:val="Hyperlink"/>
            <w:noProof/>
          </w:rPr>
          <w:t>Priority conservation and research actions</w:t>
        </w:r>
        <w:r w:rsidR="005E6E9C">
          <w:rPr>
            <w:noProof/>
            <w:webHidden/>
          </w:rPr>
          <w:tab/>
        </w:r>
        <w:r w:rsidR="005E6E9C">
          <w:rPr>
            <w:noProof/>
            <w:webHidden/>
          </w:rPr>
          <w:fldChar w:fldCharType="begin"/>
        </w:r>
        <w:r w:rsidR="005E6E9C">
          <w:rPr>
            <w:noProof/>
            <w:webHidden/>
          </w:rPr>
          <w:instrText xml:space="preserve"> PAGEREF _Toc24971009 \h </w:instrText>
        </w:r>
        <w:r w:rsidR="005E6E9C">
          <w:rPr>
            <w:noProof/>
            <w:webHidden/>
          </w:rPr>
        </w:r>
        <w:r w:rsidR="005E6E9C">
          <w:rPr>
            <w:noProof/>
            <w:webHidden/>
          </w:rPr>
          <w:fldChar w:fldCharType="separate"/>
        </w:r>
        <w:r w:rsidR="005E6E9C">
          <w:rPr>
            <w:noProof/>
            <w:webHidden/>
          </w:rPr>
          <w:t>24</w:t>
        </w:r>
        <w:r w:rsidR="005E6E9C">
          <w:rPr>
            <w:noProof/>
            <w:webHidden/>
          </w:rPr>
          <w:fldChar w:fldCharType="end"/>
        </w:r>
      </w:hyperlink>
    </w:p>
    <w:p w14:paraId="78CF4B7A" w14:textId="77777777" w:rsidR="005E6E9C" w:rsidRDefault="00092678">
      <w:pPr>
        <w:pStyle w:val="TOC1"/>
        <w:tabs>
          <w:tab w:val="left" w:pos="482"/>
          <w:tab w:val="right" w:leader="dot" w:pos="9016"/>
        </w:tabs>
        <w:rPr>
          <w:rFonts w:asciiTheme="minorHAnsi" w:eastAsiaTheme="minorEastAsia" w:hAnsiTheme="minorHAnsi"/>
          <w:noProof/>
          <w:sz w:val="22"/>
          <w:lang w:eastAsia="en-AU"/>
        </w:rPr>
      </w:pPr>
      <w:hyperlink w:anchor="_Toc24971010" w:history="1">
        <w:r w:rsidR="005E6E9C" w:rsidRPr="00525340">
          <w:rPr>
            <w:rStyle w:val="Hyperlink"/>
            <w:noProof/>
          </w:rPr>
          <w:t>7</w:t>
        </w:r>
        <w:r w:rsidR="005E6E9C">
          <w:rPr>
            <w:rFonts w:asciiTheme="minorHAnsi" w:eastAsiaTheme="minorEastAsia" w:hAnsiTheme="minorHAnsi"/>
            <w:noProof/>
            <w:sz w:val="22"/>
            <w:lang w:eastAsia="en-AU"/>
          </w:rPr>
          <w:tab/>
        </w:r>
        <w:r w:rsidR="005E6E9C" w:rsidRPr="00525340">
          <w:rPr>
            <w:rStyle w:val="Hyperlink"/>
            <w:noProof/>
          </w:rPr>
          <w:t>References</w:t>
        </w:r>
        <w:r w:rsidR="005E6E9C">
          <w:rPr>
            <w:noProof/>
            <w:webHidden/>
          </w:rPr>
          <w:tab/>
        </w:r>
        <w:r w:rsidR="005E6E9C">
          <w:rPr>
            <w:noProof/>
            <w:webHidden/>
          </w:rPr>
          <w:fldChar w:fldCharType="begin"/>
        </w:r>
        <w:r w:rsidR="005E6E9C">
          <w:rPr>
            <w:noProof/>
            <w:webHidden/>
          </w:rPr>
          <w:instrText xml:space="preserve"> PAGEREF _Toc24971010 \h </w:instrText>
        </w:r>
        <w:r w:rsidR="005E6E9C">
          <w:rPr>
            <w:noProof/>
            <w:webHidden/>
          </w:rPr>
        </w:r>
        <w:r w:rsidR="005E6E9C">
          <w:rPr>
            <w:noProof/>
            <w:webHidden/>
          </w:rPr>
          <w:fldChar w:fldCharType="separate"/>
        </w:r>
        <w:r w:rsidR="005E6E9C">
          <w:rPr>
            <w:noProof/>
            <w:webHidden/>
          </w:rPr>
          <w:t>32</w:t>
        </w:r>
        <w:r w:rsidR="005E6E9C">
          <w:rPr>
            <w:noProof/>
            <w:webHidden/>
          </w:rPr>
          <w:fldChar w:fldCharType="end"/>
        </w:r>
      </w:hyperlink>
    </w:p>
    <w:p w14:paraId="438F8CD8" w14:textId="77777777" w:rsidR="005E6E9C" w:rsidRDefault="00092678">
      <w:pPr>
        <w:pStyle w:val="TOC1"/>
        <w:tabs>
          <w:tab w:val="left" w:pos="482"/>
          <w:tab w:val="right" w:leader="dot" w:pos="9016"/>
        </w:tabs>
        <w:rPr>
          <w:rFonts w:asciiTheme="minorHAnsi" w:eastAsiaTheme="minorEastAsia" w:hAnsiTheme="minorHAnsi"/>
          <w:noProof/>
          <w:sz w:val="22"/>
          <w:lang w:eastAsia="en-AU"/>
        </w:rPr>
      </w:pPr>
      <w:hyperlink w:anchor="_Toc24971011" w:history="1">
        <w:r w:rsidR="005E6E9C" w:rsidRPr="00525340">
          <w:rPr>
            <w:rStyle w:val="Hyperlink"/>
            <w:noProof/>
          </w:rPr>
          <w:t>8</w:t>
        </w:r>
        <w:r w:rsidR="005E6E9C">
          <w:rPr>
            <w:rFonts w:asciiTheme="minorHAnsi" w:eastAsiaTheme="minorEastAsia" w:hAnsiTheme="minorHAnsi"/>
            <w:noProof/>
            <w:sz w:val="22"/>
            <w:lang w:eastAsia="en-AU"/>
          </w:rPr>
          <w:tab/>
        </w:r>
        <w:r w:rsidR="005E6E9C" w:rsidRPr="00525340">
          <w:rPr>
            <w:rStyle w:val="Hyperlink"/>
            <w:noProof/>
          </w:rPr>
          <w:t>Appendix A - Species lists</w:t>
        </w:r>
        <w:r w:rsidR="005E6E9C">
          <w:rPr>
            <w:noProof/>
            <w:webHidden/>
          </w:rPr>
          <w:tab/>
        </w:r>
        <w:r w:rsidR="005E6E9C">
          <w:rPr>
            <w:noProof/>
            <w:webHidden/>
          </w:rPr>
          <w:fldChar w:fldCharType="begin"/>
        </w:r>
        <w:r w:rsidR="005E6E9C">
          <w:rPr>
            <w:noProof/>
            <w:webHidden/>
          </w:rPr>
          <w:instrText xml:space="preserve"> PAGEREF _Toc24971011 \h </w:instrText>
        </w:r>
        <w:r w:rsidR="005E6E9C">
          <w:rPr>
            <w:noProof/>
            <w:webHidden/>
          </w:rPr>
        </w:r>
        <w:r w:rsidR="005E6E9C">
          <w:rPr>
            <w:noProof/>
            <w:webHidden/>
          </w:rPr>
          <w:fldChar w:fldCharType="separate"/>
        </w:r>
        <w:r w:rsidR="005E6E9C">
          <w:rPr>
            <w:noProof/>
            <w:webHidden/>
          </w:rPr>
          <w:t>36</w:t>
        </w:r>
        <w:r w:rsidR="005E6E9C">
          <w:rPr>
            <w:noProof/>
            <w:webHidden/>
          </w:rPr>
          <w:fldChar w:fldCharType="end"/>
        </w:r>
      </w:hyperlink>
    </w:p>
    <w:p w14:paraId="751B0851"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12" w:history="1">
        <w:r w:rsidR="005E6E9C" w:rsidRPr="00525340">
          <w:rPr>
            <w:rStyle w:val="Hyperlink"/>
            <w:noProof/>
          </w:rPr>
          <w:t>8.1</w:t>
        </w:r>
        <w:r w:rsidR="005E6E9C">
          <w:rPr>
            <w:rFonts w:asciiTheme="minorHAnsi" w:eastAsiaTheme="minorEastAsia" w:hAnsiTheme="minorHAnsi"/>
            <w:noProof/>
            <w:sz w:val="22"/>
            <w:lang w:eastAsia="en-AU"/>
          </w:rPr>
          <w:tab/>
        </w:r>
        <w:r w:rsidR="005E6E9C" w:rsidRPr="00525340">
          <w:rPr>
            <w:rStyle w:val="Hyperlink"/>
            <w:noProof/>
          </w:rPr>
          <w:t>Flora</w:t>
        </w:r>
        <w:r w:rsidR="005E6E9C">
          <w:rPr>
            <w:noProof/>
            <w:webHidden/>
          </w:rPr>
          <w:tab/>
        </w:r>
        <w:r w:rsidR="005E6E9C">
          <w:rPr>
            <w:noProof/>
            <w:webHidden/>
          </w:rPr>
          <w:fldChar w:fldCharType="begin"/>
        </w:r>
        <w:r w:rsidR="005E6E9C">
          <w:rPr>
            <w:noProof/>
            <w:webHidden/>
          </w:rPr>
          <w:instrText xml:space="preserve"> PAGEREF _Toc24971012 \h </w:instrText>
        </w:r>
        <w:r w:rsidR="005E6E9C">
          <w:rPr>
            <w:noProof/>
            <w:webHidden/>
          </w:rPr>
        </w:r>
        <w:r w:rsidR="005E6E9C">
          <w:rPr>
            <w:noProof/>
            <w:webHidden/>
          </w:rPr>
          <w:fldChar w:fldCharType="separate"/>
        </w:r>
        <w:r w:rsidR="005E6E9C">
          <w:rPr>
            <w:noProof/>
            <w:webHidden/>
          </w:rPr>
          <w:t>36</w:t>
        </w:r>
        <w:r w:rsidR="005E6E9C">
          <w:rPr>
            <w:noProof/>
            <w:webHidden/>
          </w:rPr>
          <w:fldChar w:fldCharType="end"/>
        </w:r>
      </w:hyperlink>
    </w:p>
    <w:p w14:paraId="291B0111"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13" w:history="1">
        <w:r w:rsidR="005E6E9C" w:rsidRPr="00525340">
          <w:rPr>
            <w:rStyle w:val="Hyperlink"/>
            <w:noProof/>
          </w:rPr>
          <w:t>8.2</w:t>
        </w:r>
        <w:r w:rsidR="005E6E9C">
          <w:rPr>
            <w:rFonts w:asciiTheme="minorHAnsi" w:eastAsiaTheme="minorEastAsia" w:hAnsiTheme="minorHAnsi"/>
            <w:noProof/>
            <w:sz w:val="22"/>
            <w:lang w:eastAsia="en-AU"/>
          </w:rPr>
          <w:tab/>
        </w:r>
        <w:r w:rsidR="005E6E9C" w:rsidRPr="00525340">
          <w:rPr>
            <w:rStyle w:val="Hyperlink"/>
            <w:noProof/>
          </w:rPr>
          <w:t>Fauna</w:t>
        </w:r>
        <w:r w:rsidR="005E6E9C">
          <w:rPr>
            <w:noProof/>
            <w:webHidden/>
          </w:rPr>
          <w:tab/>
        </w:r>
        <w:r w:rsidR="005E6E9C">
          <w:rPr>
            <w:noProof/>
            <w:webHidden/>
          </w:rPr>
          <w:fldChar w:fldCharType="begin"/>
        </w:r>
        <w:r w:rsidR="005E6E9C">
          <w:rPr>
            <w:noProof/>
            <w:webHidden/>
          </w:rPr>
          <w:instrText xml:space="preserve"> PAGEREF _Toc24971013 \h </w:instrText>
        </w:r>
        <w:r w:rsidR="005E6E9C">
          <w:rPr>
            <w:noProof/>
            <w:webHidden/>
          </w:rPr>
        </w:r>
        <w:r w:rsidR="005E6E9C">
          <w:rPr>
            <w:noProof/>
            <w:webHidden/>
          </w:rPr>
          <w:fldChar w:fldCharType="separate"/>
        </w:r>
        <w:r w:rsidR="005E6E9C">
          <w:rPr>
            <w:noProof/>
            <w:webHidden/>
          </w:rPr>
          <w:t>37</w:t>
        </w:r>
        <w:r w:rsidR="005E6E9C">
          <w:rPr>
            <w:noProof/>
            <w:webHidden/>
          </w:rPr>
          <w:fldChar w:fldCharType="end"/>
        </w:r>
      </w:hyperlink>
    </w:p>
    <w:p w14:paraId="0C04A38C" w14:textId="77777777" w:rsidR="005E6E9C" w:rsidRDefault="00092678">
      <w:pPr>
        <w:pStyle w:val="TOC1"/>
        <w:tabs>
          <w:tab w:val="left" w:pos="482"/>
          <w:tab w:val="right" w:leader="dot" w:pos="9016"/>
        </w:tabs>
        <w:rPr>
          <w:rFonts w:asciiTheme="minorHAnsi" w:eastAsiaTheme="minorEastAsia" w:hAnsiTheme="minorHAnsi"/>
          <w:noProof/>
          <w:sz w:val="22"/>
          <w:lang w:eastAsia="en-AU"/>
        </w:rPr>
      </w:pPr>
      <w:hyperlink w:anchor="_Toc24971014" w:history="1">
        <w:r w:rsidR="005E6E9C" w:rsidRPr="00525340">
          <w:rPr>
            <w:rStyle w:val="Hyperlink"/>
            <w:noProof/>
          </w:rPr>
          <w:t>9</w:t>
        </w:r>
        <w:r w:rsidR="005E6E9C">
          <w:rPr>
            <w:rFonts w:asciiTheme="minorHAnsi" w:eastAsiaTheme="minorEastAsia" w:hAnsiTheme="minorHAnsi"/>
            <w:noProof/>
            <w:sz w:val="22"/>
            <w:lang w:eastAsia="en-AU"/>
          </w:rPr>
          <w:tab/>
        </w:r>
        <w:r w:rsidR="005E6E9C" w:rsidRPr="00525340">
          <w:rPr>
            <w:rStyle w:val="Hyperlink"/>
            <w:noProof/>
          </w:rPr>
          <w:t>Appendix B - Relationship to other vegetation classification and mapping systems</w:t>
        </w:r>
        <w:r w:rsidR="005E6E9C">
          <w:rPr>
            <w:noProof/>
            <w:webHidden/>
          </w:rPr>
          <w:tab/>
        </w:r>
        <w:r w:rsidR="005E6E9C">
          <w:rPr>
            <w:noProof/>
            <w:webHidden/>
          </w:rPr>
          <w:fldChar w:fldCharType="begin"/>
        </w:r>
        <w:r w:rsidR="005E6E9C">
          <w:rPr>
            <w:noProof/>
            <w:webHidden/>
          </w:rPr>
          <w:instrText xml:space="preserve"> PAGEREF _Toc24971014 \h </w:instrText>
        </w:r>
        <w:r w:rsidR="005E6E9C">
          <w:rPr>
            <w:noProof/>
            <w:webHidden/>
          </w:rPr>
        </w:r>
        <w:r w:rsidR="005E6E9C">
          <w:rPr>
            <w:noProof/>
            <w:webHidden/>
          </w:rPr>
          <w:fldChar w:fldCharType="separate"/>
        </w:r>
        <w:r w:rsidR="005E6E9C">
          <w:rPr>
            <w:noProof/>
            <w:webHidden/>
          </w:rPr>
          <w:t>39</w:t>
        </w:r>
        <w:r w:rsidR="005E6E9C">
          <w:rPr>
            <w:noProof/>
            <w:webHidden/>
          </w:rPr>
          <w:fldChar w:fldCharType="end"/>
        </w:r>
      </w:hyperlink>
    </w:p>
    <w:p w14:paraId="2902F872"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15" w:history="1">
        <w:r w:rsidR="005E6E9C" w:rsidRPr="00525340">
          <w:rPr>
            <w:rStyle w:val="Hyperlink"/>
            <w:noProof/>
          </w:rPr>
          <w:t>9.1</w:t>
        </w:r>
        <w:r w:rsidR="005E6E9C">
          <w:rPr>
            <w:rFonts w:asciiTheme="minorHAnsi" w:eastAsiaTheme="minorEastAsia" w:hAnsiTheme="minorHAnsi"/>
            <w:noProof/>
            <w:sz w:val="22"/>
            <w:lang w:eastAsia="en-AU"/>
          </w:rPr>
          <w:tab/>
        </w:r>
        <w:r w:rsidR="005E6E9C" w:rsidRPr="00525340">
          <w:rPr>
            <w:rStyle w:val="Hyperlink"/>
            <w:noProof/>
          </w:rPr>
          <w:t>TASVEG classification</w:t>
        </w:r>
        <w:r w:rsidR="005E6E9C">
          <w:rPr>
            <w:noProof/>
            <w:webHidden/>
          </w:rPr>
          <w:tab/>
        </w:r>
        <w:r w:rsidR="005E6E9C">
          <w:rPr>
            <w:noProof/>
            <w:webHidden/>
          </w:rPr>
          <w:fldChar w:fldCharType="begin"/>
        </w:r>
        <w:r w:rsidR="005E6E9C">
          <w:rPr>
            <w:noProof/>
            <w:webHidden/>
          </w:rPr>
          <w:instrText xml:space="preserve"> PAGEREF _Toc24971015 \h </w:instrText>
        </w:r>
        <w:r w:rsidR="005E6E9C">
          <w:rPr>
            <w:noProof/>
            <w:webHidden/>
          </w:rPr>
        </w:r>
        <w:r w:rsidR="005E6E9C">
          <w:rPr>
            <w:noProof/>
            <w:webHidden/>
          </w:rPr>
          <w:fldChar w:fldCharType="separate"/>
        </w:r>
        <w:r w:rsidR="005E6E9C">
          <w:rPr>
            <w:noProof/>
            <w:webHidden/>
          </w:rPr>
          <w:t>39</w:t>
        </w:r>
        <w:r w:rsidR="005E6E9C">
          <w:rPr>
            <w:noProof/>
            <w:webHidden/>
          </w:rPr>
          <w:fldChar w:fldCharType="end"/>
        </w:r>
      </w:hyperlink>
    </w:p>
    <w:p w14:paraId="7201E4EF"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16" w:history="1">
        <w:r w:rsidR="005E6E9C" w:rsidRPr="00525340">
          <w:rPr>
            <w:rStyle w:val="Hyperlink"/>
            <w:noProof/>
          </w:rPr>
          <w:t>9.2</w:t>
        </w:r>
        <w:r w:rsidR="005E6E9C">
          <w:rPr>
            <w:rFonts w:asciiTheme="minorHAnsi" w:eastAsiaTheme="minorEastAsia" w:hAnsiTheme="minorHAnsi"/>
            <w:noProof/>
            <w:sz w:val="22"/>
            <w:lang w:eastAsia="en-AU"/>
          </w:rPr>
          <w:tab/>
        </w:r>
        <w:r w:rsidR="005E6E9C" w:rsidRPr="00525340">
          <w:rPr>
            <w:rStyle w:val="Hyperlink"/>
            <w:noProof/>
          </w:rPr>
          <w:t>Regional Forest Agreement forest types</w:t>
        </w:r>
        <w:r w:rsidR="005E6E9C">
          <w:rPr>
            <w:noProof/>
            <w:webHidden/>
          </w:rPr>
          <w:tab/>
        </w:r>
        <w:r w:rsidR="005E6E9C">
          <w:rPr>
            <w:noProof/>
            <w:webHidden/>
          </w:rPr>
          <w:fldChar w:fldCharType="begin"/>
        </w:r>
        <w:r w:rsidR="005E6E9C">
          <w:rPr>
            <w:noProof/>
            <w:webHidden/>
          </w:rPr>
          <w:instrText xml:space="preserve"> PAGEREF _Toc24971016 \h </w:instrText>
        </w:r>
        <w:r w:rsidR="005E6E9C">
          <w:rPr>
            <w:noProof/>
            <w:webHidden/>
          </w:rPr>
        </w:r>
        <w:r w:rsidR="005E6E9C">
          <w:rPr>
            <w:noProof/>
            <w:webHidden/>
          </w:rPr>
          <w:fldChar w:fldCharType="separate"/>
        </w:r>
        <w:r w:rsidR="005E6E9C">
          <w:rPr>
            <w:noProof/>
            <w:webHidden/>
          </w:rPr>
          <w:t>40</w:t>
        </w:r>
        <w:r w:rsidR="005E6E9C">
          <w:rPr>
            <w:noProof/>
            <w:webHidden/>
          </w:rPr>
          <w:fldChar w:fldCharType="end"/>
        </w:r>
      </w:hyperlink>
    </w:p>
    <w:p w14:paraId="4DB89584"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17" w:history="1">
        <w:r w:rsidR="005E6E9C" w:rsidRPr="00525340">
          <w:rPr>
            <w:rStyle w:val="Hyperlink"/>
            <w:noProof/>
          </w:rPr>
          <w:t>9.3</w:t>
        </w:r>
        <w:r w:rsidR="005E6E9C">
          <w:rPr>
            <w:rFonts w:asciiTheme="minorHAnsi" w:eastAsiaTheme="minorEastAsia" w:hAnsiTheme="minorHAnsi"/>
            <w:noProof/>
            <w:sz w:val="22"/>
            <w:lang w:eastAsia="en-AU"/>
          </w:rPr>
          <w:tab/>
        </w:r>
        <w:r w:rsidR="005E6E9C" w:rsidRPr="00525340">
          <w:rPr>
            <w:rStyle w:val="Hyperlink"/>
            <w:noProof/>
          </w:rPr>
          <w:t>Tasmanian threatened native vegetation communities</w:t>
        </w:r>
        <w:r w:rsidR="005E6E9C">
          <w:rPr>
            <w:noProof/>
            <w:webHidden/>
          </w:rPr>
          <w:tab/>
        </w:r>
        <w:r w:rsidR="005E6E9C">
          <w:rPr>
            <w:noProof/>
            <w:webHidden/>
          </w:rPr>
          <w:fldChar w:fldCharType="begin"/>
        </w:r>
        <w:r w:rsidR="005E6E9C">
          <w:rPr>
            <w:noProof/>
            <w:webHidden/>
          </w:rPr>
          <w:instrText xml:space="preserve"> PAGEREF _Toc24971017 \h </w:instrText>
        </w:r>
        <w:r w:rsidR="005E6E9C">
          <w:rPr>
            <w:noProof/>
            <w:webHidden/>
          </w:rPr>
        </w:r>
        <w:r w:rsidR="005E6E9C">
          <w:rPr>
            <w:noProof/>
            <w:webHidden/>
          </w:rPr>
          <w:fldChar w:fldCharType="separate"/>
        </w:r>
        <w:r w:rsidR="005E6E9C">
          <w:rPr>
            <w:noProof/>
            <w:webHidden/>
          </w:rPr>
          <w:t>40</w:t>
        </w:r>
        <w:r w:rsidR="005E6E9C">
          <w:rPr>
            <w:noProof/>
            <w:webHidden/>
          </w:rPr>
          <w:fldChar w:fldCharType="end"/>
        </w:r>
      </w:hyperlink>
    </w:p>
    <w:p w14:paraId="3D4CC9FC" w14:textId="77777777" w:rsidR="005E6E9C" w:rsidRDefault="00092678">
      <w:pPr>
        <w:pStyle w:val="TOC1"/>
        <w:tabs>
          <w:tab w:val="left" w:pos="482"/>
          <w:tab w:val="right" w:leader="dot" w:pos="9016"/>
        </w:tabs>
        <w:rPr>
          <w:rFonts w:asciiTheme="minorHAnsi" w:eastAsiaTheme="minorEastAsia" w:hAnsiTheme="minorHAnsi"/>
          <w:noProof/>
          <w:sz w:val="22"/>
          <w:lang w:eastAsia="en-AU"/>
        </w:rPr>
      </w:pPr>
      <w:hyperlink w:anchor="_Toc24971018" w:history="1">
        <w:r w:rsidR="005E6E9C" w:rsidRPr="00525340">
          <w:rPr>
            <w:rStyle w:val="Hyperlink"/>
            <w:noProof/>
          </w:rPr>
          <w:t>10</w:t>
        </w:r>
        <w:r w:rsidR="005E6E9C">
          <w:rPr>
            <w:rFonts w:asciiTheme="minorHAnsi" w:eastAsiaTheme="minorEastAsia" w:hAnsiTheme="minorHAnsi"/>
            <w:noProof/>
            <w:sz w:val="22"/>
            <w:lang w:eastAsia="en-AU"/>
          </w:rPr>
          <w:tab/>
        </w:r>
        <w:r w:rsidR="005E6E9C" w:rsidRPr="00525340">
          <w:rPr>
            <w:rStyle w:val="Hyperlink"/>
            <w:noProof/>
          </w:rPr>
          <w:t>Appendix C - Indigenous information</w:t>
        </w:r>
        <w:r w:rsidR="005E6E9C">
          <w:rPr>
            <w:noProof/>
            <w:webHidden/>
          </w:rPr>
          <w:tab/>
        </w:r>
        <w:r w:rsidR="005E6E9C">
          <w:rPr>
            <w:noProof/>
            <w:webHidden/>
          </w:rPr>
          <w:fldChar w:fldCharType="begin"/>
        </w:r>
        <w:r w:rsidR="005E6E9C">
          <w:rPr>
            <w:noProof/>
            <w:webHidden/>
          </w:rPr>
          <w:instrText xml:space="preserve"> PAGEREF _Toc24971018 \h </w:instrText>
        </w:r>
        <w:r w:rsidR="005E6E9C">
          <w:rPr>
            <w:noProof/>
            <w:webHidden/>
          </w:rPr>
        </w:r>
        <w:r w:rsidR="005E6E9C">
          <w:rPr>
            <w:noProof/>
            <w:webHidden/>
          </w:rPr>
          <w:fldChar w:fldCharType="separate"/>
        </w:r>
        <w:r w:rsidR="005E6E9C">
          <w:rPr>
            <w:noProof/>
            <w:webHidden/>
          </w:rPr>
          <w:t>41</w:t>
        </w:r>
        <w:r w:rsidR="005E6E9C">
          <w:rPr>
            <w:noProof/>
            <w:webHidden/>
          </w:rPr>
          <w:fldChar w:fldCharType="end"/>
        </w:r>
      </w:hyperlink>
    </w:p>
    <w:p w14:paraId="45EDAB01"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19" w:history="1">
        <w:r w:rsidR="005E6E9C" w:rsidRPr="00525340">
          <w:rPr>
            <w:rStyle w:val="Hyperlink"/>
            <w:noProof/>
          </w:rPr>
          <w:t>10.1</w:t>
        </w:r>
        <w:r w:rsidR="005E6E9C">
          <w:rPr>
            <w:rFonts w:asciiTheme="minorHAnsi" w:eastAsiaTheme="minorEastAsia" w:hAnsiTheme="minorHAnsi"/>
            <w:noProof/>
            <w:sz w:val="22"/>
            <w:lang w:eastAsia="en-AU"/>
          </w:rPr>
          <w:tab/>
        </w:r>
        <w:r w:rsidR="005E6E9C" w:rsidRPr="00525340">
          <w:rPr>
            <w:rStyle w:val="Hyperlink"/>
            <w:noProof/>
          </w:rPr>
          <w:t>Traditional owners</w:t>
        </w:r>
        <w:r w:rsidR="005E6E9C">
          <w:rPr>
            <w:noProof/>
            <w:webHidden/>
          </w:rPr>
          <w:tab/>
        </w:r>
        <w:r w:rsidR="005E6E9C">
          <w:rPr>
            <w:noProof/>
            <w:webHidden/>
          </w:rPr>
          <w:fldChar w:fldCharType="begin"/>
        </w:r>
        <w:r w:rsidR="005E6E9C">
          <w:rPr>
            <w:noProof/>
            <w:webHidden/>
          </w:rPr>
          <w:instrText xml:space="preserve"> PAGEREF _Toc24971019 \h </w:instrText>
        </w:r>
        <w:r w:rsidR="005E6E9C">
          <w:rPr>
            <w:noProof/>
            <w:webHidden/>
          </w:rPr>
        </w:r>
        <w:r w:rsidR="005E6E9C">
          <w:rPr>
            <w:noProof/>
            <w:webHidden/>
          </w:rPr>
          <w:fldChar w:fldCharType="separate"/>
        </w:r>
        <w:r w:rsidR="005E6E9C">
          <w:rPr>
            <w:noProof/>
            <w:webHidden/>
          </w:rPr>
          <w:t>41</w:t>
        </w:r>
        <w:r w:rsidR="005E6E9C">
          <w:rPr>
            <w:noProof/>
            <w:webHidden/>
          </w:rPr>
          <w:fldChar w:fldCharType="end"/>
        </w:r>
      </w:hyperlink>
    </w:p>
    <w:p w14:paraId="49C612C4" w14:textId="77777777" w:rsidR="005E6E9C" w:rsidRDefault="00092678">
      <w:pPr>
        <w:pStyle w:val="TOC2"/>
        <w:tabs>
          <w:tab w:val="left" w:pos="880"/>
          <w:tab w:val="right" w:leader="dot" w:pos="9016"/>
        </w:tabs>
        <w:rPr>
          <w:rFonts w:asciiTheme="minorHAnsi" w:eastAsiaTheme="minorEastAsia" w:hAnsiTheme="minorHAnsi"/>
          <w:noProof/>
          <w:sz w:val="22"/>
          <w:lang w:eastAsia="en-AU"/>
        </w:rPr>
      </w:pPr>
      <w:hyperlink w:anchor="_Toc24971020" w:history="1">
        <w:r w:rsidR="005E6E9C" w:rsidRPr="00525340">
          <w:rPr>
            <w:rStyle w:val="Hyperlink"/>
            <w:noProof/>
          </w:rPr>
          <w:t>10.2</w:t>
        </w:r>
        <w:r w:rsidR="005E6E9C">
          <w:rPr>
            <w:rFonts w:asciiTheme="minorHAnsi" w:eastAsiaTheme="minorEastAsia" w:hAnsiTheme="minorHAnsi"/>
            <w:noProof/>
            <w:sz w:val="22"/>
            <w:lang w:eastAsia="en-AU"/>
          </w:rPr>
          <w:tab/>
        </w:r>
        <w:r w:rsidR="005E6E9C" w:rsidRPr="00525340">
          <w:rPr>
            <w:rStyle w:val="Hyperlink"/>
            <w:noProof/>
          </w:rPr>
          <w:t>Traditional Indigenous use of resources from the ecological community</w:t>
        </w:r>
        <w:r w:rsidR="005E6E9C">
          <w:rPr>
            <w:noProof/>
            <w:webHidden/>
          </w:rPr>
          <w:tab/>
        </w:r>
        <w:r w:rsidR="005E6E9C">
          <w:rPr>
            <w:noProof/>
            <w:webHidden/>
          </w:rPr>
          <w:fldChar w:fldCharType="begin"/>
        </w:r>
        <w:r w:rsidR="005E6E9C">
          <w:rPr>
            <w:noProof/>
            <w:webHidden/>
          </w:rPr>
          <w:instrText xml:space="preserve"> PAGEREF _Toc24971020 \h </w:instrText>
        </w:r>
        <w:r w:rsidR="005E6E9C">
          <w:rPr>
            <w:noProof/>
            <w:webHidden/>
          </w:rPr>
        </w:r>
        <w:r w:rsidR="005E6E9C">
          <w:rPr>
            <w:noProof/>
            <w:webHidden/>
          </w:rPr>
          <w:fldChar w:fldCharType="separate"/>
        </w:r>
        <w:r w:rsidR="005E6E9C">
          <w:rPr>
            <w:noProof/>
            <w:webHidden/>
          </w:rPr>
          <w:t>41</w:t>
        </w:r>
        <w:r w:rsidR="005E6E9C">
          <w:rPr>
            <w:noProof/>
            <w:webHidden/>
          </w:rPr>
          <w:fldChar w:fldCharType="end"/>
        </w:r>
      </w:hyperlink>
    </w:p>
    <w:p w14:paraId="38750A02" w14:textId="77777777" w:rsidR="00216BB7" w:rsidRDefault="00526711" w:rsidP="00216BB7">
      <w:r w:rsidRPr="00496226">
        <w:rPr>
          <w:sz w:val="28"/>
        </w:rPr>
        <w:fldChar w:fldCharType="end"/>
      </w:r>
    </w:p>
    <w:p w14:paraId="11409693" w14:textId="77777777" w:rsidR="00216BB7" w:rsidRDefault="00216BB7" w:rsidP="00216BB7">
      <w:pPr>
        <w:rPr>
          <w:rFonts w:eastAsiaTheme="majorEastAsia" w:cstheme="majorBidi"/>
          <w:szCs w:val="32"/>
        </w:rPr>
      </w:pPr>
      <w:r>
        <w:br w:type="page"/>
      </w:r>
    </w:p>
    <w:p w14:paraId="2A9D82D3" w14:textId="7D0DB0B2" w:rsidR="002D6AB0" w:rsidRDefault="009043B5" w:rsidP="00216BB7">
      <w:pPr>
        <w:pStyle w:val="Heading1"/>
      </w:pPr>
      <w:bookmarkStart w:id="1" w:name="_Toc24970989"/>
      <w:r w:rsidRPr="00216BB7">
        <w:lastRenderedPageBreak/>
        <w:t>Conservation</w:t>
      </w:r>
      <w:r>
        <w:t xml:space="preserve"> objective</w:t>
      </w:r>
      <w:bookmarkEnd w:id="1"/>
    </w:p>
    <w:p w14:paraId="77B0A141" w14:textId="77777777" w:rsidR="00761A5A" w:rsidRDefault="00761A5A" w:rsidP="00EC1970">
      <w:pPr>
        <w:keepLines/>
        <w:pBdr>
          <w:top w:val="single" w:sz="4" w:space="1" w:color="auto"/>
          <w:left w:val="single" w:sz="4" w:space="4" w:color="auto"/>
          <w:bottom w:val="single" w:sz="4" w:space="1" w:color="auto"/>
          <w:right w:val="single" w:sz="4" w:space="4" w:color="auto"/>
        </w:pBdr>
      </w:pPr>
      <w:r>
        <w:t xml:space="preserve">To mitigate the risk of extinction of the </w:t>
      </w:r>
      <w:r w:rsidR="00D911DD">
        <w:t>Tasmanian white gum (</w:t>
      </w:r>
      <w:r w:rsidR="00D911DD" w:rsidRPr="00D911DD">
        <w:rPr>
          <w:i/>
        </w:rPr>
        <w:t>Eucalyptus viminalis</w:t>
      </w:r>
      <w:r w:rsidR="00D911DD">
        <w:t>) wet forest</w:t>
      </w:r>
      <w:r>
        <w:t xml:space="preserve"> ecological community, and help recover its biodiversity and function through protecting it from significant impacts as a Matter of National Environmental Significance under national environmental law, and by guiding implementation of management and recovery, consistent with the recommended priority conservation and research actions set out in this advice.</w:t>
      </w:r>
    </w:p>
    <w:p w14:paraId="4E273B31" w14:textId="5FA34F65" w:rsidR="00761A5A" w:rsidRDefault="00761A5A" w:rsidP="00761A5A">
      <w:pPr>
        <w:keepNext/>
      </w:pPr>
      <w:r>
        <w:t>This conservation advice contains information relevant to the objective by:</w:t>
      </w:r>
    </w:p>
    <w:p w14:paraId="521694F3" w14:textId="19973166" w:rsidR="00761A5A" w:rsidRDefault="00761A5A" w:rsidP="00703C89">
      <w:pPr>
        <w:pStyle w:val="ListParagraph"/>
        <w:numPr>
          <w:ilvl w:val="0"/>
          <w:numId w:val="2"/>
        </w:numPr>
      </w:pPr>
      <w:r>
        <w:t>describing the ecological community and where it can be found</w:t>
      </w:r>
      <w:r w:rsidR="00C145FD">
        <w:t xml:space="preserve"> </w:t>
      </w:r>
      <w:r w:rsidR="00EC1970">
        <w:t>(</w:t>
      </w:r>
      <w:r w:rsidR="00EC1970" w:rsidRPr="00333FED">
        <w:rPr>
          <w:u w:val="single"/>
        </w:rPr>
        <w:t xml:space="preserve">section </w:t>
      </w:r>
      <w:r w:rsidR="00526711" w:rsidRPr="00333FED">
        <w:rPr>
          <w:u w:val="single"/>
        </w:rPr>
        <w:fldChar w:fldCharType="begin"/>
      </w:r>
      <w:r w:rsidR="00B3340E" w:rsidRPr="00333FED">
        <w:rPr>
          <w:u w:val="single"/>
        </w:rPr>
        <w:instrText xml:space="preserve"> REF _Ref527448783 \r \h </w:instrText>
      </w:r>
      <w:r w:rsidR="00526711" w:rsidRPr="00333FED">
        <w:rPr>
          <w:u w:val="single"/>
        </w:rPr>
      </w:r>
      <w:r w:rsidR="00526711" w:rsidRPr="00333FED">
        <w:rPr>
          <w:u w:val="single"/>
        </w:rPr>
        <w:fldChar w:fldCharType="separate"/>
      </w:r>
      <w:r w:rsidR="005E6E9C">
        <w:rPr>
          <w:u w:val="single"/>
        </w:rPr>
        <w:t>2</w:t>
      </w:r>
      <w:r w:rsidR="00526711" w:rsidRPr="00333FED">
        <w:rPr>
          <w:u w:val="single"/>
        </w:rPr>
        <w:fldChar w:fldCharType="end"/>
      </w:r>
      <w:r w:rsidR="00EC1970">
        <w:t>)</w:t>
      </w:r>
      <w:r w:rsidR="00DF0E32">
        <w:t>;</w:t>
      </w:r>
    </w:p>
    <w:p w14:paraId="3F5CDFEA" w14:textId="4D0662AC" w:rsidR="009C41D4" w:rsidRDefault="009C41D4" w:rsidP="009C41D4">
      <w:pPr>
        <w:pStyle w:val="ListParagraph"/>
        <w:numPr>
          <w:ilvl w:val="0"/>
          <w:numId w:val="2"/>
        </w:numPr>
      </w:pPr>
      <w:r>
        <w:t xml:space="preserve">identifying the key threats to the ecological community </w:t>
      </w:r>
      <w:r w:rsidRPr="00EC1970">
        <w:t>(</w:t>
      </w:r>
      <w:r w:rsidRPr="00333FED">
        <w:rPr>
          <w:u w:val="single"/>
        </w:rPr>
        <w:t>section</w:t>
      </w:r>
      <w:r>
        <w:rPr>
          <w:u w:val="single"/>
        </w:rPr>
        <w:t xml:space="preserve"> </w:t>
      </w:r>
      <w:r>
        <w:rPr>
          <w:u w:val="single"/>
        </w:rPr>
        <w:fldChar w:fldCharType="begin"/>
      </w:r>
      <w:r>
        <w:rPr>
          <w:u w:val="single"/>
        </w:rPr>
        <w:instrText xml:space="preserve"> REF _Ref23846293 \r \h </w:instrText>
      </w:r>
      <w:r>
        <w:rPr>
          <w:u w:val="single"/>
        </w:rPr>
      </w:r>
      <w:r>
        <w:rPr>
          <w:u w:val="single"/>
        </w:rPr>
        <w:fldChar w:fldCharType="separate"/>
      </w:r>
      <w:r w:rsidR="005E6E9C">
        <w:rPr>
          <w:u w:val="single"/>
        </w:rPr>
        <w:t>3</w:t>
      </w:r>
      <w:r>
        <w:rPr>
          <w:u w:val="single"/>
        </w:rPr>
        <w:fldChar w:fldCharType="end"/>
      </w:r>
      <w:r w:rsidRPr="00EC1970">
        <w:t>)</w:t>
      </w:r>
      <w:r w:rsidR="00DF0E32">
        <w:t>;</w:t>
      </w:r>
    </w:p>
    <w:p w14:paraId="521041F4" w14:textId="09044A10" w:rsidR="00DF0E32" w:rsidRDefault="00DF0E32" w:rsidP="009C41D4">
      <w:pPr>
        <w:pStyle w:val="ListParagraph"/>
        <w:numPr>
          <w:ilvl w:val="0"/>
          <w:numId w:val="2"/>
        </w:numPr>
      </w:pPr>
      <w:r>
        <w:t xml:space="preserve">summarising the existing protections for the ecological community (section </w:t>
      </w:r>
      <w:r>
        <w:fldChar w:fldCharType="begin"/>
      </w:r>
      <w:r>
        <w:instrText xml:space="preserve"> REF _Ref23846807 \r \h </w:instrText>
      </w:r>
      <w:r>
        <w:fldChar w:fldCharType="separate"/>
      </w:r>
      <w:r w:rsidR="005E6E9C">
        <w:t>4</w:t>
      </w:r>
      <w:r>
        <w:fldChar w:fldCharType="end"/>
      </w:r>
      <w:r>
        <w:t>);</w:t>
      </w:r>
    </w:p>
    <w:p w14:paraId="663AD8FC" w14:textId="6B141357" w:rsidR="009C41D4" w:rsidRDefault="009C41D4" w:rsidP="009C41D4">
      <w:pPr>
        <w:pStyle w:val="ListParagraph"/>
        <w:numPr>
          <w:ilvl w:val="0"/>
          <w:numId w:val="2"/>
        </w:numPr>
      </w:pPr>
      <w:r>
        <w:t xml:space="preserve">presenting evidence to explain why the ecological community merits listing as nationally threatened under the </w:t>
      </w:r>
      <w:r w:rsidRPr="00B50F6F">
        <w:rPr>
          <w:i/>
        </w:rPr>
        <w:t>Environment Protection and Biodiversity Conservation Act 1999</w:t>
      </w:r>
      <w:r>
        <w:t xml:space="preserve"> (EPBC Act) </w:t>
      </w:r>
      <w:r w:rsidRPr="00EC1970">
        <w:t>(</w:t>
      </w:r>
      <w:r w:rsidRPr="00333FED">
        <w:rPr>
          <w:u w:val="single"/>
        </w:rPr>
        <w:t>section</w:t>
      </w:r>
      <w:r>
        <w:rPr>
          <w:u w:val="single"/>
        </w:rPr>
        <w:t xml:space="preserve"> </w:t>
      </w:r>
      <w:r>
        <w:rPr>
          <w:u w:val="single"/>
        </w:rPr>
        <w:fldChar w:fldCharType="begin"/>
      </w:r>
      <w:r>
        <w:rPr>
          <w:u w:val="single"/>
        </w:rPr>
        <w:instrText xml:space="preserve"> REF _Ref23846326 \r \h </w:instrText>
      </w:r>
      <w:r>
        <w:rPr>
          <w:u w:val="single"/>
        </w:rPr>
      </w:r>
      <w:r>
        <w:rPr>
          <w:u w:val="single"/>
        </w:rPr>
        <w:fldChar w:fldCharType="separate"/>
      </w:r>
      <w:r w:rsidR="005E6E9C">
        <w:rPr>
          <w:u w:val="single"/>
        </w:rPr>
        <w:t>5</w:t>
      </w:r>
      <w:r>
        <w:rPr>
          <w:u w:val="single"/>
        </w:rPr>
        <w:fldChar w:fldCharType="end"/>
      </w:r>
      <w:r w:rsidRPr="00EC1970">
        <w:t>)</w:t>
      </w:r>
      <w:r>
        <w:t xml:space="preserve">; </w:t>
      </w:r>
      <w:r w:rsidR="00990DB0">
        <w:t>and</w:t>
      </w:r>
    </w:p>
    <w:p w14:paraId="7BEC3306" w14:textId="1C41052E" w:rsidR="00761A5A" w:rsidRDefault="00EC1970" w:rsidP="008B4406">
      <w:pPr>
        <w:pStyle w:val="ListParagraph"/>
        <w:numPr>
          <w:ilvl w:val="0"/>
          <w:numId w:val="2"/>
        </w:numPr>
      </w:pPr>
      <w:r w:rsidRPr="00496455">
        <w:t>outlinin</w:t>
      </w:r>
      <w:r w:rsidRPr="00990DB0">
        <w:rPr>
          <w:rFonts w:eastAsia="TimesNewRoman"/>
          <w:lang w:eastAsia="en-AU"/>
        </w:rPr>
        <w:t xml:space="preserve">g </w:t>
      </w:r>
      <w:r w:rsidR="00990DB0">
        <w:rPr>
          <w:rFonts w:eastAsia="TimesNewRoman"/>
          <w:lang w:eastAsia="en-AU"/>
        </w:rPr>
        <w:t xml:space="preserve">information to guide its conservation, including the </w:t>
      </w:r>
      <w:r w:rsidRPr="00990DB0">
        <w:rPr>
          <w:rFonts w:eastAsia="TimesNewRoman"/>
          <w:lang w:eastAsia="en-AU"/>
        </w:rPr>
        <w:t>key diagnostic features</w:t>
      </w:r>
      <w:r w:rsidR="00990DB0">
        <w:rPr>
          <w:rFonts w:eastAsia="TimesNewRoman"/>
          <w:lang w:eastAsia="en-AU"/>
        </w:rPr>
        <w:t xml:space="preserve">, </w:t>
      </w:r>
      <w:r w:rsidR="00990DB0">
        <w:t xml:space="preserve">condition thresholds and classes, </w:t>
      </w:r>
      <w:r w:rsidR="009C41D4" w:rsidRPr="00990DB0">
        <w:rPr>
          <w:rFonts w:eastAsia="TimesNewRoman"/>
          <w:lang w:eastAsia="en-AU"/>
        </w:rPr>
        <w:t xml:space="preserve">and </w:t>
      </w:r>
      <w:r w:rsidR="00B3340E" w:rsidRPr="00990DB0">
        <w:rPr>
          <w:rFonts w:eastAsia="TimesNewRoman"/>
          <w:lang w:eastAsia="en-AU"/>
        </w:rPr>
        <w:t>additional</w:t>
      </w:r>
      <w:r w:rsidRPr="00990DB0">
        <w:rPr>
          <w:rFonts w:eastAsia="TimesNewRoman"/>
          <w:lang w:eastAsia="en-AU"/>
        </w:rPr>
        <w:t xml:space="preserve"> information </w:t>
      </w:r>
      <w:r w:rsidR="00990DB0">
        <w:rPr>
          <w:rFonts w:eastAsia="TimesNewRoman"/>
          <w:lang w:eastAsia="en-AU"/>
        </w:rPr>
        <w:t>to identify</w:t>
      </w:r>
      <w:r w:rsidRPr="00990DB0">
        <w:rPr>
          <w:rFonts w:eastAsia="TimesNewRoman"/>
          <w:lang w:eastAsia="en-AU"/>
        </w:rPr>
        <w:t xml:space="preserve"> the ecological community</w:t>
      </w:r>
      <w:r w:rsidR="00990DB0">
        <w:rPr>
          <w:rFonts w:eastAsia="TimesNewRoman"/>
          <w:lang w:eastAsia="en-AU"/>
        </w:rPr>
        <w:t xml:space="preserve">, </w:t>
      </w:r>
      <w:r w:rsidR="00DF0E32">
        <w:t>and the</w:t>
      </w:r>
      <w:r w:rsidR="00761A5A">
        <w:t xml:space="preserve"> priority conservation and research actions </w:t>
      </w:r>
      <w:r w:rsidR="00990DB0">
        <w:t>to</w:t>
      </w:r>
      <w:r w:rsidR="00761A5A">
        <w:t xml:space="preserve"> stop </w:t>
      </w:r>
      <w:r w:rsidR="00990DB0">
        <w:t xml:space="preserve">its </w:t>
      </w:r>
      <w:r w:rsidR="00761A5A">
        <w:t xml:space="preserve">decline and support </w:t>
      </w:r>
      <w:r w:rsidR="00990DB0">
        <w:t xml:space="preserve">its recovery </w:t>
      </w:r>
      <w:r w:rsidR="00990DB0" w:rsidRPr="00990DB0">
        <w:rPr>
          <w:rFonts w:eastAsia="TimesNewRoman"/>
          <w:lang w:eastAsia="en-AU"/>
        </w:rPr>
        <w:t>(</w:t>
      </w:r>
      <w:r w:rsidR="00990DB0" w:rsidRPr="00990DB0">
        <w:rPr>
          <w:rFonts w:eastAsia="TimesNewRoman"/>
          <w:u w:val="single"/>
          <w:lang w:eastAsia="en-AU"/>
        </w:rPr>
        <w:t xml:space="preserve">section </w:t>
      </w:r>
      <w:r w:rsidR="00990DB0" w:rsidRPr="00990DB0">
        <w:rPr>
          <w:rFonts w:eastAsia="TimesNewRoman"/>
          <w:u w:val="single"/>
          <w:lang w:eastAsia="en-AU"/>
        </w:rPr>
        <w:fldChar w:fldCharType="begin"/>
      </w:r>
      <w:r w:rsidR="00990DB0" w:rsidRPr="00990DB0">
        <w:rPr>
          <w:rFonts w:eastAsia="TimesNewRoman"/>
          <w:u w:val="single"/>
          <w:lang w:eastAsia="en-AU"/>
        </w:rPr>
        <w:instrText xml:space="preserve"> REF _Ref527448986 \r \h </w:instrText>
      </w:r>
      <w:r w:rsidR="00990DB0" w:rsidRPr="00990DB0">
        <w:rPr>
          <w:rFonts w:eastAsia="TimesNewRoman"/>
          <w:u w:val="single"/>
          <w:lang w:eastAsia="en-AU"/>
        </w:rPr>
      </w:r>
      <w:r w:rsidR="00990DB0" w:rsidRPr="00990DB0">
        <w:rPr>
          <w:rFonts w:eastAsia="TimesNewRoman"/>
          <w:u w:val="single"/>
          <w:lang w:eastAsia="en-AU"/>
        </w:rPr>
        <w:fldChar w:fldCharType="separate"/>
      </w:r>
      <w:r w:rsidR="005E6E9C">
        <w:rPr>
          <w:rFonts w:eastAsia="TimesNewRoman"/>
          <w:u w:val="single"/>
          <w:lang w:eastAsia="en-AU"/>
        </w:rPr>
        <w:t>6</w:t>
      </w:r>
      <w:r w:rsidR="00990DB0" w:rsidRPr="00990DB0">
        <w:rPr>
          <w:rFonts w:eastAsia="TimesNewRoman"/>
          <w:u w:val="single"/>
          <w:lang w:eastAsia="en-AU"/>
        </w:rPr>
        <w:fldChar w:fldCharType="end"/>
      </w:r>
      <w:r w:rsidR="00990DB0">
        <w:rPr>
          <w:rFonts w:eastAsia="TimesNewRoman"/>
          <w:lang w:eastAsia="en-AU"/>
        </w:rPr>
        <w:t>).</w:t>
      </w:r>
    </w:p>
    <w:p w14:paraId="371CE051" w14:textId="77777777" w:rsidR="009043B5" w:rsidRDefault="009043B5" w:rsidP="009043B5">
      <w:pPr>
        <w:pStyle w:val="Heading1"/>
      </w:pPr>
      <w:bookmarkStart w:id="2" w:name="_Ref527448783"/>
      <w:bookmarkStart w:id="3" w:name="_Toc24970990"/>
      <w:r w:rsidRPr="009043B5">
        <w:t>Description</w:t>
      </w:r>
      <w:bookmarkEnd w:id="2"/>
      <w:bookmarkEnd w:id="3"/>
    </w:p>
    <w:p w14:paraId="69D65698" w14:textId="438FAA69" w:rsidR="00F944AC" w:rsidRPr="00B32385" w:rsidRDefault="00F944AC" w:rsidP="00F944AC">
      <w:r w:rsidRPr="00B32385">
        <w:rPr>
          <w:iCs/>
        </w:rPr>
        <w:t xml:space="preserve">The ecological community </w:t>
      </w:r>
      <w:r w:rsidR="0058117F" w:rsidRPr="00B32385">
        <w:rPr>
          <w:iCs/>
        </w:rPr>
        <w:t xml:space="preserve">described in this conservation advice is a type of eucalypt forest that is </w:t>
      </w:r>
      <w:r w:rsidR="00DF0E32">
        <w:rPr>
          <w:iCs/>
        </w:rPr>
        <w:t>found in</w:t>
      </w:r>
      <w:r w:rsidR="0058117F" w:rsidRPr="00B32385">
        <w:rPr>
          <w:iCs/>
        </w:rPr>
        <w:t xml:space="preserve"> Tasmania. It is </w:t>
      </w:r>
      <w:r w:rsidRPr="00B32385">
        <w:t xml:space="preserve">a wet sclerophyll forest with </w:t>
      </w:r>
      <w:r w:rsidR="00B32385" w:rsidRPr="00B32385">
        <w:t xml:space="preserve">a canopy dominated by </w:t>
      </w:r>
      <w:r w:rsidR="00B32385" w:rsidRPr="00B32385">
        <w:rPr>
          <w:i/>
        </w:rPr>
        <w:t>Eucalyptus viminalis</w:t>
      </w:r>
      <w:r w:rsidR="00B32385" w:rsidRPr="00B32385">
        <w:t xml:space="preserve"> and </w:t>
      </w:r>
      <w:r w:rsidRPr="00B32385">
        <w:t xml:space="preserve">an understorey </w:t>
      </w:r>
      <w:r w:rsidR="008E2FEF">
        <w:t xml:space="preserve">generally comprised </w:t>
      </w:r>
      <w:r w:rsidR="00B32385">
        <w:t xml:space="preserve">of </w:t>
      </w:r>
      <w:r w:rsidR="00CA098F">
        <w:t xml:space="preserve">broad-leaved </w:t>
      </w:r>
      <w:r w:rsidR="00B32385">
        <w:t>shrubs and ferns</w:t>
      </w:r>
      <w:r w:rsidR="00B32385" w:rsidRPr="00B32385">
        <w:t xml:space="preserve">, </w:t>
      </w:r>
      <w:r w:rsidRPr="00B32385">
        <w:t xml:space="preserve">occurring </w:t>
      </w:r>
      <w:r w:rsidR="00677FE0" w:rsidRPr="00B32385">
        <w:t xml:space="preserve">mainly </w:t>
      </w:r>
      <w:r w:rsidR="00B32385">
        <w:t>on fertile, well-drained sites in the north of the state</w:t>
      </w:r>
      <w:r w:rsidR="008E2FEF">
        <w:t>.</w:t>
      </w:r>
    </w:p>
    <w:p w14:paraId="5EC4F6E2" w14:textId="77777777" w:rsidR="006551A0" w:rsidRDefault="006551A0" w:rsidP="006551A0">
      <w:pPr>
        <w:pStyle w:val="Heading2"/>
      </w:pPr>
      <w:bookmarkStart w:id="4" w:name="_Toc24970991"/>
      <w:r>
        <w:t>Name</w:t>
      </w:r>
      <w:bookmarkEnd w:id="4"/>
    </w:p>
    <w:p w14:paraId="238FC480" w14:textId="20E48927" w:rsidR="00B32A99" w:rsidRDefault="0058117F" w:rsidP="00905ED3">
      <w:r w:rsidRPr="0058117F">
        <w:t xml:space="preserve">The name of the ecological community is </w:t>
      </w:r>
      <w:r>
        <w:t xml:space="preserve">the </w:t>
      </w:r>
      <w:r w:rsidRPr="0058117F">
        <w:rPr>
          <w:b/>
        </w:rPr>
        <w:t>Tasmanian white gum (</w:t>
      </w:r>
      <w:r w:rsidRPr="0058117F">
        <w:rPr>
          <w:b/>
          <w:i/>
        </w:rPr>
        <w:t>Eucalyptus viminalis</w:t>
      </w:r>
      <w:r w:rsidRPr="0058117F">
        <w:rPr>
          <w:b/>
        </w:rPr>
        <w:t>) wet forest</w:t>
      </w:r>
      <w:r w:rsidRPr="0058117F">
        <w:t xml:space="preserve"> (hereafter referred to as </w:t>
      </w:r>
      <w:r w:rsidR="007E6420">
        <w:t xml:space="preserve">the </w:t>
      </w:r>
      <w:r w:rsidRPr="0058117F">
        <w:t>“</w:t>
      </w:r>
      <w:r w:rsidR="007E6420">
        <w:t xml:space="preserve">Tasmanian </w:t>
      </w:r>
      <w:r>
        <w:t>white gum wet forest</w:t>
      </w:r>
      <w:r w:rsidRPr="0058117F">
        <w:t xml:space="preserve">” or </w:t>
      </w:r>
      <w:r w:rsidR="00E74672">
        <w:t>“</w:t>
      </w:r>
      <w:r w:rsidRPr="0058117F">
        <w:t>the</w:t>
      </w:r>
      <w:r w:rsidR="00C145FD">
        <w:t xml:space="preserve"> </w:t>
      </w:r>
      <w:r w:rsidRPr="0058117F">
        <w:t xml:space="preserve">ecological community”). </w:t>
      </w:r>
      <w:r w:rsidR="00E74672" w:rsidRPr="0058117F">
        <w:t xml:space="preserve">The name refers to the </w:t>
      </w:r>
      <w:r w:rsidR="00E74672">
        <w:t>dominant canopy species</w:t>
      </w:r>
      <w:r w:rsidR="00E74672" w:rsidRPr="0058117F">
        <w:t xml:space="preserve">, typical vegetation structure and geographic area </w:t>
      </w:r>
      <w:r w:rsidR="008E2FEF">
        <w:t>that</w:t>
      </w:r>
      <w:r w:rsidR="00E74672" w:rsidRPr="0058117F">
        <w:t xml:space="preserve"> characterise</w:t>
      </w:r>
      <w:r w:rsidR="00E74672">
        <w:t>s</w:t>
      </w:r>
      <w:r w:rsidR="00C145FD">
        <w:t xml:space="preserve"> </w:t>
      </w:r>
      <w:r w:rsidR="00E74672" w:rsidRPr="0058117F">
        <w:t>the ecological community.</w:t>
      </w:r>
      <w:r w:rsidR="00C145FD">
        <w:t xml:space="preserve"> </w:t>
      </w:r>
      <w:r w:rsidRPr="0058117F">
        <w:t>The ecological community was originally pl</w:t>
      </w:r>
      <w:r>
        <w:t>aced on the 2016</w:t>
      </w:r>
      <w:r w:rsidRPr="0058117F">
        <w:t xml:space="preserve"> Finalised Priority Assessment List as the </w:t>
      </w:r>
      <w:r>
        <w:t>‘</w:t>
      </w:r>
      <w:r w:rsidRPr="0058117F">
        <w:t>Tasmanian white gum (</w:t>
      </w:r>
      <w:r w:rsidRPr="0058117F">
        <w:rPr>
          <w:i/>
        </w:rPr>
        <w:t>Eucalyptus viminalis</w:t>
      </w:r>
      <w:r w:rsidRPr="0058117F">
        <w:t>) wet forest on basalt</w:t>
      </w:r>
      <w:r>
        <w:t>’</w:t>
      </w:r>
      <w:r w:rsidR="00B32A99">
        <w:t xml:space="preserve">. </w:t>
      </w:r>
      <w:r w:rsidR="008E2FEF">
        <w:t>At the time, this</w:t>
      </w:r>
      <w:r w:rsidR="00B32A99" w:rsidRPr="00B32A99">
        <w:t xml:space="preserve"> reflected the name of the forest type used in the Tasmanian </w:t>
      </w:r>
      <w:r w:rsidR="00B32A99" w:rsidRPr="00B32A99">
        <w:rPr>
          <w:i/>
        </w:rPr>
        <w:t>Regional Forest Agreement 1997</w:t>
      </w:r>
      <w:r w:rsidR="00B32A99" w:rsidRPr="00B32A99">
        <w:t xml:space="preserve">, but the reference to basalt </w:t>
      </w:r>
      <w:r w:rsidR="00220FCD">
        <w:t>has been</w:t>
      </w:r>
      <w:r w:rsidR="00B32A99" w:rsidRPr="00B32A99">
        <w:t xml:space="preserve"> removed as the ecological community also occurs on other substrates</w:t>
      </w:r>
      <w:r w:rsidR="006B75E8">
        <w:t>.</w:t>
      </w:r>
    </w:p>
    <w:p w14:paraId="49BE4BE2" w14:textId="17F97FCC" w:rsidR="006551A0" w:rsidRDefault="006551A0" w:rsidP="006551A0">
      <w:pPr>
        <w:pStyle w:val="Heading2"/>
      </w:pPr>
      <w:bookmarkStart w:id="5" w:name="_Ref19265058"/>
      <w:bookmarkStart w:id="6" w:name="_Toc24970992"/>
      <w:r>
        <w:t>Location and physical environment</w:t>
      </w:r>
      <w:bookmarkEnd w:id="5"/>
      <w:bookmarkEnd w:id="6"/>
    </w:p>
    <w:p w14:paraId="2471EF60" w14:textId="7FA64C94" w:rsidR="00FA7282" w:rsidRDefault="00577AB6" w:rsidP="00047B22">
      <w:r w:rsidRPr="00047B22">
        <w:t xml:space="preserve">The </w:t>
      </w:r>
      <w:r w:rsidR="007E6420" w:rsidRPr="007E6420">
        <w:t xml:space="preserve">Tasmanian </w:t>
      </w:r>
      <w:r w:rsidRPr="00047B22">
        <w:t>white gum wet forest</w:t>
      </w:r>
      <w:r w:rsidR="00C145FD" w:rsidRPr="00047B22">
        <w:t xml:space="preserve"> </w:t>
      </w:r>
      <w:r w:rsidRPr="00047B22">
        <w:t xml:space="preserve">is </w:t>
      </w:r>
      <w:r w:rsidR="00B32A99">
        <w:t>limited</w:t>
      </w:r>
      <w:r w:rsidRPr="00047B22">
        <w:t xml:space="preserve"> to Tasmania and </w:t>
      </w:r>
      <w:r w:rsidR="00FA7282" w:rsidRPr="00047B22">
        <w:t xml:space="preserve">occurs in all Tasmanian </w:t>
      </w:r>
      <w:r w:rsidR="00B71748" w:rsidRPr="00047B22">
        <w:t>bio</w:t>
      </w:r>
      <w:r w:rsidR="00FA7282" w:rsidRPr="00047B22">
        <w:t xml:space="preserve">regions, but mainly </w:t>
      </w:r>
      <w:r w:rsidRPr="00047B22">
        <w:t>within the Northern Slopes and Ben Lomond bioregions</w:t>
      </w:r>
      <w:r w:rsidR="00B23F5B">
        <w:t xml:space="preserve"> (</w:t>
      </w:r>
      <w:r w:rsidR="000B55CB" w:rsidRPr="000B55CB">
        <w:rPr>
          <w:u w:val="single"/>
        </w:rPr>
        <w:fldChar w:fldCharType="begin"/>
      </w:r>
      <w:r w:rsidR="000B55CB" w:rsidRPr="000B55CB">
        <w:rPr>
          <w:u w:val="single"/>
        </w:rPr>
        <w:instrText xml:space="preserve"> REF _Ref23850634 \h </w:instrText>
      </w:r>
      <w:r w:rsidR="000B55CB" w:rsidRPr="000B55CB">
        <w:rPr>
          <w:u w:val="single"/>
        </w:rPr>
      </w:r>
      <w:r w:rsidR="000B55CB" w:rsidRPr="000B55CB">
        <w:rPr>
          <w:u w:val="single"/>
        </w:rPr>
        <w:fldChar w:fldCharType="separate"/>
      </w:r>
      <w:r w:rsidR="005E6E9C">
        <w:t xml:space="preserve">Figure </w:t>
      </w:r>
      <w:r w:rsidR="005E6E9C">
        <w:rPr>
          <w:noProof/>
        </w:rPr>
        <w:t>1</w:t>
      </w:r>
      <w:r w:rsidR="000B55CB" w:rsidRPr="000B55CB">
        <w:rPr>
          <w:u w:val="single"/>
        </w:rPr>
        <w:fldChar w:fldCharType="end"/>
      </w:r>
      <w:r w:rsidR="00B23F5B">
        <w:t>)</w:t>
      </w:r>
      <w:r w:rsidR="00B32A99">
        <w:t>.</w:t>
      </w:r>
      <w:r w:rsidR="005921A2">
        <w:t xml:space="preserve"> It is concentrated in central northern Tasmania, and occurs spor</w:t>
      </w:r>
      <w:r w:rsidR="0078152C">
        <w:t>adically elsewhere in the state</w:t>
      </w:r>
      <w:r w:rsidR="0078152C" w:rsidRPr="0078152C">
        <w:t>.</w:t>
      </w:r>
      <w:r w:rsidR="007E6420" w:rsidRPr="007E6420">
        <w:t xml:space="preserve"> </w:t>
      </w:r>
      <w:r w:rsidR="007E6420">
        <w:t xml:space="preserve">Some of the largest stands occur on the </w:t>
      </w:r>
      <w:r w:rsidR="007E6420" w:rsidRPr="00CA098F">
        <w:t xml:space="preserve">flats and lower slopes of the major </w:t>
      </w:r>
      <w:r w:rsidR="007E6420">
        <w:t xml:space="preserve">river </w:t>
      </w:r>
      <w:r w:rsidR="007E6420" w:rsidRPr="00CA098F">
        <w:t xml:space="preserve">valleys in </w:t>
      </w:r>
      <w:r w:rsidR="007E6420">
        <w:t>the Northern Slopes bioregion</w:t>
      </w:r>
      <w:r w:rsidR="007E6420" w:rsidRPr="00CF1A60">
        <w:t>.</w:t>
      </w:r>
    </w:p>
    <w:p w14:paraId="2E325762" w14:textId="77777777" w:rsidR="000B55CB" w:rsidRDefault="000B55CB" w:rsidP="00F835A6">
      <w:pPr>
        <w:keepNext/>
        <w:jc w:val="center"/>
      </w:pPr>
      <w:r>
        <w:rPr>
          <w:noProof/>
          <w:lang w:eastAsia="en-AU"/>
        </w:rPr>
        <w:lastRenderedPageBreak/>
        <w:drawing>
          <wp:inline distT="0" distB="0" distL="0" distR="0" wp14:anchorId="55422274" wp14:editId="6117376F">
            <wp:extent cx="4944140" cy="3678799"/>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VI by IBRA.jpg"/>
                    <pic:cNvPicPr/>
                  </pic:nvPicPr>
                  <pic:blipFill>
                    <a:blip r:embed="rId8">
                      <a:extLst>
                        <a:ext uri="{28A0092B-C50C-407E-A947-70E740481C1C}">
                          <a14:useLocalDpi xmlns:a14="http://schemas.microsoft.com/office/drawing/2010/main" val="0"/>
                        </a:ext>
                      </a:extLst>
                    </a:blip>
                    <a:stretch>
                      <a:fillRect/>
                    </a:stretch>
                  </pic:blipFill>
                  <pic:spPr>
                    <a:xfrm>
                      <a:off x="0" y="0"/>
                      <a:ext cx="4946653" cy="3680669"/>
                    </a:xfrm>
                    <a:prstGeom prst="rect">
                      <a:avLst/>
                    </a:prstGeom>
                  </pic:spPr>
                </pic:pic>
              </a:graphicData>
            </a:graphic>
          </wp:inline>
        </w:drawing>
      </w:r>
    </w:p>
    <w:p w14:paraId="62B4FC2A" w14:textId="0C89395A" w:rsidR="000B55CB" w:rsidRDefault="000B55CB" w:rsidP="000B55CB">
      <w:pPr>
        <w:pStyle w:val="Caption"/>
      </w:pPr>
      <w:bookmarkStart w:id="7" w:name="_Ref23850634"/>
      <w:r>
        <w:t xml:space="preserve">Figure </w:t>
      </w:r>
      <w:r w:rsidR="00092678">
        <w:rPr>
          <w:noProof/>
        </w:rPr>
        <w:fldChar w:fldCharType="begin"/>
      </w:r>
      <w:r w:rsidR="00092678">
        <w:rPr>
          <w:noProof/>
        </w:rPr>
        <w:instrText xml:space="preserve"> SEQ Figure \* ARABIC </w:instrText>
      </w:r>
      <w:r w:rsidR="00092678">
        <w:rPr>
          <w:noProof/>
        </w:rPr>
        <w:fldChar w:fldCharType="separate"/>
      </w:r>
      <w:r w:rsidR="005E6E9C">
        <w:rPr>
          <w:noProof/>
        </w:rPr>
        <w:t>1</w:t>
      </w:r>
      <w:r w:rsidR="00092678">
        <w:rPr>
          <w:noProof/>
        </w:rPr>
        <w:fldChar w:fldCharType="end"/>
      </w:r>
      <w:bookmarkEnd w:id="7"/>
      <w:r>
        <w:t xml:space="preserve">: </w:t>
      </w:r>
      <w:r w:rsidRPr="000B55CB">
        <w:t>Bioregional distribution of the remaining Tasmanian white gum wet forest</w:t>
      </w:r>
    </w:p>
    <w:p w14:paraId="779FB43F" w14:textId="0F9C8AEE" w:rsidR="000B55CB" w:rsidRPr="00C145FD" w:rsidRDefault="00990DB0" w:rsidP="000B55CB">
      <w:pPr>
        <w:pStyle w:val="Tablesource"/>
      </w:pPr>
      <w:r>
        <w:t>(S</w:t>
      </w:r>
      <w:r w:rsidR="000B55CB">
        <w:t xml:space="preserve">ource: Extent of TASVEG unit WVI in </w:t>
      </w:r>
      <w:r w:rsidR="000B55CB" w:rsidRPr="002C671C">
        <w:t>DPIPWE 2018a)</w:t>
      </w:r>
    </w:p>
    <w:p w14:paraId="023791EB" w14:textId="3A1DF0BD" w:rsidR="007E6420" w:rsidRDefault="007E6420" w:rsidP="007E6420">
      <w:r w:rsidRPr="007E6420">
        <w:t xml:space="preserve">Tasmanian </w:t>
      </w:r>
      <w:r>
        <w:t>w</w:t>
      </w:r>
      <w:r w:rsidR="00CA098F" w:rsidRPr="00CA098F">
        <w:t>hite gum wet forest</w:t>
      </w:r>
      <w:r w:rsidR="00CA098F">
        <w:t xml:space="preserve"> </w:t>
      </w:r>
      <w:r w:rsidR="00006C70">
        <w:t xml:space="preserve">typically </w:t>
      </w:r>
      <w:r w:rsidR="00CA098F" w:rsidRPr="00CA098F">
        <w:t>occurs on moderately fertile to fertile</w:t>
      </w:r>
      <w:r w:rsidR="00CF1A60">
        <w:t xml:space="preserve"> well-drained soils</w:t>
      </w:r>
      <w:r>
        <w:t>.</w:t>
      </w:r>
      <w:r w:rsidR="00CF1A60">
        <w:t xml:space="preserve"> </w:t>
      </w:r>
      <w:r w:rsidRPr="004F2512">
        <w:t>It is often</w:t>
      </w:r>
      <w:r>
        <w:t xml:space="preserve"> present on basalt or alluvium but is also recorded on dolerite, mudstone, sandstone, conglomerate and limestone, all producing fertile soils with appreciable clay content and mineral nutrients.</w:t>
      </w:r>
    </w:p>
    <w:p w14:paraId="4F839C88" w14:textId="7CD173FB" w:rsidR="007E6420" w:rsidRDefault="00A25F42" w:rsidP="004F2512">
      <w:r>
        <w:t xml:space="preserve">It occurs </w:t>
      </w:r>
      <w:r w:rsidR="00CA098F">
        <w:t xml:space="preserve">where fire is </w:t>
      </w:r>
      <w:r w:rsidR="00220FCD">
        <w:t xml:space="preserve">normally </w:t>
      </w:r>
      <w:r w:rsidR="00CF1A60">
        <w:t xml:space="preserve">infrequent </w:t>
      </w:r>
      <w:r w:rsidR="007E6420" w:rsidRPr="007E6420">
        <w:t>(fire intervals of 100 to 350 years)</w:t>
      </w:r>
      <w:r w:rsidR="007E6420">
        <w:t xml:space="preserve"> </w:t>
      </w:r>
      <w:r w:rsidR="00CF1A60">
        <w:t>and rainfall is high</w:t>
      </w:r>
      <w:r w:rsidR="008E2FEF">
        <w:t xml:space="preserve">. </w:t>
      </w:r>
      <w:r w:rsidR="00006C70" w:rsidRPr="004F2512">
        <w:t xml:space="preserve">It is usually found in </w:t>
      </w:r>
      <w:r w:rsidR="00CA098F" w:rsidRPr="004F2512">
        <w:t>areas where</w:t>
      </w:r>
      <w:r w:rsidR="00006C70" w:rsidRPr="004F2512">
        <w:t xml:space="preserve"> average annual </w:t>
      </w:r>
      <w:r w:rsidR="00CA098F" w:rsidRPr="004F2512">
        <w:t>rainfall exceeds 1000mm</w:t>
      </w:r>
      <w:r w:rsidR="004F2512" w:rsidRPr="004F2512">
        <w:t>, though may also occur in drier areas with reliable water supplies, such as river gullies.</w:t>
      </w:r>
      <w:r w:rsidR="007E6420" w:rsidRPr="007E6420">
        <w:t xml:space="preserve"> </w:t>
      </w:r>
      <w:r w:rsidR="007E6420">
        <w:t>Its local expression is strongly influenced by disturbance history and fire regime.</w:t>
      </w:r>
    </w:p>
    <w:p w14:paraId="5932ED1F" w14:textId="691E0509" w:rsidR="00343F34" w:rsidRDefault="00343F34" w:rsidP="00CA098F">
      <w:r>
        <w:rPr>
          <w:iCs/>
        </w:rPr>
        <w:t xml:space="preserve">The community is limited to the range of its dominant canopy species. </w:t>
      </w:r>
      <w:r w:rsidR="00982525" w:rsidRPr="00982525">
        <w:rPr>
          <w:iCs/>
        </w:rPr>
        <w:t>White gum (</w:t>
      </w:r>
      <w:r w:rsidR="0047089F">
        <w:rPr>
          <w:i/>
          <w:iCs/>
        </w:rPr>
        <w:t>E. </w:t>
      </w:r>
      <w:r w:rsidR="00982525" w:rsidRPr="00982525">
        <w:rPr>
          <w:i/>
          <w:iCs/>
        </w:rPr>
        <w:t xml:space="preserve">viminalis) </w:t>
      </w:r>
      <w:r w:rsidR="00982525" w:rsidRPr="00982525">
        <w:rPr>
          <w:iCs/>
        </w:rPr>
        <w:t>is widespread</w:t>
      </w:r>
      <w:r w:rsidR="006D46C6">
        <w:rPr>
          <w:iCs/>
        </w:rPr>
        <w:t xml:space="preserve"> throughout lowland coastal and inland environments of northern, eastern and southern Tasmania, but is largely absent from the </w:t>
      </w:r>
      <w:r w:rsidR="000F3580">
        <w:rPr>
          <w:iCs/>
        </w:rPr>
        <w:t>low nutrient</w:t>
      </w:r>
      <w:r w:rsidR="006D46C6">
        <w:rPr>
          <w:iCs/>
        </w:rPr>
        <w:t xml:space="preserve"> environments of the west and south-west (Williams and Potts, 1996). It t</w:t>
      </w:r>
      <w:r w:rsidR="00987C2A" w:rsidRPr="00987C2A">
        <w:rPr>
          <w:iCs/>
        </w:rPr>
        <w:t>ypically</w:t>
      </w:r>
      <w:r w:rsidR="00987C2A">
        <w:rPr>
          <w:i/>
          <w:iCs/>
        </w:rPr>
        <w:t xml:space="preserve"> </w:t>
      </w:r>
      <w:r>
        <w:t>occurs</w:t>
      </w:r>
      <w:r w:rsidR="00CA098F" w:rsidRPr="00343F34">
        <w:t xml:space="preserve"> at altitudes </w:t>
      </w:r>
      <w:r w:rsidRPr="00343F34">
        <w:t>up to</w:t>
      </w:r>
      <w:r>
        <w:t xml:space="preserve"> 600</w:t>
      </w:r>
      <w:r w:rsidR="00CA098F" w:rsidRPr="00343F34">
        <w:t>m</w:t>
      </w:r>
      <w:r w:rsidRPr="00343F34">
        <w:t xml:space="preserve"> ASL, but may extend up to 90</w:t>
      </w:r>
      <w:r>
        <w:t>0</w:t>
      </w:r>
      <w:r w:rsidR="00CA098F" w:rsidRPr="00343F34">
        <w:t xml:space="preserve">m </w:t>
      </w:r>
      <w:r w:rsidR="00987C2A">
        <w:t xml:space="preserve">ASL </w:t>
      </w:r>
      <w:r w:rsidR="00CA098F" w:rsidRPr="00343F34">
        <w:t>in the highlands of the north-east</w:t>
      </w:r>
      <w:r w:rsidR="00CF1A60" w:rsidRPr="00343F34">
        <w:t xml:space="preserve">, </w:t>
      </w:r>
      <w:r w:rsidR="00CA098F" w:rsidRPr="00343F34">
        <w:t>the Western Tiers and Cluan Tier, and occasionally on Fingal Tier and the adjacent Eastern Tiers.</w:t>
      </w:r>
      <w:r w:rsidR="00A977B6">
        <w:t xml:space="preserve"> </w:t>
      </w:r>
      <w:r w:rsidR="00F835A6" w:rsidRPr="00F835A6">
        <w:rPr>
          <w:iCs/>
        </w:rPr>
        <w:t xml:space="preserve">At intermediate altitudes </w:t>
      </w:r>
      <w:r w:rsidR="00F835A6" w:rsidRPr="00F835A6">
        <w:rPr>
          <w:i/>
          <w:iCs/>
        </w:rPr>
        <w:t>E. viminalis</w:t>
      </w:r>
      <w:r w:rsidR="00F835A6" w:rsidRPr="00F835A6">
        <w:rPr>
          <w:iCs/>
        </w:rPr>
        <w:t xml:space="preserve"> can form a morphological cline with the closely-related </w:t>
      </w:r>
      <w:r w:rsidR="00F835A6" w:rsidRPr="00F835A6">
        <w:rPr>
          <w:i/>
          <w:iCs/>
        </w:rPr>
        <w:t>E. dalrympleana</w:t>
      </w:r>
      <w:r w:rsidR="00F835A6" w:rsidRPr="00F835A6">
        <w:rPr>
          <w:iCs/>
        </w:rPr>
        <w:t xml:space="preserve"> (mountain white gum)</w:t>
      </w:r>
      <w:r w:rsidR="00F835A6">
        <w:rPr>
          <w:iCs/>
        </w:rPr>
        <w:t xml:space="preserve">. </w:t>
      </w:r>
      <w:r w:rsidR="00A977B6">
        <w:t>White gum typically transitions into mountain white gum (</w:t>
      </w:r>
      <w:r w:rsidR="00A977B6" w:rsidRPr="00A977B6">
        <w:rPr>
          <w:i/>
        </w:rPr>
        <w:t>E. dalrympleana</w:t>
      </w:r>
      <w:r w:rsidR="00A977B6">
        <w:t xml:space="preserve">) at around 300-600m ASL, and the </w:t>
      </w:r>
      <w:r w:rsidR="003963D5">
        <w:t xml:space="preserve">two </w:t>
      </w:r>
      <w:r w:rsidR="00A977B6">
        <w:t>species can be difficult to differentiate in this zone</w:t>
      </w:r>
      <w:r w:rsidR="00F835A6">
        <w:rPr>
          <w:rStyle w:val="FootnoteReference"/>
        </w:rPr>
        <w:footnoteReference w:id="2"/>
      </w:r>
      <w:r w:rsidR="008E2FEF">
        <w:t xml:space="preserve"> (Williams and Potts 1996; </w:t>
      </w:r>
      <w:r w:rsidR="00F835A6">
        <w:t>Duncan </w:t>
      </w:r>
      <w:r w:rsidR="008E2FEF" w:rsidRPr="001C7C4A">
        <w:t>1996</w:t>
      </w:r>
      <w:r w:rsidR="008E2FEF">
        <w:t>)</w:t>
      </w:r>
      <w:r w:rsidR="00A977B6">
        <w:t>.</w:t>
      </w:r>
    </w:p>
    <w:p w14:paraId="7BAE3B3E" w14:textId="64713335" w:rsidR="000B7325" w:rsidRDefault="00B45742" w:rsidP="00A93A14">
      <w:pPr>
        <w:pStyle w:val="Heading2"/>
      </w:pPr>
      <w:bookmarkStart w:id="8" w:name="_Toc24970993"/>
      <w:r>
        <w:lastRenderedPageBreak/>
        <w:t>Vegetation s</w:t>
      </w:r>
      <w:r w:rsidR="00047B22">
        <w:t>tructure</w:t>
      </w:r>
      <w:bookmarkEnd w:id="8"/>
    </w:p>
    <w:p w14:paraId="39FB8610" w14:textId="5C59669C" w:rsidR="000227F4" w:rsidRDefault="007E6420" w:rsidP="0027405E">
      <w:r w:rsidRPr="007E6420">
        <w:t xml:space="preserve">Tasmanian </w:t>
      </w:r>
      <w:r>
        <w:t>w</w:t>
      </w:r>
      <w:r w:rsidR="008A1F31" w:rsidRPr="008C5A7B">
        <w:t>hite gum wet forest is a wet eucalypt forest</w:t>
      </w:r>
      <w:r w:rsidR="007F18FA">
        <w:t xml:space="preserve">, </w:t>
      </w:r>
      <w:r w:rsidR="00A25F42">
        <w:t>with either a</w:t>
      </w:r>
      <w:r w:rsidR="008A1F31" w:rsidRPr="008C5A7B">
        <w:t xml:space="preserve"> wet sclerophyll </w:t>
      </w:r>
      <w:r w:rsidR="003A071B">
        <w:t>or</w:t>
      </w:r>
      <w:r w:rsidR="008A1F31" w:rsidRPr="008C5A7B">
        <w:t xml:space="preserve"> mixed forest</w:t>
      </w:r>
      <w:r w:rsidR="00A25F42">
        <w:t xml:space="preserve"> understorey</w:t>
      </w:r>
      <w:r w:rsidR="008E2FEF">
        <w:t>. It typically has</w:t>
      </w:r>
      <w:r w:rsidR="007F18FA">
        <w:t xml:space="preserve"> </w:t>
      </w:r>
      <w:r w:rsidR="00A25F42">
        <w:t>a</w:t>
      </w:r>
      <w:r w:rsidR="008E2FEF">
        <w:t xml:space="preserve"> </w:t>
      </w:r>
      <w:r w:rsidR="00B33EE9">
        <w:t xml:space="preserve">tall </w:t>
      </w:r>
      <w:r w:rsidR="008E2FEF">
        <w:t xml:space="preserve">open forest </w:t>
      </w:r>
      <w:r w:rsidR="00B33EE9">
        <w:t>structure</w:t>
      </w:r>
      <w:r w:rsidR="00B33EE9">
        <w:rPr>
          <w:rStyle w:val="FootnoteReference"/>
        </w:rPr>
        <w:footnoteReference w:id="3"/>
      </w:r>
      <w:r w:rsidR="00B33EE9">
        <w:t xml:space="preserve">, with a </w:t>
      </w:r>
      <w:r w:rsidR="008E2FEF">
        <w:t xml:space="preserve">canopy </w:t>
      </w:r>
      <w:r w:rsidR="008E2FEF" w:rsidRPr="008C5A7B">
        <w:t xml:space="preserve">dominated </w:t>
      </w:r>
      <w:r w:rsidR="008A1F31" w:rsidRPr="008C5A7B">
        <w:t>by tall eucalypts</w:t>
      </w:r>
      <w:r w:rsidR="007F18FA">
        <w:t xml:space="preserve"> over a secondary </w:t>
      </w:r>
      <w:r w:rsidR="008E2FEF">
        <w:t xml:space="preserve">tree </w:t>
      </w:r>
      <w:r w:rsidR="007F18FA">
        <w:t>layer and</w:t>
      </w:r>
      <w:r w:rsidR="008A1F31" w:rsidRPr="008C5A7B">
        <w:t xml:space="preserve"> </w:t>
      </w:r>
      <w:r w:rsidR="008E2FEF">
        <w:t xml:space="preserve">usually </w:t>
      </w:r>
      <w:r w:rsidR="008A1F31" w:rsidRPr="008C5A7B">
        <w:t>broad-leaf shrubs</w:t>
      </w:r>
      <w:r w:rsidR="008E2FEF">
        <w:t>, ferns and graminoids</w:t>
      </w:r>
      <w:r w:rsidR="008A1F31" w:rsidRPr="008C5A7B">
        <w:t xml:space="preserve">. </w:t>
      </w:r>
    </w:p>
    <w:p w14:paraId="2C15FDDA" w14:textId="7EC1E3F9" w:rsidR="003A071B" w:rsidRPr="003A071B" w:rsidRDefault="00220FCD" w:rsidP="008E2FEF">
      <w:r w:rsidRPr="003A071B">
        <w:t xml:space="preserve">Mixed forest understoreys are dominated by </w:t>
      </w:r>
      <w:r>
        <w:t xml:space="preserve">secondary tree layers of </w:t>
      </w:r>
      <w:r w:rsidRPr="003A071B">
        <w:t xml:space="preserve">rainforest </w:t>
      </w:r>
      <w:r>
        <w:t>species</w:t>
      </w:r>
      <w:r w:rsidRPr="003A071B">
        <w:t xml:space="preserve"> and are </w:t>
      </w:r>
      <w:r>
        <w:t>associated with</w:t>
      </w:r>
      <w:r w:rsidRPr="003A071B">
        <w:t xml:space="preserve"> long unburnt</w:t>
      </w:r>
      <w:r>
        <w:t xml:space="preserve"> and infrequently burnt areas (fire intervals of 100 to 350 years</w:t>
      </w:r>
      <w:r w:rsidRPr="003A071B">
        <w:t>).</w:t>
      </w:r>
      <w:r w:rsidRPr="008F3289">
        <w:t xml:space="preserve"> </w:t>
      </w:r>
      <w:r w:rsidR="00882D6E">
        <w:t>W</w:t>
      </w:r>
      <w:r w:rsidR="003A071B" w:rsidRPr="003A071B">
        <w:t xml:space="preserve">et sclerophyll forests have understoreys </w:t>
      </w:r>
      <w:r w:rsidR="008E2FEF">
        <w:t>typically dominated by</w:t>
      </w:r>
      <w:r w:rsidR="003A071B" w:rsidRPr="003A071B">
        <w:t xml:space="preserve"> broad-leaved tall shrubs</w:t>
      </w:r>
      <w:r w:rsidR="008E2FEF">
        <w:t>, with non-rainforest tree species also often present.</w:t>
      </w:r>
      <w:r w:rsidR="003A071B" w:rsidRPr="003A071B">
        <w:t xml:space="preserve"> </w:t>
      </w:r>
      <w:r w:rsidR="00E67F78">
        <w:t xml:space="preserve">They </w:t>
      </w:r>
      <w:r w:rsidR="00E67F78" w:rsidRPr="003A071B">
        <w:t xml:space="preserve">can </w:t>
      </w:r>
      <w:r w:rsidR="00E67F78">
        <w:t xml:space="preserve">also </w:t>
      </w:r>
      <w:r w:rsidR="00E67F78" w:rsidRPr="003A071B">
        <w:t>have</w:t>
      </w:r>
      <w:r w:rsidR="00E67F78">
        <w:t xml:space="preserve"> a ground layer </w:t>
      </w:r>
      <w:r w:rsidR="008E2FEF">
        <w:t>dominated by</w:t>
      </w:r>
      <w:r w:rsidR="00E67F78">
        <w:t xml:space="preserve"> ferns </w:t>
      </w:r>
      <w:r w:rsidR="008E2FEF">
        <w:t>(including tree ferns) and/or graminoids</w:t>
      </w:r>
      <w:r w:rsidR="00E67F78" w:rsidRPr="003A071B">
        <w:t>.</w:t>
      </w:r>
      <w:r w:rsidR="00E67F78">
        <w:t xml:space="preserve"> </w:t>
      </w:r>
      <w:r w:rsidR="008F3289">
        <w:t>Wet sclerophyll forest can succeed to mixed</w:t>
      </w:r>
      <w:r w:rsidR="008F3289" w:rsidRPr="008C5A7B">
        <w:t xml:space="preserve"> forest </w:t>
      </w:r>
      <w:r w:rsidR="008F3289">
        <w:t>and then</w:t>
      </w:r>
      <w:r w:rsidR="008F3289" w:rsidRPr="008C5A7B">
        <w:t xml:space="preserve"> to rainforest in the absence of fire.</w:t>
      </w:r>
    </w:p>
    <w:p w14:paraId="6D77697E" w14:textId="6AFCAC52" w:rsidR="000227F4" w:rsidRDefault="000227F4" w:rsidP="00191381">
      <w:r w:rsidRPr="000227F4">
        <w:rPr>
          <w:lang w:eastAsia="en-AU"/>
        </w:rPr>
        <w:t xml:space="preserve">The canopy generally consists of an even-aged stand of tall and well-formed trees that </w:t>
      </w:r>
      <w:r w:rsidRPr="000227F4">
        <w:t xml:space="preserve">can exceed 60m on fertile sites. </w:t>
      </w:r>
      <w:r w:rsidR="005166F6">
        <w:t>A</w:t>
      </w:r>
      <w:r w:rsidR="005166F6" w:rsidRPr="005166F6">
        <w:t xml:space="preserve"> stand at Evercreech </w:t>
      </w:r>
      <w:r w:rsidR="008F3289">
        <w:t>Regional</w:t>
      </w:r>
      <w:r w:rsidR="005166F6" w:rsidRPr="005166F6">
        <w:t xml:space="preserve"> Reserve contains some of Tasmania’s tallest trees, originally reaching over 90m, though </w:t>
      </w:r>
      <w:r w:rsidR="00DD77DB">
        <w:t xml:space="preserve">these trees are </w:t>
      </w:r>
      <w:r w:rsidR="005166F6" w:rsidRPr="005166F6">
        <w:t>now in a state of decline</w:t>
      </w:r>
      <w:r w:rsidR="005166F6">
        <w:t xml:space="preserve">. </w:t>
      </w:r>
      <w:r w:rsidR="00191381" w:rsidRPr="00191381">
        <w:t>The shrub understorey is often dense, preventing</w:t>
      </w:r>
      <w:r w:rsidR="00191381">
        <w:t xml:space="preserve"> </w:t>
      </w:r>
      <w:r w:rsidR="00191381" w:rsidRPr="00191381">
        <w:t>continuous regeneration of shade-intolerant species such as eucalypts.</w:t>
      </w:r>
      <w:r w:rsidR="00191381">
        <w:t xml:space="preserve"> Thus </w:t>
      </w:r>
      <w:r w:rsidR="00E67F78">
        <w:t>r</w:t>
      </w:r>
      <w:r w:rsidR="007F18FA" w:rsidRPr="00E67F78">
        <w:rPr>
          <w:lang w:eastAsia="en-AU"/>
        </w:rPr>
        <w:t>egeneration in wet eucalypt forest is reliant on disturbance</w:t>
      </w:r>
      <w:r w:rsidR="00E67F78">
        <w:rPr>
          <w:lang w:eastAsia="en-AU"/>
        </w:rPr>
        <w:t>, usually wildfire,</w:t>
      </w:r>
      <w:r w:rsidR="007F18FA" w:rsidRPr="00E67F78">
        <w:rPr>
          <w:lang w:eastAsia="en-AU"/>
        </w:rPr>
        <w:t xml:space="preserve"> to open the canopy, prepare a mineral soil</w:t>
      </w:r>
      <w:r w:rsidR="00E67F78">
        <w:rPr>
          <w:lang w:eastAsia="en-AU"/>
        </w:rPr>
        <w:t xml:space="preserve"> seed bed and initiate seedfall</w:t>
      </w:r>
      <w:r w:rsidR="00191381">
        <w:rPr>
          <w:lang w:eastAsia="en-AU"/>
        </w:rPr>
        <w:t>. S</w:t>
      </w:r>
      <w:r w:rsidR="00E67F78">
        <w:rPr>
          <w:lang w:eastAsia="en-AU"/>
        </w:rPr>
        <w:t>tands</w:t>
      </w:r>
      <w:r w:rsidR="007F18FA" w:rsidRPr="00E67F78">
        <w:rPr>
          <w:lang w:eastAsia="en-AU"/>
        </w:rPr>
        <w:t xml:space="preserve"> are </w:t>
      </w:r>
      <w:r w:rsidR="00191381">
        <w:rPr>
          <w:lang w:eastAsia="en-AU"/>
        </w:rPr>
        <w:t xml:space="preserve">therefore </w:t>
      </w:r>
      <w:r w:rsidR="00220FCD">
        <w:rPr>
          <w:lang w:eastAsia="en-AU"/>
        </w:rPr>
        <w:t xml:space="preserve">usually </w:t>
      </w:r>
      <w:r w:rsidR="007F18FA" w:rsidRPr="00E67F78">
        <w:rPr>
          <w:lang w:eastAsia="en-AU"/>
        </w:rPr>
        <w:t xml:space="preserve">even-aged </w:t>
      </w:r>
      <w:r w:rsidR="001C3D2C">
        <w:rPr>
          <w:lang w:eastAsia="en-AU"/>
        </w:rPr>
        <w:t>because</w:t>
      </w:r>
      <w:r w:rsidR="007F18FA" w:rsidRPr="00E67F78">
        <w:rPr>
          <w:lang w:eastAsia="en-AU"/>
        </w:rPr>
        <w:t xml:space="preserve"> a cohort of regeneration arises from the same disturbance event</w:t>
      </w:r>
      <w:r w:rsidR="00B0278F">
        <w:rPr>
          <w:lang w:eastAsia="en-AU"/>
        </w:rPr>
        <w:t>.</w:t>
      </w:r>
      <w:r w:rsidR="00EE2963" w:rsidRPr="00EE2963">
        <w:t xml:space="preserve"> </w:t>
      </w:r>
      <w:r w:rsidR="001C3D2C">
        <w:t>In old-growth stands, t</w:t>
      </w:r>
      <w:r w:rsidR="00EE2963" w:rsidRPr="00EE2963">
        <w:t xml:space="preserve">here </w:t>
      </w:r>
      <w:r w:rsidR="001C3D2C">
        <w:t>may be</w:t>
      </w:r>
      <w:r w:rsidR="00EE2963" w:rsidRPr="00EE2963">
        <w:t xml:space="preserve"> a cohort of </w:t>
      </w:r>
      <w:r w:rsidR="00702214">
        <w:t>old-growth</w:t>
      </w:r>
      <w:r w:rsidR="00EE2963" w:rsidRPr="00EE2963">
        <w:t xml:space="preserve"> trees </w:t>
      </w:r>
      <w:r w:rsidR="008F3289">
        <w:t>that</w:t>
      </w:r>
      <w:r w:rsidR="00EE2963" w:rsidRPr="00EE2963">
        <w:t xml:space="preserve"> provided seed for a </w:t>
      </w:r>
      <w:r w:rsidR="00EE2963">
        <w:t xml:space="preserve">second </w:t>
      </w:r>
      <w:r w:rsidR="00EE2963" w:rsidRPr="00EE2963">
        <w:t>cohort of even-aged trees from the most recent fire</w:t>
      </w:r>
      <w:r w:rsidR="008F3289">
        <w:t xml:space="preserve"> (or other disturbance event)</w:t>
      </w:r>
      <w:r w:rsidR="00EE2963" w:rsidRPr="00EE2963">
        <w:t>.</w:t>
      </w:r>
    </w:p>
    <w:p w14:paraId="2877CE35" w14:textId="2BFAE523" w:rsidR="005166F6" w:rsidRPr="005166F6" w:rsidRDefault="005166F6" w:rsidP="005166F6">
      <w:pPr>
        <w:rPr>
          <w:lang w:eastAsia="en-AU"/>
        </w:rPr>
      </w:pPr>
      <w:r w:rsidRPr="005166F6">
        <w:rPr>
          <w:lang w:eastAsia="en-AU"/>
        </w:rPr>
        <w:t xml:space="preserve">A large proportion of the remaining </w:t>
      </w:r>
      <w:r w:rsidR="007E6420" w:rsidRPr="007E6420">
        <w:rPr>
          <w:lang w:eastAsia="en-AU"/>
        </w:rPr>
        <w:t xml:space="preserve">Tasmanian </w:t>
      </w:r>
      <w:r w:rsidRPr="005166F6">
        <w:rPr>
          <w:lang w:eastAsia="en-AU"/>
        </w:rPr>
        <w:t xml:space="preserve">white gum wet forest is </w:t>
      </w:r>
      <w:r w:rsidR="0095393F">
        <w:rPr>
          <w:lang w:eastAsia="en-AU"/>
        </w:rPr>
        <w:t xml:space="preserve">mature </w:t>
      </w:r>
      <w:r w:rsidRPr="005166F6">
        <w:rPr>
          <w:lang w:eastAsia="en-AU"/>
        </w:rPr>
        <w:t xml:space="preserve">regrowth. Old-growth stands of </w:t>
      </w:r>
      <w:r w:rsidR="007E6420" w:rsidRPr="007E6420">
        <w:rPr>
          <w:lang w:eastAsia="en-AU"/>
        </w:rPr>
        <w:t xml:space="preserve">Tasmanian </w:t>
      </w:r>
      <w:r w:rsidRPr="005166F6">
        <w:rPr>
          <w:lang w:eastAsia="en-AU"/>
        </w:rPr>
        <w:t xml:space="preserve">white gum wet forest are uncommon - less than 140 ha were recorded in the Tasmanian </w:t>
      </w:r>
      <w:r w:rsidRPr="008F3289">
        <w:rPr>
          <w:i/>
          <w:lang w:eastAsia="en-AU"/>
        </w:rPr>
        <w:t>Regional Forestry Agreement</w:t>
      </w:r>
      <w:r w:rsidRPr="005166F6">
        <w:rPr>
          <w:lang w:eastAsia="en-AU"/>
        </w:rPr>
        <w:t xml:space="preserve">. </w:t>
      </w:r>
      <w:r w:rsidR="008F3289">
        <w:rPr>
          <w:lang w:eastAsia="en-AU"/>
        </w:rPr>
        <w:t>Many</w:t>
      </w:r>
      <w:r w:rsidRPr="005166F6">
        <w:rPr>
          <w:lang w:eastAsia="en-AU"/>
        </w:rPr>
        <w:t xml:space="preserve"> stands feature regrowth of </w:t>
      </w:r>
      <w:r w:rsidR="008F3289">
        <w:rPr>
          <w:lang w:eastAsia="en-AU"/>
        </w:rPr>
        <w:t>about</w:t>
      </w:r>
      <w:r w:rsidRPr="005166F6">
        <w:rPr>
          <w:lang w:eastAsia="en-AU"/>
        </w:rPr>
        <w:t xml:space="preserve"> 70 years </w:t>
      </w:r>
      <w:r w:rsidR="008F3289">
        <w:rPr>
          <w:lang w:eastAsia="en-AU"/>
        </w:rPr>
        <w:t xml:space="preserve">age </w:t>
      </w:r>
      <w:r w:rsidRPr="005166F6">
        <w:rPr>
          <w:lang w:eastAsia="en-AU"/>
        </w:rPr>
        <w:t>or 40m</w:t>
      </w:r>
      <w:r w:rsidR="008F3289">
        <w:rPr>
          <w:lang w:eastAsia="en-AU"/>
        </w:rPr>
        <w:t xml:space="preserve"> in height</w:t>
      </w:r>
      <w:r w:rsidRPr="005166F6">
        <w:rPr>
          <w:lang w:eastAsia="en-AU"/>
        </w:rPr>
        <w:t xml:space="preserve"> (Craven, 2002). Regrowth trees </w:t>
      </w:r>
      <w:r w:rsidR="00DD77DB">
        <w:rPr>
          <w:lang w:eastAsia="en-AU"/>
        </w:rPr>
        <w:t xml:space="preserve">generally </w:t>
      </w:r>
      <w:r w:rsidRPr="005166F6">
        <w:rPr>
          <w:lang w:eastAsia="en-AU"/>
        </w:rPr>
        <w:t xml:space="preserve">lack hollows that are found in older trees </w:t>
      </w:r>
      <w:r w:rsidR="008F3289" w:rsidRPr="005166F6">
        <w:rPr>
          <w:lang w:eastAsia="en-AU"/>
        </w:rPr>
        <w:t>and therefore reduce the ecological complexity and functionality of the ecological community</w:t>
      </w:r>
      <w:r w:rsidR="0095393F">
        <w:rPr>
          <w:lang w:eastAsia="en-AU"/>
        </w:rPr>
        <w:t xml:space="preserve"> for hollow-dependent species</w:t>
      </w:r>
      <w:r w:rsidR="008F3289" w:rsidRPr="005166F6">
        <w:rPr>
          <w:lang w:eastAsia="en-AU"/>
        </w:rPr>
        <w:t>.</w:t>
      </w:r>
    </w:p>
    <w:p w14:paraId="73A187DF" w14:textId="1E5B58E7" w:rsidR="00047B22" w:rsidRDefault="00047B22" w:rsidP="00047B22">
      <w:pPr>
        <w:pStyle w:val="Heading2"/>
      </w:pPr>
      <w:bookmarkStart w:id="9" w:name="_Toc24970994"/>
      <w:r>
        <w:t>Flora</w:t>
      </w:r>
      <w:bookmarkEnd w:id="9"/>
    </w:p>
    <w:p w14:paraId="11D90FB0" w14:textId="77777777" w:rsidR="000B7325" w:rsidRPr="000B0CE2" w:rsidRDefault="000B7325" w:rsidP="000B7325">
      <w:pPr>
        <w:pStyle w:val="Heading3"/>
      </w:pPr>
      <w:r>
        <w:t>Canopy species</w:t>
      </w:r>
    </w:p>
    <w:p w14:paraId="47D94281" w14:textId="08132ADC" w:rsidR="00F44533" w:rsidRDefault="000B7325" w:rsidP="000B7325">
      <w:pPr>
        <w:rPr>
          <w:i/>
          <w:iCs/>
        </w:rPr>
      </w:pPr>
      <w:r w:rsidRPr="000B0CE2">
        <w:rPr>
          <w:iCs/>
        </w:rPr>
        <w:t xml:space="preserve">The </w:t>
      </w:r>
      <w:r w:rsidR="00636E8F" w:rsidRPr="000B0CE2">
        <w:rPr>
          <w:iCs/>
        </w:rPr>
        <w:t xml:space="preserve">canopy of this </w:t>
      </w:r>
      <w:r w:rsidRPr="000B0CE2">
        <w:rPr>
          <w:iCs/>
        </w:rPr>
        <w:t xml:space="preserve">community is dominated by </w:t>
      </w:r>
      <w:r w:rsidR="00636E8F" w:rsidRPr="000B0CE2">
        <w:rPr>
          <w:iCs/>
        </w:rPr>
        <w:t>white gum (</w:t>
      </w:r>
      <w:r w:rsidR="008F3289">
        <w:rPr>
          <w:i/>
          <w:iCs/>
        </w:rPr>
        <w:t>Eucalyptus viminalis)</w:t>
      </w:r>
      <w:r w:rsidR="008F3289">
        <w:rPr>
          <w:rStyle w:val="FootnoteReference"/>
          <w:i/>
          <w:iCs/>
        </w:rPr>
        <w:footnoteReference w:id="4"/>
      </w:r>
      <w:r w:rsidR="008F3289">
        <w:rPr>
          <w:i/>
          <w:iCs/>
        </w:rPr>
        <w:t>.</w:t>
      </w:r>
    </w:p>
    <w:p w14:paraId="583CBF9D" w14:textId="77777777" w:rsidR="00220FCD" w:rsidRDefault="00181F87" w:rsidP="00181F87">
      <w:pPr>
        <w:rPr>
          <w:iCs/>
        </w:rPr>
      </w:pPr>
      <w:r w:rsidRPr="000B0CE2">
        <w:rPr>
          <w:iCs/>
        </w:rPr>
        <w:t xml:space="preserve">Other canopy species </w:t>
      </w:r>
      <w:r>
        <w:rPr>
          <w:iCs/>
        </w:rPr>
        <w:t xml:space="preserve">often present </w:t>
      </w:r>
      <w:r w:rsidRPr="000B0CE2">
        <w:rPr>
          <w:iCs/>
        </w:rPr>
        <w:t>include stringybark (</w:t>
      </w:r>
      <w:r w:rsidRPr="000B0CE2">
        <w:rPr>
          <w:i/>
          <w:iCs/>
        </w:rPr>
        <w:t>E.</w:t>
      </w:r>
      <w:r>
        <w:rPr>
          <w:i/>
          <w:iCs/>
        </w:rPr>
        <w:t xml:space="preserve"> </w:t>
      </w:r>
      <w:r w:rsidRPr="000B0CE2">
        <w:rPr>
          <w:i/>
          <w:iCs/>
        </w:rPr>
        <w:t>obliqua)</w:t>
      </w:r>
      <w:r>
        <w:rPr>
          <w:iCs/>
        </w:rPr>
        <w:t xml:space="preserve"> and</w:t>
      </w:r>
      <w:r w:rsidRPr="000B0CE2">
        <w:rPr>
          <w:i/>
          <w:iCs/>
        </w:rPr>
        <w:t xml:space="preserve"> </w:t>
      </w:r>
      <w:r>
        <w:rPr>
          <w:iCs/>
        </w:rPr>
        <w:t>gum-topped stringybark</w:t>
      </w:r>
      <w:r w:rsidRPr="000B0CE2">
        <w:rPr>
          <w:i/>
          <w:iCs/>
        </w:rPr>
        <w:t xml:space="preserve"> (E.</w:t>
      </w:r>
      <w:r>
        <w:rPr>
          <w:i/>
          <w:iCs/>
        </w:rPr>
        <w:t xml:space="preserve"> </w:t>
      </w:r>
      <w:r w:rsidRPr="000B0CE2">
        <w:rPr>
          <w:i/>
          <w:iCs/>
        </w:rPr>
        <w:t>delegatensis)</w:t>
      </w:r>
      <w:r>
        <w:rPr>
          <w:i/>
          <w:iCs/>
        </w:rPr>
        <w:t xml:space="preserve">, </w:t>
      </w:r>
      <w:r w:rsidRPr="00DA270D">
        <w:rPr>
          <w:iCs/>
        </w:rPr>
        <w:t>with giant ash (</w:t>
      </w:r>
      <w:r w:rsidRPr="00DA270D">
        <w:rPr>
          <w:i/>
          <w:iCs/>
        </w:rPr>
        <w:t xml:space="preserve">E. regnans) </w:t>
      </w:r>
      <w:r w:rsidRPr="00DA270D">
        <w:rPr>
          <w:iCs/>
        </w:rPr>
        <w:t>in the north-east</w:t>
      </w:r>
      <w:r w:rsidRPr="00DA270D">
        <w:rPr>
          <w:i/>
          <w:iCs/>
        </w:rPr>
        <w:t>.</w:t>
      </w:r>
      <w:r>
        <w:rPr>
          <w:iCs/>
        </w:rPr>
        <w:t xml:space="preserve"> In poorly drained sites black gum (</w:t>
      </w:r>
      <w:r w:rsidRPr="00AC5094">
        <w:rPr>
          <w:i/>
          <w:iCs/>
        </w:rPr>
        <w:t>E. ovata</w:t>
      </w:r>
      <w:r>
        <w:rPr>
          <w:iCs/>
        </w:rPr>
        <w:t xml:space="preserve">) may be present. </w:t>
      </w:r>
    </w:p>
    <w:p w14:paraId="795838E4" w14:textId="63E7B2E1" w:rsidR="001B1EC9" w:rsidRPr="00F96D06" w:rsidRDefault="00833825" w:rsidP="00F96D06">
      <w:r w:rsidRPr="00F96D06">
        <w:rPr>
          <w:iCs/>
        </w:rPr>
        <w:t>A more comprehensive list of canopy species likely to occur in the ecological community, ar</w:t>
      </w:r>
      <w:r w:rsidR="00A84AEA">
        <w:rPr>
          <w:iCs/>
        </w:rPr>
        <w:t xml:space="preserve">e </w:t>
      </w:r>
      <w:r w:rsidRPr="00F96D06">
        <w:rPr>
          <w:iCs/>
        </w:rPr>
        <w:t>in</w:t>
      </w:r>
      <w:r w:rsidR="00F96D06">
        <w:rPr>
          <w:iCs/>
        </w:rPr>
        <w:t xml:space="preserve"> </w:t>
      </w:r>
      <w:r w:rsidR="00F96D06" w:rsidRPr="00990DB0">
        <w:rPr>
          <w:iCs/>
          <w:u w:val="single"/>
        </w:rPr>
        <w:fldChar w:fldCharType="begin"/>
      </w:r>
      <w:r w:rsidR="00F96D06" w:rsidRPr="00990DB0">
        <w:rPr>
          <w:iCs/>
          <w:u w:val="single"/>
        </w:rPr>
        <w:instrText xml:space="preserve"> REF _Ref17975023 \h </w:instrText>
      </w:r>
      <w:r w:rsidR="00F96D06" w:rsidRPr="00990DB0">
        <w:rPr>
          <w:iCs/>
          <w:u w:val="single"/>
        </w:rPr>
      </w:r>
      <w:r w:rsidR="00F96D06" w:rsidRPr="00990DB0">
        <w:rPr>
          <w:iCs/>
          <w:u w:val="single"/>
        </w:rPr>
        <w:fldChar w:fldCharType="separate"/>
      </w:r>
      <w:r w:rsidR="005E6E9C" w:rsidRPr="00F96D06">
        <w:t>Appendix A - Species lists</w:t>
      </w:r>
      <w:r w:rsidR="00F96D06" w:rsidRPr="00990DB0">
        <w:rPr>
          <w:iCs/>
          <w:u w:val="single"/>
        </w:rPr>
        <w:fldChar w:fldCharType="end"/>
      </w:r>
      <w:r w:rsidRPr="00F96D06">
        <w:rPr>
          <w:iCs/>
        </w:rPr>
        <w:t>.</w:t>
      </w:r>
      <w:r w:rsidR="001B1EC9" w:rsidRPr="00F96D06">
        <w:t xml:space="preserve"> </w:t>
      </w:r>
    </w:p>
    <w:p w14:paraId="119CAD01" w14:textId="77777777" w:rsidR="000B7325" w:rsidRDefault="000B7325" w:rsidP="000B7325">
      <w:pPr>
        <w:pStyle w:val="Heading3"/>
      </w:pPr>
      <w:r>
        <w:lastRenderedPageBreak/>
        <w:t>Understorey species</w:t>
      </w:r>
    </w:p>
    <w:p w14:paraId="3389797F" w14:textId="77777777" w:rsidR="00220FCD" w:rsidRDefault="00220FCD" w:rsidP="00337113">
      <w:pPr>
        <w:keepLines/>
        <w:rPr>
          <w:iCs/>
        </w:rPr>
      </w:pPr>
      <w:r>
        <w:rPr>
          <w:iCs/>
        </w:rPr>
        <w:t>B</w:t>
      </w:r>
      <w:r w:rsidRPr="000B0CE2">
        <w:rPr>
          <w:iCs/>
        </w:rPr>
        <w:t>lackwood</w:t>
      </w:r>
      <w:r w:rsidRPr="000B0CE2">
        <w:rPr>
          <w:i/>
          <w:iCs/>
        </w:rPr>
        <w:t xml:space="preserve"> (Acacia </w:t>
      </w:r>
      <w:r w:rsidRPr="00DA270D">
        <w:rPr>
          <w:i/>
          <w:iCs/>
        </w:rPr>
        <w:t>melanoxylon)</w:t>
      </w:r>
      <w:r w:rsidRPr="00DA270D">
        <w:t xml:space="preserve"> and silver wattle (</w:t>
      </w:r>
      <w:r w:rsidRPr="00DA270D">
        <w:rPr>
          <w:i/>
          <w:iCs/>
        </w:rPr>
        <w:t>A.</w:t>
      </w:r>
      <w:r>
        <w:rPr>
          <w:i/>
          <w:iCs/>
        </w:rPr>
        <w:t xml:space="preserve"> </w:t>
      </w:r>
      <w:r w:rsidRPr="00DA270D">
        <w:rPr>
          <w:i/>
          <w:iCs/>
        </w:rPr>
        <w:t>dealbata)</w:t>
      </w:r>
      <w:r>
        <w:rPr>
          <w:i/>
          <w:iCs/>
        </w:rPr>
        <w:t xml:space="preserve"> </w:t>
      </w:r>
      <w:r w:rsidRPr="00893F6E">
        <w:rPr>
          <w:iCs/>
        </w:rPr>
        <w:t xml:space="preserve">are widespread secondary tree species in </w:t>
      </w:r>
      <w:r w:rsidRPr="00181F87">
        <w:rPr>
          <w:iCs/>
        </w:rPr>
        <w:t>wet sclerophyll forest</w:t>
      </w:r>
      <w:r>
        <w:rPr>
          <w:i/>
          <w:iCs/>
        </w:rPr>
        <w:t xml:space="preserve">, </w:t>
      </w:r>
      <w:r w:rsidRPr="00893F6E">
        <w:rPr>
          <w:iCs/>
        </w:rPr>
        <w:t>and</w:t>
      </w:r>
      <w:r>
        <w:rPr>
          <w:i/>
          <w:iCs/>
        </w:rPr>
        <w:t xml:space="preserve"> </w:t>
      </w:r>
      <w:r w:rsidRPr="00893F6E">
        <w:rPr>
          <w:iCs/>
        </w:rPr>
        <w:t xml:space="preserve">are </w:t>
      </w:r>
      <w:r>
        <w:rPr>
          <w:iCs/>
        </w:rPr>
        <w:t>successively replaced by rainforest trees, predominantly myrtle beech (</w:t>
      </w:r>
      <w:r w:rsidRPr="00893F6E">
        <w:rPr>
          <w:i/>
          <w:iCs/>
        </w:rPr>
        <w:t>Nothofagus cunninghamii</w:t>
      </w:r>
      <w:r>
        <w:rPr>
          <w:iCs/>
        </w:rPr>
        <w:t>) and sassafras (</w:t>
      </w:r>
      <w:r>
        <w:rPr>
          <w:i/>
          <w:iCs/>
        </w:rPr>
        <w:t>Atherosperma moschatum</w:t>
      </w:r>
      <w:r>
        <w:rPr>
          <w:iCs/>
        </w:rPr>
        <w:t>), in mixed forest.</w:t>
      </w:r>
    </w:p>
    <w:p w14:paraId="6876D07B" w14:textId="7748C35E" w:rsidR="00B0278F" w:rsidRDefault="000B7325" w:rsidP="00220FCD">
      <w:pPr>
        <w:rPr>
          <w:iCs/>
        </w:rPr>
      </w:pPr>
      <w:r w:rsidRPr="005C39C3">
        <w:rPr>
          <w:iCs/>
        </w:rPr>
        <w:t xml:space="preserve">Most sites have a typical wet sclerophyll understorey containing </w:t>
      </w:r>
      <w:r w:rsidR="00B0653B">
        <w:rPr>
          <w:iCs/>
        </w:rPr>
        <w:t xml:space="preserve">tall </w:t>
      </w:r>
      <w:r w:rsidRPr="005C39C3">
        <w:rPr>
          <w:iCs/>
        </w:rPr>
        <w:t xml:space="preserve">shrubs </w:t>
      </w:r>
      <w:r w:rsidR="00B0653B">
        <w:rPr>
          <w:iCs/>
        </w:rPr>
        <w:t xml:space="preserve">and small trees </w:t>
      </w:r>
      <w:r w:rsidRPr="005C39C3">
        <w:rPr>
          <w:iCs/>
        </w:rPr>
        <w:t xml:space="preserve">such as </w:t>
      </w:r>
      <w:r w:rsidR="005C39C3" w:rsidRPr="00B0653B">
        <w:rPr>
          <w:iCs/>
        </w:rPr>
        <w:t>common dogwood (</w:t>
      </w:r>
      <w:r w:rsidRPr="00B0653B">
        <w:rPr>
          <w:i/>
          <w:iCs/>
        </w:rPr>
        <w:t>Pomaderris apetala</w:t>
      </w:r>
      <w:r w:rsidR="005C39C3" w:rsidRPr="00B0653B">
        <w:rPr>
          <w:i/>
          <w:iCs/>
        </w:rPr>
        <w:t>)</w:t>
      </w:r>
      <w:r w:rsidRPr="00B0653B">
        <w:rPr>
          <w:iCs/>
        </w:rPr>
        <w:t>,</w:t>
      </w:r>
      <w:r w:rsidR="005C39C3" w:rsidRPr="00B0653B">
        <w:rPr>
          <w:iCs/>
        </w:rPr>
        <w:t xml:space="preserve"> musk daisybush (</w:t>
      </w:r>
      <w:r w:rsidRPr="00B0653B">
        <w:rPr>
          <w:i/>
          <w:iCs/>
        </w:rPr>
        <w:t>Olearia argophylla</w:t>
      </w:r>
      <w:r w:rsidR="005C39C3" w:rsidRPr="00B0653B">
        <w:rPr>
          <w:i/>
          <w:iCs/>
        </w:rPr>
        <w:t>)</w:t>
      </w:r>
      <w:r w:rsidR="00B0653B" w:rsidRPr="00B0653B">
        <w:rPr>
          <w:i/>
          <w:iCs/>
        </w:rPr>
        <w:t>,</w:t>
      </w:r>
      <w:r w:rsidRPr="00B0653B">
        <w:rPr>
          <w:i/>
          <w:iCs/>
        </w:rPr>
        <w:t xml:space="preserve"> </w:t>
      </w:r>
      <w:r w:rsidR="00B0653B" w:rsidRPr="00B0653B">
        <w:t>blanket leaf (</w:t>
      </w:r>
      <w:r w:rsidR="00B0653B" w:rsidRPr="00B0653B">
        <w:rPr>
          <w:i/>
        </w:rPr>
        <w:t>Bedfordia salicina</w:t>
      </w:r>
      <w:r w:rsidR="00B0653B" w:rsidRPr="00B0653B">
        <w:t xml:space="preserve">) </w:t>
      </w:r>
      <w:r w:rsidRPr="00B0653B">
        <w:rPr>
          <w:iCs/>
        </w:rPr>
        <w:t>and</w:t>
      </w:r>
      <w:r w:rsidR="005C39C3" w:rsidRPr="00B0653B">
        <w:rPr>
          <w:iCs/>
        </w:rPr>
        <w:t xml:space="preserve"> </w:t>
      </w:r>
      <w:r w:rsidR="00386933" w:rsidRPr="00B0653B">
        <w:rPr>
          <w:iCs/>
        </w:rPr>
        <w:t xml:space="preserve">native </w:t>
      </w:r>
      <w:r w:rsidR="00386933">
        <w:rPr>
          <w:iCs/>
        </w:rPr>
        <w:t>currant</w:t>
      </w:r>
      <w:r w:rsidRPr="005C39C3">
        <w:rPr>
          <w:iCs/>
        </w:rPr>
        <w:t xml:space="preserve"> </w:t>
      </w:r>
      <w:r w:rsidR="005C39C3">
        <w:rPr>
          <w:iCs/>
        </w:rPr>
        <w:t>(</w:t>
      </w:r>
      <w:r w:rsidRPr="005C39C3">
        <w:rPr>
          <w:i/>
          <w:iCs/>
        </w:rPr>
        <w:t xml:space="preserve">Coprosma </w:t>
      </w:r>
      <w:r w:rsidRPr="00AC5094">
        <w:rPr>
          <w:i/>
          <w:iCs/>
        </w:rPr>
        <w:t>quadrifida</w:t>
      </w:r>
      <w:r w:rsidR="005C39C3" w:rsidRPr="00AC5094">
        <w:rPr>
          <w:i/>
          <w:iCs/>
        </w:rPr>
        <w:t>)</w:t>
      </w:r>
      <w:r w:rsidRPr="00AC5094">
        <w:rPr>
          <w:iCs/>
        </w:rPr>
        <w:t xml:space="preserve">. </w:t>
      </w:r>
      <w:r w:rsidR="00181F87" w:rsidRPr="00181F87">
        <w:rPr>
          <w:iCs/>
        </w:rPr>
        <w:t>Ferns are common, particularly soft treefern (</w:t>
      </w:r>
      <w:r w:rsidR="00181F87" w:rsidRPr="00181F87">
        <w:rPr>
          <w:i/>
          <w:iCs/>
        </w:rPr>
        <w:t>Dicksonia antarctica)</w:t>
      </w:r>
      <w:r w:rsidR="00181F87" w:rsidRPr="00181F87">
        <w:rPr>
          <w:iCs/>
        </w:rPr>
        <w:t xml:space="preserve"> but also usually ground ferns (e.g. </w:t>
      </w:r>
      <w:r w:rsidR="00181F87" w:rsidRPr="00181F87">
        <w:rPr>
          <w:i/>
          <w:iCs/>
        </w:rPr>
        <w:t>Hypolepis rugosula</w:t>
      </w:r>
      <w:r w:rsidR="00181F87" w:rsidRPr="00181F87">
        <w:rPr>
          <w:iCs/>
        </w:rPr>
        <w:t xml:space="preserve">, </w:t>
      </w:r>
      <w:r w:rsidR="00181F87" w:rsidRPr="00181F87">
        <w:rPr>
          <w:i/>
          <w:iCs/>
        </w:rPr>
        <w:t>Histiopteris incisa</w:t>
      </w:r>
      <w:r w:rsidR="00181F87" w:rsidRPr="00181F87">
        <w:rPr>
          <w:iCs/>
        </w:rPr>
        <w:t xml:space="preserve">, </w:t>
      </w:r>
      <w:r w:rsidR="00181F87" w:rsidRPr="00181F87">
        <w:rPr>
          <w:i/>
          <w:iCs/>
        </w:rPr>
        <w:t>Blechnum</w:t>
      </w:r>
      <w:r w:rsidR="00181F87" w:rsidRPr="00181F87">
        <w:rPr>
          <w:iCs/>
        </w:rPr>
        <w:t xml:space="preserve"> spp. and </w:t>
      </w:r>
      <w:r w:rsidR="00181F87" w:rsidRPr="00181F87">
        <w:rPr>
          <w:i/>
          <w:iCs/>
        </w:rPr>
        <w:t>Polystichum proliferum</w:t>
      </w:r>
      <w:r w:rsidR="00181F87" w:rsidRPr="00181F87">
        <w:rPr>
          <w:iCs/>
        </w:rPr>
        <w:t>)</w:t>
      </w:r>
      <w:r w:rsidR="00181F87">
        <w:rPr>
          <w:iCs/>
        </w:rPr>
        <w:t xml:space="preserve">. </w:t>
      </w:r>
      <w:r w:rsidR="00181F87" w:rsidRPr="00181F87">
        <w:rPr>
          <w:iCs/>
        </w:rPr>
        <w:t>Graminoids such as cutting grass (</w:t>
      </w:r>
      <w:r w:rsidR="00181F87" w:rsidRPr="00181F87">
        <w:rPr>
          <w:i/>
          <w:iCs/>
        </w:rPr>
        <w:t>Gahnia grandis</w:t>
      </w:r>
      <w:r w:rsidR="00181F87" w:rsidRPr="00181F87">
        <w:rPr>
          <w:iCs/>
        </w:rPr>
        <w:t>) and swordsedges (</w:t>
      </w:r>
      <w:r w:rsidR="00181F87" w:rsidRPr="00181F87">
        <w:rPr>
          <w:i/>
          <w:iCs/>
        </w:rPr>
        <w:t>Lepidosperma</w:t>
      </w:r>
      <w:r w:rsidR="00181F87" w:rsidRPr="00181F87">
        <w:rPr>
          <w:iCs/>
        </w:rPr>
        <w:t xml:space="preserve"> spp.) are sometimes prominent. In poorly drained sites, paperbarks (</w:t>
      </w:r>
      <w:r w:rsidR="00181F87" w:rsidRPr="00181F87">
        <w:rPr>
          <w:i/>
          <w:iCs/>
        </w:rPr>
        <w:t xml:space="preserve">Melaleuca </w:t>
      </w:r>
      <w:r w:rsidR="00181F87" w:rsidRPr="00181F87">
        <w:rPr>
          <w:iCs/>
        </w:rPr>
        <w:t>spp</w:t>
      </w:r>
      <w:r w:rsidR="00181F87" w:rsidRPr="00181F87">
        <w:rPr>
          <w:i/>
          <w:iCs/>
        </w:rPr>
        <w:t xml:space="preserve">. </w:t>
      </w:r>
      <w:r w:rsidR="00181F87" w:rsidRPr="00181F87">
        <w:rPr>
          <w:iCs/>
        </w:rPr>
        <w:t xml:space="preserve">particularly </w:t>
      </w:r>
      <w:r w:rsidR="00181F87" w:rsidRPr="00181F87">
        <w:rPr>
          <w:i/>
          <w:iCs/>
        </w:rPr>
        <w:t>M. squarrosa</w:t>
      </w:r>
      <w:r w:rsidR="00181F87" w:rsidRPr="00181F87">
        <w:rPr>
          <w:iCs/>
        </w:rPr>
        <w:t>) or teatrees (</w:t>
      </w:r>
      <w:r w:rsidR="00181F87" w:rsidRPr="00181F87">
        <w:rPr>
          <w:i/>
          <w:iCs/>
        </w:rPr>
        <w:t xml:space="preserve">Leptospermum </w:t>
      </w:r>
      <w:r w:rsidR="00181F87" w:rsidRPr="00181F87">
        <w:rPr>
          <w:iCs/>
        </w:rPr>
        <w:t>spp</w:t>
      </w:r>
      <w:r w:rsidR="00181F87" w:rsidRPr="00181F87">
        <w:rPr>
          <w:i/>
          <w:iCs/>
        </w:rPr>
        <w:t xml:space="preserve">. </w:t>
      </w:r>
      <w:r w:rsidR="00181F87" w:rsidRPr="00181F87">
        <w:rPr>
          <w:iCs/>
        </w:rPr>
        <w:t>particularly</w:t>
      </w:r>
      <w:r w:rsidR="00181F87" w:rsidRPr="00181F87">
        <w:rPr>
          <w:i/>
          <w:iCs/>
        </w:rPr>
        <w:t xml:space="preserve"> L. lanigerum</w:t>
      </w:r>
      <w:r w:rsidR="00181F87" w:rsidRPr="00181F87">
        <w:rPr>
          <w:iCs/>
        </w:rPr>
        <w:t>) may be common. The community tends to be species-poor with respect to herbs and grasses</w:t>
      </w:r>
      <w:r w:rsidR="00DD77DB">
        <w:rPr>
          <w:iCs/>
        </w:rPr>
        <w:t>, mostly due to a thick layer of plant litter.</w:t>
      </w:r>
    </w:p>
    <w:p w14:paraId="0624DFA1" w14:textId="5E35BF1B" w:rsidR="00181F87" w:rsidRDefault="00181F87" w:rsidP="00181F87">
      <w:r w:rsidRPr="00B0653B">
        <w:t xml:space="preserve">Alternatively, </w:t>
      </w:r>
      <w:r w:rsidR="00A25F42">
        <w:t xml:space="preserve">in mixed forest forms of the ecological community </w:t>
      </w:r>
      <w:r>
        <w:t>the</w:t>
      </w:r>
      <w:r w:rsidRPr="00B0653B">
        <w:t xml:space="preserve"> understorey </w:t>
      </w:r>
      <w:r>
        <w:t xml:space="preserve">can be </w:t>
      </w:r>
      <w:r w:rsidRPr="00B0653B">
        <w:t xml:space="preserve">dominated by </w:t>
      </w:r>
      <w:r>
        <w:t>shrubs and saplings of</w:t>
      </w:r>
      <w:r w:rsidRPr="00B0653B">
        <w:t xml:space="preserve"> rainforest tree</w:t>
      </w:r>
      <w:r>
        <w:t xml:space="preserve"> species</w:t>
      </w:r>
      <w:r w:rsidRPr="00B0653B">
        <w:t xml:space="preserve">, </w:t>
      </w:r>
      <w:r>
        <w:t>notably</w:t>
      </w:r>
      <w:r w:rsidRPr="00B0653B">
        <w:t xml:space="preserve"> myrtle beech (</w:t>
      </w:r>
      <w:r w:rsidRPr="00B0653B">
        <w:rPr>
          <w:i/>
        </w:rPr>
        <w:t>Nothofagus cunninghamii</w:t>
      </w:r>
      <w:r>
        <w:t xml:space="preserve">) or </w:t>
      </w:r>
      <w:r w:rsidRPr="00B0653B">
        <w:t>sassafras (</w:t>
      </w:r>
      <w:r w:rsidRPr="00B0653B">
        <w:rPr>
          <w:i/>
        </w:rPr>
        <w:t>Atherosperma moschatum</w:t>
      </w:r>
      <w:r w:rsidRPr="00B0653B">
        <w:t xml:space="preserve">), </w:t>
      </w:r>
      <w:r>
        <w:t xml:space="preserve">or occasionally </w:t>
      </w:r>
      <w:r w:rsidRPr="00B0653B">
        <w:t>leatherwood (</w:t>
      </w:r>
      <w:r w:rsidRPr="00B0653B">
        <w:rPr>
          <w:i/>
        </w:rPr>
        <w:t>Eucryphia lucida</w:t>
      </w:r>
      <w:r w:rsidRPr="00B0653B">
        <w:t>)</w:t>
      </w:r>
      <w:r>
        <w:t xml:space="preserve"> or</w:t>
      </w:r>
      <w:r w:rsidRPr="00B0653B">
        <w:t xml:space="preserve"> celerytop pine (</w:t>
      </w:r>
      <w:r w:rsidRPr="00B0653B">
        <w:rPr>
          <w:i/>
        </w:rPr>
        <w:t>Phyllocladus aspleniifolius</w:t>
      </w:r>
      <w:r w:rsidRPr="00B0653B">
        <w:t xml:space="preserve">). </w:t>
      </w:r>
    </w:p>
    <w:p w14:paraId="11B93E63" w14:textId="1C62789D" w:rsidR="005166F6" w:rsidRPr="005166F6" w:rsidRDefault="005166F6" w:rsidP="005166F6">
      <w:r w:rsidRPr="005166F6">
        <w:t xml:space="preserve">In many cases where </w:t>
      </w:r>
      <w:r w:rsidR="007E6420" w:rsidRPr="007E6420">
        <w:t xml:space="preserve">Tasmanian </w:t>
      </w:r>
      <w:r w:rsidRPr="005166F6">
        <w:rPr>
          <w:iCs/>
        </w:rPr>
        <w:t xml:space="preserve">white gum wet forest </w:t>
      </w:r>
      <w:r w:rsidRPr="005166F6">
        <w:t xml:space="preserve">occurs as remnants in agricultural regions, it is heavily </w:t>
      </w:r>
      <w:r w:rsidR="00181F87">
        <w:t>disturbed (burnt, grazed or cut-over)</w:t>
      </w:r>
      <w:r w:rsidRPr="005166F6">
        <w:t xml:space="preserve"> and a</w:t>
      </w:r>
      <w:r w:rsidR="00A25F42">
        <w:t>n</w:t>
      </w:r>
      <w:r w:rsidRPr="005166F6">
        <w:t xml:space="preserve"> understorey of bracken </w:t>
      </w:r>
      <w:r w:rsidRPr="005166F6">
        <w:rPr>
          <w:iCs/>
        </w:rPr>
        <w:t>(</w:t>
      </w:r>
      <w:r w:rsidRPr="005166F6">
        <w:rPr>
          <w:i/>
          <w:iCs/>
        </w:rPr>
        <w:t xml:space="preserve">Pteridium esculentum) </w:t>
      </w:r>
      <w:r w:rsidRPr="005166F6">
        <w:t>dominates (Kitchener and Harris 2013)</w:t>
      </w:r>
      <w:r w:rsidR="00181F87" w:rsidRPr="00181F87">
        <w:t xml:space="preserve"> with sporadic occurrences of other species typical of the wet sclerophyll f</w:t>
      </w:r>
      <w:r w:rsidR="00A7263C">
        <w:t>a</w:t>
      </w:r>
      <w:r w:rsidR="00181F87" w:rsidRPr="00181F87">
        <w:t>cies of the community.</w:t>
      </w:r>
      <w:r w:rsidRPr="005166F6">
        <w:t xml:space="preserve"> </w:t>
      </w:r>
    </w:p>
    <w:p w14:paraId="272B2346" w14:textId="6623BADB" w:rsidR="00F96D06" w:rsidRPr="00F96D06" w:rsidRDefault="00AC5094" w:rsidP="00F96D06">
      <w:r w:rsidRPr="00F96D06">
        <w:t xml:space="preserve">Most of these species are common to a range of wet forest types in Tasmania. </w:t>
      </w:r>
      <w:r w:rsidR="00833825" w:rsidRPr="00F96D06">
        <w:t>A more comprehensive list of understorey species likely to occur in the ecological community are in</w:t>
      </w:r>
      <w:r w:rsidR="00F96D06" w:rsidRPr="00F96D06">
        <w:t xml:space="preserve"> </w:t>
      </w:r>
      <w:r w:rsidR="00F96D06" w:rsidRPr="00990DB0">
        <w:rPr>
          <w:u w:val="single"/>
        </w:rPr>
        <w:fldChar w:fldCharType="begin"/>
      </w:r>
      <w:r w:rsidR="00F96D06" w:rsidRPr="00990DB0">
        <w:rPr>
          <w:u w:val="single"/>
        </w:rPr>
        <w:instrText xml:space="preserve"> REF _Ref17974956 \h </w:instrText>
      </w:r>
      <w:r w:rsidR="00F96D06" w:rsidRPr="00990DB0">
        <w:rPr>
          <w:u w:val="single"/>
        </w:rPr>
      </w:r>
      <w:r w:rsidR="00F96D06" w:rsidRPr="00990DB0">
        <w:rPr>
          <w:u w:val="single"/>
        </w:rPr>
        <w:fldChar w:fldCharType="separate"/>
      </w:r>
      <w:r w:rsidR="005E6E9C" w:rsidRPr="00F96D06">
        <w:t>Appendix A - Species lists</w:t>
      </w:r>
      <w:r w:rsidR="00F96D06" w:rsidRPr="00990DB0">
        <w:rPr>
          <w:u w:val="single"/>
        </w:rPr>
        <w:fldChar w:fldCharType="end"/>
      </w:r>
      <w:r w:rsidR="00F96D06" w:rsidRPr="00F96D06">
        <w:t>.</w:t>
      </w:r>
    </w:p>
    <w:p w14:paraId="34C0C982" w14:textId="77777777" w:rsidR="006551A0" w:rsidRDefault="006551A0" w:rsidP="006551A0">
      <w:pPr>
        <w:pStyle w:val="Heading2"/>
      </w:pPr>
      <w:bookmarkStart w:id="10" w:name="_Toc24970995"/>
      <w:r>
        <w:t>Fauna</w:t>
      </w:r>
      <w:bookmarkEnd w:id="10"/>
    </w:p>
    <w:p w14:paraId="53A1369C" w14:textId="68513626" w:rsidR="009E7800" w:rsidRDefault="007E6420" w:rsidP="00AD3183">
      <w:r w:rsidRPr="007E6420">
        <w:t xml:space="preserve">Tasmanian </w:t>
      </w:r>
      <w:r>
        <w:t>w</w:t>
      </w:r>
      <w:r w:rsidR="004F7C15">
        <w:t>hite gum wet forest provides multi-storied habitat for a wide range of fauna</w:t>
      </w:r>
      <w:r w:rsidR="00AD3183">
        <w:t xml:space="preserve">, including hollow-dependent fauna and </w:t>
      </w:r>
      <w:r w:rsidR="00181F87" w:rsidRPr="00B0278F">
        <w:t xml:space="preserve">threatened species. </w:t>
      </w:r>
      <w:r w:rsidR="006C0779">
        <w:t>Most f</w:t>
      </w:r>
      <w:r w:rsidR="00754514" w:rsidRPr="00B0278F">
        <w:t xml:space="preserve">auna species </w:t>
      </w:r>
      <w:r w:rsidR="00B0278F" w:rsidRPr="00B0278F">
        <w:t xml:space="preserve">are </w:t>
      </w:r>
      <w:r w:rsidR="006C0779">
        <w:t xml:space="preserve">not </w:t>
      </w:r>
      <w:r w:rsidR="00FE2030">
        <w:t xml:space="preserve">solely </w:t>
      </w:r>
      <w:r w:rsidR="00B0278F" w:rsidRPr="00B0278F">
        <w:t>dependent on</w:t>
      </w:r>
      <w:r w:rsidR="00754514" w:rsidRPr="00B0278F">
        <w:t xml:space="preserve"> the ecological community, </w:t>
      </w:r>
      <w:r w:rsidR="00181F87">
        <w:t>but may be present in</w:t>
      </w:r>
      <w:r w:rsidR="00754514" w:rsidRPr="00B0278F">
        <w:t xml:space="preserve"> all Tasmanian wet forests, but t</w:t>
      </w:r>
      <w:r w:rsidR="009E7800" w:rsidRPr="00B0278F">
        <w:t xml:space="preserve">hese faunal </w:t>
      </w:r>
      <w:r w:rsidR="008C328C" w:rsidRPr="00B0278F">
        <w:t xml:space="preserve">components </w:t>
      </w:r>
      <w:r w:rsidR="008C328C">
        <w:t>of the ecological community</w:t>
      </w:r>
      <w:r w:rsidR="009E7800">
        <w:t xml:space="preserve"> play a critical role in the functioning </w:t>
      </w:r>
      <w:r w:rsidR="00C074C6">
        <w:t>of the ecological community, for instance, through n</w:t>
      </w:r>
      <w:r w:rsidR="009E7800">
        <w:t xml:space="preserve">utrient cycling </w:t>
      </w:r>
      <w:r w:rsidR="00C074C6">
        <w:t>and seed dispersal</w:t>
      </w:r>
      <w:r w:rsidR="009E7800">
        <w:t>.</w:t>
      </w:r>
    </w:p>
    <w:p w14:paraId="04A861A7" w14:textId="77777777" w:rsidR="009311E3" w:rsidRDefault="004F7C15" w:rsidP="00AD3183">
      <w:pPr>
        <w:rPr>
          <w:lang w:val="en-US"/>
        </w:rPr>
      </w:pPr>
      <w:r>
        <w:t>The high forest canopy</w:t>
      </w:r>
      <w:r w:rsidR="00350392">
        <w:t xml:space="preserve"> </w:t>
      </w:r>
      <w:r w:rsidR="009311E3">
        <w:t xml:space="preserve">and clear mid-storey </w:t>
      </w:r>
      <w:r>
        <w:t xml:space="preserve">of </w:t>
      </w:r>
      <w:r w:rsidR="00350392">
        <w:t xml:space="preserve">the </w:t>
      </w:r>
      <w:r>
        <w:t>white gum</w:t>
      </w:r>
      <w:r w:rsidR="00350392">
        <w:t xml:space="preserve"> </w:t>
      </w:r>
      <w:r>
        <w:t>is</w:t>
      </w:r>
      <w:r w:rsidR="00350392">
        <w:t xml:space="preserve"> typically </w:t>
      </w:r>
      <w:r w:rsidR="00FD377C">
        <w:t>utilised</w:t>
      </w:r>
      <w:r>
        <w:t xml:space="preserve"> </w:t>
      </w:r>
      <w:r w:rsidR="00BB336C">
        <w:t xml:space="preserve">by </w:t>
      </w:r>
      <w:r w:rsidR="009C56BA">
        <w:t>bats</w:t>
      </w:r>
      <w:r w:rsidR="00700178">
        <w:t xml:space="preserve"> and</w:t>
      </w:r>
      <w:r w:rsidR="00350392">
        <w:t xml:space="preserve"> </w:t>
      </w:r>
      <w:r w:rsidR="009C56BA">
        <w:t>birds</w:t>
      </w:r>
      <w:r>
        <w:t xml:space="preserve">, </w:t>
      </w:r>
      <w:r w:rsidR="00350392">
        <w:t>such as</w:t>
      </w:r>
      <w:r w:rsidR="00BB336C">
        <w:t xml:space="preserve"> </w:t>
      </w:r>
      <w:r w:rsidR="00350392">
        <w:t>Gould’s long-eared bat (</w:t>
      </w:r>
      <w:r w:rsidR="00350392" w:rsidRPr="00350392">
        <w:rPr>
          <w:i/>
        </w:rPr>
        <w:t>Nyctophilus gouldi</w:t>
      </w:r>
      <w:r w:rsidR="00350392">
        <w:t>)</w:t>
      </w:r>
      <w:r w:rsidR="009311E3">
        <w:t xml:space="preserve">, </w:t>
      </w:r>
      <w:r w:rsidR="009311E3">
        <w:rPr>
          <w:lang w:val="en-US"/>
        </w:rPr>
        <w:t>the southern forest bat (</w:t>
      </w:r>
      <w:r w:rsidR="009311E3" w:rsidRPr="00350392">
        <w:rPr>
          <w:i/>
          <w:iCs/>
        </w:rPr>
        <w:t>Vespadelus regulus</w:t>
      </w:r>
      <w:r w:rsidR="009311E3">
        <w:rPr>
          <w:i/>
          <w:iCs/>
        </w:rPr>
        <w:t xml:space="preserve">), </w:t>
      </w:r>
      <w:r w:rsidR="009311E3" w:rsidRPr="00350392">
        <w:rPr>
          <w:iCs/>
        </w:rPr>
        <w:t xml:space="preserve">the </w:t>
      </w:r>
      <w:r w:rsidR="009311E3">
        <w:rPr>
          <w:iCs/>
        </w:rPr>
        <w:t>little forest bat (</w:t>
      </w:r>
      <w:r w:rsidR="009311E3" w:rsidRPr="00FD377C">
        <w:rPr>
          <w:i/>
          <w:iCs/>
        </w:rPr>
        <w:t>Vespadelus vulturnus</w:t>
      </w:r>
      <w:r w:rsidR="009311E3">
        <w:rPr>
          <w:i/>
          <w:iCs/>
        </w:rPr>
        <w:t xml:space="preserve">), </w:t>
      </w:r>
      <w:r w:rsidR="009311E3" w:rsidRPr="009311E3">
        <w:rPr>
          <w:iCs/>
          <w:lang w:val="en-US"/>
        </w:rPr>
        <w:t xml:space="preserve">the </w:t>
      </w:r>
      <w:r w:rsidR="009311E3" w:rsidRPr="009311E3">
        <w:rPr>
          <w:iCs/>
        </w:rPr>
        <w:t xml:space="preserve">masked owl </w:t>
      </w:r>
      <w:r w:rsidR="009311E3" w:rsidRPr="009311E3">
        <w:rPr>
          <w:i/>
          <w:iCs/>
        </w:rPr>
        <w:t>(Tyto novaehollandiae castanops)</w:t>
      </w:r>
      <w:r w:rsidR="009311E3">
        <w:rPr>
          <w:i/>
          <w:iCs/>
        </w:rPr>
        <w:t xml:space="preserve"> </w:t>
      </w:r>
      <w:r w:rsidR="009311E3">
        <w:t>and the striated pardalote (</w:t>
      </w:r>
      <w:r w:rsidR="009311E3" w:rsidRPr="009311E3">
        <w:rPr>
          <w:i/>
        </w:rPr>
        <w:t>Pardalotus striatus</w:t>
      </w:r>
      <w:r w:rsidR="009311E3">
        <w:t xml:space="preserve">), </w:t>
      </w:r>
      <w:r w:rsidR="009311E3">
        <w:rPr>
          <w:lang w:val="en-US"/>
        </w:rPr>
        <w:t>which</w:t>
      </w:r>
      <w:r w:rsidR="009311E3" w:rsidRPr="004F7C15">
        <w:rPr>
          <w:lang w:val="en-US"/>
        </w:rPr>
        <w:t xml:space="preserve"> move </w:t>
      </w:r>
      <w:r w:rsidR="009311E3">
        <w:rPr>
          <w:lang w:val="en-US"/>
        </w:rPr>
        <w:t xml:space="preserve">and hunt </w:t>
      </w:r>
      <w:r w:rsidR="009311E3" w:rsidRPr="004F7C15">
        <w:rPr>
          <w:lang w:val="en-US"/>
        </w:rPr>
        <w:t>between trees</w:t>
      </w:r>
      <w:r w:rsidR="009311E3">
        <w:rPr>
          <w:lang w:val="en-US"/>
        </w:rPr>
        <w:t xml:space="preserve">. </w:t>
      </w:r>
    </w:p>
    <w:p w14:paraId="46D7A424" w14:textId="27C56E2B" w:rsidR="00AF683E" w:rsidRPr="006C0779" w:rsidRDefault="009311E3" w:rsidP="00AD3183">
      <w:pPr>
        <w:rPr>
          <w:lang w:val="en-US"/>
        </w:rPr>
      </w:pPr>
      <w:r>
        <w:t>B</w:t>
      </w:r>
      <w:r>
        <w:rPr>
          <w:lang w:val="en-US"/>
        </w:rPr>
        <w:t xml:space="preserve">irds of prey </w:t>
      </w:r>
      <w:r w:rsidR="009E7800">
        <w:rPr>
          <w:lang w:val="en-US"/>
        </w:rPr>
        <w:t>utilise the tall canopy trees for roosting and nesting.</w:t>
      </w:r>
      <w:r w:rsidR="009E7800" w:rsidRPr="00AD3183">
        <w:t xml:space="preserve"> </w:t>
      </w:r>
      <w:r w:rsidR="00AF683E" w:rsidRPr="006C0779">
        <w:rPr>
          <w:lang w:val="en-US"/>
        </w:rPr>
        <w:t xml:space="preserve">The </w:t>
      </w:r>
      <w:r w:rsidR="006C0779" w:rsidRPr="006C0779">
        <w:rPr>
          <w:lang w:val="en-US"/>
        </w:rPr>
        <w:t xml:space="preserve">Tasmanian </w:t>
      </w:r>
      <w:r w:rsidR="00AF683E" w:rsidRPr="006C0779">
        <w:rPr>
          <w:lang w:val="en-US"/>
        </w:rPr>
        <w:t>wedge-tailed eagle (</w:t>
      </w:r>
      <w:r w:rsidR="00AF683E" w:rsidRPr="006C0779">
        <w:rPr>
          <w:i/>
          <w:lang w:val="en-US"/>
        </w:rPr>
        <w:t>Aquila audax fleayi</w:t>
      </w:r>
      <w:r w:rsidR="00AF683E" w:rsidRPr="006C0779">
        <w:rPr>
          <w:lang w:val="en-US"/>
        </w:rPr>
        <w:t xml:space="preserve">) is known to nest in riparian vegetation and steep slopes associated with river systems in the </w:t>
      </w:r>
      <w:r w:rsidR="00181F87">
        <w:rPr>
          <w:lang w:val="en-US"/>
        </w:rPr>
        <w:t>Northern Slopes bioregion</w:t>
      </w:r>
      <w:r w:rsidR="00AF683E" w:rsidRPr="006C0779">
        <w:rPr>
          <w:lang w:val="en-US"/>
        </w:rPr>
        <w:t>, including along the Wilmot River. Active nest</w:t>
      </w:r>
      <w:r w:rsidR="006C0779" w:rsidRPr="006C0779">
        <w:rPr>
          <w:lang w:val="en-US"/>
        </w:rPr>
        <w:t>s</w:t>
      </w:r>
      <w:r w:rsidR="00AF683E" w:rsidRPr="006C0779">
        <w:rPr>
          <w:lang w:val="en-US"/>
        </w:rPr>
        <w:t xml:space="preserve"> </w:t>
      </w:r>
      <w:r w:rsidR="006C0779" w:rsidRPr="006C0779">
        <w:rPr>
          <w:lang w:val="en-US"/>
        </w:rPr>
        <w:t>have been</w:t>
      </w:r>
      <w:r w:rsidR="00AF683E" w:rsidRPr="006C0779">
        <w:rPr>
          <w:lang w:val="en-US"/>
        </w:rPr>
        <w:t xml:space="preserve"> recorded in the ecological community </w:t>
      </w:r>
      <w:r w:rsidR="006C0779" w:rsidRPr="006C0779">
        <w:rPr>
          <w:lang w:val="en-US"/>
        </w:rPr>
        <w:t>(Craven, 2002).</w:t>
      </w:r>
      <w:r>
        <w:rPr>
          <w:lang w:val="en-US"/>
        </w:rPr>
        <w:t xml:space="preserve"> </w:t>
      </w:r>
      <w:r w:rsidR="00AF683E" w:rsidRPr="006C0779">
        <w:rPr>
          <w:lang w:val="en-US"/>
        </w:rPr>
        <w:t xml:space="preserve">The grey goshawk </w:t>
      </w:r>
      <w:r w:rsidR="00AF683E" w:rsidRPr="006C0779">
        <w:t>(</w:t>
      </w:r>
      <w:r w:rsidR="00AF683E" w:rsidRPr="006C0779">
        <w:rPr>
          <w:i/>
          <w:iCs/>
        </w:rPr>
        <w:t>Accipiter novaehollandiae</w:t>
      </w:r>
      <w:r w:rsidR="00AF683E" w:rsidRPr="006C0779">
        <w:t>)</w:t>
      </w:r>
      <w:r w:rsidR="00AF683E" w:rsidRPr="006C0779">
        <w:rPr>
          <w:lang w:val="en-US"/>
        </w:rPr>
        <w:t xml:space="preserve"> prefers blackwood forest as nesting habitat. Blackwood is a common </w:t>
      </w:r>
      <w:r w:rsidR="00181F87">
        <w:rPr>
          <w:lang w:val="en-US"/>
        </w:rPr>
        <w:t>secondary tree species</w:t>
      </w:r>
      <w:r w:rsidR="00AF683E" w:rsidRPr="006C0779">
        <w:rPr>
          <w:lang w:val="en-US"/>
        </w:rPr>
        <w:t xml:space="preserve"> </w:t>
      </w:r>
      <w:r w:rsidR="00AF683E" w:rsidRPr="006C0779">
        <w:rPr>
          <w:lang w:val="en-US"/>
        </w:rPr>
        <w:lastRenderedPageBreak/>
        <w:t>in the ecological community and blackwood communities often occur in conjunction with the ecological community. The ecological community is therefore often important habitat for the grey goshawk</w:t>
      </w:r>
      <w:r w:rsidR="006C0779" w:rsidRPr="006C0779">
        <w:rPr>
          <w:lang w:val="en-US"/>
        </w:rPr>
        <w:t xml:space="preserve"> and a</w:t>
      </w:r>
      <w:r w:rsidR="00AF683E" w:rsidRPr="006C0779">
        <w:rPr>
          <w:lang w:val="en-US"/>
        </w:rPr>
        <w:t>ctive nest</w:t>
      </w:r>
      <w:r w:rsidR="006C0779" w:rsidRPr="006C0779">
        <w:rPr>
          <w:lang w:val="en-US"/>
        </w:rPr>
        <w:t>s</w:t>
      </w:r>
      <w:r w:rsidR="00AF683E" w:rsidRPr="006C0779">
        <w:rPr>
          <w:lang w:val="en-US"/>
        </w:rPr>
        <w:t xml:space="preserve"> </w:t>
      </w:r>
      <w:r w:rsidR="006C0779" w:rsidRPr="006C0779">
        <w:rPr>
          <w:lang w:val="en-US"/>
        </w:rPr>
        <w:t>have been</w:t>
      </w:r>
      <w:r w:rsidR="00AF683E" w:rsidRPr="006C0779">
        <w:rPr>
          <w:lang w:val="en-US"/>
        </w:rPr>
        <w:t xml:space="preserve"> recorded in the ecological community</w:t>
      </w:r>
      <w:r w:rsidR="006C0779" w:rsidRPr="006C0779">
        <w:rPr>
          <w:lang w:val="en-US"/>
        </w:rPr>
        <w:t xml:space="preserve"> (Craven, 2002)</w:t>
      </w:r>
      <w:r w:rsidR="00AF683E" w:rsidRPr="006C0779">
        <w:rPr>
          <w:lang w:val="en-US"/>
        </w:rPr>
        <w:t>.</w:t>
      </w:r>
    </w:p>
    <w:p w14:paraId="2B2A17BA" w14:textId="50080C49" w:rsidR="00AD3183" w:rsidRPr="001F2039" w:rsidRDefault="00BB336C" w:rsidP="00AD3183">
      <w:r w:rsidRPr="001F2039">
        <w:rPr>
          <w:lang w:val="en-US"/>
        </w:rPr>
        <w:t>The lower canopy</w:t>
      </w:r>
      <w:r w:rsidR="00966DFC" w:rsidRPr="001F2039">
        <w:rPr>
          <w:lang w:val="en-US"/>
        </w:rPr>
        <w:t xml:space="preserve"> or shrub layer</w:t>
      </w:r>
      <w:r w:rsidRPr="001F2039">
        <w:rPr>
          <w:lang w:val="en-US"/>
        </w:rPr>
        <w:t xml:space="preserve"> supports </w:t>
      </w:r>
      <w:r w:rsidR="009C56BA" w:rsidRPr="001F2039">
        <w:rPr>
          <w:lang w:val="en-US"/>
        </w:rPr>
        <w:t xml:space="preserve">birds and </w:t>
      </w:r>
      <w:r w:rsidR="00700178" w:rsidRPr="001F2039">
        <w:rPr>
          <w:lang w:val="en-US"/>
        </w:rPr>
        <w:t>possums</w:t>
      </w:r>
      <w:r w:rsidRPr="001F2039">
        <w:rPr>
          <w:lang w:val="en-US"/>
        </w:rPr>
        <w:t xml:space="preserve">, </w:t>
      </w:r>
      <w:r w:rsidR="00700178" w:rsidRPr="001F2039">
        <w:t>such as</w:t>
      </w:r>
      <w:r w:rsidRPr="001F2039">
        <w:t xml:space="preserve"> the</w:t>
      </w:r>
      <w:r w:rsidR="00700178" w:rsidRPr="001F2039">
        <w:t xml:space="preserve"> </w:t>
      </w:r>
      <w:r w:rsidR="00211A02" w:rsidRPr="001F2039">
        <w:t>striated pardalote (</w:t>
      </w:r>
      <w:r w:rsidR="00211A02" w:rsidRPr="001F2039">
        <w:rPr>
          <w:i/>
          <w:iCs/>
        </w:rPr>
        <w:t>Pardalotus striatus</w:t>
      </w:r>
      <w:r w:rsidR="00211A02" w:rsidRPr="001F2039">
        <w:t>)</w:t>
      </w:r>
      <w:r w:rsidR="00700178" w:rsidRPr="001F2039">
        <w:t xml:space="preserve">, </w:t>
      </w:r>
      <w:r w:rsidR="00FD377C" w:rsidRPr="001F2039">
        <w:t>little pygmy possum (</w:t>
      </w:r>
      <w:r w:rsidR="00FD377C" w:rsidRPr="001F2039">
        <w:rPr>
          <w:i/>
          <w:iCs/>
        </w:rPr>
        <w:t xml:space="preserve">Cercartetus lepidus), </w:t>
      </w:r>
      <w:r w:rsidR="00700178" w:rsidRPr="001F2039">
        <w:t>common brushtail possum (</w:t>
      </w:r>
      <w:r w:rsidR="00700178" w:rsidRPr="001F2039">
        <w:rPr>
          <w:i/>
          <w:iCs/>
        </w:rPr>
        <w:t>Trichosurus vulpecula)</w:t>
      </w:r>
      <w:r w:rsidR="00700178" w:rsidRPr="001F2039">
        <w:rPr>
          <w:iCs/>
        </w:rPr>
        <w:t xml:space="preserve"> and </w:t>
      </w:r>
      <w:r w:rsidR="00700178" w:rsidRPr="001F2039">
        <w:rPr>
          <w:lang w:val="en-US"/>
        </w:rPr>
        <w:t>common ringtail possum (</w:t>
      </w:r>
      <w:r w:rsidR="00700178" w:rsidRPr="001F2039">
        <w:rPr>
          <w:i/>
          <w:iCs/>
          <w:lang w:val="en"/>
        </w:rPr>
        <w:t>Pseudocheirus peregrinus)</w:t>
      </w:r>
      <w:r w:rsidRPr="001F2039">
        <w:rPr>
          <w:lang w:val="en-US"/>
        </w:rPr>
        <w:t xml:space="preserve">. </w:t>
      </w:r>
      <w:r w:rsidR="00E46CE9" w:rsidRPr="001F2039">
        <w:rPr>
          <w:lang w:val="en-US"/>
        </w:rPr>
        <w:t>All t</w:t>
      </w:r>
      <w:r w:rsidR="00A728B2" w:rsidRPr="001F2039">
        <w:rPr>
          <w:lang w:val="en-US"/>
        </w:rPr>
        <w:t>hese</w:t>
      </w:r>
      <w:r w:rsidR="004F7C15" w:rsidRPr="001F2039">
        <w:rPr>
          <w:lang w:val="en-US"/>
        </w:rPr>
        <w:t xml:space="preserve"> arboreal animals </w:t>
      </w:r>
      <w:r w:rsidR="00181F87">
        <w:rPr>
          <w:lang w:val="en-US"/>
        </w:rPr>
        <w:t>use</w:t>
      </w:r>
      <w:r w:rsidR="00E22E35" w:rsidRPr="001F2039">
        <w:rPr>
          <w:lang w:val="en-US"/>
        </w:rPr>
        <w:t xml:space="preserve"> tree hollows and forks </w:t>
      </w:r>
      <w:r w:rsidR="008C328C" w:rsidRPr="001F2039">
        <w:rPr>
          <w:lang w:val="en-US"/>
        </w:rPr>
        <w:t xml:space="preserve">to rest or nest, </w:t>
      </w:r>
      <w:r w:rsidR="00E22E35" w:rsidRPr="001F2039">
        <w:rPr>
          <w:lang w:val="en-US"/>
        </w:rPr>
        <w:t>and</w:t>
      </w:r>
      <w:r w:rsidR="004F7C15" w:rsidRPr="001F2039">
        <w:rPr>
          <w:lang w:val="en-US"/>
        </w:rPr>
        <w:t xml:space="preserve"> </w:t>
      </w:r>
      <w:r w:rsidR="00A728B2" w:rsidRPr="001F2039">
        <w:rPr>
          <w:lang w:val="en-US"/>
        </w:rPr>
        <w:t>feed on</w:t>
      </w:r>
      <w:r w:rsidR="004F7C15" w:rsidRPr="001F2039">
        <w:rPr>
          <w:lang w:val="en-US"/>
        </w:rPr>
        <w:t xml:space="preserve"> nectar, flowers, leaves and fruit products of the canopy</w:t>
      </w:r>
      <w:r w:rsidR="002B7B23" w:rsidRPr="001F2039">
        <w:rPr>
          <w:lang w:val="en-US"/>
        </w:rPr>
        <w:t xml:space="preserve">, as well as invertebrates from </w:t>
      </w:r>
      <w:r w:rsidR="00E22E35" w:rsidRPr="001F2039">
        <w:rPr>
          <w:lang w:val="en-US"/>
        </w:rPr>
        <w:t>leaves</w:t>
      </w:r>
      <w:r w:rsidR="00211A02" w:rsidRPr="001F2039">
        <w:rPr>
          <w:lang w:val="en-US"/>
        </w:rPr>
        <w:t xml:space="preserve">, </w:t>
      </w:r>
      <w:r w:rsidR="00E22E35" w:rsidRPr="001F2039">
        <w:rPr>
          <w:lang w:val="en-US"/>
        </w:rPr>
        <w:t>beneath bark</w:t>
      </w:r>
      <w:r w:rsidR="00211A02" w:rsidRPr="001F2039">
        <w:rPr>
          <w:lang w:val="en-US"/>
        </w:rPr>
        <w:t xml:space="preserve"> or in the air</w:t>
      </w:r>
      <w:r w:rsidR="00E22E35" w:rsidRPr="001F2039">
        <w:rPr>
          <w:lang w:val="en-US"/>
        </w:rPr>
        <w:t>.</w:t>
      </w:r>
      <w:r w:rsidR="00C074C6" w:rsidRPr="001F2039">
        <w:rPr>
          <w:lang w:val="en-US"/>
        </w:rPr>
        <w:t xml:space="preserve"> </w:t>
      </w:r>
      <w:r w:rsidR="00C074C6" w:rsidRPr="001F2039">
        <w:t>Consequently, their activities play important ecological roles for pollination, seed dispersal and regulation of insect populations.</w:t>
      </w:r>
    </w:p>
    <w:p w14:paraId="01822462" w14:textId="7B21E6C7" w:rsidR="00B0278F" w:rsidRDefault="008C328C" w:rsidP="00181F87">
      <w:r w:rsidRPr="001F2039">
        <w:rPr>
          <w:lang w:val="en-US"/>
        </w:rPr>
        <w:t>The sheltered ground-store</w:t>
      </w:r>
      <w:r w:rsidR="00A728B2" w:rsidRPr="001F2039">
        <w:rPr>
          <w:lang w:val="en-US"/>
        </w:rPr>
        <w:t>y remains damp and comprises a deep litter layer over moist mineral soil. It provides for a mass of invertebrate and other animal life, which helps in the turnover of litter nutrients that become rich plant foods.</w:t>
      </w:r>
      <w:r w:rsidR="00A728B2" w:rsidRPr="001F2039">
        <w:rPr>
          <w:iCs/>
        </w:rPr>
        <w:t xml:space="preserve"> I</w:t>
      </w:r>
      <w:r w:rsidR="00A728B2" w:rsidRPr="001F2039">
        <w:rPr>
          <w:lang w:val="en-US"/>
        </w:rPr>
        <w:t xml:space="preserve">nvertebrates, </w:t>
      </w:r>
      <w:r w:rsidR="00AD3183" w:rsidRPr="001F2039">
        <w:t xml:space="preserve">including burrowing crayfish </w:t>
      </w:r>
      <w:r w:rsidR="00BB336C" w:rsidRPr="001F2039">
        <w:t>(</w:t>
      </w:r>
      <w:r w:rsidR="00BB336C" w:rsidRPr="001F2039">
        <w:rPr>
          <w:i/>
          <w:iCs/>
        </w:rPr>
        <w:t xml:space="preserve">Engaeus </w:t>
      </w:r>
      <w:r w:rsidR="00BB336C" w:rsidRPr="00181F87">
        <w:rPr>
          <w:iCs/>
        </w:rPr>
        <w:t>spp</w:t>
      </w:r>
      <w:r w:rsidR="00BB336C" w:rsidRPr="001F2039">
        <w:rPr>
          <w:i/>
          <w:iCs/>
        </w:rPr>
        <w:t>)</w:t>
      </w:r>
      <w:r w:rsidR="00700178" w:rsidRPr="001F2039">
        <w:rPr>
          <w:i/>
          <w:iCs/>
        </w:rPr>
        <w:t xml:space="preserve">, </w:t>
      </w:r>
      <w:r w:rsidR="001154CB">
        <w:rPr>
          <w:iCs/>
        </w:rPr>
        <w:t>stag beetles</w:t>
      </w:r>
      <w:r w:rsidR="00181F87" w:rsidRPr="001F2039">
        <w:rPr>
          <w:iCs/>
        </w:rPr>
        <w:t xml:space="preserve">, </w:t>
      </w:r>
      <w:r w:rsidR="00211A02" w:rsidRPr="001F2039">
        <w:rPr>
          <w:iCs/>
        </w:rPr>
        <w:t xml:space="preserve">and </w:t>
      </w:r>
      <w:r w:rsidR="001154CB">
        <w:rPr>
          <w:iCs/>
        </w:rPr>
        <w:t xml:space="preserve">velvet worms </w:t>
      </w:r>
      <w:r w:rsidR="00181F87" w:rsidRPr="001F2039">
        <w:rPr>
          <w:lang w:val="en-US"/>
        </w:rPr>
        <w:t xml:space="preserve">tunnel </w:t>
      </w:r>
      <w:r w:rsidR="00A728B2" w:rsidRPr="001F2039">
        <w:rPr>
          <w:lang w:val="en-US"/>
        </w:rPr>
        <w:t xml:space="preserve">and forage in the </w:t>
      </w:r>
      <w:r w:rsidR="00A728B2" w:rsidRPr="00327F5E">
        <w:rPr>
          <w:lang w:val="en-US"/>
        </w:rPr>
        <w:t xml:space="preserve">litter. </w:t>
      </w:r>
      <w:r w:rsidR="00A728B2" w:rsidRPr="001F2039">
        <w:rPr>
          <w:lang w:val="en-US"/>
        </w:rPr>
        <w:t xml:space="preserve">These </w:t>
      </w:r>
      <w:r w:rsidR="00327F5E">
        <w:rPr>
          <w:lang w:val="en-US"/>
        </w:rPr>
        <w:t xml:space="preserve">invertebrates </w:t>
      </w:r>
      <w:r w:rsidR="00A728B2" w:rsidRPr="001F2039">
        <w:rPr>
          <w:lang w:val="en-US"/>
        </w:rPr>
        <w:t xml:space="preserve">in turn provide a food source for </w:t>
      </w:r>
      <w:r w:rsidR="00A728B2" w:rsidRPr="001F2039">
        <w:t>small, ground insectivores and omnivores</w:t>
      </w:r>
      <w:r w:rsidR="00AD3183" w:rsidRPr="001F2039">
        <w:t>, including the</w:t>
      </w:r>
      <w:r w:rsidR="00700178" w:rsidRPr="001F2039">
        <w:t xml:space="preserve"> </w:t>
      </w:r>
      <w:r w:rsidR="00211A02" w:rsidRPr="001F2039">
        <w:t>smooth frog (</w:t>
      </w:r>
      <w:r w:rsidR="00211A02" w:rsidRPr="001F2039">
        <w:rPr>
          <w:i/>
        </w:rPr>
        <w:t>Geocrinia laevis)</w:t>
      </w:r>
      <w:r w:rsidR="00700178" w:rsidRPr="001F2039">
        <w:t>,</w:t>
      </w:r>
      <w:r w:rsidR="00AD3183" w:rsidRPr="001F2039">
        <w:t xml:space="preserve"> scrubtit (</w:t>
      </w:r>
      <w:r w:rsidR="00AD3183" w:rsidRPr="001F2039">
        <w:rPr>
          <w:i/>
          <w:iCs/>
        </w:rPr>
        <w:t>Sericornis magnus</w:t>
      </w:r>
      <w:r w:rsidR="00AD3183" w:rsidRPr="001F2039">
        <w:t xml:space="preserve">), </w:t>
      </w:r>
      <w:r w:rsidR="00BD6DD0" w:rsidRPr="001F2039">
        <w:t>and southern brown bandicoot (</w:t>
      </w:r>
      <w:r w:rsidR="00BD6DD0" w:rsidRPr="001F2039">
        <w:rPr>
          <w:i/>
        </w:rPr>
        <w:t>Isoodon obesulus</w:t>
      </w:r>
      <w:r w:rsidR="00BD6DD0" w:rsidRPr="001F2039">
        <w:t>).</w:t>
      </w:r>
    </w:p>
    <w:p w14:paraId="69001DF1" w14:textId="4D64756C" w:rsidR="00C074C6" w:rsidRDefault="00A728B2" w:rsidP="00233B91">
      <w:pPr>
        <w:rPr>
          <w:rFonts w:cs="Arial"/>
        </w:rPr>
      </w:pPr>
      <w:r w:rsidRPr="00AD3183">
        <w:rPr>
          <w:lang w:val="en-US"/>
        </w:rPr>
        <w:t>S</w:t>
      </w:r>
      <w:r w:rsidRPr="00AD3183">
        <w:rPr>
          <w:iCs/>
        </w:rPr>
        <w:t xml:space="preserve">mall to medium-sized </w:t>
      </w:r>
      <w:r w:rsidR="00A25F42">
        <w:rPr>
          <w:lang w:val="en-US"/>
        </w:rPr>
        <w:t>omnivores</w:t>
      </w:r>
      <w:r w:rsidR="002F70BF" w:rsidRPr="002F70BF">
        <w:rPr>
          <w:lang w:val="en-US"/>
        </w:rPr>
        <w:t xml:space="preserve"> </w:t>
      </w:r>
      <w:r w:rsidR="002F70BF" w:rsidRPr="00307D58">
        <w:rPr>
          <w:lang w:val="en-US"/>
        </w:rPr>
        <w:t>that</w:t>
      </w:r>
      <w:r w:rsidR="002F70BF" w:rsidRPr="00A728B2">
        <w:rPr>
          <w:lang w:val="en-US"/>
        </w:rPr>
        <w:t xml:space="preserve"> consume </w:t>
      </w:r>
      <w:r w:rsidR="001A6D06">
        <w:rPr>
          <w:lang w:val="en-US"/>
        </w:rPr>
        <w:t xml:space="preserve">fallen </w:t>
      </w:r>
      <w:r w:rsidR="002F70BF" w:rsidRPr="00A728B2">
        <w:rPr>
          <w:lang w:val="en-US"/>
        </w:rPr>
        <w:t>fruit, seeds, leaves and fungi</w:t>
      </w:r>
      <w:r w:rsidRPr="00A728B2">
        <w:rPr>
          <w:lang w:val="en-US"/>
        </w:rPr>
        <w:t xml:space="preserve">, </w:t>
      </w:r>
      <w:r w:rsidR="00AD3183">
        <w:rPr>
          <w:lang w:val="en-US"/>
        </w:rPr>
        <w:t xml:space="preserve">such as </w:t>
      </w:r>
      <w:r w:rsidR="00AD3183" w:rsidRPr="00307D58">
        <w:rPr>
          <w:lang w:val="en-US"/>
        </w:rPr>
        <w:t>the</w:t>
      </w:r>
      <w:r w:rsidR="00AD3183" w:rsidRPr="00307D58">
        <w:t xml:space="preserve"> long-nose potoroo (</w:t>
      </w:r>
      <w:r w:rsidR="00AD3183" w:rsidRPr="00307D58">
        <w:rPr>
          <w:i/>
          <w:iCs/>
        </w:rPr>
        <w:t>Potorous tridactylus</w:t>
      </w:r>
      <w:r w:rsidR="00AD3183" w:rsidRPr="00307D58">
        <w:t>)</w:t>
      </w:r>
      <w:r w:rsidR="002F70BF">
        <w:t xml:space="preserve"> </w:t>
      </w:r>
      <w:r w:rsidR="00181F87" w:rsidRPr="00A728B2">
        <w:rPr>
          <w:lang w:val="en-US"/>
        </w:rPr>
        <w:t xml:space="preserve">are </w:t>
      </w:r>
      <w:r w:rsidRPr="00A728B2">
        <w:rPr>
          <w:lang w:val="en-US"/>
        </w:rPr>
        <w:t>also common</w:t>
      </w:r>
      <w:r w:rsidR="00BD6DD0">
        <w:rPr>
          <w:lang w:val="en-US"/>
        </w:rPr>
        <w:t>, as ar</w:t>
      </w:r>
      <w:r w:rsidR="00B0278F">
        <w:rPr>
          <w:lang w:val="en-US"/>
        </w:rPr>
        <w:t xml:space="preserve">e </w:t>
      </w:r>
      <w:r w:rsidR="00B0278F" w:rsidRPr="00BD6DD0">
        <w:t>carnivo</w:t>
      </w:r>
      <w:r w:rsidR="00B0278F">
        <w:t>res</w:t>
      </w:r>
      <w:r w:rsidR="00BD6DD0">
        <w:t xml:space="preserve"> such as</w:t>
      </w:r>
      <w:r w:rsidR="00BD6DD0" w:rsidRPr="00BD6DD0">
        <w:t xml:space="preserve"> </w:t>
      </w:r>
      <w:r w:rsidR="00BD6DD0" w:rsidRPr="00AD3183">
        <w:t>quoll</w:t>
      </w:r>
      <w:r w:rsidR="00BD6DD0">
        <w:t>s</w:t>
      </w:r>
      <w:r w:rsidR="00BD6DD0" w:rsidRPr="00AD3183">
        <w:t xml:space="preserve"> (</w:t>
      </w:r>
      <w:r w:rsidR="00BD6DD0" w:rsidRPr="00AD3183">
        <w:rPr>
          <w:i/>
          <w:iCs/>
        </w:rPr>
        <w:t xml:space="preserve">Dasyurus </w:t>
      </w:r>
      <w:r w:rsidR="00BD6DD0">
        <w:rPr>
          <w:i/>
          <w:iCs/>
        </w:rPr>
        <w:t>spp</w:t>
      </w:r>
      <w:r w:rsidR="00BD6DD0" w:rsidRPr="00AD3183">
        <w:rPr>
          <w:i/>
          <w:iCs/>
        </w:rPr>
        <w:t>)</w:t>
      </w:r>
      <w:r w:rsidR="00BD6DD0">
        <w:rPr>
          <w:i/>
        </w:rPr>
        <w:t xml:space="preserve"> </w:t>
      </w:r>
      <w:r w:rsidR="00BD6DD0" w:rsidRPr="00BD6DD0">
        <w:t>and</w:t>
      </w:r>
      <w:r w:rsidR="00BD6DD0">
        <w:rPr>
          <w:i/>
        </w:rPr>
        <w:t xml:space="preserve"> </w:t>
      </w:r>
      <w:r w:rsidR="00BD6DD0" w:rsidRPr="00BD6DD0">
        <w:t>Tasmanian devil</w:t>
      </w:r>
      <w:r w:rsidR="00BD6DD0">
        <w:t>s</w:t>
      </w:r>
      <w:r w:rsidR="00BD6DD0" w:rsidRPr="00BD6DD0">
        <w:rPr>
          <w:i/>
          <w:iCs/>
        </w:rPr>
        <w:t xml:space="preserve"> (Sarcophilus harrisii)</w:t>
      </w:r>
      <w:r w:rsidR="00BD6DD0" w:rsidRPr="00BD6DD0">
        <w:rPr>
          <w:lang w:val="en-US"/>
        </w:rPr>
        <w:t>.</w:t>
      </w:r>
      <w:r w:rsidR="00BD6DD0">
        <w:rPr>
          <w:lang w:val="en-US"/>
        </w:rPr>
        <w:t xml:space="preserve"> </w:t>
      </w:r>
      <w:r w:rsidR="002A1B1F">
        <w:rPr>
          <w:rFonts w:cs="Arial"/>
        </w:rPr>
        <w:t>Burrowing</w:t>
      </w:r>
      <w:r w:rsidR="00C074C6">
        <w:rPr>
          <w:rFonts w:cs="Arial"/>
        </w:rPr>
        <w:t xml:space="preserve"> mammals, such as the </w:t>
      </w:r>
      <w:r w:rsidR="00BD6DD0" w:rsidRPr="00BD6DD0">
        <w:rPr>
          <w:rFonts w:cs="Arial"/>
        </w:rPr>
        <w:t>wo</w:t>
      </w:r>
      <w:r w:rsidR="00BD6DD0" w:rsidRPr="0046243D">
        <w:rPr>
          <w:rFonts w:cs="Arial"/>
        </w:rPr>
        <w:t>mbat (</w:t>
      </w:r>
      <w:r w:rsidR="0046243D" w:rsidRPr="0046243D">
        <w:rPr>
          <w:rFonts w:cs="Arial"/>
          <w:i/>
        </w:rPr>
        <w:t>Vombatus ursinus</w:t>
      </w:r>
      <w:r w:rsidR="00BD6DD0" w:rsidRPr="0046243D">
        <w:rPr>
          <w:rFonts w:cs="Arial"/>
        </w:rPr>
        <w:t xml:space="preserve">) </w:t>
      </w:r>
      <w:r w:rsidR="00C074C6" w:rsidRPr="0046243D">
        <w:rPr>
          <w:rFonts w:cs="Arial"/>
        </w:rPr>
        <w:t>function</w:t>
      </w:r>
      <w:r w:rsidR="00C074C6">
        <w:rPr>
          <w:rFonts w:cs="Arial"/>
        </w:rPr>
        <w:t xml:space="preserve"> as soil engineers that turn over soil and facilitate nutrient cycling and water infiltration</w:t>
      </w:r>
      <w:r w:rsidR="0046243D">
        <w:rPr>
          <w:rFonts w:cs="Arial"/>
        </w:rPr>
        <w:t xml:space="preserve"> within the ecological community</w:t>
      </w:r>
      <w:r w:rsidR="00C074C6">
        <w:rPr>
          <w:rFonts w:cs="Arial"/>
        </w:rPr>
        <w:t xml:space="preserve"> as a result of their burrowing activities.</w:t>
      </w:r>
    </w:p>
    <w:p w14:paraId="1B62F618" w14:textId="6EEDDEA3" w:rsidR="00F96D06" w:rsidRDefault="00833825" w:rsidP="00233B91">
      <w:r w:rsidRPr="00333FED">
        <w:t xml:space="preserve">A more comprehensive </w:t>
      </w:r>
      <w:r w:rsidRPr="00F96D06">
        <w:rPr>
          <w:rFonts w:cs="Arial"/>
        </w:rPr>
        <w:t>list</w:t>
      </w:r>
      <w:r w:rsidRPr="00333FED">
        <w:t xml:space="preserve"> of </w:t>
      </w:r>
      <w:r w:rsidR="000E2F82" w:rsidRPr="00333FED">
        <w:t>fauna species</w:t>
      </w:r>
      <w:r w:rsidRPr="00333FED">
        <w:t xml:space="preserve"> likely to occur in the ecological community, including threatened fauna, are in </w:t>
      </w:r>
      <w:r w:rsidR="00F96D06" w:rsidRPr="00990DB0">
        <w:rPr>
          <w:u w:val="single"/>
        </w:rPr>
        <w:fldChar w:fldCharType="begin"/>
      </w:r>
      <w:r w:rsidR="00F96D06" w:rsidRPr="00990DB0">
        <w:rPr>
          <w:u w:val="single"/>
        </w:rPr>
        <w:instrText xml:space="preserve"> REF _Ref17975079 \h </w:instrText>
      </w:r>
      <w:r w:rsidR="00F96D06" w:rsidRPr="00990DB0">
        <w:rPr>
          <w:u w:val="single"/>
        </w:rPr>
      </w:r>
      <w:r w:rsidR="00F96D06" w:rsidRPr="00990DB0">
        <w:rPr>
          <w:u w:val="single"/>
        </w:rPr>
        <w:fldChar w:fldCharType="separate"/>
      </w:r>
      <w:r w:rsidR="005E6E9C" w:rsidRPr="00F96D06">
        <w:t>Appendix A - Species lists</w:t>
      </w:r>
      <w:r w:rsidR="00F96D06" w:rsidRPr="00990DB0">
        <w:rPr>
          <w:u w:val="single"/>
        </w:rPr>
        <w:fldChar w:fldCharType="end"/>
      </w:r>
      <w:r w:rsidR="00F96D06">
        <w:t>.</w:t>
      </w:r>
    </w:p>
    <w:p w14:paraId="29A1B425" w14:textId="77777777" w:rsidR="003C49AD" w:rsidRPr="003C49AD" w:rsidRDefault="003C49AD" w:rsidP="003C49AD">
      <w:pPr>
        <w:pStyle w:val="Heading1"/>
        <w:rPr>
          <w:rFonts w:eastAsiaTheme="minorHAnsi"/>
        </w:rPr>
      </w:pPr>
      <w:bookmarkStart w:id="11" w:name="_Ref23846293"/>
      <w:bookmarkStart w:id="12" w:name="_Toc24970996"/>
      <w:r w:rsidRPr="003C49AD">
        <w:rPr>
          <w:rFonts w:eastAsiaTheme="minorHAnsi"/>
        </w:rPr>
        <w:t>Threat summary</w:t>
      </w:r>
      <w:bookmarkEnd w:id="11"/>
      <w:bookmarkEnd w:id="12"/>
    </w:p>
    <w:p w14:paraId="3E179E29" w14:textId="77777777" w:rsidR="00B31C33" w:rsidRDefault="00B31C33" w:rsidP="00B31C33">
      <w:r w:rsidRPr="003C49AD">
        <w:t>Tasmanian white gum wet forest has been primarily impacted by historic clearing for agriculture and forestry (conversion to monoculture plantation), and the remnants that remain continue to be under threat from ongoing degradation.</w:t>
      </w:r>
    </w:p>
    <w:p w14:paraId="6EA9B2F5" w14:textId="1128ACC7" w:rsidR="00B31C33" w:rsidRPr="003C49AD" w:rsidRDefault="00B31C33" w:rsidP="00B31C33">
      <w:r w:rsidRPr="00990DB0">
        <w:rPr>
          <w:u w:val="single"/>
        </w:rPr>
        <w:fldChar w:fldCharType="begin"/>
      </w:r>
      <w:r w:rsidRPr="00990DB0">
        <w:rPr>
          <w:u w:val="single"/>
        </w:rPr>
        <w:instrText xml:space="preserve"> REF _Ref24015092 \h </w:instrText>
      </w:r>
      <w:r w:rsidRPr="00990DB0">
        <w:rPr>
          <w:u w:val="single"/>
        </w:rPr>
      </w:r>
      <w:r w:rsidRPr="00990DB0">
        <w:rPr>
          <w:u w:val="single"/>
        </w:rPr>
        <w:fldChar w:fldCharType="separate"/>
      </w:r>
      <w:r w:rsidR="005E6E9C" w:rsidRPr="003C49AD">
        <w:t xml:space="preserve">Table </w:t>
      </w:r>
      <w:r w:rsidR="005E6E9C">
        <w:rPr>
          <w:noProof/>
        </w:rPr>
        <w:t>1</w:t>
      </w:r>
      <w:r w:rsidRPr="00990DB0">
        <w:rPr>
          <w:u w:val="single"/>
        </w:rPr>
        <w:fldChar w:fldCharType="end"/>
      </w:r>
      <w:r>
        <w:t xml:space="preserve"> </w:t>
      </w:r>
      <w:r w:rsidRPr="003C49AD">
        <w:t xml:space="preserve">outlines the key threats facing the ecological community. The key threats faced by the ecological community are described to help explain why this ecological community merits listing as threatened and supports the assessment against the criteria at </w:t>
      </w:r>
      <w:r w:rsidRPr="003C49AD">
        <w:rPr>
          <w:u w:val="single"/>
        </w:rPr>
        <w:t>section</w:t>
      </w:r>
      <w:r>
        <w:rPr>
          <w:u w:val="single"/>
        </w:rPr>
        <w:t xml:space="preserve"> </w:t>
      </w:r>
      <w:r>
        <w:rPr>
          <w:u w:val="single"/>
        </w:rPr>
        <w:fldChar w:fldCharType="begin"/>
      </w:r>
      <w:r>
        <w:rPr>
          <w:u w:val="single"/>
        </w:rPr>
        <w:instrText xml:space="preserve"> REF _Ref23846323 \r \h </w:instrText>
      </w:r>
      <w:r>
        <w:rPr>
          <w:u w:val="single"/>
        </w:rPr>
      </w:r>
      <w:r>
        <w:rPr>
          <w:u w:val="single"/>
        </w:rPr>
        <w:fldChar w:fldCharType="separate"/>
      </w:r>
      <w:r w:rsidR="005E6E9C">
        <w:rPr>
          <w:u w:val="single"/>
        </w:rPr>
        <w:t>5.1</w:t>
      </w:r>
      <w:r>
        <w:rPr>
          <w:u w:val="single"/>
        </w:rPr>
        <w:fldChar w:fldCharType="end"/>
      </w:r>
      <w:r w:rsidRPr="003C49AD">
        <w:t>. Although presented as a list, in reality, these threats often interact, rather than act independently.</w:t>
      </w:r>
    </w:p>
    <w:p w14:paraId="6D439BF5" w14:textId="7DB2005E" w:rsidR="00B31C33" w:rsidRPr="003C49AD" w:rsidRDefault="00B31C33" w:rsidP="00B31C33">
      <w:r w:rsidRPr="003C49AD">
        <w:t xml:space="preserve">These threats are classified according to the IUCN Threats Classification Scheme (Bland et al 2016), which identifies both the threats leading to losses through ecosystem conversion (i.e. total loss of patches of the ecological community and replacement with other vegetation such as crops, or buildings) and those leading to losses through ecosystem degradation (i.e. the loss of patches of the ecological community through direct or indirect damage </w:t>
      </w:r>
      <w:r>
        <w:t>to its function and character).</w:t>
      </w:r>
    </w:p>
    <w:p w14:paraId="6ED66F55" w14:textId="1D37C415" w:rsidR="003C49AD" w:rsidRPr="003C49AD" w:rsidRDefault="003C49AD" w:rsidP="00B31C33">
      <w:pPr>
        <w:pStyle w:val="Caption"/>
        <w:keepNext/>
      </w:pPr>
      <w:bookmarkStart w:id="13" w:name="_Ref24015092"/>
      <w:r w:rsidRPr="003C49AD">
        <w:lastRenderedPageBreak/>
        <w:t xml:space="preserve">Table </w:t>
      </w:r>
      <w:r w:rsidR="00092678">
        <w:rPr>
          <w:noProof/>
        </w:rPr>
        <w:fldChar w:fldCharType="begin"/>
      </w:r>
      <w:r w:rsidR="00092678">
        <w:rPr>
          <w:noProof/>
        </w:rPr>
        <w:instrText xml:space="preserve"> SEQ Table \* ARABIC </w:instrText>
      </w:r>
      <w:r w:rsidR="00092678">
        <w:rPr>
          <w:noProof/>
        </w:rPr>
        <w:fldChar w:fldCharType="separate"/>
      </w:r>
      <w:r w:rsidR="005E6E9C">
        <w:rPr>
          <w:noProof/>
        </w:rPr>
        <w:t>1</w:t>
      </w:r>
      <w:r w:rsidR="00092678">
        <w:rPr>
          <w:noProof/>
        </w:rPr>
        <w:fldChar w:fldCharType="end"/>
      </w:r>
      <w:bookmarkEnd w:id="13"/>
      <w:r w:rsidRPr="003C49AD">
        <w:t>: Summary of threats facing the ecological community</w:t>
      </w:r>
      <w:r w:rsidR="002C671C">
        <w:rPr>
          <w:rStyle w:val="FootnoteReference"/>
        </w:rPr>
        <w:footnoteReference w:id="5"/>
      </w:r>
    </w:p>
    <w:tbl>
      <w:tblPr>
        <w:tblStyle w:val="TableGrid"/>
        <w:tblW w:w="9067" w:type="dxa"/>
        <w:tblLayout w:type="fixed"/>
        <w:tblLook w:val="04A0" w:firstRow="1" w:lastRow="0" w:firstColumn="1" w:lastColumn="0" w:noHBand="0" w:noVBand="1"/>
      </w:tblPr>
      <w:tblGrid>
        <w:gridCol w:w="1413"/>
        <w:gridCol w:w="1843"/>
        <w:gridCol w:w="5811"/>
      </w:tblGrid>
      <w:tr w:rsidR="003C49AD" w:rsidRPr="003C49AD" w14:paraId="73A60D0F" w14:textId="77777777" w:rsidTr="003C49AD">
        <w:trPr>
          <w:cantSplit/>
          <w:tblHeader/>
        </w:trPr>
        <w:tc>
          <w:tcPr>
            <w:tcW w:w="1413" w:type="dxa"/>
          </w:tcPr>
          <w:p w14:paraId="3379FBC7" w14:textId="77777777" w:rsidR="003C49AD" w:rsidRPr="00D16F12" w:rsidRDefault="003C49AD" w:rsidP="003C49AD">
            <w:pPr>
              <w:pStyle w:val="Tabletext"/>
              <w:keepNext/>
              <w:rPr>
                <w:b/>
              </w:rPr>
            </w:pPr>
            <w:r w:rsidRPr="00D16F12">
              <w:rPr>
                <w:b/>
              </w:rPr>
              <w:t>Threat factor</w:t>
            </w:r>
          </w:p>
        </w:tc>
        <w:tc>
          <w:tcPr>
            <w:tcW w:w="1843" w:type="dxa"/>
          </w:tcPr>
          <w:p w14:paraId="69BCCA59" w14:textId="3367A55B" w:rsidR="003C49AD" w:rsidRPr="00D16F12" w:rsidRDefault="003C49AD" w:rsidP="002C671C">
            <w:pPr>
              <w:pStyle w:val="Tabletext"/>
              <w:keepNext/>
              <w:rPr>
                <w:b/>
              </w:rPr>
            </w:pPr>
            <w:r w:rsidRPr="00D16F12">
              <w:rPr>
                <w:b/>
              </w:rPr>
              <w:t>Threat Status/Impact</w:t>
            </w:r>
          </w:p>
        </w:tc>
        <w:tc>
          <w:tcPr>
            <w:tcW w:w="5811" w:type="dxa"/>
          </w:tcPr>
          <w:p w14:paraId="0AAB95FF" w14:textId="77777777" w:rsidR="003C49AD" w:rsidRPr="00D16F12" w:rsidRDefault="003C49AD" w:rsidP="003C49AD">
            <w:pPr>
              <w:pStyle w:val="Tabletext"/>
              <w:keepNext/>
              <w:rPr>
                <w:b/>
              </w:rPr>
            </w:pPr>
            <w:r w:rsidRPr="00D16F12">
              <w:rPr>
                <w:b/>
              </w:rPr>
              <w:t>Summary</w:t>
            </w:r>
          </w:p>
        </w:tc>
      </w:tr>
      <w:tr w:rsidR="003C49AD" w:rsidRPr="003C49AD" w14:paraId="483170CD" w14:textId="77777777" w:rsidTr="003C49AD">
        <w:trPr>
          <w:cantSplit/>
        </w:trPr>
        <w:tc>
          <w:tcPr>
            <w:tcW w:w="9067" w:type="dxa"/>
            <w:gridSpan w:val="3"/>
            <w:shd w:val="clear" w:color="auto" w:fill="D0CECE" w:themeFill="background2" w:themeFillShade="E6"/>
          </w:tcPr>
          <w:p w14:paraId="444FE5D8" w14:textId="77777777" w:rsidR="003C49AD" w:rsidRPr="00D16F12" w:rsidRDefault="003C49AD" w:rsidP="003C49AD">
            <w:pPr>
              <w:pStyle w:val="Tabletext"/>
              <w:keepNext/>
              <w:rPr>
                <w:b/>
              </w:rPr>
            </w:pPr>
            <w:r w:rsidRPr="00D16F12">
              <w:rPr>
                <w:b/>
              </w:rPr>
              <w:t>Conversion stresses</w:t>
            </w:r>
          </w:p>
        </w:tc>
      </w:tr>
      <w:tr w:rsidR="003C49AD" w:rsidRPr="003C49AD" w14:paraId="261CBE33" w14:textId="77777777" w:rsidTr="003C49AD">
        <w:trPr>
          <w:cantSplit/>
        </w:trPr>
        <w:tc>
          <w:tcPr>
            <w:tcW w:w="1413" w:type="dxa"/>
          </w:tcPr>
          <w:p w14:paraId="2BC14071" w14:textId="77777777" w:rsidR="003C49AD" w:rsidRPr="003C49AD" w:rsidRDefault="003C49AD" w:rsidP="003C49AD">
            <w:pPr>
              <w:pStyle w:val="Tabletext"/>
            </w:pPr>
            <w:r w:rsidRPr="003C49AD">
              <w:t>Agriculture (including silviculture)</w:t>
            </w:r>
          </w:p>
        </w:tc>
        <w:tc>
          <w:tcPr>
            <w:tcW w:w="1843" w:type="dxa"/>
          </w:tcPr>
          <w:p w14:paraId="2FD1EBF8" w14:textId="77777777" w:rsidR="003C49AD" w:rsidRPr="003C49AD" w:rsidRDefault="003C49AD" w:rsidP="003C49AD">
            <w:pPr>
              <w:pStyle w:val="Tabletext"/>
            </w:pPr>
            <w:r w:rsidRPr="003C49AD">
              <w:t>Timing: Mostly Past/Some Ongoing</w:t>
            </w:r>
          </w:p>
          <w:p w14:paraId="2356566C" w14:textId="77777777" w:rsidR="003C49AD" w:rsidRPr="003C49AD" w:rsidRDefault="003C49AD" w:rsidP="003C49AD">
            <w:pPr>
              <w:pStyle w:val="Tabletext"/>
            </w:pPr>
            <w:r w:rsidRPr="003C49AD">
              <w:t>Severity: Slow</w:t>
            </w:r>
          </w:p>
          <w:p w14:paraId="423E3218" w14:textId="77777777" w:rsidR="003C49AD" w:rsidRPr="003C49AD" w:rsidRDefault="003C49AD" w:rsidP="003C49AD">
            <w:pPr>
              <w:pStyle w:val="Tabletext"/>
            </w:pPr>
            <w:r w:rsidRPr="003C49AD">
              <w:t>Scope: Whole</w:t>
            </w:r>
          </w:p>
        </w:tc>
        <w:tc>
          <w:tcPr>
            <w:tcW w:w="5811" w:type="dxa"/>
          </w:tcPr>
          <w:p w14:paraId="671499C9" w14:textId="77777777" w:rsidR="003C49AD" w:rsidRPr="003C49AD" w:rsidRDefault="003C49AD" w:rsidP="003C49AD">
            <w:pPr>
              <w:pStyle w:val="Tabletext"/>
            </w:pPr>
            <w:r w:rsidRPr="003C49AD">
              <w:t xml:space="preserve">The ecological community has been extensively cleared in Tasmania over a long period since European settlement – particularly in northern Tasmania, primarily for agricultural use, and since about the 1980’s also for plantation establishment. It’s location on fertile soils and on flats and lower slopes in the vicinity of where many rural towns have developed made it a prime target for early clearing for agriculture. </w:t>
            </w:r>
          </w:p>
          <w:p w14:paraId="1C5C9069" w14:textId="77777777" w:rsidR="003C49AD" w:rsidRPr="003C49AD" w:rsidRDefault="003C49AD" w:rsidP="003C49AD">
            <w:pPr>
              <w:pStyle w:val="Tabletext"/>
            </w:pPr>
            <w:r w:rsidRPr="003C49AD">
              <w:t>Current land clearance associated with agriculture, including for irrigation (including dam developments, pipeline corridors and centre pivots), is also an ongoing threat.</w:t>
            </w:r>
          </w:p>
        </w:tc>
      </w:tr>
      <w:tr w:rsidR="003C49AD" w:rsidRPr="003C49AD" w14:paraId="5F63ABE9" w14:textId="77777777" w:rsidTr="003C49AD">
        <w:trPr>
          <w:cantSplit/>
        </w:trPr>
        <w:tc>
          <w:tcPr>
            <w:tcW w:w="1413" w:type="dxa"/>
          </w:tcPr>
          <w:p w14:paraId="37B96AE4" w14:textId="77777777" w:rsidR="003C49AD" w:rsidRPr="003C49AD" w:rsidRDefault="003C49AD" w:rsidP="003C49AD">
            <w:pPr>
              <w:pStyle w:val="Tabletext"/>
            </w:pPr>
            <w:r w:rsidRPr="003C49AD">
              <w:t>Residential and commercial development</w:t>
            </w:r>
          </w:p>
        </w:tc>
        <w:tc>
          <w:tcPr>
            <w:tcW w:w="1843" w:type="dxa"/>
          </w:tcPr>
          <w:p w14:paraId="5F4687CA" w14:textId="77777777" w:rsidR="003C49AD" w:rsidRPr="003C49AD" w:rsidRDefault="003C49AD" w:rsidP="003C49AD">
            <w:pPr>
              <w:pStyle w:val="Tabletext"/>
            </w:pPr>
            <w:r w:rsidRPr="003C49AD">
              <w:t>Timing: Ongoing</w:t>
            </w:r>
          </w:p>
          <w:p w14:paraId="2FD43DDB" w14:textId="77777777" w:rsidR="003C49AD" w:rsidRPr="003C49AD" w:rsidRDefault="003C49AD" w:rsidP="003C49AD">
            <w:pPr>
              <w:pStyle w:val="Tabletext"/>
            </w:pPr>
            <w:r w:rsidRPr="003C49AD">
              <w:t>Severity: Slow</w:t>
            </w:r>
          </w:p>
          <w:p w14:paraId="7C55BC7E" w14:textId="77777777" w:rsidR="003C49AD" w:rsidRPr="003C49AD" w:rsidRDefault="003C49AD" w:rsidP="003C49AD">
            <w:pPr>
              <w:pStyle w:val="Tabletext"/>
            </w:pPr>
            <w:r w:rsidRPr="003C49AD">
              <w:t>Scope: Minority</w:t>
            </w:r>
          </w:p>
        </w:tc>
        <w:tc>
          <w:tcPr>
            <w:tcW w:w="5811" w:type="dxa"/>
          </w:tcPr>
          <w:p w14:paraId="002D27FC" w14:textId="77777777" w:rsidR="003C49AD" w:rsidRPr="003C49AD" w:rsidRDefault="003C49AD" w:rsidP="003C49AD">
            <w:pPr>
              <w:pStyle w:val="Tabletext"/>
            </w:pPr>
            <w:r w:rsidRPr="003C49AD">
              <w:t>Land clearing is now increasingly due to urban and infrastructure projects (including roads, powerlines, gas pipelines, telecommunications etc). This is a threat to remnants around Hobart, Ulverstone, Devonport, Burnie and Wynyard. This threat involves clearing of entire remnants as well as incremental damage from tree removal or lopping, or removal of native understorey vegetation.</w:t>
            </w:r>
          </w:p>
        </w:tc>
      </w:tr>
      <w:tr w:rsidR="003C49AD" w:rsidRPr="00D16F12" w14:paraId="2675D98A" w14:textId="77777777" w:rsidTr="003C49AD">
        <w:trPr>
          <w:cantSplit/>
        </w:trPr>
        <w:tc>
          <w:tcPr>
            <w:tcW w:w="9067" w:type="dxa"/>
            <w:gridSpan w:val="3"/>
            <w:shd w:val="clear" w:color="auto" w:fill="D0CECE" w:themeFill="background2" w:themeFillShade="E6"/>
          </w:tcPr>
          <w:p w14:paraId="0DC700C9" w14:textId="77777777" w:rsidR="003C49AD" w:rsidRPr="00D16F12" w:rsidRDefault="003C49AD" w:rsidP="002C671C">
            <w:pPr>
              <w:pStyle w:val="Tabletext"/>
              <w:keepNext/>
              <w:rPr>
                <w:b/>
              </w:rPr>
            </w:pPr>
            <w:r w:rsidRPr="00D16F12">
              <w:rPr>
                <w:b/>
              </w:rPr>
              <w:t>Degradation stresses</w:t>
            </w:r>
          </w:p>
        </w:tc>
      </w:tr>
      <w:tr w:rsidR="003C49AD" w:rsidRPr="003C49AD" w14:paraId="2EF0E0D0" w14:textId="77777777" w:rsidTr="003C49AD">
        <w:trPr>
          <w:cantSplit/>
        </w:trPr>
        <w:tc>
          <w:tcPr>
            <w:tcW w:w="1413" w:type="dxa"/>
          </w:tcPr>
          <w:p w14:paraId="122757A8" w14:textId="77777777" w:rsidR="003C49AD" w:rsidRPr="003C49AD" w:rsidRDefault="003C49AD" w:rsidP="003C49AD">
            <w:pPr>
              <w:pStyle w:val="Tabletext"/>
            </w:pPr>
            <w:r w:rsidRPr="003C49AD">
              <w:t>Agriculture (including silviculture)</w:t>
            </w:r>
          </w:p>
        </w:tc>
        <w:tc>
          <w:tcPr>
            <w:tcW w:w="1843" w:type="dxa"/>
          </w:tcPr>
          <w:p w14:paraId="0A5A7751" w14:textId="77777777" w:rsidR="003C49AD" w:rsidRPr="003C49AD" w:rsidRDefault="003C49AD" w:rsidP="003C49AD">
            <w:pPr>
              <w:pStyle w:val="Tabletext"/>
            </w:pPr>
            <w:r w:rsidRPr="003C49AD">
              <w:t>Timing: Mostly Past/Some Ongoing</w:t>
            </w:r>
          </w:p>
          <w:p w14:paraId="4BA00324" w14:textId="77777777" w:rsidR="003C49AD" w:rsidRPr="003C49AD" w:rsidRDefault="003C49AD" w:rsidP="003C49AD">
            <w:pPr>
              <w:pStyle w:val="Tabletext"/>
            </w:pPr>
            <w:r w:rsidRPr="003C49AD">
              <w:t>Severity: Slow</w:t>
            </w:r>
          </w:p>
          <w:p w14:paraId="54A55611" w14:textId="77777777" w:rsidR="003C49AD" w:rsidRPr="003C49AD" w:rsidRDefault="003C49AD" w:rsidP="003C49AD">
            <w:pPr>
              <w:pStyle w:val="Tabletext"/>
            </w:pPr>
            <w:r w:rsidRPr="003C49AD">
              <w:t>Scope: Minority</w:t>
            </w:r>
          </w:p>
        </w:tc>
        <w:tc>
          <w:tcPr>
            <w:tcW w:w="5811" w:type="dxa"/>
          </w:tcPr>
          <w:p w14:paraId="65E3A9C8" w14:textId="77777777" w:rsidR="003C49AD" w:rsidRPr="003C49AD" w:rsidRDefault="003C49AD" w:rsidP="003C49AD">
            <w:pPr>
              <w:pStyle w:val="Tabletext"/>
            </w:pPr>
            <w:r w:rsidRPr="003C49AD">
              <w:t>Degradation resulting from agriculture arises from three main sources (as well as contributing to invasive species below):</w:t>
            </w:r>
          </w:p>
          <w:p w14:paraId="69F5552A" w14:textId="77777777" w:rsidR="003C49AD" w:rsidRPr="003C49AD" w:rsidRDefault="003C49AD" w:rsidP="003C49AD">
            <w:pPr>
              <w:pStyle w:val="Tabletext"/>
              <w:rPr>
                <w:i/>
              </w:rPr>
            </w:pPr>
            <w:r w:rsidRPr="003C49AD">
              <w:rPr>
                <w:i/>
              </w:rPr>
              <w:t>Fragmentation legacies</w:t>
            </w:r>
          </w:p>
          <w:p w14:paraId="03D12199" w14:textId="77777777" w:rsidR="003C49AD" w:rsidRPr="003C49AD" w:rsidRDefault="003C49AD" w:rsidP="003C49AD">
            <w:pPr>
              <w:pStyle w:val="Tabletext"/>
            </w:pPr>
            <w:r w:rsidRPr="003C49AD">
              <w:t xml:space="preserve">Historic clearance of the ecological community as well as other surrounding vegetation has resulted in severe fragmentation and invasion by exotic species, which leads to ongoing loss of species diversity and ecological function in remaining patches; and greater vulnerability and reduced resilience of smaller patches to stochastic events. Vegetation communities comprised of many small fragments have a high edge-to-area ratio, which increases potential harm done through threatening processes such as weed invasion and incremental clearing, and overall are more difficult to manage for biodiversity. The ecological community is highly fragmented with the majority of remnants now less than 5 ha in size. </w:t>
            </w:r>
          </w:p>
          <w:p w14:paraId="0902AF4C" w14:textId="77777777" w:rsidR="003C49AD" w:rsidRPr="003C49AD" w:rsidRDefault="003C49AD" w:rsidP="003C49AD">
            <w:pPr>
              <w:pStyle w:val="Tabletext"/>
              <w:rPr>
                <w:i/>
              </w:rPr>
            </w:pPr>
            <w:r w:rsidRPr="003C49AD">
              <w:rPr>
                <w:i/>
              </w:rPr>
              <w:t>Livestock grazing</w:t>
            </w:r>
          </w:p>
          <w:p w14:paraId="470B9960" w14:textId="77777777" w:rsidR="003C49AD" w:rsidRPr="003C49AD" w:rsidRDefault="003C49AD" w:rsidP="003C49AD">
            <w:pPr>
              <w:pStyle w:val="Tabletext"/>
            </w:pPr>
            <w:r w:rsidRPr="003C49AD">
              <w:t xml:space="preserve">Other impacts occur from inappropriate grazing regimes by domestic stock. </w:t>
            </w:r>
          </w:p>
          <w:p w14:paraId="2307DC81" w14:textId="77777777" w:rsidR="003C49AD" w:rsidRPr="003C49AD" w:rsidRDefault="003C49AD" w:rsidP="003C49AD">
            <w:pPr>
              <w:pStyle w:val="Tabletext"/>
              <w:rPr>
                <w:i/>
              </w:rPr>
            </w:pPr>
            <w:r w:rsidRPr="003C49AD">
              <w:rPr>
                <w:i/>
              </w:rPr>
              <w:t>Hybridisation of trees related to silviculture</w:t>
            </w:r>
          </w:p>
          <w:p w14:paraId="7FA31887" w14:textId="77777777" w:rsidR="003C49AD" w:rsidRPr="003C49AD" w:rsidRDefault="003C49AD" w:rsidP="003C49AD">
            <w:pPr>
              <w:pStyle w:val="Tabletext"/>
            </w:pPr>
            <w:r w:rsidRPr="003C49AD">
              <w:t xml:space="preserve">Hybridisation of </w:t>
            </w:r>
            <w:r w:rsidRPr="003C49AD">
              <w:rPr>
                <w:i/>
              </w:rPr>
              <w:t>E. viminalis</w:t>
            </w:r>
            <w:r w:rsidRPr="003C49AD">
              <w:t xml:space="preserve"> with plantation species, particularly </w:t>
            </w:r>
            <w:r w:rsidRPr="003C49AD">
              <w:rPr>
                <w:i/>
              </w:rPr>
              <w:t>Eucalyptus nitens</w:t>
            </w:r>
            <w:r w:rsidRPr="003C49AD">
              <w:t xml:space="preserve"> (shining gum) is also a potential threat (FPA 2011).</w:t>
            </w:r>
          </w:p>
        </w:tc>
      </w:tr>
      <w:tr w:rsidR="003C49AD" w:rsidRPr="003C49AD" w14:paraId="1F4C0785" w14:textId="77777777" w:rsidTr="003C49AD">
        <w:trPr>
          <w:cantSplit/>
        </w:trPr>
        <w:tc>
          <w:tcPr>
            <w:tcW w:w="1413" w:type="dxa"/>
          </w:tcPr>
          <w:p w14:paraId="69ED6972" w14:textId="77777777" w:rsidR="003C49AD" w:rsidRPr="003C49AD" w:rsidRDefault="003C49AD" w:rsidP="003C49AD">
            <w:pPr>
              <w:pStyle w:val="Tabletext"/>
            </w:pPr>
            <w:r w:rsidRPr="003C49AD">
              <w:lastRenderedPageBreak/>
              <w:t>Natural System Modifications - Fire</w:t>
            </w:r>
          </w:p>
        </w:tc>
        <w:tc>
          <w:tcPr>
            <w:tcW w:w="1843" w:type="dxa"/>
          </w:tcPr>
          <w:p w14:paraId="53F32B1B" w14:textId="77777777" w:rsidR="003C49AD" w:rsidRPr="003C49AD" w:rsidRDefault="003C49AD" w:rsidP="003C49AD">
            <w:pPr>
              <w:pStyle w:val="Tabletext"/>
            </w:pPr>
            <w:r w:rsidRPr="003C49AD">
              <w:t>Timing: Ongoing</w:t>
            </w:r>
          </w:p>
          <w:p w14:paraId="32C98BD8" w14:textId="77777777" w:rsidR="003C49AD" w:rsidRPr="003C49AD" w:rsidRDefault="003C49AD" w:rsidP="003C49AD">
            <w:pPr>
              <w:pStyle w:val="Tabletext"/>
            </w:pPr>
            <w:r w:rsidRPr="003C49AD">
              <w:t>Severity: Slow</w:t>
            </w:r>
          </w:p>
          <w:p w14:paraId="7906998F" w14:textId="77777777" w:rsidR="003C49AD" w:rsidRPr="003C49AD" w:rsidRDefault="003C49AD" w:rsidP="003C49AD">
            <w:pPr>
              <w:pStyle w:val="Tabletext"/>
            </w:pPr>
            <w:r w:rsidRPr="003C49AD">
              <w:t>Scope: Minority</w:t>
            </w:r>
          </w:p>
        </w:tc>
        <w:tc>
          <w:tcPr>
            <w:tcW w:w="5811" w:type="dxa"/>
          </w:tcPr>
          <w:p w14:paraId="0D3DF6B8" w14:textId="77777777" w:rsidR="003C49AD" w:rsidRPr="003C49AD" w:rsidRDefault="003C49AD" w:rsidP="003C49AD">
            <w:pPr>
              <w:pStyle w:val="Tabletext"/>
            </w:pPr>
            <w:r w:rsidRPr="003C49AD">
              <w:t>Wet forests are adapted to infrequent (fire intervals of 100 to 350 years) high intensity fires which result in a total reduction of the forest to an ash bed, followed by mass seedbed germination. More frequent but lower intensity fires are now more common (Kitchener and Harris 2013), and may become more common in the future, in areas where the ecological community occurs. This is a likely consequence of both a changing climate and changing management practices to mitigate fire risk to property.</w:t>
            </w:r>
          </w:p>
          <w:p w14:paraId="1D2E9663" w14:textId="77777777" w:rsidR="003C49AD" w:rsidRPr="003C49AD" w:rsidRDefault="003C49AD" w:rsidP="003C49AD">
            <w:pPr>
              <w:pStyle w:val="Tabletext"/>
            </w:pPr>
            <w:r w:rsidRPr="003C49AD">
              <w:t>More frequent fires may result in simplification of the understorey and establishment of weeds. In many cases the ecological community occurs as remnants in agricultural regions, it is heavily burnt and a disclimax understorey of bracken can dominate (Kitchener and Harris 2013). Repetitive burning of a site can have dire consequences for wet eucalypt forest communities. A second fire prior to newly regenerated seedlings reaching sexual maturity may entirely eliminate a species from an area due to a lack of propagules (Jackson 1981)</w:t>
            </w:r>
          </w:p>
        </w:tc>
      </w:tr>
      <w:tr w:rsidR="003C49AD" w:rsidRPr="003C49AD" w14:paraId="7E085598" w14:textId="77777777" w:rsidTr="003C49AD">
        <w:trPr>
          <w:cantSplit/>
        </w:trPr>
        <w:tc>
          <w:tcPr>
            <w:tcW w:w="1413" w:type="dxa"/>
          </w:tcPr>
          <w:p w14:paraId="42C92B98" w14:textId="77777777" w:rsidR="003C49AD" w:rsidRPr="003C49AD" w:rsidRDefault="003C49AD" w:rsidP="003C49AD">
            <w:pPr>
              <w:pStyle w:val="Tabletext"/>
            </w:pPr>
            <w:r w:rsidRPr="003C49AD">
              <w:t>Invasive species</w:t>
            </w:r>
          </w:p>
        </w:tc>
        <w:tc>
          <w:tcPr>
            <w:tcW w:w="1843" w:type="dxa"/>
          </w:tcPr>
          <w:p w14:paraId="3A9A3B7D" w14:textId="77777777" w:rsidR="003C49AD" w:rsidRPr="003C49AD" w:rsidRDefault="003C49AD" w:rsidP="003C49AD">
            <w:pPr>
              <w:pStyle w:val="Tabletext"/>
            </w:pPr>
            <w:r w:rsidRPr="003C49AD">
              <w:t>Timing: Ongoing</w:t>
            </w:r>
          </w:p>
          <w:p w14:paraId="49E8F902" w14:textId="77777777" w:rsidR="003C49AD" w:rsidRPr="003C49AD" w:rsidRDefault="003C49AD" w:rsidP="003C49AD">
            <w:pPr>
              <w:pStyle w:val="Tabletext"/>
            </w:pPr>
            <w:r w:rsidRPr="003C49AD">
              <w:t>Severity: Slow</w:t>
            </w:r>
          </w:p>
          <w:p w14:paraId="09A5B053" w14:textId="77777777" w:rsidR="003C49AD" w:rsidRPr="003C49AD" w:rsidRDefault="003C49AD" w:rsidP="003C49AD">
            <w:pPr>
              <w:pStyle w:val="Tabletext"/>
            </w:pPr>
            <w:r w:rsidRPr="003C49AD">
              <w:t>Scope: Majority</w:t>
            </w:r>
          </w:p>
        </w:tc>
        <w:tc>
          <w:tcPr>
            <w:tcW w:w="5811" w:type="dxa"/>
          </w:tcPr>
          <w:p w14:paraId="346A1786" w14:textId="77777777" w:rsidR="003C49AD" w:rsidRPr="003C49AD" w:rsidRDefault="003C49AD" w:rsidP="003C49AD">
            <w:pPr>
              <w:pStyle w:val="Tabletext"/>
            </w:pPr>
            <w:r w:rsidRPr="003C49AD">
              <w:t>Undisturbed wet forests are generally resistant to weed invasion, although bird dispersed species such as holly (</w:t>
            </w:r>
            <w:r w:rsidRPr="003C49AD">
              <w:rPr>
                <w:i/>
              </w:rPr>
              <w:t>Ilex aquifolium</w:t>
            </w:r>
            <w:r w:rsidRPr="003C49AD">
              <w:t>) are capable of invading undisturbed wet forests (FPA 2017). However, if disturbed or fragmented, the ecological community is increasingly vulnerable to weed species. In areas that have been disturbed, or on forest edges, species such as Elisha’s tears (</w:t>
            </w:r>
            <w:r w:rsidRPr="003C49AD">
              <w:rPr>
                <w:i/>
              </w:rPr>
              <w:t>Leycesteria formosa</w:t>
            </w:r>
            <w:r w:rsidRPr="003C49AD">
              <w:t>), blackberry (</w:t>
            </w:r>
            <w:r w:rsidRPr="003C49AD">
              <w:rPr>
                <w:i/>
              </w:rPr>
              <w:t>Rubus fruticosus</w:t>
            </w:r>
            <w:r w:rsidRPr="003C49AD">
              <w:t>), gorse (</w:t>
            </w:r>
            <w:r w:rsidRPr="003C49AD">
              <w:rPr>
                <w:i/>
              </w:rPr>
              <w:t>Ulex europaeus</w:t>
            </w:r>
            <w:r w:rsidRPr="003C49AD">
              <w:t>), English broom (</w:t>
            </w:r>
            <w:r w:rsidRPr="003C49AD">
              <w:rPr>
                <w:i/>
              </w:rPr>
              <w:t>Cytisus scoparius</w:t>
            </w:r>
            <w:r w:rsidRPr="003C49AD">
              <w:t>) and foxglove (</w:t>
            </w:r>
            <w:r w:rsidRPr="003C49AD">
              <w:rPr>
                <w:i/>
              </w:rPr>
              <w:t>Digitalis purpurea</w:t>
            </w:r>
            <w:r w:rsidRPr="003C49AD">
              <w:t>) may be invasive (Kitchener and Harris 2013).</w:t>
            </w:r>
          </w:p>
          <w:p w14:paraId="6515526F" w14:textId="77777777" w:rsidR="003C49AD" w:rsidRPr="003C49AD" w:rsidRDefault="003C49AD" w:rsidP="003C49AD">
            <w:pPr>
              <w:pStyle w:val="Tabletext"/>
            </w:pPr>
            <w:r w:rsidRPr="003C49AD">
              <w:t>The ecological community in the central north often contains infestations of blackberry, with Elisha’s tears, broom, radiata pine (</w:t>
            </w:r>
            <w:r w:rsidRPr="003C49AD">
              <w:rPr>
                <w:i/>
              </w:rPr>
              <w:t>Pinus radiata</w:t>
            </w:r>
            <w:r w:rsidRPr="003C49AD">
              <w:t>) and hawthorn (</w:t>
            </w:r>
            <w:r w:rsidRPr="003C49AD">
              <w:rPr>
                <w:i/>
              </w:rPr>
              <w:t>Crataegus monogyna</w:t>
            </w:r>
            <w:r w:rsidRPr="003C49AD">
              <w:t>) common in some localities. Other weed species recorded in the ecological community include pampas grass (</w:t>
            </w:r>
            <w:r w:rsidRPr="003C49AD">
              <w:rPr>
                <w:i/>
              </w:rPr>
              <w:t>Cortaderia spp</w:t>
            </w:r>
            <w:r w:rsidRPr="003C49AD">
              <w:t>), Erica (</w:t>
            </w:r>
            <w:r w:rsidRPr="003C49AD">
              <w:rPr>
                <w:i/>
              </w:rPr>
              <w:t>Erica lusitanica</w:t>
            </w:r>
            <w:r w:rsidRPr="003C49AD">
              <w:t>), thistles (</w:t>
            </w:r>
            <w:r w:rsidRPr="003C49AD">
              <w:rPr>
                <w:i/>
              </w:rPr>
              <w:t>Cirsium spp</w:t>
            </w:r>
            <w:r w:rsidRPr="003C49AD">
              <w:t>), cotoneaster (</w:t>
            </w:r>
            <w:r w:rsidRPr="003C49AD">
              <w:rPr>
                <w:i/>
              </w:rPr>
              <w:t>Cotoneaster spp</w:t>
            </w:r>
            <w:r w:rsidRPr="003C49AD">
              <w:t>), ragwort (</w:t>
            </w:r>
            <w:r w:rsidRPr="003C49AD">
              <w:rPr>
                <w:i/>
              </w:rPr>
              <w:t>Senecio jacobea</w:t>
            </w:r>
            <w:r w:rsidRPr="003C49AD">
              <w:t>) and smaller herbs and grasses (Craven, 2002).</w:t>
            </w:r>
          </w:p>
        </w:tc>
      </w:tr>
      <w:tr w:rsidR="003C49AD" w:rsidRPr="003C49AD" w14:paraId="41CD3F31" w14:textId="77777777" w:rsidTr="003C49AD">
        <w:trPr>
          <w:cantSplit/>
        </w:trPr>
        <w:tc>
          <w:tcPr>
            <w:tcW w:w="1413" w:type="dxa"/>
          </w:tcPr>
          <w:p w14:paraId="20C8B04A" w14:textId="77777777" w:rsidR="003C49AD" w:rsidRPr="003C49AD" w:rsidRDefault="003C49AD" w:rsidP="003C49AD">
            <w:pPr>
              <w:pStyle w:val="Tabletext"/>
            </w:pPr>
            <w:r w:rsidRPr="003C49AD">
              <w:t>Climate change and severe weather</w:t>
            </w:r>
          </w:p>
        </w:tc>
        <w:tc>
          <w:tcPr>
            <w:tcW w:w="1843" w:type="dxa"/>
          </w:tcPr>
          <w:p w14:paraId="4E1FDB54" w14:textId="77777777" w:rsidR="003C49AD" w:rsidRPr="003C49AD" w:rsidRDefault="003C49AD" w:rsidP="003C49AD">
            <w:pPr>
              <w:pStyle w:val="Tabletext"/>
            </w:pPr>
            <w:r w:rsidRPr="003C49AD">
              <w:t>Timing: Ongoing</w:t>
            </w:r>
          </w:p>
          <w:p w14:paraId="372DF431" w14:textId="77777777" w:rsidR="003C49AD" w:rsidRPr="003C49AD" w:rsidRDefault="003C49AD" w:rsidP="003C49AD">
            <w:pPr>
              <w:pStyle w:val="Tabletext"/>
            </w:pPr>
            <w:r w:rsidRPr="003C49AD">
              <w:t>Severity: Rapid</w:t>
            </w:r>
          </w:p>
          <w:p w14:paraId="78FDCAFF" w14:textId="77777777" w:rsidR="003C49AD" w:rsidRPr="003C49AD" w:rsidRDefault="003C49AD" w:rsidP="003C49AD">
            <w:pPr>
              <w:pStyle w:val="Tabletext"/>
            </w:pPr>
            <w:r w:rsidRPr="003C49AD">
              <w:t>Scope: Majority</w:t>
            </w:r>
          </w:p>
        </w:tc>
        <w:tc>
          <w:tcPr>
            <w:tcW w:w="5811" w:type="dxa"/>
          </w:tcPr>
          <w:p w14:paraId="392AEFAE" w14:textId="7532FBC0" w:rsidR="00D42BC3" w:rsidRDefault="00D42BC3" w:rsidP="00990DB0">
            <w:pPr>
              <w:pStyle w:val="Tabletext"/>
            </w:pPr>
            <w:r w:rsidRPr="00D42BC3">
              <w:rPr>
                <w:i/>
              </w:rPr>
              <w:t>Eucalyptus viminalis</w:t>
            </w:r>
            <w:r>
              <w:t xml:space="preserve"> is known to be highly susceptible to stress due to climatic factors and c</w:t>
            </w:r>
            <w:r w:rsidRPr="00990DB0">
              <w:t>limate change projections indicate an increasing frequency and intensity of heat waves</w:t>
            </w:r>
            <w:r>
              <w:t>.</w:t>
            </w:r>
          </w:p>
          <w:p w14:paraId="73E20B02" w14:textId="1A3FA706" w:rsidR="00990DB0" w:rsidRPr="00990DB0" w:rsidRDefault="00990DB0" w:rsidP="00D42BC3">
            <w:pPr>
              <w:pStyle w:val="Tabletext"/>
            </w:pPr>
            <w:r w:rsidRPr="00990DB0">
              <w:t xml:space="preserve">‘Ginger tree syndrome’ is the term given to a condition affecting eucalypts, often following extreme heat events. </w:t>
            </w:r>
            <w:r w:rsidR="00D42BC3" w:rsidRPr="00990DB0">
              <w:t xml:space="preserve">Elevated ambient air temperatures can cause water stress and hence shrinkage of the bark and trunk leading to the production of kino (Mitchell 2015). </w:t>
            </w:r>
            <w:r w:rsidR="00D42BC3">
              <w:t>The syndrome</w:t>
            </w:r>
            <w:r w:rsidRPr="00990DB0">
              <w:t xml:space="preserve"> is typified by the seeping of kino through the bark, turning the trees ‘ginger’ and providing a visual means of identifying affected trees. </w:t>
            </w:r>
            <w:r w:rsidR="00D42BC3" w:rsidRPr="00990DB0">
              <w:t>Tree mortality typically follows within 12 months.</w:t>
            </w:r>
            <w:r w:rsidR="002158B9">
              <w:t xml:space="preserve"> </w:t>
            </w:r>
            <w:r w:rsidR="002158B9" w:rsidRPr="002158B9">
              <w:t>The loss of canopy trees has the potential to substantially alter the character and function of the ecological community.</w:t>
            </w:r>
          </w:p>
        </w:tc>
      </w:tr>
    </w:tbl>
    <w:p w14:paraId="79FE1131" w14:textId="77777777" w:rsidR="003C49AD" w:rsidRPr="003C49AD" w:rsidRDefault="003C49AD" w:rsidP="003C49AD">
      <w:pPr>
        <w:pStyle w:val="Heading2"/>
      </w:pPr>
      <w:bookmarkStart w:id="14" w:name="_Toc24970997"/>
      <w:r w:rsidRPr="003C49AD">
        <w:lastRenderedPageBreak/>
        <w:t>Key threatening processes</w:t>
      </w:r>
      <w:bookmarkEnd w:id="14"/>
    </w:p>
    <w:p w14:paraId="22E66F33" w14:textId="77777777" w:rsidR="003C49AD" w:rsidRPr="003C49AD" w:rsidRDefault="003C49AD" w:rsidP="007C5F74">
      <w:pPr>
        <w:keepNext/>
        <w:keepLines/>
      </w:pPr>
      <w:r w:rsidRPr="003C49AD">
        <w:t xml:space="preserve">The EPBC Act provides for the identification and listing of key threatening processes. A threatening process is defined as a key threatening process if it threatens or may threaten the survival, abundance or evolutionary development of a native species or ecological community. </w:t>
      </w:r>
    </w:p>
    <w:p w14:paraId="7D44CEAA" w14:textId="77777777" w:rsidR="003C49AD" w:rsidRPr="003C49AD" w:rsidRDefault="003C49AD" w:rsidP="003C49AD">
      <w:r w:rsidRPr="003C49AD">
        <w:t>The following are EPBC-listed key threatening processes, current at the date of writing, that may be relevant to the ecological community or the plants and animals that comprise it:</w:t>
      </w:r>
    </w:p>
    <w:p w14:paraId="53B9597A" w14:textId="77777777" w:rsidR="003C49AD" w:rsidRPr="003C49AD" w:rsidRDefault="003C49AD" w:rsidP="00A47F50">
      <w:pPr>
        <w:numPr>
          <w:ilvl w:val="0"/>
          <w:numId w:val="17"/>
        </w:numPr>
      </w:pPr>
      <w:r w:rsidRPr="003C49AD">
        <w:t>Land clearance;</w:t>
      </w:r>
    </w:p>
    <w:p w14:paraId="08AA71C5" w14:textId="77777777" w:rsidR="003C49AD" w:rsidRPr="003C49AD" w:rsidRDefault="003C49AD" w:rsidP="00A47F50">
      <w:pPr>
        <w:numPr>
          <w:ilvl w:val="0"/>
          <w:numId w:val="17"/>
        </w:numPr>
      </w:pPr>
      <w:r w:rsidRPr="003C49AD">
        <w:t>Loss of climatic habitat caused by anthropogenic emissions of greenhouse gases;</w:t>
      </w:r>
    </w:p>
    <w:p w14:paraId="0DDB3AE2" w14:textId="77777777" w:rsidR="003C49AD" w:rsidRPr="003C49AD" w:rsidRDefault="003C49AD" w:rsidP="00A47F50">
      <w:pPr>
        <w:numPr>
          <w:ilvl w:val="0"/>
          <w:numId w:val="17"/>
        </w:numPr>
      </w:pPr>
      <w:r w:rsidRPr="003C49AD">
        <w:t>Novel biota and their impact on biodiversity;</w:t>
      </w:r>
    </w:p>
    <w:p w14:paraId="2E6E98F0" w14:textId="77777777" w:rsidR="003C49AD" w:rsidRPr="003C49AD" w:rsidRDefault="003C49AD" w:rsidP="00A47F50">
      <w:pPr>
        <w:numPr>
          <w:ilvl w:val="0"/>
          <w:numId w:val="17"/>
        </w:numPr>
      </w:pPr>
      <w:r w:rsidRPr="003C49AD">
        <w:t>Loss and degradation of native plant and animal habitat by invasion of escaped garden plants, including aquatic plants;</w:t>
      </w:r>
    </w:p>
    <w:p w14:paraId="63EE08CD" w14:textId="77777777" w:rsidR="003C49AD" w:rsidRPr="003C49AD" w:rsidRDefault="003C49AD" w:rsidP="00A47F50">
      <w:pPr>
        <w:numPr>
          <w:ilvl w:val="0"/>
          <w:numId w:val="17"/>
        </w:numPr>
      </w:pPr>
      <w:r w:rsidRPr="003C49AD">
        <w:t>Predation by feral cats; and</w:t>
      </w:r>
    </w:p>
    <w:p w14:paraId="3DD4839A" w14:textId="77777777" w:rsidR="003C49AD" w:rsidRPr="003C49AD" w:rsidRDefault="003C49AD" w:rsidP="00A47F50">
      <w:pPr>
        <w:numPr>
          <w:ilvl w:val="0"/>
          <w:numId w:val="17"/>
        </w:numPr>
      </w:pPr>
      <w:r w:rsidRPr="003C49AD">
        <w:t>Infection of amphibians with chytrid fungus resulting in chytridiomycosis.</w:t>
      </w:r>
    </w:p>
    <w:p w14:paraId="1CC990B3" w14:textId="77777777" w:rsidR="003C49AD" w:rsidRDefault="003C49AD" w:rsidP="003C49AD">
      <w:r w:rsidRPr="003C49AD">
        <w:t xml:space="preserve">Any approved threat abatement plans or advice associated with these items provides information to help landowners manage these threats and reduce their impacts to biodiversity. These can be found at </w:t>
      </w:r>
      <w:hyperlink r:id="rId9" w:history="1">
        <w:r w:rsidRPr="003C49AD">
          <w:rPr>
            <w:rStyle w:val="Hyperlink"/>
            <w:sz w:val="24"/>
          </w:rPr>
          <w:t>http://www.environment.gov.au/cgi-bin/sprat/public/publicgetkeythreats.pl</w:t>
        </w:r>
      </w:hyperlink>
      <w:r w:rsidRPr="003C49AD">
        <w:t xml:space="preserve">.  </w:t>
      </w:r>
    </w:p>
    <w:p w14:paraId="33720087" w14:textId="77777777" w:rsidR="00DB38F1" w:rsidRPr="00DB38F1" w:rsidRDefault="00DB38F1" w:rsidP="00DB38F1">
      <w:pPr>
        <w:pStyle w:val="Heading1"/>
      </w:pPr>
      <w:bookmarkStart w:id="15" w:name="_Ref23846807"/>
      <w:bookmarkStart w:id="16" w:name="_Toc24970998"/>
      <w:r w:rsidRPr="00DB38F1">
        <w:t>Existing protection</w:t>
      </w:r>
      <w:bookmarkEnd w:id="15"/>
      <w:bookmarkEnd w:id="16"/>
    </w:p>
    <w:p w14:paraId="378B0FDD" w14:textId="77777777" w:rsidR="00DB38F1" w:rsidRPr="00DB38F1" w:rsidRDefault="00DB38F1" w:rsidP="00DB38F1">
      <w:pPr>
        <w:pStyle w:val="Heading2"/>
      </w:pPr>
      <w:bookmarkStart w:id="17" w:name="_Toc24970999"/>
      <w:r w:rsidRPr="00DB38F1">
        <w:t>Extent of the community in conservation reserves</w:t>
      </w:r>
      <w:bookmarkEnd w:id="17"/>
    </w:p>
    <w:p w14:paraId="6CEC67F0" w14:textId="3D7BE6C2" w:rsidR="00DB38F1" w:rsidRPr="002158B9" w:rsidRDefault="00DB38F1" w:rsidP="002158B9">
      <w:r w:rsidRPr="00DB38F1">
        <w:t xml:space="preserve">The Tasmanian Government provides information for how much of each listed threatened </w:t>
      </w:r>
      <w:r w:rsidRPr="002158B9">
        <w:t xml:space="preserve">Tasmanian vegetation community occurs within conservation tenure </w:t>
      </w:r>
      <w:r w:rsidR="00B31C33" w:rsidRPr="002158B9">
        <w:t>(DPIPWE 2018a</w:t>
      </w:r>
      <w:r w:rsidRPr="002158B9">
        <w:t>). About 977 hectares or 13% of the remaining ecological community occurred in formal public reserves (dedicated and other) (</w:t>
      </w:r>
      <w:r w:rsidR="00B31C33" w:rsidRPr="002158B9">
        <w:fldChar w:fldCharType="begin"/>
      </w:r>
      <w:r w:rsidR="00B31C33" w:rsidRPr="002158B9">
        <w:instrText xml:space="preserve"> REF _Ref24015380 \h </w:instrText>
      </w:r>
      <w:r w:rsidR="002158B9" w:rsidRPr="002158B9">
        <w:instrText xml:space="preserve"> \* MERGEFORMAT </w:instrText>
      </w:r>
      <w:r w:rsidR="00B31C33" w:rsidRPr="002158B9">
        <w:fldChar w:fldCharType="separate"/>
      </w:r>
      <w:r w:rsidR="005E6E9C" w:rsidRPr="002158B9">
        <w:t xml:space="preserve">Table </w:t>
      </w:r>
      <w:r w:rsidR="005E6E9C">
        <w:rPr>
          <w:noProof/>
        </w:rPr>
        <w:t>2</w:t>
      </w:r>
      <w:r w:rsidR="00B31C33" w:rsidRPr="002158B9">
        <w:fldChar w:fldCharType="end"/>
      </w:r>
      <w:r w:rsidRPr="002158B9">
        <w:t>). About 2466 hectares or 32% of the remaining extent are currently within all forms of conservation tenure, including conservation covenants and stewardship or management agreements on private lands, with 68% of the remaining extent occurring outside reserves. This represents a reserved extent of approximately 3.2% of the original exten</w:t>
      </w:r>
      <w:r w:rsidR="00746258" w:rsidRPr="002158B9">
        <w:t>t of this ecological community.</w:t>
      </w:r>
    </w:p>
    <w:p w14:paraId="445C51D5" w14:textId="0EF77C58" w:rsidR="00DB38F1" w:rsidRPr="002158B9" w:rsidRDefault="00DB38F1" w:rsidP="002158B9">
      <w:pPr>
        <w:pStyle w:val="Caption"/>
      </w:pPr>
      <w:bookmarkStart w:id="18" w:name="_Ref24015380"/>
      <w:r w:rsidRPr="002158B9">
        <w:t xml:space="preserve">Table </w:t>
      </w:r>
      <w:r w:rsidR="00092678">
        <w:rPr>
          <w:noProof/>
        </w:rPr>
        <w:fldChar w:fldCharType="begin"/>
      </w:r>
      <w:r w:rsidR="00092678">
        <w:rPr>
          <w:noProof/>
        </w:rPr>
        <w:instrText xml:space="preserve"> SEQ Table \* ARABIC </w:instrText>
      </w:r>
      <w:r w:rsidR="00092678">
        <w:rPr>
          <w:noProof/>
        </w:rPr>
        <w:fldChar w:fldCharType="separate"/>
      </w:r>
      <w:r w:rsidR="005E6E9C">
        <w:rPr>
          <w:noProof/>
        </w:rPr>
        <w:t>2</w:t>
      </w:r>
      <w:r w:rsidR="00092678">
        <w:rPr>
          <w:noProof/>
        </w:rPr>
        <w:fldChar w:fldCharType="end"/>
      </w:r>
      <w:bookmarkEnd w:id="18"/>
      <w:r w:rsidR="008E7150" w:rsidRPr="002158B9">
        <w:t xml:space="preserve">: Extent </w:t>
      </w:r>
      <w:r w:rsidRPr="002158B9">
        <w:t>in reserves</w:t>
      </w:r>
    </w:p>
    <w:tbl>
      <w:tblPr>
        <w:tblStyle w:val="TableGrid"/>
        <w:tblW w:w="0" w:type="auto"/>
        <w:tblLook w:val="04A0" w:firstRow="1" w:lastRow="0" w:firstColumn="1" w:lastColumn="0" w:noHBand="0" w:noVBand="1"/>
      </w:tblPr>
      <w:tblGrid>
        <w:gridCol w:w="3810"/>
        <w:gridCol w:w="1430"/>
        <w:gridCol w:w="1843"/>
        <w:gridCol w:w="1933"/>
      </w:tblGrid>
      <w:tr w:rsidR="00DB38F1" w:rsidRPr="002158B9" w14:paraId="501667FF" w14:textId="77777777" w:rsidTr="004F2634">
        <w:tc>
          <w:tcPr>
            <w:tcW w:w="3810" w:type="dxa"/>
          </w:tcPr>
          <w:p w14:paraId="24BC24BC" w14:textId="77777777" w:rsidR="00DB38F1" w:rsidRPr="002158B9" w:rsidRDefault="00DB38F1" w:rsidP="002158B9">
            <w:pPr>
              <w:pStyle w:val="Tabletext"/>
              <w:rPr>
                <w:b/>
              </w:rPr>
            </w:pPr>
            <w:r w:rsidRPr="002158B9">
              <w:rPr>
                <w:b/>
              </w:rPr>
              <w:t>Reserve type</w:t>
            </w:r>
          </w:p>
        </w:tc>
        <w:tc>
          <w:tcPr>
            <w:tcW w:w="1430" w:type="dxa"/>
          </w:tcPr>
          <w:p w14:paraId="60D9F74B" w14:textId="77777777" w:rsidR="00DB38F1" w:rsidRPr="002158B9" w:rsidRDefault="00DB38F1" w:rsidP="002158B9">
            <w:pPr>
              <w:pStyle w:val="Tabletext"/>
              <w:rPr>
                <w:b/>
              </w:rPr>
            </w:pPr>
            <w:r w:rsidRPr="002158B9">
              <w:rPr>
                <w:b/>
              </w:rPr>
              <w:t>ha</w:t>
            </w:r>
          </w:p>
        </w:tc>
        <w:tc>
          <w:tcPr>
            <w:tcW w:w="1843" w:type="dxa"/>
          </w:tcPr>
          <w:p w14:paraId="24F0DE86" w14:textId="76B6A340" w:rsidR="00DB38F1" w:rsidRPr="002158B9" w:rsidRDefault="00DB38F1" w:rsidP="002158B9">
            <w:pPr>
              <w:pStyle w:val="Tabletext"/>
              <w:rPr>
                <w:b/>
              </w:rPr>
            </w:pPr>
            <w:r w:rsidRPr="002158B9">
              <w:rPr>
                <w:b/>
              </w:rPr>
              <w:t>% of remaining extent</w:t>
            </w:r>
            <w:r w:rsidR="00746258" w:rsidRPr="002158B9">
              <w:rPr>
                <w:b/>
              </w:rPr>
              <w:t xml:space="preserve"> </w:t>
            </w:r>
          </w:p>
        </w:tc>
        <w:tc>
          <w:tcPr>
            <w:tcW w:w="1933" w:type="dxa"/>
          </w:tcPr>
          <w:p w14:paraId="47959232" w14:textId="63F7F0AB" w:rsidR="00DB38F1" w:rsidRPr="002158B9" w:rsidRDefault="00DB38F1" w:rsidP="002158B9">
            <w:pPr>
              <w:pStyle w:val="Tabletext"/>
              <w:rPr>
                <w:b/>
              </w:rPr>
            </w:pPr>
            <w:r w:rsidRPr="002158B9">
              <w:rPr>
                <w:b/>
              </w:rPr>
              <w:t>% of original extent</w:t>
            </w:r>
            <w:r w:rsidR="00746258" w:rsidRPr="002158B9">
              <w:rPr>
                <w:b/>
              </w:rPr>
              <w:t xml:space="preserve"> </w:t>
            </w:r>
          </w:p>
        </w:tc>
      </w:tr>
      <w:tr w:rsidR="00DB38F1" w:rsidRPr="002158B9" w14:paraId="578253E9" w14:textId="77777777" w:rsidTr="002C671C">
        <w:tc>
          <w:tcPr>
            <w:tcW w:w="9016" w:type="dxa"/>
            <w:gridSpan w:val="4"/>
            <w:shd w:val="clear" w:color="auto" w:fill="D9D9D9" w:themeFill="background1" w:themeFillShade="D9"/>
          </w:tcPr>
          <w:p w14:paraId="06A087B1" w14:textId="77777777" w:rsidR="00DB38F1" w:rsidRPr="002158B9" w:rsidRDefault="00DB38F1" w:rsidP="002158B9">
            <w:pPr>
              <w:pStyle w:val="Tabletext"/>
              <w:rPr>
                <w:b/>
              </w:rPr>
            </w:pPr>
            <w:r w:rsidRPr="002158B9">
              <w:rPr>
                <w:b/>
              </w:rPr>
              <w:t>Reserves on Public Land</w:t>
            </w:r>
          </w:p>
        </w:tc>
      </w:tr>
      <w:tr w:rsidR="00DB38F1" w:rsidRPr="002158B9" w14:paraId="72705026" w14:textId="77777777" w:rsidTr="004F2634">
        <w:tc>
          <w:tcPr>
            <w:tcW w:w="3810" w:type="dxa"/>
          </w:tcPr>
          <w:p w14:paraId="3DD9FDD7" w14:textId="77777777" w:rsidR="00DB38F1" w:rsidRPr="002158B9" w:rsidRDefault="00DB38F1" w:rsidP="002158B9">
            <w:pPr>
              <w:pStyle w:val="Tabletext"/>
            </w:pPr>
            <w:r w:rsidRPr="002158B9">
              <w:t>Dedicated formal reserve</w:t>
            </w:r>
          </w:p>
        </w:tc>
        <w:tc>
          <w:tcPr>
            <w:tcW w:w="1430" w:type="dxa"/>
          </w:tcPr>
          <w:p w14:paraId="6EEC0608" w14:textId="04B3C9EB" w:rsidR="00DB38F1" w:rsidRPr="002158B9" w:rsidRDefault="008E7150" w:rsidP="002158B9">
            <w:pPr>
              <w:pStyle w:val="Tabletext"/>
            </w:pPr>
            <w:r w:rsidRPr="002158B9">
              <w:t>180</w:t>
            </w:r>
          </w:p>
        </w:tc>
        <w:tc>
          <w:tcPr>
            <w:tcW w:w="1843" w:type="dxa"/>
          </w:tcPr>
          <w:p w14:paraId="6FB05471" w14:textId="6790AEA7" w:rsidR="00DB38F1" w:rsidRPr="002158B9" w:rsidRDefault="008E7150" w:rsidP="002158B9">
            <w:pPr>
              <w:pStyle w:val="Tabletext"/>
            </w:pPr>
            <w:r w:rsidRPr="002158B9">
              <w:t>2.4</w:t>
            </w:r>
            <w:r w:rsidR="00DB38F1" w:rsidRPr="002158B9">
              <w:t>%</w:t>
            </w:r>
          </w:p>
        </w:tc>
        <w:tc>
          <w:tcPr>
            <w:tcW w:w="1933" w:type="dxa"/>
          </w:tcPr>
          <w:p w14:paraId="5AA476D9" w14:textId="77777777" w:rsidR="00DB38F1" w:rsidRPr="002158B9" w:rsidRDefault="00DB38F1" w:rsidP="002158B9">
            <w:pPr>
              <w:pStyle w:val="Tabletext"/>
            </w:pPr>
            <w:r w:rsidRPr="002158B9">
              <w:t>0.2%</w:t>
            </w:r>
          </w:p>
        </w:tc>
      </w:tr>
      <w:tr w:rsidR="00DB38F1" w:rsidRPr="002158B9" w14:paraId="332F0452" w14:textId="77777777" w:rsidTr="004F2634">
        <w:tc>
          <w:tcPr>
            <w:tcW w:w="3810" w:type="dxa"/>
          </w:tcPr>
          <w:p w14:paraId="59BFC288" w14:textId="77777777" w:rsidR="00DB38F1" w:rsidRPr="002158B9" w:rsidRDefault="00DB38F1" w:rsidP="002158B9">
            <w:pPr>
              <w:pStyle w:val="Tabletext"/>
            </w:pPr>
            <w:r w:rsidRPr="002158B9">
              <w:t>Other formal reserve</w:t>
            </w:r>
          </w:p>
        </w:tc>
        <w:tc>
          <w:tcPr>
            <w:tcW w:w="1430" w:type="dxa"/>
          </w:tcPr>
          <w:p w14:paraId="2C96B7A5" w14:textId="583B980A" w:rsidR="00DB38F1" w:rsidRPr="002158B9" w:rsidRDefault="008E7150" w:rsidP="002158B9">
            <w:pPr>
              <w:pStyle w:val="Tabletext"/>
            </w:pPr>
            <w:r w:rsidRPr="002158B9">
              <w:t>803</w:t>
            </w:r>
          </w:p>
        </w:tc>
        <w:tc>
          <w:tcPr>
            <w:tcW w:w="1843" w:type="dxa"/>
          </w:tcPr>
          <w:p w14:paraId="2D0FFF6C" w14:textId="1EE57B35" w:rsidR="00DB38F1" w:rsidRPr="002158B9" w:rsidRDefault="008E7150" w:rsidP="002158B9">
            <w:pPr>
              <w:pStyle w:val="Tabletext"/>
            </w:pPr>
            <w:r w:rsidRPr="002158B9">
              <w:t>10.8</w:t>
            </w:r>
            <w:r w:rsidR="00DB38F1" w:rsidRPr="002158B9">
              <w:t>%</w:t>
            </w:r>
          </w:p>
        </w:tc>
        <w:tc>
          <w:tcPr>
            <w:tcW w:w="1933" w:type="dxa"/>
          </w:tcPr>
          <w:p w14:paraId="59C69AD7" w14:textId="77777777" w:rsidR="00DB38F1" w:rsidRPr="002158B9" w:rsidRDefault="00DB38F1" w:rsidP="002158B9">
            <w:pPr>
              <w:pStyle w:val="Tabletext"/>
            </w:pPr>
            <w:r w:rsidRPr="002158B9">
              <w:t>1.0%</w:t>
            </w:r>
          </w:p>
        </w:tc>
      </w:tr>
      <w:tr w:rsidR="00DB38F1" w:rsidRPr="002158B9" w14:paraId="5143A293" w14:textId="77777777" w:rsidTr="004F2634">
        <w:tc>
          <w:tcPr>
            <w:tcW w:w="3810" w:type="dxa"/>
          </w:tcPr>
          <w:p w14:paraId="2DC58BF1" w14:textId="77777777" w:rsidR="00DB38F1" w:rsidRPr="002158B9" w:rsidRDefault="00DB38F1" w:rsidP="002158B9">
            <w:pPr>
              <w:pStyle w:val="Tabletext"/>
            </w:pPr>
            <w:r w:rsidRPr="002158B9">
              <w:t>Informal public reserve</w:t>
            </w:r>
          </w:p>
        </w:tc>
        <w:tc>
          <w:tcPr>
            <w:tcW w:w="1430" w:type="dxa"/>
          </w:tcPr>
          <w:p w14:paraId="0E966157" w14:textId="08A2D67E" w:rsidR="00DB38F1" w:rsidRPr="002158B9" w:rsidRDefault="008E7150" w:rsidP="002158B9">
            <w:pPr>
              <w:pStyle w:val="Tabletext"/>
            </w:pPr>
            <w:r w:rsidRPr="002158B9">
              <w:t>792</w:t>
            </w:r>
          </w:p>
        </w:tc>
        <w:tc>
          <w:tcPr>
            <w:tcW w:w="1843" w:type="dxa"/>
          </w:tcPr>
          <w:p w14:paraId="3A20F057" w14:textId="1D704AE9" w:rsidR="00DB38F1" w:rsidRPr="002158B9" w:rsidRDefault="008E7150" w:rsidP="002158B9">
            <w:pPr>
              <w:pStyle w:val="Tabletext"/>
            </w:pPr>
            <w:r w:rsidRPr="002158B9">
              <w:t>10.6</w:t>
            </w:r>
            <w:r w:rsidR="00DB38F1" w:rsidRPr="002158B9">
              <w:t>%</w:t>
            </w:r>
          </w:p>
        </w:tc>
        <w:tc>
          <w:tcPr>
            <w:tcW w:w="1933" w:type="dxa"/>
          </w:tcPr>
          <w:p w14:paraId="1CB11A1E" w14:textId="7EB6C290" w:rsidR="00DB38F1" w:rsidRPr="002158B9" w:rsidRDefault="00746258" w:rsidP="002158B9">
            <w:pPr>
              <w:pStyle w:val="Tabletext"/>
            </w:pPr>
            <w:r w:rsidRPr="002158B9">
              <w:t>1.0</w:t>
            </w:r>
            <w:r w:rsidR="00DB38F1" w:rsidRPr="002158B9">
              <w:t>%</w:t>
            </w:r>
          </w:p>
        </w:tc>
      </w:tr>
      <w:tr w:rsidR="00DB38F1" w:rsidRPr="002158B9" w14:paraId="41518EE0" w14:textId="77777777" w:rsidTr="002C671C">
        <w:tc>
          <w:tcPr>
            <w:tcW w:w="9016" w:type="dxa"/>
            <w:gridSpan w:val="4"/>
            <w:shd w:val="clear" w:color="auto" w:fill="D9D9D9" w:themeFill="background1" w:themeFillShade="D9"/>
          </w:tcPr>
          <w:p w14:paraId="2AC0CBA7" w14:textId="77777777" w:rsidR="00DB38F1" w:rsidRPr="002158B9" w:rsidRDefault="00DB38F1" w:rsidP="002158B9">
            <w:pPr>
              <w:pStyle w:val="Tabletext"/>
              <w:rPr>
                <w:b/>
              </w:rPr>
            </w:pPr>
            <w:r w:rsidRPr="002158B9">
              <w:rPr>
                <w:b/>
              </w:rPr>
              <w:t>Reserves on Private Land</w:t>
            </w:r>
          </w:p>
        </w:tc>
      </w:tr>
      <w:tr w:rsidR="00DB38F1" w:rsidRPr="002158B9" w14:paraId="59047D04" w14:textId="77777777" w:rsidTr="004F2634">
        <w:tc>
          <w:tcPr>
            <w:tcW w:w="3810" w:type="dxa"/>
          </w:tcPr>
          <w:p w14:paraId="70E2EC9B" w14:textId="77777777" w:rsidR="00DB38F1" w:rsidRPr="002158B9" w:rsidRDefault="00DB38F1" w:rsidP="002158B9">
            <w:pPr>
              <w:pStyle w:val="Tabletext"/>
            </w:pPr>
            <w:r w:rsidRPr="002158B9">
              <w:t>Private sanctuary (perpetual)</w:t>
            </w:r>
          </w:p>
        </w:tc>
        <w:tc>
          <w:tcPr>
            <w:tcW w:w="1430" w:type="dxa"/>
          </w:tcPr>
          <w:p w14:paraId="4C9BF037" w14:textId="77777777" w:rsidR="00DB38F1" w:rsidRPr="002158B9" w:rsidRDefault="00DB38F1" w:rsidP="002158B9">
            <w:pPr>
              <w:pStyle w:val="Tabletext"/>
            </w:pPr>
            <w:r w:rsidRPr="002158B9">
              <w:t>10</w:t>
            </w:r>
          </w:p>
        </w:tc>
        <w:tc>
          <w:tcPr>
            <w:tcW w:w="1843" w:type="dxa"/>
          </w:tcPr>
          <w:p w14:paraId="155B5C34" w14:textId="77777777" w:rsidR="00DB38F1" w:rsidRPr="002158B9" w:rsidRDefault="00DB38F1" w:rsidP="002158B9">
            <w:pPr>
              <w:pStyle w:val="Tabletext"/>
            </w:pPr>
            <w:r w:rsidRPr="002158B9">
              <w:t>0.1%</w:t>
            </w:r>
          </w:p>
        </w:tc>
        <w:tc>
          <w:tcPr>
            <w:tcW w:w="1933" w:type="dxa"/>
          </w:tcPr>
          <w:p w14:paraId="6CECF1C8" w14:textId="77777777" w:rsidR="00DB38F1" w:rsidRPr="002158B9" w:rsidRDefault="00DB38F1" w:rsidP="002158B9">
            <w:pPr>
              <w:pStyle w:val="Tabletext"/>
            </w:pPr>
            <w:r w:rsidRPr="002158B9">
              <w:t>0.01%</w:t>
            </w:r>
          </w:p>
        </w:tc>
      </w:tr>
      <w:tr w:rsidR="00DB38F1" w:rsidRPr="002158B9" w14:paraId="17DF7217" w14:textId="77777777" w:rsidTr="004F2634">
        <w:tc>
          <w:tcPr>
            <w:tcW w:w="3810" w:type="dxa"/>
          </w:tcPr>
          <w:p w14:paraId="1C3CE9EE" w14:textId="77777777" w:rsidR="00DB38F1" w:rsidRPr="002158B9" w:rsidRDefault="00DB38F1" w:rsidP="002158B9">
            <w:pPr>
              <w:pStyle w:val="Tabletext"/>
            </w:pPr>
            <w:r w:rsidRPr="002158B9">
              <w:t>Conservation Covenant (perpetual)</w:t>
            </w:r>
          </w:p>
        </w:tc>
        <w:tc>
          <w:tcPr>
            <w:tcW w:w="1430" w:type="dxa"/>
          </w:tcPr>
          <w:p w14:paraId="67E72361" w14:textId="0E7F28E2" w:rsidR="00DB38F1" w:rsidRPr="002158B9" w:rsidRDefault="008E7150" w:rsidP="002158B9">
            <w:pPr>
              <w:pStyle w:val="Tabletext"/>
            </w:pPr>
            <w:r w:rsidRPr="002158B9">
              <w:t>532</w:t>
            </w:r>
          </w:p>
        </w:tc>
        <w:tc>
          <w:tcPr>
            <w:tcW w:w="1843" w:type="dxa"/>
          </w:tcPr>
          <w:p w14:paraId="29452ADD" w14:textId="68CC9760" w:rsidR="00DB38F1" w:rsidRPr="002158B9" w:rsidRDefault="008E7150" w:rsidP="002158B9">
            <w:pPr>
              <w:pStyle w:val="Tabletext"/>
            </w:pPr>
            <w:r w:rsidRPr="002158B9">
              <w:t>7.1</w:t>
            </w:r>
            <w:r w:rsidR="00DB38F1" w:rsidRPr="002158B9">
              <w:t>%</w:t>
            </w:r>
          </w:p>
        </w:tc>
        <w:tc>
          <w:tcPr>
            <w:tcW w:w="1933" w:type="dxa"/>
          </w:tcPr>
          <w:p w14:paraId="5D8A25F8" w14:textId="19E206A8" w:rsidR="00DB38F1" w:rsidRPr="002158B9" w:rsidRDefault="00DB38F1" w:rsidP="002158B9">
            <w:pPr>
              <w:pStyle w:val="Tabletext"/>
            </w:pPr>
            <w:r w:rsidRPr="002158B9">
              <w:t>0</w:t>
            </w:r>
            <w:r w:rsidR="00746258" w:rsidRPr="002158B9">
              <w:t>.7</w:t>
            </w:r>
            <w:r w:rsidRPr="002158B9">
              <w:t>%</w:t>
            </w:r>
          </w:p>
        </w:tc>
      </w:tr>
      <w:tr w:rsidR="00DB38F1" w:rsidRPr="002158B9" w14:paraId="69A535DC" w14:textId="77777777" w:rsidTr="004F2634">
        <w:tc>
          <w:tcPr>
            <w:tcW w:w="3810" w:type="dxa"/>
          </w:tcPr>
          <w:p w14:paraId="72288B68" w14:textId="77777777" w:rsidR="00DB38F1" w:rsidRPr="002158B9" w:rsidRDefault="00DB38F1" w:rsidP="002158B9">
            <w:pPr>
              <w:pStyle w:val="Tabletext"/>
            </w:pPr>
            <w:r w:rsidRPr="002158B9">
              <w:t>Conservation Covenant (variable term)</w:t>
            </w:r>
          </w:p>
        </w:tc>
        <w:tc>
          <w:tcPr>
            <w:tcW w:w="1430" w:type="dxa"/>
          </w:tcPr>
          <w:p w14:paraId="187917AF" w14:textId="77777777" w:rsidR="00DB38F1" w:rsidRPr="002158B9" w:rsidRDefault="00DB38F1" w:rsidP="002158B9">
            <w:pPr>
              <w:pStyle w:val="Tabletext"/>
            </w:pPr>
            <w:r w:rsidRPr="002158B9">
              <w:t>29</w:t>
            </w:r>
          </w:p>
        </w:tc>
        <w:tc>
          <w:tcPr>
            <w:tcW w:w="1843" w:type="dxa"/>
          </w:tcPr>
          <w:p w14:paraId="788E54A3" w14:textId="77777777" w:rsidR="00DB38F1" w:rsidRPr="002158B9" w:rsidRDefault="00DB38F1" w:rsidP="002158B9">
            <w:pPr>
              <w:pStyle w:val="Tabletext"/>
            </w:pPr>
            <w:r w:rsidRPr="002158B9">
              <w:t>0.4%</w:t>
            </w:r>
          </w:p>
        </w:tc>
        <w:tc>
          <w:tcPr>
            <w:tcW w:w="1933" w:type="dxa"/>
          </w:tcPr>
          <w:p w14:paraId="0751D6AC" w14:textId="77777777" w:rsidR="00DB38F1" w:rsidRPr="002158B9" w:rsidRDefault="00DB38F1" w:rsidP="002158B9">
            <w:pPr>
              <w:pStyle w:val="Tabletext"/>
            </w:pPr>
            <w:r w:rsidRPr="002158B9">
              <w:t>0.04%</w:t>
            </w:r>
          </w:p>
        </w:tc>
      </w:tr>
      <w:tr w:rsidR="00DB38F1" w:rsidRPr="002158B9" w14:paraId="17E092AB" w14:textId="77777777" w:rsidTr="004F2634">
        <w:tc>
          <w:tcPr>
            <w:tcW w:w="3810" w:type="dxa"/>
          </w:tcPr>
          <w:p w14:paraId="02102DAA" w14:textId="77777777" w:rsidR="00DB38F1" w:rsidRPr="002158B9" w:rsidRDefault="00DB38F1" w:rsidP="002158B9">
            <w:pPr>
              <w:pStyle w:val="Tabletext"/>
            </w:pPr>
            <w:r w:rsidRPr="002158B9">
              <w:t>Other private reserves</w:t>
            </w:r>
          </w:p>
        </w:tc>
        <w:tc>
          <w:tcPr>
            <w:tcW w:w="1430" w:type="dxa"/>
          </w:tcPr>
          <w:p w14:paraId="41B48615" w14:textId="64271612" w:rsidR="00DB38F1" w:rsidRPr="002158B9" w:rsidRDefault="008E7150" w:rsidP="002158B9">
            <w:pPr>
              <w:pStyle w:val="Tabletext"/>
            </w:pPr>
            <w:r w:rsidRPr="002158B9">
              <w:t>121</w:t>
            </w:r>
          </w:p>
        </w:tc>
        <w:tc>
          <w:tcPr>
            <w:tcW w:w="1843" w:type="dxa"/>
          </w:tcPr>
          <w:p w14:paraId="4588BDBB" w14:textId="77777777" w:rsidR="00DB38F1" w:rsidRPr="002158B9" w:rsidRDefault="00DB38F1" w:rsidP="002158B9">
            <w:pPr>
              <w:pStyle w:val="Tabletext"/>
            </w:pPr>
            <w:r w:rsidRPr="002158B9">
              <w:t>1.6%</w:t>
            </w:r>
          </w:p>
        </w:tc>
        <w:tc>
          <w:tcPr>
            <w:tcW w:w="1933" w:type="dxa"/>
          </w:tcPr>
          <w:p w14:paraId="29E38135" w14:textId="77777777" w:rsidR="00DB38F1" w:rsidRPr="002158B9" w:rsidRDefault="00DB38F1" w:rsidP="002158B9">
            <w:pPr>
              <w:pStyle w:val="Tabletext"/>
            </w:pPr>
            <w:r w:rsidRPr="002158B9">
              <w:t>0.2%</w:t>
            </w:r>
          </w:p>
        </w:tc>
      </w:tr>
      <w:tr w:rsidR="00DB38F1" w:rsidRPr="002158B9" w14:paraId="69DA73FB" w14:textId="77777777" w:rsidTr="004F2634">
        <w:tc>
          <w:tcPr>
            <w:tcW w:w="3810" w:type="dxa"/>
          </w:tcPr>
          <w:p w14:paraId="1D675761" w14:textId="77777777" w:rsidR="00DB38F1" w:rsidRPr="002158B9" w:rsidRDefault="00DB38F1" w:rsidP="002158B9">
            <w:pPr>
              <w:pStyle w:val="Tabletext"/>
              <w:rPr>
                <w:b/>
              </w:rPr>
            </w:pPr>
            <w:r w:rsidRPr="002158B9">
              <w:rPr>
                <w:b/>
              </w:rPr>
              <w:t>TOTAL reserved</w:t>
            </w:r>
          </w:p>
        </w:tc>
        <w:tc>
          <w:tcPr>
            <w:tcW w:w="1430" w:type="dxa"/>
          </w:tcPr>
          <w:p w14:paraId="208FF2FD" w14:textId="23DB6490" w:rsidR="00DB38F1" w:rsidRPr="002158B9" w:rsidRDefault="008E7150" w:rsidP="002158B9">
            <w:pPr>
              <w:pStyle w:val="Tabletext"/>
              <w:rPr>
                <w:b/>
              </w:rPr>
            </w:pPr>
            <w:r w:rsidRPr="002158B9">
              <w:rPr>
                <w:b/>
              </w:rPr>
              <w:t>2465</w:t>
            </w:r>
          </w:p>
        </w:tc>
        <w:tc>
          <w:tcPr>
            <w:tcW w:w="1843" w:type="dxa"/>
          </w:tcPr>
          <w:p w14:paraId="4D69AA14" w14:textId="52BA18A1" w:rsidR="00DB38F1" w:rsidRPr="002158B9" w:rsidRDefault="008E7150" w:rsidP="002158B9">
            <w:pPr>
              <w:pStyle w:val="Tabletext"/>
              <w:rPr>
                <w:b/>
              </w:rPr>
            </w:pPr>
            <w:r w:rsidRPr="002158B9">
              <w:rPr>
                <w:b/>
              </w:rPr>
              <w:t>33.1</w:t>
            </w:r>
            <w:r w:rsidR="00DB38F1" w:rsidRPr="002158B9">
              <w:rPr>
                <w:b/>
              </w:rPr>
              <w:t>%</w:t>
            </w:r>
          </w:p>
        </w:tc>
        <w:tc>
          <w:tcPr>
            <w:tcW w:w="1933" w:type="dxa"/>
          </w:tcPr>
          <w:p w14:paraId="69AE96C2" w14:textId="77777777" w:rsidR="00DB38F1" w:rsidRPr="002158B9" w:rsidRDefault="00DB38F1" w:rsidP="002158B9">
            <w:pPr>
              <w:pStyle w:val="Tabletext"/>
              <w:rPr>
                <w:b/>
              </w:rPr>
            </w:pPr>
            <w:r w:rsidRPr="002158B9">
              <w:rPr>
                <w:b/>
              </w:rPr>
              <w:t>3.2%</w:t>
            </w:r>
          </w:p>
        </w:tc>
      </w:tr>
    </w:tbl>
    <w:p w14:paraId="20BD4F92" w14:textId="3C3DCA85" w:rsidR="00B31C33" w:rsidRPr="002158B9" w:rsidRDefault="00B31C33" w:rsidP="002158B9">
      <w:pPr>
        <w:pStyle w:val="Tablesource"/>
      </w:pPr>
      <w:r w:rsidRPr="002158B9">
        <w:t>Source: Extent of TASVEG unit WVI in DPIPWE (2018a)</w:t>
      </w:r>
    </w:p>
    <w:p w14:paraId="2BBA2F5E" w14:textId="77777777" w:rsidR="00DB38F1" w:rsidRPr="00DB38F1" w:rsidRDefault="00DB38F1" w:rsidP="00DB38F1">
      <w:pPr>
        <w:pStyle w:val="Heading2"/>
      </w:pPr>
      <w:bookmarkStart w:id="19" w:name="_Toc24971000"/>
      <w:r w:rsidRPr="00DB38F1">
        <w:lastRenderedPageBreak/>
        <w:t>Existing protection under state laws</w:t>
      </w:r>
      <w:bookmarkEnd w:id="19"/>
    </w:p>
    <w:p w14:paraId="20B8017E" w14:textId="77777777" w:rsidR="00DB38F1" w:rsidRPr="00DB38F1" w:rsidRDefault="00DB38F1" w:rsidP="00DB38F1">
      <w:r w:rsidRPr="00DB38F1">
        <w:rPr>
          <w:i/>
        </w:rPr>
        <w:t>‘Eucalyptus viminalis</w:t>
      </w:r>
      <w:r w:rsidRPr="00DB38F1">
        <w:t xml:space="preserve"> wet forest’ is listed as a threatened native vegetation community under Schedule 3A of the Tasmanian </w:t>
      </w:r>
      <w:r w:rsidRPr="00DB38F1">
        <w:rPr>
          <w:i/>
        </w:rPr>
        <w:t>Nature Conservation Act 2002</w:t>
      </w:r>
      <w:r w:rsidRPr="00DB38F1">
        <w:t xml:space="preserve">. </w:t>
      </w:r>
    </w:p>
    <w:p w14:paraId="4E1DF82B" w14:textId="066EBB49" w:rsidR="00DB38F1" w:rsidRPr="00DB38F1" w:rsidRDefault="00DB38F1" w:rsidP="00DB38F1">
      <w:r w:rsidRPr="00DB38F1">
        <w:t xml:space="preserve">The Tasmanian </w:t>
      </w:r>
      <w:r w:rsidRPr="00DB38F1">
        <w:rPr>
          <w:i/>
        </w:rPr>
        <w:t>Forest Practices Act 1985</w:t>
      </w:r>
      <w:r w:rsidRPr="00DB38F1">
        <w:t xml:space="preserve"> places controls on the</w:t>
      </w:r>
      <w:r w:rsidRPr="00DB38F1">
        <w:rPr>
          <w:lang w:val="en"/>
        </w:rPr>
        <w:t xml:space="preserve"> clearance and conversion of these threatened native vegetation communities. </w:t>
      </w:r>
      <w:r w:rsidRPr="00DB38F1">
        <w:t xml:space="preserve">As part of administering the forest practices system, the Forest Practices Authority regulates the clearing and conversion of threatened native vegetation listed under the </w:t>
      </w:r>
      <w:r w:rsidRPr="00DB38F1">
        <w:rPr>
          <w:i/>
        </w:rPr>
        <w:t>Nature Conservation Act 2002</w:t>
      </w:r>
      <w:r w:rsidRPr="00DB38F1">
        <w:t>. A certified Forest Practices Plan (FPP) is required to authorise most land clearing, alth</w:t>
      </w:r>
      <w:r w:rsidR="004F2634">
        <w:t xml:space="preserve">ough there are some exemptions. </w:t>
      </w:r>
      <w:r w:rsidRPr="00DB38F1">
        <w:t xml:space="preserve">Clearance and conversion of listed threatened native vegetation communities is generally not approved, unless exceptional circumstances exist. </w:t>
      </w:r>
    </w:p>
    <w:p w14:paraId="6EC668B4" w14:textId="77777777" w:rsidR="00DB38F1" w:rsidRPr="00DB38F1" w:rsidRDefault="00DB38F1" w:rsidP="00DB38F1">
      <w:r w:rsidRPr="00DB38F1">
        <w:t>The Tasmanian</w:t>
      </w:r>
      <w:r w:rsidRPr="00DB38F1">
        <w:rPr>
          <w:i/>
        </w:rPr>
        <w:t xml:space="preserve"> Land Use Planning and Approvals Act 1993</w:t>
      </w:r>
      <w:r w:rsidRPr="00DB38F1">
        <w:t xml:space="preserve"> (LUPAA) allows local governments to develop planning schemes, which use land zonation and codes to regulate development, land use activities and works. Most planning schemes include permit requirements relating to clearance and conversion or disturbance of threatened native vegetation communities where it is associated with works such as subdivision, infrastructure development, visitor accommodation and residential development.</w:t>
      </w:r>
    </w:p>
    <w:p w14:paraId="4CABAE7C" w14:textId="446BAFCB" w:rsidR="00DB38F1" w:rsidRPr="00DB38F1" w:rsidRDefault="00DB38F1" w:rsidP="00DB38F1">
      <w:r w:rsidRPr="00DB38F1">
        <w:t>The protection measures referred to here were valid at the time of writing. It is advisable to check with relevant government agencies (notably the Forest Practices Authority and relevant local council</w:t>
      </w:r>
      <w:r w:rsidR="004F2634">
        <w:t>s) for any updated information.</w:t>
      </w:r>
    </w:p>
    <w:p w14:paraId="7151B6DE" w14:textId="77777777" w:rsidR="00DB38F1" w:rsidRPr="00DB38F1" w:rsidRDefault="00DB38F1" w:rsidP="00DB38F1">
      <w:pPr>
        <w:pStyle w:val="Heading2"/>
      </w:pPr>
      <w:bookmarkStart w:id="20" w:name="_Ref24022981"/>
      <w:bookmarkStart w:id="21" w:name="_Toc24971001"/>
      <w:r w:rsidRPr="00DB38F1">
        <w:t>Existing management plans</w:t>
      </w:r>
      <w:bookmarkEnd w:id="20"/>
      <w:bookmarkEnd w:id="21"/>
    </w:p>
    <w:p w14:paraId="66E14B19" w14:textId="77777777" w:rsidR="00DB38F1" w:rsidRPr="00DB38F1" w:rsidRDefault="00DB38F1" w:rsidP="00DB38F1">
      <w:r w:rsidRPr="00DB38F1">
        <w:t>There is no existing management plan specifically for this ecological community, but a number of other plans and guidelines for managing bushland and threatened species habitats may be relevant. These include:</w:t>
      </w:r>
    </w:p>
    <w:p w14:paraId="6C0AE003" w14:textId="77777777" w:rsidR="00DB38F1" w:rsidRPr="00DB38F1" w:rsidRDefault="00DB38F1" w:rsidP="00A47F50">
      <w:pPr>
        <w:numPr>
          <w:ilvl w:val="0"/>
          <w:numId w:val="20"/>
        </w:numPr>
      </w:pPr>
      <w:r w:rsidRPr="00DB38F1">
        <w:t xml:space="preserve">Barnes RW and McCoull CJ (2002). </w:t>
      </w:r>
      <w:r w:rsidRPr="00DB38F1">
        <w:rPr>
          <w:i/>
        </w:rPr>
        <w:t>A land manager’s guide for assessing and monitoring the health of Tasmania’s forested bush. Nature Conservation Report 02/2.</w:t>
      </w:r>
      <w:r w:rsidRPr="00DB38F1">
        <w:t xml:space="preserve"> Department of Primary Industries, Water and Environment, Hobart. Available from </w:t>
      </w:r>
      <w:hyperlink r:id="rId10" w:history="1">
        <w:r w:rsidRPr="00DB38F1">
          <w:rPr>
            <w:rStyle w:val="Hyperlink"/>
            <w:sz w:val="24"/>
          </w:rPr>
          <w:t>https://dpipwe.tas.gov.au/Documents/Nature-Conservation-Report-02-02.pdf</w:t>
        </w:r>
      </w:hyperlink>
      <w:r w:rsidRPr="00DB38F1">
        <w:t xml:space="preserve"> </w:t>
      </w:r>
    </w:p>
    <w:p w14:paraId="7840BC70" w14:textId="77777777" w:rsidR="00DB38F1" w:rsidRPr="00DB38F1" w:rsidRDefault="00DB38F1" w:rsidP="00A47F50">
      <w:pPr>
        <w:numPr>
          <w:ilvl w:val="0"/>
          <w:numId w:val="20"/>
        </w:numPr>
        <w:rPr>
          <w:u w:val="single"/>
        </w:rPr>
      </w:pPr>
      <w:r w:rsidRPr="00DB38F1">
        <w:t xml:space="preserve">Bryant SL and Jackson J (1999). Tasmania’s threatened fauna handbook. What, where and how to protect Tasmania’s threatened animals. Threatened Species Unit, Parks and Wildlife Service, Hobart. Available from </w:t>
      </w:r>
      <w:hyperlink r:id="rId11" w:history="1">
        <w:r w:rsidRPr="00DB38F1">
          <w:rPr>
            <w:rStyle w:val="Hyperlink"/>
            <w:sz w:val="24"/>
          </w:rPr>
          <w:t>https://dpipwe.tas.gov.au/Documents/threatfauna.pdf</w:t>
        </w:r>
      </w:hyperlink>
    </w:p>
    <w:p w14:paraId="6689FD83" w14:textId="77777777" w:rsidR="00DB38F1" w:rsidRPr="00DB38F1" w:rsidRDefault="00DB38F1" w:rsidP="00A47F50">
      <w:pPr>
        <w:numPr>
          <w:ilvl w:val="0"/>
          <w:numId w:val="20"/>
        </w:numPr>
      </w:pPr>
      <w:r w:rsidRPr="00DB38F1">
        <w:t xml:space="preserve">Kirkpatrick, J.B. &amp; Gilfedder, L.A. (1999). Tasmanian Bushcare Toolkit. Department of Primary Industries, Water and Environment. Available from </w:t>
      </w:r>
      <w:hyperlink r:id="rId12" w:history="1">
        <w:r w:rsidRPr="00DB38F1">
          <w:rPr>
            <w:rStyle w:val="Hyperlink"/>
            <w:sz w:val="24"/>
          </w:rPr>
          <w:t>https://dpipwe.tas.gov.au/conservation/conservation-on-private-land/bush-information-management/tasmanian-bushcare-toolkit</w:t>
        </w:r>
      </w:hyperlink>
      <w:r w:rsidRPr="00DB38F1">
        <w:t xml:space="preserve"> </w:t>
      </w:r>
    </w:p>
    <w:p w14:paraId="56CF68EC" w14:textId="011BBED4" w:rsidR="00DB38F1" w:rsidRPr="00DB38F1" w:rsidRDefault="00DB38F1" w:rsidP="00A47F50">
      <w:pPr>
        <w:numPr>
          <w:ilvl w:val="0"/>
          <w:numId w:val="20"/>
        </w:numPr>
        <w:rPr>
          <w:u w:val="single"/>
        </w:rPr>
      </w:pPr>
      <w:r w:rsidRPr="00DB38F1">
        <w:t xml:space="preserve">DPIPWE [Department of Primary Industries, Parks, Water and Environment] (2011). </w:t>
      </w:r>
      <w:r w:rsidRPr="00DB38F1">
        <w:rPr>
          <w:i/>
        </w:rPr>
        <w:t>A planning toolkit for managing browsing and grazing losses from wallabies and brushtail possums on farms in Tasmania</w:t>
      </w:r>
      <w:r w:rsidRPr="00DB38F1">
        <w:t xml:space="preserve">. Tasmanian Government. Available from: </w:t>
      </w:r>
      <w:hyperlink r:id="rId13" w:history="1">
        <w:r w:rsidRPr="00DB38F1">
          <w:rPr>
            <w:rStyle w:val="Hyperlink"/>
            <w:sz w:val="24"/>
          </w:rPr>
          <w:t>http://dpipwe.tas.gov.au/Documents/Information-booklet-web.pdf</w:t>
        </w:r>
      </w:hyperlink>
    </w:p>
    <w:p w14:paraId="4903AF72" w14:textId="77777777" w:rsidR="00DB38F1" w:rsidRDefault="00DB38F1" w:rsidP="00DB38F1">
      <w:pPr>
        <w:pStyle w:val="Heading1"/>
      </w:pPr>
      <w:bookmarkStart w:id="22" w:name="_Ref23846326"/>
      <w:bookmarkStart w:id="23" w:name="_Toc24971002"/>
      <w:r>
        <w:lastRenderedPageBreak/>
        <w:t>Threatened Species Scientific Committee recommendations</w:t>
      </w:r>
      <w:bookmarkEnd w:id="22"/>
      <w:bookmarkEnd w:id="23"/>
    </w:p>
    <w:p w14:paraId="2D6E833B" w14:textId="77777777" w:rsidR="00DB38F1" w:rsidRDefault="00DB38F1" w:rsidP="00DB38F1">
      <w:pPr>
        <w:pStyle w:val="Heading2"/>
      </w:pPr>
      <w:bookmarkStart w:id="24" w:name="_Ref23846323"/>
      <w:bookmarkStart w:id="25" w:name="_Toc24971003"/>
      <w:r>
        <w:t>Eligibility for listing against the EPBC Act criteria</w:t>
      </w:r>
      <w:bookmarkEnd w:id="24"/>
      <w:bookmarkEnd w:id="25"/>
    </w:p>
    <w:p w14:paraId="03AD279C" w14:textId="00400669" w:rsidR="00DB38F1" w:rsidRPr="008E5AB3" w:rsidRDefault="00DB38F1" w:rsidP="00DB38F1">
      <w:r w:rsidRPr="008E5AB3">
        <w:t xml:space="preserve">On the basis of available information, it is recommended that the Tasmanian white </w:t>
      </w:r>
      <w:r>
        <w:t>gum (</w:t>
      </w:r>
      <w:r w:rsidRPr="00E474C4">
        <w:rPr>
          <w:i/>
        </w:rPr>
        <w:t>Eucalyptus viminalis</w:t>
      </w:r>
      <w:r>
        <w:t xml:space="preserve">) </w:t>
      </w:r>
      <w:r w:rsidRPr="008E5AB3">
        <w:t xml:space="preserve">wet forest is eligible for </w:t>
      </w:r>
      <w:r w:rsidRPr="006F2815">
        <w:t xml:space="preserve">listing as </w:t>
      </w:r>
      <w:r w:rsidRPr="006F2815">
        <w:rPr>
          <w:b/>
        </w:rPr>
        <w:t>critically endangered</w:t>
      </w:r>
      <w:r w:rsidRPr="006F2815">
        <w:t>.</w:t>
      </w:r>
      <w:r w:rsidRPr="008E5AB3">
        <w:t xml:space="preserve"> This was the highest conservation category </w:t>
      </w:r>
      <w:r>
        <w:t>met</w:t>
      </w:r>
      <w:r w:rsidRPr="008E5AB3">
        <w:t xml:space="preserve"> at the</w:t>
      </w:r>
      <w:r>
        <w:t xml:space="preserve"> time of assessment.</w:t>
      </w:r>
    </w:p>
    <w:p w14:paraId="24D52F7D" w14:textId="77777777" w:rsidR="00DB38F1" w:rsidRPr="00DC01EF" w:rsidRDefault="00DB38F1" w:rsidP="00DB38F1">
      <w:pPr>
        <w:pStyle w:val="Heading3"/>
      </w:pPr>
      <w:r w:rsidRPr="00DC01EF">
        <w:t>Criterion 1 – decline in geographic distribution</w:t>
      </w:r>
    </w:p>
    <w:p w14:paraId="218BA182" w14:textId="77777777" w:rsidR="00DB38F1" w:rsidRPr="005749AD" w:rsidRDefault="00DB38F1" w:rsidP="00DB38F1">
      <w:pPr>
        <w:keepNext/>
        <w:rPr>
          <w:b/>
        </w:rPr>
      </w:pPr>
      <w:r w:rsidRPr="004A6896">
        <w:rPr>
          <w:b/>
        </w:rPr>
        <w:t>Critically endangered</w:t>
      </w:r>
      <w:r w:rsidRPr="005749AD">
        <w:rPr>
          <w:b/>
        </w:rPr>
        <w:t xml:space="preserve">. </w:t>
      </w:r>
    </w:p>
    <w:p w14:paraId="04BFBC91" w14:textId="6A32A1E1" w:rsidR="00DB38F1" w:rsidRDefault="00DB38F1" w:rsidP="00DB38F1">
      <w:r w:rsidRPr="007C6063">
        <w:t xml:space="preserve">Prior to European settlement </w:t>
      </w:r>
      <w:r w:rsidRPr="007E6420">
        <w:t xml:space="preserve">Tasmanian </w:t>
      </w:r>
      <w:r w:rsidRPr="007C6063">
        <w:t>white gum wet forest was mainly found in the central north (and to a lesser extent the north-west and north-east) where soil fertility and rainfall are both high, on deep well-drained soils with a low boulder content which develop alon</w:t>
      </w:r>
      <w:r w:rsidR="00220FCD">
        <w:t>g many of the river valleys. It</w:t>
      </w:r>
      <w:r w:rsidRPr="007C6063">
        <w:t>s sporadic occurrence throughout the remainder of the state</w:t>
      </w:r>
      <w:r>
        <w:t xml:space="preserve"> </w:t>
      </w:r>
      <w:r w:rsidRPr="007C6063">
        <w:t xml:space="preserve">is most likely to be natural, otherwise remnant stands would be expected to be more common along river system and flats on fertile soils (Craven 2002). </w:t>
      </w:r>
    </w:p>
    <w:p w14:paraId="6073A2EF" w14:textId="77777777" w:rsidR="00DB38F1" w:rsidRPr="007C6063" w:rsidRDefault="00DB38F1" w:rsidP="00DB38F1">
      <w:r w:rsidRPr="007C6063">
        <w:t>Stands that occurred throughout the alluvial valleys of the midlands and northern coastal hinterlands have been extensively cleared (Williams and Potts 1996). Clearing was high due to the occurrence of this community on fertile soils suitable for agriculture and plantation development and the high quality of the timber for harvesting (Craven 2002).</w:t>
      </w:r>
    </w:p>
    <w:p w14:paraId="4F3E8FAD" w14:textId="561BEAC4" w:rsidR="00DB38F1" w:rsidRDefault="00DB38F1" w:rsidP="00DB38F1">
      <w:r w:rsidRPr="00F723D7">
        <w:t xml:space="preserve">The Tasmanian State of the Forests reports indicate a pre-European extent of </w:t>
      </w:r>
      <w:r>
        <w:t xml:space="preserve">‘wet </w:t>
      </w:r>
      <w:r w:rsidRPr="006F2815">
        <w:rPr>
          <w:i/>
        </w:rPr>
        <w:t>E. viminalis</w:t>
      </w:r>
      <w:r>
        <w:t xml:space="preserve"> forest on basalt’</w:t>
      </w:r>
      <w:r w:rsidRPr="00F723D7">
        <w:t xml:space="preserve"> of 78,000 </w:t>
      </w:r>
      <w:r w:rsidRPr="007365AB">
        <w:t>ha (FPA 2017). In</w:t>
      </w:r>
      <w:r>
        <w:t xml:space="preserve"> 2017 the remaining extent was recorded as 3000 ha </w:t>
      </w:r>
      <w:r w:rsidRPr="007365AB">
        <w:t xml:space="preserve">(FPA </w:t>
      </w:r>
      <w:r w:rsidRPr="002158B9">
        <w:t>2017). Tasmanian Native Vegetation Communities mapping indicates 7</w:t>
      </w:r>
      <w:r w:rsidR="00746258" w:rsidRPr="002158B9">
        <w:t>448</w:t>
      </w:r>
      <w:r w:rsidRPr="002158B9">
        <w:t xml:space="preserve"> ha of</w:t>
      </w:r>
      <w:r w:rsidR="00746258" w:rsidRPr="002158B9">
        <w:t xml:space="preserve"> the equivalent</w:t>
      </w:r>
      <w:r w:rsidRPr="002158B9">
        <w:t xml:space="preserve"> ‘</w:t>
      </w:r>
      <w:r w:rsidRPr="002158B9">
        <w:rPr>
          <w:i/>
        </w:rPr>
        <w:t>Eucalyptus viminalis</w:t>
      </w:r>
      <w:r w:rsidRPr="002158B9">
        <w:t xml:space="preserve"> wet forest’ remained as at 201</w:t>
      </w:r>
      <w:r w:rsidR="00746258" w:rsidRPr="002158B9">
        <w:t>5</w:t>
      </w:r>
      <w:r w:rsidRPr="002158B9">
        <w:t xml:space="preserve"> (DPIP</w:t>
      </w:r>
      <w:r w:rsidR="00746258" w:rsidRPr="002158B9">
        <w:t>WE 2018a</w:t>
      </w:r>
      <w:r w:rsidRPr="002158B9">
        <w:t xml:space="preserve">). This represents a </w:t>
      </w:r>
      <w:r w:rsidRPr="002158B9">
        <w:rPr>
          <w:b/>
        </w:rPr>
        <w:t>very severe</w:t>
      </w:r>
      <w:r w:rsidR="00746258" w:rsidRPr="002158B9">
        <w:t xml:space="preserve"> decline of 90</w:t>
      </w:r>
      <w:r w:rsidR="00746258" w:rsidRPr="002158B9">
        <w:noBreakHyphen/>
      </w:r>
      <w:r w:rsidRPr="002158B9">
        <w:t>95% since 1750.</w:t>
      </w:r>
    </w:p>
    <w:p w14:paraId="2E1ACC6C" w14:textId="77777777" w:rsidR="00DB38F1" w:rsidRPr="001170C3" w:rsidRDefault="00DB38F1" w:rsidP="00DB38F1">
      <w:pPr>
        <w:pStyle w:val="Heading3"/>
      </w:pPr>
      <w:r w:rsidRPr="001170C3">
        <w:t xml:space="preserve"> Criterion 2 – limited geographic distribution coupled with demonstrable threat</w:t>
      </w:r>
    </w:p>
    <w:p w14:paraId="55210647" w14:textId="77777777" w:rsidR="00DB38F1" w:rsidRPr="00101D3F" w:rsidRDefault="00DB38F1" w:rsidP="00DB38F1">
      <w:pPr>
        <w:keepNext/>
        <w:rPr>
          <w:b/>
        </w:rPr>
      </w:pPr>
      <w:r w:rsidRPr="00101D3F">
        <w:rPr>
          <w:b/>
        </w:rPr>
        <w:t xml:space="preserve">Critically endangered. </w:t>
      </w:r>
    </w:p>
    <w:p w14:paraId="6EFAB0B9" w14:textId="72443200" w:rsidR="00DB38F1" w:rsidRPr="00101D3F" w:rsidRDefault="00DB38F1" w:rsidP="00DB38F1">
      <w:pPr>
        <w:keepNext/>
      </w:pPr>
      <w:r w:rsidRPr="00101D3F">
        <w:t xml:space="preserve">The estimated total area of occupancy is around </w:t>
      </w:r>
      <w:r w:rsidR="00337113">
        <w:t>7600</w:t>
      </w:r>
      <w:r w:rsidRPr="00101D3F">
        <w:t xml:space="preserve"> ha and median patch size is 2</w:t>
      </w:r>
      <w:r w:rsidR="00DE69DC">
        <w:t>.5</w:t>
      </w:r>
      <w:r w:rsidRPr="00101D3F">
        <w:t xml:space="preserve"> ha, which is indicative of a </w:t>
      </w:r>
      <w:r w:rsidRPr="00101D3F">
        <w:rPr>
          <w:b/>
        </w:rPr>
        <w:t>very restricted</w:t>
      </w:r>
      <w:r w:rsidRPr="00101D3F">
        <w:t xml:space="preserve"> distribution.</w:t>
      </w:r>
    </w:p>
    <w:p w14:paraId="225AAEBB" w14:textId="218E7AA4" w:rsidR="00DB38F1" w:rsidRPr="00101D3F" w:rsidRDefault="00DB38F1" w:rsidP="00DB38F1">
      <w:pPr>
        <w:keepNext/>
        <w:rPr>
          <w:b/>
          <w:iCs/>
        </w:rPr>
      </w:pPr>
      <w:r w:rsidRPr="00101D3F">
        <w:rPr>
          <w:b/>
          <w:iCs/>
        </w:rPr>
        <w:t xml:space="preserve">Table </w:t>
      </w:r>
      <w:r w:rsidRPr="00101D3F">
        <w:rPr>
          <w:b/>
          <w:iCs/>
        </w:rPr>
        <w:fldChar w:fldCharType="begin"/>
      </w:r>
      <w:r w:rsidRPr="00101D3F">
        <w:rPr>
          <w:b/>
          <w:iCs/>
        </w:rPr>
        <w:instrText xml:space="preserve"> SEQ Table \* ARABIC </w:instrText>
      </w:r>
      <w:r w:rsidRPr="00101D3F">
        <w:rPr>
          <w:b/>
          <w:iCs/>
        </w:rPr>
        <w:fldChar w:fldCharType="separate"/>
      </w:r>
      <w:r w:rsidR="005E6E9C">
        <w:rPr>
          <w:b/>
          <w:iCs/>
          <w:noProof/>
        </w:rPr>
        <w:t>3</w:t>
      </w:r>
      <w:r w:rsidRPr="00101D3F">
        <w:fldChar w:fldCharType="end"/>
      </w:r>
      <w:r w:rsidR="00D57F86">
        <w:rPr>
          <w:b/>
          <w:iCs/>
        </w:rPr>
        <w:t>: Patch sizes</w:t>
      </w:r>
    </w:p>
    <w:tbl>
      <w:tblPr>
        <w:tblStyle w:val="TableGrid"/>
        <w:tblW w:w="5000" w:type="pct"/>
        <w:tblLook w:val="04A0" w:firstRow="1" w:lastRow="0" w:firstColumn="1" w:lastColumn="0" w:noHBand="0" w:noVBand="1"/>
      </w:tblPr>
      <w:tblGrid>
        <w:gridCol w:w="2972"/>
        <w:gridCol w:w="2836"/>
        <w:gridCol w:w="3208"/>
      </w:tblGrid>
      <w:tr w:rsidR="00DB38F1" w:rsidRPr="00101D3F" w14:paraId="3D563806" w14:textId="77777777" w:rsidTr="00873202">
        <w:tc>
          <w:tcPr>
            <w:tcW w:w="1648" w:type="pct"/>
          </w:tcPr>
          <w:p w14:paraId="0BEE09CA" w14:textId="77777777" w:rsidR="00DB38F1" w:rsidRPr="00101D3F" w:rsidRDefault="00DB38F1" w:rsidP="002C671C">
            <w:pPr>
              <w:pStyle w:val="Tabletext"/>
            </w:pPr>
          </w:p>
        </w:tc>
        <w:tc>
          <w:tcPr>
            <w:tcW w:w="1573" w:type="pct"/>
          </w:tcPr>
          <w:p w14:paraId="45FA334B" w14:textId="65BB2EA9" w:rsidR="00DB38F1" w:rsidRPr="00101D3F" w:rsidRDefault="00DB38F1" w:rsidP="002C671C">
            <w:pPr>
              <w:pStyle w:val="Tabletext"/>
            </w:pPr>
            <w:r w:rsidRPr="00101D3F">
              <w:t>Area</w:t>
            </w:r>
          </w:p>
        </w:tc>
        <w:tc>
          <w:tcPr>
            <w:tcW w:w="1779" w:type="pct"/>
          </w:tcPr>
          <w:p w14:paraId="2A8EA4D5" w14:textId="77777777" w:rsidR="00DB38F1" w:rsidRPr="00101D3F" w:rsidRDefault="00DB38F1" w:rsidP="002C671C">
            <w:pPr>
              <w:pStyle w:val="Tabletext"/>
            </w:pPr>
            <w:r w:rsidRPr="00101D3F">
              <w:t>Number of patches</w:t>
            </w:r>
          </w:p>
        </w:tc>
      </w:tr>
      <w:tr w:rsidR="00DB38F1" w:rsidRPr="00101D3F" w14:paraId="6E9CE218" w14:textId="77777777" w:rsidTr="00873202">
        <w:tc>
          <w:tcPr>
            <w:tcW w:w="1648" w:type="pct"/>
          </w:tcPr>
          <w:p w14:paraId="22EBE64C" w14:textId="77777777" w:rsidR="00DB38F1" w:rsidRPr="00101D3F" w:rsidRDefault="00DB38F1" w:rsidP="002C671C">
            <w:pPr>
              <w:pStyle w:val="Tabletext"/>
            </w:pPr>
            <w:r w:rsidRPr="00101D3F">
              <w:t>Median patch size</w:t>
            </w:r>
          </w:p>
        </w:tc>
        <w:tc>
          <w:tcPr>
            <w:tcW w:w="1573" w:type="pct"/>
          </w:tcPr>
          <w:p w14:paraId="4EEEBA5D" w14:textId="365BBD1D" w:rsidR="00DB38F1" w:rsidRPr="00101D3F" w:rsidRDefault="00DE69DC" w:rsidP="002C671C">
            <w:pPr>
              <w:pStyle w:val="Tabletext"/>
            </w:pPr>
            <w:r>
              <w:t>2.5</w:t>
            </w:r>
            <w:r w:rsidR="00DB38F1" w:rsidRPr="00101D3F">
              <w:t xml:space="preserve"> ha</w:t>
            </w:r>
          </w:p>
        </w:tc>
        <w:tc>
          <w:tcPr>
            <w:tcW w:w="1779" w:type="pct"/>
          </w:tcPr>
          <w:p w14:paraId="377069F0" w14:textId="77777777" w:rsidR="00DB38F1" w:rsidRPr="00101D3F" w:rsidRDefault="00DB38F1" w:rsidP="002C671C">
            <w:pPr>
              <w:pStyle w:val="Tabletext"/>
            </w:pPr>
          </w:p>
        </w:tc>
      </w:tr>
      <w:tr w:rsidR="00DE69DC" w:rsidRPr="00101D3F" w14:paraId="7A29BD9C" w14:textId="77777777" w:rsidTr="00873202">
        <w:tc>
          <w:tcPr>
            <w:tcW w:w="1648" w:type="pct"/>
          </w:tcPr>
          <w:p w14:paraId="4D7A2E1B" w14:textId="4BC6AD9F" w:rsidR="00DE69DC" w:rsidRPr="00101D3F" w:rsidRDefault="00DE69DC" w:rsidP="008B4406">
            <w:pPr>
              <w:pStyle w:val="Tabletext"/>
            </w:pPr>
            <w:r>
              <w:t xml:space="preserve">Patches &lt; </w:t>
            </w:r>
            <w:r w:rsidR="008B4406">
              <w:t>1</w:t>
            </w:r>
            <w:r>
              <w:t xml:space="preserve"> ha</w:t>
            </w:r>
          </w:p>
        </w:tc>
        <w:tc>
          <w:tcPr>
            <w:tcW w:w="1573" w:type="pct"/>
          </w:tcPr>
          <w:p w14:paraId="63479534" w14:textId="44B49AF8" w:rsidR="00DE69DC" w:rsidRPr="00101D3F" w:rsidRDefault="008B4406" w:rsidP="008B4406">
            <w:pPr>
              <w:pStyle w:val="Tabletext"/>
            </w:pPr>
            <w:r>
              <w:t>109</w:t>
            </w:r>
            <w:r w:rsidR="00DE69DC">
              <w:t xml:space="preserve"> ha or </w:t>
            </w:r>
            <w:r>
              <w:t>1.4</w:t>
            </w:r>
            <w:r w:rsidR="00DE69DC">
              <w:t>%</w:t>
            </w:r>
          </w:p>
        </w:tc>
        <w:tc>
          <w:tcPr>
            <w:tcW w:w="1779" w:type="pct"/>
          </w:tcPr>
          <w:p w14:paraId="4C33CC19" w14:textId="0F9AED61" w:rsidR="00DE69DC" w:rsidRPr="00DE69DC" w:rsidRDefault="008B4406" w:rsidP="002C671C">
            <w:pPr>
              <w:pStyle w:val="Tabletext"/>
            </w:pPr>
            <w:r>
              <w:t>275 or 30</w:t>
            </w:r>
            <w:r w:rsidR="00DE69DC" w:rsidRPr="00DE69DC">
              <w:t>%</w:t>
            </w:r>
          </w:p>
        </w:tc>
      </w:tr>
      <w:tr w:rsidR="00DB38F1" w:rsidRPr="00101D3F" w14:paraId="7F3FA09A" w14:textId="77777777" w:rsidTr="00873202">
        <w:tc>
          <w:tcPr>
            <w:tcW w:w="1648" w:type="pct"/>
          </w:tcPr>
          <w:p w14:paraId="4ED9585F" w14:textId="62FB13A7" w:rsidR="00DB38F1" w:rsidRPr="00101D3F" w:rsidRDefault="00DB38F1" w:rsidP="002C671C">
            <w:pPr>
              <w:pStyle w:val="Tabletext"/>
            </w:pPr>
            <w:r w:rsidRPr="00101D3F">
              <w:t xml:space="preserve">Patches </w:t>
            </w:r>
            <w:r w:rsidR="00873202">
              <w:t>1</w:t>
            </w:r>
            <w:r w:rsidR="00DE69DC">
              <w:t xml:space="preserve"> ha to </w:t>
            </w:r>
            <w:r w:rsidRPr="00101D3F">
              <w:t>&lt; 5 ha</w:t>
            </w:r>
          </w:p>
        </w:tc>
        <w:tc>
          <w:tcPr>
            <w:tcW w:w="1573" w:type="pct"/>
          </w:tcPr>
          <w:p w14:paraId="032015D9" w14:textId="460C4D25" w:rsidR="00DB38F1" w:rsidRPr="00101D3F" w:rsidRDefault="00873202" w:rsidP="002C671C">
            <w:pPr>
              <w:pStyle w:val="Tabletext"/>
            </w:pPr>
            <w:r>
              <w:t>860 ha or 11</w:t>
            </w:r>
            <w:r w:rsidR="00DB38F1" w:rsidRPr="00101D3F">
              <w:t>%</w:t>
            </w:r>
          </w:p>
        </w:tc>
        <w:tc>
          <w:tcPr>
            <w:tcW w:w="1779" w:type="pct"/>
          </w:tcPr>
          <w:p w14:paraId="00F2D770" w14:textId="2634A1BF" w:rsidR="00DB38F1" w:rsidRPr="00DE69DC" w:rsidRDefault="00873202" w:rsidP="00873202">
            <w:pPr>
              <w:pStyle w:val="Tabletext"/>
            </w:pPr>
            <w:r>
              <w:t>344</w:t>
            </w:r>
            <w:r w:rsidR="00DB38F1" w:rsidRPr="00DE69DC">
              <w:t xml:space="preserve"> or </w:t>
            </w:r>
            <w:r>
              <w:t>37</w:t>
            </w:r>
            <w:r w:rsidR="00DB38F1" w:rsidRPr="00DE69DC">
              <w:t>%</w:t>
            </w:r>
          </w:p>
        </w:tc>
      </w:tr>
      <w:tr w:rsidR="00DB38F1" w:rsidRPr="00101D3F" w14:paraId="56078A97" w14:textId="77777777" w:rsidTr="00873202">
        <w:tc>
          <w:tcPr>
            <w:tcW w:w="1648" w:type="pct"/>
          </w:tcPr>
          <w:p w14:paraId="47013EA2" w14:textId="0A5535E6" w:rsidR="00DB38F1" w:rsidRPr="00101D3F" w:rsidRDefault="00DB38F1" w:rsidP="002C671C">
            <w:pPr>
              <w:pStyle w:val="Tabletext"/>
            </w:pPr>
            <w:r w:rsidRPr="00101D3F">
              <w:t xml:space="preserve">Patches </w:t>
            </w:r>
            <w:r w:rsidR="00DE69DC">
              <w:t xml:space="preserve">5 ha to </w:t>
            </w:r>
            <w:r w:rsidRPr="00101D3F">
              <w:t>&lt; 10 ha</w:t>
            </w:r>
          </w:p>
        </w:tc>
        <w:tc>
          <w:tcPr>
            <w:tcW w:w="1573" w:type="pct"/>
          </w:tcPr>
          <w:p w14:paraId="15CC9BE7" w14:textId="25BBA08F" w:rsidR="00DB38F1" w:rsidRPr="00101D3F" w:rsidRDefault="00DE69DC" w:rsidP="002C671C">
            <w:pPr>
              <w:pStyle w:val="Tabletext"/>
            </w:pPr>
            <w:r>
              <w:t>911 ha or 12</w:t>
            </w:r>
            <w:r w:rsidR="00DB38F1" w:rsidRPr="00101D3F">
              <w:t>%</w:t>
            </w:r>
          </w:p>
        </w:tc>
        <w:tc>
          <w:tcPr>
            <w:tcW w:w="1779" w:type="pct"/>
          </w:tcPr>
          <w:p w14:paraId="6585B898" w14:textId="147C7607" w:rsidR="00DB38F1" w:rsidRPr="00DE69DC" w:rsidRDefault="00DE69DC" w:rsidP="002C671C">
            <w:pPr>
              <w:pStyle w:val="Tabletext"/>
            </w:pPr>
            <w:r w:rsidRPr="00DE69DC">
              <w:t>125 or 14</w:t>
            </w:r>
            <w:r w:rsidR="00DB38F1" w:rsidRPr="00DE69DC">
              <w:t>%</w:t>
            </w:r>
          </w:p>
        </w:tc>
      </w:tr>
      <w:tr w:rsidR="00DB38F1" w:rsidRPr="00101D3F" w14:paraId="7E8AE928" w14:textId="77777777" w:rsidTr="00873202">
        <w:tc>
          <w:tcPr>
            <w:tcW w:w="1648" w:type="pct"/>
          </w:tcPr>
          <w:p w14:paraId="7A5CA7DB" w14:textId="020177B9" w:rsidR="00DB38F1" w:rsidRPr="00101D3F" w:rsidRDefault="00DB38F1" w:rsidP="002C671C">
            <w:pPr>
              <w:pStyle w:val="Tabletext"/>
            </w:pPr>
            <w:r w:rsidRPr="00101D3F">
              <w:t xml:space="preserve">Patches </w:t>
            </w:r>
            <w:r w:rsidR="00DE69DC">
              <w:t xml:space="preserve">10 ha to </w:t>
            </w:r>
            <w:r w:rsidRPr="00101D3F">
              <w:t>&lt; 20 ha</w:t>
            </w:r>
          </w:p>
        </w:tc>
        <w:tc>
          <w:tcPr>
            <w:tcW w:w="1573" w:type="pct"/>
          </w:tcPr>
          <w:p w14:paraId="4FA07711" w14:textId="46D5F738" w:rsidR="00DB38F1" w:rsidRPr="00101D3F" w:rsidRDefault="00DE69DC" w:rsidP="00DE69DC">
            <w:pPr>
              <w:pStyle w:val="Tabletext"/>
            </w:pPr>
            <w:r>
              <w:t>1098</w:t>
            </w:r>
            <w:r w:rsidR="00DB38F1" w:rsidRPr="00101D3F">
              <w:t xml:space="preserve"> ha or </w:t>
            </w:r>
            <w:r>
              <w:t>14</w:t>
            </w:r>
            <w:r w:rsidR="00DB38F1" w:rsidRPr="00101D3F">
              <w:t>%</w:t>
            </w:r>
          </w:p>
        </w:tc>
        <w:tc>
          <w:tcPr>
            <w:tcW w:w="1779" w:type="pct"/>
          </w:tcPr>
          <w:p w14:paraId="5A04A06A" w14:textId="0FE1B9BF" w:rsidR="00DB38F1" w:rsidRPr="00101D3F" w:rsidRDefault="00DE69DC" w:rsidP="00DE69DC">
            <w:pPr>
              <w:pStyle w:val="Tabletext"/>
            </w:pPr>
            <w:r>
              <w:t>78</w:t>
            </w:r>
            <w:r w:rsidR="00DB38F1" w:rsidRPr="00101D3F">
              <w:t xml:space="preserve"> or </w:t>
            </w:r>
            <w:r>
              <w:t>8.5</w:t>
            </w:r>
            <w:r w:rsidR="00DB38F1" w:rsidRPr="00101D3F">
              <w:t>%</w:t>
            </w:r>
          </w:p>
        </w:tc>
      </w:tr>
      <w:tr w:rsidR="00DB38F1" w:rsidRPr="00101D3F" w14:paraId="39B0485A" w14:textId="77777777" w:rsidTr="00873202">
        <w:tc>
          <w:tcPr>
            <w:tcW w:w="1648" w:type="pct"/>
          </w:tcPr>
          <w:p w14:paraId="321F9DE4" w14:textId="0D5AAC68" w:rsidR="00DB38F1" w:rsidRPr="00101D3F" w:rsidRDefault="00DB38F1" w:rsidP="002C671C">
            <w:pPr>
              <w:pStyle w:val="Tabletext"/>
            </w:pPr>
            <w:r w:rsidRPr="00101D3F">
              <w:t xml:space="preserve">Patches </w:t>
            </w:r>
            <w:r w:rsidR="00DE69DC">
              <w:t xml:space="preserve">20 ha to </w:t>
            </w:r>
            <w:r w:rsidRPr="00101D3F">
              <w:t>&lt; 50 ha</w:t>
            </w:r>
          </w:p>
        </w:tc>
        <w:tc>
          <w:tcPr>
            <w:tcW w:w="1573" w:type="pct"/>
          </w:tcPr>
          <w:p w14:paraId="01F8FF23" w14:textId="09F8A2EC" w:rsidR="00DB38F1" w:rsidRPr="00101D3F" w:rsidRDefault="00DE69DC" w:rsidP="002C671C">
            <w:pPr>
              <w:pStyle w:val="Tabletext"/>
            </w:pPr>
            <w:r>
              <w:t>2162 ha or 28</w:t>
            </w:r>
            <w:r w:rsidR="00DB38F1" w:rsidRPr="00101D3F">
              <w:t>%</w:t>
            </w:r>
          </w:p>
        </w:tc>
        <w:tc>
          <w:tcPr>
            <w:tcW w:w="1779" w:type="pct"/>
          </w:tcPr>
          <w:p w14:paraId="486083E2" w14:textId="5E0AF48F" w:rsidR="00DB38F1" w:rsidRPr="00101D3F" w:rsidRDefault="00DE69DC" w:rsidP="00DE69DC">
            <w:pPr>
              <w:pStyle w:val="Tabletext"/>
            </w:pPr>
            <w:r>
              <w:t>72</w:t>
            </w:r>
            <w:r w:rsidR="00DB38F1" w:rsidRPr="00101D3F">
              <w:t xml:space="preserve"> or </w:t>
            </w:r>
            <w:r>
              <w:t>8</w:t>
            </w:r>
            <w:r w:rsidR="00DB38F1" w:rsidRPr="00101D3F">
              <w:t>%</w:t>
            </w:r>
          </w:p>
        </w:tc>
      </w:tr>
      <w:tr w:rsidR="00DB38F1" w:rsidRPr="00101D3F" w14:paraId="44E1DE3B" w14:textId="77777777" w:rsidTr="00873202">
        <w:tc>
          <w:tcPr>
            <w:tcW w:w="1648" w:type="pct"/>
          </w:tcPr>
          <w:p w14:paraId="3AD4679B" w14:textId="243540DF" w:rsidR="00DB38F1" w:rsidRPr="00101D3F" w:rsidRDefault="00DE69DC" w:rsidP="00873202">
            <w:pPr>
              <w:pStyle w:val="Tabletext"/>
            </w:pPr>
            <w:r>
              <w:t xml:space="preserve">Patches over </w:t>
            </w:r>
            <w:r w:rsidR="00873202">
              <w:t>50</w:t>
            </w:r>
            <w:r w:rsidR="00DB38F1" w:rsidRPr="00101D3F">
              <w:t xml:space="preserve"> ha</w:t>
            </w:r>
          </w:p>
        </w:tc>
        <w:tc>
          <w:tcPr>
            <w:tcW w:w="1573" w:type="pct"/>
          </w:tcPr>
          <w:p w14:paraId="01978705" w14:textId="0CCB1CDA" w:rsidR="00DB38F1" w:rsidRPr="00101D3F" w:rsidRDefault="00873202" w:rsidP="00873202">
            <w:pPr>
              <w:pStyle w:val="Tabletext"/>
            </w:pPr>
            <w:r>
              <w:t>2466</w:t>
            </w:r>
            <w:r w:rsidR="00DE69DC">
              <w:t xml:space="preserve"> ha or </w:t>
            </w:r>
            <w:r>
              <w:t>32</w:t>
            </w:r>
            <w:r w:rsidR="00DB38F1" w:rsidRPr="00101D3F">
              <w:t>%</w:t>
            </w:r>
          </w:p>
        </w:tc>
        <w:tc>
          <w:tcPr>
            <w:tcW w:w="1779" w:type="pct"/>
          </w:tcPr>
          <w:p w14:paraId="2D2378E6" w14:textId="355A7DBA" w:rsidR="00DB38F1" w:rsidRPr="00101D3F" w:rsidRDefault="00873202" w:rsidP="00873202">
            <w:pPr>
              <w:pStyle w:val="Tabletext"/>
            </w:pPr>
            <w:r>
              <w:t>26</w:t>
            </w:r>
            <w:r w:rsidR="00DB38F1" w:rsidRPr="00101D3F">
              <w:t xml:space="preserve"> or </w:t>
            </w:r>
            <w:r>
              <w:t>3</w:t>
            </w:r>
            <w:r w:rsidR="00DB38F1" w:rsidRPr="00101D3F">
              <w:t>%</w:t>
            </w:r>
          </w:p>
        </w:tc>
      </w:tr>
    </w:tbl>
    <w:p w14:paraId="28175823" w14:textId="27CC0BC7" w:rsidR="00DB38F1" w:rsidRDefault="00DB38F1" w:rsidP="00DB38F1">
      <w:pPr>
        <w:pStyle w:val="Tablesource"/>
      </w:pPr>
      <w:r w:rsidRPr="00101D3F">
        <w:t xml:space="preserve">Source: </w:t>
      </w:r>
      <w:r w:rsidR="004F2634">
        <w:t xml:space="preserve">TASVEG unit WVI in </w:t>
      </w:r>
      <w:r>
        <w:t>DPIPWE (2013)</w:t>
      </w:r>
      <w:r w:rsidR="004F2634">
        <w:t>.</w:t>
      </w:r>
    </w:p>
    <w:p w14:paraId="7AFBF282" w14:textId="254822EB" w:rsidR="00DB38F1" w:rsidRPr="00101D3F" w:rsidRDefault="00DB38F1" w:rsidP="00337113">
      <w:r w:rsidRPr="00101D3F">
        <w:t>The present distribution of the ecological community</w:t>
      </w:r>
      <w:r w:rsidR="00DE69DC">
        <w:t xml:space="preserve"> is severely fragmented, with 81</w:t>
      </w:r>
      <w:r w:rsidRPr="00101D3F">
        <w:t>% of remnants being less than</w:t>
      </w:r>
      <w:r w:rsidR="00873202">
        <w:t xml:space="preserve"> 10 ha and only 3</w:t>
      </w:r>
      <w:r w:rsidR="00DE69DC">
        <w:t xml:space="preserve">% being above </w:t>
      </w:r>
      <w:r w:rsidR="00873202">
        <w:t>50</w:t>
      </w:r>
      <w:r w:rsidRPr="00101D3F">
        <w:t xml:space="preserve"> ha</w:t>
      </w:r>
      <w:r w:rsidR="00337113">
        <w:t xml:space="preserve">, and </w:t>
      </w:r>
      <w:r>
        <w:t xml:space="preserve">an average edge density of </w:t>
      </w:r>
      <w:r w:rsidR="00DE69DC">
        <w:t>686</w:t>
      </w:r>
      <w:r w:rsidRPr="00101D3F">
        <w:t>m/ha.</w:t>
      </w:r>
      <w:r w:rsidR="00183D7B">
        <w:t xml:space="preserve"> </w:t>
      </w:r>
      <w:r w:rsidRPr="00101D3F">
        <w:t xml:space="preserve">This highly fragmented distribution makes it </w:t>
      </w:r>
      <w:r w:rsidR="00337113">
        <w:t>very</w:t>
      </w:r>
      <w:r w:rsidRPr="00101D3F">
        <w:t xml:space="preserve"> susceptible to edge effects and to the actions of various threats, particularly invasive species</w:t>
      </w:r>
      <w:r w:rsidR="00EC52A9">
        <w:t xml:space="preserve">, climate </w:t>
      </w:r>
      <w:r w:rsidR="004E34CB">
        <w:t>impacts</w:t>
      </w:r>
      <w:r w:rsidRPr="00101D3F">
        <w:t xml:space="preserve">, </w:t>
      </w:r>
      <w:r w:rsidR="004E34CB">
        <w:t xml:space="preserve">and </w:t>
      </w:r>
      <w:r w:rsidRPr="00101D3F">
        <w:t>cumulative losses of patches.</w:t>
      </w:r>
      <w:r w:rsidR="00183D7B">
        <w:t xml:space="preserve"> </w:t>
      </w:r>
      <w:r w:rsidR="00337113">
        <w:t>The collective action of these</w:t>
      </w:r>
      <w:r w:rsidRPr="00101D3F">
        <w:t xml:space="preserve"> threatening processes have the potential to cause the loss of the ecological community</w:t>
      </w:r>
      <w:r w:rsidR="00337113">
        <w:t xml:space="preserve"> in the </w:t>
      </w:r>
      <w:r w:rsidR="00337113" w:rsidRPr="00337113">
        <w:rPr>
          <w:b/>
        </w:rPr>
        <w:t>immediate future</w:t>
      </w:r>
      <w:r w:rsidR="00337113">
        <w:t xml:space="preserve"> (</w:t>
      </w:r>
      <w:r w:rsidRPr="00101D3F">
        <w:t xml:space="preserve">within three generations of </w:t>
      </w:r>
      <w:r w:rsidR="00337113">
        <w:rPr>
          <w:i/>
        </w:rPr>
        <w:t>E. </w:t>
      </w:r>
      <w:r w:rsidRPr="00101D3F">
        <w:rPr>
          <w:i/>
        </w:rPr>
        <w:t>viminalis</w:t>
      </w:r>
      <w:r w:rsidR="00337113">
        <w:rPr>
          <w:i/>
        </w:rPr>
        <w:t>)</w:t>
      </w:r>
      <w:r w:rsidRPr="00101D3F">
        <w:t xml:space="preserve">. </w:t>
      </w:r>
    </w:p>
    <w:p w14:paraId="2E936F3F" w14:textId="77777777" w:rsidR="00DB38F1" w:rsidRPr="00F76D2F" w:rsidRDefault="00DB38F1" w:rsidP="00DB38F1">
      <w:pPr>
        <w:pStyle w:val="Heading3"/>
      </w:pPr>
      <w:r w:rsidRPr="00F76D2F">
        <w:lastRenderedPageBreak/>
        <w:t>Criterion 3 –</w:t>
      </w:r>
      <w:r>
        <w:t xml:space="preserve"> </w:t>
      </w:r>
      <w:r w:rsidRPr="00F76D2F">
        <w:t>decline of functionally important species</w:t>
      </w:r>
    </w:p>
    <w:p w14:paraId="691F8DD7" w14:textId="77777777" w:rsidR="00DB38F1" w:rsidRPr="004A6896" w:rsidRDefault="00DB38F1" w:rsidP="00DB38F1">
      <w:pPr>
        <w:keepNext/>
        <w:rPr>
          <w:b/>
        </w:rPr>
      </w:pPr>
      <w:r>
        <w:rPr>
          <w:b/>
        </w:rPr>
        <w:t>Critically e</w:t>
      </w:r>
      <w:r w:rsidRPr="008D40A2">
        <w:rPr>
          <w:b/>
        </w:rPr>
        <w:t>ndangered</w:t>
      </w:r>
    </w:p>
    <w:p w14:paraId="7A9155A8" w14:textId="46482789" w:rsidR="00DB38F1" w:rsidRDefault="00DB38F1" w:rsidP="00DB38F1">
      <w:r>
        <w:t xml:space="preserve">The dominant canopy species, </w:t>
      </w:r>
      <w:r w:rsidRPr="00D4150D">
        <w:rPr>
          <w:i/>
        </w:rPr>
        <w:t>Eucalyptus viminalis</w:t>
      </w:r>
      <w:r>
        <w:t>, has undergone a decline in abundance along with loss</w:t>
      </w:r>
      <w:r w:rsidR="000A427B">
        <w:t xml:space="preserve">es of the ecological community. </w:t>
      </w:r>
      <w:r w:rsidRPr="00406596">
        <w:t>Although as a species it is not considered to be threatened at this time</w:t>
      </w:r>
      <w:r>
        <w:t>, it is subject to significant losses to ‘rural tree decline’ throughout Tasmania and on the mainland</w:t>
      </w:r>
      <w:r w:rsidRPr="00406596">
        <w:t xml:space="preserve">, </w:t>
      </w:r>
      <w:r>
        <w:t xml:space="preserve">and </w:t>
      </w:r>
      <w:r w:rsidRPr="00406596">
        <w:t xml:space="preserve">white gum trees are subject to significant decline within </w:t>
      </w:r>
      <w:r>
        <w:t xml:space="preserve">and without </w:t>
      </w:r>
      <w:r w:rsidRPr="00406596">
        <w:t>the ecological community</w:t>
      </w:r>
      <w:r>
        <w:t xml:space="preserve"> due to ‘ginger tree syndrome’.</w:t>
      </w:r>
      <w:r w:rsidR="00D42BC3" w:rsidRPr="00D42BC3">
        <w:rPr>
          <w:i/>
        </w:rPr>
        <w:t xml:space="preserve"> Eucalyptus viminalis</w:t>
      </w:r>
      <w:r w:rsidR="00D42BC3" w:rsidRPr="00D42BC3">
        <w:t xml:space="preserve"> is known to be highly susceptible to stress due to climatic factors</w:t>
      </w:r>
      <w:r w:rsidR="00D42BC3">
        <w:t>.</w:t>
      </w:r>
    </w:p>
    <w:p w14:paraId="34900518" w14:textId="70E07F87" w:rsidR="00DB38F1" w:rsidRPr="00966AAE" w:rsidRDefault="00D42BC3" w:rsidP="00DB38F1">
      <w:r>
        <w:t>The</w:t>
      </w:r>
      <w:r w:rsidR="00DB38F1" w:rsidRPr="00966AAE">
        <w:t xml:space="preserve"> widespread nature</w:t>
      </w:r>
      <w:r>
        <w:t xml:space="preserve"> of ginger tree syndrome</w:t>
      </w:r>
      <w:r w:rsidR="00DB38F1" w:rsidRPr="00966AAE">
        <w:t xml:space="preserve"> </w:t>
      </w:r>
      <w:r w:rsidR="00DB38F1">
        <w:t xml:space="preserve">in Tasmania </w:t>
      </w:r>
      <w:r w:rsidR="00DB38F1" w:rsidRPr="00966AAE">
        <w:t>was noticed after high temperatures over several days since the 2012-13 summer</w:t>
      </w:r>
      <w:r>
        <w:t xml:space="preserve"> (Mitchell 2015)</w:t>
      </w:r>
      <w:r w:rsidR="00DB38F1" w:rsidRPr="00966AAE">
        <w:t xml:space="preserve">. Thousands to millions of trees are currently affected in northern Tasmania and </w:t>
      </w:r>
      <w:r w:rsidR="00DB38F1" w:rsidRPr="00966AAE">
        <w:rPr>
          <w:i/>
        </w:rPr>
        <w:t>Eucalyptus viminalis</w:t>
      </w:r>
      <w:r w:rsidR="00DB38F1" w:rsidRPr="00966AAE">
        <w:t xml:space="preserve"> within the ecological community appears to have been particularly adversely affected, with significant mortality observed.</w:t>
      </w:r>
    </w:p>
    <w:p w14:paraId="14203553" w14:textId="70288983" w:rsidR="00DB38F1" w:rsidRDefault="00DB38F1" w:rsidP="00DB38F1">
      <w:r w:rsidRPr="00966AAE">
        <w:t xml:space="preserve">Climate change projections indicate an increasing frequency and intensity of heat waves </w:t>
      </w:r>
      <w:r>
        <w:t>in Tasmania (</w:t>
      </w:r>
      <w:r w:rsidR="00EC52A9">
        <w:t>Grose et al 2010</w:t>
      </w:r>
      <w:r>
        <w:t xml:space="preserve">) </w:t>
      </w:r>
      <w:r w:rsidRPr="00966AAE">
        <w:t xml:space="preserve">and </w:t>
      </w:r>
      <w:r w:rsidR="0077725A">
        <w:t xml:space="preserve">future </w:t>
      </w:r>
      <w:r w:rsidRPr="00966AAE">
        <w:t xml:space="preserve">climatic </w:t>
      </w:r>
      <w:r w:rsidR="00E00E3C">
        <w:t xml:space="preserve">suitability </w:t>
      </w:r>
      <w:r w:rsidRPr="00B117BA">
        <w:t xml:space="preserve">modelling for </w:t>
      </w:r>
      <w:r>
        <w:rPr>
          <w:i/>
        </w:rPr>
        <w:t>E. </w:t>
      </w:r>
      <w:r w:rsidRPr="00B117BA">
        <w:rPr>
          <w:i/>
        </w:rPr>
        <w:t>viminalis</w:t>
      </w:r>
      <w:r>
        <w:t xml:space="preserve"> </w:t>
      </w:r>
      <w:r w:rsidR="00E00E3C">
        <w:t xml:space="preserve">(Harrison 2017) </w:t>
      </w:r>
      <w:r>
        <w:t xml:space="preserve">indicates that </w:t>
      </w:r>
      <w:r w:rsidR="0077725A">
        <w:t xml:space="preserve">under a high emissions scenario consistent with current trajectories, around half </w:t>
      </w:r>
      <w:r w:rsidRPr="00B117BA">
        <w:t>of the ecological community’s current range</w:t>
      </w:r>
      <w:r w:rsidR="0077725A">
        <w:t xml:space="preserve"> </w:t>
      </w:r>
      <w:r>
        <w:t>may</w:t>
      </w:r>
      <w:r w:rsidRPr="00B117BA">
        <w:t xml:space="preserve"> be unsuitable for the </w:t>
      </w:r>
      <w:r>
        <w:t xml:space="preserve">dominant canopy </w:t>
      </w:r>
      <w:r w:rsidRPr="00B117BA">
        <w:t>species by 20</w:t>
      </w:r>
      <w:r w:rsidR="0077725A">
        <w:t>5</w:t>
      </w:r>
      <w:r w:rsidRPr="00B117BA">
        <w:t>0</w:t>
      </w:r>
      <w:r w:rsidR="0077725A">
        <w:t xml:space="preserve"> and around 80% may be unsuitable by 2080 </w:t>
      </w:r>
      <w:r w:rsidR="00E00E3C">
        <w:t>(</w:t>
      </w:r>
      <w:r w:rsidR="00E00E3C">
        <w:fldChar w:fldCharType="begin"/>
      </w:r>
      <w:r w:rsidR="00E00E3C">
        <w:instrText xml:space="preserve"> REF _Ref24019331 \h </w:instrText>
      </w:r>
      <w:r w:rsidR="00E00E3C">
        <w:fldChar w:fldCharType="separate"/>
      </w:r>
      <w:r w:rsidR="005E6E9C">
        <w:t xml:space="preserve">Table </w:t>
      </w:r>
      <w:r w:rsidR="005E6E9C">
        <w:rPr>
          <w:noProof/>
        </w:rPr>
        <w:t>4</w:t>
      </w:r>
      <w:r w:rsidR="00E00E3C">
        <w:fldChar w:fldCharType="end"/>
      </w:r>
      <w:r w:rsidR="00E00E3C">
        <w:t>)</w:t>
      </w:r>
      <w:r w:rsidR="0077725A">
        <w:t>.</w:t>
      </w:r>
    </w:p>
    <w:p w14:paraId="32AA6F32" w14:textId="77777777" w:rsidR="00DB38F1" w:rsidRDefault="00DB38F1" w:rsidP="00DB38F1">
      <w:pPr>
        <w:pStyle w:val="Caption"/>
        <w:keepNext/>
      </w:pPr>
      <w:bookmarkStart w:id="26" w:name="_Ref24019331"/>
      <w:r>
        <w:t xml:space="preserve">Table </w:t>
      </w:r>
      <w:r>
        <w:rPr>
          <w:noProof/>
        </w:rPr>
        <w:fldChar w:fldCharType="begin"/>
      </w:r>
      <w:r>
        <w:rPr>
          <w:noProof/>
        </w:rPr>
        <w:instrText xml:space="preserve"> SEQ Table \* ARABIC </w:instrText>
      </w:r>
      <w:r>
        <w:rPr>
          <w:noProof/>
        </w:rPr>
        <w:fldChar w:fldCharType="separate"/>
      </w:r>
      <w:r w:rsidR="005E6E9C">
        <w:rPr>
          <w:noProof/>
        </w:rPr>
        <w:t>4</w:t>
      </w:r>
      <w:r>
        <w:rPr>
          <w:noProof/>
        </w:rPr>
        <w:fldChar w:fldCharType="end"/>
      </w:r>
      <w:bookmarkEnd w:id="26"/>
      <w:r>
        <w:t xml:space="preserve">: Area of current WVI that remains as suitable habitat for </w:t>
      </w:r>
      <w:r w:rsidRPr="004C48D5">
        <w:rPr>
          <w:i/>
        </w:rPr>
        <w:t>E. viminalis</w:t>
      </w:r>
      <w:r>
        <w:t xml:space="preserve"> under future climate scenarios</w:t>
      </w:r>
    </w:p>
    <w:tbl>
      <w:tblPr>
        <w:tblStyle w:val="TableGrid"/>
        <w:tblW w:w="5000" w:type="pct"/>
        <w:tblLook w:val="04A0" w:firstRow="1" w:lastRow="0" w:firstColumn="1" w:lastColumn="0" w:noHBand="0" w:noVBand="1"/>
      </w:tblPr>
      <w:tblGrid>
        <w:gridCol w:w="2254"/>
        <w:gridCol w:w="2254"/>
        <w:gridCol w:w="2254"/>
        <w:gridCol w:w="2254"/>
      </w:tblGrid>
      <w:tr w:rsidR="00DB38F1" w14:paraId="0DC233DE" w14:textId="77777777" w:rsidTr="002C671C">
        <w:tc>
          <w:tcPr>
            <w:tcW w:w="1250" w:type="pct"/>
          </w:tcPr>
          <w:p w14:paraId="4F7893ED" w14:textId="77777777" w:rsidR="00DB38F1" w:rsidRDefault="00DB38F1" w:rsidP="002C671C">
            <w:pPr>
              <w:pStyle w:val="Tabletext"/>
            </w:pPr>
          </w:p>
        </w:tc>
        <w:tc>
          <w:tcPr>
            <w:tcW w:w="1250" w:type="pct"/>
          </w:tcPr>
          <w:p w14:paraId="5FCFBEDE" w14:textId="0DBE4C11" w:rsidR="00DB38F1" w:rsidRDefault="00DB38F1" w:rsidP="0077725A">
            <w:pPr>
              <w:pStyle w:val="Tabletext"/>
            </w:pPr>
            <w:r>
              <w:t xml:space="preserve">Suitable </w:t>
            </w:r>
            <w:r w:rsidR="0077725A">
              <w:t>2010-2039</w:t>
            </w:r>
          </w:p>
        </w:tc>
        <w:tc>
          <w:tcPr>
            <w:tcW w:w="1250" w:type="pct"/>
          </w:tcPr>
          <w:p w14:paraId="3FDA2756" w14:textId="5C4D216B" w:rsidR="00DB38F1" w:rsidRDefault="00DB38F1" w:rsidP="0077725A">
            <w:pPr>
              <w:pStyle w:val="Tabletext"/>
            </w:pPr>
            <w:r>
              <w:t xml:space="preserve">Suitable </w:t>
            </w:r>
            <w:r w:rsidR="0077725A">
              <w:t>2040-2069</w:t>
            </w:r>
          </w:p>
        </w:tc>
        <w:tc>
          <w:tcPr>
            <w:tcW w:w="1250" w:type="pct"/>
          </w:tcPr>
          <w:p w14:paraId="2F23DC2B" w14:textId="6CD221CB" w:rsidR="00DB38F1" w:rsidRDefault="00DB38F1" w:rsidP="0077725A">
            <w:pPr>
              <w:pStyle w:val="Tabletext"/>
            </w:pPr>
            <w:r>
              <w:t xml:space="preserve">Suitable </w:t>
            </w:r>
            <w:r w:rsidR="0077725A">
              <w:t>2070-2099</w:t>
            </w:r>
          </w:p>
        </w:tc>
      </w:tr>
      <w:tr w:rsidR="00DB38F1" w14:paraId="3E31D3A1" w14:textId="77777777" w:rsidTr="002C671C">
        <w:tc>
          <w:tcPr>
            <w:tcW w:w="1250" w:type="pct"/>
          </w:tcPr>
          <w:p w14:paraId="6E4C81BF" w14:textId="77777777" w:rsidR="00DB38F1" w:rsidRDefault="00DB38F1" w:rsidP="002C671C">
            <w:pPr>
              <w:pStyle w:val="Tabletext"/>
            </w:pPr>
            <w:r>
              <w:t>Area (ha)</w:t>
            </w:r>
          </w:p>
        </w:tc>
        <w:tc>
          <w:tcPr>
            <w:tcW w:w="1250" w:type="pct"/>
          </w:tcPr>
          <w:p w14:paraId="081A5BC6" w14:textId="77777777" w:rsidR="00DB38F1" w:rsidRDefault="00DB38F1" w:rsidP="002C671C">
            <w:pPr>
              <w:pStyle w:val="Tabletext"/>
            </w:pPr>
            <w:r>
              <w:t>4494</w:t>
            </w:r>
          </w:p>
        </w:tc>
        <w:tc>
          <w:tcPr>
            <w:tcW w:w="1250" w:type="pct"/>
          </w:tcPr>
          <w:p w14:paraId="763F773E" w14:textId="77777777" w:rsidR="00DB38F1" w:rsidRDefault="00DB38F1" w:rsidP="002C671C">
            <w:pPr>
              <w:pStyle w:val="Tabletext"/>
            </w:pPr>
            <w:r>
              <w:t>2629</w:t>
            </w:r>
          </w:p>
        </w:tc>
        <w:tc>
          <w:tcPr>
            <w:tcW w:w="1250" w:type="pct"/>
          </w:tcPr>
          <w:p w14:paraId="7BCE8E30" w14:textId="77777777" w:rsidR="00DB38F1" w:rsidRDefault="00DB38F1" w:rsidP="002C671C">
            <w:pPr>
              <w:pStyle w:val="Tabletext"/>
            </w:pPr>
            <w:r>
              <w:t>956</w:t>
            </w:r>
          </w:p>
        </w:tc>
      </w:tr>
      <w:tr w:rsidR="00DB38F1" w14:paraId="1C13C01B" w14:textId="77777777" w:rsidTr="002C671C">
        <w:tc>
          <w:tcPr>
            <w:tcW w:w="1250" w:type="pct"/>
          </w:tcPr>
          <w:p w14:paraId="18909BA3" w14:textId="77777777" w:rsidR="00DB38F1" w:rsidRDefault="00DB38F1" w:rsidP="002C671C">
            <w:pPr>
              <w:pStyle w:val="Tabletext"/>
            </w:pPr>
            <w:r>
              <w:t>% of current range</w:t>
            </w:r>
          </w:p>
        </w:tc>
        <w:tc>
          <w:tcPr>
            <w:tcW w:w="1250" w:type="pct"/>
          </w:tcPr>
          <w:p w14:paraId="7EAF6F03" w14:textId="77777777" w:rsidR="00DB38F1" w:rsidRDefault="00DB38F1" w:rsidP="002C671C">
            <w:pPr>
              <w:pStyle w:val="Tabletext"/>
            </w:pPr>
            <w:r>
              <w:t>83%</w:t>
            </w:r>
          </w:p>
        </w:tc>
        <w:tc>
          <w:tcPr>
            <w:tcW w:w="1250" w:type="pct"/>
          </w:tcPr>
          <w:p w14:paraId="2B42CC23" w14:textId="77777777" w:rsidR="00DB38F1" w:rsidRDefault="00DB38F1" w:rsidP="002C671C">
            <w:pPr>
              <w:pStyle w:val="Tabletext"/>
            </w:pPr>
            <w:r>
              <w:t>49%</w:t>
            </w:r>
          </w:p>
        </w:tc>
        <w:tc>
          <w:tcPr>
            <w:tcW w:w="1250" w:type="pct"/>
          </w:tcPr>
          <w:p w14:paraId="3C9E32E8" w14:textId="77777777" w:rsidR="00DB38F1" w:rsidRDefault="00DB38F1" w:rsidP="002C671C">
            <w:pPr>
              <w:pStyle w:val="Tabletext"/>
            </w:pPr>
            <w:r>
              <w:t>18%</w:t>
            </w:r>
          </w:p>
        </w:tc>
      </w:tr>
    </w:tbl>
    <w:p w14:paraId="3CBD8CC6" w14:textId="5211761B" w:rsidR="00DB38F1" w:rsidRDefault="00DB38F1" w:rsidP="00DB38F1">
      <w:pPr>
        <w:pStyle w:val="Tablesource"/>
      </w:pPr>
      <w:r w:rsidRPr="00D42BC3">
        <w:t xml:space="preserve">Source: Harrison 2017; </w:t>
      </w:r>
      <w:r w:rsidR="00E00E3C" w:rsidRPr="00D42BC3">
        <w:t>and TASVEG unit WVI in DPIPWE (2013)</w:t>
      </w:r>
    </w:p>
    <w:p w14:paraId="4ECE4DEA" w14:textId="3EC2F152" w:rsidR="00DB38F1" w:rsidRPr="00B117BA" w:rsidRDefault="00DB38F1" w:rsidP="00DB38F1">
      <w:r w:rsidRPr="00966AAE">
        <w:t xml:space="preserve">The loss of </w:t>
      </w:r>
      <w:r w:rsidR="000A427B">
        <w:t>live white gum</w:t>
      </w:r>
      <w:r w:rsidRPr="00966AAE">
        <w:t xml:space="preserve"> trees</w:t>
      </w:r>
      <w:r w:rsidR="000A427B">
        <w:t>, the dominant species in the canopy,</w:t>
      </w:r>
      <w:r w:rsidRPr="00966AAE">
        <w:t xml:space="preserve"> </w:t>
      </w:r>
      <w:r w:rsidR="000A427B">
        <w:t>is likely</w:t>
      </w:r>
      <w:r w:rsidRPr="00966AAE">
        <w:t xml:space="preserve"> to substantially alter the character and function of the ecological community.</w:t>
      </w:r>
      <w:r>
        <w:t xml:space="preserve"> </w:t>
      </w:r>
      <w:r w:rsidRPr="00406596">
        <w:t xml:space="preserve">This represents a </w:t>
      </w:r>
      <w:r w:rsidRPr="006B045A">
        <w:rPr>
          <w:b/>
        </w:rPr>
        <w:t xml:space="preserve">very </w:t>
      </w:r>
      <w:r w:rsidRPr="00406596">
        <w:rPr>
          <w:b/>
        </w:rPr>
        <w:t>severe decline</w:t>
      </w:r>
      <w:r>
        <w:t xml:space="preserve"> in </w:t>
      </w:r>
      <w:r w:rsidR="000A427B">
        <w:t xml:space="preserve">a species that plays a major role in </w:t>
      </w:r>
      <w:r>
        <w:t xml:space="preserve">community structure and processes, such that restoration is unlikely to be possible in the immediate future (3 generations of </w:t>
      </w:r>
      <w:r w:rsidRPr="00AE6AA2">
        <w:rPr>
          <w:i/>
        </w:rPr>
        <w:t>E. viminalis</w:t>
      </w:r>
      <w:r>
        <w:t>).</w:t>
      </w:r>
    </w:p>
    <w:p w14:paraId="5B8FD682" w14:textId="77777777" w:rsidR="00DB38F1" w:rsidRPr="00DC01EF" w:rsidRDefault="00DB38F1" w:rsidP="00DB38F1">
      <w:pPr>
        <w:pStyle w:val="Heading3"/>
      </w:pPr>
      <w:r w:rsidRPr="00DC01EF">
        <w:t>Criterion 4 – reduction in community integrity</w:t>
      </w:r>
    </w:p>
    <w:p w14:paraId="38252486" w14:textId="77777777" w:rsidR="00DB38F1" w:rsidRPr="004A6896" w:rsidRDefault="00DB38F1" w:rsidP="0077725A">
      <w:pPr>
        <w:keepNext/>
        <w:rPr>
          <w:b/>
        </w:rPr>
      </w:pPr>
      <w:r w:rsidRPr="008D40A2">
        <w:rPr>
          <w:b/>
        </w:rPr>
        <w:t>Endangered</w:t>
      </w:r>
    </w:p>
    <w:p w14:paraId="03F706B8" w14:textId="1FFA4FB4" w:rsidR="00DB38F1" w:rsidRDefault="00DB38F1" w:rsidP="007C5F74">
      <w:pPr>
        <w:keepLines/>
        <w:rPr>
          <w:color w:val="7030A0"/>
        </w:rPr>
      </w:pPr>
      <w:r w:rsidRPr="001A5FD6">
        <w:t xml:space="preserve">The ecological community occurs mainly as scattered remnants, with very few old-growth </w:t>
      </w:r>
      <w:r w:rsidR="0077725A">
        <w:t xml:space="preserve">stands </w:t>
      </w:r>
      <w:r w:rsidRPr="001A5FD6">
        <w:t>or large stands remaining. Regrowth trees lack hollows that are found in older trees and therefore reduce the ecological complexity and functionality of the ecological community, particularly for hollow-dependant species. The Tasmanian State of the Forests report (FPA 2017) indicates continued losses are primarily of the</w:t>
      </w:r>
      <w:r>
        <w:t xml:space="preserve"> remaining mature stands (</w:t>
      </w:r>
      <w:r w:rsidR="00DC4791" w:rsidRPr="008B4406">
        <w:rPr>
          <w:u w:val="single"/>
        </w:rPr>
        <w:fldChar w:fldCharType="begin"/>
      </w:r>
      <w:r w:rsidR="00DC4791" w:rsidRPr="008B4406">
        <w:rPr>
          <w:u w:val="single"/>
        </w:rPr>
        <w:instrText xml:space="preserve"> REF _Ref24020981 \h </w:instrText>
      </w:r>
      <w:r w:rsidR="00DC4791" w:rsidRPr="008B4406">
        <w:rPr>
          <w:u w:val="single"/>
        </w:rPr>
      </w:r>
      <w:r w:rsidR="00DC4791" w:rsidRPr="008B4406">
        <w:rPr>
          <w:u w:val="single"/>
        </w:rPr>
        <w:fldChar w:fldCharType="separate"/>
      </w:r>
      <w:r w:rsidR="005E6E9C">
        <w:t xml:space="preserve">Table </w:t>
      </w:r>
      <w:r w:rsidR="005E6E9C">
        <w:rPr>
          <w:noProof/>
        </w:rPr>
        <w:t>5</w:t>
      </w:r>
      <w:r w:rsidR="00DC4791" w:rsidRPr="008B4406">
        <w:rPr>
          <w:u w:val="single"/>
        </w:rPr>
        <w:fldChar w:fldCharType="end"/>
      </w:r>
      <w:r>
        <w:t xml:space="preserve">). </w:t>
      </w:r>
    </w:p>
    <w:p w14:paraId="36C972BF" w14:textId="77777777" w:rsidR="00DB38F1" w:rsidRDefault="00DB38F1" w:rsidP="00DB38F1">
      <w:pPr>
        <w:pStyle w:val="Caption"/>
        <w:keepNext/>
      </w:pPr>
      <w:bookmarkStart w:id="27" w:name="_Ref24020981"/>
      <w:r>
        <w:t xml:space="preserve">Table </w:t>
      </w:r>
      <w:r>
        <w:rPr>
          <w:noProof/>
        </w:rPr>
        <w:fldChar w:fldCharType="begin"/>
      </w:r>
      <w:r>
        <w:rPr>
          <w:noProof/>
        </w:rPr>
        <w:instrText xml:space="preserve"> SEQ Table \* ARABIC </w:instrText>
      </w:r>
      <w:r>
        <w:rPr>
          <w:noProof/>
        </w:rPr>
        <w:fldChar w:fldCharType="separate"/>
      </w:r>
      <w:r w:rsidR="005E6E9C">
        <w:rPr>
          <w:noProof/>
        </w:rPr>
        <w:t>5</w:t>
      </w:r>
      <w:r>
        <w:rPr>
          <w:noProof/>
        </w:rPr>
        <w:fldChar w:fldCharType="end"/>
      </w:r>
      <w:bookmarkEnd w:id="27"/>
      <w:r>
        <w:t>: Hectares of VW remaining, by growth stage</w:t>
      </w:r>
    </w:p>
    <w:tbl>
      <w:tblPr>
        <w:tblStyle w:val="TableGrid"/>
        <w:tblW w:w="0" w:type="auto"/>
        <w:tblLayout w:type="fixed"/>
        <w:tblLook w:val="04A0" w:firstRow="1" w:lastRow="0" w:firstColumn="1" w:lastColumn="0" w:noHBand="0" w:noVBand="1"/>
      </w:tblPr>
      <w:tblGrid>
        <w:gridCol w:w="1696"/>
        <w:gridCol w:w="1134"/>
        <w:gridCol w:w="1276"/>
        <w:gridCol w:w="1276"/>
        <w:gridCol w:w="1134"/>
        <w:gridCol w:w="2500"/>
      </w:tblGrid>
      <w:tr w:rsidR="00DB38F1" w:rsidRPr="002F7F61" w14:paraId="295F2707" w14:textId="77777777" w:rsidTr="008B4406">
        <w:tc>
          <w:tcPr>
            <w:tcW w:w="1696" w:type="dxa"/>
          </w:tcPr>
          <w:p w14:paraId="6943E22D" w14:textId="77777777" w:rsidR="00DB38F1" w:rsidRPr="002F7F61" w:rsidRDefault="00DB38F1" w:rsidP="008B4406">
            <w:pPr>
              <w:pStyle w:val="Tabletext"/>
              <w:keepNext/>
              <w:rPr>
                <w:b/>
              </w:rPr>
            </w:pPr>
          </w:p>
        </w:tc>
        <w:tc>
          <w:tcPr>
            <w:tcW w:w="1134" w:type="dxa"/>
          </w:tcPr>
          <w:p w14:paraId="6C48BB8D" w14:textId="77777777" w:rsidR="00DB38F1" w:rsidRPr="002F7F61" w:rsidRDefault="00DB38F1" w:rsidP="008B4406">
            <w:pPr>
              <w:pStyle w:val="Tabletext"/>
              <w:keepNext/>
              <w:rPr>
                <w:b/>
              </w:rPr>
            </w:pPr>
            <w:r w:rsidRPr="002F7F61">
              <w:rPr>
                <w:b/>
              </w:rPr>
              <w:t>2002</w:t>
            </w:r>
          </w:p>
        </w:tc>
        <w:tc>
          <w:tcPr>
            <w:tcW w:w="1276" w:type="dxa"/>
          </w:tcPr>
          <w:p w14:paraId="3D4FFCF2" w14:textId="77777777" w:rsidR="00DB38F1" w:rsidRPr="002F7F61" w:rsidRDefault="00DB38F1" w:rsidP="008B4406">
            <w:pPr>
              <w:pStyle w:val="Tabletext"/>
              <w:keepNext/>
              <w:rPr>
                <w:b/>
              </w:rPr>
            </w:pPr>
            <w:r w:rsidRPr="002F7F61">
              <w:rPr>
                <w:b/>
              </w:rPr>
              <w:t>2006</w:t>
            </w:r>
          </w:p>
        </w:tc>
        <w:tc>
          <w:tcPr>
            <w:tcW w:w="1276" w:type="dxa"/>
          </w:tcPr>
          <w:p w14:paraId="40A798F8" w14:textId="77777777" w:rsidR="00DB38F1" w:rsidRPr="002F7F61" w:rsidRDefault="00DB38F1" w:rsidP="008B4406">
            <w:pPr>
              <w:pStyle w:val="Tabletext"/>
              <w:keepNext/>
              <w:rPr>
                <w:b/>
              </w:rPr>
            </w:pPr>
            <w:r w:rsidRPr="002F7F61">
              <w:rPr>
                <w:b/>
              </w:rPr>
              <w:t>2012</w:t>
            </w:r>
          </w:p>
        </w:tc>
        <w:tc>
          <w:tcPr>
            <w:tcW w:w="1134" w:type="dxa"/>
          </w:tcPr>
          <w:p w14:paraId="78A43FC0" w14:textId="77777777" w:rsidR="00DB38F1" w:rsidRPr="002F7F61" w:rsidRDefault="00DB38F1" w:rsidP="008B4406">
            <w:pPr>
              <w:pStyle w:val="Tabletext"/>
              <w:keepNext/>
              <w:rPr>
                <w:b/>
              </w:rPr>
            </w:pPr>
            <w:r w:rsidRPr="002F7F61">
              <w:rPr>
                <w:b/>
              </w:rPr>
              <w:t>2017</w:t>
            </w:r>
          </w:p>
        </w:tc>
        <w:tc>
          <w:tcPr>
            <w:tcW w:w="2500" w:type="dxa"/>
          </w:tcPr>
          <w:p w14:paraId="502EAAE6" w14:textId="77777777" w:rsidR="00DB38F1" w:rsidRPr="002F7F61" w:rsidRDefault="00DB38F1" w:rsidP="008B4406">
            <w:pPr>
              <w:pStyle w:val="Tabletext"/>
              <w:keepNext/>
              <w:rPr>
                <w:b/>
              </w:rPr>
            </w:pPr>
            <w:r>
              <w:rPr>
                <w:b/>
              </w:rPr>
              <w:t>Change 2002 - 2017</w:t>
            </w:r>
          </w:p>
        </w:tc>
      </w:tr>
      <w:tr w:rsidR="00DB38F1" w14:paraId="4743E98B" w14:textId="77777777" w:rsidTr="008B4406">
        <w:tc>
          <w:tcPr>
            <w:tcW w:w="1696" w:type="dxa"/>
          </w:tcPr>
          <w:p w14:paraId="4268F97B" w14:textId="77777777" w:rsidR="00DB38F1" w:rsidRDefault="00DB38F1" w:rsidP="008B4406">
            <w:pPr>
              <w:pStyle w:val="Tabletext"/>
              <w:keepNext/>
            </w:pPr>
            <w:r>
              <w:t>Regeneration</w:t>
            </w:r>
          </w:p>
        </w:tc>
        <w:tc>
          <w:tcPr>
            <w:tcW w:w="1134" w:type="dxa"/>
          </w:tcPr>
          <w:p w14:paraId="5037B787" w14:textId="77777777" w:rsidR="00DB38F1" w:rsidRDefault="00DB38F1" w:rsidP="008B4406">
            <w:pPr>
              <w:pStyle w:val="Tabletext"/>
              <w:keepNext/>
            </w:pPr>
            <w:r>
              <w:t>30</w:t>
            </w:r>
          </w:p>
        </w:tc>
        <w:tc>
          <w:tcPr>
            <w:tcW w:w="1276" w:type="dxa"/>
          </w:tcPr>
          <w:p w14:paraId="048899B4" w14:textId="77777777" w:rsidR="00DB38F1" w:rsidRDefault="00DB38F1" w:rsidP="008B4406">
            <w:pPr>
              <w:pStyle w:val="Tabletext"/>
              <w:keepNext/>
            </w:pPr>
            <w:r>
              <w:t>30</w:t>
            </w:r>
          </w:p>
        </w:tc>
        <w:tc>
          <w:tcPr>
            <w:tcW w:w="1276" w:type="dxa"/>
          </w:tcPr>
          <w:p w14:paraId="077D31D6" w14:textId="77777777" w:rsidR="00DB38F1" w:rsidRDefault="00DB38F1" w:rsidP="008B4406">
            <w:pPr>
              <w:pStyle w:val="Tabletext"/>
              <w:keepNext/>
            </w:pPr>
            <w:r>
              <w:t>0</w:t>
            </w:r>
          </w:p>
        </w:tc>
        <w:tc>
          <w:tcPr>
            <w:tcW w:w="1134" w:type="dxa"/>
          </w:tcPr>
          <w:p w14:paraId="68ED8EFE" w14:textId="77777777" w:rsidR="00DB38F1" w:rsidRDefault="00DB38F1" w:rsidP="008B4406">
            <w:pPr>
              <w:pStyle w:val="Tabletext"/>
              <w:keepNext/>
            </w:pPr>
            <w:r>
              <w:t>50</w:t>
            </w:r>
          </w:p>
        </w:tc>
        <w:tc>
          <w:tcPr>
            <w:tcW w:w="2500" w:type="dxa"/>
          </w:tcPr>
          <w:p w14:paraId="7C93A593" w14:textId="77777777" w:rsidR="00DB38F1" w:rsidRDefault="00DB38F1" w:rsidP="008B4406">
            <w:pPr>
              <w:pStyle w:val="Tabletext"/>
              <w:keepNext/>
            </w:pPr>
            <w:r>
              <w:t>gain of 20 ha (+67%)</w:t>
            </w:r>
          </w:p>
        </w:tc>
      </w:tr>
      <w:tr w:rsidR="00DB38F1" w14:paraId="539621E3" w14:textId="77777777" w:rsidTr="008B4406">
        <w:tc>
          <w:tcPr>
            <w:tcW w:w="1696" w:type="dxa"/>
          </w:tcPr>
          <w:p w14:paraId="13635E21" w14:textId="77777777" w:rsidR="00DB38F1" w:rsidRDefault="00DB38F1" w:rsidP="008B4406">
            <w:pPr>
              <w:pStyle w:val="Tabletext"/>
              <w:keepNext/>
            </w:pPr>
            <w:r>
              <w:t>Regrowth</w:t>
            </w:r>
          </w:p>
        </w:tc>
        <w:tc>
          <w:tcPr>
            <w:tcW w:w="1134" w:type="dxa"/>
          </w:tcPr>
          <w:p w14:paraId="661EC94A" w14:textId="77777777" w:rsidR="00DB38F1" w:rsidRDefault="00DB38F1" w:rsidP="008B4406">
            <w:pPr>
              <w:pStyle w:val="Tabletext"/>
              <w:keepNext/>
            </w:pPr>
            <w:r>
              <w:t>1560</w:t>
            </w:r>
          </w:p>
        </w:tc>
        <w:tc>
          <w:tcPr>
            <w:tcW w:w="1276" w:type="dxa"/>
          </w:tcPr>
          <w:p w14:paraId="461D09A7" w14:textId="77777777" w:rsidR="00DB38F1" w:rsidRDefault="00DB38F1" w:rsidP="008B4406">
            <w:pPr>
              <w:pStyle w:val="Tabletext"/>
              <w:keepNext/>
            </w:pPr>
            <w:r>
              <w:t>1530</w:t>
            </w:r>
          </w:p>
        </w:tc>
        <w:tc>
          <w:tcPr>
            <w:tcW w:w="1276" w:type="dxa"/>
          </w:tcPr>
          <w:p w14:paraId="6308297A" w14:textId="77777777" w:rsidR="00DB38F1" w:rsidRDefault="00DB38F1" w:rsidP="008B4406">
            <w:pPr>
              <w:pStyle w:val="Tabletext"/>
              <w:keepNext/>
            </w:pPr>
            <w:r>
              <w:t>1520</w:t>
            </w:r>
          </w:p>
        </w:tc>
        <w:tc>
          <w:tcPr>
            <w:tcW w:w="1134" w:type="dxa"/>
          </w:tcPr>
          <w:p w14:paraId="4B2C170B" w14:textId="77777777" w:rsidR="00DB38F1" w:rsidRDefault="00DB38F1" w:rsidP="008B4406">
            <w:pPr>
              <w:pStyle w:val="Tabletext"/>
              <w:keepNext/>
            </w:pPr>
            <w:r>
              <w:t>1520</w:t>
            </w:r>
          </w:p>
        </w:tc>
        <w:tc>
          <w:tcPr>
            <w:tcW w:w="2500" w:type="dxa"/>
          </w:tcPr>
          <w:p w14:paraId="757CE625" w14:textId="77777777" w:rsidR="00DB38F1" w:rsidRDefault="00DB38F1" w:rsidP="008B4406">
            <w:pPr>
              <w:pStyle w:val="Tabletext"/>
              <w:keepNext/>
            </w:pPr>
            <w:r>
              <w:t>loss of 40 ha (-3%)</w:t>
            </w:r>
          </w:p>
        </w:tc>
      </w:tr>
      <w:tr w:rsidR="00DB38F1" w14:paraId="5F081491" w14:textId="77777777" w:rsidTr="008B4406">
        <w:tc>
          <w:tcPr>
            <w:tcW w:w="1696" w:type="dxa"/>
          </w:tcPr>
          <w:p w14:paraId="419ED276" w14:textId="77777777" w:rsidR="00DB38F1" w:rsidRDefault="00DB38F1" w:rsidP="008B4406">
            <w:pPr>
              <w:pStyle w:val="Tabletext"/>
              <w:keepNext/>
            </w:pPr>
            <w:r>
              <w:t>Mature</w:t>
            </w:r>
          </w:p>
        </w:tc>
        <w:tc>
          <w:tcPr>
            <w:tcW w:w="1134" w:type="dxa"/>
          </w:tcPr>
          <w:p w14:paraId="04FCE046" w14:textId="77777777" w:rsidR="00DB38F1" w:rsidRDefault="00DB38F1" w:rsidP="008B4406">
            <w:pPr>
              <w:pStyle w:val="Tabletext"/>
              <w:keepNext/>
            </w:pPr>
            <w:r>
              <w:t>1920</w:t>
            </w:r>
          </w:p>
        </w:tc>
        <w:tc>
          <w:tcPr>
            <w:tcW w:w="1276" w:type="dxa"/>
          </w:tcPr>
          <w:p w14:paraId="74348404" w14:textId="77777777" w:rsidR="00DB38F1" w:rsidRDefault="00DB38F1" w:rsidP="008B4406">
            <w:pPr>
              <w:pStyle w:val="Tabletext"/>
              <w:keepNext/>
            </w:pPr>
            <w:r>
              <w:t>1510</w:t>
            </w:r>
          </w:p>
        </w:tc>
        <w:tc>
          <w:tcPr>
            <w:tcW w:w="1276" w:type="dxa"/>
          </w:tcPr>
          <w:p w14:paraId="1DB97C33" w14:textId="77777777" w:rsidR="00DB38F1" w:rsidRDefault="00DB38F1" w:rsidP="008B4406">
            <w:pPr>
              <w:pStyle w:val="Tabletext"/>
              <w:keepNext/>
            </w:pPr>
            <w:r>
              <w:t>1510</w:t>
            </w:r>
          </w:p>
        </w:tc>
        <w:tc>
          <w:tcPr>
            <w:tcW w:w="1134" w:type="dxa"/>
          </w:tcPr>
          <w:p w14:paraId="6FDE75FC" w14:textId="77777777" w:rsidR="00DB38F1" w:rsidRDefault="00DB38F1" w:rsidP="008B4406">
            <w:pPr>
              <w:pStyle w:val="Tabletext"/>
              <w:keepNext/>
            </w:pPr>
            <w:r>
              <w:t>1310</w:t>
            </w:r>
          </w:p>
        </w:tc>
        <w:tc>
          <w:tcPr>
            <w:tcW w:w="2500" w:type="dxa"/>
          </w:tcPr>
          <w:p w14:paraId="44612CFF" w14:textId="77777777" w:rsidR="00DB38F1" w:rsidRDefault="00DB38F1" w:rsidP="008B4406">
            <w:pPr>
              <w:pStyle w:val="Tabletext"/>
              <w:keepNext/>
            </w:pPr>
            <w:r>
              <w:t>loss of 610 ha (-32%)</w:t>
            </w:r>
          </w:p>
        </w:tc>
      </w:tr>
      <w:tr w:rsidR="00DB38F1" w14:paraId="13158CDA" w14:textId="77777777" w:rsidTr="008B4406">
        <w:tc>
          <w:tcPr>
            <w:tcW w:w="1696" w:type="dxa"/>
          </w:tcPr>
          <w:p w14:paraId="5409E806" w14:textId="77777777" w:rsidR="00DB38F1" w:rsidRDefault="00DB38F1" w:rsidP="008B4406">
            <w:pPr>
              <w:pStyle w:val="Tabletext"/>
              <w:keepNext/>
            </w:pPr>
            <w:r>
              <w:t>Unknown</w:t>
            </w:r>
          </w:p>
        </w:tc>
        <w:tc>
          <w:tcPr>
            <w:tcW w:w="1134" w:type="dxa"/>
          </w:tcPr>
          <w:p w14:paraId="1B1716DB" w14:textId="77777777" w:rsidR="00DB38F1" w:rsidRDefault="00DB38F1" w:rsidP="008B4406">
            <w:pPr>
              <w:pStyle w:val="Tabletext"/>
              <w:keepNext/>
            </w:pPr>
            <w:r>
              <w:t>400</w:t>
            </w:r>
          </w:p>
        </w:tc>
        <w:tc>
          <w:tcPr>
            <w:tcW w:w="1276" w:type="dxa"/>
          </w:tcPr>
          <w:p w14:paraId="5FD49FE1" w14:textId="77777777" w:rsidR="00DB38F1" w:rsidRDefault="00DB38F1" w:rsidP="008B4406">
            <w:pPr>
              <w:pStyle w:val="Tabletext"/>
              <w:keepNext/>
            </w:pPr>
            <w:r>
              <w:t>650</w:t>
            </w:r>
          </w:p>
        </w:tc>
        <w:tc>
          <w:tcPr>
            <w:tcW w:w="1276" w:type="dxa"/>
          </w:tcPr>
          <w:p w14:paraId="7B067026" w14:textId="77777777" w:rsidR="00DB38F1" w:rsidRDefault="00DB38F1" w:rsidP="008B4406">
            <w:pPr>
              <w:pStyle w:val="Tabletext"/>
              <w:keepNext/>
            </w:pPr>
            <w:r>
              <w:t>660</w:t>
            </w:r>
          </w:p>
        </w:tc>
        <w:tc>
          <w:tcPr>
            <w:tcW w:w="1134" w:type="dxa"/>
          </w:tcPr>
          <w:p w14:paraId="410953D9" w14:textId="77777777" w:rsidR="00DB38F1" w:rsidRDefault="00DB38F1" w:rsidP="008B4406">
            <w:pPr>
              <w:pStyle w:val="Tabletext"/>
              <w:keepNext/>
            </w:pPr>
            <w:r>
              <w:t>350</w:t>
            </w:r>
          </w:p>
        </w:tc>
        <w:tc>
          <w:tcPr>
            <w:tcW w:w="2500" w:type="dxa"/>
          </w:tcPr>
          <w:p w14:paraId="1DE270FE" w14:textId="77777777" w:rsidR="00DB38F1" w:rsidRDefault="00DB38F1" w:rsidP="008B4406">
            <w:pPr>
              <w:pStyle w:val="Tabletext"/>
              <w:keepNext/>
            </w:pPr>
            <w:r>
              <w:t>loss of 50 ha (-13%)</w:t>
            </w:r>
          </w:p>
        </w:tc>
      </w:tr>
      <w:tr w:rsidR="00DB38F1" w:rsidRPr="008F2A87" w14:paraId="62EE3565" w14:textId="77777777" w:rsidTr="008B4406">
        <w:tc>
          <w:tcPr>
            <w:tcW w:w="1696" w:type="dxa"/>
          </w:tcPr>
          <w:p w14:paraId="3CC95319" w14:textId="77777777" w:rsidR="00DB38F1" w:rsidRPr="008F2A87" w:rsidRDefault="00DB38F1" w:rsidP="008B4406">
            <w:pPr>
              <w:pStyle w:val="Tabletext"/>
              <w:keepNext/>
              <w:rPr>
                <w:b/>
              </w:rPr>
            </w:pPr>
            <w:r w:rsidRPr="008F2A87">
              <w:rPr>
                <w:b/>
              </w:rPr>
              <w:t>Total</w:t>
            </w:r>
          </w:p>
        </w:tc>
        <w:tc>
          <w:tcPr>
            <w:tcW w:w="1134" w:type="dxa"/>
          </w:tcPr>
          <w:p w14:paraId="1285C000" w14:textId="77777777" w:rsidR="00DB38F1" w:rsidRPr="008F2A87" w:rsidRDefault="00DB38F1" w:rsidP="008B4406">
            <w:pPr>
              <w:pStyle w:val="Tabletext"/>
              <w:keepNext/>
              <w:rPr>
                <w:b/>
              </w:rPr>
            </w:pPr>
            <w:r w:rsidRPr="008F2A87">
              <w:rPr>
                <w:b/>
              </w:rPr>
              <w:t>3910</w:t>
            </w:r>
          </w:p>
        </w:tc>
        <w:tc>
          <w:tcPr>
            <w:tcW w:w="1276" w:type="dxa"/>
          </w:tcPr>
          <w:p w14:paraId="30237247" w14:textId="77777777" w:rsidR="00DB38F1" w:rsidRPr="008F2A87" w:rsidRDefault="00DB38F1" w:rsidP="008B4406">
            <w:pPr>
              <w:pStyle w:val="Tabletext"/>
              <w:keepNext/>
              <w:rPr>
                <w:b/>
              </w:rPr>
            </w:pPr>
            <w:r w:rsidRPr="008F2A87">
              <w:rPr>
                <w:b/>
              </w:rPr>
              <w:t>3720</w:t>
            </w:r>
          </w:p>
        </w:tc>
        <w:tc>
          <w:tcPr>
            <w:tcW w:w="1276" w:type="dxa"/>
          </w:tcPr>
          <w:p w14:paraId="5AE3E30F" w14:textId="77777777" w:rsidR="00DB38F1" w:rsidRPr="008F2A87" w:rsidRDefault="00DB38F1" w:rsidP="008B4406">
            <w:pPr>
              <w:pStyle w:val="Tabletext"/>
              <w:keepNext/>
              <w:rPr>
                <w:b/>
              </w:rPr>
            </w:pPr>
            <w:r w:rsidRPr="008F2A87">
              <w:rPr>
                <w:b/>
              </w:rPr>
              <w:t>3690</w:t>
            </w:r>
          </w:p>
        </w:tc>
        <w:tc>
          <w:tcPr>
            <w:tcW w:w="1134" w:type="dxa"/>
          </w:tcPr>
          <w:p w14:paraId="738AAB69" w14:textId="77777777" w:rsidR="00DB38F1" w:rsidRPr="008F2A87" w:rsidRDefault="00DB38F1" w:rsidP="008B4406">
            <w:pPr>
              <w:pStyle w:val="Tabletext"/>
              <w:keepNext/>
              <w:rPr>
                <w:b/>
              </w:rPr>
            </w:pPr>
            <w:r w:rsidRPr="008F2A87">
              <w:rPr>
                <w:b/>
              </w:rPr>
              <w:t>3230</w:t>
            </w:r>
          </w:p>
        </w:tc>
        <w:tc>
          <w:tcPr>
            <w:tcW w:w="2500" w:type="dxa"/>
          </w:tcPr>
          <w:p w14:paraId="29DEC9BE" w14:textId="77777777" w:rsidR="00DB38F1" w:rsidRPr="008F2A87" w:rsidRDefault="00DB38F1" w:rsidP="008B4406">
            <w:pPr>
              <w:pStyle w:val="Tabletext"/>
              <w:keepNext/>
              <w:rPr>
                <w:b/>
              </w:rPr>
            </w:pPr>
            <w:r w:rsidRPr="008F2A87">
              <w:rPr>
                <w:b/>
              </w:rPr>
              <w:t>loss of 680 ha (-17%)</w:t>
            </w:r>
          </w:p>
        </w:tc>
      </w:tr>
    </w:tbl>
    <w:p w14:paraId="67834672" w14:textId="77777777" w:rsidR="00DB38F1" w:rsidRDefault="00DB38F1" w:rsidP="00DB38F1">
      <w:pPr>
        <w:pStyle w:val="Tablesource"/>
      </w:pPr>
      <w:r>
        <w:t>Source: FPA 2017</w:t>
      </w:r>
    </w:p>
    <w:p w14:paraId="32326CB1" w14:textId="67227588" w:rsidR="00DB38F1" w:rsidRDefault="00DB38F1" w:rsidP="00DB38F1">
      <w:r>
        <w:lastRenderedPageBreak/>
        <w:t xml:space="preserve">The remaining ecological community is also highly fragmented, with an average edge density of </w:t>
      </w:r>
      <w:r w:rsidR="00DC4791">
        <w:t>686</w:t>
      </w:r>
      <w:r>
        <w:t xml:space="preserve">m/ha </w:t>
      </w:r>
      <w:r w:rsidR="00DC4791">
        <w:t>and with</w:t>
      </w:r>
      <w:r>
        <w:t xml:space="preserve"> </w:t>
      </w:r>
      <w:r w:rsidR="00DC4791">
        <w:t>the majority (over 86</w:t>
      </w:r>
      <w:r>
        <w:t xml:space="preserve">%) of the ecological community </w:t>
      </w:r>
      <w:r w:rsidR="00DC4791">
        <w:t xml:space="preserve">occurring </w:t>
      </w:r>
      <w:r>
        <w:t xml:space="preserve">within 100m of the edge of </w:t>
      </w:r>
      <w:r w:rsidR="00DC4791">
        <w:t>a</w:t>
      </w:r>
      <w:r>
        <w:t xml:space="preserve"> patch and subject to edge effects. </w:t>
      </w:r>
      <w:r w:rsidR="00DC4791">
        <w:t>Over</w:t>
      </w:r>
      <w:r>
        <w:t xml:space="preserve"> 80% of patches adjoin agricultural land, and over 3</w:t>
      </w:r>
      <w:r w:rsidR="00DC4791">
        <w:t>7</w:t>
      </w:r>
      <w:r>
        <w:t>% of patches adjoin silviculture plantations</w:t>
      </w:r>
      <w:r w:rsidR="00DC4791">
        <w:t xml:space="preserve"> (Source: </w:t>
      </w:r>
      <w:r w:rsidR="00DC4791" w:rsidRPr="00DC4791">
        <w:t>TASVEG unit WVI in DPIPWE (2013)</w:t>
      </w:r>
      <w:r w:rsidR="00DC4791">
        <w:t>)</w:t>
      </w:r>
      <w:r>
        <w:t>.</w:t>
      </w:r>
    </w:p>
    <w:p w14:paraId="53807DA5" w14:textId="7C867130" w:rsidR="00DB38F1" w:rsidRPr="008D40A2" w:rsidRDefault="00DB38F1" w:rsidP="00DB38F1">
      <w:r>
        <w:t xml:space="preserve">Patches often contain infestations of invasive species and relatively few patches of the ecological community can be considered viable in the long term </w:t>
      </w:r>
      <w:r w:rsidR="00DC4791">
        <w:t>without</w:t>
      </w:r>
      <w:r>
        <w:t xml:space="preserve"> active management (Craven, 2002). The loss of canopy trees to ‘ginger tree syndrome’, and degradation of the understorey through too-frequent fire also contribute to a </w:t>
      </w:r>
      <w:r w:rsidRPr="008D40A2">
        <w:rPr>
          <w:b/>
        </w:rPr>
        <w:t>severe</w:t>
      </w:r>
      <w:r>
        <w:t xml:space="preserve"> reduction in the integrity of the ecological community.</w:t>
      </w:r>
    </w:p>
    <w:p w14:paraId="0360F764" w14:textId="77777777" w:rsidR="00DB38F1" w:rsidRPr="00DC01EF" w:rsidRDefault="00DB38F1" w:rsidP="00DB38F1">
      <w:pPr>
        <w:pStyle w:val="Heading3"/>
      </w:pPr>
      <w:r w:rsidRPr="00DC01EF">
        <w:t>Criterion 5 – rate of continuing detrimental change</w:t>
      </w:r>
    </w:p>
    <w:p w14:paraId="39FF5FA4" w14:textId="77777777" w:rsidR="00DB38F1" w:rsidRPr="004A6896" w:rsidRDefault="00DB38F1" w:rsidP="00DB38F1">
      <w:pPr>
        <w:rPr>
          <w:b/>
        </w:rPr>
      </w:pPr>
      <w:r w:rsidRPr="004A6896">
        <w:rPr>
          <w:b/>
        </w:rPr>
        <w:t>Critically endangered.</w:t>
      </w:r>
    </w:p>
    <w:p w14:paraId="1504E5C8" w14:textId="2ADEB614" w:rsidR="00DB38F1" w:rsidRPr="00EE6254" w:rsidRDefault="00DB38F1" w:rsidP="00DB38F1">
      <w:r>
        <w:t>The five-</w:t>
      </w:r>
      <w:r w:rsidRPr="00EE6254">
        <w:t xml:space="preserve">yearly </w:t>
      </w:r>
      <w:r>
        <w:t>Tasmanian State of the F</w:t>
      </w:r>
      <w:r w:rsidRPr="00EE6254">
        <w:t xml:space="preserve">orests reports show </w:t>
      </w:r>
      <w:r>
        <w:t xml:space="preserve">the rate of </w:t>
      </w:r>
      <w:r w:rsidRPr="00EE6254">
        <w:t xml:space="preserve">continuing losses </w:t>
      </w:r>
      <w:r w:rsidR="000A427B">
        <w:t xml:space="preserve">(from all causes) </w:t>
      </w:r>
      <w:r w:rsidRPr="00EE6254">
        <w:t>of this ecological community</w:t>
      </w:r>
      <w:r>
        <w:t xml:space="preserve"> </w:t>
      </w:r>
      <w:r w:rsidRPr="00EE6254">
        <w:t>(</w:t>
      </w:r>
      <w:r w:rsidR="00DC4791">
        <w:fldChar w:fldCharType="begin"/>
      </w:r>
      <w:r w:rsidR="00DC4791">
        <w:instrText xml:space="preserve"> REF _Ref24021046 \h </w:instrText>
      </w:r>
      <w:r w:rsidR="00DC4791">
        <w:fldChar w:fldCharType="separate"/>
      </w:r>
      <w:r w:rsidR="005E6E9C">
        <w:t xml:space="preserve">Table </w:t>
      </w:r>
      <w:r w:rsidR="005E6E9C">
        <w:rPr>
          <w:noProof/>
        </w:rPr>
        <w:t>6</w:t>
      </w:r>
      <w:r w:rsidR="00DC4791">
        <w:fldChar w:fldCharType="end"/>
      </w:r>
      <w:r w:rsidRPr="00EE6254">
        <w:t>).</w:t>
      </w:r>
    </w:p>
    <w:p w14:paraId="77EFDCE7" w14:textId="77777777" w:rsidR="00DB38F1" w:rsidRDefault="00DB38F1" w:rsidP="00DB38F1">
      <w:pPr>
        <w:pStyle w:val="Caption"/>
        <w:keepNext/>
      </w:pPr>
      <w:bookmarkStart w:id="28" w:name="_Ref24021046"/>
      <w:r>
        <w:t xml:space="preserve">Table </w:t>
      </w:r>
      <w:r>
        <w:rPr>
          <w:noProof/>
        </w:rPr>
        <w:fldChar w:fldCharType="begin"/>
      </w:r>
      <w:r>
        <w:rPr>
          <w:noProof/>
        </w:rPr>
        <w:instrText xml:space="preserve"> SEQ Table \* ARABIC </w:instrText>
      </w:r>
      <w:r>
        <w:rPr>
          <w:noProof/>
        </w:rPr>
        <w:fldChar w:fldCharType="separate"/>
      </w:r>
      <w:r w:rsidR="005E6E9C">
        <w:rPr>
          <w:noProof/>
        </w:rPr>
        <w:t>6</w:t>
      </w:r>
      <w:r>
        <w:rPr>
          <w:noProof/>
        </w:rPr>
        <w:fldChar w:fldCharType="end"/>
      </w:r>
      <w:bookmarkEnd w:id="28"/>
      <w:r>
        <w:t xml:space="preserve">: Percentage change in area of ‘wet </w:t>
      </w:r>
      <w:r w:rsidRPr="006760FC">
        <w:rPr>
          <w:i/>
        </w:rPr>
        <w:t>E.</w:t>
      </w:r>
      <w:r>
        <w:rPr>
          <w:i/>
        </w:rPr>
        <w:t xml:space="preserve"> </w:t>
      </w:r>
      <w:r w:rsidRPr="006760FC">
        <w:rPr>
          <w:i/>
        </w:rPr>
        <w:t>viminalis</w:t>
      </w:r>
      <w:r>
        <w:t xml:space="preserve"> forest on basalt’ as at 2017</w:t>
      </w:r>
    </w:p>
    <w:tbl>
      <w:tblPr>
        <w:tblStyle w:val="TableGrid"/>
        <w:tblW w:w="5000" w:type="pct"/>
        <w:tblLook w:val="04A0" w:firstRow="1" w:lastRow="0" w:firstColumn="1" w:lastColumn="0" w:noHBand="0" w:noVBand="1"/>
      </w:tblPr>
      <w:tblGrid>
        <w:gridCol w:w="2254"/>
        <w:gridCol w:w="2254"/>
        <w:gridCol w:w="2254"/>
        <w:gridCol w:w="2254"/>
      </w:tblGrid>
      <w:tr w:rsidR="00DB38F1" w:rsidRPr="00EE6254" w14:paraId="260BECB5" w14:textId="77777777" w:rsidTr="002C671C">
        <w:tc>
          <w:tcPr>
            <w:tcW w:w="1250" w:type="pct"/>
          </w:tcPr>
          <w:p w14:paraId="47FA9369" w14:textId="77777777" w:rsidR="00DB38F1" w:rsidRPr="00EE6254" w:rsidRDefault="00DB38F1" w:rsidP="002C671C">
            <w:pPr>
              <w:pStyle w:val="Tabletext"/>
            </w:pPr>
            <w:r w:rsidRPr="00EE6254">
              <w:t>Change in area since 2011</w:t>
            </w:r>
          </w:p>
        </w:tc>
        <w:tc>
          <w:tcPr>
            <w:tcW w:w="1250" w:type="pct"/>
          </w:tcPr>
          <w:p w14:paraId="72F608F8" w14:textId="77777777" w:rsidR="00DB38F1" w:rsidRPr="00EE6254" w:rsidRDefault="00DB38F1" w:rsidP="002C671C">
            <w:pPr>
              <w:pStyle w:val="Tabletext"/>
            </w:pPr>
            <w:r w:rsidRPr="00EE6254">
              <w:t>Change in area since 2006</w:t>
            </w:r>
          </w:p>
        </w:tc>
        <w:tc>
          <w:tcPr>
            <w:tcW w:w="1250" w:type="pct"/>
          </w:tcPr>
          <w:p w14:paraId="63C30C86" w14:textId="77777777" w:rsidR="00DB38F1" w:rsidRPr="00EE6254" w:rsidRDefault="00DB38F1" w:rsidP="002C671C">
            <w:pPr>
              <w:pStyle w:val="Tabletext"/>
            </w:pPr>
            <w:r w:rsidRPr="00EE6254">
              <w:t>Change in area since 2001</w:t>
            </w:r>
          </w:p>
        </w:tc>
        <w:tc>
          <w:tcPr>
            <w:tcW w:w="1250" w:type="pct"/>
          </w:tcPr>
          <w:p w14:paraId="4CC46964" w14:textId="77777777" w:rsidR="00DB38F1" w:rsidRPr="00EE6254" w:rsidRDefault="00DB38F1" w:rsidP="002C671C">
            <w:pPr>
              <w:pStyle w:val="Tabletext"/>
            </w:pPr>
            <w:r w:rsidRPr="00EE6254">
              <w:t>Change in area since 1996</w:t>
            </w:r>
          </w:p>
        </w:tc>
      </w:tr>
      <w:tr w:rsidR="00DB38F1" w:rsidRPr="00EE6254" w14:paraId="70089F04" w14:textId="77777777" w:rsidTr="002C671C">
        <w:tc>
          <w:tcPr>
            <w:tcW w:w="1250" w:type="pct"/>
          </w:tcPr>
          <w:p w14:paraId="3284AB41" w14:textId="77777777" w:rsidR="00DB38F1" w:rsidRPr="00EE6254" w:rsidRDefault="00DB38F1" w:rsidP="002C671C">
            <w:pPr>
              <w:pStyle w:val="Tabletext"/>
            </w:pPr>
            <w:r>
              <w:t>-</w:t>
            </w:r>
            <w:r w:rsidRPr="00EE6254">
              <w:t>15%</w:t>
            </w:r>
          </w:p>
        </w:tc>
        <w:tc>
          <w:tcPr>
            <w:tcW w:w="1250" w:type="pct"/>
          </w:tcPr>
          <w:p w14:paraId="26AAABBD" w14:textId="77777777" w:rsidR="00DB38F1" w:rsidRPr="00EE6254" w:rsidRDefault="00DB38F1" w:rsidP="002C671C">
            <w:pPr>
              <w:pStyle w:val="Tabletext"/>
            </w:pPr>
            <w:r>
              <w:t>-</w:t>
            </w:r>
            <w:r w:rsidRPr="00EE6254">
              <w:t>15.9%</w:t>
            </w:r>
          </w:p>
        </w:tc>
        <w:tc>
          <w:tcPr>
            <w:tcW w:w="1250" w:type="pct"/>
          </w:tcPr>
          <w:p w14:paraId="7C8B444D" w14:textId="77777777" w:rsidR="00DB38F1" w:rsidRPr="00EE6254" w:rsidRDefault="00DB38F1" w:rsidP="002C671C">
            <w:pPr>
              <w:pStyle w:val="Tabletext"/>
            </w:pPr>
            <w:r>
              <w:t>-</w:t>
            </w:r>
            <w:r w:rsidRPr="00EE6254">
              <w:t>21.6%</w:t>
            </w:r>
          </w:p>
        </w:tc>
        <w:tc>
          <w:tcPr>
            <w:tcW w:w="1250" w:type="pct"/>
          </w:tcPr>
          <w:p w14:paraId="05C84B97" w14:textId="77777777" w:rsidR="00DB38F1" w:rsidRPr="00EE6254" w:rsidRDefault="00DB38F1" w:rsidP="002C671C">
            <w:pPr>
              <w:pStyle w:val="Tabletext"/>
            </w:pPr>
            <w:r>
              <w:t>-</w:t>
            </w:r>
            <w:r w:rsidRPr="00EE6254">
              <w:t>25.2%</w:t>
            </w:r>
          </w:p>
        </w:tc>
      </w:tr>
    </w:tbl>
    <w:p w14:paraId="15C96161" w14:textId="77777777" w:rsidR="00DB38F1" w:rsidRPr="00EE6254" w:rsidRDefault="00DB38F1" w:rsidP="00DB38F1">
      <w:pPr>
        <w:pStyle w:val="Tablesource"/>
      </w:pPr>
      <w:r w:rsidRPr="00EE6254">
        <w:t>Source: FPA 2017</w:t>
      </w:r>
    </w:p>
    <w:p w14:paraId="69A982B4" w14:textId="0344E5E7" w:rsidR="00DB38F1" w:rsidRDefault="00DB38F1" w:rsidP="00DB38F1">
      <w:pPr>
        <w:rPr>
          <w:color w:val="7030A0"/>
        </w:rPr>
      </w:pPr>
      <w:r>
        <w:t>These changes represent a continuing loss of around 1.5% a year since 1996. Since 2011 this loss has been around 2.5% per annum. This represents a los</w:t>
      </w:r>
      <w:r w:rsidR="000A427B">
        <w:t xml:space="preserve">s of 15% to 25% over ten years. </w:t>
      </w:r>
      <w:r>
        <w:t xml:space="preserve">This equates to a </w:t>
      </w:r>
      <w:r w:rsidRPr="00990060">
        <w:rPr>
          <w:b/>
          <w:i/>
        </w:rPr>
        <w:t>very severe</w:t>
      </w:r>
      <w:r>
        <w:t xml:space="preserve"> rate of detrimental change</w:t>
      </w:r>
      <w:r w:rsidR="000032A6">
        <w:t xml:space="preserve"> over the immediate past </w:t>
      </w:r>
      <w:r w:rsidR="000032A6" w:rsidRPr="000032A6">
        <w:t xml:space="preserve">(3 generations of </w:t>
      </w:r>
      <w:r w:rsidR="000032A6" w:rsidRPr="000032A6">
        <w:rPr>
          <w:i/>
        </w:rPr>
        <w:t>E. viminalis</w:t>
      </w:r>
      <w:r w:rsidR="000032A6" w:rsidRPr="000032A6">
        <w:t>)</w:t>
      </w:r>
      <w:r w:rsidR="000A427B">
        <w:t>.</w:t>
      </w:r>
      <w:r w:rsidR="008F2A87">
        <w:t xml:space="preserve"> </w:t>
      </w:r>
      <w:r w:rsidR="000A427B">
        <w:t xml:space="preserve">The projected loss of climatic habitat, as discussed under Criterion 3, also represents a </w:t>
      </w:r>
      <w:r w:rsidR="000A427B" w:rsidRPr="000032A6">
        <w:rPr>
          <w:b/>
        </w:rPr>
        <w:t>very severe</w:t>
      </w:r>
      <w:r w:rsidR="000A427B">
        <w:t xml:space="preserve"> </w:t>
      </w:r>
      <w:r w:rsidR="000032A6">
        <w:t xml:space="preserve">disruption of important community processes over the immediate </w:t>
      </w:r>
      <w:r w:rsidR="000032A6" w:rsidRPr="000032A6">
        <w:t xml:space="preserve">future (3 generations of </w:t>
      </w:r>
      <w:r w:rsidR="000032A6" w:rsidRPr="000032A6">
        <w:rPr>
          <w:i/>
        </w:rPr>
        <w:t>E. viminalis</w:t>
      </w:r>
      <w:r w:rsidR="000032A6" w:rsidRPr="000032A6">
        <w:t>)</w:t>
      </w:r>
      <w:r w:rsidR="000032A6">
        <w:t>.</w:t>
      </w:r>
      <w:r w:rsidR="008F2A87">
        <w:t xml:space="preserve"> </w:t>
      </w:r>
      <w:r w:rsidR="000A427B">
        <w:t>T</w:t>
      </w:r>
      <w:r>
        <w:t xml:space="preserve">hus the ecological community merits listing as </w:t>
      </w:r>
      <w:r w:rsidRPr="00990060">
        <w:rPr>
          <w:b/>
          <w:i/>
        </w:rPr>
        <w:t>critically endangered</w:t>
      </w:r>
      <w:r>
        <w:t xml:space="preserve"> under this criterion.</w:t>
      </w:r>
      <w:r w:rsidRPr="00C018E5">
        <w:rPr>
          <w:color w:val="7030A0"/>
        </w:rPr>
        <w:t xml:space="preserve"> </w:t>
      </w:r>
    </w:p>
    <w:p w14:paraId="270823A3" w14:textId="77777777" w:rsidR="00DB38F1" w:rsidRPr="00DC01EF" w:rsidRDefault="00DB38F1" w:rsidP="00DB38F1">
      <w:pPr>
        <w:pStyle w:val="Heading3"/>
      </w:pPr>
      <w:r w:rsidRPr="00DC01EF">
        <w:t>Criterion 6 – quantitative analysis showing probability of extinction</w:t>
      </w:r>
    </w:p>
    <w:p w14:paraId="7E4BDB6F" w14:textId="77777777" w:rsidR="00DB38F1" w:rsidRPr="004A6896" w:rsidRDefault="00DB38F1" w:rsidP="00DB38F1">
      <w:pPr>
        <w:keepNext/>
        <w:rPr>
          <w:b/>
        </w:rPr>
      </w:pPr>
      <w:r w:rsidRPr="004A6896">
        <w:rPr>
          <w:b/>
        </w:rPr>
        <w:t>Not eligible.</w:t>
      </w:r>
    </w:p>
    <w:p w14:paraId="3F2E2C82" w14:textId="77777777" w:rsidR="00DB38F1" w:rsidRDefault="00DB38F1" w:rsidP="00DB38F1">
      <w:r w:rsidRPr="009F0335">
        <w:t xml:space="preserve">No quantitative analysis has been undertaken showing likelihood of extinction for this ecological community. Therefore there is </w:t>
      </w:r>
      <w:r w:rsidRPr="008E2852">
        <w:t>insufficient information</w:t>
      </w:r>
      <w:r w:rsidRPr="009F0335">
        <w:t xml:space="preserve"> to determine eligibility against any category for this criterion.</w:t>
      </w:r>
    </w:p>
    <w:p w14:paraId="696E4261" w14:textId="77777777" w:rsidR="00DB38F1" w:rsidRDefault="00DB38F1" w:rsidP="00DB38F1">
      <w:pPr>
        <w:pStyle w:val="Heading2"/>
      </w:pPr>
      <w:bookmarkStart w:id="29" w:name="_Toc24971004"/>
      <w:r>
        <w:t>Recovery plan recommendation</w:t>
      </w:r>
      <w:bookmarkEnd w:id="29"/>
    </w:p>
    <w:p w14:paraId="45F56432" w14:textId="77777777" w:rsidR="00DB38F1" w:rsidRDefault="00DB38F1" w:rsidP="00DB38F1">
      <w:r>
        <w:t xml:space="preserve">A recovery plan is not recommended for this ecological community at this time. </w:t>
      </w:r>
    </w:p>
    <w:p w14:paraId="7211ADA6" w14:textId="77777777" w:rsidR="00DB38F1" w:rsidRPr="004A6896" w:rsidRDefault="00DB38F1" w:rsidP="00DB38F1">
      <w:pPr>
        <w:rPr>
          <w:color w:val="806000" w:themeColor="accent4" w:themeShade="80"/>
        </w:rPr>
      </w:pPr>
      <w:r w:rsidRPr="00F356B3">
        <w:t>The main threats to the ecological community and the priority actions required to addre</w:t>
      </w:r>
      <w:r>
        <w:t>ss them are largely understood.</w:t>
      </w:r>
    </w:p>
    <w:p w14:paraId="2B3FB131" w14:textId="22D3F140" w:rsidR="00DB38F1" w:rsidRPr="00F356B3" w:rsidRDefault="00DB38F1" w:rsidP="00DB38F1">
      <w:r w:rsidRPr="00F356B3">
        <w:t>The Conservation Advice sufficiently outlines the priority actions needed for this ecological community and many of the threats affecting the ecological community are best managed at a landscape scale, coordinated with management of other ecological communities. In addition, a number of existing documents are relevant to the management and/or recovery of this ecological community or the threats to it, outlined in</w:t>
      </w:r>
      <w:r w:rsidRPr="00F356B3">
        <w:rPr>
          <w:u w:val="single"/>
        </w:rPr>
        <w:t xml:space="preserve"> section</w:t>
      </w:r>
      <w:r w:rsidR="008B4406">
        <w:rPr>
          <w:u w:val="single"/>
        </w:rPr>
        <w:t xml:space="preserve"> </w:t>
      </w:r>
      <w:r w:rsidR="008B4406">
        <w:rPr>
          <w:u w:val="single"/>
        </w:rPr>
        <w:fldChar w:fldCharType="begin"/>
      </w:r>
      <w:r w:rsidR="008B4406">
        <w:rPr>
          <w:u w:val="single"/>
        </w:rPr>
        <w:instrText xml:space="preserve"> REF _Ref23846293 \r \h </w:instrText>
      </w:r>
      <w:r w:rsidR="008B4406">
        <w:rPr>
          <w:u w:val="single"/>
        </w:rPr>
      </w:r>
      <w:r w:rsidR="008B4406">
        <w:rPr>
          <w:u w:val="single"/>
        </w:rPr>
        <w:fldChar w:fldCharType="separate"/>
      </w:r>
      <w:r w:rsidR="005E6E9C">
        <w:rPr>
          <w:u w:val="single"/>
        </w:rPr>
        <w:t>3</w:t>
      </w:r>
      <w:r w:rsidR="008B4406">
        <w:rPr>
          <w:u w:val="single"/>
        </w:rPr>
        <w:fldChar w:fldCharType="end"/>
      </w:r>
      <w:r w:rsidRPr="00F356B3">
        <w:t xml:space="preserve">. </w:t>
      </w:r>
    </w:p>
    <w:p w14:paraId="615F51FE" w14:textId="65E7B29B" w:rsidR="009D3175" w:rsidRDefault="005609D4" w:rsidP="009D3175">
      <w:pPr>
        <w:pStyle w:val="Heading1"/>
      </w:pPr>
      <w:bookmarkStart w:id="30" w:name="_Ref527448986"/>
      <w:bookmarkStart w:id="31" w:name="_Ref528140444"/>
      <w:bookmarkStart w:id="32" w:name="_Toc24971005"/>
      <w:r>
        <w:lastRenderedPageBreak/>
        <w:t>Conservation</w:t>
      </w:r>
      <w:r w:rsidR="009D3175">
        <w:t xml:space="preserve"> of the ecological community</w:t>
      </w:r>
      <w:bookmarkEnd w:id="30"/>
      <w:bookmarkEnd w:id="31"/>
      <w:bookmarkEnd w:id="32"/>
    </w:p>
    <w:p w14:paraId="04BBC62B" w14:textId="1FA6D426" w:rsidR="005609D4" w:rsidRDefault="005609D4" w:rsidP="000970A0">
      <w:pPr>
        <w:pStyle w:val="Heading2"/>
      </w:pPr>
      <w:bookmarkStart w:id="33" w:name="_Toc24971006"/>
      <w:bookmarkStart w:id="34" w:name="_Ref23846389"/>
      <w:bookmarkStart w:id="35" w:name="_Ref19263872"/>
      <w:r>
        <w:t>Identification</w:t>
      </w:r>
      <w:r w:rsidR="00573BF2">
        <w:t xml:space="preserve"> of the ecological community</w:t>
      </w:r>
      <w:bookmarkEnd w:id="33"/>
    </w:p>
    <w:p w14:paraId="1C67069E" w14:textId="308FE01E" w:rsidR="00DF7F73" w:rsidRPr="000970A0" w:rsidRDefault="00DF7F73" w:rsidP="00DF7F73">
      <w:pPr>
        <w:rPr>
          <w:rFonts w:eastAsiaTheme="majorEastAsia" w:cstheme="majorBidi"/>
          <w:szCs w:val="26"/>
        </w:rPr>
      </w:pPr>
      <w:r w:rsidRPr="000970A0">
        <w:rPr>
          <w:rFonts w:eastAsiaTheme="majorEastAsia" w:cstheme="majorBidi"/>
          <w:szCs w:val="26"/>
        </w:rPr>
        <w:t xml:space="preserve">Tasmanian white gum wet forest intergrades with other vegetation types and ecological communities (see </w:t>
      </w:r>
      <w:r w:rsidRPr="000970A0">
        <w:rPr>
          <w:rFonts w:eastAsiaTheme="majorEastAsia" w:cstheme="majorBidi"/>
          <w:szCs w:val="26"/>
          <w:u w:val="single"/>
        </w:rPr>
        <w:t>section</w:t>
      </w:r>
      <w:r>
        <w:rPr>
          <w:rFonts w:eastAsiaTheme="majorEastAsia" w:cstheme="majorBidi"/>
          <w:szCs w:val="26"/>
          <w:u w:val="single"/>
        </w:rPr>
        <w:t xml:space="preserve"> </w:t>
      </w:r>
      <w:r>
        <w:rPr>
          <w:rFonts w:eastAsiaTheme="majorEastAsia" w:cstheme="majorBidi"/>
          <w:szCs w:val="26"/>
          <w:u w:val="single"/>
        </w:rPr>
        <w:fldChar w:fldCharType="begin"/>
      </w:r>
      <w:r>
        <w:rPr>
          <w:rFonts w:eastAsiaTheme="majorEastAsia" w:cstheme="majorBidi"/>
          <w:szCs w:val="26"/>
          <w:u w:val="single"/>
        </w:rPr>
        <w:instrText xml:space="preserve"> REF _Ref24021516 \r \h </w:instrText>
      </w:r>
      <w:r>
        <w:rPr>
          <w:rFonts w:eastAsiaTheme="majorEastAsia" w:cstheme="majorBidi"/>
          <w:szCs w:val="26"/>
          <w:u w:val="single"/>
        </w:rPr>
      </w:r>
      <w:r>
        <w:rPr>
          <w:rFonts w:eastAsiaTheme="majorEastAsia" w:cstheme="majorBidi"/>
          <w:szCs w:val="26"/>
          <w:u w:val="single"/>
        </w:rPr>
        <w:fldChar w:fldCharType="separate"/>
      </w:r>
      <w:r w:rsidR="005E6E9C">
        <w:rPr>
          <w:rFonts w:eastAsiaTheme="majorEastAsia" w:cstheme="majorBidi"/>
          <w:szCs w:val="26"/>
          <w:u w:val="single"/>
        </w:rPr>
        <w:t>6.1.2.6</w:t>
      </w:r>
      <w:r>
        <w:rPr>
          <w:rFonts w:eastAsiaTheme="majorEastAsia" w:cstheme="majorBidi"/>
          <w:szCs w:val="26"/>
          <w:u w:val="single"/>
        </w:rPr>
        <w:fldChar w:fldCharType="end"/>
      </w:r>
      <w:r w:rsidRPr="000970A0">
        <w:rPr>
          <w:rFonts w:eastAsiaTheme="majorEastAsia" w:cstheme="majorBidi"/>
          <w:szCs w:val="26"/>
        </w:rPr>
        <w:t>). Key diagnostic characteristics are used to identify an area of native vegetation as being Tasmanian white gum wet forest, and define the features that distinguish it from other communities, noting that additional information to assist with identification is provided in the other sections of this document, particularly the description (</w:t>
      </w:r>
      <w:r w:rsidRPr="000970A0">
        <w:rPr>
          <w:rFonts w:eastAsiaTheme="majorEastAsia" w:cstheme="majorBidi"/>
          <w:szCs w:val="26"/>
          <w:u w:val="single"/>
        </w:rPr>
        <w:t>section </w:t>
      </w:r>
      <w:r w:rsidRPr="000970A0">
        <w:rPr>
          <w:rFonts w:eastAsiaTheme="majorEastAsia" w:cstheme="majorBidi"/>
          <w:szCs w:val="26"/>
          <w:u w:val="single"/>
        </w:rPr>
        <w:fldChar w:fldCharType="begin"/>
      </w:r>
      <w:r w:rsidRPr="000970A0">
        <w:rPr>
          <w:rFonts w:eastAsiaTheme="majorEastAsia" w:cstheme="majorBidi"/>
          <w:szCs w:val="26"/>
          <w:u w:val="single"/>
        </w:rPr>
        <w:instrText xml:space="preserve"> REF _Ref527448783 \r \h </w:instrText>
      </w:r>
      <w:r w:rsidRPr="000970A0">
        <w:rPr>
          <w:rFonts w:eastAsiaTheme="majorEastAsia" w:cstheme="majorBidi"/>
          <w:szCs w:val="26"/>
          <w:u w:val="single"/>
        </w:rPr>
      </w:r>
      <w:r w:rsidRPr="000970A0">
        <w:rPr>
          <w:rFonts w:eastAsiaTheme="majorEastAsia" w:cstheme="majorBidi"/>
          <w:szCs w:val="26"/>
          <w:u w:val="single"/>
        </w:rPr>
        <w:fldChar w:fldCharType="separate"/>
      </w:r>
      <w:r w:rsidR="005E6E9C">
        <w:rPr>
          <w:rFonts w:eastAsiaTheme="majorEastAsia" w:cstheme="majorBidi"/>
          <w:szCs w:val="26"/>
          <w:u w:val="single"/>
        </w:rPr>
        <w:t>2</w:t>
      </w:r>
      <w:r w:rsidRPr="000970A0">
        <w:rPr>
          <w:rFonts w:eastAsiaTheme="majorEastAsia" w:cstheme="majorBidi"/>
          <w:szCs w:val="26"/>
        </w:rPr>
        <w:fldChar w:fldCharType="end"/>
      </w:r>
      <w:r>
        <w:rPr>
          <w:rFonts w:eastAsiaTheme="majorEastAsia" w:cstheme="majorBidi"/>
          <w:szCs w:val="26"/>
        </w:rPr>
        <w:t xml:space="preserve">) </w:t>
      </w:r>
      <w:r w:rsidRPr="000970A0">
        <w:rPr>
          <w:rFonts w:eastAsiaTheme="majorEastAsia" w:cstheme="majorBidi"/>
          <w:szCs w:val="26"/>
        </w:rPr>
        <w:t xml:space="preserve">and </w:t>
      </w:r>
      <w:r w:rsidRPr="008B4406">
        <w:rPr>
          <w:rFonts w:eastAsiaTheme="majorEastAsia" w:cstheme="majorBidi"/>
          <w:szCs w:val="26"/>
          <w:u w:val="single"/>
        </w:rPr>
        <w:fldChar w:fldCharType="begin"/>
      </w:r>
      <w:r w:rsidRPr="008B4406">
        <w:rPr>
          <w:rFonts w:eastAsiaTheme="majorEastAsia" w:cstheme="majorBidi"/>
          <w:szCs w:val="26"/>
          <w:u w:val="single"/>
        </w:rPr>
        <w:instrText xml:space="preserve"> REF _Ref17975136 \h </w:instrText>
      </w:r>
      <w:r w:rsidRPr="008B4406">
        <w:rPr>
          <w:rFonts w:eastAsiaTheme="majorEastAsia" w:cstheme="majorBidi"/>
          <w:szCs w:val="26"/>
          <w:u w:val="single"/>
        </w:rPr>
      </w:r>
      <w:r w:rsidRPr="008B4406">
        <w:rPr>
          <w:rFonts w:eastAsiaTheme="majorEastAsia" w:cstheme="majorBidi"/>
          <w:szCs w:val="26"/>
          <w:u w:val="single"/>
        </w:rPr>
        <w:fldChar w:fldCharType="separate"/>
      </w:r>
      <w:r w:rsidR="005E6E9C" w:rsidRPr="00F96D06">
        <w:t>Appendix A - Species lists</w:t>
      </w:r>
      <w:r w:rsidRPr="008B4406">
        <w:rPr>
          <w:rFonts w:eastAsiaTheme="majorEastAsia" w:cstheme="majorBidi"/>
          <w:szCs w:val="26"/>
          <w:u w:val="single"/>
        </w:rPr>
        <w:fldChar w:fldCharType="end"/>
      </w:r>
      <w:r w:rsidRPr="000970A0">
        <w:rPr>
          <w:rFonts w:eastAsiaTheme="majorEastAsia" w:cstheme="majorBidi"/>
          <w:szCs w:val="26"/>
        </w:rPr>
        <w:t xml:space="preserve">. </w:t>
      </w:r>
    </w:p>
    <w:p w14:paraId="28D00D01" w14:textId="77777777" w:rsidR="000970A0" w:rsidRPr="000970A0" w:rsidRDefault="000970A0" w:rsidP="005609D4">
      <w:pPr>
        <w:pStyle w:val="Heading3"/>
      </w:pPr>
      <w:bookmarkStart w:id="36" w:name="_Ref24022341"/>
      <w:r w:rsidRPr="000970A0">
        <w:t>Key diagnostics</w:t>
      </w:r>
      <w:bookmarkEnd w:id="34"/>
      <w:bookmarkEnd w:id="36"/>
    </w:p>
    <w:p w14:paraId="7FE71A30" w14:textId="77777777" w:rsidR="00A87619" w:rsidRDefault="000970A0" w:rsidP="000970A0">
      <w:pPr>
        <w:rPr>
          <w:rFonts w:eastAsiaTheme="majorEastAsia" w:cstheme="majorBidi"/>
          <w:szCs w:val="26"/>
        </w:rPr>
      </w:pPr>
      <w:r w:rsidRPr="000970A0">
        <w:rPr>
          <w:rFonts w:eastAsiaTheme="majorEastAsia" w:cstheme="majorBidi"/>
          <w:szCs w:val="26"/>
        </w:rPr>
        <w:t xml:space="preserve">The key diagnostic characteristics are designed to allow identification of the ecological community irrespective of the season. </w:t>
      </w:r>
    </w:p>
    <w:p w14:paraId="723F45CA" w14:textId="5FE49973" w:rsidR="000970A0" w:rsidRPr="000970A0" w:rsidRDefault="000970A0" w:rsidP="000970A0">
      <w:pPr>
        <w:rPr>
          <w:rFonts w:eastAsiaTheme="majorEastAsia" w:cstheme="majorBidi"/>
          <w:szCs w:val="26"/>
        </w:rPr>
      </w:pPr>
      <w:r w:rsidRPr="000970A0">
        <w:rPr>
          <w:rFonts w:eastAsiaTheme="majorEastAsia" w:cstheme="majorBidi"/>
          <w:szCs w:val="26"/>
        </w:rPr>
        <w:t xml:space="preserve">Areas of vegetation that do </w:t>
      </w:r>
      <w:r w:rsidRPr="004E34CB">
        <w:rPr>
          <w:rFonts w:eastAsiaTheme="majorEastAsia" w:cstheme="majorBidi"/>
          <w:szCs w:val="26"/>
          <w:u w:val="single"/>
        </w:rPr>
        <w:t>not</w:t>
      </w:r>
      <w:r w:rsidRPr="000970A0">
        <w:rPr>
          <w:rFonts w:eastAsiaTheme="majorEastAsia" w:cstheme="majorBidi"/>
          <w:szCs w:val="26"/>
        </w:rPr>
        <w:t xml:space="preserve"> meet the key diagnostics are </w:t>
      </w:r>
      <w:r w:rsidRPr="004E34CB">
        <w:rPr>
          <w:rFonts w:eastAsiaTheme="majorEastAsia" w:cstheme="majorBidi"/>
          <w:szCs w:val="26"/>
          <w:u w:val="single"/>
        </w:rPr>
        <w:t>not</w:t>
      </w:r>
      <w:r w:rsidRPr="000970A0">
        <w:rPr>
          <w:rFonts w:eastAsiaTheme="majorEastAsia" w:cstheme="majorBidi"/>
          <w:szCs w:val="26"/>
        </w:rPr>
        <w:t xml:space="preserve"> the nationally listed ecological community.</w:t>
      </w:r>
    </w:p>
    <w:p w14:paraId="46FA5561" w14:textId="77777777" w:rsidR="000970A0" w:rsidRPr="000970A0" w:rsidRDefault="000970A0" w:rsidP="00DF7F73">
      <w:pPr>
        <w:keepNext/>
        <w:rPr>
          <w:rFonts w:eastAsiaTheme="majorEastAsia" w:cstheme="majorBidi"/>
          <w:szCs w:val="26"/>
        </w:rPr>
      </w:pPr>
      <w:r w:rsidRPr="000970A0">
        <w:rPr>
          <w:rFonts w:eastAsiaTheme="majorEastAsia" w:cstheme="majorBidi"/>
          <w:szCs w:val="26"/>
        </w:rPr>
        <w:t>The ecological community is defined as patches of native vegetation that meet the following key diagnostic characteristics:</w:t>
      </w:r>
    </w:p>
    <w:p w14:paraId="0CAA48CD" w14:textId="77777777" w:rsidR="000970A0" w:rsidRPr="000970A0" w:rsidRDefault="000970A0" w:rsidP="00A47F50">
      <w:pPr>
        <w:numPr>
          <w:ilvl w:val="0"/>
          <w:numId w:val="21"/>
        </w:numPr>
        <w:ind w:left="714" w:hanging="357"/>
        <w:rPr>
          <w:rFonts w:eastAsiaTheme="majorEastAsia" w:cstheme="majorBidi"/>
          <w:szCs w:val="26"/>
        </w:rPr>
      </w:pPr>
      <w:r w:rsidRPr="000970A0">
        <w:rPr>
          <w:rFonts w:eastAsiaTheme="majorEastAsia" w:cstheme="majorBidi"/>
          <w:szCs w:val="26"/>
        </w:rPr>
        <w:t>Occurs within Tasmania, including the Furneaux group of islands.</w:t>
      </w:r>
    </w:p>
    <w:p w14:paraId="7BB7AB2C" w14:textId="77777777" w:rsidR="000970A0" w:rsidRPr="000970A0" w:rsidRDefault="000970A0" w:rsidP="00A47F50">
      <w:pPr>
        <w:numPr>
          <w:ilvl w:val="0"/>
          <w:numId w:val="21"/>
        </w:numPr>
        <w:ind w:left="714" w:hanging="357"/>
        <w:rPr>
          <w:rFonts w:eastAsiaTheme="majorEastAsia" w:cstheme="majorBidi"/>
          <w:szCs w:val="26"/>
        </w:rPr>
      </w:pPr>
      <w:r w:rsidRPr="000970A0">
        <w:rPr>
          <w:rFonts w:eastAsiaTheme="majorEastAsia" w:cstheme="majorBidi"/>
          <w:szCs w:val="26"/>
        </w:rPr>
        <w:t>The tree canopy has a crown cover</w:t>
      </w:r>
      <w:r w:rsidRPr="000970A0">
        <w:rPr>
          <w:rFonts w:eastAsiaTheme="majorEastAsia" w:cstheme="majorBidi"/>
          <w:szCs w:val="26"/>
          <w:vertAlign w:val="superscript"/>
        </w:rPr>
        <w:footnoteReference w:id="6"/>
      </w:r>
      <w:r w:rsidRPr="000970A0">
        <w:rPr>
          <w:rFonts w:eastAsiaTheme="majorEastAsia" w:cstheme="majorBidi"/>
          <w:szCs w:val="26"/>
        </w:rPr>
        <w:t xml:space="preserve"> of 5% or more;</w:t>
      </w:r>
    </w:p>
    <w:p w14:paraId="502EBADC" w14:textId="1523A272" w:rsidR="000970A0" w:rsidRPr="000970A0" w:rsidRDefault="000970A0" w:rsidP="00A47F50">
      <w:pPr>
        <w:numPr>
          <w:ilvl w:val="0"/>
          <w:numId w:val="21"/>
        </w:numPr>
        <w:ind w:left="714" w:hanging="357"/>
        <w:rPr>
          <w:rFonts w:eastAsiaTheme="majorEastAsia" w:cstheme="majorBidi"/>
          <w:szCs w:val="26"/>
        </w:rPr>
      </w:pPr>
      <w:r w:rsidRPr="000970A0">
        <w:rPr>
          <w:rFonts w:eastAsiaTheme="majorEastAsia" w:cstheme="majorBidi"/>
          <w:szCs w:val="26"/>
        </w:rPr>
        <w:t>The tree canopy is dominated</w:t>
      </w:r>
      <w:r w:rsidRPr="000970A0">
        <w:rPr>
          <w:rFonts w:eastAsiaTheme="majorEastAsia" w:cstheme="majorBidi"/>
          <w:szCs w:val="26"/>
          <w:vertAlign w:val="superscript"/>
        </w:rPr>
        <w:footnoteReference w:id="7"/>
      </w:r>
      <w:r w:rsidRPr="000970A0">
        <w:rPr>
          <w:rFonts w:eastAsiaTheme="majorEastAsia" w:cstheme="majorBidi"/>
          <w:szCs w:val="26"/>
        </w:rPr>
        <w:t xml:space="preserve"> by </w:t>
      </w:r>
      <w:r w:rsidRPr="000970A0">
        <w:rPr>
          <w:rFonts w:eastAsiaTheme="majorEastAsia" w:cstheme="majorBidi"/>
          <w:i/>
          <w:szCs w:val="26"/>
        </w:rPr>
        <w:t>Eucalyptus viminalis.</w:t>
      </w:r>
    </w:p>
    <w:p w14:paraId="2BC357C6" w14:textId="77777777" w:rsidR="000970A0" w:rsidRPr="000970A0" w:rsidRDefault="000970A0" w:rsidP="00A47F50">
      <w:pPr>
        <w:keepNext/>
        <w:numPr>
          <w:ilvl w:val="0"/>
          <w:numId w:val="21"/>
        </w:numPr>
        <w:ind w:left="714" w:hanging="357"/>
        <w:rPr>
          <w:rFonts w:eastAsiaTheme="majorEastAsia" w:cstheme="majorBidi"/>
          <w:szCs w:val="26"/>
        </w:rPr>
      </w:pPr>
      <w:r w:rsidRPr="000970A0">
        <w:rPr>
          <w:rFonts w:eastAsiaTheme="majorEastAsia" w:cstheme="majorBidi"/>
          <w:szCs w:val="26"/>
        </w:rPr>
        <w:t>Has a wet forest understorey</w:t>
      </w:r>
      <w:r w:rsidRPr="000970A0">
        <w:rPr>
          <w:rFonts w:eastAsiaTheme="majorEastAsia" w:cstheme="majorBidi"/>
          <w:szCs w:val="26"/>
          <w:vertAlign w:val="superscript"/>
        </w:rPr>
        <w:footnoteReference w:id="8"/>
      </w:r>
      <w:r w:rsidRPr="000970A0">
        <w:rPr>
          <w:rFonts w:eastAsiaTheme="majorEastAsia" w:cstheme="majorBidi"/>
          <w:szCs w:val="26"/>
        </w:rPr>
        <w:t>, which is typically dominated</w:t>
      </w:r>
      <w:r w:rsidRPr="000970A0">
        <w:rPr>
          <w:rFonts w:eastAsiaTheme="majorEastAsia" w:cstheme="majorBidi"/>
          <w:szCs w:val="26"/>
          <w:vertAlign w:val="superscript"/>
        </w:rPr>
        <w:footnoteReference w:id="9"/>
      </w:r>
      <w:r w:rsidRPr="000970A0">
        <w:rPr>
          <w:rFonts w:eastAsiaTheme="majorEastAsia" w:cstheme="majorBidi"/>
          <w:szCs w:val="26"/>
        </w:rPr>
        <w:t xml:space="preserve"> by either:</w:t>
      </w:r>
    </w:p>
    <w:p w14:paraId="000B1635" w14:textId="77777777" w:rsidR="000970A0" w:rsidRPr="000970A0" w:rsidRDefault="000970A0" w:rsidP="00A47F50">
      <w:pPr>
        <w:keepNext/>
        <w:numPr>
          <w:ilvl w:val="1"/>
          <w:numId w:val="21"/>
        </w:numPr>
        <w:ind w:left="1434" w:hanging="357"/>
        <w:rPr>
          <w:rFonts w:eastAsiaTheme="majorEastAsia" w:cstheme="majorBidi"/>
          <w:szCs w:val="26"/>
        </w:rPr>
      </w:pPr>
      <w:r w:rsidRPr="000970A0">
        <w:rPr>
          <w:rFonts w:eastAsiaTheme="majorEastAsia" w:cstheme="majorBidi"/>
          <w:szCs w:val="26"/>
        </w:rPr>
        <w:t>ferns or broad-leaved (soft-leaved) trees or shrubs; or</w:t>
      </w:r>
    </w:p>
    <w:p w14:paraId="445FA979" w14:textId="77777777" w:rsidR="000970A0" w:rsidRPr="000970A0" w:rsidRDefault="000970A0" w:rsidP="00A47F50">
      <w:pPr>
        <w:keepNext/>
        <w:numPr>
          <w:ilvl w:val="1"/>
          <w:numId w:val="21"/>
        </w:numPr>
        <w:ind w:left="1434" w:hanging="357"/>
        <w:rPr>
          <w:rFonts w:eastAsiaTheme="majorEastAsia" w:cstheme="majorBidi"/>
          <w:szCs w:val="26"/>
        </w:rPr>
      </w:pPr>
      <w:r w:rsidRPr="000970A0">
        <w:rPr>
          <w:rFonts w:eastAsiaTheme="majorEastAsia" w:cstheme="majorBidi"/>
          <w:szCs w:val="26"/>
        </w:rPr>
        <w:t>tall tea-trees (</w:t>
      </w:r>
      <w:r w:rsidRPr="000970A0">
        <w:rPr>
          <w:rFonts w:eastAsiaTheme="majorEastAsia" w:cstheme="majorBidi"/>
          <w:i/>
          <w:szCs w:val="26"/>
        </w:rPr>
        <w:t xml:space="preserve">Leptospermum </w:t>
      </w:r>
      <w:r w:rsidRPr="000970A0">
        <w:rPr>
          <w:rFonts w:eastAsiaTheme="majorEastAsia" w:cstheme="majorBidi"/>
          <w:szCs w:val="26"/>
        </w:rPr>
        <w:t>spp) or paperbarks (</w:t>
      </w:r>
      <w:r w:rsidRPr="000970A0">
        <w:rPr>
          <w:rFonts w:eastAsiaTheme="majorEastAsia" w:cstheme="majorBidi"/>
          <w:i/>
          <w:szCs w:val="26"/>
        </w:rPr>
        <w:t xml:space="preserve">Melaleuca </w:t>
      </w:r>
      <w:r w:rsidRPr="000970A0">
        <w:rPr>
          <w:rFonts w:eastAsiaTheme="majorEastAsia" w:cstheme="majorBidi"/>
          <w:szCs w:val="26"/>
        </w:rPr>
        <w:t>spp); or</w:t>
      </w:r>
    </w:p>
    <w:p w14:paraId="24F565F8" w14:textId="2F57323E" w:rsidR="000970A0" w:rsidRPr="000970A0" w:rsidRDefault="000970A0" w:rsidP="00A47F50">
      <w:pPr>
        <w:numPr>
          <w:ilvl w:val="1"/>
          <w:numId w:val="21"/>
        </w:numPr>
        <w:rPr>
          <w:rFonts w:eastAsiaTheme="majorEastAsia" w:cstheme="majorBidi"/>
          <w:szCs w:val="26"/>
        </w:rPr>
      </w:pPr>
      <w:r w:rsidRPr="000970A0">
        <w:rPr>
          <w:rFonts w:eastAsiaTheme="majorEastAsia" w:cstheme="majorBidi"/>
          <w:szCs w:val="26"/>
        </w:rPr>
        <w:t>rainforest species;</w:t>
      </w:r>
    </w:p>
    <w:p w14:paraId="4CFA0401" w14:textId="0F425596" w:rsidR="000970A0" w:rsidRPr="000970A0" w:rsidRDefault="000970A0" w:rsidP="00A47F50">
      <w:pPr>
        <w:numPr>
          <w:ilvl w:val="1"/>
          <w:numId w:val="21"/>
        </w:numPr>
        <w:rPr>
          <w:rFonts w:eastAsiaTheme="majorEastAsia" w:cstheme="majorBidi"/>
          <w:szCs w:val="26"/>
        </w:rPr>
      </w:pPr>
      <w:r w:rsidRPr="000970A0">
        <w:rPr>
          <w:rFonts w:eastAsiaTheme="majorEastAsia" w:cstheme="majorBidi"/>
          <w:szCs w:val="26"/>
        </w:rPr>
        <w:t>and is NOT dominated</w:t>
      </w:r>
      <w:r w:rsidR="004830BE" w:rsidRPr="004830BE">
        <w:rPr>
          <w:rFonts w:eastAsiaTheme="majorEastAsia" w:cstheme="majorBidi"/>
          <w:szCs w:val="26"/>
          <w:vertAlign w:val="superscript"/>
        </w:rPr>
        <w:t>8</w:t>
      </w:r>
      <w:r w:rsidR="00AA4444">
        <w:rPr>
          <w:rFonts w:eastAsiaTheme="majorEastAsia" w:cstheme="majorBidi"/>
          <w:szCs w:val="26"/>
        </w:rPr>
        <w:t xml:space="preserve"> </w:t>
      </w:r>
      <w:r w:rsidRPr="000970A0">
        <w:rPr>
          <w:rFonts w:eastAsiaTheme="majorEastAsia" w:cstheme="majorBidi"/>
          <w:szCs w:val="26"/>
        </w:rPr>
        <w:t>by grasses, heaths or narrow-leaved shrubs.</w:t>
      </w:r>
    </w:p>
    <w:p w14:paraId="44E1A1FF" w14:textId="77777777" w:rsidR="000970A0" w:rsidRPr="000970A0" w:rsidRDefault="000970A0" w:rsidP="005609D4">
      <w:pPr>
        <w:pStyle w:val="Heading3"/>
      </w:pPr>
      <w:r w:rsidRPr="000970A0">
        <w:t>Additional information to assist in identifying the ecological community</w:t>
      </w:r>
    </w:p>
    <w:p w14:paraId="1F109CD7" w14:textId="77777777" w:rsidR="000970A0" w:rsidRPr="000970A0" w:rsidRDefault="000970A0" w:rsidP="000970A0">
      <w:r w:rsidRPr="000970A0">
        <w:t xml:space="preserve">The following information should also be taken into consideration when applying the key diagnostic characteristics and condition classes and thresholds to assess a site that may include the ecological community. Landuse history, particularly fire history, will influence the state in which a patch of the ecological community is currently expressed. </w:t>
      </w:r>
    </w:p>
    <w:p w14:paraId="5B5D987B" w14:textId="77777777" w:rsidR="000970A0" w:rsidRPr="000970A0" w:rsidRDefault="000970A0" w:rsidP="005609D4">
      <w:pPr>
        <w:pStyle w:val="Heading4"/>
      </w:pPr>
      <w:bookmarkStart w:id="37" w:name="_Ref24021548"/>
      <w:r w:rsidRPr="000970A0">
        <w:lastRenderedPageBreak/>
        <w:t>Identifying a patch</w:t>
      </w:r>
      <w:bookmarkEnd w:id="37"/>
    </w:p>
    <w:p w14:paraId="30AF7F40" w14:textId="732CB4F7" w:rsidR="000970A0" w:rsidRPr="000970A0" w:rsidRDefault="000970A0" w:rsidP="00A87619">
      <w:pPr>
        <w:keepLines/>
      </w:pPr>
      <w:r w:rsidRPr="000970A0">
        <w:t>A patch is a discrete and mostly continuous area of the ecological community, as defined by the key diagnostics, but can include small-scale variations, gaps and disturbances within this area. The smallest patch size that can be identified is 0.5 ha, as canopy and understorey dominance cannot reliably be identified for smaller areas than this. Where a larger forest area has been classified as a different forest type, localised areas of Tasmanian white gum wet forest greater than 0.5 ha may be present within this larger area (see</w:t>
      </w:r>
      <w:r w:rsidR="008B4406">
        <w:t xml:space="preserve"> </w:t>
      </w:r>
      <w:r w:rsidR="008B4406" w:rsidRPr="00DD72BF">
        <w:rPr>
          <w:u w:val="single"/>
        </w:rPr>
        <w:fldChar w:fldCharType="begin"/>
      </w:r>
      <w:r w:rsidR="008B4406" w:rsidRPr="00DD72BF">
        <w:rPr>
          <w:u w:val="single"/>
        </w:rPr>
        <w:instrText xml:space="preserve"> REF _Ref24021972 \h </w:instrText>
      </w:r>
      <w:r w:rsidR="00DD72BF">
        <w:rPr>
          <w:u w:val="single"/>
        </w:rPr>
        <w:instrText xml:space="preserve"> \* MERGEFORMAT </w:instrText>
      </w:r>
      <w:r w:rsidR="008B4406" w:rsidRPr="00DD72BF">
        <w:rPr>
          <w:u w:val="single"/>
        </w:rPr>
      </w:r>
      <w:r w:rsidR="008B4406" w:rsidRPr="00DD72BF">
        <w:rPr>
          <w:u w:val="single"/>
        </w:rPr>
        <w:fldChar w:fldCharType="separate"/>
      </w:r>
      <w:r w:rsidR="005E6E9C" w:rsidRPr="000970A0">
        <w:t xml:space="preserve">Table </w:t>
      </w:r>
      <w:r w:rsidR="005E6E9C">
        <w:rPr>
          <w:noProof/>
        </w:rPr>
        <w:t>7</w:t>
      </w:r>
      <w:r w:rsidR="008B4406" w:rsidRPr="00DD72BF">
        <w:rPr>
          <w:u w:val="single"/>
        </w:rPr>
        <w:fldChar w:fldCharType="end"/>
      </w:r>
      <w:r w:rsidRPr="000970A0">
        <w:t>).</w:t>
      </w:r>
    </w:p>
    <w:p w14:paraId="57B1888D" w14:textId="77777777" w:rsidR="000970A0" w:rsidRPr="000970A0" w:rsidRDefault="000970A0" w:rsidP="005609D4">
      <w:pPr>
        <w:pStyle w:val="Heading4"/>
      </w:pPr>
      <w:r w:rsidRPr="000970A0">
        <w:t>Breaks in a patch</w:t>
      </w:r>
    </w:p>
    <w:p w14:paraId="50D05BF1" w14:textId="77777777" w:rsidR="000970A0" w:rsidRPr="000970A0" w:rsidRDefault="000970A0" w:rsidP="000970A0">
      <w:r w:rsidRPr="000970A0">
        <w:t>When it comes to defining a patch of the ecological community allowances are made for “breaks” up to 30 metres between areas that meet the key diagnostics. Such breaks may be the result of watercourses or drainage lines, tracks, paths, roads, gaps made by exposed areas of soil, leaf litter or cryptogams, and areas of  localised variation in vegetation that do not meet the key diagnostics. Such breaks do not significantly alter the overall functionality of the ecological community and form a part of the patch. They should be included in the calculation of the size of the patch, and be taken into account when determining the overall condition of the patch.</w:t>
      </w:r>
    </w:p>
    <w:p w14:paraId="64641AC5" w14:textId="77777777" w:rsidR="000970A0" w:rsidRPr="000970A0" w:rsidRDefault="000970A0" w:rsidP="000970A0">
      <w:r w:rsidRPr="000970A0">
        <w:t>For example, a single patch could include two areas of the ecological community that meet the key diagnostics, but which are separated by a narrow strip of riparian vegetation lining a watercourse.</w:t>
      </w:r>
    </w:p>
    <w:p w14:paraId="6F63D8D2" w14:textId="77777777" w:rsidR="000970A0" w:rsidRPr="000970A0" w:rsidRDefault="000970A0" w:rsidP="000970A0">
      <w:r w:rsidRPr="000970A0">
        <w:t>Where there is a break in the ecological community of 30 metres or more (e.g. due to permanent artificial structures, wide roads or other barriers, water bodies or other types of vegetation) then the gap indicates that separate patches are present.</w:t>
      </w:r>
    </w:p>
    <w:p w14:paraId="6481E7A6" w14:textId="77777777" w:rsidR="000970A0" w:rsidRPr="000970A0" w:rsidRDefault="000970A0" w:rsidP="005609D4">
      <w:pPr>
        <w:pStyle w:val="Heading4"/>
      </w:pPr>
      <w:r w:rsidRPr="000970A0">
        <w:t>Variation within a patch</w:t>
      </w:r>
    </w:p>
    <w:p w14:paraId="66A0B2C7" w14:textId="77777777" w:rsidR="000970A0" w:rsidRPr="000970A0" w:rsidRDefault="000970A0" w:rsidP="000970A0">
      <w:r w:rsidRPr="000970A0">
        <w:t>Patches of the ecological community may contain areas that vary in structural or biological characteristics. For example, one part of a patch may consist of mostly rainforest species, whereas another part of the same patch may be dominated by tree-ferns; or one part of a patch may have been more recently burnt and therefore at a different stage of regeneration. Variation in vegetation across a patch should not be considered to be evidence of multiple patches, so long as it meets the key diagnostics and minimum condition thresholds.</w:t>
      </w:r>
    </w:p>
    <w:p w14:paraId="3DF77694" w14:textId="77777777" w:rsidR="000970A0" w:rsidRPr="000970A0" w:rsidRDefault="000970A0" w:rsidP="005609D4">
      <w:pPr>
        <w:pStyle w:val="Heading4"/>
      </w:pPr>
      <w:r w:rsidRPr="000970A0">
        <w:t>Revegetation and regrowth</w:t>
      </w:r>
    </w:p>
    <w:p w14:paraId="598CD006" w14:textId="77777777" w:rsidR="000970A0" w:rsidRPr="000970A0" w:rsidRDefault="000970A0" w:rsidP="000970A0">
      <w:r w:rsidRPr="000970A0">
        <w:t>Revegetated or replanted sites or areas of regrowth are not excluded from the listed ecological community so long as the patch meets the key diagnostic characteristics and minimum condition thresholds above.</w:t>
      </w:r>
    </w:p>
    <w:p w14:paraId="0A15623B" w14:textId="77777777" w:rsidR="000970A0" w:rsidRPr="000970A0" w:rsidRDefault="000970A0" w:rsidP="005609D4">
      <w:pPr>
        <w:pStyle w:val="Heading4"/>
      </w:pPr>
      <w:r w:rsidRPr="000970A0">
        <w:t>Survey requirements</w:t>
      </w:r>
    </w:p>
    <w:p w14:paraId="7166220F" w14:textId="77777777" w:rsidR="000970A0" w:rsidRPr="000970A0" w:rsidRDefault="000970A0" w:rsidP="00DD72BF">
      <w:pPr>
        <w:keepLines/>
      </w:pPr>
      <w:r w:rsidRPr="000970A0">
        <w:t xml:space="preserve">Patches of the ecological community can vary markedly in their shape, size, condition and features. Thorough and representative on-ground surveys are essential to accurately assess the extent and condition of a patch. The Australian Soil and Land Survey Field Handbook (National Committee on Soil and Terrain, 2009), Forest Botany Manual (FPA 2005) and TASVEG vegetation condition manual (Michaels, 2006) provide guidance. </w:t>
      </w:r>
    </w:p>
    <w:p w14:paraId="7635953A" w14:textId="77777777" w:rsidR="000970A0" w:rsidRPr="000970A0" w:rsidRDefault="000970A0" w:rsidP="000970A0">
      <w:r w:rsidRPr="000970A0">
        <w:t xml:space="preserve">The size, number and spatial distribution of plots or transects must be adequate to represent variation across the patch. Sampling should address likely variation in species composition and significant variation in the vegetation (including areas of different condition), landscape qualities and management history (where known) across the patch. </w:t>
      </w:r>
    </w:p>
    <w:p w14:paraId="00AAD4F9" w14:textId="77777777" w:rsidR="000970A0" w:rsidRPr="000970A0" w:rsidRDefault="000970A0" w:rsidP="000970A0">
      <w:r w:rsidRPr="000970A0">
        <w:lastRenderedPageBreak/>
        <w:t>Recording the search effort (identifying the number of person hours spent per plot/transect and across the entire patch; along with the surveyor’s level of expertise and limitations at the time of survey) is useful for future reference.</w:t>
      </w:r>
    </w:p>
    <w:p w14:paraId="34B91486" w14:textId="77777777" w:rsidR="000970A0" w:rsidRPr="000970A0" w:rsidRDefault="000970A0" w:rsidP="000970A0">
      <w:r w:rsidRPr="000970A0">
        <w:t>Whilst identifying the ecological community and its condition is possible at most times of the year, consideration must be given to the role that season, rainfall and disturbance history may play in an assessment. For example, after a fire one or more vegetation layers, or groups of species (e.g. obligate seeders), may not be evident for a time. Timing of surveys should allow for a reasonable interval after a disturbance (natural or human-induced) to allow for regeneration of species to become evident, and be timed to enable diagnostic species to be identified. At a minimum, it is important to note climate conditions and what kind of disturbance may have happened within a patch, and when that disturbance occurred, as far as possible.</w:t>
      </w:r>
    </w:p>
    <w:p w14:paraId="3B5517C5" w14:textId="77777777" w:rsidR="000970A0" w:rsidRPr="000970A0" w:rsidRDefault="000970A0" w:rsidP="00573BF2">
      <w:pPr>
        <w:pStyle w:val="Heading4"/>
      </w:pPr>
      <w:bookmarkStart w:id="38" w:name="_Ref24021516"/>
      <w:r w:rsidRPr="000970A0">
        <w:t>Mapping and vegetation classifications</w:t>
      </w:r>
      <w:bookmarkEnd w:id="38"/>
    </w:p>
    <w:p w14:paraId="4A7DC3A9" w14:textId="77777777" w:rsidR="000970A0" w:rsidRPr="000970A0" w:rsidRDefault="000970A0" w:rsidP="000970A0">
      <w:r w:rsidRPr="000970A0">
        <w:t xml:space="preserve">There are a number of mapping and vegetation classification schemes used in Tasmania. Although none directly map areas of the ecological community according to the key diagnostics and minimum condition thresholds, they can still provide useful information on the likely occurrence of the ecological community. </w:t>
      </w:r>
      <w:r w:rsidRPr="000970A0">
        <w:rPr>
          <w:u w:val="single"/>
        </w:rPr>
        <w:fldChar w:fldCharType="begin"/>
      </w:r>
      <w:r w:rsidRPr="000970A0">
        <w:rPr>
          <w:u w:val="single"/>
        </w:rPr>
        <w:instrText xml:space="preserve"> REF _Ref3975288 \h </w:instrText>
      </w:r>
      <w:r w:rsidRPr="000970A0">
        <w:rPr>
          <w:u w:val="single"/>
        </w:rPr>
      </w:r>
      <w:r w:rsidRPr="000970A0">
        <w:rPr>
          <w:u w:val="single"/>
        </w:rPr>
        <w:fldChar w:fldCharType="separate"/>
      </w:r>
      <w:r w:rsidR="005E6E9C">
        <w:t xml:space="preserve">Appendix B - </w:t>
      </w:r>
      <w:r w:rsidR="005E6E9C" w:rsidRPr="009E5160">
        <w:t>Relationship to other vegetation classification and mapping systems</w:t>
      </w:r>
      <w:r w:rsidRPr="000970A0">
        <w:fldChar w:fldCharType="end"/>
      </w:r>
      <w:r w:rsidRPr="000970A0">
        <w:t xml:space="preserve"> outlines the map units or classifications from a number of common mapping and classification systems that best relate to the ecological community.</w:t>
      </w:r>
    </w:p>
    <w:p w14:paraId="55C7F985" w14:textId="77777777" w:rsidR="000970A0" w:rsidRPr="000970A0" w:rsidRDefault="000970A0" w:rsidP="000970A0">
      <w:r w:rsidRPr="000970A0">
        <w:t>Tasmanian white gum wet forest is not necessarily a discrete forest unit, but more commonly intergrades with other forest types. Wet forests form a continuum with rainforests following a gradient of increasing time since the last fire. Where drainage is impeded and soils infertile and poorly developed, wet forests form a continuum with wet scrubs dominated by sclerophyllous shrubs including tea-tree and paperbark. As moisture availability decreases wet forests intergrade with dry sclerophyll forests.</w:t>
      </w:r>
    </w:p>
    <w:p w14:paraId="73BC35F6" w14:textId="214283E8" w:rsidR="000970A0" w:rsidRPr="000970A0" w:rsidRDefault="000970A0" w:rsidP="000970A0">
      <w:r w:rsidRPr="000970A0">
        <w:t xml:space="preserve">Patches of the ecological community are also often adjacent, or in close proximity, to other wet forest types. These other types of wet forest are typically distinguished from the ecological community by the dominance of eucalypt species other than </w:t>
      </w:r>
      <w:r w:rsidRPr="000970A0">
        <w:rPr>
          <w:i/>
        </w:rPr>
        <w:t>E. viminalis</w:t>
      </w:r>
      <w:r w:rsidRPr="000970A0">
        <w:t xml:space="preserve"> in the tree canopy. Although other eucalypt tree species do occur in the ecological community alongside </w:t>
      </w:r>
      <w:r w:rsidRPr="000970A0">
        <w:rPr>
          <w:i/>
        </w:rPr>
        <w:t>E. viminalis</w:t>
      </w:r>
      <w:r w:rsidRPr="000970A0">
        <w:t>, they are not a dominant component of the tree canopy. For example, giant ash (</w:t>
      </w:r>
      <w:r w:rsidRPr="000970A0">
        <w:rPr>
          <w:i/>
        </w:rPr>
        <w:t>Eucalyptus regnans)</w:t>
      </w:r>
      <w:r w:rsidRPr="000970A0">
        <w:t xml:space="preserve"> forest occupies similar sites and at higher altitudes mountain white gum (</w:t>
      </w:r>
      <w:r w:rsidRPr="000970A0">
        <w:rPr>
          <w:i/>
        </w:rPr>
        <w:t>E. dalrympleana)</w:t>
      </w:r>
      <w:r w:rsidRPr="000970A0">
        <w:t xml:space="preserve"> replaces </w:t>
      </w:r>
      <w:r w:rsidRPr="000970A0">
        <w:rPr>
          <w:i/>
        </w:rPr>
        <w:t>E. viminalis</w:t>
      </w:r>
      <w:r w:rsidRPr="000970A0">
        <w:t xml:space="preserve"> as the dominant eucalypt in the canopy. In the mid-altitudes, typically between 300 m and 600 m ASL, there can be a gradation between </w:t>
      </w:r>
      <w:r w:rsidRPr="000970A0">
        <w:rPr>
          <w:i/>
        </w:rPr>
        <w:t>E. viminalis</w:t>
      </w:r>
      <w:r w:rsidRPr="000970A0">
        <w:t xml:space="preserve"> and </w:t>
      </w:r>
      <w:r w:rsidRPr="000970A0">
        <w:rPr>
          <w:i/>
        </w:rPr>
        <w:t>E. dalrympleana</w:t>
      </w:r>
      <w:r w:rsidRPr="000970A0">
        <w:t>, with intermediate forms common (Williams and Potts, 1996; Duncan, 1996).</w:t>
      </w:r>
    </w:p>
    <w:p w14:paraId="3C3763ED" w14:textId="34171698" w:rsidR="000970A0" w:rsidRPr="000970A0" w:rsidRDefault="000970A0" w:rsidP="000970A0">
      <w:r w:rsidRPr="000970A0">
        <w:rPr>
          <w:i/>
        </w:rPr>
        <w:t>E. viminalis</w:t>
      </w:r>
      <w:r w:rsidRPr="000970A0">
        <w:t xml:space="preserve"> also occurs as a dominant canopy species in other types of forests and woodlands in Tasmania. The ecological community does not occur as a grassy woodland and other forest types are distinguished from the ecological community by the understorey. The ecological community has a wet forest understorey that is dominated by ferns, broad-leaved shrubs or rainforest species. Other forests dominated by </w:t>
      </w:r>
      <w:r w:rsidRPr="000970A0">
        <w:rPr>
          <w:i/>
        </w:rPr>
        <w:t>E. viminalis</w:t>
      </w:r>
      <w:r w:rsidRPr="000970A0">
        <w:t xml:space="preserve"> typically have dry sclerophyll understories dominated by narrow-leaved shrubs (or an equal mix of broad-leaved and narrow-leaved s</w:t>
      </w:r>
      <w:r w:rsidR="000032A6">
        <w:t>hrubs), grasses, sedges or heaths</w:t>
      </w:r>
      <w:r w:rsidRPr="000970A0">
        <w:t xml:space="preserve">. Dry eucalypt forests with </w:t>
      </w:r>
      <w:r w:rsidRPr="000970A0">
        <w:rPr>
          <w:i/>
        </w:rPr>
        <w:t>E. viminalis</w:t>
      </w:r>
      <w:r w:rsidRPr="000970A0">
        <w:t xml:space="preserve"> canopies also typically contain trees of numerous age classes, instead of the typical even-aged </w:t>
      </w:r>
      <w:r w:rsidRPr="000970A0">
        <w:lastRenderedPageBreak/>
        <w:t xml:space="preserve">canopy of the Tasmanian white gum wet forest. </w:t>
      </w:r>
      <w:r w:rsidR="00D77CC6" w:rsidRPr="008B4406">
        <w:rPr>
          <w:u w:val="single"/>
        </w:rPr>
        <w:fldChar w:fldCharType="begin"/>
      </w:r>
      <w:r w:rsidR="00D77CC6" w:rsidRPr="008B4406">
        <w:rPr>
          <w:u w:val="single"/>
        </w:rPr>
        <w:instrText xml:space="preserve"> REF _Ref24021972 \h </w:instrText>
      </w:r>
      <w:r w:rsidR="00D77CC6" w:rsidRPr="008B4406">
        <w:rPr>
          <w:u w:val="single"/>
        </w:rPr>
      </w:r>
      <w:r w:rsidR="00D77CC6" w:rsidRPr="008B4406">
        <w:rPr>
          <w:u w:val="single"/>
        </w:rPr>
        <w:fldChar w:fldCharType="separate"/>
      </w:r>
      <w:r w:rsidR="005E6E9C" w:rsidRPr="000970A0">
        <w:t xml:space="preserve">Table </w:t>
      </w:r>
      <w:r w:rsidR="005E6E9C">
        <w:rPr>
          <w:noProof/>
        </w:rPr>
        <w:t>7</w:t>
      </w:r>
      <w:r w:rsidR="00D77CC6" w:rsidRPr="008B4406">
        <w:rPr>
          <w:u w:val="single"/>
        </w:rPr>
        <w:fldChar w:fldCharType="end"/>
      </w:r>
      <w:r w:rsidR="00D77CC6">
        <w:t xml:space="preserve"> </w:t>
      </w:r>
      <w:r w:rsidRPr="000970A0">
        <w:t>outlines how the ecological community can be distinguished from a number of similar forest types in Tasmania.</w:t>
      </w:r>
    </w:p>
    <w:p w14:paraId="340159A9" w14:textId="1BBBB8E3" w:rsidR="000970A0" w:rsidRPr="000970A0" w:rsidRDefault="000970A0" w:rsidP="008B4406">
      <w:pPr>
        <w:pStyle w:val="Caption"/>
        <w:keepNext/>
      </w:pPr>
      <w:bookmarkStart w:id="39" w:name="_Ref24021972"/>
      <w:r w:rsidRPr="000970A0">
        <w:t xml:space="preserve">Table </w:t>
      </w:r>
      <w:r w:rsidR="00092678">
        <w:rPr>
          <w:noProof/>
        </w:rPr>
        <w:fldChar w:fldCharType="begin"/>
      </w:r>
      <w:r w:rsidR="00092678">
        <w:rPr>
          <w:noProof/>
        </w:rPr>
        <w:instrText xml:space="preserve"> SEQ Table \* ARABIC </w:instrText>
      </w:r>
      <w:r w:rsidR="00092678">
        <w:rPr>
          <w:noProof/>
        </w:rPr>
        <w:fldChar w:fldCharType="separate"/>
      </w:r>
      <w:r w:rsidR="005E6E9C">
        <w:rPr>
          <w:noProof/>
        </w:rPr>
        <w:t>7</w:t>
      </w:r>
      <w:r w:rsidR="00092678">
        <w:rPr>
          <w:noProof/>
        </w:rPr>
        <w:fldChar w:fldCharType="end"/>
      </w:r>
      <w:bookmarkEnd w:id="39"/>
      <w:r w:rsidRPr="000970A0">
        <w:t>: Key features distinguishing Tasmanian white gum wet forest from other forest types</w:t>
      </w:r>
    </w:p>
    <w:tbl>
      <w:tblPr>
        <w:tblStyle w:val="TableGrid"/>
        <w:tblW w:w="0" w:type="auto"/>
        <w:tblLayout w:type="fixed"/>
        <w:tblLook w:val="04A0" w:firstRow="1" w:lastRow="0" w:firstColumn="1" w:lastColumn="0" w:noHBand="0" w:noVBand="1"/>
      </w:tblPr>
      <w:tblGrid>
        <w:gridCol w:w="988"/>
        <w:gridCol w:w="2693"/>
        <w:gridCol w:w="5335"/>
      </w:tblGrid>
      <w:tr w:rsidR="000970A0" w:rsidRPr="000970A0" w14:paraId="562C36E2" w14:textId="77777777" w:rsidTr="004E34CB">
        <w:trPr>
          <w:cantSplit/>
          <w:tblHeader/>
        </w:trPr>
        <w:tc>
          <w:tcPr>
            <w:tcW w:w="988" w:type="dxa"/>
            <w:shd w:val="clear" w:color="auto" w:fill="D9D9D9" w:themeFill="background1" w:themeFillShade="D9"/>
          </w:tcPr>
          <w:p w14:paraId="32D964B7" w14:textId="77777777" w:rsidR="000970A0" w:rsidRPr="000970A0" w:rsidRDefault="000970A0" w:rsidP="004E34CB">
            <w:pPr>
              <w:pStyle w:val="Tabletext"/>
              <w:keepNext/>
              <w:rPr>
                <w:b/>
              </w:rPr>
            </w:pPr>
            <w:r w:rsidRPr="000970A0">
              <w:rPr>
                <w:b/>
              </w:rPr>
              <w:t>TasVeg Code</w:t>
            </w:r>
          </w:p>
        </w:tc>
        <w:tc>
          <w:tcPr>
            <w:tcW w:w="2693" w:type="dxa"/>
            <w:shd w:val="clear" w:color="auto" w:fill="D9D9D9" w:themeFill="background1" w:themeFillShade="D9"/>
          </w:tcPr>
          <w:p w14:paraId="58F97C6C" w14:textId="77777777" w:rsidR="000970A0" w:rsidRPr="000970A0" w:rsidRDefault="000970A0" w:rsidP="004E34CB">
            <w:pPr>
              <w:pStyle w:val="Tabletext"/>
              <w:keepNext/>
              <w:rPr>
                <w:b/>
              </w:rPr>
            </w:pPr>
            <w:r w:rsidRPr="000970A0">
              <w:rPr>
                <w:b/>
              </w:rPr>
              <w:t>Name</w:t>
            </w:r>
          </w:p>
        </w:tc>
        <w:tc>
          <w:tcPr>
            <w:tcW w:w="5335" w:type="dxa"/>
            <w:shd w:val="clear" w:color="auto" w:fill="D9D9D9" w:themeFill="background1" w:themeFillShade="D9"/>
          </w:tcPr>
          <w:p w14:paraId="7627210F" w14:textId="6F7016C9" w:rsidR="000970A0" w:rsidRPr="000970A0" w:rsidRDefault="00D77CC6" w:rsidP="004E34CB">
            <w:pPr>
              <w:pStyle w:val="Tabletext"/>
              <w:keepNext/>
              <w:rPr>
                <w:b/>
              </w:rPr>
            </w:pPr>
            <w:r>
              <w:rPr>
                <w:b/>
              </w:rPr>
              <w:t>Key d</w:t>
            </w:r>
            <w:r w:rsidR="000970A0" w:rsidRPr="000970A0">
              <w:rPr>
                <w:b/>
              </w:rPr>
              <w:t>istinguishing features</w:t>
            </w:r>
          </w:p>
        </w:tc>
      </w:tr>
      <w:tr w:rsidR="000970A0" w:rsidRPr="000970A0" w14:paraId="7FC85D27" w14:textId="77777777" w:rsidTr="002C671C">
        <w:trPr>
          <w:cantSplit/>
        </w:trPr>
        <w:tc>
          <w:tcPr>
            <w:tcW w:w="9016" w:type="dxa"/>
            <w:gridSpan w:val="3"/>
            <w:shd w:val="clear" w:color="auto" w:fill="D9D9D9" w:themeFill="background1" w:themeFillShade="D9"/>
          </w:tcPr>
          <w:p w14:paraId="79424E72" w14:textId="77777777" w:rsidR="000970A0" w:rsidRPr="000970A0" w:rsidRDefault="000970A0" w:rsidP="004E34CB">
            <w:pPr>
              <w:pStyle w:val="Tabletext"/>
              <w:keepNext/>
              <w:rPr>
                <w:b/>
              </w:rPr>
            </w:pPr>
            <w:r w:rsidRPr="000970A0">
              <w:rPr>
                <w:b/>
              </w:rPr>
              <w:t>The ecological community</w:t>
            </w:r>
          </w:p>
        </w:tc>
      </w:tr>
      <w:tr w:rsidR="000970A0" w:rsidRPr="000970A0" w14:paraId="24FC9DD0" w14:textId="77777777" w:rsidTr="004E34CB">
        <w:trPr>
          <w:cantSplit/>
        </w:trPr>
        <w:tc>
          <w:tcPr>
            <w:tcW w:w="988" w:type="dxa"/>
          </w:tcPr>
          <w:p w14:paraId="44AA972E" w14:textId="77777777" w:rsidR="000970A0" w:rsidRPr="000970A0" w:rsidRDefault="000970A0" w:rsidP="000970A0">
            <w:pPr>
              <w:pStyle w:val="Tabletext"/>
              <w:rPr>
                <w:i/>
              </w:rPr>
            </w:pPr>
            <w:r w:rsidRPr="000970A0">
              <w:rPr>
                <w:i/>
              </w:rPr>
              <w:t>WVI</w:t>
            </w:r>
          </w:p>
        </w:tc>
        <w:tc>
          <w:tcPr>
            <w:tcW w:w="2693" w:type="dxa"/>
          </w:tcPr>
          <w:p w14:paraId="5F769CD8" w14:textId="77777777" w:rsidR="000970A0" w:rsidRPr="000970A0" w:rsidRDefault="000970A0" w:rsidP="000970A0">
            <w:pPr>
              <w:pStyle w:val="Tabletext"/>
              <w:rPr>
                <w:i/>
              </w:rPr>
            </w:pPr>
            <w:r w:rsidRPr="000970A0">
              <w:rPr>
                <w:i/>
              </w:rPr>
              <w:t xml:space="preserve">Eucalyptus viminalis </w:t>
            </w:r>
            <w:r w:rsidRPr="000970A0">
              <w:t>wet forest</w:t>
            </w:r>
          </w:p>
        </w:tc>
        <w:tc>
          <w:tcPr>
            <w:tcW w:w="5335" w:type="dxa"/>
          </w:tcPr>
          <w:p w14:paraId="646C0234" w14:textId="77777777" w:rsidR="000970A0" w:rsidRPr="000970A0" w:rsidRDefault="000970A0" w:rsidP="00A47F50">
            <w:pPr>
              <w:pStyle w:val="Tabletext"/>
              <w:numPr>
                <w:ilvl w:val="0"/>
                <w:numId w:val="24"/>
              </w:numPr>
              <w:ind w:left="176" w:hanging="142"/>
            </w:pPr>
            <w:r w:rsidRPr="000970A0">
              <w:t>Does not occur on King Island or the Furneaux islands</w:t>
            </w:r>
          </w:p>
          <w:p w14:paraId="1E9D68C6" w14:textId="77777777" w:rsidR="000970A0" w:rsidRPr="000970A0" w:rsidRDefault="000970A0" w:rsidP="00A47F50">
            <w:pPr>
              <w:pStyle w:val="Tabletext"/>
              <w:numPr>
                <w:ilvl w:val="0"/>
                <w:numId w:val="23"/>
              </w:numPr>
              <w:ind w:left="176" w:hanging="142"/>
            </w:pPr>
            <w:r w:rsidRPr="000970A0">
              <w:t xml:space="preserve">Canopy dominated by </w:t>
            </w:r>
            <w:r w:rsidRPr="000970A0">
              <w:rPr>
                <w:i/>
              </w:rPr>
              <w:t xml:space="preserve">E. viminalis; E. obliqua, E. delegatensis </w:t>
            </w:r>
            <w:r w:rsidRPr="000970A0">
              <w:t>or</w:t>
            </w:r>
            <w:r w:rsidRPr="000970A0">
              <w:rPr>
                <w:i/>
              </w:rPr>
              <w:t xml:space="preserve"> E. regnans</w:t>
            </w:r>
            <w:r w:rsidRPr="000970A0">
              <w:t xml:space="preserve"> may be subdominant</w:t>
            </w:r>
          </w:p>
          <w:p w14:paraId="17C92C47" w14:textId="77777777" w:rsidR="000970A0" w:rsidRPr="000970A0" w:rsidRDefault="000970A0" w:rsidP="00A47F50">
            <w:pPr>
              <w:pStyle w:val="Tabletext"/>
              <w:numPr>
                <w:ilvl w:val="0"/>
                <w:numId w:val="23"/>
              </w:numPr>
              <w:ind w:left="176" w:hanging="142"/>
            </w:pPr>
            <w:r w:rsidRPr="000970A0">
              <w:t>Canopy tall (&gt;40 m)</w:t>
            </w:r>
          </w:p>
          <w:p w14:paraId="1BB46A0D" w14:textId="77777777" w:rsidR="000970A0" w:rsidRPr="000970A0" w:rsidRDefault="000970A0" w:rsidP="00A47F50">
            <w:pPr>
              <w:pStyle w:val="Tabletext"/>
              <w:numPr>
                <w:ilvl w:val="0"/>
                <w:numId w:val="23"/>
              </w:numPr>
              <w:ind w:left="176" w:hanging="142"/>
            </w:pPr>
            <w:r w:rsidRPr="000970A0">
              <w:t>Understorey mostly rainforest or broad-leaved trees or large shrubs, or ferns and/or graminoids</w:t>
            </w:r>
          </w:p>
          <w:p w14:paraId="7355286C" w14:textId="77777777" w:rsidR="000970A0" w:rsidRPr="000970A0" w:rsidRDefault="000970A0" w:rsidP="00A47F50">
            <w:pPr>
              <w:pStyle w:val="Tabletext"/>
              <w:numPr>
                <w:ilvl w:val="0"/>
                <w:numId w:val="23"/>
              </w:numPr>
              <w:ind w:left="176" w:hanging="142"/>
              <w:rPr>
                <w:i/>
              </w:rPr>
            </w:pPr>
            <w:r w:rsidRPr="000970A0">
              <w:t>Equivalent to the ecological community</w:t>
            </w:r>
          </w:p>
        </w:tc>
      </w:tr>
      <w:tr w:rsidR="000970A0" w:rsidRPr="000970A0" w14:paraId="2E2FAD14" w14:textId="77777777" w:rsidTr="002C671C">
        <w:trPr>
          <w:cantSplit/>
        </w:trPr>
        <w:tc>
          <w:tcPr>
            <w:tcW w:w="9016" w:type="dxa"/>
            <w:gridSpan w:val="3"/>
            <w:shd w:val="clear" w:color="auto" w:fill="D9D9D9" w:themeFill="background1" w:themeFillShade="D9"/>
          </w:tcPr>
          <w:p w14:paraId="0A3F01AB" w14:textId="77777777" w:rsidR="000970A0" w:rsidRPr="000970A0" w:rsidRDefault="000970A0" w:rsidP="000970A0">
            <w:pPr>
              <w:pStyle w:val="Tabletext"/>
              <w:rPr>
                <w:b/>
              </w:rPr>
            </w:pPr>
            <w:r w:rsidRPr="000970A0">
              <w:rPr>
                <w:b/>
              </w:rPr>
              <w:t>Other forest types that contains patches of the ecological community</w:t>
            </w:r>
          </w:p>
        </w:tc>
      </w:tr>
      <w:tr w:rsidR="000970A0" w:rsidRPr="000970A0" w14:paraId="073DF056" w14:textId="77777777" w:rsidTr="004E34CB">
        <w:trPr>
          <w:cantSplit/>
        </w:trPr>
        <w:tc>
          <w:tcPr>
            <w:tcW w:w="988" w:type="dxa"/>
          </w:tcPr>
          <w:p w14:paraId="760F9554" w14:textId="77777777" w:rsidR="000970A0" w:rsidRPr="000970A0" w:rsidRDefault="000970A0" w:rsidP="000970A0">
            <w:pPr>
              <w:pStyle w:val="Tabletext"/>
            </w:pPr>
            <w:r w:rsidRPr="000970A0">
              <w:t>DVF</w:t>
            </w:r>
          </w:p>
        </w:tc>
        <w:tc>
          <w:tcPr>
            <w:tcW w:w="2693" w:type="dxa"/>
          </w:tcPr>
          <w:p w14:paraId="4EE0B924" w14:textId="77777777" w:rsidR="000970A0" w:rsidRPr="000970A0" w:rsidRDefault="000970A0" w:rsidP="000970A0">
            <w:pPr>
              <w:pStyle w:val="Tabletext"/>
            </w:pPr>
            <w:r w:rsidRPr="000970A0">
              <w:t xml:space="preserve">Furneaux </w:t>
            </w:r>
            <w:r w:rsidRPr="000970A0">
              <w:rPr>
                <w:i/>
              </w:rPr>
              <w:t xml:space="preserve">Eucalyptus viminalis </w:t>
            </w:r>
            <w:r w:rsidRPr="000970A0">
              <w:t>forest and woodland</w:t>
            </w:r>
          </w:p>
        </w:tc>
        <w:tc>
          <w:tcPr>
            <w:tcW w:w="5335" w:type="dxa"/>
          </w:tcPr>
          <w:p w14:paraId="1E2B7D36" w14:textId="77777777" w:rsidR="000970A0" w:rsidRPr="000970A0" w:rsidRDefault="000970A0" w:rsidP="00A47F50">
            <w:pPr>
              <w:pStyle w:val="Tabletext"/>
              <w:numPr>
                <w:ilvl w:val="0"/>
                <w:numId w:val="24"/>
              </w:numPr>
              <w:ind w:left="176" w:hanging="142"/>
            </w:pPr>
            <w:r w:rsidRPr="000970A0">
              <w:t>Only occurs on Furneaux Islands</w:t>
            </w:r>
          </w:p>
          <w:p w14:paraId="056F4003" w14:textId="77777777" w:rsidR="000970A0" w:rsidRPr="000970A0" w:rsidRDefault="000970A0" w:rsidP="00A47F50">
            <w:pPr>
              <w:pStyle w:val="Tabletext"/>
              <w:numPr>
                <w:ilvl w:val="0"/>
                <w:numId w:val="24"/>
              </w:numPr>
              <w:ind w:left="176" w:hanging="142"/>
            </w:pPr>
            <w:r w:rsidRPr="000970A0">
              <w:t xml:space="preserve">Includes all types of </w:t>
            </w:r>
            <w:r w:rsidRPr="000970A0">
              <w:rPr>
                <w:i/>
              </w:rPr>
              <w:t>E. viminalis</w:t>
            </w:r>
            <w:r w:rsidRPr="000970A0">
              <w:t xml:space="preserve"> dominated forest and woodland in the Furneaux Group</w:t>
            </w:r>
          </w:p>
          <w:p w14:paraId="17F759D5" w14:textId="77777777" w:rsidR="000970A0" w:rsidRPr="000970A0" w:rsidRDefault="000970A0" w:rsidP="00A47F50">
            <w:pPr>
              <w:pStyle w:val="Tabletext"/>
              <w:numPr>
                <w:ilvl w:val="0"/>
                <w:numId w:val="24"/>
              </w:numPr>
              <w:ind w:left="176" w:hanging="142"/>
            </w:pPr>
            <w:r w:rsidRPr="000970A0">
              <w:t>Patches with a wet sclerophyll understorey may be included in the ecological community</w:t>
            </w:r>
          </w:p>
        </w:tc>
      </w:tr>
      <w:tr w:rsidR="000970A0" w:rsidRPr="000970A0" w14:paraId="599221C7" w14:textId="77777777" w:rsidTr="004E34CB">
        <w:trPr>
          <w:cantSplit/>
        </w:trPr>
        <w:tc>
          <w:tcPr>
            <w:tcW w:w="988" w:type="dxa"/>
          </w:tcPr>
          <w:p w14:paraId="6E39D04E" w14:textId="77777777" w:rsidR="000970A0" w:rsidRPr="000970A0" w:rsidRDefault="000970A0" w:rsidP="000970A0">
            <w:pPr>
              <w:pStyle w:val="Tabletext"/>
            </w:pPr>
            <w:r w:rsidRPr="000970A0">
              <w:t>DOV</w:t>
            </w:r>
          </w:p>
        </w:tc>
        <w:tc>
          <w:tcPr>
            <w:tcW w:w="2693" w:type="dxa"/>
          </w:tcPr>
          <w:p w14:paraId="3AF941F6" w14:textId="77777777" w:rsidR="000970A0" w:rsidRPr="000970A0" w:rsidRDefault="000970A0" w:rsidP="000970A0">
            <w:pPr>
              <w:pStyle w:val="Tabletext"/>
            </w:pPr>
            <w:r w:rsidRPr="000970A0">
              <w:rPr>
                <w:i/>
              </w:rPr>
              <w:t>Eucalyptus ovata</w:t>
            </w:r>
            <w:r w:rsidRPr="000970A0">
              <w:t xml:space="preserve"> forest and woodland</w:t>
            </w:r>
          </w:p>
        </w:tc>
        <w:tc>
          <w:tcPr>
            <w:tcW w:w="5335" w:type="dxa"/>
          </w:tcPr>
          <w:p w14:paraId="07645D80" w14:textId="77777777" w:rsidR="000970A0" w:rsidRPr="000970A0" w:rsidRDefault="000970A0" w:rsidP="00A47F50">
            <w:pPr>
              <w:pStyle w:val="Tabletext"/>
              <w:numPr>
                <w:ilvl w:val="0"/>
                <w:numId w:val="24"/>
              </w:numPr>
              <w:ind w:left="176" w:hanging="142"/>
            </w:pPr>
            <w:r w:rsidRPr="000970A0">
              <w:t xml:space="preserve">Typically dominated by </w:t>
            </w:r>
            <w:r w:rsidRPr="000970A0">
              <w:rPr>
                <w:i/>
              </w:rPr>
              <w:t>E. ovata</w:t>
            </w:r>
            <w:r w:rsidRPr="000970A0">
              <w:t xml:space="preserve">, but occasionally </w:t>
            </w:r>
            <w:r w:rsidRPr="000970A0">
              <w:rPr>
                <w:i/>
              </w:rPr>
              <w:t>E. viminalis</w:t>
            </w:r>
            <w:r w:rsidRPr="000970A0">
              <w:t xml:space="preserve"> on more well-drained sites</w:t>
            </w:r>
          </w:p>
          <w:p w14:paraId="3063B6E4" w14:textId="77777777" w:rsidR="000970A0" w:rsidRPr="000970A0" w:rsidRDefault="000970A0" w:rsidP="00A47F50">
            <w:pPr>
              <w:pStyle w:val="Tabletext"/>
              <w:numPr>
                <w:ilvl w:val="0"/>
                <w:numId w:val="24"/>
              </w:numPr>
              <w:ind w:left="176" w:hanging="142"/>
            </w:pPr>
            <w:r w:rsidRPr="000970A0">
              <w:t>Understorey is sedgy or scrubby and commonly dominated by tea-trees or paperbarks</w:t>
            </w:r>
          </w:p>
          <w:p w14:paraId="7C6C15ED" w14:textId="77777777" w:rsidR="000970A0" w:rsidRPr="000970A0" w:rsidRDefault="000970A0" w:rsidP="00A47F50">
            <w:pPr>
              <w:pStyle w:val="Tabletext"/>
              <w:numPr>
                <w:ilvl w:val="0"/>
                <w:numId w:val="24"/>
              </w:numPr>
              <w:ind w:left="176" w:hanging="142"/>
            </w:pPr>
            <w:r w:rsidRPr="000970A0">
              <w:t xml:space="preserve">Patches dominated by </w:t>
            </w:r>
            <w:r w:rsidRPr="000970A0">
              <w:rPr>
                <w:i/>
              </w:rPr>
              <w:t>E. viminalis</w:t>
            </w:r>
            <w:r w:rsidRPr="000970A0">
              <w:t xml:space="preserve"> may be included in the ecological community</w:t>
            </w:r>
          </w:p>
        </w:tc>
      </w:tr>
      <w:tr w:rsidR="000970A0" w:rsidRPr="000970A0" w14:paraId="399CC0B1" w14:textId="77777777" w:rsidTr="004E34CB">
        <w:trPr>
          <w:cantSplit/>
        </w:trPr>
        <w:tc>
          <w:tcPr>
            <w:tcW w:w="988" w:type="dxa"/>
          </w:tcPr>
          <w:p w14:paraId="5626B2B9" w14:textId="77777777" w:rsidR="000970A0" w:rsidRPr="000970A0" w:rsidRDefault="000970A0" w:rsidP="000970A0">
            <w:pPr>
              <w:pStyle w:val="Tabletext"/>
            </w:pPr>
            <w:r w:rsidRPr="000970A0">
              <w:t>DSC</w:t>
            </w:r>
          </w:p>
        </w:tc>
        <w:tc>
          <w:tcPr>
            <w:tcW w:w="2693" w:type="dxa"/>
          </w:tcPr>
          <w:p w14:paraId="25A33E79" w14:textId="77777777" w:rsidR="000970A0" w:rsidRPr="000970A0" w:rsidRDefault="000970A0" w:rsidP="000970A0">
            <w:pPr>
              <w:pStyle w:val="Tabletext"/>
            </w:pPr>
            <w:r w:rsidRPr="000970A0">
              <w:rPr>
                <w:i/>
                <w:lang w:val="es-CL"/>
              </w:rPr>
              <w:t xml:space="preserve">Eucalyptus amygdalina – Eucalyptus </w:t>
            </w:r>
            <w:r w:rsidRPr="000970A0">
              <w:rPr>
                <w:i/>
              </w:rPr>
              <w:t>obliqua</w:t>
            </w:r>
            <w:r w:rsidRPr="000970A0">
              <w:t xml:space="preserve"> damp sclerophyll forest</w:t>
            </w:r>
          </w:p>
        </w:tc>
        <w:tc>
          <w:tcPr>
            <w:tcW w:w="5335" w:type="dxa"/>
          </w:tcPr>
          <w:p w14:paraId="02A06494" w14:textId="77777777" w:rsidR="000970A0" w:rsidRPr="000970A0" w:rsidRDefault="000970A0" w:rsidP="00A47F50">
            <w:pPr>
              <w:pStyle w:val="Tabletext"/>
              <w:numPr>
                <w:ilvl w:val="0"/>
                <w:numId w:val="24"/>
              </w:numPr>
              <w:ind w:left="176" w:hanging="142"/>
            </w:pPr>
            <w:r w:rsidRPr="000970A0">
              <w:rPr>
                <w:i/>
              </w:rPr>
              <w:t>E. amygdalina, E. obliqua, E. ovata</w:t>
            </w:r>
            <w:r w:rsidRPr="000970A0">
              <w:t xml:space="preserve"> and </w:t>
            </w:r>
            <w:r w:rsidRPr="000970A0">
              <w:rPr>
                <w:i/>
              </w:rPr>
              <w:t>E. viminalis</w:t>
            </w:r>
            <w:r w:rsidRPr="000970A0">
              <w:t xml:space="preserve"> common in the canopy, but no clear dominant eucalypt species</w:t>
            </w:r>
          </w:p>
          <w:p w14:paraId="5E3F3337" w14:textId="77777777" w:rsidR="000970A0" w:rsidRPr="000970A0" w:rsidRDefault="000970A0" w:rsidP="00A47F50">
            <w:pPr>
              <w:pStyle w:val="Tabletext"/>
              <w:numPr>
                <w:ilvl w:val="0"/>
                <w:numId w:val="24"/>
              </w:numPr>
              <w:ind w:left="176" w:hanging="142"/>
            </w:pPr>
            <w:r w:rsidRPr="000970A0">
              <w:t xml:space="preserve">Depending on the mapping scale, patches of DSC may contain areas clearly dominated by </w:t>
            </w:r>
            <w:r w:rsidRPr="000970A0">
              <w:rPr>
                <w:i/>
              </w:rPr>
              <w:t>E. viminalis</w:t>
            </w:r>
            <w:r w:rsidRPr="000970A0">
              <w:t xml:space="preserve"> that may be included in the ecological community when mapped at a finer scale.</w:t>
            </w:r>
          </w:p>
        </w:tc>
      </w:tr>
      <w:tr w:rsidR="000970A0" w:rsidRPr="000970A0" w14:paraId="0381B8A3" w14:textId="77777777" w:rsidTr="002C671C">
        <w:trPr>
          <w:cantSplit/>
        </w:trPr>
        <w:tc>
          <w:tcPr>
            <w:tcW w:w="9016" w:type="dxa"/>
            <w:gridSpan w:val="3"/>
            <w:shd w:val="clear" w:color="auto" w:fill="D9D9D9" w:themeFill="background1" w:themeFillShade="D9"/>
          </w:tcPr>
          <w:p w14:paraId="4D990C82" w14:textId="77777777" w:rsidR="000970A0" w:rsidRPr="000970A0" w:rsidRDefault="000970A0" w:rsidP="000970A0">
            <w:pPr>
              <w:pStyle w:val="Tabletext"/>
              <w:rPr>
                <w:b/>
              </w:rPr>
            </w:pPr>
            <w:r w:rsidRPr="000970A0">
              <w:rPr>
                <w:b/>
              </w:rPr>
              <w:t xml:space="preserve">Other wet eucalypt forests with significant </w:t>
            </w:r>
            <w:r w:rsidRPr="000970A0">
              <w:rPr>
                <w:b/>
                <w:i/>
              </w:rPr>
              <w:t>Eucalyptus viminalis</w:t>
            </w:r>
            <w:r w:rsidRPr="000970A0">
              <w:rPr>
                <w:b/>
              </w:rPr>
              <w:t xml:space="preserve"> in the canopy</w:t>
            </w:r>
          </w:p>
        </w:tc>
      </w:tr>
      <w:tr w:rsidR="000970A0" w:rsidRPr="000970A0" w14:paraId="0B88ACD9" w14:textId="77777777" w:rsidTr="004E34CB">
        <w:trPr>
          <w:cantSplit/>
        </w:trPr>
        <w:tc>
          <w:tcPr>
            <w:tcW w:w="988" w:type="dxa"/>
          </w:tcPr>
          <w:p w14:paraId="2294FDCA" w14:textId="77777777" w:rsidR="000970A0" w:rsidRPr="000970A0" w:rsidRDefault="000970A0" w:rsidP="000970A0">
            <w:pPr>
              <w:pStyle w:val="Tabletext"/>
            </w:pPr>
            <w:r w:rsidRPr="000970A0">
              <w:t>WOB</w:t>
            </w:r>
          </w:p>
        </w:tc>
        <w:tc>
          <w:tcPr>
            <w:tcW w:w="2693" w:type="dxa"/>
          </w:tcPr>
          <w:p w14:paraId="48D8E72E" w14:textId="77777777" w:rsidR="000970A0" w:rsidRPr="000970A0" w:rsidRDefault="000970A0" w:rsidP="000970A0">
            <w:pPr>
              <w:pStyle w:val="Tabletext"/>
            </w:pPr>
            <w:r w:rsidRPr="000970A0">
              <w:rPr>
                <w:i/>
              </w:rPr>
              <w:t>Eucalyptus obliqua</w:t>
            </w:r>
            <w:r w:rsidRPr="000970A0">
              <w:t xml:space="preserve"> forest with broadleaf shrubs</w:t>
            </w:r>
          </w:p>
        </w:tc>
        <w:tc>
          <w:tcPr>
            <w:tcW w:w="5335" w:type="dxa"/>
          </w:tcPr>
          <w:p w14:paraId="44299D69" w14:textId="77777777" w:rsidR="000970A0" w:rsidRPr="000970A0" w:rsidRDefault="000970A0" w:rsidP="00A47F50">
            <w:pPr>
              <w:pStyle w:val="Tabletext"/>
              <w:numPr>
                <w:ilvl w:val="0"/>
                <w:numId w:val="24"/>
              </w:numPr>
              <w:ind w:left="176" w:hanging="142"/>
            </w:pPr>
            <w:r w:rsidRPr="000970A0">
              <w:t xml:space="preserve">Canopy dominated by </w:t>
            </w:r>
            <w:r w:rsidRPr="000970A0">
              <w:rPr>
                <w:i/>
              </w:rPr>
              <w:t>E. obliqua</w:t>
            </w:r>
            <w:r w:rsidRPr="000970A0">
              <w:t xml:space="preserve">; </w:t>
            </w:r>
            <w:r w:rsidRPr="000970A0">
              <w:rPr>
                <w:i/>
              </w:rPr>
              <w:t>E. viminalis</w:t>
            </w:r>
            <w:r w:rsidRPr="000970A0">
              <w:t xml:space="preserve"> may be co-dominant but not dominant in the canopy</w:t>
            </w:r>
          </w:p>
        </w:tc>
      </w:tr>
      <w:tr w:rsidR="000970A0" w:rsidRPr="000970A0" w14:paraId="4A9121C5" w14:textId="77777777" w:rsidTr="004E34CB">
        <w:trPr>
          <w:cantSplit/>
        </w:trPr>
        <w:tc>
          <w:tcPr>
            <w:tcW w:w="988" w:type="dxa"/>
          </w:tcPr>
          <w:p w14:paraId="155BC34C" w14:textId="77777777" w:rsidR="000970A0" w:rsidRPr="000970A0" w:rsidRDefault="000970A0" w:rsidP="000970A0">
            <w:pPr>
              <w:pStyle w:val="Tabletext"/>
            </w:pPr>
            <w:r w:rsidRPr="000970A0">
              <w:t>WDB</w:t>
            </w:r>
          </w:p>
        </w:tc>
        <w:tc>
          <w:tcPr>
            <w:tcW w:w="2693" w:type="dxa"/>
          </w:tcPr>
          <w:p w14:paraId="7C5FF281" w14:textId="77777777" w:rsidR="000970A0" w:rsidRPr="000970A0" w:rsidRDefault="000970A0" w:rsidP="000970A0">
            <w:pPr>
              <w:pStyle w:val="Tabletext"/>
            </w:pPr>
            <w:r w:rsidRPr="000970A0">
              <w:rPr>
                <w:i/>
              </w:rPr>
              <w:t>Eucalyptus delegatensis</w:t>
            </w:r>
            <w:r w:rsidRPr="000970A0">
              <w:t xml:space="preserve"> forest with broadleaf shrubs</w:t>
            </w:r>
          </w:p>
        </w:tc>
        <w:tc>
          <w:tcPr>
            <w:tcW w:w="5335" w:type="dxa"/>
          </w:tcPr>
          <w:p w14:paraId="07E72C0A" w14:textId="77777777" w:rsidR="000970A0" w:rsidRPr="000970A0" w:rsidRDefault="000970A0" w:rsidP="00A47F50">
            <w:pPr>
              <w:pStyle w:val="Tabletext"/>
              <w:numPr>
                <w:ilvl w:val="0"/>
                <w:numId w:val="24"/>
              </w:numPr>
              <w:ind w:left="176" w:hanging="142"/>
            </w:pPr>
            <w:r w:rsidRPr="000970A0">
              <w:t xml:space="preserve">Canopy dominated by </w:t>
            </w:r>
            <w:r w:rsidRPr="000970A0">
              <w:rPr>
                <w:i/>
              </w:rPr>
              <w:t>E. delegatensis;</w:t>
            </w:r>
            <w:r w:rsidRPr="000970A0">
              <w:t xml:space="preserve"> </w:t>
            </w:r>
            <w:r w:rsidRPr="000970A0">
              <w:rPr>
                <w:i/>
              </w:rPr>
              <w:t>E. viminalis</w:t>
            </w:r>
            <w:r w:rsidRPr="000970A0">
              <w:t xml:space="preserve"> may be sub-dominant, but not dominant in the canopy.</w:t>
            </w:r>
          </w:p>
        </w:tc>
      </w:tr>
      <w:tr w:rsidR="000970A0" w:rsidRPr="000970A0" w14:paraId="607A48E0" w14:textId="77777777" w:rsidTr="004E34CB">
        <w:trPr>
          <w:cantSplit/>
        </w:trPr>
        <w:tc>
          <w:tcPr>
            <w:tcW w:w="988" w:type="dxa"/>
          </w:tcPr>
          <w:p w14:paraId="3CC96DDD" w14:textId="77777777" w:rsidR="000970A0" w:rsidRPr="000970A0" w:rsidRDefault="000970A0" w:rsidP="000970A0">
            <w:pPr>
              <w:pStyle w:val="Tabletext"/>
            </w:pPr>
            <w:r w:rsidRPr="000970A0">
              <w:t>WGK</w:t>
            </w:r>
          </w:p>
        </w:tc>
        <w:tc>
          <w:tcPr>
            <w:tcW w:w="2693" w:type="dxa"/>
          </w:tcPr>
          <w:p w14:paraId="16889553" w14:textId="77777777" w:rsidR="000970A0" w:rsidRPr="000970A0" w:rsidRDefault="000970A0" w:rsidP="000970A0">
            <w:pPr>
              <w:pStyle w:val="Tabletext"/>
            </w:pPr>
            <w:r w:rsidRPr="000970A0">
              <w:rPr>
                <w:i/>
              </w:rPr>
              <w:t>Eucalyptus globulus</w:t>
            </w:r>
            <w:r w:rsidRPr="000970A0">
              <w:t xml:space="preserve"> King Island Forest</w:t>
            </w:r>
          </w:p>
        </w:tc>
        <w:tc>
          <w:tcPr>
            <w:tcW w:w="5335" w:type="dxa"/>
          </w:tcPr>
          <w:p w14:paraId="10D5430F" w14:textId="77777777" w:rsidR="000970A0" w:rsidRPr="000970A0" w:rsidRDefault="000970A0" w:rsidP="00A47F50">
            <w:pPr>
              <w:pStyle w:val="Tabletext"/>
              <w:numPr>
                <w:ilvl w:val="0"/>
                <w:numId w:val="24"/>
              </w:numPr>
              <w:ind w:left="176" w:hanging="142"/>
            </w:pPr>
            <w:r w:rsidRPr="000970A0">
              <w:t>Only occurs on King Island</w:t>
            </w:r>
          </w:p>
        </w:tc>
      </w:tr>
      <w:tr w:rsidR="000970A0" w:rsidRPr="000970A0" w14:paraId="735AC8B9" w14:textId="77777777" w:rsidTr="004E34CB">
        <w:trPr>
          <w:cantSplit/>
        </w:trPr>
        <w:tc>
          <w:tcPr>
            <w:tcW w:w="988" w:type="dxa"/>
          </w:tcPr>
          <w:p w14:paraId="4E4A9C94" w14:textId="77777777" w:rsidR="000970A0" w:rsidRPr="000970A0" w:rsidRDefault="000970A0" w:rsidP="000970A0">
            <w:pPr>
              <w:pStyle w:val="Tabletext"/>
            </w:pPr>
            <w:r w:rsidRPr="000970A0">
              <w:t>WDA</w:t>
            </w:r>
          </w:p>
        </w:tc>
        <w:tc>
          <w:tcPr>
            <w:tcW w:w="2693" w:type="dxa"/>
          </w:tcPr>
          <w:p w14:paraId="1F65C67D" w14:textId="77777777" w:rsidR="000970A0" w:rsidRPr="000970A0" w:rsidRDefault="000970A0" w:rsidP="000970A0">
            <w:pPr>
              <w:pStyle w:val="Tabletext"/>
              <w:rPr>
                <w:i/>
              </w:rPr>
            </w:pPr>
            <w:r w:rsidRPr="000970A0">
              <w:rPr>
                <w:bCs/>
                <w:i/>
                <w:iCs/>
              </w:rPr>
              <w:t xml:space="preserve">Eucalyptus dalrympleana </w:t>
            </w:r>
            <w:r w:rsidRPr="000970A0">
              <w:rPr>
                <w:bCs/>
              </w:rPr>
              <w:t>forest</w:t>
            </w:r>
          </w:p>
        </w:tc>
        <w:tc>
          <w:tcPr>
            <w:tcW w:w="5335" w:type="dxa"/>
          </w:tcPr>
          <w:p w14:paraId="1E7C7265" w14:textId="77777777" w:rsidR="000970A0" w:rsidRPr="000970A0" w:rsidRDefault="000970A0" w:rsidP="00A47F50">
            <w:pPr>
              <w:pStyle w:val="Tabletext"/>
              <w:numPr>
                <w:ilvl w:val="0"/>
                <w:numId w:val="24"/>
              </w:numPr>
              <w:ind w:left="176" w:hanging="142"/>
            </w:pPr>
            <w:r w:rsidRPr="000970A0">
              <w:t xml:space="preserve">Canopy dominated by </w:t>
            </w:r>
            <w:r w:rsidRPr="000970A0">
              <w:rPr>
                <w:i/>
              </w:rPr>
              <w:t>E. dalrympleana</w:t>
            </w:r>
            <w:r w:rsidRPr="000970A0">
              <w:t xml:space="preserve">, usually with </w:t>
            </w:r>
            <w:r w:rsidRPr="000970A0">
              <w:rPr>
                <w:i/>
              </w:rPr>
              <w:t>E. delegatensis</w:t>
            </w:r>
            <w:r w:rsidRPr="000970A0">
              <w:t xml:space="preserve"> subdominant</w:t>
            </w:r>
          </w:p>
          <w:p w14:paraId="273D3D06" w14:textId="77777777" w:rsidR="000970A0" w:rsidRPr="000970A0" w:rsidRDefault="000970A0" w:rsidP="00A47F50">
            <w:pPr>
              <w:pStyle w:val="Tabletext"/>
              <w:numPr>
                <w:ilvl w:val="0"/>
                <w:numId w:val="24"/>
              </w:numPr>
              <w:ind w:left="176" w:hanging="142"/>
            </w:pPr>
            <w:r w:rsidRPr="000970A0">
              <w:rPr>
                <w:i/>
              </w:rPr>
              <w:t>E. dalrympleana</w:t>
            </w:r>
            <w:r w:rsidRPr="000970A0">
              <w:t xml:space="preserve"> grades into </w:t>
            </w:r>
            <w:r w:rsidRPr="000970A0">
              <w:rPr>
                <w:i/>
              </w:rPr>
              <w:t>E. viminalis</w:t>
            </w:r>
            <w:r w:rsidRPr="000970A0">
              <w:t xml:space="preserve"> and may be difficult to differentiate the species. In the absence of clear distinguishing characteristics (typically juvenile leaves), these species should be treated as </w:t>
            </w:r>
            <w:r w:rsidRPr="000970A0">
              <w:rPr>
                <w:i/>
              </w:rPr>
              <w:t>E. viminalis</w:t>
            </w:r>
            <w:r w:rsidRPr="000970A0">
              <w:t xml:space="preserve"> below 600 m ASL, and </w:t>
            </w:r>
            <w:r w:rsidRPr="000970A0">
              <w:rPr>
                <w:i/>
              </w:rPr>
              <w:t>E. dalrympleana</w:t>
            </w:r>
            <w:r w:rsidRPr="000970A0">
              <w:t xml:space="preserve"> above this altitude</w:t>
            </w:r>
          </w:p>
        </w:tc>
      </w:tr>
      <w:tr w:rsidR="000970A0" w:rsidRPr="000970A0" w14:paraId="516CEBFF" w14:textId="77777777" w:rsidTr="002C671C">
        <w:trPr>
          <w:cantSplit/>
        </w:trPr>
        <w:tc>
          <w:tcPr>
            <w:tcW w:w="9016" w:type="dxa"/>
            <w:gridSpan w:val="3"/>
            <w:shd w:val="clear" w:color="auto" w:fill="D9D9D9" w:themeFill="background1" w:themeFillShade="D9"/>
          </w:tcPr>
          <w:p w14:paraId="7CD34E39" w14:textId="77777777" w:rsidR="000970A0" w:rsidRPr="000970A0" w:rsidRDefault="000970A0" w:rsidP="004E34CB">
            <w:pPr>
              <w:pStyle w:val="Tabletext"/>
              <w:keepNext/>
              <w:rPr>
                <w:b/>
              </w:rPr>
            </w:pPr>
            <w:r w:rsidRPr="000970A0">
              <w:rPr>
                <w:b/>
              </w:rPr>
              <w:lastRenderedPageBreak/>
              <w:t xml:space="preserve">Dry eucalypt forests with significant </w:t>
            </w:r>
            <w:r w:rsidRPr="000970A0">
              <w:rPr>
                <w:b/>
                <w:i/>
              </w:rPr>
              <w:t>Eucalyptus viminalis</w:t>
            </w:r>
            <w:r w:rsidRPr="000970A0">
              <w:rPr>
                <w:b/>
              </w:rPr>
              <w:t xml:space="preserve"> in the canopy</w:t>
            </w:r>
          </w:p>
        </w:tc>
      </w:tr>
      <w:tr w:rsidR="000970A0" w:rsidRPr="000970A0" w14:paraId="46EB404B" w14:textId="77777777" w:rsidTr="004E34CB">
        <w:trPr>
          <w:cantSplit/>
        </w:trPr>
        <w:tc>
          <w:tcPr>
            <w:tcW w:w="988" w:type="dxa"/>
          </w:tcPr>
          <w:p w14:paraId="5AA68940" w14:textId="77777777" w:rsidR="000970A0" w:rsidRPr="000970A0" w:rsidRDefault="000970A0" w:rsidP="004E34CB">
            <w:pPr>
              <w:pStyle w:val="Tabletext"/>
              <w:keepNext/>
            </w:pPr>
            <w:r w:rsidRPr="000970A0">
              <w:t>DVG</w:t>
            </w:r>
          </w:p>
        </w:tc>
        <w:tc>
          <w:tcPr>
            <w:tcW w:w="2693" w:type="dxa"/>
          </w:tcPr>
          <w:p w14:paraId="41EC4081" w14:textId="77777777" w:rsidR="000970A0" w:rsidRPr="000970A0" w:rsidRDefault="000970A0" w:rsidP="004E34CB">
            <w:pPr>
              <w:pStyle w:val="Tabletext"/>
              <w:keepNext/>
            </w:pPr>
            <w:r w:rsidRPr="000970A0">
              <w:rPr>
                <w:i/>
              </w:rPr>
              <w:t xml:space="preserve">Eucalyptus viminalis </w:t>
            </w:r>
            <w:r w:rsidRPr="000970A0">
              <w:t>grassy forest and woodland</w:t>
            </w:r>
          </w:p>
        </w:tc>
        <w:tc>
          <w:tcPr>
            <w:tcW w:w="5335" w:type="dxa"/>
          </w:tcPr>
          <w:p w14:paraId="1F73700E" w14:textId="77777777" w:rsidR="000970A0" w:rsidRPr="000970A0" w:rsidRDefault="000970A0" w:rsidP="004E34CB">
            <w:pPr>
              <w:pStyle w:val="Tabletext"/>
              <w:keepNext/>
              <w:numPr>
                <w:ilvl w:val="0"/>
                <w:numId w:val="24"/>
              </w:numPr>
              <w:ind w:left="176" w:hanging="142"/>
            </w:pPr>
            <w:r w:rsidRPr="000970A0">
              <w:t xml:space="preserve">Canopy dominated by </w:t>
            </w:r>
            <w:r w:rsidRPr="000970A0">
              <w:rPr>
                <w:i/>
              </w:rPr>
              <w:t>E. viminalis</w:t>
            </w:r>
            <w:r w:rsidRPr="000970A0">
              <w:t xml:space="preserve">. </w:t>
            </w:r>
          </w:p>
          <w:p w14:paraId="2A9E7EBC" w14:textId="77777777" w:rsidR="000970A0" w:rsidRPr="000970A0" w:rsidRDefault="000970A0" w:rsidP="004E34CB">
            <w:pPr>
              <w:pStyle w:val="Tabletext"/>
              <w:keepNext/>
              <w:numPr>
                <w:ilvl w:val="0"/>
                <w:numId w:val="24"/>
              </w:numPr>
              <w:ind w:left="176" w:hanging="142"/>
            </w:pPr>
            <w:r w:rsidRPr="000970A0">
              <w:t>Canopy low to medium height (&lt;25m).</w:t>
            </w:r>
          </w:p>
          <w:p w14:paraId="1D70CE3C" w14:textId="77777777" w:rsidR="000970A0" w:rsidRPr="000970A0" w:rsidRDefault="000970A0" w:rsidP="004E34CB">
            <w:pPr>
              <w:pStyle w:val="Tabletext"/>
              <w:keepNext/>
              <w:numPr>
                <w:ilvl w:val="0"/>
                <w:numId w:val="24"/>
              </w:numPr>
              <w:ind w:left="176" w:hanging="142"/>
            </w:pPr>
            <w:r w:rsidRPr="000970A0">
              <w:t>Understorey grassy, few understorey trees or large shrubs.</w:t>
            </w:r>
          </w:p>
          <w:p w14:paraId="0BA4A8C5" w14:textId="77777777" w:rsidR="000970A0" w:rsidRPr="000970A0" w:rsidRDefault="000970A0" w:rsidP="004E34CB">
            <w:pPr>
              <w:pStyle w:val="Tabletext"/>
              <w:keepNext/>
              <w:numPr>
                <w:ilvl w:val="0"/>
                <w:numId w:val="24"/>
              </w:numPr>
              <w:ind w:left="176" w:hanging="142"/>
            </w:pPr>
            <w:r w:rsidRPr="000970A0">
              <w:t xml:space="preserve">Areas of the ecological community that are subject to frequent fires, may have an open understorey dominated by </w:t>
            </w:r>
            <w:r w:rsidRPr="000970A0">
              <w:rPr>
                <w:i/>
              </w:rPr>
              <w:t>Pteridium esculentum</w:t>
            </w:r>
            <w:r w:rsidRPr="000970A0">
              <w:t>, which could appear similar to DVG. However, the ecological community has a low abundance of grasses and generally tall and straight trees, which distinguish it from DVG.</w:t>
            </w:r>
          </w:p>
        </w:tc>
      </w:tr>
      <w:tr w:rsidR="000970A0" w:rsidRPr="000970A0" w14:paraId="7D8CE7C6" w14:textId="77777777" w:rsidTr="004E34CB">
        <w:trPr>
          <w:cantSplit/>
        </w:trPr>
        <w:tc>
          <w:tcPr>
            <w:tcW w:w="988" w:type="dxa"/>
          </w:tcPr>
          <w:p w14:paraId="4A0E55F6" w14:textId="77777777" w:rsidR="000970A0" w:rsidRPr="000970A0" w:rsidRDefault="000970A0" w:rsidP="000970A0">
            <w:pPr>
              <w:pStyle w:val="Tabletext"/>
            </w:pPr>
            <w:r w:rsidRPr="000970A0">
              <w:t>DVC</w:t>
            </w:r>
          </w:p>
        </w:tc>
        <w:tc>
          <w:tcPr>
            <w:tcW w:w="2693" w:type="dxa"/>
          </w:tcPr>
          <w:p w14:paraId="23049A9B" w14:textId="77777777" w:rsidR="000970A0" w:rsidRPr="000970A0" w:rsidRDefault="000970A0" w:rsidP="000970A0">
            <w:pPr>
              <w:pStyle w:val="Tabletext"/>
            </w:pPr>
            <w:r w:rsidRPr="000970A0">
              <w:rPr>
                <w:i/>
              </w:rPr>
              <w:t xml:space="preserve">Eucalyptus viminalis – E. globulus </w:t>
            </w:r>
            <w:r w:rsidRPr="000970A0">
              <w:t>coastal forest and woodland</w:t>
            </w:r>
          </w:p>
        </w:tc>
        <w:tc>
          <w:tcPr>
            <w:tcW w:w="5335" w:type="dxa"/>
          </w:tcPr>
          <w:p w14:paraId="02ABF6CB" w14:textId="77777777" w:rsidR="000970A0" w:rsidRPr="000970A0" w:rsidRDefault="000970A0" w:rsidP="00A47F50">
            <w:pPr>
              <w:pStyle w:val="Tabletext"/>
              <w:numPr>
                <w:ilvl w:val="0"/>
                <w:numId w:val="24"/>
              </w:numPr>
              <w:ind w:left="176" w:hanging="142"/>
            </w:pPr>
            <w:r w:rsidRPr="000970A0">
              <w:t xml:space="preserve">Canopy dominated by either </w:t>
            </w:r>
            <w:r w:rsidRPr="000970A0">
              <w:rPr>
                <w:i/>
              </w:rPr>
              <w:t>E. viminalis</w:t>
            </w:r>
            <w:r w:rsidRPr="000970A0">
              <w:t xml:space="preserve"> or </w:t>
            </w:r>
            <w:r w:rsidRPr="000970A0">
              <w:rPr>
                <w:i/>
              </w:rPr>
              <w:t>E. globulus</w:t>
            </w:r>
            <w:r w:rsidRPr="000970A0">
              <w:t xml:space="preserve">. </w:t>
            </w:r>
          </w:p>
          <w:p w14:paraId="1A276BFE" w14:textId="77777777" w:rsidR="000970A0" w:rsidRPr="000970A0" w:rsidRDefault="000970A0" w:rsidP="00A47F50">
            <w:pPr>
              <w:pStyle w:val="Tabletext"/>
              <w:numPr>
                <w:ilvl w:val="0"/>
                <w:numId w:val="24"/>
              </w:numPr>
              <w:ind w:left="176" w:hanging="142"/>
            </w:pPr>
            <w:r w:rsidRPr="000970A0">
              <w:t>Canopy low (&lt;20m).</w:t>
            </w:r>
          </w:p>
          <w:p w14:paraId="7566A320" w14:textId="77777777" w:rsidR="000970A0" w:rsidRPr="000970A0" w:rsidRDefault="000970A0" w:rsidP="00A47F50">
            <w:pPr>
              <w:pStyle w:val="Tabletext"/>
              <w:numPr>
                <w:ilvl w:val="0"/>
                <w:numId w:val="24"/>
              </w:numPr>
              <w:ind w:left="176" w:hanging="142"/>
            </w:pPr>
            <w:r w:rsidRPr="000970A0">
              <w:t>Understorey typically ground ferns, shrubs and sedges, few understorey trees or large shrubs.</w:t>
            </w:r>
          </w:p>
        </w:tc>
      </w:tr>
      <w:tr w:rsidR="000970A0" w:rsidRPr="000970A0" w14:paraId="7035D43D" w14:textId="77777777" w:rsidTr="004E34CB">
        <w:trPr>
          <w:cantSplit/>
        </w:trPr>
        <w:tc>
          <w:tcPr>
            <w:tcW w:w="988" w:type="dxa"/>
          </w:tcPr>
          <w:p w14:paraId="21A49F87" w14:textId="77777777" w:rsidR="000970A0" w:rsidRPr="000970A0" w:rsidRDefault="000970A0" w:rsidP="000970A0">
            <w:pPr>
              <w:pStyle w:val="Tabletext"/>
            </w:pPr>
            <w:r w:rsidRPr="000970A0">
              <w:t>DMW</w:t>
            </w:r>
          </w:p>
        </w:tc>
        <w:tc>
          <w:tcPr>
            <w:tcW w:w="2693" w:type="dxa"/>
          </w:tcPr>
          <w:p w14:paraId="4388B69D" w14:textId="77777777" w:rsidR="000970A0" w:rsidRPr="000970A0" w:rsidRDefault="000970A0" w:rsidP="000970A0">
            <w:pPr>
              <w:pStyle w:val="Tabletext"/>
            </w:pPr>
            <w:r w:rsidRPr="000970A0">
              <w:t>Midlands woodland complex</w:t>
            </w:r>
          </w:p>
        </w:tc>
        <w:tc>
          <w:tcPr>
            <w:tcW w:w="5335" w:type="dxa"/>
          </w:tcPr>
          <w:p w14:paraId="6ED28431" w14:textId="77777777" w:rsidR="000970A0" w:rsidRPr="000970A0" w:rsidRDefault="000970A0" w:rsidP="00A47F50">
            <w:pPr>
              <w:pStyle w:val="Tabletext"/>
              <w:numPr>
                <w:ilvl w:val="0"/>
                <w:numId w:val="24"/>
              </w:numPr>
              <w:ind w:left="176" w:hanging="142"/>
            </w:pPr>
            <w:r w:rsidRPr="000970A0">
              <w:t xml:space="preserve">Canopy may be dominated by </w:t>
            </w:r>
            <w:r w:rsidRPr="000970A0">
              <w:rPr>
                <w:i/>
              </w:rPr>
              <w:t>E. viminalis, E. ovata or E. pauciflora</w:t>
            </w:r>
            <w:r w:rsidRPr="000970A0">
              <w:t xml:space="preserve">. </w:t>
            </w:r>
          </w:p>
          <w:p w14:paraId="1D263FDE" w14:textId="77777777" w:rsidR="000970A0" w:rsidRPr="000970A0" w:rsidRDefault="000970A0" w:rsidP="00A47F50">
            <w:pPr>
              <w:pStyle w:val="Tabletext"/>
              <w:numPr>
                <w:ilvl w:val="0"/>
                <w:numId w:val="24"/>
              </w:numPr>
              <w:ind w:left="176" w:hanging="142"/>
            </w:pPr>
            <w:r w:rsidRPr="000970A0">
              <w:t>Canopy low to medium (&lt;25m) and sparse (&lt;20% cover).</w:t>
            </w:r>
          </w:p>
          <w:p w14:paraId="5F6CE90F" w14:textId="77777777" w:rsidR="000970A0" w:rsidRPr="000970A0" w:rsidRDefault="000970A0" w:rsidP="00A47F50">
            <w:pPr>
              <w:pStyle w:val="Tabletext"/>
              <w:numPr>
                <w:ilvl w:val="0"/>
                <w:numId w:val="24"/>
              </w:numPr>
              <w:ind w:left="176" w:hanging="142"/>
            </w:pPr>
            <w:r w:rsidRPr="000970A0">
              <w:t>Understorey grassy, few understorey trees or large shrubs.</w:t>
            </w:r>
          </w:p>
        </w:tc>
      </w:tr>
      <w:tr w:rsidR="000970A0" w:rsidRPr="000970A0" w14:paraId="0581821A" w14:textId="77777777" w:rsidTr="004E34CB">
        <w:trPr>
          <w:cantSplit/>
        </w:trPr>
        <w:tc>
          <w:tcPr>
            <w:tcW w:w="988" w:type="dxa"/>
          </w:tcPr>
          <w:p w14:paraId="5C1C28A9" w14:textId="77777777" w:rsidR="000970A0" w:rsidRPr="000970A0" w:rsidRDefault="000970A0" w:rsidP="000970A0">
            <w:pPr>
              <w:pStyle w:val="Tabletext"/>
            </w:pPr>
            <w:r w:rsidRPr="000970A0">
              <w:t>DKW</w:t>
            </w:r>
          </w:p>
        </w:tc>
        <w:tc>
          <w:tcPr>
            <w:tcW w:w="2693" w:type="dxa"/>
          </w:tcPr>
          <w:p w14:paraId="3F50C904" w14:textId="77777777" w:rsidR="000970A0" w:rsidRPr="000970A0" w:rsidRDefault="000970A0" w:rsidP="000970A0">
            <w:pPr>
              <w:pStyle w:val="Tabletext"/>
            </w:pPr>
            <w:r w:rsidRPr="000970A0">
              <w:t>King Island eucalypt woodland</w:t>
            </w:r>
          </w:p>
        </w:tc>
        <w:tc>
          <w:tcPr>
            <w:tcW w:w="5335" w:type="dxa"/>
          </w:tcPr>
          <w:p w14:paraId="193C6E54" w14:textId="77777777" w:rsidR="000970A0" w:rsidRPr="000970A0" w:rsidRDefault="000970A0" w:rsidP="00A47F50">
            <w:pPr>
              <w:pStyle w:val="Tabletext"/>
              <w:numPr>
                <w:ilvl w:val="0"/>
                <w:numId w:val="24"/>
              </w:numPr>
              <w:ind w:left="176" w:hanging="142"/>
            </w:pPr>
            <w:r w:rsidRPr="000970A0">
              <w:t>Only occurs on King Island</w:t>
            </w:r>
          </w:p>
          <w:p w14:paraId="3E61581E" w14:textId="77777777" w:rsidR="000970A0" w:rsidRPr="000970A0" w:rsidRDefault="000970A0" w:rsidP="00A47F50">
            <w:pPr>
              <w:pStyle w:val="Tabletext"/>
              <w:numPr>
                <w:ilvl w:val="0"/>
                <w:numId w:val="24"/>
              </w:numPr>
              <w:ind w:left="176" w:hanging="142"/>
            </w:pPr>
            <w:r w:rsidRPr="000970A0">
              <w:t xml:space="preserve">Canopy dominated by </w:t>
            </w:r>
            <w:r w:rsidRPr="000970A0">
              <w:rPr>
                <w:i/>
              </w:rPr>
              <w:t>E. viminalis</w:t>
            </w:r>
            <w:r w:rsidRPr="000970A0">
              <w:t xml:space="preserve"> and/or </w:t>
            </w:r>
            <w:r w:rsidRPr="000970A0">
              <w:rPr>
                <w:i/>
              </w:rPr>
              <w:t>E. globulus</w:t>
            </w:r>
          </w:p>
          <w:p w14:paraId="377E5B4E" w14:textId="77777777" w:rsidR="000970A0" w:rsidRPr="000970A0" w:rsidRDefault="000970A0" w:rsidP="00A47F50">
            <w:pPr>
              <w:pStyle w:val="Tabletext"/>
              <w:numPr>
                <w:ilvl w:val="0"/>
                <w:numId w:val="24"/>
              </w:numPr>
              <w:ind w:left="176" w:hanging="142"/>
            </w:pPr>
            <w:r w:rsidRPr="000970A0">
              <w:t>Understorey scrub or tall heath</w:t>
            </w:r>
          </w:p>
        </w:tc>
      </w:tr>
    </w:tbl>
    <w:p w14:paraId="5468CCDA" w14:textId="77777777" w:rsidR="000970A0" w:rsidRPr="000970A0" w:rsidRDefault="000970A0" w:rsidP="000970A0">
      <w:pPr>
        <w:pStyle w:val="Tablesource"/>
      </w:pPr>
      <w:r w:rsidRPr="000970A0">
        <w:t>Source: Kitchener &amp; Harris (2013)</w:t>
      </w:r>
    </w:p>
    <w:p w14:paraId="5387A3E1" w14:textId="77777777" w:rsidR="000970A0" w:rsidRPr="000970A0" w:rsidRDefault="000970A0" w:rsidP="00573BF2">
      <w:pPr>
        <w:pStyle w:val="Heading4"/>
      </w:pPr>
      <w:r w:rsidRPr="000970A0">
        <w:t>Other nearby listed ecological communities</w:t>
      </w:r>
    </w:p>
    <w:p w14:paraId="15A6E308" w14:textId="0494984F" w:rsidR="000970A0" w:rsidRPr="000970A0" w:rsidRDefault="000970A0" w:rsidP="000970A0">
      <w:r w:rsidRPr="000970A0">
        <w:t xml:space="preserve">There are </w:t>
      </w:r>
      <w:r w:rsidR="000032A6">
        <w:t>several</w:t>
      </w:r>
      <w:r w:rsidRPr="000970A0">
        <w:t xml:space="preserve"> other nationally listed threatened ecological communities that occur in or close to the same area as the Tasmanian white gum wet forest. </w:t>
      </w:r>
      <w:r w:rsidR="00F705D6" w:rsidRPr="00F705D6">
        <w:rPr>
          <w:u w:val="single"/>
        </w:rPr>
        <w:fldChar w:fldCharType="begin"/>
      </w:r>
      <w:r w:rsidR="00F705D6" w:rsidRPr="00F705D6">
        <w:rPr>
          <w:u w:val="single"/>
        </w:rPr>
        <w:instrText xml:space="preserve"> REF _Ref24022201 \h </w:instrText>
      </w:r>
      <w:r w:rsidR="00F705D6" w:rsidRPr="00F705D6">
        <w:rPr>
          <w:u w:val="single"/>
        </w:rPr>
      </w:r>
      <w:r w:rsidR="00F705D6" w:rsidRPr="00F705D6">
        <w:rPr>
          <w:u w:val="single"/>
        </w:rPr>
        <w:fldChar w:fldCharType="separate"/>
      </w:r>
      <w:r w:rsidR="005E6E9C" w:rsidRPr="000970A0">
        <w:t xml:space="preserve">Table </w:t>
      </w:r>
      <w:r w:rsidR="005E6E9C">
        <w:rPr>
          <w:noProof/>
        </w:rPr>
        <w:t>8</w:t>
      </w:r>
      <w:r w:rsidR="00F705D6" w:rsidRPr="00F705D6">
        <w:rPr>
          <w:u w:val="single"/>
        </w:rPr>
        <w:fldChar w:fldCharType="end"/>
      </w:r>
      <w:r w:rsidR="00F705D6">
        <w:t xml:space="preserve"> </w:t>
      </w:r>
      <w:r w:rsidRPr="000970A0">
        <w:t>outlines these ecological communities and their status at the time of listing.</w:t>
      </w:r>
    </w:p>
    <w:p w14:paraId="3E6059C9" w14:textId="77777777" w:rsidR="000970A0" w:rsidRPr="000970A0" w:rsidRDefault="000970A0" w:rsidP="000970A0">
      <w:pPr>
        <w:pStyle w:val="Caption"/>
      </w:pPr>
      <w:bookmarkStart w:id="40" w:name="_Ref24022201"/>
      <w:r w:rsidRPr="000970A0">
        <w:t xml:space="preserve">Table </w:t>
      </w:r>
      <w:r w:rsidR="00092678">
        <w:rPr>
          <w:noProof/>
        </w:rPr>
        <w:fldChar w:fldCharType="begin"/>
      </w:r>
      <w:r w:rsidR="00092678">
        <w:rPr>
          <w:noProof/>
        </w:rPr>
        <w:instrText xml:space="preserve"> SEQ Table \* ARABIC </w:instrText>
      </w:r>
      <w:r w:rsidR="00092678">
        <w:rPr>
          <w:noProof/>
        </w:rPr>
        <w:fldChar w:fldCharType="separate"/>
      </w:r>
      <w:r w:rsidR="005E6E9C">
        <w:rPr>
          <w:noProof/>
        </w:rPr>
        <w:t>8</w:t>
      </w:r>
      <w:r w:rsidR="00092678">
        <w:rPr>
          <w:noProof/>
        </w:rPr>
        <w:fldChar w:fldCharType="end"/>
      </w:r>
      <w:bookmarkEnd w:id="40"/>
      <w:r w:rsidRPr="000970A0">
        <w:t>: Nationally listed threatened ecological communities</w:t>
      </w:r>
    </w:p>
    <w:tbl>
      <w:tblPr>
        <w:tblStyle w:val="TableGrid"/>
        <w:tblW w:w="5000" w:type="pct"/>
        <w:tblLook w:val="04A0" w:firstRow="1" w:lastRow="0" w:firstColumn="1" w:lastColumn="0" w:noHBand="0" w:noVBand="1"/>
      </w:tblPr>
      <w:tblGrid>
        <w:gridCol w:w="6374"/>
        <w:gridCol w:w="2642"/>
      </w:tblGrid>
      <w:tr w:rsidR="000970A0" w:rsidRPr="000970A0" w14:paraId="487A94C8" w14:textId="77777777" w:rsidTr="002C671C">
        <w:tc>
          <w:tcPr>
            <w:tcW w:w="3535" w:type="pct"/>
            <w:shd w:val="clear" w:color="auto" w:fill="D9D9D9" w:themeFill="background1" w:themeFillShade="D9"/>
          </w:tcPr>
          <w:p w14:paraId="1161507C" w14:textId="77777777" w:rsidR="000970A0" w:rsidRPr="000970A0" w:rsidRDefault="000970A0" w:rsidP="000970A0">
            <w:pPr>
              <w:pStyle w:val="Tabletext"/>
            </w:pPr>
            <w:r w:rsidRPr="000970A0">
              <w:t>EPBC-listed ecological community</w:t>
            </w:r>
          </w:p>
        </w:tc>
        <w:tc>
          <w:tcPr>
            <w:tcW w:w="1465" w:type="pct"/>
            <w:shd w:val="clear" w:color="auto" w:fill="D9D9D9" w:themeFill="background1" w:themeFillShade="D9"/>
          </w:tcPr>
          <w:p w14:paraId="5D595E11" w14:textId="77777777" w:rsidR="000970A0" w:rsidRPr="000970A0" w:rsidRDefault="000970A0" w:rsidP="000970A0">
            <w:pPr>
              <w:pStyle w:val="Tabletext"/>
            </w:pPr>
            <w:r w:rsidRPr="000970A0">
              <w:t>Status</w:t>
            </w:r>
          </w:p>
        </w:tc>
      </w:tr>
      <w:tr w:rsidR="000970A0" w:rsidRPr="000970A0" w14:paraId="1721BF68" w14:textId="77777777" w:rsidTr="002C671C">
        <w:tc>
          <w:tcPr>
            <w:tcW w:w="3535" w:type="pct"/>
          </w:tcPr>
          <w:p w14:paraId="21AA97FF" w14:textId="77777777" w:rsidR="000970A0" w:rsidRPr="000970A0" w:rsidRDefault="00092678" w:rsidP="000970A0">
            <w:pPr>
              <w:pStyle w:val="Tabletext"/>
              <w:rPr>
                <w:szCs w:val="20"/>
                <w:u w:val="single"/>
              </w:rPr>
            </w:pPr>
            <w:hyperlink r:id="rId14" w:history="1">
              <w:r w:rsidR="000970A0" w:rsidRPr="000970A0">
                <w:rPr>
                  <w:rStyle w:val="Hyperlink"/>
                  <w:szCs w:val="20"/>
                </w:rPr>
                <w:t>Alpine Sphagnum Bogs and Associated Fens</w:t>
              </w:r>
            </w:hyperlink>
          </w:p>
        </w:tc>
        <w:tc>
          <w:tcPr>
            <w:tcW w:w="1465" w:type="pct"/>
          </w:tcPr>
          <w:p w14:paraId="2895D539" w14:textId="77777777" w:rsidR="000970A0" w:rsidRPr="000970A0" w:rsidRDefault="000970A0" w:rsidP="000970A0">
            <w:pPr>
              <w:pStyle w:val="Tabletext"/>
            </w:pPr>
            <w:r w:rsidRPr="000970A0">
              <w:t>Endangered</w:t>
            </w:r>
          </w:p>
        </w:tc>
      </w:tr>
      <w:tr w:rsidR="000970A0" w:rsidRPr="000970A0" w14:paraId="001DC6B6" w14:textId="77777777" w:rsidTr="002C671C">
        <w:tc>
          <w:tcPr>
            <w:tcW w:w="3535" w:type="pct"/>
          </w:tcPr>
          <w:p w14:paraId="04B8A824" w14:textId="77777777" w:rsidR="000970A0" w:rsidRPr="000970A0" w:rsidRDefault="00092678" w:rsidP="000970A0">
            <w:pPr>
              <w:pStyle w:val="Tabletext"/>
              <w:rPr>
                <w:szCs w:val="20"/>
                <w:u w:val="single"/>
              </w:rPr>
            </w:pPr>
            <w:hyperlink r:id="rId15" w:history="1">
              <w:r w:rsidR="000970A0" w:rsidRPr="000970A0">
                <w:rPr>
                  <w:rStyle w:val="Hyperlink"/>
                  <w:i/>
                  <w:szCs w:val="20"/>
                </w:rPr>
                <w:t>Eucalyptus ovata – Callitris oblonga</w:t>
              </w:r>
              <w:r w:rsidR="000970A0" w:rsidRPr="000970A0">
                <w:rPr>
                  <w:rStyle w:val="Hyperlink"/>
                  <w:szCs w:val="20"/>
                </w:rPr>
                <w:t xml:space="preserve"> Forest</w:t>
              </w:r>
            </w:hyperlink>
          </w:p>
        </w:tc>
        <w:tc>
          <w:tcPr>
            <w:tcW w:w="1465" w:type="pct"/>
          </w:tcPr>
          <w:p w14:paraId="3B1718C3" w14:textId="77777777" w:rsidR="000970A0" w:rsidRPr="000970A0" w:rsidRDefault="000970A0" w:rsidP="000970A0">
            <w:pPr>
              <w:pStyle w:val="Tabletext"/>
            </w:pPr>
            <w:r w:rsidRPr="000970A0">
              <w:t>Vulnerable</w:t>
            </w:r>
          </w:p>
        </w:tc>
      </w:tr>
      <w:tr w:rsidR="000970A0" w:rsidRPr="000970A0" w14:paraId="23B7949F" w14:textId="77777777" w:rsidTr="002C671C">
        <w:tc>
          <w:tcPr>
            <w:tcW w:w="3535" w:type="pct"/>
          </w:tcPr>
          <w:p w14:paraId="115CEDBD" w14:textId="77777777" w:rsidR="000970A0" w:rsidRPr="000970A0" w:rsidRDefault="00092678" w:rsidP="000970A0">
            <w:pPr>
              <w:pStyle w:val="Tabletext"/>
              <w:rPr>
                <w:szCs w:val="20"/>
                <w:u w:val="single"/>
              </w:rPr>
            </w:pPr>
            <w:hyperlink r:id="rId16" w:history="1">
              <w:r w:rsidR="000970A0" w:rsidRPr="000970A0">
                <w:rPr>
                  <w:rStyle w:val="Hyperlink"/>
                  <w:szCs w:val="20"/>
                </w:rPr>
                <w:t>Lowland native grasslands of Tasmania</w:t>
              </w:r>
            </w:hyperlink>
          </w:p>
        </w:tc>
        <w:tc>
          <w:tcPr>
            <w:tcW w:w="1465" w:type="pct"/>
          </w:tcPr>
          <w:p w14:paraId="3519394A" w14:textId="77777777" w:rsidR="000970A0" w:rsidRPr="000970A0" w:rsidRDefault="000970A0" w:rsidP="000970A0">
            <w:pPr>
              <w:pStyle w:val="Tabletext"/>
            </w:pPr>
            <w:r w:rsidRPr="000970A0">
              <w:t>Critically endangered</w:t>
            </w:r>
          </w:p>
        </w:tc>
      </w:tr>
      <w:tr w:rsidR="000970A0" w:rsidRPr="000970A0" w14:paraId="507E1867" w14:textId="77777777" w:rsidTr="002C671C">
        <w:tc>
          <w:tcPr>
            <w:tcW w:w="3535" w:type="pct"/>
            <w:shd w:val="clear" w:color="auto" w:fill="auto"/>
          </w:tcPr>
          <w:p w14:paraId="54CD616A" w14:textId="77777777" w:rsidR="000970A0" w:rsidRPr="000970A0" w:rsidRDefault="00092678" w:rsidP="000970A0">
            <w:pPr>
              <w:pStyle w:val="Tabletext"/>
              <w:rPr>
                <w:szCs w:val="20"/>
              </w:rPr>
            </w:pPr>
            <w:hyperlink r:id="rId17" w:history="1">
              <w:r w:rsidR="000970A0" w:rsidRPr="000970A0">
                <w:rPr>
                  <w:rStyle w:val="Hyperlink"/>
                  <w:szCs w:val="20"/>
                </w:rPr>
                <w:t>Tasmanian Forests and Woodlands dominated by black gum or Brookers gum (</w:t>
              </w:r>
              <w:r w:rsidR="000970A0" w:rsidRPr="000970A0">
                <w:rPr>
                  <w:rStyle w:val="Hyperlink"/>
                  <w:i/>
                  <w:szCs w:val="20"/>
                </w:rPr>
                <w:t>Eucalyptus ovata/E. brookeriana</w:t>
              </w:r>
              <w:r w:rsidR="000970A0" w:rsidRPr="000970A0">
                <w:rPr>
                  <w:rStyle w:val="Hyperlink"/>
                  <w:szCs w:val="20"/>
                </w:rPr>
                <w:t>)</w:t>
              </w:r>
            </w:hyperlink>
          </w:p>
        </w:tc>
        <w:tc>
          <w:tcPr>
            <w:tcW w:w="1465" w:type="pct"/>
            <w:shd w:val="clear" w:color="auto" w:fill="auto"/>
          </w:tcPr>
          <w:p w14:paraId="661F0E8D" w14:textId="77777777" w:rsidR="000970A0" w:rsidRPr="000970A0" w:rsidRDefault="000970A0" w:rsidP="000970A0">
            <w:pPr>
              <w:pStyle w:val="Tabletext"/>
            </w:pPr>
            <w:r w:rsidRPr="000970A0">
              <w:t>Critically endangered</w:t>
            </w:r>
          </w:p>
        </w:tc>
      </w:tr>
    </w:tbl>
    <w:p w14:paraId="0F4F7297" w14:textId="7284D983" w:rsidR="00573BF2" w:rsidRDefault="00573BF2" w:rsidP="00666032">
      <w:pPr>
        <w:pStyle w:val="Heading2"/>
      </w:pPr>
      <w:bookmarkStart w:id="41" w:name="_Toc24971007"/>
      <w:r>
        <w:lastRenderedPageBreak/>
        <w:t xml:space="preserve">Regulated areas of the ecological </w:t>
      </w:r>
      <w:r w:rsidRPr="00F705D6">
        <w:t>community</w:t>
      </w:r>
      <w:bookmarkEnd w:id="41"/>
    </w:p>
    <w:bookmarkEnd w:id="35"/>
    <w:p w14:paraId="3D620EE7" w14:textId="77777777" w:rsidR="00F705D6" w:rsidRPr="003506AD" w:rsidRDefault="00F705D6" w:rsidP="00666032">
      <w:pPr>
        <w:keepNext/>
      </w:pPr>
      <w:r w:rsidRPr="003506AD">
        <w:t xml:space="preserve">National listing focuses legal protection on patches of the ecological community that are the most functional, relatively natural and in comparatively good condition. These patches are identified through </w:t>
      </w:r>
      <w:r w:rsidRPr="003506AD">
        <w:rPr>
          <w:i/>
        </w:rPr>
        <w:t>minimum condition thresholds</w:t>
      </w:r>
      <w:r w:rsidRPr="003506AD">
        <w:t>.</w:t>
      </w:r>
    </w:p>
    <w:p w14:paraId="75E29326" w14:textId="77777777" w:rsidR="00F705D6" w:rsidRPr="00627EBB" w:rsidRDefault="00F705D6" w:rsidP="00666032">
      <w:pPr>
        <w:keepNext/>
      </w:pPr>
      <w:r w:rsidRPr="00627EBB">
        <w:rPr>
          <w:i/>
        </w:rPr>
        <w:t xml:space="preserve">Condition classes </w:t>
      </w:r>
      <w:r w:rsidRPr="00627EBB">
        <w:t>are also used to distinguish between patches of Tasmanian white gum wet forest of different qualities, to aid environmental management decisions.</w:t>
      </w:r>
    </w:p>
    <w:p w14:paraId="281EFC47" w14:textId="085C7E6F" w:rsidR="009C0C00" w:rsidRPr="003506AD" w:rsidRDefault="009C0C00" w:rsidP="00666032">
      <w:pPr>
        <w:keepNext/>
      </w:pPr>
      <w:r w:rsidRPr="00627EBB">
        <w:t xml:space="preserve">In order to be protected as a matter of national environmental significance areas of </w:t>
      </w:r>
      <w:r w:rsidRPr="003506AD">
        <w:t xml:space="preserve">the ecological community must meet both: </w:t>
      </w:r>
    </w:p>
    <w:p w14:paraId="47C1086F" w14:textId="55CDBAE9" w:rsidR="009C0C00" w:rsidRPr="003506AD" w:rsidRDefault="009C0C00" w:rsidP="00666032">
      <w:pPr>
        <w:keepNext/>
        <w:numPr>
          <w:ilvl w:val="0"/>
          <w:numId w:val="5"/>
        </w:numPr>
        <w:ind w:left="714" w:hanging="357"/>
      </w:pPr>
      <w:r w:rsidRPr="003506AD">
        <w:t>the key diagnostic characteristics (</w:t>
      </w:r>
      <w:r w:rsidRPr="003506AD">
        <w:rPr>
          <w:u w:val="single"/>
        </w:rPr>
        <w:t>section</w:t>
      </w:r>
      <w:r w:rsidR="00F705D6">
        <w:rPr>
          <w:u w:val="single"/>
        </w:rPr>
        <w:t xml:space="preserve"> </w:t>
      </w:r>
      <w:r w:rsidR="00F705D6">
        <w:rPr>
          <w:u w:val="single"/>
        </w:rPr>
        <w:fldChar w:fldCharType="begin"/>
      </w:r>
      <w:r w:rsidR="00F705D6">
        <w:rPr>
          <w:u w:val="single"/>
        </w:rPr>
        <w:instrText xml:space="preserve"> REF _Ref24022341 \r \h </w:instrText>
      </w:r>
      <w:r w:rsidR="00F705D6">
        <w:rPr>
          <w:u w:val="single"/>
        </w:rPr>
      </w:r>
      <w:r w:rsidR="00F705D6">
        <w:rPr>
          <w:u w:val="single"/>
        </w:rPr>
        <w:fldChar w:fldCharType="separate"/>
      </w:r>
      <w:r w:rsidR="005E6E9C">
        <w:rPr>
          <w:u w:val="single"/>
        </w:rPr>
        <w:t>6.1.1</w:t>
      </w:r>
      <w:r w:rsidR="00F705D6">
        <w:rPr>
          <w:u w:val="single"/>
        </w:rPr>
        <w:fldChar w:fldCharType="end"/>
      </w:r>
      <w:r w:rsidRPr="003506AD">
        <w:t xml:space="preserve">) AND </w:t>
      </w:r>
    </w:p>
    <w:p w14:paraId="536D5F97" w14:textId="275092A7" w:rsidR="009C0C00" w:rsidRPr="003506AD" w:rsidRDefault="009C0C00" w:rsidP="00666032">
      <w:pPr>
        <w:keepNext/>
        <w:numPr>
          <w:ilvl w:val="0"/>
          <w:numId w:val="5"/>
        </w:numPr>
      </w:pPr>
      <w:r w:rsidRPr="003506AD">
        <w:t>at least the minimum condition thresholds</w:t>
      </w:r>
      <w:r w:rsidR="003B3B5E">
        <w:t xml:space="preserve"> (</w:t>
      </w:r>
      <w:r w:rsidR="003B3B5E" w:rsidRPr="003B3B5E">
        <w:rPr>
          <w:u w:val="single"/>
        </w:rPr>
        <w:t xml:space="preserve">section </w:t>
      </w:r>
      <w:r w:rsidR="003B3B5E" w:rsidRPr="003B3B5E">
        <w:rPr>
          <w:u w:val="single"/>
        </w:rPr>
        <w:fldChar w:fldCharType="begin"/>
      </w:r>
      <w:r w:rsidR="003B3B5E" w:rsidRPr="003B3B5E">
        <w:rPr>
          <w:u w:val="single"/>
        </w:rPr>
        <w:instrText xml:space="preserve"> REF _Ref24022578 \r \h </w:instrText>
      </w:r>
      <w:r w:rsidR="003B3B5E" w:rsidRPr="003B3B5E">
        <w:rPr>
          <w:u w:val="single"/>
        </w:rPr>
      </w:r>
      <w:r w:rsidR="003B3B5E" w:rsidRPr="003B3B5E">
        <w:rPr>
          <w:u w:val="single"/>
        </w:rPr>
        <w:fldChar w:fldCharType="separate"/>
      </w:r>
      <w:r w:rsidR="005E6E9C">
        <w:rPr>
          <w:u w:val="single"/>
        </w:rPr>
        <w:t>6.2.1</w:t>
      </w:r>
      <w:r w:rsidR="003B3B5E" w:rsidRPr="003B3B5E">
        <w:rPr>
          <w:u w:val="single"/>
        </w:rPr>
        <w:fldChar w:fldCharType="end"/>
      </w:r>
      <w:r w:rsidR="003B3B5E">
        <w:t>)</w:t>
      </w:r>
      <w:r w:rsidRPr="003506AD">
        <w:t>.</w:t>
      </w:r>
    </w:p>
    <w:p w14:paraId="247E85CE" w14:textId="106CD8A3" w:rsidR="00F250F0" w:rsidRPr="003506AD" w:rsidRDefault="003B3B5E" w:rsidP="00A87619">
      <w:pPr>
        <w:keepNext/>
        <w:keepLines/>
      </w:pPr>
      <w:r w:rsidRPr="003B3B5E">
        <w:rPr>
          <w:u w:val="single"/>
        </w:rPr>
        <w:fldChar w:fldCharType="begin"/>
      </w:r>
      <w:r w:rsidRPr="003B3B5E">
        <w:rPr>
          <w:u w:val="single"/>
        </w:rPr>
        <w:instrText xml:space="preserve"> REF _Ref23431087 \h </w:instrText>
      </w:r>
      <w:r w:rsidRPr="003B3B5E">
        <w:rPr>
          <w:u w:val="single"/>
        </w:rPr>
      </w:r>
      <w:r w:rsidRPr="003B3B5E">
        <w:rPr>
          <w:u w:val="single"/>
        </w:rPr>
        <w:fldChar w:fldCharType="separate"/>
      </w:r>
      <w:r w:rsidR="005E6E9C" w:rsidRPr="001C5644">
        <w:t xml:space="preserve">Table </w:t>
      </w:r>
      <w:r w:rsidR="005E6E9C">
        <w:rPr>
          <w:noProof/>
        </w:rPr>
        <w:t>9</w:t>
      </w:r>
      <w:r w:rsidRPr="003B3B5E">
        <w:rPr>
          <w:u w:val="single"/>
        </w:rPr>
        <w:fldChar w:fldCharType="end"/>
      </w:r>
      <w:r>
        <w:t xml:space="preserve"> </w:t>
      </w:r>
      <w:r w:rsidRPr="00627EBB">
        <w:t xml:space="preserve">outlines the different condition classes that apply to the ecological community. </w:t>
      </w:r>
      <w:r w:rsidR="00F250F0" w:rsidRPr="00F705D6">
        <w:t xml:space="preserve">The minimum condition thresholds are </w:t>
      </w:r>
      <w:r w:rsidR="00F250F0" w:rsidRPr="003506AD">
        <w:t>designed to identify those patches that retain sufficient conservation values to be considered a matter of national environmental significance, to which the referral, assessment, approval and compliance provisions of the EPBC Act apply.</w:t>
      </w:r>
      <w:r w:rsidR="001C5644">
        <w:t xml:space="preserve"> These include all patches in Classes A and B.</w:t>
      </w:r>
      <w:r w:rsidR="00F250F0" w:rsidRPr="003506AD">
        <w:t xml:space="preserve">  </w:t>
      </w:r>
    </w:p>
    <w:p w14:paraId="2CD57F3E" w14:textId="7954721F" w:rsidR="003B3B5E" w:rsidRDefault="003B3B5E" w:rsidP="00F250F0">
      <w:r w:rsidRPr="003B3B5E">
        <w:t>P</w:t>
      </w:r>
      <w:r w:rsidR="00F250F0" w:rsidRPr="003B3B5E">
        <w:t xml:space="preserve">atches that do not meet the minimum condition thresholds </w:t>
      </w:r>
      <w:r w:rsidR="001C5644" w:rsidRPr="003B3B5E">
        <w:t xml:space="preserve">(Class C) </w:t>
      </w:r>
      <w:r w:rsidRPr="003B3B5E">
        <w:t>are excluded from protection under the EPBC Act. In many cases, the loss and degradation is</w:t>
      </w:r>
      <w:r w:rsidRPr="00627EBB">
        <w:t xml:space="preserve"> irreversible because natural characteristics have been permanently removed.</w:t>
      </w:r>
      <w:r>
        <w:t xml:space="preserve"> However, a</w:t>
      </w:r>
      <w:r w:rsidRPr="003506AD">
        <w:t xml:space="preserve">lthough not protected under the EPBC Act, </w:t>
      </w:r>
      <w:r>
        <w:t xml:space="preserve">many of these patches </w:t>
      </w:r>
      <w:r w:rsidR="00F250F0" w:rsidRPr="003506AD">
        <w:t xml:space="preserve">may still retain important natural values and may be protected through state and local laws or planning schemes. </w:t>
      </w:r>
    </w:p>
    <w:p w14:paraId="3339F4E4" w14:textId="657F36E2" w:rsidR="00F250F0" w:rsidRPr="003506AD" w:rsidRDefault="00F250F0" w:rsidP="00F250F0">
      <w:r w:rsidRPr="003506AD">
        <w:t>In addition, patches that can be restored should not be excluded from recovery and other management actions. Suitable recovery and management actions may improve a patch’s condition, such that it subsequently can be included as part of the ecological community fully protected under the EPBC Act. Management actions should be designed to restore patches to high quality condition where practical.</w:t>
      </w:r>
    </w:p>
    <w:p w14:paraId="27185BF7" w14:textId="35515B7A" w:rsidR="003506AD" w:rsidRDefault="003506AD" w:rsidP="003506AD">
      <w:r w:rsidRPr="003506AD">
        <w:t xml:space="preserve">When assessing </w:t>
      </w:r>
      <w:r>
        <w:t xml:space="preserve">condition of </w:t>
      </w:r>
      <w:r w:rsidRPr="003506AD">
        <w:t xml:space="preserve">a patch of the ecological community </w:t>
      </w:r>
      <w:r>
        <w:t>it is important to also consider</w:t>
      </w:r>
      <w:r w:rsidRPr="003506AD">
        <w:t xml:space="preserve"> the </w:t>
      </w:r>
      <w:r>
        <w:t>key diagnostics (</w:t>
      </w:r>
      <w:r w:rsidRPr="00627EBB">
        <w:rPr>
          <w:u w:val="single"/>
        </w:rPr>
        <w:t xml:space="preserve">section </w:t>
      </w:r>
      <w:r w:rsidR="003B3B5E">
        <w:rPr>
          <w:u w:val="single"/>
        </w:rPr>
        <w:fldChar w:fldCharType="begin"/>
      </w:r>
      <w:r w:rsidR="003B3B5E">
        <w:rPr>
          <w:u w:val="single"/>
        </w:rPr>
        <w:instrText xml:space="preserve"> REF _Ref24022341 \r \h </w:instrText>
      </w:r>
      <w:r w:rsidR="003B3B5E">
        <w:rPr>
          <w:u w:val="single"/>
        </w:rPr>
      </w:r>
      <w:r w:rsidR="003B3B5E">
        <w:rPr>
          <w:u w:val="single"/>
        </w:rPr>
        <w:fldChar w:fldCharType="separate"/>
      </w:r>
      <w:r w:rsidR="005E6E9C">
        <w:rPr>
          <w:u w:val="single"/>
        </w:rPr>
        <w:t>6.1.1</w:t>
      </w:r>
      <w:r w:rsidR="003B3B5E">
        <w:rPr>
          <w:u w:val="single"/>
        </w:rPr>
        <w:fldChar w:fldCharType="end"/>
      </w:r>
      <w:r>
        <w:t xml:space="preserve">) and </w:t>
      </w:r>
      <w:r w:rsidRPr="003506AD">
        <w:t>patch definition</w:t>
      </w:r>
      <w:r>
        <w:t xml:space="preserve"> (</w:t>
      </w:r>
      <w:r w:rsidRPr="003506AD">
        <w:rPr>
          <w:u w:val="single"/>
        </w:rPr>
        <w:t>section</w:t>
      </w:r>
      <w:r w:rsidR="003B3B5E">
        <w:rPr>
          <w:u w:val="single"/>
        </w:rPr>
        <w:t> </w:t>
      </w:r>
      <w:r w:rsidR="003B3B5E">
        <w:rPr>
          <w:u w:val="single"/>
        </w:rPr>
        <w:fldChar w:fldCharType="begin"/>
      </w:r>
      <w:r w:rsidR="003B3B5E">
        <w:rPr>
          <w:u w:val="single"/>
        </w:rPr>
        <w:instrText xml:space="preserve"> REF _Ref24021548 \r \h </w:instrText>
      </w:r>
      <w:r w:rsidR="003B3B5E">
        <w:rPr>
          <w:u w:val="single"/>
        </w:rPr>
      </w:r>
      <w:r w:rsidR="003B3B5E">
        <w:rPr>
          <w:u w:val="single"/>
        </w:rPr>
        <w:fldChar w:fldCharType="separate"/>
      </w:r>
      <w:r w:rsidR="005E6E9C">
        <w:rPr>
          <w:u w:val="single"/>
        </w:rPr>
        <w:t>6.1.2.1</w:t>
      </w:r>
      <w:r w:rsidR="003B3B5E">
        <w:rPr>
          <w:u w:val="single"/>
        </w:rPr>
        <w:fldChar w:fldCharType="end"/>
      </w:r>
      <w:r>
        <w:t>)</w:t>
      </w:r>
      <w:r w:rsidRPr="003506AD">
        <w:t>.</w:t>
      </w:r>
    </w:p>
    <w:p w14:paraId="153D58A4" w14:textId="77777777" w:rsidR="003B3B5E" w:rsidRPr="003506AD" w:rsidRDefault="003B3B5E" w:rsidP="003B3B5E">
      <w:pPr>
        <w:pStyle w:val="Heading3"/>
      </w:pPr>
      <w:bookmarkStart w:id="42" w:name="_Ref24022578"/>
      <w:r w:rsidRPr="003506AD">
        <w:t>Condition classes and thresholds</w:t>
      </w:r>
      <w:bookmarkEnd w:id="42"/>
    </w:p>
    <w:p w14:paraId="00893B8D" w14:textId="36FF085D" w:rsidR="00F250F0" w:rsidRDefault="00F250F0" w:rsidP="00F250F0">
      <w:r w:rsidRPr="00EA70FE">
        <w:t xml:space="preserve">The TASVEG </w:t>
      </w:r>
      <w:r w:rsidRPr="00EA70FE">
        <w:rPr>
          <w:i/>
        </w:rPr>
        <w:t>Vegetation Condition Manual</w:t>
      </w:r>
      <w:r w:rsidRPr="00EA70FE">
        <w:t xml:space="preserve"> (Michaels, 2006) and vegetation community benchmarks (DPIPWE, 2016) provide a framework for assessing the condition of ecological communities in Tasmania. This framework provides the basis of the condition classes and thresholds that apply to this ecological community. </w:t>
      </w:r>
    </w:p>
    <w:p w14:paraId="2BBE44AD" w14:textId="77777777" w:rsidR="00F250F0" w:rsidRPr="001C5644" w:rsidRDefault="00F250F0" w:rsidP="00F250F0">
      <w:pPr>
        <w:pStyle w:val="Caption"/>
        <w:keepNext/>
      </w:pPr>
      <w:bookmarkStart w:id="43" w:name="_Ref23431087"/>
      <w:bookmarkStart w:id="44" w:name="_Ref24022777"/>
      <w:r w:rsidRPr="001C5644">
        <w:lastRenderedPageBreak/>
        <w:t xml:space="preserve">Table </w:t>
      </w:r>
      <w:r w:rsidRPr="001C5644">
        <w:rPr>
          <w:noProof/>
        </w:rPr>
        <w:fldChar w:fldCharType="begin"/>
      </w:r>
      <w:r w:rsidRPr="001C5644">
        <w:rPr>
          <w:noProof/>
        </w:rPr>
        <w:instrText xml:space="preserve"> SEQ Table \* ARABIC </w:instrText>
      </w:r>
      <w:r w:rsidRPr="001C5644">
        <w:rPr>
          <w:noProof/>
        </w:rPr>
        <w:fldChar w:fldCharType="separate"/>
      </w:r>
      <w:r w:rsidR="005E6E9C">
        <w:rPr>
          <w:noProof/>
        </w:rPr>
        <w:t>9</w:t>
      </w:r>
      <w:r w:rsidRPr="001C5644">
        <w:rPr>
          <w:noProof/>
        </w:rPr>
        <w:fldChar w:fldCharType="end"/>
      </w:r>
      <w:bookmarkEnd w:id="43"/>
      <w:r w:rsidRPr="001C5644">
        <w:t>: Condition classes and thresholds</w:t>
      </w:r>
      <w:bookmarkEnd w:id="44"/>
    </w:p>
    <w:tbl>
      <w:tblPr>
        <w:tblStyle w:val="TableGrid"/>
        <w:tblW w:w="5000" w:type="pct"/>
        <w:tblLayout w:type="fixed"/>
        <w:tblLook w:val="04A0" w:firstRow="1" w:lastRow="0" w:firstColumn="1" w:lastColumn="0" w:noHBand="0" w:noVBand="1"/>
      </w:tblPr>
      <w:tblGrid>
        <w:gridCol w:w="3540"/>
        <w:gridCol w:w="3258"/>
        <w:gridCol w:w="2218"/>
      </w:tblGrid>
      <w:tr w:rsidR="007E1BE8" w:rsidRPr="00867EAD" w14:paraId="401A1BB0" w14:textId="77777777" w:rsidTr="007E1BE8">
        <w:trPr>
          <w:cantSplit/>
        </w:trPr>
        <w:tc>
          <w:tcPr>
            <w:tcW w:w="1963" w:type="pct"/>
          </w:tcPr>
          <w:p w14:paraId="42F7A5FD" w14:textId="14205927" w:rsidR="001C5644" w:rsidRPr="00867EAD" w:rsidRDefault="001C5644" w:rsidP="007E1BE8">
            <w:pPr>
              <w:pStyle w:val="Tabletext"/>
              <w:keepNext/>
              <w:rPr>
                <w:b/>
              </w:rPr>
            </w:pPr>
            <w:r w:rsidRPr="00867EAD">
              <w:rPr>
                <w:b/>
              </w:rPr>
              <w:t>Condition class</w:t>
            </w:r>
          </w:p>
        </w:tc>
        <w:tc>
          <w:tcPr>
            <w:tcW w:w="1807" w:type="pct"/>
          </w:tcPr>
          <w:p w14:paraId="31A7B773" w14:textId="6CF29165" w:rsidR="001C5644" w:rsidRPr="00867EAD" w:rsidRDefault="001C5644" w:rsidP="007E1BE8">
            <w:pPr>
              <w:pStyle w:val="Tabletext"/>
              <w:keepNext/>
              <w:rPr>
                <w:b/>
              </w:rPr>
            </w:pPr>
            <w:r w:rsidRPr="00867EAD">
              <w:rPr>
                <w:b/>
              </w:rPr>
              <w:t>Site Components</w:t>
            </w:r>
          </w:p>
        </w:tc>
        <w:tc>
          <w:tcPr>
            <w:tcW w:w="1230" w:type="pct"/>
          </w:tcPr>
          <w:p w14:paraId="0A3576C5" w14:textId="57B69FE1" w:rsidR="001C5644" w:rsidRPr="00867EAD" w:rsidRDefault="001C5644" w:rsidP="007E1BE8">
            <w:pPr>
              <w:pStyle w:val="Tabletext"/>
              <w:keepNext/>
              <w:rPr>
                <w:b/>
              </w:rPr>
            </w:pPr>
            <w:r w:rsidRPr="00867EAD">
              <w:rPr>
                <w:b/>
              </w:rPr>
              <w:t>Minimum patch size</w:t>
            </w:r>
          </w:p>
        </w:tc>
      </w:tr>
      <w:tr w:rsidR="007E1BE8" w:rsidRPr="00867EAD" w14:paraId="01B69EAA" w14:textId="77777777" w:rsidTr="007E1BE8">
        <w:trPr>
          <w:cantSplit/>
        </w:trPr>
        <w:tc>
          <w:tcPr>
            <w:tcW w:w="1963" w:type="pct"/>
          </w:tcPr>
          <w:p w14:paraId="2D2BE7BF" w14:textId="45152844" w:rsidR="001C5644" w:rsidRPr="00867EAD" w:rsidRDefault="001C5644" w:rsidP="007E1BE8">
            <w:pPr>
              <w:pStyle w:val="Tabletext"/>
              <w:keepNext/>
              <w:rPr>
                <w:b/>
              </w:rPr>
            </w:pPr>
            <w:r w:rsidRPr="00867EAD">
              <w:rPr>
                <w:b/>
              </w:rPr>
              <w:t>Class A – high quality</w:t>
            </w:r>
          </w:p>
          <w:p w14:paraId="4A19743A" w14:textId="7E45415F" w:rsidR="001C5644" w:rsidRPr="00867EAD" w:rsidRDefault="001C5644" w:rsidP="007E1BE8">
            <w:pPr>
              <w:pStyle w:val="Tabletext"/>
              <w:keepNext/>
              <w:rPr>
                <w:b/>
              </w:rPr>
            </w:pPr>
            <w:r w:rsidRPr="00867EAD">
              <w:t xml:space="preserve">Patches with close </w:t>
            </w:r>
            <w:r w:rsidR="00347768" w:rsidRPr="00867EAD">
              <w:t>to or above the benchmark level for most measures.</w:t>
            </w:r>
          </w:p>
        </w:tc>
        <w:tc>
          <w:tcPr>
            <w:tcW w:w="1807" w:type="pct"/>
          </w:tcPr>
          <w:p w14:paraId="4D8CB1C2" w14:textId="583A381B" w:rsidR="001C5644" w:rsidRPr="00867EAD" w:rsidRDefault="001C5644" w:rsidP="007E1BE8">
            <w:pPr>
              <w:pStyle w:val="Tabletext"/>
              <w:keepNext/>
              <w:rPr>
                <w:b/>
              </w:rPr>
            </w:pPr>
            <w:r w:rsidRPr="00867EAD">
              <w:t>Sites with 3 or more site components rated as Category 3</w:t>
            </w:r>
          </w:p>
        </w:tc>
        <w:tc>
          <w:tcPr>
            <w:tcW w:w="1230" w:type="pct"/>
          </w:tcPr>
          <w:p w14:paraId="381DE8EA" w14:textId="3C8062D1" w:rsidR="001C5644" w:rsidRPr="00867EAD" w:rsidRDefault="001C5644" w:rsidP="007E1BE8">
            <w:pPr>
              <w:pStyle w:val="Tabletext"/>
              <w:keepNext/>
            </w:pPr>
            <w:r w:rsidRPr="00867EAD">
              <w:t>0.5 ha</w:t>
            </w:r>
          </w:p>
          <w:p w14:paraId="298C2D67" w14:textId="1679433D" w:rsidR="001C5644" w:rsidRPr="00867EAD" w:rsidRDefault="001C5644" w:rsidP="007E1BE8">
            <w:pPr>
              <w:pStyle w:val="Tabletext"/>
              <w:keepNext/>
              <w:rPr>
                <w:b/>
              </w:rPr>
            </w:pPr>
          </w:p>
        </w:tc>
      </w:tr>
      <w:tr w:rsidR="007E1BE8" w:rsidRPr="00867EAD" w14:paraId="1669E6FA" w14:textId="77777777" w:rsidTr="007E1BE8">
        <w:trPr>
          <w:cantSplit/>
        </w:trPr>
        <w:tc>
          <w:tcPr>
            <w:tcW w:w="1963" w:type="pct"/>
          </w:tcPr>
          <w:p w14:paraId="6BB0928D" w14:textId="6270A510" w:rsidR="001C5644" w:rsidRPr="00867EAD" w:rsidRDefault="001C5644" w:rsidP="007E1BE8">
            <w:pPr>
              <w:pStyle w:val="Tabletext"/>
              <w:keepNext/>
              <w:rPr>
                <w:b/>
              </w:rPr>
            </w:pPr>
            <w:r w:rsidRPr="00867EAD">
              <w:rPr>
                <w:b/>
              </w:rPr>
              <w:t>Class B – moderate quality</w:t>
            </w:r>
          </w:p>
          <w:p w14:paraId="23D91491" w14:textId="2CFC0273" w:rsidR="001C5644" w:rsidRPr="00867EAD" w:rsidRDefault="001C5644" w:rsidP="007E1BE8">
            <w:pPr>
              <w:pStyle w:val="Tabletext"/>
              <w:keepNext/>
              <w:rPr>
                <w:b/>
              </w:rPr>
            </w:pPr>
            <w:r w:rsidRPr="00867EAD">
              <w:t xml:space="preserve">Patches </w:t>
            </w:r>
            <w:r w:rsidR="00347768" w:rsidRPr="00867EAD">
              <w:t>approaching the benchmark level for most measures.</w:t>
            </w:r>
          </w:p>
        </w:tc>
        <w:tc>
          <w:tcPr>
            <w:tcW w:w="1807" w:type="pct"/>
          </w:tcPr>
          <w:p w14:paraId="59F6C662" w14:textId="0A457E94" w:rsidR="001C5644" w:rsidRPr="00867EAD" w:rsidRDefault="001C5644" w:rsidP="007E1BE8">
            <w:pPr>
              <w:pStyle w:val="Tabletext"/>
              <w:keepNext/>
              <w:rPr>
                <w:b/>
              </w:rPr>
            </w:pPr>
            <w:r w:rsidRPr="00867EAD">
              <w:t xml:space="preserve">Sites not </w:t>
            </w:r>
            <w:r w:rsidR="00BB4729" w:rsidRPr="00867EAD">
              <w:t xml:space="preserve">meeting </w:t>
            </w:r>
            <w:r w:rsidRPr="00867EAD">
              <w:t>Class A and with 3 or more site components rated as Category 2</w:t>
            </w:r>
          </w:p>
        </w:tc>
        <w:tc>
          <w:tcPr>
            <w:tcW w:w="1230" w:type="pct"/>
          </w:tcPr>
          <w:p w14:paraId="6B2570EB" w14:textId="0DBF87C1" w:rsidR="001C5644" w:rsidRPr="00867EAD" w:rsidRDefault="001C5644" w:rsidP="007E1BE8">
            <w:pPr>
              <w:pStyle w:val="Tabletext"/>
              <w:keepNext/>
              <w:rPr>
                <w:b/>
              </w:rPr>
            </w:pPr>
            <w:r w:rsidRPr="00867EAD">
              <w:t>2 ha</w:t>
            </w:r>
          </w:p>
        </w:tc>
      </w:tr>
      <w:tr w:rsidR="007E1BE8" w:rsidRPr="00867EAD" w14:paraId="1DCCFB12" w14:textId="77777777" w:rsidTr="007E1BE8">
        <w:trPr>
          <w:cantSplit/>
        </w:trPr>
        <w:tc>
          <w:tcPr>
            <w:tcW w:w="1963" w:type="pct"/>
          </w:tcPr>
          <w:p w14:paraId="683D69A1" w14:textId="6D47D25A" w:rsidR="001C5644" w:rsidRPr="00867EAD" w:rsidRDefault="001C5644" w:rsidP="007E1BE8">
            <w:pPr>
              <w:pStyle w:val="Tabletext"/>
              <w:keepNext/>
              <w:rPr>
                <w:b/>
              </w:rPr>
            </w:pPr>
            <w:r w:rsidRPr="00867EAD">
              <w:rPr>
                <w:b/>
              </w:rPr>
              <w:t>Class C – poor quality</w:t>
            </w:r>
          </w:p>
          <w:p w14:paraId="3E3ED71E" w14:textId="07B5BB46" w:rsidR="001C5644" w:rsidRPr="00867EAD" w:rsidRDefault="001C5644" w:rsidP="007E1BE8">
            <w:pPr>
              <w:pStyle w:val="Tabletext"/>
              <w:keepNext/>
              <w:rPr>
                <w:b/>
              </w:rPr>
            </w:pPr>
            <w:r w:rsidRPr="00867EAD">
              <w:t>Patches with somewhat less than the benchmark level</w:t>
            </w:r>
            <w:r w:rsidR="00347768" w:rsidRPr="00867EAD">
              <w:t xml:space="preserve"> for most measures.</w:t>
            </w:r>
          </w:p>
        </w:tc>
        <w:tc>
          <w:tcPr>
            <w:tcW w:w="1807" w:type="pct"/>
          </w:tcPr>
          <w:p w14:paraId="0BCF795C" w14:textId="7D57890B" w:rsidR="001C5644" w:rsidRPr="00867EAD" w:rsidRDefault="001C5644" w:rsidP="007E1BE8">
            <w:pPr>
              <w:pStyle w:val="Tabletext"/>
              <w:keepNext/>
              <w:rPr>
                <w:b/>
              </w:rPr>
            </w:pPr>
            <w:r w:rsidRPr="00867EAD">
              <w:t>Sites with less than 3 site components rated as Category 2 or 3</w:t>
            </w:r>
          </w:p>
        </w:tc>
        <w:tc>
          <w:tcPr>
            <w:tcW w:w="1230" w:type="pct"/>
          </w:tcPr>
          <w:p w14:paraId="316F81A2" w14:textId="14D392E8" w:rsidR="001C5644" w:rsidRPr="00867EAD" w:rsidRDefault="001C5644" w:rsidP="007E1BE8">
            <w:pPr>
              <w:pStyle w:val="Tabletext"/>
              <w:keepNext/>
              <w:rPr>
                <w:b/>
              </w:rPr>
            </w:pPr>
            <w:r w:rsidRPr="00867EAD">
              <w:t>Not included</w:t>
            </w:r>
          </w:p>
        </w:tc>
      </w:tr>
    </w:tbl>
    <w:p w14:paraId="533F8F66" w14:textId="77777777" w:rsidR="007E1BE8" w:rsidRPr="007E1BE8" w:rsidRDefault="007E1BE8" w:rsidP="007E1BE8">
      <w:pPr>
        <w:keepNext/>
        <w:spacing w:after="0"/>
        <w:rPr>
          <w:sz w:val="2"/>
          <w:szCs w:val="2"/>
        </w:rPr>
      </w:pPr>
    </w:p>
    <w:tbl>
      <w:tblPr>
        <w:tblStyle w:val="TableGrid"/>
        <w:tblW w:w="5000" w:type="pct"/>
        <w:tblLayout w:type="fixed"/>
        <w:tblLook w:val="04A0" w:firstRow="1" w:lastRow="0" w:firstColumn="1" w:lastColumn="0" w:noHBand="0" w:noVBand="1"/>
      </w:tblPr>
      <w:tblGrid>
        <w:gridCol w:w="2254"/>
        <w:gridCol w:w="2254"/>
        <w:gridCol w:w="2254"/>
        <w:gridCol w:w="2254"/>
      </w:tblGrid>
      <w:tr w:rsidR="007E1BE8" w:rsidRPr="00867EAD" w14:paraId="36C4B1A4" w14:textId="77777777" w:rsidTr="001C5644">
        <w:trPr>
          <w:cantSplit/>
        </w:trPr>
        <w:tc>
          <w:tcPr>
            <w:tcW w:w="5000" w:type="pct"/>
            <w:gridSpan w:val="4"/>
            <w:shd w:val="clear" w:color="auto" w:fill="D9D9D9" w:themeFill="background1" w:themeFillShade="D9"/>
          </w:tcPr>
          <w:p w14:paraId="721F531F" w14:textId="3E2A5DD5" w:rsidR="001C5644" w:rsidRPr="00867EAD" w:rsidRDefault="001C5644" w:rsidP="007E1BE8">
            <w:pPr>
              <w:pStyle w:val="Tabletext"/>
              <w:keepNext/>
              <w:spacing w:before="120" w:after="120"/>
              <w:rPr>
                <w:b/>
              </w:rPr>
            </w:pPr>
            <w:r w:rsidRPr="00867EAD">
              <w:rPr>
                <w:b/>
              </w:rPr>
              <w:t>Site component categories</w:t>
            </w:r>
          </w:p>
        </w:tc>
      </w:tr>
      <w:tr w:rsidR="007E1BE8" w:rsidRPr="00867EAD" w14:paraId="0DD51BBD" w14:textId="77777777" w:rsidTr="007E1BE8">
        <w:trPr>
          <w:cantSplit/>
        </w:trPr>
        <w:tc>
          <w:tcPr>
            <w:tcW w:w="1250" w:type="pct"/>
          </w:tcPr>
          <w:p w14:paraId="50DCD81E" w14:textId="0B75BBA5" w:rsidR="001C5644" w:rsidRPr="00867EAD" w:rsidRDefault="001C5644" w:rsidP="007E1BE8">
            <w:pPr>
              <w:pStyle w:val="Tabletext"/>
              <w:keepNext/>
              <w:rPr>
                <w:b/>
              </w:rPr>
            </w:pPr>
            <w:r w:rsidRPr="00867EAD">
              <w:rPr>
                <w:b/>
              </w:rPr>
              <w:t>Site Components</w:t>
            </w:r>
          </w:p>
        </w:tc>
        <w:tc>
          <w:tcPr>
            <w:tcW w:w="1250" w:type="pct"/>
          </w:tcPr>
          <w:p w14:paraId="435BCC77" w14:textId="718D49E3" w:rsidR="001C5644" w:rsidRPr="00867EAD" w:rsidRDefault="001C5644" w:rsidP="007E1BE8">
            <w:pPr>
              <w:pStyle w:val="Tabletext"/>
              <w:keepNext/>
              <w:rPr>
                <w:b/>
              </w:rPr>
            </w:pPr>
            <w:r w:rsidRPr="00867EAD">
              <w:rPr>
                <w:b/>
              </w:rPr>
              <w:t>Category 1</w:t>
            </w:r>
          </w:p>
        </w:tc>
        <w:tc>
          <w:tcPr>
            <w:tcW w:w="1250" w:type="pct"/>
          </w:tcPr>
          <w:p w14:paraId="33BFDBB4" w14:textId="6E3F28E6" w:rsidR="001C5644" w:rsidRPr="00867EAD" w:rsidRDefault="001C5644" w:rsidP="007E1BE8">
            <w:pPr>
              <w:pStyle w:val="Tabletext"/>
              <w:keepNext/>
              <w:rPr>
                <w:b/>
              </w:rPr>
            </w:pPr>
            <w:r w:rsidRPr="00867EAD">
              <w:rPr>
                <w:b/>
              </w:rPr>
              <w:t>Category 2</w:t>
            </w:r>
          </w:p>
        </w:tc>
        <w:tc>
          <w:tcPr>
            <w:tcW w:w="1250" w:type="pct"/>
          </w:tcPr>
          <w:p w14:paraId="625C6680" w14:textId="70B93010" w:rsidR="001C5644" w:rsidRPr="00867EAD" w:rsidRDefault="001C5644" w:rsidP="007E1BE8">
            <w:pPr>
              <w:pStyle w:val="Tabletext"/>
              <w:keepNext/>
              <w:rPr>
                <w:b/>
              </w:rPr>
            </w:pPr>
            <w:r w:rsidRPr="00867EAD">
              <w:rPr>
                <w:b/>
              </w:rPr>
              <w:t>Category 3</w:t>
            </w:r>
          </w:p>
        </w:tc>
      </w:tr>
      <w:tr w:rsidR="007E1BE8" w:rsidRPr="00867EAD" w14:paraId="49F28FAF" w14:textId="77777777" w:rsidTr="007E1BE8">
        <w:trPr>
          <w:cantSplit/>
        </w:trPr>
        <w:tc>
          <w:tcPr>
            <w:tcW w:w="1250" w:type="pct"/>
          </w:tcPr>
          <w:p w14:paraId="21897412" w14:textId="7A88E4A9" w:rsidR="001C5644" w:rsidRPr="00867EAD" w:rsidRDefault="001C5644" w:rsidP="007E1BE8">
            <w:pPr>
              <w:pStyle w:val="Tabletext"/>
              <w:keepNext/>
            </w:pPr>
            <w:r w:rsidRPr="00867EAD">
              <w:t>Understorey</w:t>
            </w:r>
            <w:r w:rsidRPr="00867EAD">
              <w:rPr>
                <w:vertAlign w:val="superscript"/>
              </w:rPr>
              <w:t>A</w:t>
            </w:r>
          </w:p>
          <w:p w14:paraId="31369CAC" w14:textId="21F37D19" w:rsidR="001C5644" w:rsidRPr="00867EAD" w:rsidRDefault="001C5644" w:rsidP="007E1BE8">
            <w:pPr>
              <w:pStyle w:val="Tabletext"/>
              <w:keepNext/>
              <w:rPr>
                <w:i/>
              </w:rPr>
            </w:pPr>
            <w:r w:rsidRPr="00867EAD">
              <w:rPr>
                <w:i/>
              </w:rPr>
              <w:t>Number of major life forms</w:t>
            </w:r>
            <w:r w:rsidR="00F11B2E" w:rsidRPr="00867EAD">
              <w:rPr>
                <w:i/>
              </w:rPr>
              <w:t xml:space="preserve"> present</w:t>
            </w:r>
          </w:p>
          <w:p w14:paraId="7AC7C853" w14:textId="77777777" w:rsidR="001C5644" w:rsidRPr="00867EAD" w:rsidRDefault="001C5644" w:rsidP="007E1BE8">
            <w:pPr>
              <w:pStyle w:val="Tabletext"/>
              <w:keepNext/>
              <w:rPr>
                <w:i/>
              </w:rPr>
            </w:pPr>
          </w:p>
          <w:p w14:paraId="10BD54DF" w14:textId="662986C3" w:rsidR="001C5644" w:rsidRPr="00867EAD" w:rsidRDefault="001C5644" w:rsidP="007E1BE8">
            <w:pPr>
              <w:pStyle w:val="Tabletext"/>
              <w:keepNext/>
              <w:rPr>
                <w:i/>
              </w:rPr>
            </w:pPr>
          </w:p>
        </w:tc>
        <w:tc>
          <w:tcPr>
            <w:tcW w:w="1250" w:type="pct"/>
          </w:tcPr>
          <w:p w14:paraId="4A6DB1EC" w14:textId="1AE9414C" w:rsidR="001C5644" w:rsidRPr="00867EAD" w:rsidRDefault="001C5644" w:rsidP="007E1BE8">
            <w:pPr>
              <w:pStyle w:val="Tabletext"/>
              <w:keepNext/>
            </w:pPr>
            <w:r w:rsidRPr="00867EAD">
              <w:t>Largely absent:</w:t>
            </w:r>
          </w:p>
          <w:p w14:paraId="1BC66FA3" w14:textId="1164A257" w:rsidR="001C5644" w:rsidRPr="00867EAD" w:rsidRDefault="006B3C3D" w:rsidP="007E1BE8">
            <w:pPr>
              <w:pStyle w:val="Tabletext"/>
              <w:keepNext/>
            </w:pPr>
            <w:r w:rsidRPr="00867EAD">
              <w:t>&lt;</w:t>
            </w:r>
            <w:r w:rsidR="00F11B2E" w:rsidRPr="00867EAD">
              <w:t>4</w:t>
            </w:r>
            <w:r w:rsidR="001C5644" w:rsidRPr="00867EAD">
              <w:t xml:space="preserve"> lifeforms present</w:t>
            </w:r>
          </w:p>
        </w:tc>
        <w:tc>
          <w:tcPr>
            <w:tcW w:w="1250" w:type="pct"/>
          </w:tcPr>
          <w:p w14:paraId="7D191AC2" w14:textId="77777777" w:rsidR="00F11B2E" w:rsidRPr="00867EAD" w:rsidRDefault="00F11B2E" w:rsidP="007E1BE8">
            <w:pPr>
              <w:pStyle w:val="Tabletext"/>
              <w:keepNext/>
            </w:pPr>
            <w:r w:rsidRPr="00867EAD">
              <w:t>Limited structural diversity:</w:t>
            </w:r>
          </w:p>
          <w:p w14:paraId="22332DF4" w14:textId="55A90249" w:rsidR="001C5644" w:rsidRPr="00867EAD" w:rsidRDefault="006B3C3D" w:rsidP="007E1BE8">
            <w:pPr>
              <w:pStyle w:val="Tabletext"/>
              <w:keepNext/>
            </w:pPr>
            <w:r w:rsidRPr="00867EAD">
              <w:t>4-5</w:t>
            </w:r>
            <w:r w:rsidR="00F11B2E" w:rsidRPr="00867EAD">
              <w:t xml:space="preserve"> lifeforms present </w:t>
            </w:r>
          </w:p>
        </w:tc>
        <w:tc>
          <w:tcPr>
            <w:tcW w:w="1250" w:type="pct"/>
          </w:tcPr>
          <w:p w14:paraId="775B5661" w14:textId="73F05A9E" w:rsidR="001C5644" w:rsidRPr="00867EAD" w:rsidRDefault="001C5644" w:rsidP="007E1BE8">
            <w:pPr>
              <w:pStyle w:val="Tabletext"/>
              <w:keepNext/>
            </w:pPr>
            <w:r w:rsidRPr="00867EAD">
              <w:t>Obvious structural diversity:</w:t>
            </w:r>
          </w:p>
          <w:p w14:paraId="68C43357" w14:textId="008D8319" w:rsidR="001C5644" w:rsidRPr="00867EAD" w:rsidRDefault="00F11B2E" w:rsidP="007E1BE8">
            <w:pPr>
              <w:pStyle w:val="Tabletext"/>
              <w:keepNext/>
            </w:pPr>
            <w:r w:rsidRPr="00867EAD">
              <w:t>≥6 lifeforms present</w:t>
            </w:r>
          </w:p>
        </w:tc>
      </w:tr>
      <w:tr w:rsidR="00867EAD" w:rsidRPr="00867EAD" w14:paraId="37DFC954" w14:textId="77777777" w:rsidTr="007E1BE8">
        <w:trPr>
          <w:cantSplit/>
        </w:trPr>
        <w:tc>
          <w:tcPr>
            <w:tcW w:w="1250" w:type="pct"/>
            <w:shd w:val="clear" w:color="auto" w:fill="auto"/>
          </w:tcPr>
          <w:p w14:paraId="310AF256" w14:textId="12E7CE42" w:rsidR="001C5644" w:rsidRPr="00867EAD" w:rsidRDefault="001C5644" w:rsidP="007E1BE8">
            <w:pPr>
              <w:pStyle w:val="Tabletext"/>
              <w:keepNext/>
            </w:pPr>
            <w:r w:rsidRPr="00867EAD">
              <w:t>Recruitment</w:t>
            </w:r>
            <w:r w:rsidRPr="00867EAD">
              <w:rPr>
                <w:vertAlign w:val="superscript"/>
              </w:rPr>
              <w:t>B</w:t>
            </w:r>
          </w:p>
          <w:p w14:paraId="71BD9785" w14:textId="689DFE3C" w:rsidR="001C5644" w:rsidRPr="00867EAD" w:rsidRDefault="00F11B2E" w:rsidP="007E1BE8">
            <w:pPr>
              <w:pStyle w:val="Tabletext"/>
              <w:keepNext/>
              <w:rPr>
                <w:i/>
              </w:rPr>
            </w:pPr>
            <w:r w:rsidRPr="00867EAD">
              <w:rPr>
                <w:i/>
              </w:rPr>
              <w:t>Proportion</w:t>
            </w:r>
            <w:r w:rsidR="001C5644" w:rsidRPr="00867EAD">
              <w:rPr>
                <w:i/>
              </w:rPr>
              <w:t xml:space="preserve"> of species </w:t>
            </w:r>
            <w:r w:rsidR="006B3C3D" w:rsidRPr="00867EAD">
              <w:rPr>
                <w:i/>
              </w:rPr>
              <w:t xml:space="preserve">present </w:t>
            </w:r>
            <w:r w:rsidR="001C5644" w:rsidRPr="00867EAD">
              <w:rPr>
                <w:i/>
              </w:rPr>
              <w:t>with immature specimens</w:t>
            </w:r>
          </w:p>
        </w:tc>
        <w:tc>
          <w:tcPr>
            <w:tcW w:w="1250" w:type="pct"/>
            <w:shd w:val="clear" w:color="auto" w:fill="auto"/>
          </w:tcPr>
          <w:p w14:paraId="116AB54B" w14:textId="6B4EEEFA" w:rsidR="001C5644" w:rsidRPr="00867EAD" w:rsidRDefault="001C5644" w:rsidP="007E1BE8">
            <w:pPr>
              <w:pStyle w:val="Tabletext"/>
              <w:keepNext/>
            </w:pPr>
            <w:r w:rsidRPr="00867EAD">
              <w:t>Absent:</w:t>
            </w:r>
          </w:p>
          <w:p w14:paraId="45B9A7FB" w14:textId="36114336" w:rsidR="001C5644" w:rsidRPr="00867EAD" w:rsidRDefault="006B3C3D" w:rsidP="007E1BE8">
            <w:pPr>
              <w:pStyle w:val="Tabletext"/>
              <w:keepNext/>
            </w:pPr>
            <w:r w:rsidRPr="00867EAD">
              <w:t>&lt;30% of</w:t>
            </w:r>
            <w:r w:rsidR="001C5644" w:rsidRPr="00867EAD">
              <w:t xml:space="preserve"> species showing adequate recruitment</w:t>
            </w:r>
          </w:p>
        </w:tc>
        <w:tc>
          <w:tcPr>
            <w:tcW w:w="1250" w:type="pct"/>
            <w:shd w:val="clear" w:color="auto" w:fill="auto"/>
          </w:tcPr>
          <w:p w14:paraId="202957B7" w14:textId="77777777" w:rsidR="001C5644" w:rsidRPr="00867EAD" w:rsidRDefault="001C5644" w:rsidP="007E1BE8">
            <w:pPr>
              <w:pStyle w:val="Tabletext"/>
              <w:keepNext/>
            </w:pPr>
            <w:r w:rsidRPr="00867EAD">
              <w:t xml:space="preserve">Uncommon: </w:t>
            </w:r>
          </w:p>
          <w:p w14:paraId="631BE657" w14:textId="04A1C6F9" w:rsidR="001C5644" w:rsidRPr="00867EAD" w:rsidRDefault="006B3C3D" w:rsidP="007E1BE8">
            <w:pPr>
              <w:pStyle w:val="Tabletext"/>
              <w:keepNext/>
            </w:pPr>
            <w:r w:rsidRPr="00867EAD">
              <w:t>30% - 70% of species showing adequate recruitment</w:t>
            </w:r>
          </w:p>
        </w:tc>
        <w:tc>
          <w:tcPr>
            <w:tcW w:w="1250" w:type="pct"/>
            <w:shd w:val="clear" w:color="auto" w:fill="auto"/>
          </w:tcPr>
          <w:p w14:paraId="5A313328" w14:textId="77777777" w:rsidR="001C5644" w:rsidRPr="00867EAD" w:rsidRDefault="001C5644" w:rsidP="007E1BE8">
            <w:pPr>
              <w:pStyle w:val="Tabletext"/>
              <w:keepNext/>
            </w:pPr>
            <w:r w:rsidRPr="00867EAD">
              <w:t>Common:</w:t>
            </w:r>
          </w:p>
          <w:p w14:paraId="516557A2" w14:textId="5C62D293" w:rsidR="001C5644" w:rsidRPr="00867EAD" w:rsidRDefault="006B3C3D" w:rsidP="007E1BE8">
            <w:pPr>
              <w:pStyle w:val="Tabletext"/>
              <w:keepNext/>
            </w:pPr>
            <w:r w:rsidRPr="00867EAD">
              <w:t>&gt;70% of species showing adequate recruitment</w:t>
            </w:r>
          </w:p>
        </w:tc>
      </w:tr>
      <w:tr w:rsidR="007E1BE8" w:rsidRPr="00867EAD" w14:paraId="7A17BA8C" w14:textId="77777777" w:rsidTr="007E1BE8">
        <w:trPr>
          <w:cantSplit/>
        </w:trPr>
        <w:tc>
          <w:tcPr>
            <w:tcW w:w="1250" w:type="pct"/>
            <w:shd w:val="clear" w:color="auto" w:fill="auto"/>
          </w:tcPr>
          <w:p w14:paraId="3C52F29F" w14:textId="6DFFC988" w:rsidR="001C5644" w:rsidRPr="00867EAD" w:rsidRDefault="001C5644" w:rsidP="007E1BE8">
            <w:pPr>
              <w:pStyle w:val="Tabletext"/>
              <w:keepNext/>
            </w:pPr>
            <w:r w:rsidRPr="00867EAD">
              <w:t>Lack of weeds</w:t>
            </w:r>
            <w:r w:rsidRPr="00867EAD">
              <w:rPr>
                <w:vertAlign w:val="superscript"/>
              </w:rPr>
              <w:t>C</w:t>
            </w:r>
          </w:p>
          <w:p w14:paraId="1981DE0B" w14:textId="0F5232F7" w:rsidR="001C5644" w:rsidRPr="00867EAD" w:rsidRDefault="001C5644" w:rsidP="007E1BE8">
            <w:pPr>
              <w:pStyle w:val="Tabletext"/>
              <w:keepNext/>
              <w:rPr>
                <w:i/>
              </w:rPr>
            </w:pPr>
            <w:r w:rsidRPr="00867EAD">
              <w:rPr>
                <w:i/>
              </w:rPr>
              <w:t>% exotic cover</w:t>
            </w:r>
          </w:p>
        </w:tc>
        <w:tc>
          <w:tcPr>
            <w:tcW w:w="1250" w:type="pct"/>
            <w:shd w:val="clear" w:color="auto" w:fill="auto"/>
          </w:tcPr>
          <w:p w14:paraId="15808A1F" w14:textId="453EDA2A" w:rsidR="001C5644" w:rsidRPr="00867EAD" w:rsidRDefault="001C5644" w:rsidP="007E1BE8">
            <w:pPr>
              <w:pStyle w:val="Tabletext"/>
              <w:keepNext/>
            </w:pPr>
            <w:r w:rsidRPr="00867EAD">
              <w:t xml:space="preserve">Visually dominated by exotics: </w:t>
            </w:r>
          </w:p>
          <w:p w14:paraId="263014C1" w14:textId="60B2560A" w:rsidR="001C5644" w:rsidRPr="00867EAD" w:rsidRDefault="001C5644" w:rsidP="007E1BE8">
            <w:pPr>
              <w:pStyle w:val="Tabletext"/>
              <w:keepNext/>
            </w:pPr>
            <w:r w:rsidRPr="00867EAD">
              <w:t>&gt;</w:t>
            </w:r>
            <w:r w:rsidR="006B3C3D" w:rsidRPr="00867EAD">
              <w:t>25</w:t>
            </w:r>
            <w:r w:rsidRPr="00867EAD">
              <w:t>% cover</w:t>
            </w:r>
          </w:p>
        </w:tc>
        <w:tc>
          <w:tcPr>
            <w:tcW w:w="1250" w:type="pct"/>
            <w:shd w:val="clear" w:color="auto" w:fill="auto"/>
          </w:tcPr>
          <w:p w14:paraId="401E044D" w14:textId="31C5E32A" w:rsidR="001C5644" w:rsidRPr="00867EAD" w:rsidRDefault="001C5644" w:rsidP="007E1BE8">
            <w:pPr>
              <w:pStyle w:val="Tabletext"/>
              <w:keepNext/>
            </w:pPr>
            <w:r w:rsidRPr="00867EAD">
              <w:t xml:space="preserve">Easily observed exotics: </w:t>
            </w:r>
          </w:p>
          <w:p w14:paraId="1D98F1E7" w14:textId="71B9CD9A" w:rsidR="001C5644" w:rsidRPr="00867EAD" w:rsidRDefault="001C5644" w:rsidP="007E1BE8">
            <w:pPr>
              <w:pStyle w:val="Tabletext"/>
              <w:keepNext/>
            </w:pPr>
            <w:r w:rsidRPr="00867EAD">
              <w:t xml:space="preserve">5% to </w:t>
            </w:r>
            <w:r w:rsidR="006B3C3D" w:rsidRPr="00867EAD">
              <w:t>25</w:t>
            </w:r>
            <w:r w:rsidRPr="00867EAD">
              <w:t xml:space="preserve">% cover </w:t>
            </w:r>
          </w:p>
        </w:tc>
        <w:tc>
          <w:tcPr>
            <w:tcW w:w="1250" w:type="pct"/>
            <w:shd w:val="clear" w:color="auto" w:fill="auto"/>
          </w:tcPr>
          <w:p w14:paraId="0BE93323" w14:textId="4F34C263" w:rsidR="001C5644" w:rsidRPr="00867EAD" w:rsidRDefault="001C5644" w:rsidP="007E1BE8">
            <w:pPr>
              <w:pStyle w:val="Tabletext"/>
              <w:keepNext/>
            </w:pPr>
            <w:r w:rsidRPr="00867EAD">
              <w:t xml:space="preserve">Very rarely observed exotics: </w:t>
            </w:r>
          </w:p>
          <w:p w14:paraId="0F84F0D4" w14:textId="329089B6" w:rsidR="001C5644" w:rsidRPr="00867EAD" w:rsidRDefault="001C5644" w:rsidP="007E1BE8">
            <w:pPr>
              <w:pStyle w:val="Tabletext"/>
              <w:keepNext/>
            </w:pPr>
            <w:r w:rsidRPr="00867EAD">
              <w:t>&lt;5% cover</w:t>
            </w:r>
          </w:p>
        </w:tc>
      </w:tr>
      <w:tr w:rsidR="007E1BE8" w:rsidRPr="00867EAD" w14:paraId="09B055DB" w14:textId="77777777" w:rsidTr="007E1BE8">
        <w:trPr>
          <w:cantSplit/>
        </w:trPr>
        <w:tc>
          <w:tcPr>
            <w:tcW w:w="1250" w:type="pct"/>
            <w:shd w:val="clear" w:color="auto" w:fill="auto"/>
          </w:tcPr>
          <w:p w14:paraId="0930ADDA" w14:textId="42BEF382" w:rsidR="001C5644" w:rsidRPr="00867EAD" w:rsidRDefault="001C5644" w:rsidP="007E1BE8">
            <w:pPr>
              <w:pStyle w:val="Tabletext"/>
              <w:keepNext/>
              <w:rPr>
                <w:bCs/>
              </w:rPr>
            </w:pPr>
            <w:r w:rsidRPr="00867EAD">
              <w:rPr>
                <w:bCs/>
              </w:rPr>
              <w:t>Large Trees</w:t>
            </w:r>
            <w:r w:rsidRPr="00867EAD">
              <w:rPr>
                <w:bCs/>
                <w:vertAlign w:val="superscript"/>
              </w:rPr>
              <w:t>D</w:t>
            </w:r>
          </w:p>
          <w:p w14:paraId="1CE39942" w14:textId="4002E301" w:rsidR="001C5644" w:rsidRPr="00867EAD" w:rsidRDefault="001C5644" w:rsidP="007E1BE8">
            <w:pPr>
              <w:pStyle w:val="Tabletext"/>
              <w:keepNext/>
              <w:rPr>
                <w:bCs/>
                <w:i/>
                <w:iCs/>
              </w:rPr>
            </w:pPr>
            <w:r w:rsidRPr="00867EAD">
              <w:rPr>
                <w:bCs/>
                <w:i/>
                <w:iCs/>
              </w:rPr>
              <w:t xml:space="preserve">Number/ha </w:t>
            </w:r>
          </w:p>
        </w:tc>
        <w:tc>
          <w:tcPr>
            <w:tcW w:w="1250" w:type="pct"/>
            <w:shd w:val="clear" w:color="auto" w:fill="auto"/>
          </w:tcPr>
          <w:p w14:paraId="627B3032" w14:textId="1E94FDBC" w:rsidR="001C5644" w:rsidRPr="00867EAD" w:rsidRDefault="001C5644" w:rsidP="007E1BE8">
            <w:pPr>
              <w:pStyle w:val="Tabletext"/>
              <w:keepNext/>
            </w:pPr>
            <w:r w:rsidRPr="00867EAD">
              <w:t>Largely absent:</w:t>
            </w:r>
          </w:p>
          <w:p w14:paraId="2AF4E959" w14:textId="280478E2" w:rsidR="001C5644" w:rsidRPr="00867EAD" w:rsidRDefault="001C5644" w:rsidP="007E1BE8">
            <w:pPr>
              <w:pStyle w:val="Tabletext"/>
              <w:keepNext/>
            </w:pPr>
            <w:r w:rsidRPr="00867EAD">
              <w:t>&lt;</w:t>
            </w:r>
            <w:r w:rsidR="006B3C3D" w:rsidRPr="00867EAD">
              <w:t>5</w:t>
            </w:r>
            <w:r w:rsidRPr="00867EAD">
              <w:t>/ha</w:t>
            </w:r>
          </w:p>
        </w:tc>
        <w:tc>
          <w:tcPr>
            <w:tcW w:w="1250" w:type="pct"/>
            <w:shd w:val="clear" w:color="auto" w:fill="auto"/>
          </w:tcPr>
          <w:p w14:paraId="3ECADCFD" w14:textId="3EADB4BD" w:rsidR="001C5644" w:rsidRPr="00867EAD" w:rsidRDefault="001C5644" w:rsidP="007E1BE8">
            <w:pPr>
              <w:pStyle w:val="Tabletext"/>
              <w:keepNext/>
            </w:pPr>
            <w:r w:rsidRPr="00867EAD">
              <w:t>F</w:t>
            </w:r>
            <w:r w:rsidR="007E1BE8">
              <w:t>ew</w:t>
            </w:r>
            <w:r w:rsidRPr="00867EAD">
              <w:t>:</w:t>
            </w:r>
          </w:p>
          <w:p w14:paraId="10A8C67D" w14:textId="40AF7C01" w:rsidR="001C5644" w:rsidRPr="00867EAD" w:rsidRDefault="006B3C3D" w:rsidP="007E1BE8">
            <w:pPr>
              <w:pStyle w:val="Tabletext"/>
              <w:keepNext/>
            </w:pPr>
            <w:r w:rsidRPr="00867EAD">
              <w:t>5-17/</w:t>
            </w:r>
            <w:r w:rsidR="001C5644" w:rsidRPr="00867EAD">
              <w:t>ha</w:t>
            </w:r>
          </w:p>
        </w:tc>
        <w:tc>
          <w:tcPr>
            <w:tcW w:w="1250" w:type="pct"/>
            <w:shd w:val="clear" w:color="auto" w:fill="auto"/>
          </w:tcPr>
          <w:p w14:paraId="636DAD7D" w14:textId="7EF24790" w:rsidR="001C5644" w:rsidRPr="00867EAD" w:rsidRDefault="007E1BE8" w:rsidP="007E1BE8">
            <w:pPr>
              <w:pStyle w:val="Tabletext"/>
              <w:keepNext/>
            </w:pPr>
            <w:r>
              <w:t>Many</w:t>
            </w:r>
            <w:r w:rsidR="001C5644" w:rsidRPr="00867EAD">
              <w:t>:</w:t>
            </w:r>
          </w:p>
          <w:p w14:paraId="35D36401" w14:textId="327276C0" w:rsidR="001C5644" w:rsidRPr="00867EAD" w:rsidRDefault="006B3C3D" w:rsidP="007E1BE8">
            <w:pPr>
              <w:pStyle w:val="Tabletext"/>
              <w:keepNext/>
            </w:pPr>
            <w:r w:rsidRPr="00867EAD">
              <w:t>≥18</w:t>
            </w:r>
            <w:r w:rsidR="001C5644" w:rsidRPr="00867EAD">
              <w:t>/ha</w:t>
            </w:r>
          </w:p>
        </w:tc>
      </w:tr>
      <w:tr w:rsidR="007E1BE8" w:rsidRPr="00867EAD" w14:paraId="1724E77A" w14:textId="77777777" w:rsidTr="007E1BE8">
        <w:trPr>
          <w:cantSplit/>
        </w:trPr>
        <w:tc>
          <w:tcPr>
            <w:tcW w:w="1250" w:type="pct"/>
            <w:shd w:val="clear" w:color="auto" w:fill="auto"/>
          </w:tcPr>
          <w:p w14:paraId="0FD1391E" w14:textId="58DC1F00" w:rsidR="001C5644" w:rsidRPr="00867EAD" w:rsidRDefault="001C5644" w:rsidP="007E1BE8">
            <w:pPr>
              <w:pStyle w:val="Tabletext"/>
              <w:keepNext/>
              <w:rPr>
                <w:bCs/>
              </w:rPr>
            </w:pPr>
            <w:r w:rsidRPr="00867EAD">
              <w:rPr>
                <w:bCs/>
              </w:rPr>
              <w:t>Tree canopy cover</w:t>
            </w:r>
            <w:r w:rsidRPr="00867EAD">
              <w:rPr>
                <w:bCs/>
                <w:vertAlign w:val="superscript"/>
              </w:rPr>
              <w:t>E</w:t>
            </w:r>
          </w:p>
          <w:p w14:paraId="1B1098E5" w14:textId="2160BD12" w:rsidR="001C5644" w:rsidRPr="00867EAD" w:rsidRDefault="001C5644" w:rsidP="007E1BE8">
            <w:pPr>
              <w:pStyle w:val="Tabletext"/>
              <w:keepNext/>
              <w:rPr>
                <w:bCs/>
                <w:i/>
              </w:rPr>
            </w:pPr>
            <w:r w:rsidRPr="00867EAD">
              <w:rPr>
                <w:bCs/>
                <w:i/>
              </w:rPr>
              <w:t>% cover</w:t>
            </w:r>
          </w:p>
        </w:tc>
        <w:tc>
          <w:tcPr>
            <w:tcW w:w="1250" w:type="pct"/>
            <w:shd w:val="clear" w:color="auto" w:fill="auto"/>
          </w:tcPr>
          <w:p w14:paraId="19A62A36" w14:textId="77777777" w:rsidR="001C5644" w:rsidRPr="00867EAD" w:rsidRDefault="001C5644" w:rsidP="007E1BE8">
            <w:pPr>
              <w:pStyle w:val="Tabletext"/>
              <w:keepNext/>
            </w:pPr>
            <w:r w:rsidRPr="00867EAD">
              <w:t>Absent:</w:t>
            </w:r>
          </w:p>
          <w:p w14:paraId="66C655FE" w14:textId="15DA261F" w:rsidR="001C5644" w:rsidRPr="00867EAD" w:rsidRDefault="001C5644" w:rsidP="007E1BE8">
            <w:pPr>
              <w:pStyle w:val="Tabletext"/>
              <w:keepNext/>
            </w:pPr>
            <w:r w:rsidRPr="00867EAD">
              <w:t>&lt;</w:t>
            </w:r>
            <w:r w:rsidR="006B3C3D" w:rsidRPr="00867EAD">
              <w:t>3</w:t>
            </w:r>
            <w:r w:rsidRPr="00867EAD">
              <w:t>% canopy cover</w:t>
            </w:r>
          </w:p>
        </w:tc>
        <w:tc>
          <w:tcPr>
            <w:tcW w:w="1250" w:type="pct"/>
            <w:shd w:val="clear" w:color="auto" w:fill="auto"/>
          </w:tcPr>
          <w:p w14:paraId="065A5F88" w14:textId="24E1D0FB" w:rsidR="001C5644" w:rsidRPr="00867EAD" w:rsidRDefault="001C5644" w:rsidP="007E1BE8">
            <w:pPr>
              <w:pStyle w:val="Tabletext"/>
              <w:keepNext/>
            </w:pPr>
            <w:r w:rsidRPr="00867EAD">
              <w:t>Scattered and sparse:</w:t>
            </w:r>
          </w:p>
          <w:p w14:paraId="61DDD214" w14:textId="75F424F2" w:rsidR="001C5644" w:rsidRPr="00867EAD" w:rsidRDefault="006B3C3D" w:rsidP="007E1BE8">
            <w:pPr>
              <w:pStyle w:val="Tabletext"/>
              <w:keepNext/>
            </w:pPr>
            <w:r w:rsidRPr="00867EAD">
              <w:t>3</w:t>
            </w:r>
            <w:r w:rsidR="001C5644" w:rsidRPr="00867EAD">
              <w:t>% - 15% canopy cover</w:t>
            </w:r>
          </w:p>
        </w:tc>
        <w:tc>
          <w:tcPr>
            <w:tcW w:w="1250" w:type="pct"/>
            <w:shd w:val="clear" w:color="auto" w:fill="auto"/>
          </w:tcPr>
          <w:p w14:paraId="08DE8887" w14:textId="4E8E221C" w:rsidR="001C5644" w:rsidRPr="00867EAD" w:rsidRDefault="001C5644" w:rsidP="007E1BE8">
            <w:pPr>
              <w:pStyle w:val="Tabletext"/>
              <w:keepNext/>
            </w:pPr>
            <w:r w:rsidRPr="00867EAD">
              <w:t>Complete:</w:t>
            </w:r>
          </w:p>
          <w:p w14:paraId="15D13D2F" w14:textId="09609260" w:rsidR="001C5644" w:rsidRPr="00867EAD" w:rsidRDefault="001C5644" w:rsidP="007E1BE8">
            <w:pPr>
              <w:pStyle w:val="Tabletext"/>
              <w:keepNext/>
            </w:pPr>
            <w:r w:rsidRPr="00867EAD">
              <w:t>&gt;15% canopy cover</w:t>
            </w:r>
          </w:p>
        </w:tc>
      </w:tr>
      <w:tr w:rsidR="007E1BE8" w:rsidRPr="00867EAD" w14:paraId="33DC020D" w14:textId="77777777" w:rsidTr="007E1BE8">
        <w:trPr>
          <w:cantSplit/>
        </w:trPr>
        <w:tc>
          <w:tcPr>
            <w:tcW w:w="1250" w:type="pct"/>
            <w:shd w:val="clear" w:color="auto" w:fill="auto"/>
          </w:tcPr>
          <w:p w14:paraId="08EBFB09" w14:textId="23DDA71C" w:rsidR="001C5644" w:rsidRPr="00867EAD" w:rsidRDefault="001C5644" w:rsidP="007E1BE8">
            <w:pPr>
              <w:pStyle w:val="Tabletext"/>
              <w:keepNext/>
            </w:pPr>
            <w:r w:rsidRPr="00867EAD">
              <w:t>Organic litter</w:t>
            </w:r>
            <w:r w:rsidRPr="00867EAD">
              <w:rPr>
                <w:vertAlign w:val="superscript"/>
              </w:rPr>
              <w:t>F</w:t>
            </w:r>
          </w:p>
          <w:p w14:paraId="10B69928" w14:textId="0DE661F9" w:rsidR="001C5644" w:rsidRPr="00867EAD" w:rsidRDefault="001C5644" w:rsidP="007E1BE8">
            <w:pPr>
              <w:pStyle w:val="Tabletext"/>
              <w:keepNext/>
              <w:rPr>
                <w:i/>
              </w:rPr>
            </w:pPr>
            <w:r w:rsidRPr="00867EAD">
              <w:rPr>
                <w:i/>
              </w:rPr>
              <w:t>% cover</w:t>
            </w:r>
          </w:p>
        </w:tc>
        <w:tc>
          <w:tcPr>
            <w:tcW w:w="1250" w:type="pct"/>
            <w:shd w:val="clear" w:color="auto" w:fill="auto"/>
          </w:tcPr>
          <w:p w14:paraId="481E3C71" w14:textId="73A3DA29" w:rsidR="001C5644" w:rsidRPr="00867EAD" w:rsidRDefault="006B3C3D" w:rsidP="007E1BE8">
            <w:pPr>
              <w:pStyle w:val="Tabletext"/>
              <w:keepNext/>
            </w:pPr>
            <w:r w:rsidRPr="00867EAD">
              <w:t>Absent or &lt;7</w:t>
            </w:r>
            <w:r w:rsidR="001C5644" w:rsidRPr="00867EAD">
              <w:t>% cover</w:t>
            </w:r>
          </w:p>
        </w:tc>
        <w:tc>
          <w:tcPr>
            <w:tcW w:w="1250" w:type="pct"/>
            <w:shd w:val="clear" w:color="auto" w:fill="auto"/>
          </w:tcPr>
          <w:p w14:paraId="30DBDECA" w14:textId="300C6276" w:rsidR="001C5644" w:rsidRPr="00867EAD" w:rsidRDefault="001C5644" w:rsidP="007E1BE8">
            <w:pPr>
              <w:pStyle w:val="Tabletext"/>
              <w:keepNext/>
            </w:pPr>
            <w:r w:rsidRPr="00867EAD">
              <w:t>low cover:</w:t>
            </w:r>
          </w:p>
          <w:p w14:paraId="4B019BA2" w14:textId="76A321EE" w:rsidR="001C5644" w:rsidRPr="00867EAD" w:rsidRDefault="006B3C3D" w:rsidP="007E1BE8">
            <w:pPr>
              <w:pStyle w:val="Tabletext"/>
              <w:keepNext/>
            </w:pPr>
            <w:r w:rsidRPr="00867EAD">
              <w:t>7</w:t>
            </w:r>
            <w:r w:rsidR="001C5644" w:rsidRPr="00867EAD">
              <w:t>%-35% cover</w:t>
            </w:r>
          </w:p>
        </w:tc>
        <w:tc>
          <w:tcPr>
            <w:tcW w:w="1250" w:type="pct"/>
            <w:shd w:val="clear" w:color="auto" w:fill="auto"/>
          </w:tcPr>
          <w:p w14:paraId="0AFC1D4E" w14:textId="77777777" w:rsidR="001C5644" w:rsidRPr="00867EAD" w:rsidRDefault="001C5644" w:rsidP="007E1BE8">
            <w:pPr>
              <w:pStyle w:val="Tabletext"/>
              <w:keepNext/>
            </w:pPr>
            <w:r w:rsidRPr="00867EAD">
              <w:t>high cover:</w:t>
            </w:r>
          </w:p>
          <w:p w14:paraId="17BC74DD" w14:textId="3E12561E" w:rsidR="001C5644" w:rsidRPr="00867EAD" w:rsidRDefault="006B3C3D" w:rsidP="007E1BE8">
            <w:pPr>
              <w:pStyle w:val="Tabletext"/>
              <w:keepNext/>
            </w:pPr>
            <w:r w:rsidRPr="00867EAD">
              <w:t>&gt;</w:t>
            </w:r>
            <w:r w:rsidR="001C5644" w:rsidRPr="00867EAD">
              <w:t>35% cover</w:t>
            </w:r>
          </w:p>
        </w:tc>
      </w:tr>
      <w:tr w:rsidR="00867EAD" w:rsidRPr="00867EAD" w14:paraId="4CB27C1B" w14:textId="77777777" w:rsidTr="007E1BE8">
        <w:trPr>
          <w:cantSplit/>
        </w:trPr>
        <w:tc>
          <w:tcPr>
            <w:tcW w:w="1250" w:type="pct"/>
            <w:shd w:val="clear" w:color="auto" w:fill="auto"/>
          </w:tcPr>
          <w:p w14:paraId="1968204A" w14:textId="7C5E443A" w:rsidR="001C5644" w:rsidRPr="00867EAD" w:rsidRDefault="001C5644" w:rsidP="007E1BE8">
            <w:pPr>
              <w:pStyle w:val="Tabletext"/>
              <w:keepNext/>
            </w:pPr>
            <w:r w:rsidRPr="00867EAD">
              <w:t>Logs</w:t>
            </w:r>
            <w:r w:rsidRPr="00867EAD">
              <w:rPr>
                <w:vertAlign w:val="superscript"/>
              </w:rPr>
              <w:t>G</w:t>
            </w:r>
          </w:p>
          <w:p w14:paraId="0215C1AB" w14:textId="4AAB74C6" w:rsidR="001C5644" w:rsidRPr="00867EAD" w:rsidRDefault="001C5644" w:rsidP="007E1BE8">
            <w:pPr>
              <w:pStyle w:val="Tabletext"/>
              <w:keepNext/>
              <w:rPr>
                <w:i/>
              </w:rPr>
            </w:pPr>
            <w:r w:rsidRPr="00867EAD">
              <w:rPr>
                <w:i/>
              </w:rPr>
              <w:t>m/ha</w:t>
            </w:r>
          </w:p>
        </w:tc>
        <w:tc>
          <w:tcPr>
            <w:tcW w:w="1250" w:type="pct"/>
            <w:shd w:val="clear" w:color="auto" w:fill="auto"/>
          </w:tcPr>
          <w:p w14:paraId="17B3606A" w14:textId="44F507C9" w:rsidR="001C5644" w:rsidRPr="00867EAD" w:rsidRDefault="001C5644" w:rsidP="007E1BE8">
            <w:pPr>
              <w:pStyle w:val="Tabletext"/>
              <w:keepNext/>
            </w:pPr>
            <w:r w:rsidRPr="00867EAD">
              <w:t>Absent:</w:t>
            </w:r>
          </w:p>
          <w:p w14:paraId="57868B31" w14:textId="3E37F06C" w:rsidR="001C5644" w:rsidRPr="00867EAD" w:rsidRDefault="006B3C3D" w:rsidP="007E1BE8">
            <w:pPr>
              <w:pStyle w:val="Tabletext"/>
              <w:keepNext/>
            </w:pPr>
            <w:r w:rsidRPr="00867EAD">
              <w:t>&lt;4</w:t>
            </w:r>
            <w:r w:rsidR="001C5644" w:rsidRPr="00867EAD">
              <w:t>m/0.1ha</w:t>
            </w:r>
          </w:p>
        </w:tc>
        <w:tc>
          <w:tcPr>
            <w:tcW w:w="1250" w:type="pct"/>
            <w:shd w:val="clear" w:color="auto" w:fill="auto"/>
          </w:tcPr>
          <w:p w14:paraId="4385986B" w14:textId="345F155D" w:rsidR="001C5644" w:rsidRPr="00867EAD" w:rsidRDefault="006B3C3D" w:rsidP="007E1BE8">
            <w:pPr>
              <w:pStyle w:val="Tabletext"/>
              <w:keepNext/>
            </w:pPr>
            <w:r w:rsidRPr="00867EAD">
              <w:t>U</w:t>
            </w:r>
            <w:r w:rsidR="001C5644" w:rsidRPr="00867EAD">
              <w:t>ncommon (occasional logs and/or stumps):</w:t>
            </w:r>
          </w:p>
          <w:p w14:paraId="31CFC317" w14:textId="3F3D2730" w:rsidR="001C5644" w:rsidRPr="00867EAD" w:rsidRDefault="006B3C3D" w:rsidP="007E1BE8">
            <w:pPr>
              <w:pStyle w:val="Tabletext"/>
              <w:keepNext/>
            </w:pPr>
            <w:r w:rsidRPr="00867EAD">
              <w:t>4-20</w:t>
            </w:r>
            <w:r w:rsidR="001C5644" w:rsidRPr="00867EAD">
              <w:t>m/0.1ha</w:t>
            </w:r>
          </w:p>
        </w:tc>
        <w:tc>
          <w:tcPr>
            <w:tcW w:w="1250" w:type="pct"/>
            <w:shd w:val="clear" w:color="auto" w:fill="auto"/>
          </w:tcPr>
          <w:p w14:paraId="0A7C0F58" w14:textId="09616F83" w:rsidR="001C5644" w:rsidRPr="00867EAD" w:rsidRDefault="006B3C3D" w:rsidP="007E1BE8">
            <w:pPr>
              <w:pStyle w:val="Tabletext"/>
              <w:keepNext/>
            </w:pPr>
            <w:r w:rsidRPr="00867EAD">
              <w:t>C</w:t>
            </w:r>
            <w:r w:rsidR="001C5644" w:rsidRPr="00867EAD">
              <w:t>ommon (many large logs – large logs easily seen):</w:t>
            </w:r>
          </w:p>
          <w:p w14:paraId="5465491B" w14:textId="54095DA5" w:rsidR="001C5644" w:rsidRPr="00867EAD" w:rsidRDefault="006B3C3D" w:rsidP="007E1BE8">
            <w:pPr>
              <w:pStyle w:val="Tabletext"/>
              <w:keepNext/>
            </w:pPr>
            <w:r w:rsidRPr="00867EAD">
              <w:t>&gt;</w:t>
            </w:r>
            <w:r w:rsidR="001C5644" w:rsidRPr="00867EAD">
              <w:t>20m/0.1ha</w:t>
            </w:r>
          </w:p>
        </w:tc>
      </w:tr>
      <w:tr w:rsidR="00867EAD" w:rsidRPr="00867EAD" w14:paraId="5CD9B287" w14:textId="77777777" w:rsidTr="001C5644">
        <w:trPr>
          <w:cantSplit/>
        </w:trPr>
        <w:tc>
          <w:tcPr>
            <w:tcW w:w="5000" w:type="pct"/>
            <w:gridSpan w:val="4"/>
            <w:shd w:val="clear" w:color="auto" w:fill="auto"/>
          </w:tcPr>
          <w:p w14:paraId="7F9B6838" w14:textId="79B40940" w:rsidR="001C5644" w:rsidRPr="00867EAD" w:rsidRDefault="001C5644" w:rsidP="001C5644">
            <w:pPr>
              <w:pStyle w:val="Tabletext"/>
            </w:pPr>
            <w:r w:rsidRPr="00867EAD">
              <w:t>Notes:</w:t>
            </w:r>
          </w:p>
          <w:p w14:paraId="24C23AA4" w14:textId="6FBBD69E" w:rsidR="001C5644" w:rsidRPr="00867EAD" w:rsidRDefault="001C5644" w:rsidP="001C5644">
            <w:pPr>
              <w:pStyle w:val="Tabletext"/>
            </w:pPr>
            <w:r w:rsidRPr="00867EAD">
              <w:t xml:space="preserve">All site component measurements should be assessed as per the TASVEG </w:t>
            </w:r>
            <w:r w:rsidRPr="00867EAD">
              <w:rPr>
                <w:i/>
              </w:rPr>
              <w:t>Vegetation Condition Manual</w:t>
            </w:r>
            <w:r w:rsidRPr="00867EAD">
              <w:t xml:space="preserve"> (Michaels, 2006).</w:t>
            </w:r>
          </w:p>
          <w:p w14:paraId="5D63FECD" w14:textId="550AEDA5" w:rsidR="001C5644" w:rsidRPr="00867EAD" w:rsidRDefault="001C5644" w:rsidP="001C5644">
            <w:pPr>
              <w:pStyle w:val="Tabletext"/>
            </w:pPr>
            <w:r w:rsidRPr="00867EAD">
              <w:rPr>
                <w:vertAlign w:val="superscript"/>
              </w:rPr>
              <w:t xml:space="preserve">A </w:t>
            </w:r>
            <w:r w:rsidRPr="00867EAD">
              <w:t>Lifeforms are considered present when the following are met: Subcanopy trees and large shrubs (T) ≥4%cover; Medium and small shrubs (S) ≥1%cover; Herbs and orchids (H) ≥1specimen found; Large sedge/rush/sagglily (LSR) ≥1specimen found; Ground fern and fern allies (GF) ≥2%cover; Scrambler/Climber and Ephiphytes (SCE) ≥1specimen found; Mosses and lichens (ML) ≥1specimen found.</w:t>
            </w:r>
          </w:p>
          <w:p w14:paraId="3FCE956A" w14:textId="5F20E46E" w:rsidR="001C5644" w:rsidRPr="00867EAD" w:rsidRDefault="001C5644" w:rsidP="001C5644">
            <w:pPr>
              <w:pStyle w:val="Tabletext"/>
            </w:pPr>
            <w:r w:rsidRPr="00867EAD">
              <w:rPr>
                <w:vertAlign w:val="superscript"/>
              </w:rPr>
              <w:t xml:space="preserve">B </w:t>
            </w:r>
            <w:r w:rsidR="00347768" w:rsidRPr="00867EAD">
              <w:t xml:space="preserve">Recruitment </w:t>
            </w:r>
            <w:r w:rsidR="0051719A" w:rsidRPr="00867EAD">
              <w:t>is assessed for medium and small shrubs (S), subcanopy trees and large shrubs (T), and canopy trees only. Adequate recruitment for a species is indicated by a number of recruits ≥10% the number of mature specimens. A recruit is defined as an immature plant that contains no evidence of flowering or fruiting material.</w:t>
            </w:r>
          </w:p>
          <w:p w14:paraId="5A706689" w14:textId="0BE83531" w:rsidR="001C5644" w:rsidRPr="00867EAD" w:rsidRDefault="001C5644" w:rsidP="001C5644">
            <w:pPr>
              <w:pStyle w:val="Tabletext"/>
            </w:pPr>
            <w:r w:rsidRPr="00867EAD">
              <w:rPr>
                <w:vertAlign w:val="superscript"/>
              </w:rPr>
              <w:t xml:space="preserve">C </w:t>
            </w:r>
            <w:r w:rsidR="00347768" w:rsidRPr="00867EAD">
              <w:t>Exotics are measured as projective foliage cover of all non-indigenous species</w:t>
            </w:r>
            <w:r w:rsidR="0051719A" w:rsidRPr="00867EAD">
              <w:t>.</w:t>
            </w:r>
          </w:p>
          <w:p w14:paraId="28060E25" w14:textId="664D5B7C" w:rsidR="001C5644" w:rsidRPr="00867EAD" w:rsidRDefault="001C5644" w:rsidP="001C5644">
            <w:pPr>
              <w:pStyle w:val="Tabletext"/>
              <w:rPr>
                <w:bCs/>
              </w:rPr>
            </w:pPr>
            <w:r w:rsidRPr="00867EAD">
              <w:rPr>
                <w:vertAlign w:val="superscript"/>
              </w:rPr>
              <w:t xml:space="preserve">D </w:t>
            </w:r>
            <w:r w:rsidRPr="00867EAD">
              <w:t>Large trees are</w:t>
            </w:r>
            <w:r w:rsidR="006B3C3D" w:rsidRPr="00867EAD">
              <w:t xml:space="preserve"> trees with a DBH (diameter at breast height) of </w:t>
            </w:r>
            <w:r w:rsidRPr="00867EAD">
              <w:rPr>
                <w:bCs/>
              </w:rPr>
              <w:t>≥</w:t>
            </w:r>
            <w:r w:rsidR="00EA70FE" w:rsidRPr="00867EAD">
              <w:rPr>
                <w:bCs/>
              </w:rPr>
              <w:t>80</w:t>
            </w:r>
            <w:r w:rsidRPr="00867EAD">
              <w:rPr>
                <w:bCs/>
              </w:rPr>
              <w:t>cm</w:t>
            </w:r>
            <w:r w:rsidR="0051719A" w:rsidRPr="00867EAD">
              <w:rPr>
                <w:bCs/>
              </w:rPr>
              <w:t>.</w:t>
            </w:r>
          </w:p>
          <w:p w14:paraId="0415AFE1" w14:textId="7B2A6846" w:rsidR="001C5644" w:rsidRPr="00867EAD" w:rsidRDefault="001C5644" w:rsidP="001C5644">
            <w:pPr>
              <w:pStyle w:val="Tabletext"/>
            </w:pPr>
            <w:r w:rsidRPr="00867EAD">
              <w:rPr>
                <w:vertAlign w:val="superscript"/>
              </w:rPr>
              <w:t xml:space="preserve">E </w:t>
            </w:r>
            <w:r w:rsidR="00347768" w:rsidRPr="00867EAD">
              <w:t>The canopy includes all trees &gt;32m in height. Canopy cover is measured as projective foliage cover.</w:t>
            </w:r>
          </w:p>
          <w:p w14:paraId="2346D664" w14:textId="2C37F8C6" w:rsidR="001C5644" w:rsidRPr="00867EAD" w:rsidRDefault="001C5644" w:rsidP="001C5644">
            <w:pPr>
              <w:pStyle w:val="Tabletext"/>
            </w:pPr>
            <w:r w:rsidRPr="00867EAD">
              <w:rPr>
                <w:vertAlign w:val="superscript"/>
              </w:rPr>
              <w:t xml:space="preserve">F </w:t>
            </w:r>
            <w:r w:rsidRPr="00867EAD">
              <w:t xml:space="preserve">Litter is </w:t>
            </w:r>
            <w:r w:rsidR="0051719A" w:rsidRPr="00867EAD">
              <w:t>defined as dead organic material detached from the parent plant, including both coarse and fine plant debris, and material such as fallen leaves, twigs and small branches less than 10 cm diameter present at ground level.</w:t>
            </w:r>
          </w:p>
          <w:p w14:paraId="64990174" w14:textId="13717E14" w:rsidR="001C5644" w:rsidRPr="00867EAD" w:rsidRDefault="001C5644" w:rsidP="00A47F50">
            <w:pPr>
              <w:pStyle w:val="Tabletext"/>
            </w:pPr>
            <w:r w:rsidRPr="00867EAD">
              <w:rPr>
                <w:vertAlign w:val="superscript"/>
              </w:rPr>
              <w:t xml:space="preserve">G </w:t>
            </w:r>
            <w:r w:rsidRPr="00867EAD">
              <w:t xml:space="preserve">Logs </w:t>
            </w:r>
            <w:r w:rsidR="0051719A" w:rsidRPr="00867EAD">
              <w:t>are defined as any dead timber fallen to the with a diameter ≥10 cm. Stumps ≥10 cm in diameter at the base and less than 1.3 m tall are also included. The total length includes all logs</w:t>
            </w:r>
            <w:r w:rsidR="00A47F50" w:rsidRPr="00867EAD">
              <w:t xml:space="preserve"> and stumps</w:t>
            </w:r>
            <w:r w:rsidR="0051719A" w:rsidRPr="00867EAD">
              <w:t xml:space="preserve"> measured in</w:t>
            </w:r>
            <w:r w:rsidR="00A47F50" w:rsidRPr="00867EAD">
              <w:t xml:space="preserve">dividually and added together. </w:t>
            </w:r>
          </w:p>
        </w:tc>
      </w:tr>
    </w:tbl>
    <w:p w14:paraId="31710BC2" w14:textId="20EA80C8" w:rsidR="00EA70FE" w:rsidRDefault="00EA70FE" w:rsidP="00F250F0"/>
    <w:p w14:paraId="3A8AB803" w14:textId="1E05B01C" w:rsidR="006551A0" w:rsidRDefault="006551A0" w:rsidP="00573BF2">
      <w:pPr>
        <w:pStyle w:val="Heading3"/>
      </w:pPr>
      <w:r>
        <w:t>Area critical to the survival</w:t>
      </w:r>
    </w:p>
    <w:p w14:paraId="76C218A3" w14:textId="49BC618F" w:rsidR="00E43CD7" w:rsidRPr="00E02DE2" w:rsidRDefault="00E43CD7" w:rsidP="00E43CD7">
      <w:r w:rsidRPr="00926F27">
        <w:t xml:space="preserve">The habitat </w:t>
      </w:r>
      <w:r w:rsidR="000032A6">
        <w:t xml:space="preserve">or areas </w:t>
      </w:r>
      <w:r w:rsidRPr="00926F27">
        <w:t xml:space="preserve">most critical to the survival of the ecological community are those patches that are in the best </w:t>
      </w:r>
      <w:r w:rsidRPr="00E02DE2">
        <w:t xml:space="preserve">condition (i.e. </w:t>
      </w:r>
      <w:r w:rsidR="0020067B" w:rsidRPr="00E02DE2">
        <w:t>Class</w:t>
      </w:r>
      <w:r w:rsidRPr="00E02DE2">
        <w:t xml:space="preserve"> A </w:t>
      </w:r>
      <w:r w:rsidR="0020067B" w:rsidRPr="00E02DE2">
        <w:t>in</w:t>
      </w:r>
      <w:r w:rsidR="00E02DE2" w:rsidRPr="00E02DE2">
        <w:t xml:space="preserve"> </w:t>
      </w:r>
      <w:r w:rsidR="00E02DE2" w:rsidRPr="00E02DE2">
        <w:fldChar w:fldCharType="begin"/>
      </w:r>
      <w:r w:rsidR="00E02DE2" w:rsidRPr="00E02DE2">
        <w:instrText xml:space="preserve"> REF _Ref23431087 \h  \* MERGEFORMAT </w:instrText>
      </w:r>
      <w:r w:rsidR="00E02DE2" w:rsidRPr="00E02DE2">
        <w:fldChar w:fldCharType="separate"/>
      </w:r>
      <w:r w:rsidR="005E6E9C" w:rsidRPr="001C5644">
        <w:t xml:space="preserve">Table </w:t>
      </w:r>
      <w:r w:rsidR="005E6E9C">
        <w:rPr>
          <w:noProof/>
        </w:rPr>
        <w:t>9</w:t>
      </w:r>
      <w:r w:rsidR="00E02DE2" w:rsidRPr="00E02DE2">
        <w:fldChar w:fldCharType="end"/>
      </w:r>
      <w:r w:rsidRPr="00E02DE2">
        <w:t>)</w:t>
      </w:r>
      <w:r w:rsidR="00D51BE8" w:rsidRPr="00E02DE2">
        <w:t>, and those patches with no sign of ‘ginger tree</w:t>
      </w:r>
      <w:r w:rsidR="00110CE7" w:rsidRPr="00E02DE2">
        <w:t xml:space="preserve"> syndrome</w:t>
      </w:r>
      <w:r w:rsidR="00D51BE8" w:rsidRPr="00E02DE2">
        <w:t xml:space="preserve">’ or other canopy dieback. </w:t>
      </w:r>
      <w:r w:rsidRPr="00E02DE2">
        <w:t>T</w:t>
      </w:r>
      <w:r w:rsidRPr="00926F27">
        <w:t xml:space="preserve">hese represent those parts of the ecological community closest to the benchmark state of the ecological community; they are the patches that retain the highest diversity and most intact structure and </w:t>
      </w:r>
      <w:r w:rsidRPr="00E02DE2">
        <w:t>ecological function</w:t>
      </w:r>
      <w:r w:rsidR="00D51BE8" w:rsidRPr="00E02DE2">
        <w:t xml:space="preserve">, </w:t>
      </w:r>
      <w:r w:rsidR="00110CE7" w:rsidRPr="00E02DE2">
        <w:t>and have the</w:t>
      </w:r>
      <w:r w:rsidR="00D51BE8" w:rsidRPr="00E02DE2">
        <w:t xml:space="preserve"> highest chance of persisting in the long-term</w:t>
      </w:r>
      <w:r w:rsidRPr="00E02DE2">
        <w:t>.</w:t>
      </w:r>
    </w:p>
    <w:p w14:paraId="0F382558" w14:textId="1F4A25C0" w:rsidR="00E43CD7" w:rsidRPr="00926F27" w:rsidRDefault="00E43CD7" w:rsidP="00E43CD7">
      <w:r w:rsidRPr="00926F27">
        <w:t xml:space="preserve">However, this does not mean that areas that otherwise meet the minimum condition </w:t>
      </w:r>
      <w:r w:rsidRPr="00E02DE2">
        <w:t xml:space="preserve">thresholds (i.e. </w:t>
      </w:r>
      <w:r w:rsidR="0073068D" w:rsidRPr="00E02DE2">
        <w:t>Class</w:t>
      </w:r>
      <w:r w:rsidRPr="00E02DE2">
        <w:t xml:space="preserve"> B </w:t>
      </w:r>
      <w:r w:rsidR="0020067B" w:rsidRPr="00E02DE2">
        <w:t>in</w:t>
      </w:r>
      <w:r w:rsidR="00E02DE2" w:rsidRPr="00E02DE2">
        <w:t xml:space="preserve"> </w:t>
      </w:r>
      <w:r w:rsidR="00E02DE2" w:rsidRPr="00E02DE2">
        <w:fldChar w:fldCharType="begin"/>
      </w:r>
      <w:r w:rsidR="00E02DE2" w:rsidRPr="00E02DE2">
        <w:instrText xml:space="preserve"> REF _Ref23431087 \h </w:instrText>
      </w:r>
      <w:r w:rsidR="00E02DE2">
        <w:instrText xml:space="preserve"> \* MERGEFORMAT </w:instrText>
      </w:r>
      <w:r w:rsidR="00E02DE2" w:rsidRPr="00E02DE2">
        <w:fldChar w:fldCharType="separate"/>
      </w:r>
      <w:r w:rsidR="005E6E9C" w:rsidRPr="001C5644">
        <w:t xml:space="preserve">Table </w:t>
      </w:r>
      <w:r w:rsidR="005E6E9C">
        <w:rPr>
          <w:noProof/>
        </w:rPr>
        <w:t>9</w:t>
      </w:r>
      <w:r w:rsidR="00E02DE2" w:rsidRPr="00E02DE2">
        <w:fldChar w:fldCharType="end"/>
      </w:r>
      <w:r w:rsidRPr="00E02DE2">
        <w:t>) are</w:t>
      </w:r>
      <w:r w:rsidRPr="00926F27">
        <w:t xml:space="preserve"> unimportant for the survival of the ecological community. Many of these patches </w:t>
      </w:r>
      <w:r w:rsidR="00AE6AA2">
        <w:t xml:space="preserve">occur in locations or landscape positions that are particularly important for biodiversity or function and/or </w:t>
      </w:r>
      <w:r w:rsidRPr="00926F27">
        <w:t xml:space="preserve">may contain suites of species or habitat features that are important in a regional or local context. </w:t>
      </w:r>
      <w:r w:rsidR="00AE6AA2">
        <w:t>Hence</w:t>
      </w:r>
      <w:r w:rsidRPr="00926F27">
        <w:t xml:space="preserve"> these areas can still be </w:t>
      </w:r>
      <w:r w:rsidR="000032A6">
        <w:t>critical</w:t>
      </w:r>
      <w:r w:rsidRPr="00926F27">
        <w:t xml:space="preserve"> to the survival of the ecological community.</w:t>
      </w:r>
    </w:p>
    <w:p w14:paraId="501E42BC" w14:textId="1EBDB905" w:rsidR="008471A8" w:rsidRDefault="008C5C02" w:rsidP="00573BF2">
      <w:pPr>
        <w:pStyle w:val="Heading3"/>
      </w:pPr>
      <w:r>
        <w:t>Areas of high value - s</w:t>
      </w:r>
      <w:r w:rsidR="008471A8">
        <w:t>urrounding environment</w:t>
      </w:r>
      <w:r w:rsidR="00B17065">
        <w:t xml:space="preserve"> and</w:t>
      </w:r>
      <w:r w:rsidR="008471A8">
        <w:t xml:space="preserve"> landscape context</w:t>
      </w:r>
    </w:p>
    <w:p w14:paraId="6AF36CAC" w14:textId="515140BD" w:rsidR="008471A8" w:rsidRPr="00C3743A" w:rsidRDefault="008471A8" w:rsidP="008471A8">
      <w:r w:rsidRPr="00C3743A">
        <w:t xml:space="preserve">Patches of the ecological community do not occur in isolation. The surrounding vegetation and other landscape considerations will also influence how important a patch is to the ecological community as a whole. </w:t>
      </w:r>
      <w:r w:rsidR="008C5C02">
        <w:t>P</w:t>
      </w:r>
      <w:r w:rsidRPr="00C3743A">
        <w:t xml:space="preserve">atches that are larger and less disturbed are likely to provide greater biodiversity value. Patches that are spatially linked, whether ecologically or by proximity, are particularly important as wildlife habitat and to the viability of those patches of the ecological community into the future. However, this still does not necessarily consider the full landscape context. For natural resource management activities or actions that may have ‘significant impacts’ and require approval under the EPBC Act, it is important to consider the whole environment surrounding patches of the ecological community. </w:t>
      </w:r>
    </w:p>
    <w:p w14:paraId="179D05C3" w14:textId="3E9C0DAE" w:rsidR="008471A8" w:rsidRPr="00C3743A" w:rsidRDefault="008471A8" w:rsidP="008471A8">
      <w:r w:rsidRPr="00C3743A">
        <w:t xml:space="preserve">For example, in heavily cleared areas, some patches that meet the </w:t>
      </w:r>
      <w:r w:rsidR="00571D67" w:rsidRPr="00C3743A">
        <w:t xml:space="preserve">minimum </w:t>
      </w:r>
      <w:r w:rsidRPr="00C3743A">
        <w:t xml:space="preserve">condition thresholds occur in isolation. Such patches require protection, and could benefit from revegetation activities to link them with other patches. In other areas, patches that are interconnected to other native vegetation may not, in their current state, meet the </w:t>
      </w:r>
      <w:r w:rsidR="00571D67" w:rsidRPr="00C3743A">
        <w:t xml:space="preserve">minimum </w:t>
      </w:r>
      <w:r w:rsidRPr="00C3743A">
        <w:t xml:space="preserve">condition thresholds, but have high conservation value. Such patches could benefit from restoration works to improve their condition so that they do meet the </w:t>
      </w:r>
      <w:r w:rsidR="00571D67" w:rsidRPr="00C3743A">
        <w:t xml:space="preserve">minimum </w:t>
      </w:r>
      <w:r w:rsidRPr="00C3743A">
        <w:t>condition thresholds.</w:t>
      </w:r>
    </w:p>
    <w:p w14:paraId="7DF2C64E" w14:textId="22738462" w:rsidR="00881F9E" w:rsidRPr="00C3743A" w:rsidRDefault="009D3175" w:rsidP="00881F9E">
      <w:pPr>
        <w:rPr>
          <w:lang w:eastAsia="en-AU"/>
        </w:rPr>
      </w:pPr>
      <w:r w:rsidRPr="00C3743A">
        <w:rPr>
          <w:lang w:eastAsia="en-AU"/>
        </w:rPr>
        <w:t>Tasmanian white gu</w:t>
      </w:r>
      <w:r w:rsidR="007E6420">
        <w:rPr>
          <w:lang w:eastAsia="en-AU"/>
        </w:rPr>
        <w:t>m wet forest</w:t>
      </w:r>
      <w:r w:rsidR="0090350A">
        <w:rPr>
          <w:lang w:eastAsia="en-AU"/>
        </w:rPr>
        <w:t xml:space="preserve"> often occur</w:t>
      </w:r>
      <w:r w:rsidR="007E6420">
        <w:rPr>
          <w:lang w:eastAsia="en-AU"/>
        </w:rPr>
        <w:t>s</w:t>
      </w:r>
      <w:r w:rsidR="0090350A">
        <w:rPr>
          <w:lang w:eastAsia="en-AU"/>
        </w:rPr>
        <w:t xml:space="preserve"> in association with other forest types</w:t>
      </w:r>
      <w:r w:rsidR="00881F9E" w:rsidRPr="00C3743A">
        <w:rPr>
          <w:lang w:eastAsia="en-AU"/>
        </w:rPr>
        <w:t>. Patches of the ecological community that remain connected with other native forests have a better chance of future survival and restoration success, because connected patches are buffered from disturbance by the surrounding native vegetation</w:t>
      </w:r>
      <w:r w:rsidR="00881F9E" w:rsidRPr="00C3743A">
        <w:t>.</w:t>
      </w:r>
    </w:p>
    <w:p w14:paraId="65AE8E94" w14:textId="5973E4F8" w:rsidR="008471A8" w:rsidRPr="00C3743A" w:rsidRDefault="008471A8" w:rsidP="008471A8">
      <w:r w:rsidRPr="00C3743A">
        <w:t xml:space="preserve">The following indicators </w:t>
      </w:r>
      <w:r w:rsidR="00012F18">
        <w:t xml:space="preserve">of high-value </w:t>
      </w:r>
      <w:r w:rsidRPr="00C3743A">
        <w:t xml:space="preserve">should be considered when assessing the impacts of proposed actions under the EPBC Act, or when determining priorities for </w:t>
      </w:r>
      <w:r w:rsidR="007A43E2">
        <w:t xml:space="preserve">protection, </w:t>
      </w:r>
      <w:r w:rsidRPr="00C3743A">
        <w:t>recovery, management and funding</w:t>
      </w:r>
      <w:r w:rsidR="00012F18">
        <w:t>.</w:t>
      </w:r>
      <w:r w:rsidRPr="00C3743A">
        <w:t xml:space="preserve"> </w:t>
      </w:r>
    </w:p>
    <w:p w14:paraId="74A0A17F" w14:textId="49185286" w:rsidR="00E304EB" w:rsidRPr="008C5C02" w:rsidRDefault="00E304EB" w:rsidP="00A47F50">
      <w:pPr>
        <w:pStyle w:val="ListParagraph"/>
        <w:numPr>
          <w:ilvl w:val="0"/>
          <w:numId w:val="16"/>
        </w:numPr>
      </w:pPr>
      <w:r w:rsidRPr="00C3743A">
        <w:t>Patches that meet, or are closest to</w:t>
      </w:r>
      <w:r w:rsidR="00C3743A" w:rsidRPr="00C3743A">
        <w:t xml:space="preserve"> the </w:t>
      </w:r>
      <w:r w:rsidR="000032A6">
        <w:t>high quality (Class A)</w:t>
      </w:r>
      <w:r w:rsidR="00C3743A" w:rsidRPr="00C3743A">
        <w:t xml:space="preserve"> condition for this ecological community. </w:t>
      </w:r>
      <w:r w:rsidRPr="00C3743A">
        <w:t xml:space="preserve">These may be based on on-site observations or known </w:t>
      </w:r>
      <w:r w:rsidRPr="008C5C02">
        <w:t>past management history.</w:t>
      </w:r>
    </w:p>
    <w:p w14:paraId="678AA21F" w14:textId="4E23D9BB" w:rsidR="00012F18" w:rsidRPr="008C5C02" w:rsidRDefault="00012F18" w:rsidP="00A47F50">
      <w:pPr>
        <w:pStyle w:val="ListParagraph"/>
        <w:numPr>
          <w:ilvl w:val="0"/>
          <w:numId w:val="16"/>
        </w:numPr>
      </w:pPr>
      <w:r w:rsidRPr="008C5C02">
        <w:t>Patches with no sign of ‘ginger tree syndrome’ or other canopy dieback, or in areas likely to be resilient to the impacts of climate change.</w:t>
      </w:r>
    </w:p>
    <w:p w14:paraId="51608E41" w14:textId="6E5F6691" w:rsidR="008471A8" w:rsidRPr="00C3743A" w:rsidRDefault="000032A6" w:rsidP="00A47F50">
      <w:pPr>
        <w:pStyle w:val="ListParagraph"/>
        <w:numPr>
          <w:ilvl w:val="0"/>
          <w:numId w:val="16"/>
        </w:numPr>
      </w:pPr>
      <w:r>
        <w:lastRenderedPageBreak/>
        <w:t>Patches with a l</w:t>
      </w:r>
      <w:r w:rsidR="008471A8" w:rsidRPr="00C3743A">
        <w:t>arger area to boundary ratio – such patches are more resilient to edge effect disturbances such as weed invasion and human impacts.</w:t>
      </w:r>
    </w:p>
    <w:p w14:paraId="003E3D0B" w14:textId="77777777" w:rsidR="008471A8" w:rsidRPr="00C3743A" w:rsidRDefault="008471A8" w:rsidP="00A47F50">
      <w:pPr>
        <w:pStyle w:val="ListParagraph"/>
        <w:numPr>
          <w:ilvl w:val="0"/>
          <w:numId w:val="16"/>
        </w:numPr>
      </w:pPr>
      <w:r w:rsidRPr="00C3743A">
        <w:t>Patches within or near to a larger native vegetation remnant and that contribute to a mosaic of vegetation types present at a site. Areas of mosaic native vegetation provide a wider range of habitats that benefit flora and fauna diversity. Other patches are important as linkages among remnants, acting as ‘stepping stones’ of native remnants in the landscape. Connectivity includes actual or potential connectivity to restoration works (e.g. native plantings).</w:t>
      </w:r>
    </w:p>
    <w:p w14:paraId="6EB871E9" w14:textId="77777777" w:rsidR="008471A8" w:rsidRPr="00C3743A" w:rsidRDefault="008471A8" w:rsidP="00A47F50">
      <w:pPr>
        <w:pStyle w:val="ListParagraph"/>
        <w:numPr>
          <w:ilvl w:val="0"/>
          <w:numId w:val="16"/>
        </w:numPr>
      </w:pPr>
      <w:r w:rsidRPr="00C3743A">
        <w:t>Patches that occur in areas where the ecological community has been most heavily cleared and degraded, or that are at the natural edge of its range, particularly where there is genetic distinction, or absence of some threats. These may include unique variants of the ecological community, e.g. with a unique flora and/or fauna composition, or a patch that contains flora or fauna that have largely declined across the broader ecological community or region.</w:t>
      </w:r>
    </w:p>
    <w:p w14:paraId="34F6EA36" w14:textId="04FE6AA5" w:rsidR="008471A8" w:rsidRPr="00C3743A" w:rsidRDefault="000032A6" w:rsidP="00A47F50">
      <w:pPr>
        <w:pStyle w:val="ListParagraph"/>
        <w:numPr>
          <w:ilvl w:val="0"/>
          <w:numId w:val="16"/>
        </w:numPr>
      </w:pPr>
      <w:r>
        <w:t>Patches that show e</w:t>
      </w:r>
      <w:r w:rsidR="008471A8" w:rsidRPr="00C3743A">
        <w:t>vidence of recruitment of key native plant species or the presence of a range of age cohorts (including through successful assisted regeneration or management of sites).</w:t>
      </w:r>
      <w:r w:rsidR="00C3743A" w:rsidRPr="00C3743A">
        <w:t xml:space="preserve"> </w:t>
      </w:r>
      <w:r w:rsidR="00E304EB" w:rsidRPr="00C3743A">
        <w:t>It is acknowledged, however, that the recruitment of many species</w:t>
      </w:r>
      <w:r w:rsidR="00C3743A" w:rsidRPr="00C3743A">
        <w:t xml:space="preserve">, particularly </w:t>
      </w:r>
      <w:r w:rsidR="00C3743A" w:rsidRPr="00C3743A">
        <w:rPr>
          <w:i/>
        </w:rPr>
        <w:t>Eucalyptus viminalis</w:t>
      </w:r>
      <w:r w:rsidR="00C3743A" w:rsidRPr="00C3743A">
        <w:t>,</w:t>
      </w:r>
      <w:r w:rsidR="00E304EB" w:rsidRPr="00C3743A">
        <w:t xml:space="preserve"> may not occur </w:t>
      </w:r>
      <w:r w:rsidR="00C3743A" w:rsidRPr="00C3743A">
        <w:t xml:space="preserve">in this community </w:t>
      </w:r>
      <w:r w:rsidR="00E304EB" w:rsidRPr="00C3743A">
        <w:t>unless there is some disturbance, such as a fire.</w:t>
      </w:r>
    </w:p>
    <w:p w14:paraId="7F83F780" w14:textId="4D142D35" w:rsidR="008471A8" w:rsidRPr="00C3743A" w:rsidRDefault="000032A6" w:rsidP="00A47F50">
      <w:pPr>
        <w:pStyle w:val="ListParagraph"/>
        <w:numPr>
          <w:ilvl w:val="0"/>
          <w:numId w:val="16"/>
        </w:numPr>
      </w:pPr>
      <w:r>
        <w:t>Patches with g</w:t>
      </w:r>
      <w:r w:rsidR="008471A8" w:rsidRPr="00C3743A">
        <w:t>ood faunal habitat as indicated by diversity of landscape, diversity of plant species and vegetation structure, diversity of age class, presence of movement corridors, mature trees (particularly those with hollows), logs, watercourses, etc.</w:t>
      </w:r>
    </w:p>
    <w:p w14:paraId="04BADA32" w14:textId="2340890B" w:rsidR="008471A8" w:rsidRPr="00C3743A" w:rsidRDefault="000032A6" w:rsidP="00A47F50">
      <w:pPr>
        <w:pStyle w:val="ListParagraph"/>
        <w:numPr>
          <w:ilvl w:val="0"/>
          <w:numId w:val="16"/>
        </w:numPr>
      </w:pPr>
      <w:r>
        <w:t xml:space="preserve">Patches containing </w:t>
      </w:r>
      <w:r w:rsidR="008471A8" w:rsidRPr="00C3743A">
        <w:t xml:space="preserve">nationally or </w:t>
      </w:r>
      <w:r w:rsidR="00E304EB" w:rsidRPr="00C3743A">
        <w:t>Tasmanian</w:t>
      </w:r>
      <w:r w:rsidR="008F2A87">
        <w:t>-listed threatened species.</w:t>
      </w:r>
    </w:p>
    <w:p w14:paraId="0F516AD6" w14:textId="7DD637B8" w:rsidR="008471A8" w:rsidRPr="00C3743A" w:rsidRDefault="000032A6" w:rsidP="00A47F50">
      <w:pPr>
        <w:pStyle w:val="ListParagraph"/>
        <w:numPr>
          <w:ilvl w:val="0"/>
          <w:numId w:val="16"/>
        </w:numPr>
      </w:pPr>
      <w:r>
        <w:t>Patches with h</w:t>
      </w:r>
      <w:r w:rsidR="008471A8" w:rsidRPr="00C3743A">
        <w:t>igh species richness, as shown by the variety of native understorey plant species, or high number of native fauna species</w:t>
      </w:r>
      <w:r w:rsidR="008F2A87">
        <w:t xml:space="preserve"> (vertebrates and/or invertebrates)</w:t>
      </w:r>
      <w:r w:rsidR="008471A8" w:rsidRPr="00C3743A">
        <w:t>.</w:t>
      </w:r>
    </w:p>
    <w:p w14:paraId="417C4FD6" w14:textId="4FCA0596" w:rsidR="008471A8" w:rsidRPr="00C3743A" w:rsidRDefault="000032A6" w:rsidP="00A47F50">
      <w:pPr>
        <w:pStyle w:val="ListParagraph"/>
        <w:numPr>
          <w:ilvl w:val="0"/>
          <w:numId w:val="16"/>
        </w:numPr>
      </w:pPr>
      <w:r>
        <w:t>Patches</w:t>
      </w:r>
      <w:r w:rsidR="008471A8" w:rsidRPr="00C3743A">
        <w:t xml:space="preserve"> with relatively low levels of weeds and feral animals or </w:t>
      </w:r>
      <w:r w:rsidR="009D3175">
        <w:t xml:space="preserve">areas </w:t>
      </w:r>
      <w:r w:rsidR="008471A8" w:rsidRPr="00C3743A">
        <w:t>where these can be managed efficiently.</w:t>
      </w:r>
    </w:p>
    <w:p w14:paraId="6E7FF57C" w14:textId="31DF87CF" w:rsidR="000970A0" w:rsidRDefault="000970A0" w:rsidP="000970A0">
      <w:pPr>
        <w:pStyle w:val="Heading2"/>
      </w:pPr>
      <w:bookmarkStart w:id="45" w:name="_Toc24971008"/>
      <w:r>
        <w:t>Principles and standards</w:t>
      </w:r>
      <w:r w:rsidR="000C1F71">
        <w:t xml:space="preserve"> for conservation</w:t>
      </w:r>
      <w:bookmarkEnd w:id="45"/>
    </w:p>
    <w:p w14:paraId="3DF97761" w14:textId="77777777" w:rsidR="000970A0" w:rsidRPr="00223085" w:rsidRDefault="000970A0" w:rsidP="000970A0">
      <w:r w:rsidRPr="00223085">
        <w:t xml:space="preserve">To undertake priority actions to meet the conservation objective, the overarching principle is that it is preferable to maintain existing areas of the ecological community that are relatively intact and of high quality. There are good, practical reasons to do so. It is typically more cost-effective to retain an intact remnant than to allow degradation and then attempt to restore it or another area. The more disturbed and modified a patch of the ecological community, the greater the recovery effort that is required. Also, intact remnants are likely </w:t>
      </w:r>
      <w:r>
        <w:t xml:space="preserve">to </w:t>
      </w:r>
      <w:r w:rsidRPr="00223085">
        <w:t>retain a fuller suite of native plant and animal species, and ecological functions. Certain species may not be easy to recover in practice, if lost from a site.</w:t>
      </w:r>
    </w:p>
    <w:p w14:paraId="26659C48" w14:textId="77777777" w:rsidR="000970A0" w:rsidRPr="00223085" w:rsidRDefault="000970A0" w:rsidP="00666032">
      <w:pPr>
        <w:keepNext/>
      </w:pPr>
      <w:r w:rsidRPr="00223085">
        <w:lastRenderedPageBreak/>
        <w:t xml:space="preserve">This principle is highlighted in the </w:t>
      </w:r>
      <w:r w:rsidRPr="009D3175">
        <w:rPr>
          <w:i/>
        </w:rPr>
        <w:t>National Standards for the Practice of Ecological Restoration in Australia</w:t>
      </w:r>
      <w:r w:rsidRPr="00223085">
        <w:t xml:space="preserve"> (Standards Reference Group SERA, 2016):</w:t>
      </w:r>
    </w:p>
    <w:p w14:paraId="23293A0B" w14:textId="77777777" w:rsidR="000970A0" w:rsidRPr="00223085" w:rsidRDefault="000970A0" w:rsidP="00666032">
      <w:pPr>
        <w:pStyle w:val="Quote"/>
        <w:keepNext/>
      </w:pPr>
      <w:r w:rsidRPr="00223085">
        <w:t>“</w:t>
      </w:r>
      <w:r w:rsidRPr="00223085">
        <w:rPr>
          <w:b/>
        </w:rPr>
        <w:t>Ecological restoration is not a substitute for sustainably managing and protecting ecosystems in the first instance.</w:t>
      </w:r>
    </w:p>
    <w:p w14:paraId="7FA48133" w14:textId="77777777" w:rsidR="000970A0" w:rsidRPr="00223085" w:rsidRDefault="000970A0" w:rsidP="000970A0">
      <w:pPr>
        <w:pStyle w:val="Quote"/>
      </w:pPr>
      <w:r w:rsidRPr="00223085">
        <w:t>The promise of restoration cannot be invoked as a justification for destroying or damaging existing ecosystems because functional natural ecosystems are not transportable or easily rebuilt once damaged and the success of ecological restoration cannot be assured. Many projects that aspire to restoration fall short of reinstating reference ecosystem attributes for a range of reasons including scale and degree of damage and technical, ecological and resource limitations.”</w:t>
      </w:r>
    </w:p>
    <w:p w14:paraId="64FD6D1F" w14:textId="77777777" w:rsidR="000970A0" w:rsidRPr="00223085" w:rsidRDefault="000970A0" w:rsidP="000970A0">
      <w:pPr>
        <w:pStyle w:val="Quote"/>
        <w:jc w:val="right"/>
      </w:pPr>
      <w:r w:rsidRPr="00223085">
        <w:t>Standards Reference Group SERA (2016) – Appendix 2.</w:t>
      </w:r>
    </w:p>
    <w:p w14:paraId="6950382B" w14:textId="77777777" w:rsidR="000970A0" w:rsidRPr="00223085" w:rsidRDefault="000970A0" w:rsidP="000970A0">
      <w:r w:rsidRPr="00223085">
        <w:t>The principle discourages ‘offsets’ where intact remnants are removed with an undertaking to set aside and/or restore other, lesser quality, sites. The destruction of intact sites represents a net loss of the functional ecological community because there is no guarantee all the species and ecological functions of the intact site can be replicated elsewhere.</w:t>
      </w:r>
    </w:p>
    <w:p w14:paraId="4587B7C4" w14:textId="77777777" w:rsidR="000970A0" w:rsidRPr="00223085" w:rsidRDefault="000970A0" w:rsidP="000970A0">
      <w:r w:rsidRPr="00223085">
        <w:t xml:space="preserve">Where restoration is to be undertaken, it should be planned and implemented with reference to the </w:t>
      </w:r>
      <w:r w:rsidRPr="00223085">
        <w:rPr>
          <w:i/>
        </w:rPr>
        <w:t>National Standards for the Practice of Ecological Restoration in Australia</w:t>
      </w:r>
      <w:r w:rsidRPr="00223085">
        <w:t>. These Standards guide how ecological restoration actions should be undertaken and are available online from the Standards Reference Group SERA (2016)</w:t>
      </w:r>
      <w:r w:rsidRPr="00223085">
        <w:rPr>
          <w:rStyle w:val="FootnoteReference"/>
        </w:rPr>
        <w:footnoteReference w:id="10"/>
      </w:r>
      <w:r w:rsidRPr="00223085">
        <w:t>. They outline the principles that convey the main ecological, biological, technical, social and ethical underpinnings of ecological restoration practice.</w:t>
      </w:r>
    </w:p>
    <w:p w14:paraId="590F9224" w14:textId="77777777" w:rsidR="00B86F45" w:rsidRDefault="00B86F45" w:rsidP="00B86F45">
      <w:pPr>
        <w:pStyle w:val="Heading2"/>
      </w:pPr>
      <w:bookmarkStart w:id="46" w:name="_Toc24971009"/>
      <w:r>
        <w:t xml:space="preserve">Priority </w:t>
      </w:r>
      <w:r w:rsidR="00D07065">
        <w:t xml:space="preserve">conservation and </w:t>
      </w:r>
      <w:r>
        <w:t>research actions</w:t>
      </w:r>
      <w:bookmarkEnd w:id="46"/>
    </w:p>
    <w:p w14:paraId="45666145" w14:textId="76AACAAC" w:rsidR="00D65E5B" w:rsidRPr="00E00917" w:rsidRDefault="00D65E5B" w:rsidP="00D65E5B">
      <w:r w:rsidRPr="00E00917">
        <w:t xml:space="preserve">Priority actions are recommended for the abatement of threats and supporting recovery of the ecological community. </w:t>
      </w:r>
      <w:r w:rsidR="00893AD8">
        <w:t>They</w:t>
      </w:r>
      <w:r w:rsidRPr="00E00917">
        <w:t xml:space="preserve"> are designed to provide guidance for: </w:t>
      </w:r>
    </w:p>
    <w:p w14:paraId="03AE6704" w14:textId="77777777" w:rsidR="00D65E5B" w:rsidRPr="00E00917" w:rsidRDefault="00D65E5B" w:rsidP="00A47F50">
      <w:pPr>
        <w:pStyle w:val="ListParagraph"/>
        <w:numPr>
          <w:ilvl w:val="0"/>
          <w:numId w:val="6"/>
        </w:numPr>
      </w:pPr>
      <w:r w:rsidRPr="00E00917">
        <w:t>planning, management and restoration of the ecological community by landholders, NRM and community groups and other land managers;</w:t>
      </w:r>
    </w:p>
    <w:p w14:paraId="54B2BADA" w14:textId="77777777" w:rsidR="00D65E5B" w:rsidRPr="00E00917" w:rsidRDefault="00D65E5B" w:rsidP="00A47F50">
      <w:pPr>
        <w:pStyle w:val="ListParagraph"/>
        <w:numPr>
          <w:ilvl w:val="0"/>
          <w:numId w:val="6"/>
        </w:numPr>
      </w:pPr>
      <w:r w:rsidRPr="00E00917">
        <w:t xml:space="preserve">conditions of approval for relevant controlled actions under the EPBC Act; and </w:t>
      </w:r>
    </w:p>
    <w:p w14:paraId="67B71216" w14:textId="77777777" w:rsidR="00D65E5B" w:rsidRPr="00E00917" w:rsidRDefault="00D65E5B" w:rsidP="00A47F50">
      <w:pPr>
        <w:pStyle w:val="ListParagraph"/>
        <w:numPr>
          <w:ilvl w:val="0"/>
          <w:numId w:val="6"/>
        </w:numPr>
      </w:pPr>
      <w:r w:rsidRPr="00E00917">
        <w:t>prioritising activities in applications for Australian Government funding programs.</w:t>
      </w:r>
    </w:p>
    <w:p w14:paraId="753DCE79" w14:textId="576B0B17" w:rsidR="00D65E5B" w:rsidRPr="00E00917" w:rsidRDefault="00D65E5B" w:rsidP="00D65E5B">
      <w:r w:rsidRPr="00E00917">
        <w:t xml:space="preserve">Detailed advice on actions may be available in specific plans, such as management plans for weeds, fire or certain parks or regions. The most relevant are listed in </w:t>
      </w:r>
      <w:r w:rsidR="00E00917" w:rsidRPr="00E00917">
        <w:rPr>
          <w:u w:val="single"/>
        </w:rPr>
        <w:t>section</w:t>
      </w:r>
      <w:r w:rsidR="008C5C02">
        <w:rPr>
          <w:u w:val="single"/>
        </w:rPr>
        <w:t xml:space="preserve"> </w:t>
      </w:r>
      <w:r w:rsidR="008C5C02">
        <w:rPr>
          <w:u w:val="single"/>
        </w:rPr>
        <w:fldChar w:fldCharType="begin"/>
      </w:r>
      <w:r w:rsidR="008C5C02">
        <w:rPr>
          <w:u w:val="single"/>
        </w:rPr>
        <w:instrText xml:space="preserve"> REF _Ref24022981 \r \h </w:instrText>
      </w:r>
      <w:r w:rsidR="008C5C02">
        <w:rPr>
          <w:u w:val="single"/>
        </w:rPr>
      </w:r>
      <w:r w:rsidR="008C5C02">
        <w:rPr>
          <w:u w:val="single"/>
        </w:rPr>
        <w:fldChar w:fldCharType="separate"/>
      </w:r>
      <w:r w:rsidR="005E6E9C">
        <w:rPr>
          <w:u w:val="single"/>
        </w:rPr>
        <w:t>4.3</w:t>
      </w:r>
      <w:r w:rsidR="008C5C02">
        <w:rPr>
          <w:u w:val="single"/>
        </w:rPr>
        <w:fldChar w:fldCharType="end"/>
      </w:r>
      <w:r w:rsidRPr="00E00917">
        <w:t>.</w:t>
      </w:r>
    </w:p>
    <w:p w14:paraId="5F26FB28" w14:textId="77777777" w:rsidR="00D65E5B" w:rsidRPr="00E00917" w:rsidRDefault="00D65E5B" w:rsidP="00D65E5B">
      <w:r w:rsidRPr="00E00917">
        <w:t xml:space="preserve">This conservation advice identifies priority conservation actions under the following key approaches: </w:t>
      </w:r>
    </w:p>
    <w:p w14:paraId="757E0977" w14:textId="77777777" w:rsidR="00D65E5B" w:rsidRPr="00E00917" w:rsidRDefault="00D65E5B" w:rsidP="00A47F50">
      <w:pPr>
        <w:pStyle w:val="ListParagraph"/>
        <w:numPr>
          <w:ilvl w:val="0"/>
          <w:numId w:val="7"/>
        </w:numPr>
      </w:pPr>
      <w:r w:rsidRPr="00E00917">
        <w:t>PROTECT the ecological community to prevent further losses;</w:t>
      </w:r>
    </w:p>
    <w:p w14:paraId="7F3E158F" w14:textId="77777777" w:rsidR="00D65E5B" w:rsidRPr="00E00917" w:rsidRDefault="00D65E5B" w:rsidP="00A47F50">
      <w:pPr>
        <w:pStyle w:val="ListParagraph"/>
        <w:numPr>
          <w:ilvl w:val="0"/>
          <w:numId w:val="7"/>
        </w:numPr>
      </w:pPr>
      <w:r w:rsidRPr="00E00917">
        <w:t>RESTORE the ecological community by active abatement of threats, appropriate management, restoration and other conservation initiatives;</w:t>
      </w:r>
    </w:p>
    <w:p w14:paraId="0BCE0E8E" w14:textId="77777777" w:rsidR="00D65E5B" w:rsidRPr="00E00917" w:rsidRDefault="00D65E5B" w:rsidP="00A47F50">
      <w:pPr>
        <w:pStyle w:val="ListParagraph"/>
        <w:numPr>
          <w:ilvl w:val="0"/>
          <w:numId w:val="7"/>
        </w:numPr>
      </w:pPr>
      <w:r w:rsidRPr="00E00917">
        <w:lastRenderedPageBreak/>
        <w:t>COMMUNICATE, ENGAGE WITH AND SUPPORT people to increase understanding of the value and function of the ecological community and encourage their efforts in its protection and recovery; and</w:t>
      </w:r>
    </w:p>
    <w:p w14:paraId="7B111DF2" w14:textId="77777777" w:rsidR="00D65E5B" w:rsidRPr="00E00917" w:rsidRDefault="00D65E5B" w:rsidP="00A47F50">
      <w:pPr>
        <w:pStyle w:val="ListParagraph"/>
        <w:numPr>
          <w:ilvl w:val="0"/>
          <w:numId w:val="7"/>
        </w:numPr>
      </w:pPr>
      <w:r w:rsidRPr="00E00917">
        <w:t>RESEARCH AND MONITORING to improve our understanding of the ecological community and the best methods to aid its management and recovery.</w:t>
      </w:r>
    </w:p>
    <w:p w14:paraId="5AB6CE3D" w14:textId="77777777" w:rsidR="00D65E5B" w:rsidRPr="00E00917" w:rsidRDefault="00D65E5B" w:rsidP="00D65E5B">
      <w:r w:rsidRPr="00E00917">
        <w:t xml:space="preserve">These approaches overlap in practice; and form part of an iterative approach to management that includes research, planning, management, monitoring and review. </w:t>
      </w:r>
    </w:p>
    <w:p w14:paraId="3212E7C8" w14:textId="77777777" w:rsidR="00D65E5B" w:rsidRPr="00E00917" w:rsidRDefault="00D65E5B" w:rsidP="00D65E5B">
      <w:r w:rsidRPr="00E00917">
        <w:t>The actions below do not necessarily encompass all actions in detail that may benefit the ecological community. They highlight general but key actions required to at least maintain survival of the ecological community at the time of preparing this Conservation Advice.</w:t>
      </w:r>
    </w:p>
    <w:p w14:paraId="38983925" w14:textId="77777777" w:rsidR="00B86F45" w:rsidRDefault="005B1DBA" w:rsidP="00B86F45">
      <w:pPr>
        <w:pStyle w:val="Heading3"/>
      </w:pPr>
      <w:r>
        <w:t>PROTECT the ecological community</w:t>
      </w:r>
    </w:p>
    <w:p w14:paraId="42D51749" w14:textId="77777777" w:rsidR="005B1DBA" w:rsidRPr="00E00917" w:rsidRDefault="005B1DBA" w:rsidP="005B1DBA">
      <w:r w:rsidRPr="00E00917">
        <w:t>This key approach includes priorities intended to protect the ecological community by preventing further losses to extent and integrity.</w:t>
      </w:r>
    </w:p>
    <w:p w14:paraId="03EB1301" w14:textId="77777777" w:rsidR="00FF2619" w:rsidRPr="00E00917" w:rsidRDefault="00FF2619" w:rsidP="00A47F50">
      <w:pPr>
        <w:pStyle w:val="ListParagraph"/>
        <w:numPr>
          <w:ilvl w:val="0"/>
          <w:numId w:val="9"/>
        </w:numPr>
      </w:pPr>
      <w:r w:rsidRPr="00E00917">
        <w:t>Remnants should be properly taken into account during the early stages of zoning and development planning decisions, including strategic planning documents at state, regional and local levels.</w:t>
      </w:r>
    </w:p>
    <w:p w14:paraId="6C44CBC7" w14:textId="77777777" w:rsidR="00FF2619" w:rsidRDefault="00FF2619" w:rsidP="00A47F50">
      <w:pPr>
        <w:pStyle w:val="ListParagraph"/>
        <w:numPr>
          <w:ilvl w:val="0"/>
          <w:numId w:val="9"/>
        </w:numPr>
      </w:pPr>
      <w:r w:rsidRPr="00E00917">
        <w:t>Liaise with local councils and State authorities to ensure that cumulative impacts on the ecological community are reduced as part of broader strategic planning or large projects (e.g. road works, developments).</w:t>
      </w:r>
    </w:p>
    <w:p w14:paraId="03D98EE8" w14:textId="492650D9" w:rsidR="00A87619" w:rsidRPr="00E00917" w:rsidRDefault="00A87619" w:rsidP="00A47F50">
      <w:pPr>
        <w:pStyle w:val="ListParagraph"/>
        <w:numPr>
          <w:ilvl w:val="0"/>
          <w:numId w:val="9"/>
        </w:numPr>
      </w:pPr>
      <w:r>
        <w:t>Undertake activities to mitigate future climate change and therefore reduce the impacts of climate stress on this ecological community.</w:t>
      </w:r>
    </w:p>
    <w:p w14:paraId="264A76E6" w14:textId="77777777" w:rsidR="005B1DBA" w:rsidRDefault="005B1DBA" w:rsidP="001C42E1">
      <w:pPr>
        <w:pStyle w:val="Heading4"/>
      </w:pPr>
      <w:r w:rsidRPr="005B1DBA">
        <w:t>Conserve remaining patches</w:t>
      </w:r>
    </w:p>
    <w:p w14:paraId="11C014B9" w14:textId="54D5E181" w:rsidR="001C42E1" w:rsidRPr="00E00917" w:rsidRDefault="001C42E1" w:rsidP="001C42E1">
      <w:r w:rsidRPr="00E00917">
        <w:t>There should be no further clearance and damage to this ecological community because it has been greatly reduced in its extent.</w:t>
      </w:r>
    </w:p>
    <w:p w14:paraId="10E7B568" w14:textId="77777777" w:rsidR="005B1DBA" w:rsidRPr="00E00917" w:rsidRDefault="005B1DBA" w:rsidP="00A47F50">
      <w:pPr>
        <w:pStyle w:val="ListParagraph"/>
        <w:numPr>
          <w:ilvl w:val="0"/>
          <w:numId w:val="8"/>
        </w:numPr>
      </w:pPr>
      <w:r w:rsidRPr="00E00917">
        <w:t>Protect and conserve remaining areas of the ecological community.</w:t>
      </w:r>
    </w:p>
    <w:p w14:paraId="64C60E94" w14:textId="6EF0B884" w:rsidR="00A87619" w:rsidRPr="00E00917" w:rsidRDefault="009D3175" w:rsidP="00A87619">
      <w:pPr>
        <w:pStyle w:val="ListParagraph"/>
        <w:numPr>
          <w:ilvl w:val="0"/>
          <w:numId w:val="8"/>
        </w:numPr>
      </w:pPr>
      <w:r w:rsidRPr="00E00917">
        <w:t xml:space="preserve">Avoid further clearance and destruction of the ecological community. </w:t>
      </w:r>
    </w:p>
    <w:p w14:paraId="757B28B4" w14:textId="77777777" w:rsidR="009D3175" w:rsidRPr="00E00917" w:rsidRDefault="009D3175" w:rsidP="00A47F50">
      <w:pPr>
        <w:pStyle w:val="ListParagraph"/>
        <w:numPr>
          <w:ilvl w:val="0"/>
          <w:numId w:val="8"/>
        </w:numPr>
      </w:pPr>
      <w:r w:rsidRPr="00E00917">
        <w:t xml:space="preserve">Retain other native vegetation remnants, near patches of the ecological community, where they are important for connectivity, diversity of habitat and act as buffer zones between the ecological community and threats or development zones. </w:t>
      </w:r>
    </w:p>
    <w:p w14:paraId="50C123CB" w14:textId="5D5006E7" w:rsidR="005B1DBA" w:rsidRPr="00E00917" w:rsidRDefault="005B1DBA" w:rsidP="00A47F50">
      <w:pPr>
        <w:pStyle w:val="ListParagraph"/>
        <w:numPr>
          <w:ilvl w:val="0"/>
          <w:numId w:val="8"/>
        </w:numPr>
      </w:pPr>
      <w:r w:rsidRPr="00E00917">
        <w:t>Protect patches identified as of regional importance in formal conservation reserves. Consider other remnants for less formal conservation tenures, preferably ones that aim for protection over the long-term. This includes investigating formal conservation arrangements, management agreements and covenants to protect patches on private land. This is particularly important for larger patches or areas that link to other patches of native vegetation</w:t>
      </w:r>
      <w:r w:rsidR="00E00917">
        <w:t>.</w:t>
      </w:r>
    </w:p>
    <w:p w14:paraId="1C86F6D1" w14:textId="5ADCB98E" w:rsidR="005B1DBA" w:rsidRPr="00E00917" w:rsidRDefault="005B1DBA" w:rsidP="00A47F50">
      <w:pPr>
        <w:pStyle w:val="ListParagraph"/>
        <w:numPr>
          <w:ilvl w:val="0"/>
          <w:numId w:val="8"/>
        </w:numPr>
      </w:pPr>
      <w:r w:rsidRPr="00E00917">
        <w:t xml:space="preserve">Where </w:t>
      </w:r>
      <w:r w:rsidR="009D3175">
        <w:t>regeneration</w:t>
      </w:r>
      <w:r w:rsidRPr="00E00917">
        <w:t xml:space="preserve"> is occurring, provide measures that will support the </w:t>
      </w:r>
      <w:r w:rsidR="009D3175">
        <w:t>regeneration</w:t>
      </w:r>
      <w:r w:rsidRPr="00E00917">
        <w:t xml:space="preserve"> to matur</w:t>
      </w:r>
      <w:r w:rsidR="009D3175">
        <w:t>ity</w:t>
      </w:r>
      <w:r w:rsidRPr="00E00917">
        <w:t xml:space="preserve"> (e.g. provide fencing to minimise damage risk). </w:t>
      </w:r>
    </w:p>
    <w:p w14:paraId="00B78220" w14:textId="124A0A12" w:rsidR="004A6B37" w:rsidRPr="00E00917" w:rsidRDefault="004A6B37" w:rsidP="00A47F50">
      <w:pPr>
        <w:pStyle w:val="ListParagraph"/>
        <w:numPr>
          <w:ilvl w:val="0"/>
          <w:numId w:val="8"/>
        </w:numPr>
      </w:pPr>
      <w:r w:rsidRPr="00E00917">
        <w:t xml:space="preserve">Protect mature </w:t>
      </w:r>
      <w:r w:rsidR="00E00917">
        <w:t xml:space="preserve">and over-mature </w:t>
      </w:r>
      <w:r w:rsidRPr="00E00917">
        <w:t>tr</w:t>
      </w:r>
      <w:r w:rsidR="00E00917">
        <w:t>ees</w:t>
      </w:r>
      <w:r w:rsidR="00E35866">
        <w:t xml:space="preserve"> and stags, particularly with hollows</w:t>
      </w:r>
      <w:r w:rsidRPr="00E00917">
        <w:t>. Large and old trees may have numerous fissures that provide shelter; support diverse insects and t</w:t>
      </w:r>
      <w:r w:rsidR="00E35866">
        <w:t>heir predators.</w:t>
      </w:r>
    </w:p>
    <w:p w14:paraId="1B07C312" w14:textId="77777777" w:rsidR="005B1DBA" w:rsidRPr="005B1DBA" w:rsidRDefault="005B1DBA" w:rsidP="001C42E1">
      <w:pPr>
        <w:pStyle w:val="Heading4"/>
      </w:pPr>
      <w:r w:rsidRPr="005B1DBA">
        <w:lastRenderedPageBreak/>
        <w:t>Manage actions to minimise impacts</w:t>
      </w:r>
    </w:p>
    <w:p w14:paraId="13D33AEC" w14:textId="77777777" w:rsidR="005B1DBA" w:rsidRPr="00E00917" w:rsidRDefault="005B1DBA" w:rsidP="005B1DBA">
      <w:r w:rsidRPr="00E00917">
        <w:t>Apply the mitigation hierarchy to avoid, then mitigate, then offset potential impacts on the ecological community from development or other actions. The priority is to avoid further clearance and fragmentation of remnants with offsetting as the last resort.</w:t>
      </w:r>
    </w:p>
    <w:p w14:paraId="29882340" w14:textId="77777777" w:rsidR="005B1DBA" w:rsidRPr="00E00917" w:rsidRDefault="005B1DBA" w:rsidP="00A47F50">
      <w:pPr>
        <w:pStyle w:val="ListParagraph"/>
        <w:numPr>
          <w:ilvl w:val="0"/>
          <w:numId w:val="10"/>
        </w:numPr>
      </w:pPr>
      <w:r w:rsidRPr="00E00917">
        <w:t>Plan projects to avoid the need to offset, by avoiding significant impacts to the ecological community.</w:t>
      </w:r>
    </w:p>
    <w:p w14:paraId="66BD1039" w14:textId="77777777" w:rsidR="005B1DBA" w:rsidRPr="00E00917" w:rsidRDefault="005B1DBA" w:rsidP="00A47F50">
      <w:pPr>
        <w:pStyle w:val="ListParagraph"/>
        <w:numPr>
          <w:ilvl w:val="0"/>
          <w:numId w:val="10"/>
        </w:numPr>
      </w:pPr>
      <w:r w:rsidRPr="00E00917">
        <w:t xml:space="preserve">In circumstances where impacts cannot be totally avoided, then they should be minimised by: </w:t>
      </w:r>
    </w:p>
    <w:p w14:paraId="7E244537" w14:textId="77777777" w:rsidR="005B1DBA" w:rsidRPr="00E00917" w:rsidRDefault="005B1DBA" w:rsidP="00A47F50">
      <w:pPr>
        <w:pStyle w:val="ListParagraph"/>
        <w:numPr>
          <w:ilvl w:val="1"/>
          <w:numId w:val="10"/>
        </w:numPr>
      </w:pPr>
      <w:r w:rsidRPr="00E00917">
        <w:t xml:space="preserve">retaining and avoiding damage to high quality patches, which should be managed to retain their benchmark state; and </w:t>
      </w:r>
    </w:p>
    <w:p w14:paraId="508043B8" w14:textId="77777777" w:rsidR="005B1DBA" w:rsidRPr="00E00917" w:rsidRDefault="005B1DBA" w:rsidP="00A47F50">
      <w:pPr>
        <w:pStyle w:val="ListParagraph"/>
        <w:numPr>
          <w:ilvl w:val="1"/>
          <w:numId w:val="10"/>
        </w:numPr>
      </w:pPr>
      <w:r w:rsidRPr="00E00917">
        <w:t>protecting important habitat features, such as large mature trees or stags with hollows as these take many decades to develop and cannot be quickly replaced.</w:t>
      </w:r>
    </w:p>
    <w:p w14:paraId="63B2C3AE" w14:textId="77777777" w:rsidR="005B1DBA" w:rsidRPr="00E35866" w:rsidRDefault="005B1DBA" w:rsidP="00A47F50">
      <w:pPr>
        <w:pStyle w:val="ListParagraph"/>
        <w:numPr>
          <w:ilvl w:val="0"/>
          <w:numId w:val="10"/>
        </w:numPr>
      </w:pPr>
      <w:r w:rsidRPr="00E35866">
        <w:t xml:space="preserve">Where impacts are unavoidable, offsets should be used as a last resort to compensate for the adverse impacts of the action deemed unavoidable. The outcomes of offsetting activities are generally highly uncertain. Any proposals considering offsets for this ecological community should aim to: </w:t>
      </w:r>
    </w:p>
    <w:p w14:paraId="5C09E23F" w14:textId="77777777" w:rsidR="005B1DBA" w:rsidRPr="00E35866" w:rsidRDefault="005B1DBA" w:rsidP="00A47F50">
      <w:pPr>
        <w:pStyle w:val="ListParagraph"/>
        <w:numPr>
          <w:ilvl w:val="1"/>
          <w:numId w:val="10"/>
        </w:numPr>
      </w:pPr>
      <w:r w:rsidRPr="00E35866">
        <w:t xml:space="preserve">minimise the need to offset the ecological community by designing development around the ecological community and applying buffers; </w:t>
      </w:r>
    </w:p>
    <w:p w14:paraId="02396448" w14:textId="77777777" w:rsidR="005B1DBA" w:rsidRPr="00E35866" w:rsidRDefault="005B1DBA" w:rsidP="00A47F50">
      <w:pPr>
        <w:pStyle w:val="ListParagraph"/>
        <w:numPr>
          <w:ilvl w:val="1"/>
          <w:numId w:val="10"/>
        </w:numPr>
      </w:pPr>
      <w:r w:rsidRPr="00E35866">
        <w:t xml:space="preserve">retain medium and higher quality patches of the ecological community, rather than offset them (particularly with lower quality offset sites); </w:t>
      </w:r>
    </w:p>
    <w:p w14:paraId="27617993" w14:textId="77777777" w:rsidR="005B1DBA" w:rsidRPr="00E35866" w:rsidRDefault="005B1DBA" w:rsidP="00A47F50">
      <w:pPr>
        <w:pStyle w:val="ListParagraph"/>
        <w:numPr>
          <w:ilvl w:val="1"/>
          <w:numId w:val="10"/>
        </w:numPr>
      </w:pPr>
      <w:r w:rsidRPr="00E35866">
        <w:t xml:space="preserve">manage and protect offset areas in perpetuity in areas dedicated for conservation purposes - avoid risks that reduce may their size, condition and ecological function in the future; </w:t>
      </w:r>
    </w:p>
    <w:p w14:paraId="6181B905" w14:textId="77777777" w:rsidR="005B1DBA" w:rsidRPr="00E35866" w:rsidRDefault="005B1DBA" w:rsidP="00A47F50">
      <w:pPr>
        <w:pStyle w:val="ListParagraph"/>
        <w:numPr>
          <w:ilvl w:val="1"/>
          <w:numId w:val="10"/>
        </w:numPr>
      </w:pPr>
      <w:r w:rsidRPr="00E35866">
        <w:t xml:space="preserve">select offset sites as close as possible to the impact site, to allow for local and regional variation in the ecological community; </w:t>
      </w:r>
    </w:p>
    <w:p w14:paraId="48A3CCA2" w14:textId="77777777" w:rsidR="005B1DBA" w:rsidRPr="00E35866" w:rsidRDefault="005B1DBA" w:rsidP="00A47F50">
      <w:pPr>
        <w:pStyle w:val="ListParagraph"/>
        <w:numPr>
          <w:ilvl w:val="1"/>
          <w:numId w:val="10"/>
        </w:numPr>
      </w:pPr>
      <w:r w:rsidRPr="00E35866">
        <w:t xml:space="preserve">increase the area and improve ecological function of existing patches, for example by enhancing landscape connectivity, habitat diversity and condition; </w:t>
      </w:r>
    </w:p>
    <w:p w14:paraId="4EEE3832" w14:textId="24B97846" w:rsidR="005B1DBA" w:rsidRPr="00E35866" w:rsidRDefault="005B1DBA" w:rsidP="00A47F50">
      <w:pPr>
        <w:pStyle w:val="ListParagraph"/>
        <w:numPr>
          <w:ilvl w:val="1"/>
          <w:numId w:val="10"/>
        </w:numPr>
      </w:pPr>
      <w:r w:rsidRPr="00E35866">
        <w:t xml:space="preserve">focus on the restoration of </w:t>
      </w:r>
      <w:r w:rsidR="00E35866">
        <w:t>lower</w:t>
      </w:r>
      <w:r w:rsidRPr="00E35866">
        <w:t xml:space="preserve"> quality patches of the ecological community to achieve high quality condition (see</w:t>
      </w:r>
      <w:r w:rsidR="00AA7BB5">
        <w:t xml:space="preserve"> </w:t>
      </w:r>
      <w:r w:rsidR="00AA7BB5">
        <w:fldChar w:fldCharType="begin"/>
      </w:r>
      <w:r w:rsidR="00AA7BB5">
        <w:instrText xml:space="preserve"> REF _Ref23431087 \h </w:instrText>
      </w:r>
      <w:r w:rsidR="00AA7BB5">
        <w:fldChar w:fldCharType="separate"/>
      </w:r>
      <w:r w:rsidR="005E6E9C" w:rsidRPr="001C5644">
        <w:t xml:space="preserve">Table </w:t>
      </w:r>
      <w:r w:rsidR="005E6E9C">
        <w:rPr>
          <w:noProof/>
        </w:rPr>
        <w:t>9</w:t>
      </w:r>
      <w:r w:rsidR="00AA7BB5">
        <w:fldChar w:fldCharType="end"/>
      </w:r>
      <w:r w:rsidRPr="00E35866">
        <w:t xml:space="preserve">); </w:t>
      </w:r>
    </w:p>
    <w:p w14:paraId="23EEABBC" w14:textId="3DA4A032" w:rsidR="005B1DBA" w:rsidRPr="00E35866" w:rsidRDefault="005B1DBA" w:rsidP="00A47F50">
      <w:pPr>
        <w:pStyle w:val="ListParagraph"/>
        <w:numPr>
          <w:ilvl w:val="1"/>
          <w:numId w:val="10"/>
        </w:numPr>
      </w:pPr>
      <w:r w:rsidRPr="00E35866">
        <w:t xml:space="preserve">extend protection to otherwise unprotected sites (e.g. sites that are currently too small or degraded to meet the </w:t>
      </w:r>
      <w:r w:rsidR="00571D67" w:rsidRPr="00E35866">
        <w:t xml:space="preserve">minimum </w:t>
      </w:r>
      <w:r w:rsidRPr="00E35866">
        <w:t>condition thresholds, but can reasonably be restored to a better, more intact condition</w:t>
      </w:r>
      <w:r w:rsidR="00E35866" w:rsidRPr="00E35866">
        <w:t xml:space="preserve"> that does meet the thresholds</w:t>
      </w:r>
      <w:r w:rsidRPr="00E35866">
        <w:t>); and</w:t>
      </w:r>
    </w:p>
    <w:p w14:paraId="163F0F69" w14:textId="77777777" w:rsidR="005B1DBA" w:rsidRPr="00E35866" w:rsidRDefault="005B1DBA" w:rsidP="00A47F50">
      <w:pPr>
        <w:pStyle w:val="ListParagraph"/>
        <w:numPr>
          <w:ilvl w:val="1"/>
          <w:numId w:val="10"/>
        </w:numPr>
      </w:pPr>
      <w:r w:rsidRPr="00E35866">
        <w:t>monitor offset areas and the outcomes they deliver over the long-term, to manage them adaptively and improve understanding of the best ways to manage offsets to delivery biodiversity benefits.</w:t>
      </w:r>
    </w:p>
    <w:p w14:paraId="72093F89" w14:textId="65EF0BAE" w:rsidR="005B1DBA" w:rsidRDefault="005B1DBA" w:rsidP="00A47F50">
      <w:pPr>
        <w:pStyle w:val="ListParagraph"/>
        <w:numPr>
          <w:ilvl w:val="0"/>
          <w:numId w:val="10"/>
        </w:numPr>
      </w:pPr>
      <w:r w:rsidRPr="00AC32F4">
        <w:t>Minimise the risk of indirect impacts to the ecological community from actions outside but near to patches of the ecological community</w:t>
      </w:r>
      <w:r w:rsidR="00AC32F4">
        <w:t>,</w:t>
      </w:r>
      <w:r w:rsidR="00AC32F4" w:rsidRPr="00AC32F4">
        <w:t xml:space="preserve"> for example a</w:t>
      </w:r>
      <w:r w:rsidRPr="00AC32F4">
        <w:t>void building fire-sensitive infrastructure in or immediately adjacent to patches of the community that will encourage fire-hazard reduction activities.</w:t>
      </w:r>
    </w:p>
    <w:p w14:paraId="45A2A5F4" w14:textId="14EF0CDA" w:rsidR="004834BF" w:rsidRDefault="004834BF" w:rsidP="00A47F50">
      <w:pPr>
        <w:pStyle w:val="ListParagraph"/>
        <w:numPr>
          <w:ilvl w:val="0"/>
          <w:numId w:val="10"/>
        </w:numPr>
      </w:pPr>
      <w:r>
        <w:lastRenderedPageBreak/>
        <w:t xml:space="preserve">Minimise the risk of gene pollution of </w:t>
      </w:r>
      <w:r w:rsidRPr="004834BF">
        <w:rPr>
          <w:i/>
        </w:rPr>
        <w:t>Eucalyptus viminalis</w:t>
      </w:r>
      <w:r>
        <w:t xml:space="preserve"> via hybridisation with plantation eucalypts (see FPA 2011) by appropriate planning and monitoring of plantations near to the ecological community.</w:t>
      </w:r>
    </w:p>
    <w:p w14:paraId="294026DE" w14:textId="77777777" w:rsidR="009D3175" w:rsidRPr="001C42E1" w:rsidRDefault="009D3175" w:rsidP="009D3175">
      <w:pPr>
        <w:pStyle w:val="Heading4"/>
      </w:pPr>
      <w:bookmarkStart w:id="47" w:name="_Ref11750525"/>
      <w:r w:rsidRPr="001C42E1">
        <w:t>Apply buffer zones</w:t>
      </w:r>
      <w:bookmarkEnd w:id="47"/>
    </w:p>
    <w:p w14:paraId="5A41A739" w14:textId="336A8B68" w:rsidR="008F2A87" w:rsidRPr="008F2A87" w:rsidRDefault="004A6B37" w:rsidP="008F2A87">
      <w:pPr>
        <w:pStyle w:val="ListParagraph"/>
        <w:numPr>
          <w:ilvl w:val="0"/>
          <w:numId w:val="11"/>
        </w:numPr>
      </w:pPr>
      <w:r w:rsidRPr="001321DC">
        <w:t xml:space="preserve">Protect and apply appropriate buffers, particularly of other native vegetation, around patches of the ecological community to minimise off-site impacts. </w:t>
      </w:r>
      <w:r w:rsidR="001C42E1" w:rsidRPr="001321DC">
        <w:t xml:space="preserve">A buffer zone is a contiguous area adjacent to a patch that is important for protecting the integrity of the ecological community. As the risk of indirect damage to an ecological community is usually greater where actions occur close to a patch, the purpose of the buffer zone is to minimise this risk by guiding land managers to be aware that the ecological community is nearby and take extra care. For instance, the buffer zone will help protect the root zone of edge trees and other components of the ecological community from spray drift (fertiliser, pesticide or herbicide sprayed in adjacent land), weed invasion, polluted water runoff and other damage. The best buffer zones are typically comprised of other native vegetation. </w:t>
      </w:r>
      <w:r w:rsidR="008F2A87" w:rsidRPr="008F2A87">
        <w:t xml:space="preserve">Fire breaks and other asset protection zones do not typically </w:t>
      </w:r>
      <w:r w:rsidR="008F2A87">
        <w:t>provide a suitable buffer and should be additional to a vegetated buffer.</w:t>
      </w:r>
    </w:p>
    <w:p w14:paraId="36C70DD4" w14:textId="77777777" w:rsidR="009D3175" w:rsidRPr="008F2A87" w:rsidRDefault="009D3175" w:rsidP="00A47F50">
      <w:pPr>
        <w:pStyle w:val="ListParagraph"/>
        <w:numPr>
          <w:ilvl w:val="0"/>
          <w:numId w:val="11"/>
        </w:numPr>
        <w:rPr>
          <w:rFonts w:ascii="Times New Roman" w:eastAsia="TimesNewRoman" w:hAnsi="Times New Roman"/>
          <w:szCs w:val="24"/>
          <w:lang w:eastAsia="en-AU"/>
        </w:rPr>
      </w:pPr>
      <w:r w:rsidRPr="001321DC">
        <w:t xml:space="preserve">The recommended minimum </w:t>
      </w:r>
      <w:r w:rsidRPr="00521F0C">
        <w:t>buffer zone is 30 m from the outer edge of the patch as this distance accounts for likely influences upon the root zone. A larger buffer zone (e.g. 100 m) should</w:t>
      </w:r>
      <w:r w:rsidRPr="001321DC">
        <w:t xml:space="preserve"> be applied, where practical, to protect patches that are of very high conservation value.</w:t>
      </w:r>
    </w:p>
    <w:p w14:paraId="63830F52" w14:textId="77777777" w:rsidR="004A6B37" w:rsidRPr="001321DC" w:rsidRDefault="004A6B37" w:rsidP="004A6B37">
      <w:pPr>
        <w:pStyle w:val="Heading4"/>
      </w:pPr>
      <w:r w:rsidRPr="001321DC">
        <w:t>Prevent the introduction and spread of exotic species</w:t>
      </w:r>
    </w:p>
    <w:p w14:paraId="35EFA610" w14:textId="77777777" w:rsidR="004A6B37" w:rsidRPr="001321DC" w:rsidRDefault="004A6B37" w:rsidP="00A47F50">
      <w:pPr>
        <w:pStyle w:val="ListParagraph"/>
        <w:numPr>
          <w:ilvl w:val="0"/>
          <w:numId w:val="12"/>
        </w:numPr>
      </w:pPr>
      <w:r w:rsidRPr="001321DC">
        <w:t xml:space="preserve">Support strong border biosecurity and avoid importing or accidentally introducing invasive species and pathogens into Tasmania that may have a serious adverse impact on this ecological community. </w:t>
      </w:r>
    </w:p>
    <w:p w14:paraId="45C29585" w14:textId="77777777" w:rsidR="004A6B37" w:rsidRDefault="004A6B37" w:rsidP="00A47F50">
      <w:pPr>
        <w:pStyle w:val="ListParagraph"/>
        <w:numPr>
          <w:ilvl w:val="0"/>
          <w:numId w:val="12"/>
        </w:numPr>
      </w:pPr>
      <w:r w:rsidRPr="001321DC">
        <w:t>Prevent planting of known or potentially invasive species in gardens, developments and landscaping near the ecological community.</w:t>
      </w:r>
    </w:p>
    <w:p w14:paraId="2FE1A553" w14:textId="53E5CE53" w:rsidR="007A43E2" w:rsidRPr="001321DC" w:rsidRDefault="007A43E2" w:rsidP="00A47F50">
      <w:pPr>
        <w:pStyle w:val="ListParagraph"/>
        <w:numPr>
          <w:ilvl w:val="0"/>
          <w:numId w:val="12"/>
        </w:numPr>
      </w:pPr>
      <w:r>
        <w:t>Avoid the sale of known invasive species in areas where the ecological community occurs.</w:t>
      </w:r>
    </w:p>
    <w:p w14:paraId="54EEE3C2" w14:textId="6E7B0991" w:rsidR="004A6B37" w:rsidRPr="00CF5407" w:rsidRDefault="004A6B37" w:rsidP="00A47F50">
      <w:pPr>
        <w:pStyle w:val="ListParagraph"/>
        <w:numPr>
          <w:ilvl w:val="0"/>
          <w:numId w:val="12"/>
        </w:numPr>
      </w:pPr>
      <w:r w:rsidRPr="001321DC">
        <w:t>When conducting activities in or around t</w:t>
      </w:r>
      <w:r w:rsidR="009D3175">
        <w:t>he ecological community, practic</w:t>
      </w:r>
      <w:r w:rsidRPr="001321DC">
        <w:t xml:space="preserve">e good biosecurity hygiene to avoid spreading weeds or </w:t>
      </w:r>
      <w:r w:rsidRPr="00CF5407">
        <w:t xml:space="preserve">pathogens (see </w:t>
      </w:r>
      <w:r w:rsidR="0068135E">
        <w:t>DoE</w:t>
      </w:r>
      <w:r w:rsidRPr="00CF5407">
        <w:t>, 2015).</w:t>
      </w:r>
    </w:p>
    <w:p w14:paraId="6BA47E83" w14:textId="77777777" w:rsidR="004A6B37" w:rsidRPr="001321DC" w:rsidRDefault="004A6B37" w:rsidP="00A47F50">
      <w:pPr>
        <w:pStyle w:val="ListParagraph"/>
        <w:numPr>
          <w:ilvl w:val="0"/>
          <w:numId w:val="12"/>
        </w:numPr>
      </w:pPr>
      <w:r w:rsidRPr="001321DC">
        <w:t>Minimise unnecessary soil disturbance that may facilitate weed establishment.</w:t>
      </w:r>
    </w:p>
    <w:p w14:paraId="20965D28" w14:textId="77777777" w:rsidR="004A6B37" w:rsidRPr="001321DC" w:rsidRDefault="004A6B37" w:rsidP="00A47F50">
      <w:pPr>
        <w:pStyle w:val="ListParagraph"/>
        <w:numPr>
          <w:ilvl w:val="0"/>
          <w:numId w:val="12"/>
        </w:numPr>
      </w:pPr>
      <w:r w:rsidRPr="001321DC">
        <w:t>Prevent dumping of garden waste into bushland, especially in or near patches of the ecological community.</w:t>
      </w:r>
    </w:p>
    <w:p w14:paraId="32F60DA8" w14:textId="127A6788" w:rsidR="00EF030E" w:rsidRPr="001321DC" w:rsidRDefault="004A6B37" w:rsidP="00A47F50">
      <w:pPr>
        <w:pStyle w:val="ListParagraph"/>
        <w:numPr>
          <w:ilvl w:val="0"/>
          <w:numId w:val="12"/>
        </w:numPr>
      </w:pPr>
      <w:r w:rsidRPr="001321DC">
        <w:t>If new incursions do occur, detect and control them early, as small infestations are more likely to be eradicated.</w:t>
      </w:r>
      <w:r w:rsidR="001321DC">
        <w:t xml:space="preserve"> </w:t>
      </w:r>
      <w:r w:rsidR="00EF030E" w:rsidRPr="001321DC">
        <w:t>This applies to weeds already present in Tasmania but new to a site, for example, spread of gorse, brooms, or blackberry. It also applies to weeds not yet present within Tasmania but likely to become an environmental problem if introduced.</w:t>
      </w:r>
    </w:p>
    <w:p w14:paraId="2476C7AA" w14:textId="77777777" w:rsidR="004A6B37" w:rsidRPr="001321DC" w:rsidRDefault="004A6B37" w:rsidP="00A47F50">
      <w:pPr>
        <w:pStyle w:val="ListParagraph"/>
        <w:numPr>
          <w:ilvl w:val="0"/>
          <w:numId w:val="12"/>
        </w:numPr>
      </w:pPr>
      <w:r w:rsidRPr="001321DC">
        <w:t xml:space="preserve">Limit or prevent access of grazing animals to patches of the ecological community (e.g. construct fences) where practicable. </w:t>
      </w:r>
    </w:p>
    <w:p w14:paraId="7BD6923B" w14:textId="77777777" w:rsidR="004A6B37" w:rsidRPr="001321DC" w:rsidRDefault="004A6B37" w:rsidP="00A47F50">
      <w:pPr>
        <w:pStyle w:val="ListParagraph"/>
        <w:numPr>
          <w:ilvl w:val="0"/>
          <w:numId w:val="12"/>
        </w:numPr>
      </w:pPr>
      <w:r w:rsidRPr="001321DC">
        <w:t xml:space="preserve">Prevent further introduction of feral animals and, where possible, contain pets in nearby residential areas. </w:t>
      </w:r>
    </w:p>
    <w:p w14:paraId="4232C81E" w14:textId="392177E6" w:rsidR="00B86F45" w:rsidRDefault="002311E6" w:rsidP="00B86F45">
      <w:pPr>
        <w:pStyle w:val="Heading3"/>
      </w:pPr>
      <w:r>
        <w:lastRenderedPageBreak/>
        <w:t>RESTORE</w:t>
      </w:r>
      <w:r w:rsidR="001321DC">
        <w:t xml:space="preserve"> and MANAGE</w:t>
      </w:r>
      <w:r>
        <w:t xml:space="preserve"> the ecological community</w:t>
      </w:r>
    </w:p>
    <w:p w14:paraId="08C0D02B" w14:textId="03A4B709" w:rsidR="001321DC" w:rsidRPr="001321DC" w:rsidRDefault="001321DC" w:rsidP="001321DC">
      <w:r w:rsidRPr="001321DC">
        <w:t>Because of the limited extent and remnant nature of this ecological community, relatively few patches can be considered to be viable in the long term without active management (Craven, 2002). The majority of stands are regrowth of 60-70 years, but with appropriate management and protection from fire at least some of the remaining</w:t>
      </w:r>
      <w:r w:rsidR="009D3175">
        <w:t xml:space="preserve"> stands should develop into old-</w:t>
      </w:r>
      <w:r w:rsidRPr="001321DC">
        <w:t>growth forest in the future.</w:t>
      </w:r>
    </w:p>
    <w:p w14:paraId="31340B14" w14:textId="4893FC03" w:rsidR="00761719" w:rsidRPr="001321DC" w:rsidRDefault="00761719" w:rsidP="00761719">
      <w:r w:rsidRPr="001321DC">
        <w:t>This key approach includes priorities to restore</w:t>
      </w:r>
      <w:r w:rsidR="001321DC" w:rsidRPr="001321DC">
        <w:t xml:space="preserve"> and maintain</w:t>
      </w:r>
      <w:r w:rsidRPr="001321DC">
        <w:t xml:space="preserve"> the </w:t>
      </w:r>
      <w:r w:rsidR="00855988" w:rsidRPr="001321DC">
        <w:t xml:space="preserve">remaining patches of the </w:t>
      </w:r>
      <w:r w:rsidRPr="001321DC">
        <w:t>ecological community by active abatement of threats, appropriate management, restoration and other conservation initiatives.</w:t>
      </w:r>
    </w:p>
    <w:p w14:paraId="3499D27C" w14:textId="77777777" w:rsidR="00761719" w:rsidRPr="001321DC" w:rsidRDefault="00761719" w:rsidP="00A47F50">
      <w:pPr>
        <w:pStyle w:val="ListParagraph"/>
        <w:numPr>
          <w:ilvl w:val="0"/>
          <w:numId w:val="13"/>
        </w:numPr>
      </w:pPr>
      <w:r w:rsidRPr="001321DC">
        <w:t>Liaise with landholders and undertake and promote programs that ameliorate threats such as grazing and human disturbance.</w:t>
      </w:r>
    </w:p>
    <w:p w14:paraId="0C2CBF2F" w14:textId="77777777" w:rsidR="00761719" w:rsidRPr="001321DC" w:rsidRDefault="00761719" w:rsidP="00A47F50">
      <w:pPr>
        <w:pStyle w:val="ListParagraph"/>
        <w:numPr>
          <w:ilvl w:val="0"/>
          <w:numId w:val="13"/>
        </w:numPr>
      </w:pPr>
      <w:r w:rsidRPr="001321DC">
        <w:t>Identify and prioritise other specific threats and undertake appropriate on-ground site management strategies where required.</w:t>
      </w:r>
    </w:p>
    <w:p w14:paraId="2BAF2346" w14:textId="77777777" w:rsidR="00761719" w:rsidRPr="001321DC" w:rsidRDefault="00527DFE" w:rsidP="001C42E1">
      <w:pPr>
        <w:pStyle w:val="Heading4"/>
      </w:pPr>
      <w:r w:rsidRPr="001321DC">
        <w:t xml:space="preserve">Manage weeds, </w:t>
      </w:r>
      <w:r w:rsidR="00761719" w:rsidRPr="001321DC">
        <w:t>pests</w:t>
      </w:r>
      <w:r w:rsidRPr="001321DC">
        <w:t xml:space="preserve"> and diseases</w:t>
      </w:r>
    </w:p>
    <w:p w14:paraId="78E90CEB" w14:textId="763F12B1" w:rsidR="00761719" w:rsidRPr="001321DC" w:rsidRDefault="00761719" w:rsidP="001321DC">
      <w:r w:rsidRPr="001321DC">
        <w:t>Implement effective integrated control and management techniques for weeds</w:t>
      </w:r>
      <w:r w:rsidR="00527DFE" w:rsidRPr="001321DC">
        <w:t>, pests and diseases</w:t>
      </w:r>
      <w:r w:rsidRPr="001321DC">
        <w:t xml:space="preserve"> affecting the ecological community and manage sites to prevent the introduction of new, or further spread of, invasive </w:t>
      </w:r>
      <w:r w:rsidR="00527DFE" w:rsidRPr="001321DC">
        <w:t>species</w:t>
      </w:r>
      <w:r w:rsidRPr="001321DC">
        <w:t xml:space="preserve">. </w:t>
      </w:r>
    </w:p>
    <w:p w14:paraId="11E14005" w14:textId="77777777" w:rsidR="00527DFE" w:rsidRPr="001321DC" w:rsidRDefault="00527DFE" w:rsidP="00A47F50">
      <w:pPr>
        <w:pStyle w:val="ListParagraph"/>
        <w:numPr>
          <w:ilvl w:val="0"/>
          <w:numId w:val="14"/>
        </w:numPr>
      </w:pPr>
      <w:r w:rsidRPr="001321DC">
        <w:t>Implement strategic responses to rural tree dieback, in particular, implement preventative measures.</w:t>
      </w:r>
    </w:p>
    <w:p w14:paraId="0961C74D" w14:textId="77777777" w:rsidR="00761719" w:rsidRPr="001321DC" w:rsidRDefault="00761719" w:rsidP="00A47F50">
      <w:pPr>
        <w:pStyle w:val="ListParagraph"/>
        <w:numPr>
          <w:ilvl w:val="0"/>
          <w:numId w:val="14"/>
        </w:numPr>
      </w:pPr>
      <w:r w:rsidRPr="001321DC">
        <w:t xml:space="preserve">Identify potential new weed incursions early and manage for local eradication, where possible. </w:t>
      </w:r>
    </w:p>
    <w:p w14:paraId="07279364" w14:textId="77777777" w:rsidR="00761719" w:rsidRPr="001321DC" w:rsidRDefault="00761719" w:rsidP="00A47F50">
      <w:pPr>
        <w:pStyle w:val="ListParagraph"/>
        <w:numPr>
          <w:ilvl w:val="0"/>
          <w:numId w:val="14"/>
        </w:numPr>
      </w:pPr>
      <w:r w:rsidRPr="001321DC">
        <w:t>Prioritise weed</w:t>
      </w:r>
      <w:r w:rsidR="00855988" w:rsidRPr="001321DC">
        <w:t>s</w:t>
      </w:r>
      <w:r w:rsidRPr="001321DC">
        <w:t xml:space="preserve"> and patches for which management is most urgent.</w:t>
      </w:r>
    </w:p>
    <w:p w14:paraId="144E2292" w14:textId="06C2F135" w:rsidR="00761719" w:rsidRPr="001321DC" w:rsidRDefault="00761719" w:rsidP="00A47F50">
      <w:pPr>
        <w:pStyle w:val="ListParagraph"/>
        <w:numPr>
          <w:ilvl w:val="0"/>
          <w:numId w:val="14"/>
        </w:numPr>
      </w:pPr>
      <w:r w:rsidRPr="001321DC">
        <w:t>Target control of key weeds that threaten the ecological community using appropriate methods</w:t>
      </w:r>
      <w:r w:rsidR="008F2A87">
        <w:t xml:space="preserve"> that avoid impacts to non-target species</w:t>
      </w:r>
      <w:r w:rsidRPr="001321DC">
        <w:t xml:space="preserve">. </w:t>
      </w:r>
    </w:p>
    <w:p w14:paraId="1490FA35" w14:textId="6E8A0951" w:rsidR="00761719" w:rsidRPr="001321DC" w:rsidRDefault="00761719" w:rsidP="00A47F50">
      <w:pPr>
        <w:pStyle w:val="ListParagraph"/>
        <w:numPr>
          <w:ilvl w:val="0"/>
          <w:numId w:val="14"/>
        </w:numPr>
      </w:pPr>
      <w:r w:rsidRPr="001321DC">
        <w:t xml:space="preserve">Encourage appropriate use of local native </w:t>
      </w:r>
      <w:r w:rsidR="007A43E2">
        <w:t xml:space="preserve">plant </w:t>
      </w:r>
      <w:r w:rsidRPr="001321DC">
        <w:t xml:space="preserve">species in developments in the region through local government and industry initiatives and best practice strategies. </w:t>
      </w:r>
    </w:p>
    <w:p w14:paraId="18DB7B74" w14:textId="77777777" w:rsidR="00761719" w:rsidRPr="001321DC" w:rsidRDefault="00761719" w:rsidP="00A47F50">
      <w:pPr>
        <w:pStyle w:val="ListParagraph"/>
        <w:numPr>
          <w:ilvl w:val="0"/>
          <w:numId w:val="14"/>
        </w:numPr>
      </w:pPr>
      <w:r w:rsidRPr="001321DC">
        <w:t>Ensure chemicals, or other mechanisms used to manage weeds, do not have significant adverse, off-target impa</w:t>
      </w:r>
      <w:r w:rsidR="00855988" w:rsidRPr="001321DC">
        <w:t>cts on the ecological community.</w:t>
      </w:r>
    </w:p>
    <w:p w14:paraId="371BCD75" w14:textId="77777777" w:rsidR="00761719" w:rsidRPr="001321DC" w:rsidRDefault="00761719" w:rsidP="00A47F50">
      <w:pPr>
        <w:pStyle w:val="ListParagraph"/>
        <w:numPr>
          <w:ilvl w:val="0"/>
          <w:numId w:val="14"/>
        </w:numPr>
      </w:pPr>
      <w:r w:rsidRPr="001321DC">
        <w:t>Control introduced pest animals through coordinated landscape-scale control programs</w:t>
      </w:r>
    </w:p>
    <w:p w14:paraId="40A5E3CF" w14:textId="77777777" w:rsidR="00761719" w:rsidRPr="001321DC" w:rsidRDefault="00761719" w:rsidP="001C42E1">
      <w:pPr>
        <w:pStyle w:val="Heading4"/>
      </w:pPr>
      <w:r w:rsidRPr="001321DC">
        <w:t>Manage trampling, browsing and grazing</w:t>
      </w:r>
    </w:p>
    <w:p w14:paraId="484876C2" w14:textId="295B4D9A" w:rsidR="001321DC" w:rsidRPr="001321DC" w:rsidRDefault="001321DC" w:rsidP="00A47F50">
      <w:pPr>
        <w:pStyle w:val="ListParagraph"/>
        <w:numPr>
          <w:ilvl w:val="0"/>
          <w:numId w:val="14"/>
        </w:numPr>
      </w:pPr>
      <w:r w:rsidRPr="001321DC">
        <w:t>Any grazing which may be occurring in the ecological community should cease and fencing may be required for exclusion of stock.</w:t>
      </w:r>
    </w:p>
    <w:p w14:paraId="42AB2B9A" w14:textId="08A5A95A" w:rsidR="001321DC" w:rsidRPr="001321DC" w:rsidRDefault="001321DC" w:rsidP="00A47F50">
      <w:pPr>
        <w:pStyle w:val="ListParagraph"/>
        <w:numPr>
          <w:ilvl w:val="0"/>
          <w:numId w:val="14"/>
        </w:numPr>
      </w:pPr>
      <w:r w:rsidRPr="001321DC">
        <w:t>Low level grazing, firewood cutting and other uses which may be acceptable in dry forests are not appropriate in this ecological community.</w:t>
      </w:r>
    </w:p>
    <w:p w14:paraId="7EAE9C3B" w14:textId="3A866B7B" w:rsidR="001321DC" w:rsidRPr="001321DC" w:rsidRDefault="001321DC" w:rsidP="00A47F50">
      <w:pPr>
        <w:pStyle w:val="ListParagraph"/>
        <w:numPr>
          <w:ilvl w:val="0"/>
          <w:numId w:val="14"/>
        </w:numPr>
      </w:pPr>
      <w:r w:rsidRPr="001321DC">
        <w:t>Wet forest is of little use to graziers because it has little fodder, although it may be valuable for shelter in some situations. Heavy grazing can open up the understorey a</w:t>
      </w:r>
      <w:r w:rsidR="008F2A87">
        <w:t xml:space="preserve">nd allow the invasion of weeds such as </w:t>
      </w:r>
      <w:r w:rsidRPr="001321DC">
        <w:t>blackberry (</w:t>
      </w:r>
      <w:r w:rsidRPr="001321DC">
        <w:rPr>
          <w:i/>
        </w:rPr>
        <w:t xml:space="preserve">Rubus </w:t>
      </w:r>
      <w:r w:rsidR="009D3175" w:rsidRPr="009D3175">
        <w:t>spp</w:t>
      </w:r>
      <w:r w:rsidR="008F2A87">
        <w:t>) that impact both the ecological community and adjacent agricultural land.</w:t>
      </w:r>
      <w:r w:rsidRPr="001321DC">
        <w:t xml:space="preserve"> </w:t>
      </w:r>
    </w:p>
    <w:p w14:paraId="320565ED" w14:textId="589B617A" w:rsidR="00761719" w:rsidRPr="00761719" w:rsidRDefault="00A50FB2" w:rsidP="001C42E1">
      <w:pPr>
        <w:pStyle w:val="Heading4"/>
      </w:pPr>
      <w:r>
        <w:t>avoid</w:t>
      </w:r>
      <w:r w:rsidR="00761719" w:rsidRPr="00761719">
        <w:t xml:space="preserve"> fire</w:t>
      </w:r>
    </w:p>
    <w:p w14:paraId="32467DA3" w14:textId="43955F8C" w:rsidR="0090350A" w:rsidRDefault="009D3175" w:rsidP="00A47F50">
      <w:pPr>
        <w:pStyle w:val="ListParagraph"/>
        <w:numPr>
          <w:ilvl w:val="0"/>
          <w:numId w:val="14"/>
        </w:numPr>
      </w:pPr>
      <w:r w:rsidRPr="001321DC">
        <w:t>Being a wet forest, active burning of any kind would be inappropriate.</w:t>
      </w:r>
      <w:r>
        <w:t xml:space="preserve"> </w:t>
      </w:r>
      <w:r w:rsidRPr="001321DC">
        <w:t xml:space="preserve">Wet forest needs a fire every few hundred years to enable regeneration of the </w:t>
      </w:r>
      <w:r w:rsidRPr="001321DC">
        <w:lastRenderedPageBreak/>
        <w:t xml:space="preserve">eucalypts. However, frequent fire </w:t>
      </w:r>
      <w:r>
        <w:t>may</w:t>
      </w:r>
      <w:r w:rsidRPr="001321DC">
        <w:t xml:space="preserve"> eliminate broad-leaved understories, </w:t>
      </w:r>
      <w:r w:rsidR="0090350A">
        <w:t>altering the composition of the ecological community.</w:t>
      </w:r>
    </w:p>
    <w:p w14:paraId="610C02A1" w14:textId="77777777" w:rsidR="00761719" w:rsidRPr="00761719" w:rsidRDefault="00761719" w:rsidP="001C42E1">
      <w:pPr>
        <w:pStyle w:val="Heading4"/>
      </w:pPr>
      <w:r w:rsidRPr="00761719">
        <w:t>Undertake restoration</w:t>
      </w:r>
    </w:p>
    <w:p w14:paraId="24CDD4B3" w14:textId="6FA6150B" w:rsidR="00761719" w:rsidRPr="00A50FB2" w:rsidRDefault="00761719" w:rsidP="00A47F50">
      <w:pPr>
        <w:pStyle w:val="ListParagraph"/>
        <w:numPr>
          <w:ilvl w:val="0"/>
          <w:numId w:val="15"/>
        </w:numPr>
      </w:pPr>
      <w:r w:rsidRPr="00A50FB2">
        <w:t xml:space="preserve">Undertake restoration, including bush regeneration and revegetation, of poorer and medium quality patches to restore them to high quality, including restoration of patches that don’t currently meet the </w:t>
      </w:r>
      <w:r w:rsidR="00571D67" w:rsidRPr="00A50FB2">
        <w:t xml:space="preserve">minimum </w:t>
      </w:r>
      <w:r w:rsidRPr="00A50FB2">
        <w:t>condition thresholds for protection to a condition that does (see</w:t>
      </w:r>
      <w:r w:rsidR="00AA7BB5">
        <w:t xml:space="preserve"> </w:t>
      </w:r>
      <w:r w:rsidR="00AA7BB5">
        <w:fldChar w:fldCharType="begin"/>
      </w:r>
      <w:r w:rsidR="00AA7BB5">
        <w:instrText xml:space="preserve"> REF _Ref23431087 \h </w:instrText>
      </w:r>
      <w:r w:rsidR="00AA7BB5">
        <w:fldChar w:fldCharType="separate"/>
      </w:r>
      <w:r w:rsidR="005E6E9C" w:rsidRPr="001C5644">
        <w:t xml:space="preserve">Table </w:t>
      </w:r>
      <w:r w:rsidR="005E6E9C">
        <w:rPr>
          <w:noProof/>
        </w:rPr>
        <w:t>9</w:t>
      </w:r>
      <w:r w:rsidR="00AA7BB5">
        <w:fldChar w:fldCharType="end"/>
      </w:r>
      <w:r w:rsidRPr="00A50FB2">
        <w:t>).</w:t>
      </w:r>
    </w:p>
    <w:p w14:paraId="20459F44" w14:textId="23F274D3" w:rsidR="00A50FB2" w:rsidRPr="00A50FB2" w:rsidRDefault="00A50FB2" w:rsidP="00A47F50">
      <w:pPr>
        <w:numPr>
          <w:ilvl w:val="1"/>
          <w:numId w:val="15"/>
        </w:numPr>
      </w:pPr>
      <w:r w:rsidRPr="00A50FB2">
        <w:t>Maintain stags, logs, and mature</w:t>
      </w:r>
      <w:r w:rsidR="00473528">
        <w:t xml:space="preserve"> and old-growth</w:t>
      </w:r>
      <w:r w:rsidRPr="00A50FB2">
        <w:t xml:space="preserve"> trees with hollows as they provide important habitat for fauna.</w:t>
      </w:r>
    </w:p>
    <w:p w14:paraId="07659453" w14:textId="5510024D" w:rsidR="00761719" w:rsidRPr="00A50FB2" w:rsidRDefault="00761719" w:rsidP="00A47F50">
      <w:pPr>
        <w:pStyle w:val="ListParagraph"/>
        <w:numPr>
          <w:ilvl w:val="1"/>
          <w:numId w:val="15"/>
        </w:numPr>
      </w:pPr>
      <w:r w:rsidRPr="00A50FB2">
        <w:t xml:space="preserve">Use local native species in restoration/revegetation projects for the ecological community and restore understorey vegetation to a structure and diversity appropriate to the site. </w:t>
      </w:r>
    </w:p>
    <w:p w14:paraId="4431101D" w14:textId="77777777" w:rsidR="00473528" w:rsidRPr="00A50FB2" w:rsidRDefault="00473528" w:rsidP="00A47F50">
      <w:pPr>
        <w:pStyle w:val="ListParagraph"/>
        <w:numPr>
          <w:ilvl w:val="1"/>
          <w:numId w:val="15"/>
        </w:numPr>
      </w:pPr>
      <w:r w:rsidRPr="00A50FB2">
        <w:t xml:space="preserve">In general, use locally collected seeds, where available, to revegetate native plant species. However, choosing sources of seed closer to the margins of their range may increase resilience to climate change. </w:t>
      </w:r>
    </w:p>
    <w:p w14:paraId="6516B8D5" w14:textId="77777777" w:rsidR="00761719" w:rsidRPr="00A50FB2" w:rsidRDefault="00761719" w:rsidP="00A47F50">
      <w:pPr>
        <w:pStyle w:val="ListParagraph"/>
        <w:numPr>
          <w:ilvl w:val="1"/>
          <w:numId w:val="15"/>
        </w:numPr>
      </w:pPr>
      <w:r w:rsidRPr="00A50FB2">
        <w:t xml:space="preserve">Ensure commitment to follow up after planting, such as the care of newly planted vegetation by watering, mulching, weeding and use/removal of tree guards. </w:t>
      </w:r>
    </w:p>
    <w:p w14:paraId="33BDC2AF" w14:textId="77777777" w:rsidR="00761719" w:rsidRPr="00A50FB2" w:rsidRDefault="00761719" w:rsidP="00A47F50">
      <w:pPr>
        <w:pStyle w:val="ListParagraph"/>
        <w:numPr>
          <w:ilvl w:val="1"/>
          <w:numId w:val="15"/>
        </w:numPr>
      </w:pPr>
      <w:r w:rsidRPr="00A50FB2">
        <w:t>Consider the landscape context and other relevant species and communities when planning restoration works. For example, ensure adjacent ecological communities and threatened and migratory species are not adversely impacted by tree planting or other restoration activities for the ecological community.</w:t>
      </w:r>
    </w:p>
    <w:p w14:paraId="3916272D" w14:textId="77777777" w:rsidR="00761719" w:rsidRPr="00A50FB2" w:rsidRDefault="00761719" w:rsidP="00A47F50">
      <w:pPr>
        <w:pStyle w:val="ListParagraph"/>
        <w:numPr>
          <w:ilvl w:val="0"/>
          <w:numId w:val="15"/>
        </w:numPr>
      </w:pPr>
      <w:r w:rsidRPr="00A50FB2">
        <w:t xml:space="preserve">Implement effective adaptive management regimes using information from available research and management guidelines, for example, see the </w:t>
      </w:r>
      <w:r w:rsidRPr="00473528">
        <w:rPr>
          <w:i/>
        </w:rPr>
        <w:t>National Standards for the Practice of Ecological Restoration in Australia</w:t>
      </w:r>
      <w:r w:rsidRPr="00A50FB2">
        <w:t xml:space="preserve"> (Standards Reference Group SERA, 2016), relevant research or advice from local authorities.</w:t>
      </w:r>
    </w:p>
    <w:p w14:paraId="21E9B314" w14:textId="77777777" w:rsidR="00B86F45" w:rsidRDefault="002311E6" w:rsidP="00B86F45">
      <w:pPr>
        <w:pStyle w:val="Heading3"/>
      </w:pPr>
      <w:r>
        <w:t>COMMUNICATE, engage with</w:t>
      </w:r>
      <w:r w:rsidR="00B86F45">
        <w:t xml:space="preserve"> and support</w:t>
      </w:r>
    </w:p>
    <w:p w14:paraId="1D87D5EB" w14:textId="77777777" w:rsidR="002311E6" w:rsidRPr="00AC32F4" w:rsidRDefault="002311E6" w:rsidP="002311E6">
      <w:pPr>
        <w:rPr>
          <w:lang w:eastAsia="en-AU"/>
        </w:rPr>
      </w:pPr>
      <w:r w:rsidRPr="00AC32F4">
        <w:rPr>
          <w:lang w:eastAsia="en-AU"/>
        </w:rPr>
        <w:t>This key approach includes priorities to promote the ecological community to build awareness and encourage people and groups to contribute to its recovery. This includes c</w:t>
      </w:r>
      <w:r w:rsidRPr="00AC32F4">
        <w:t xml:space="preserve">ommunicating, engaging with and supporting the public and key stakeholders to increase their understanding of the value and function of the ecological community and to encourage and assist their efforts in its protection and recovery. </w:t>
      </w:r>
      <w:r w:rsidRPr="00AC32F4">
        <w:rPr>
          <w:lang w:eastAsia="en-AU"/>
        </w:rPr>
        <w:t>Key groups to communicate with include landholders, land managers, land use planners, researchers, community mem</w:t>
      </w:r>
      <w:r w:rsidR="00BB2FFA" w:rsidRPr="00AC32F4">
        <w:rPr>
          <w:lang w:eastAsia="en-AU"/>
        </w:rPr>
        <w:t>bers and Indigenous communities</w:t>
      </w:r>
      <w:r w:rsidRPr="00AC32F4">
        <w:rPr>
          <w:lang w:eastAsia="en-AU"/>
        </w:rPr>
        <w:t>.</w:t>
      </w:r>
    </w:p>
    <w:p w14:paraId="7F264F11" w14:textId="77777777" w:rsidR="002311E6" w:rsidRPr="002311E6" w:rsidRDefault="002311E6" w:rsidP="001C42E1">
      <w:pPr>
        <w:pStyle w:val="Heading4"/>
      </w:pPr>
      <w:r w:rsidRPr="002311E6">
        <w:t>Raise awareness</w:t>
      </w:r>
    </w:p>
    <w:p w14:paraId="7BB42FF1" w14:textId="77777777" w:rsidR="002311E6" w:rsidRPr="00AC32F4" w:rsidRDefault="002311E6" w:rsidP="00A47F50">
      <w:pPr>
        <w:pStyle w:val="ListParagraph"/>
        <w:numPr>
          <w:ilvl w:val="0"/>
          <w:numId w:val="15"/>
        </w:numPr>
      </w:pPr>
      <w:r w:rsidRPr="00AC32F4">
        <w:t>Communicate with landholders/managers, relevant agencies and the public to emphasise the value of the ecological community, the key threats, its significance, and appropriate management. Encourage landholders to talk with local NRM organisations and other knowledgeable groups.</w:t>
      </w:r>
    </w:p>
    <w:p w14:paraId="4AA018A0" w14:textId="77777777" w:rsidR="002311E6" w:rsidRPr="00AC32F4" w:rsidRDefault="002311E6" w:rsidP="00A47F50">
      <w:pPr>
        <w:pStyle w:val="ListParagraph"/>
        <w:numPr>
          <w:ilvl w:val="0"/>
          <w:numId w:val="15"/>
        </w:numPr>
      </w:pPr>
      <w:r w:rsidRPr="00AC32F4">
        <w:t xml:space="preserve">Undertake effective community engagement and education to highlight the importance of minimising disturbance (e.g. during recreational activities) and of minimising pollution and littering (e.g. via signage). </w:t>
      </w:r>
    </w:p>
    <w:p w14:paraId="7ADD9780" w14:textId="77777777" w:rsidR="002311E6" w:rsidRPr="00AC32F4" w:rsidRDefault="002311E6" w:rsidP="00A47F50">
      <w:pPr>
        <w:pStyle w:val="ListParagraph"/>
        <w:numPr>
          <w:ilvl w:val="0"/>
          <w:numId w:val="15"/>
        </w:numPr>
      </w:pPr>
      <w:r w:rsidRPr="00AC32F4">
        <w:lastRenderedPageBreak/>
        <w:t xml:space="preserve">Inform landholders about incentives, such as conservation agreements, stewardship projects, funding and government NRM programs etc. that may apply to help look after sites on private lands. </w:t>
      </w:r>
    </w:p>
    <w:p w14:paraId="220A007D" w14:textId="77777777" w:rsidR="002311E6" w:rsidRPr="002311E6" w:rsidRDefault="002311E6" w:rsidP="001C42E1">
      <w:pPr>
        <w:pStyle w:val="Heading4"/>
      </w:pPr>
      <w:r w:rsidRPr="002311E6">
        <w:t>Provide information</w:t>
      </w:r>
    </w:p>
    <w:p w14:paraId="74C17FF7" w14:textId="0C8DE8C2" w:rsidR="002311E6" w:rsidRPr="00AC32F4" w:rsidRDefault="002311E6" w:rsidP="00A47F50">
      <w:pPr>
        <w:pStyle w:val="ListParagraph"/>
        <w:numPr>
          <w:ilvl w:val="0"/>
          <w:numId w:val="15"/>
        </w:numPr>
      </w:pPr>
      <w:r w:rsidRPr="00AC32F4">
        <w:t xml:space="preserve">Develop education programs, information products and signage to help the public recognise the presence and importance of the ecological community, and their responsibilities under state and local regulations and the EPBC Act. </w:t>
      </w:r>
    </w:p>
    <w:p w14:paraId="3E572EA7" w14:textId="77777777" w:rsidR="002311E6" w:rsidRPr="00AC32F4" w:rsidRDefault="002311E6" w:rsidP="00A47F50">
      <w:pPr>
        <w:pStyle w:val="ListParagraph"/>
        <w:numPr>
          <w:ilvl w:val="0"/>
          <w:numId w:val="15"/>
        </w:numPr>
      </w:pPr>
      <w:r w:rsidRPr="00AC32F4">
        <w:t>Install signage to discourage damaging activities such as the removal of dead timber, dumping garden waste and other rubbish, creating informal paths and tracks, and the use of off-road vehicles in patches of the ecological community.</w:t>
      </w:r>
    </w:p>
    <w:p w14:paraId="31A58354" w14:textId="77777777" w:rsidR="002311E6" w:rsidRPr="00AC32F4" w:rsidRDefault="002311E6" w:rsidP="00A47F50">
      <w:pPr>
        <w:pStyle w:val="ListParagraph"/>
        <w:numPr>
          <w:ilvl w:val="0"/>
          <w:numId w:val="15"/>
        </w:numPr>
      </w:pPr>
      <w:r w:rsidRPr="00AC32F4">
        <w:t xml:space="preserve">Install significant vegetation markers along roads to designate areas of the ecological community to protect and prevent inappropriate road side maintenance from occurring. </w:t>
      </w:r>
    </w:p>
    <w:p w14:paraId="35ABEC02" w14:textId="77777777" w:rsidR="002311E6" w:rsidRPr="00AC32F4" w:rsidRDefault="002311E6" w:rsidP="00A47F50">
      <w:pPr>
        <w:pStyle w:val="ListParagraph"/>
        <w:numPr>
          <w:ilvl w:val="0"/>
          <w:numId w:val="15"/>
        </w:numPr>
      </w:pPr>
      <w:r w:rsidRPr="00AC32F4">
        <w:t>Promote knowledge about local weeds and what garden plants to avoid planting. Recommend local native species for revegetation and landscaping or safe alternative garden plants.</w:t>
      </w:r>
    </w:p>
    <w:p w14:paraId="1F89CEF0" w14:textId="77777777" w:rsidR="002311E6" w:rsidRPr="002311E6" w:rsidRDefault="002311E6" w:rsidP="001C42E1">
      <w:pPr>
        <w:pStyle w:val="Heading4"/>
      </w:pPr>
      <w:r w:rsidRPr="002311E6">
        <w:t>Coordinate efforts</w:t>
      </w:r>
    </w:p>
    <w:p w14:paraId="04D4883C" w14:textId="77777777" w:rsidR="002311E6" w:rsidRPr="00AC32F4" w:rsidRDefault="002311E6" w:rsidP="00A47F50">
      <w:pPr>
        <w:pStyle w:val="ListParagraph"/>
        <w:numPr>
          <w:ilvl w:val="0"/>
          <w:numId w:val="15"/>
        </w:numPr>
      </w:pPr>
      <w:r w:rsidRPr="00AC32F4">
        <w:t xml:space="preserve">Encourage local participation in restoration and ‘landcare’ efforts through local conservation groups, creating ‘friends of’ groups, field days and planting projects, etc. </w:t>
      </w:r>
    </w:p>
    <w:p w14:paraId="687B1E5E" w14:textId="77777777" w:rsidR="002311E6" w:rsidRPr="00AC32F4" w:rsidRDefault="002311E6" w:rsidP="00A47F50">
      <w:pPr>
        <w:pStyle w:val="ListParagraph"/>
        <w:numPr>
          <w:ilvl w:val="0"/>
          <w:numId w:val="15"/>
        </w:numPr>
      </w:pPr>
      <w:r w:rsidRPr="00AC32F4">
        <w:t>Liaise with local fire management authorities and agencies and engage their support in fire management of the ecological community. Ensure land managers are given information about how to manage fire risks to conserve any threatened species and ecological communities.</w:t>
      </w:r>
    </w:p>
    <w:p w14:paraId="5648DB4E" w14:textId="77777777" w:rsidR="00905ED3" w:rsidRPr="00AC32F4" w:rsidRDefault="002311E6" w:rsidP="00A47F50">
      <w:pPr>
        <w:pStyle w:val="ListParagraph"/>
        <w:numPr>
          <w:ilvl w:val="0"/>
          <w:numId w:val="15"/>
        </w:numPr>
      </w:pPr>
      <w:r w:rsidRPr="00AC32F4">
        <w:t>Support opportunities for traditional owners or other members of the Indigenous community to manage the ecological community.</w:t>
      </w:r>
    </w:p>
    <w:p w14:paraId="44123366" w14:textId="77777777" w:rsidR="00685139" w:rsidRPr="00ED6050" w:rsidRDefault="00685139" w:rsidP="00A47F50">
      <w:pPr>
        <w:pStyle w:val="ListParagraph"/>
        <w:numPr>
          <w:ilvl w:val="0"/>
          <w:numId w:val="15"/>
        </w:numPr>
      </w:pPr>
      <w:r w:rsidRPr="00ED6050">
        <w:t>Promote awareness and protection of the ecological community with relevant agencies and industries. For example with:</w:t>
      </w:r>
    </w:p>
    <w:p w14:paraId="094AB7C2" w14:textId="77777777" w:rsidR="00685139" w:rsidRPr="00ED6050" w:rsidRDefault="00685139" w:rsidP="00A47F50">
      <w:pPr>
        <w:pStyle w:val="ListParagraph"/>
        <w:numPr>
          <w:ilvl w:val="1"/>
          <w:numId w:val="15"/>
        </w:numPr>
      </w:pPr>
      <w:r w:rsidRPr="00ED6050">
        <w:t>state and local government planning authorities, to ensure that planning takes the protection of remnants into account, with due regard to principles for long-term conservation;</w:t>
      </w:r>
    </w:p>
    <w:p w14:paraId="12784FF1" w14:textId="77777777" w:rsidR="00685139" w:rsidRPr="00ED6050" w:rsidRDefault="00685139" w:rsidP="00A47F50">
      <w:pPr>
        <w:pStyle w:val="ListParagraph"/>
        <w:numPr>
          <w:ilvl w:val="1"/>
          <w:numId w:val="15"/>
        </w:numPr>
      </w:pPr>
      <w:r w:rsidRPr="00ED6050">
        <w:t>land owners and developers, to minimise threats associated with land conversion and development;</w:t>
      </w:r>
    </w:p>
    <w:p w14:paraId="2C9F8873" w14:textId="77777777" w:rsidR="00685139" w:rsidRPr="00ED6050" w:rsidRDefault="00685139" w:rsidP="00A47F50">
      <w:pPr>
        <w:pStyle w:val="ListParagraph"/>
        <w:numPr>
          <w:ilvl w:val="1"/>
          <w:numId w:val="15"/>
        </w:numPr>
      </w:pPr>
      <w:r w:rsidRPr="00ED6050">
        <w:t>local councils and state authorities, to ensure infrastructure or development works involving substrate or vegetation disturbance do not adversely impact the ecological community. This includes avoiding the introduction or spread of weeds;</w:t>
      </w:r>
    </w:p>
    <w:p w14:paraId="7F426A95" w14:textId="77777777" w:rsidR="00B86F45" w:rsidRDefault="002311E6" w:rsidP="00B86F45">
      <w:pPr>
        <w:pStyle w:val="Heading3"/>
      </w:pPr>
      <w:r>
        <w:t>RESEARCH</w:t>
      </w:r>
      <w:r w:rsidR="00B86F45">
        <w:t xml:space="preserve"> and monitoring</w:t>
      </w:r>
    </w:p>
    <w:p w14:paraId="31FFC8EC" w14:textId="100DAE1E" w:rsidR="00C33012" w:rsidRPr="00ED6050" w:rsidRDefault="00C33012" w:rsidP="00C33012">
      <w:pPr>
        <w:rPr>
          <w:lang w:eastAsia="en-AU"/>
        </w:rPr>
      </w:pPr>
      <w:r w:rsidRPr="00ED6050">
        <w:t>This key approach includes priorities for research into the ecological community</w:t>
      </w:r>
      <w:r w:rsidRPr="00ED6050">
        <w:rPr>
          <w:lang w:eastAsia="en-AU"/>
        </w:rPr>
        <w:t>, and monitoring, to improve understanding of the ecological community and the best methods to aid its recovery through restoration and protection.</w:t>
      </w:r>
      <w:r w:rsidR="00952DCB" w:rsidRPr="00ED6050">
        <w:rPr>
          <w:lang w:eastAsia="en-AU"/>
        </w:rPr>
        <w:t xml:space="preserve"> </w:t>
      </w:r>
      <w:r w:rsidR="000A03A9" w:rsidRPr="00ED6050">
        <w:rPr>
          <w:lang w:eastAsia="en-AU"/>
        </w:rPr>
        <w:t>Relevant and well-targeted research and other information gathering activities are important in informing the protection and management of the ecological community.</w:t>
      </w:r>
    </w:p>
    <w:p w14:paraId="6B735880" w14:textId="77777777" w:rsidR="00ED6050" w:rsidRPr="00ED6050" w:rsidRDefault="00ED6050" w:rsidP="00ED6050">
      <w:pPr>
        <w:pStyle w:val="Heading4"/>
        <w:rPr>
          <w:lang w:eastAsia="en-AU"/>
        </w:rPr>
      </w:pPr>
      <w:r w:rsidRPr="00ED6050">
        <w:rPr>
          <w:lang w:eastAsia="en-AU"/>
        </w:rPr>
        <w:lastRenderedPageBreak/>
        <w:t>Ginger Tree Syndrome</w:t>
      </w:r>
    </w:p>
    <w:p w14:paraId="0243FAAE" w14:textId="07789D8C" w:rsidR="00A50FB2" w:rsidRPr="00A50FB2" w:rsidRDefault="00A50FB2" w:rsidP="00A47F50">
      <w:pPr>
        <w:pStyle w:val="ListParagraph"/>
        <w:numPr>
          <w:ilvl w:val="0"/>
          <w:numId w:val="22"/>
        </w:numPr>
        <w:rPr>
          <w:lang w:eastAsia="en-AU"/>
        </w:rPr>
      </w:pPr>
      <w:r w:rsidRPr="00A50FB2">
        <w:rPr>
          <w:lang w:eastAsia="en-AU"/>
        </w:rPr>
        <w:t xml:space="preserve">Undertake research into the causes of </w:t>
      </w:r>
      <w:r w:rsidR="00473528">
        <w:rPr>
          <w:lang w:eastAsia="en-AU"/>
        </w:rPr>
        <w:t xml:space="preserve">‘ginger tree syndrome’ </w:t>
      </w:r>
      <w:r w:rsidRPr="00A50FB2">
        <w:rPr>
          <w:lang w:eastAsia="en-AU"/>
        </w:rPr>
        <w:t xml:space="preserve">and possible methods to limit </w:t>
      </w:r>
      <w:r w:rsidR="00473528">
        <w:rPr>
          <w:lang w:eastAsia="en-AU"/>
        </w:rPr>
        <w:t>its</w:t>
      </w:r>
      <w:r w:rsidRPr="00A50FB2">
        <w:rPr>
          <w:lang w:eastAsia="en-AU"/>
        </w:rPr>
        <w:t xml:space="preserve"> damage, or </w:t>
      </w:r>
      <w:r w:rsidR="00473528">
        <w:rPr>
          <w:lang w:eastAsia="en-AU"/>
        </w:rPr>
        <w:t xml:space="preserve">to </w:t>
      </w:r>
      <w:r w:rsidRPr="00A50FB2">
        <w:rPr>
          <w:lang w:eastAsia="en-AU"/>
        </w:rPr>
        <w:t xml:space="preserve">restore </w:t>
      </w:r>
      <w:r w:rsidR="00473528">
        <w:rPr>
          <w:lang w:eastAsia="en-AU"/>
        </w:rPr>
        <w:t>affected patches.</w:t>
      </w:r>
    </w:p>
    <w:p w14:paraId="6F723185" w14:textId="2EE73715" w:rsidR="00A50FB2" w:rsidRPr="00A50FB2" w:rsidRDefault="00A50FB2" w:rsidP="00A47F50">
      <w:pPr>
        <w:pStyle w:val="ListParagraph"/>
        <w:numPr>
          <w:ilvl w:val="0"/>
          <w:numId w:val="22"/>
        </w:numPr>
        <w:rPr>
          <w:lang w:eastAsia="en-AU"/>
        </w:rPr>
      </w:pPr>
      <w:r w:rsidRPr="00A50FB2">
        <w:rPr>
          <w:lang w:eastAsia="en-AU"/>
        </w:rPr>
        <w:t>Undertake surveys to measure and monitor the extent of ‘ginger tree syndrome’</w:t>
      </w:r>
      <w:r w:rsidR="00473528">
        <w:rPr>
          <w:lang w:eastAsia="en-AU"/>
        </w:rPr>
        <w:t>.</w:t>
      </w:r>
    </w:p>
    <w:p w14:paraId="0551BEF8" w14:textId="77777777" w:rsidR="00C33012" w:rsidRPr="00ED6050" w:rsidRDefault="00C33012" w:rsidP="001C42E1">
      <w:pPr>
        <w:pStyle w:val="Heading4"/>
        <w:rPr>
          <w:lang w:eastAsia="en-AU"/>
        </w:rPr>
      </w:pPr>
      <w:r w:rsidRPr="00ED6050">
        <w:rPr>
          <w:lang w:eastAsia="en-AU"/>
        </w:rPr>
        <w:t>Mapping</w:t>
      </w:r>
    </w:p>
    <w:p w14:paraId="2C17E61E" w14:textId="77777777" w:rsidR="00C33012" w:rsidRPr="00ED6050" w:rsidRDefault="00C33012" w:rsidP="00A47F50">
      <w:pPr>
        <w:pStyle w:val="ListParagraph"/>
        <w:numPr>
          <w:ilvl w:val="0"/>
          <w:numId w:val="15"/>
        </w:numPr>
      </w:pPr>
      <w:r w:rsidRPr="00ED6050">
        <w:t xml:space="preserve">Collate existing vegetation mapping information and associated data for this ecological community and identify gaps in knowledge. </w:t>
      </w:r>
    </w:p>
    <w:p w14:paraId="2BE3E551" w14:textId="77777777" w:rsidR="00DF7641" w:rsidRPr="00ED6050" w:rsidRDefault="00DF7641" w:rsidP="00A47F50">
      <w:pPr>
        <w:pStyle w:val="ListParagraph"/>
        <w:keepNext/>
        <w:numPr>
          <w:ilvl w:val="0"/>
          <w:numId w:val="15"/>
        </w:numPr>
        <w:ind w:left="714" w:hanging="357"/>
      </w:pPr>
      <w:r w:rsidRPr="00ED6050">
        <w:t>Comprehensively map the extent and condition of the ecological community across its range:</w:t>
      </w:r>
    </w:p>
    <w:p w14:paraId="60E114CA" w14:textId="77777777" w:rsidR="00DF7641" w:rsidRPr="00ED6050" w:rsidRDefault="00DF7641" w:rsidP="00A47F50">
      <w:pPr>
        <w:pStyle w:val="ListParagraph"/>
        <w:numPr>
          <w:ilvl w:val="1"/>
          <w:numId w:val="15"/>
        </w:numPr>
      </w:pPr>
      <w:r w:rsidRPr="00ED6050">
        <w:t>support field survey and interpretation of other data such as aerial photographs and satellite images to more accurately document current extent, condition, threats, function, presence and use by regionally significant or threatened species.</w:t>
      </w:r>
    </w:p>
    <w:p w14:paraId="35E76459" w14:textId="77777777" w:rsidR="00DF7641" w:rsidRPr="00ED6050" w:rsidRDefault="00DF7641" w:rsidP="00A47F50">
      <w:pPr>
        <w:pStyle w:val="ListParagraph"/>
        <w:numPr>
          <w:ilvl w:val="1"/>
          <w:numId w:val="15"/>
        </w:numPr>
      </w:pPr>
      <w:r w:rsidRPr="00ED6050">
        <w:t xml:space="preserve">support and enhance existing programs to model the pre-1750 extent across the entire range of the ecological community to inform restoration; </w:t>
      </w:r>
    </w:p>
    <w:p w14:paraId="09017171" w14:textId="77777777" w:rsidR="00DF7641" w:rsidRPr="00ED6050" w:rsidRDefault="00DF7641" w:rsidP="00A47F50">
      <w:pPr>
        <w:pStyle w:val="ListParagraph"/>
        <w:numPr>
          <w:ilvl w:val="1"/>
          <w:numId w:val="15"/>
        </w:numPr>
      </w:pPr>
      <w:r w:rsidRPr="00ED6050">
        <w:t>identify the most intact, high conservation value remnants and gain a better understanding of variation across the ecological community.</w:t>
      </w:r>
    </w:p>
    <w:p w14:paraId="1769BDFE" w14:textId="77777777" w:rsidR="00C33012" w:rsidRPr="00ED6050" w:rsidRDefault="00C33012" w:rsidP="00A47F50">
      <w:pPr>
        <w:pStyle w:val="ListParagraph"/>
        <w:numPr>
          <w:ilvl w:val="0"/>
          <w:numId w:val="15"/>
        </w:numPr>
      </w:pPr>
      <w:r w:rsidRPr="00ED6050">
        <w:t>Undertake or support and enhance survey programs to:</w:t>
      </w:r>
    </w:p>
    <w:p w14:paraId="4EAA66C1" w14:textId="77777777" w:rsidR="00C33012" w:rsidRPr="00ED6050" w:rsidRDefault="00C33012" w:rsidP="00A47F50">
      <w:pPr>
        <w:pStyle w:val="ListParagraph"/>
        <w:numPr>
          <w:ilvl w:val="1"/>
          <w:numId w:val="15"/>
        </w:numPr>
      </w:pPr>
      <w:r w:rsidRPr="00ED6050">
        <w:t>Improve mapping of sites where the ecological community is known or likely to be present.</w:t>
      </w:r>
    </w:p>
    <w:p w14:paraId="7A34DDC4" w14:textId="77777777" w:rsidR="00C33012" w:rsidRPr="00ED6050" w:rsidRDefault="00C33012" w:rsidP="00A47F50">
      <w:pPr>
        <w:pStyle w:val="ListParagraph"/>
        <w:numPr>
          <w:ilvl w:val="1"/>
          <w:numId w:val="15"/>
        </w:numPr>
      </w:pPr>
      <w:r w:rsidRPr="00ED6050">
        <w:t>Conduct targeted field surveys and ground-truth to fill data gaps and clarify the presence and condition of remnants.</w:t>
      </w:r>
    </w:p>
    <w:p w14:paraId="592C985F" w14:textId="77777777" w:rsidR="00C33012" w:rsidRPr="00ED6050" w:rsidRDefault="00C33012" w:rsidP="00A47F50">
      <w:pPr>
        <w:pStyle w:val="ListParagraph"/>
        <w:numPr>
          <w:ilvl w:val="1"/>
          <w:numId w:val="15"/>
        </w:numPr>
      </w:pPr>
      <w:r w:rsidRPr="00ED6050">
        <w:t>Identify where the best, high quality remnants of t</w:t>
      </w:r>
      <w:r w:rsidR="00D72285" w:rsidRPr="00ED6050">
        <w:t>he ecological community occur.</w:t>
      </w:r>
    </w:p>
    <w:p w14:paraId="1EDE4B35" w14:textId="77777777" w:rsidR="00C33012" w:rsidRPr="00C33012" w:rsidRDefault="00C33012" w:rsidP="001C42E1">
      <w:pPr>
        <w:pStyle w:val="Heading4"/>
        <w:rPr>
          <w:lang w:eastAsia="en-AU"/>
        </w:rPr>
      </w:pPr>
      <w:r w:rsidRPr="00C33012">
        <w:rPr>
          <w:lang w:eastAsia="en-AU"/>
        </w:rPr>
        <w:t>Options for mana</w:t>
      </w:r>
      <w:r w:rsidR="00DF7641">
        <w:rPr>
          <w:lang w:eastAsia="en-AU"/>
        </w:rPr>
        <w:t>gement</w:t>
      </w:r>
    </w:p>
    <w:p w14:paraId="50F7E9CC" w14:textId="77777777" w:rsidR="00DF7641" w:rsidRPr="00ED6050" w:rsidRDefault="00DF7641" w:rsidP="00A47F50">
      <w:pPr>
        <w:pStyle w:val="ListParagraph"/>
        <w:numPr>
          <w:ilvl w:val="0"/>
          <w:numId w:val="15"/>
        </w:numPr>
      </w:pPr>
      <w:r w:rsidRPr="00ED6050">
        <w:t>Investigate key ecological interactions, such as the role of fauna in pollination, seed dispersal and nutrient cycling.</w:t>
      </w:r>
    </w:p>
    <w:p w14:paraId="51D12421" w14:textId="77777777" w:rsidR="00C33012" w:rsidRPr="00ED6050" w:rsidRDefault="00C33012" w:rsidP="00A47F50">
      <w:pPr>
        <w:pStyle w:val="ListParagraph"/>
        <w:numPr>
          <w:ilvl w:val="0"/>
          <w:numId w:val="15"/>
        </w:numPr>
      </w:pPr>
      <w:r w:rsidRPr="00ED6050">
        <w:t xml:space="preserve">Research into appropriate and integrated methods to manage </w:t>
      </w:r>
      <w:r w:rsidR="00DF7641" w:rsidRPr="00ED6050">
        <w:t xml:space="preserve">pests and </w:t>
      </w:r>
      <w:r w:rsidRPr="00ED6050">
        <w:t xml:space="preserve">weeds that affect the ecological community. </w:t>
      </w:r>
    </w:p>
    <w:p w14:paraId="173526AE" w14:textId="77777777" w:rsidR="00DF7641" w:rsidRPr="00ED6050" w:rsidRDefault="00DF7641" w:rsidP="00A47F50">
      <w:pPr>
        <w:pStyle w:val="ListParagraph"/>
        <w:numPr>
          <w:ilvl w:val="0"/>
          <w:numId w:val="15"/>
        </w:numPr>
      </w:pPr>
      <w:r w:rsidRPr="00ED6050">
        <w:t>Assess the vulnerability of the ecological community to climate change and investigate ways to improve resilience through other threat abatement and management actions.</w:t>
      </w:r>
    </w:p>
    <w:p w14:paraId="6D199C41" w14:textId="77777777" w:rsidR="00DF7641" w:rsidRPr="00ED6050" w:rsidRDefault="00DF7641" w:rsidP="00A47F50">
      <w:pPr>
        <w:pStyle w:val="ListParagraph"/>
        <w:numPr>
          <w:ilvl w:val="0"/>
          <w:numId w:val="15"/>
        </w:numPr>
      </w:pPr>
      <w:r w:rsidRPr="00ED6050">
        <w:t>Conduct research leading to the development of effective landscape-scale restoration techniques for the ecological community. Investigate the interaction between disturbance types, such as fire and invasion by weeds and feral animals, to determine how an integrated approach to threat management can be implemented.</w:t>
      </w:r>
    </w:p>
    <w:p w14:paraId="42C80218" w14:textId="264F8975" w:rsidR="00DF7641" w:rsidRPr="00ED6050" w:rsidRDefault="00DF7641" w:rsidP="00A47F50">
      <w:pPr>
        <w:pStyle w:val="ListParagraph"/>
        <w:numPr>
          <w:ilvl w:val="0"/>
          <w:numId w:val="15"/>
        </w:numPr>
      </w:pPr>
      <w:r w:rsidRPr="00ED6050">
        <w:t>Investigate the most cost-effective options for restoring landscape function, including</w:t>
      </w:r>
      <w:r w:rsidR="00473528">
        <w:t xml:space="preserve"> </w:t>
      </w:r>
      <w:r w:rsidRPr="00ED6050">
        <w:t>re-vegetation or assisted regeneration of priority areas, potentially buffering, connecting and protecting existing remnants.</w:t>
      </w:r>
    </w:p>
    <w:p w14:paraId="7A8091B1" w14:textId="77777777" w:rsidR="00C33012" w:rsidRPr="00C33012" w:rsidRDefault="00C33012" w:rsidP="001C42E1">
      <w:pPr>
        <w:pStyle w:val="Heading4"/>
        <w:rPr>
          <w:lang w:eastAsia="en-AU"/>
        </w:rPr>
      </w:pPr>
      <w:r w:rsidRPr="00C33012">
        <w:rPr>
          <w:lang w:eastAsia="en-AU"/>
        </w:rPr>
        <w:lastRenderedPageBreak/>
        <w:t>Monitoring</w:t>
      </w:r>
    </w:p>
    <w:p w14:paraId="31623467" w14:textId="77777777" w:rsidR="00C33012" w:rsidRPr="00ED6050" w:rsidRDefault="00C33012" w:rsidP="00A47F50">
      <w:pPr>
        <w:pStyle w:val="ListParagraph"/>
        <w:numPr>
          <w:ilvl w:val="0"/>
          <w:numId w:val="15"/>
        </w:numPr>
      </w:pPr>
      <w:r w:rsidRPr="00ED6050">
        <w:t>It is important that any monitoring is planned before management commences and considers what data are required to address research questions. Monitoring must also be resourced for management activities, especially for those using a novel approach, and applied during and following the management action.</w:t>
      </w:r>
    </w:p>
    <w:p w14:paraId="1F812C0F" w14:textId="1CCC00F6" w:rsidR="00EF030E" w:rsidRDefault="00EF030E" w:rsidP="00A47F50">
      <w:pPr>
        <w:pStyle w:val="ListParagraph"/>
        <w:numPr>
          <w:ilvl w:val="1"/>
          <w:numId w:val="15"/>
        </w:numPr>
      </w:pPr>
      <w:r w:rsidRPr="00ED6050">
        <w:t xml:space="preserve">Monitor for signs of </w:t>
      </w:r>
      <w:r w:rsidR="00473528">
        <w:t>decline</w:t>
      </w:r>
      <w:r w:rsidRPr="00ED6050">
        <w:t xml:space="preserve">, in terms of known problems e.g. </w:t>
      </w:r>
      <w:r w:rsidR="00473528">
        <w:t xml:space="preserve">‘ginger tree syndrome’, </w:t>
      </w:r>
      <w:r w:rsidRPr="00ED6050">
        <w:t xml:space="preserve">and new incursions, </w:t>
      </w:r>
      <w:r w:rsidR="00473528" w:rsidRPr="00ED6050">
        <w:t>e.g. myrtle rust.</w:t>
      </w:r>
    </w:p>
    <w:p w14:paraId="398410B8" w14:textId="587D8C7A" w:rsidR="00C33012" w:rsidRPr="00ED6050" w:rsidRDefault="00C33012" w:rsidP="00A47F50">
      <w:pPr>
        <w:pStyle w:val="ListParagraph"/>
        <w:numPr>
          <w:ilvl w:val="1"/>
          <w:numId w:val="15"/>
        </w:numPr>
      </w:pPr>
      <w:r w:rsidRPr="00ED6050">
        <w:t xml:space="preserve">Monitor changes in the </w:t>
      </w:r>
      <w:r w:rsidR="00DF7641" w:rsidRPr="00ED6050">
        <w:t>condition,</w:t>
      </w:r>
      <w:r w:rsidR="00ED6050" w:rsidRPr="00ED6050">
        <w:t xml:space="preserve"> </w:t>
      </w:r>
      <w:r w:rsidRPr="00ED6050">
        <w:t>composition, structure and function of the ecological community, including response to all types of management actions and use this information to increase understanding of the ecological community and inform recommendations for future management.</w:t>
      </w:r>
    </w:p>
    <w:p w14:paraId="1A823172" w14:textId="77777777" w:rsidR="006551A0" w:rsidRDefault="006551A0" w:rsidP="006551A0">
      <w:pPr>
        <w:pStyle w:val="Heading1"/>
      </w:pPr>
      <w:bookmarkStart w:id="48" w:name="_Toc24971010"/>
      <w:r>
        <w:t>References</w:t>
      </w:r>
      <w:bookmarkEnd w:id="48"/>
    </w:p>
    <w:p w14:paraId="501D1553" w14:textId="5AAA970B" w:rsidR="00175ECF" w:rsidRPr="00175ECF" w:rsidRDefault="00175ECF" w:rsidP="00A47F50">
      <w:pPr>
        <w:pStyle w:val="ListParagraph"/>
        <w:numPr>
          <w:ilvl w:val="0"/>
          <w:numId w:val="3"/>
        </w:numPr>
      </w:pPr>
      <w:r w:rsidRPr="00175ECF">
        <w:t xml:space="preserve">Aboriginal Heritage Tasmania (2019). </w:t>
      </w:r>
      <w:r w:rsidRPr="0068135E">
        <w:rPr>
          <w:i/>
        </w:rPr>
        <w:t>Aboriginal Diet</w:t>
      </w:r>
      <w:r w:rsidRPr="00175ECF">
        <w:t xml:space="preserve">. Available from: </w:t>
      </w:r>
      <w:hyperlink r:id="rId18" w:history="1">
        <w:r w:rsidRPr="00175ECF">
          <w:rPr>
            <w:rStyle w:val="Hyperlink"/>
          </w:rPr>
          <w:t>https://www.aboriginalheritage.tas.gov.au/cultural-heritage/aboriginal-diet</w:t>
        </w:r>
      </w:hyperlink>
      <w:r w:rsidRPr="00175ECF">
        <w:rPr>
          <w:rStyle w:val="Hyperlink"/>
        </w:rPr>
        <w:t xml:space="preserve"> </w:t>
      </w:r>
    </w:p>
    <w:p w14:paraId="6CCD919A" w14:textId="77777777" w:rsidR="003A630A" w:rsidRPr="00F76629" w:rsidRDefault="003A630A" w:rsidP="00A47F50">
      <w:pPr>
        <w:pStyle w:val="ListParagraph"/>
        <w:numPr>
          <w:ilvl w:val="0"/>
          <w:numId w:val="3"/>
        </w:numPr>
      </w:pPr>
      <w:r>
        <w:t xml:space="preserve">ABS [Australian </w:t>
      </w:r>
      <w:r w:rsidRPr="00F76629">
        <w:t>Bureau of Statistics</w:t>
      </w:r>
      <w:r>
        <w:t>]</w:t>
      </w:r>
      <w:r w:rsidRPr="00F76629">
        <w:t xml:space="preserve"> (2000) </w:t>
      </w:r>
      <w:r w:rsidRPr="003A630A">
        <w:rPr>
          <w:i/>
        </w:rPr>
        <w:t>Feature Article: Palawa Story</w:t>
      </w:r>
      <w:r>
        <w:rPr>
          <w:i/>
        </w:rPr>
        <w:t>.</w:t>
      </w:r>
      <w:r>
        <w:t xml:space="preserve"> Tasmania Year Book</w:t>
      </w:r>
      <w:r w:rsidRPr="00F76629">
        <w:t xml:space="preserve">. </w:t>
      </w:r>
      <w:r>
        <w:t xml:space="preserve">Available from: </w:t>
      </w:r>
      <w:hyperlink r:id="rId19" w:history="1">
        <w:r w:rsidRPr="00322DF3">
          <w:rPr>
            <w:rStyle w:val="Hyperlink"/>
          </w:rPr>
          <w:t>http://www.abs.gov.au/ausstats/abs@.nsf/7d12b0f6763c78caca257061001cc588/3f2a34f97b0d1729ca256c32002417b6!OpenDocument</w:t>
        </w:r>
      </w:hyperlink>
      <w:r>
        <w:rPr>
          <w:rStyle w:val="Hyperlink"/>
        </w:rPr>
        <w:t xml:space="preserve"> </w:t>
      </w:r>
      <w:r>
        <w:t xml:space="preserve"> </w:t>
      </w:r>
    </w:p>
    <w:p w14:paraId="7EF44116" w14:textId="30355C2D" w:rsidR="009745DD" w:rsidRPr="00F76629" w:rsidRDefault="009745DD" w:rsidP="00A47F50">
      <w:pPr>
        <w:pStyle w:val="ListParagraph"/>
        <w:numPr>
          <w:ilvl w:val="0"/>
          <w:numId w:val="3"/>
        </w:numPr>
      </w:pPr>
      <w:r w:rsidRPr="00F76629">
        <w:t xml:space="preserve">AIATSIS [Australian Institute of Aboriginal and Torres Strait Islander Studies] (1996). </w:t>
      </w:r>
      <w:r w:rsidRPr="00F76629">
        <w:rPr>
          <w:i/>
        </w:rPr>
        <w:t>AIATSIS map of Indigenous Australia.</w:t>
      </w:r>
      <w:r w:rsidRPr="00F76629">
        <w:t xml:space="preserve"> </w:t>
      </w:r>
      <w:r w:rsidR="00F76629" w:rsidRPr="00F76629">
        <w:t xml:space="preserve">Available from: </w:t>
      </w:r>
      <w:hyperlink r:id="rId20" w:history="1">
        <w:r w:rsidRPr="00F76629">
          <w:rPr>
            <w:rStyle w:val="Hyperlink"/>
          </w:rPr>
          <w:t>http://aiatsis.gov.au/explore/articles/aiatsis-map-indigenous-australia</w:t>
        </w:r>
      </w:hyperlink>
    </w:p>
    <w:p w14:paraId="0741D488" w14:textId="6828B77D" w:rsidR="00F76629" w:rsidRPr="00F76629" w:rsidRDefault="0068135E" w:rsidP="00A47F50">
      <w:pPr>
        <w:pStyle w:val="ListParagraph"/>
        <w:numPr>
          <w:ilvl w:val="0"/>
          <w:numId w:val="3"/>
        </w:numPr>
      </w:pPr>
      <w:r>
        <w:rPr>
          <w:lang w:eastAsia="en-AU"/>
        </w:rPr>
        <w:t xml:space="preserve">Australian National Botanic Gardens (2000). </w:t>
      </w:r>
      <w:r w:rsidRPr="0068135E">
        <w:rPr>
          <w:i/>
          <w:lang w:eastAsia="en-AU"/>
        </w:rPr>
        <w:t>Aboriginal Plant use and Technology</w:t>
      </w:r>
      <w:r>
        <w:rPr>
          <w:lang w:eastAsia="en-AU"/>
        </w:rPr>
        <w:t xml:space="preserve">. Available from </w:t>
      </w:r>
      <w:hyperlink r:id="rId21" w:history="1">
        <w:r w:rsidR="00F76629" w:rsidRPr="00F76629">
          <w:rPr>
            <w:rStyle w:val="Hyperlink"/>
            <w:lang w:eastAsia="en-AU"/>
          </w:rPr>
          <w:t>http://www.anbg.gov.au/gardens/education/programs/pdfs/aboriginal_plant_use_and_technology.pdf</w:t>
        </w:r>
      </w:hyperlink>
    </w:p>
    <w:p w14:paraId="0C489BF5" w14:textId="77777777" w:rsidR="001A45F8" w:rsidRPr="001A45F8" w:rsidRDefault="001A45F8" w:rsidP="00A47F50">
      <w:pPr>
        <w:pStyle w:val="ListParagraph"/>
        <w:numPr>
          <w:ilvl w:val="0"/>
          <w:numId w:val="3"/>
        </w:numPr>
        <w:rPr>
          <w:lang w:eastAsia="en-AU"/>
        </w:rPr>
      </w:pPr>
      <w:r w:rsidRPr="001A45F8">
        <w:rPr>
          <w:lang w:eastAsia="en-AU"/>
        </w:rPr>
        <w:t xml:space="preserve">Barnes RW and McCoull CJ (2002). </w:t>
      </w:r>
      <w:r w:rsidRPr="001A45F8">
        <w:rPr>
          <w:i/>
          <w:lang w:eastAsia="en-AU"/>
        </w:rPr>
        <w:t>A land manager’s guide for assessing and monitoring the health of Tasmania’s forested bush. Nature Conservation Report 02/2.</w:t>
      </w:r>
      <w:r w:rsidRPr="001A45F8">
        <w:rPr>
          <w:lang w:eastAsia="en-AU"/>
        </w:rPr>
        <w:t xml:space="preserve"> Department of Primary Industries, Water and Environment, Hobart. Available from </w:t>
      </w:r>
      <w:hyperlink r:id="rId22" w:history="1">
        <w:r w:rsidRPr="001A45F8">
          <w:rPr>
            <w:rStyle w:val="Hyperlink"/>
            <w:lang w:eastAsia="en-AU"/>
          </w:rPr>
          <w:t>https://dpipwe.tas.gov.au/Documents/Nature-Conservation-Report-02-02.pdf</w:t>
        </w:r>
      </w:hyperlink>
      <w:r w:rsidRPr="001A45F8">
        <w:rPr>
          <w:lang w:eastAsia="en-AU"/>
        </w:rPr>
        <w:t xml:space="preserve"> </w:t>
      </w:r>
    </w:p>
    <w:p w14:paraId="4A0FBBCC" w14:textId="59AC9580" w:rsidR="00CD00BF" w:rsidRPr="00CD00BF" w:rsidRDefault="00CD00BF" w:rsidP="00A47F50">
      <w:pPr>
        <w:pStyle w:val="ListParagraph"/>
        <w:numPr>
          <w:ilvl w:val="0"/>
          <w:numId w:val="3"/>
        </w:numPr>
        <w:rPr>
          <w:szCs w:val="24"/>
          <w:lang w:eastAsia="en-AU"/>
        </w:rPr>
      </w:pPr>
      <w:r>
        <w:rPr>
          <w:szCs w:val="24"/>
          <w:lang w:eastAsia="en-AU"/>
        </w:rPr>
        <w:t>Bland, L., Keith, D</w:t>
      </w:r>
      <w:r w:rsidRPr="00CD00BF">
        <w:rPr>
          <w:szCs w:val="24"/>
          <w:lang w:eastAsia="en-AU"/>
        </w:rPr>
        <w:t>.</w:t>
      </w:r>
      <w:r>
        <w:rPr>
          <w:szCs w:val="24"/>
          <w:lang w:eastAsia="en-AU"/>
        </w:rPr>
        <w:t xml:space="preserve">, Miller, R., Murray, N. and Rodriguez, J. (eds) (2016). </w:t>
      </w:r>
      <w:r w:rsidRPr="00CD00BF">
        <w:rPr>
          <w:i/>
          <w:szCs w:val="24"/>
          <w:lang w:eastAsia="en-AU"/>
        </w:rPr>
        <w:t xml:space="preserve">Guidelines for the application of IUCN Red List of Ecosystem Categories and Criteria, Version 1. </w:t>
      </w:r>
      <w:r>
        <w:rPr>
          <w:szCs w:val="24"/>
          <w:lang w:eastAsia="en-AU"/>
        </w:rPr>
        <w:t xml:space="preserve">IUCN, Switzerland. Available from </w:t>
      </w:r>
      <w:hyperlink r:id="rId23" w:history="1">
        <w:r w:rsidRPr="00CD00BF">
          <w:rPr>
            <w:rStyle w:val="Hyperlink"/>
            <w:lang w:eastAsia="en-AU"/>
          </w:rPr>
          <w:t>https://www.iucn.org/es/content/guidelines-application-iucn-red-list-ecosystems-categories-and-criteria</w:t>
        </w:r>
      </w:hyperlink>
      <w:r>
        <w:rPr>
          <w:szCs w:val="24"/>
          <w:lang w:eastAsia="en-AU"/>
        </w:rPr>
        <w:t xml:space="preserve"> </w:t>
      </w:r>
    </w:p>
    <w:p w14:paraId="63A7249A" w14:textId="6C491032" w:rsidR="00BF1B2A" w:rsidRPr="00882D6E" w:rsidRDefault="00BF1B2A" w:rsidP="00A47F50">
      <w:pPr>
        <w:pStyle w:val="ListParagraph"/>
        <w:numPr>
          <w:ilvl w:val="0"/>
          <w:numId w:val="3"/>
        </w:numPr>
        <w:rPr>
          <w:rStyle w:val="Hyperlink"/>
          <w:color w:val="auto"/>
          <w:sz w:val="24"/>
          <w:szCs w:val="24"/>
          <w:lang w:eastAsia="en-AU"/>
        </w:rPr>
      </w:pPr>
      <w:r w:rsidRPr="001A45F8">
        <w:t>Bryant</w:t>
      </w:r>
      <w:r w:rsidRPr="00BF1B2A">
        <w:rPr>
          <w:szCs w:val="24"/>
          <w:lang w:eastAsia="en-AU"/>
        </w:rPr>
        <w:t xml:space="preserve"> SL and Jackson J (1999). Tasmania’s threatened fauna handbook. What, where and how to protect Tasmania’s threatened animals. Threatened Species Unit, Parks and Wildlife Service, Hobart.</w:t>
      </w:r>
      <w:r w:rsidR="00670B0B">
        <w:rPr>
          <w:szCs w:val="24"/>
          <w:lang w:eastAsia="en-AU"/>
        </w:rPr>
        <w:t xml:space="preserve"> </w:t>
      </w:r>
      <w:r w:rsidR="00882D6E" w:rsidRPr="00882D6E">
        <w:rPr>
          <w:szCs w:val="24"/>
          <w:lang w:eastAsia="en-AU"/>
        </w:rPr>
        <w:t xml:space="preserve">Available from </w:t>
      </w:r>
      <w:hyperlink r:id="rId24" w:history="1">
        <w:r w:rsidRPr="00882D6E">
          <w:rPr>
            <w:rStyle w:val="Hyperlink"/>
          </w:rPr>
          <w:t>https://dpipwe.tas.gov.au/Documents/threatfauna.pdf</w:t>
        </w:r>
      </w:hyperlink>
    </w:p>
    <w:p w14:paraId="7C70581D" w14:textId="77777777" w:rsidR="00A10FF6" w:rsidRPr="005921A2" w:rsidRDefault="00A10FF6" w:rsidP="00A47F50">
      <w:pPr>
        <w:pStyle w:val="ListParagraph"/>
        <w:numPr>
          <w:ilvl w:val="0"/>
          <w:numId w:val="3"/>
        </w:numPr>
      </w:pPr>
      <w:r>
        <w:t xml:space="preserve">Craven, B (2002). </w:t>
      </w:r>
      <w:r w:rsidRPr="00A10FF6">
        <w:rPr>
          <w:i/>
        </w:rPr>
        <w:t>Revised distribution and conservation status of Eucalyptus viminalis wet forest in Tasmania</w:t>
      </w:r>
      <w:r>
        <w:rPr>
          <w:i/>
        </w:rPr>
        <w:t xml:space="preserve"> – report to the </w:t>
      </w:r>
      <w:r w:rsidRPr="00A10FF6">
        <w:rPr>
          <w:i/>
        </w:rPr>
        <w:t>Scientific Advisory Group for the Private Forest Reserves Program.</w:t>
      </w:r>
      <w:r>
        <w:t xml:space="preserve"> Department of Primary Industries, Water and the Environment, Hobart. </w:t>
      </w:r>
    </w:p>
    <w:p w14:paraId="4236799A" w14:textId="66A4CF24" w:rsidR="00943882" w:rsidRPr="00943882" w:rsidRDefault="0068135E" w:rsidP="00A47F50">
      <w:pPr>
        <w:pStyle w:val="ListParagraph"/>
        <w:keepLines/>
        <w:numPr>
          <w:ilvl w:val="0"/>
          <w:numId w:val="3"/>
        </w:numPr>
        <w:spacing w:after="60"/>
        <w:ind w:left="714" w:hanging="357"/>
        <w:rPr>
          <w:rFonts w:cs="Arial"/>
          <w:color w:val="444444"/>
        </w:rPr>
      </w:pPr>
      <w:r>
        <w:rPr>
          <w:rFonts w:cs="Arial"/>
        </w:rPr>
        <w:lastRenderedPageBreak/>
        <w:t>DoE [</w:t>
      </w:r>
      <w:r w:rsidR="00943882" w:rsidRPr="00943882">
        <w:rPr>
          <w:rFonts w:cs="Arial"/>
        </w:rPr>
        <w:t>Department of the Environment</w:t>
      </w:r>
      <w:r>
        <w:rPr>
          <w:rFonts w:cs="Arial"/>
        </w:rPr>
        <w:t>]</w:t>
      </w:r>
      <w:r w:rsidR="00943882" w:rsidRPr="00943882">
        <w:rPr>
          <w:rFonts w:cs="Arial"/>
        </w:rPr>
        <w:t xml:space="preserve"> (2012)</w:t>
      </w:r>
      <w:r w:rsidR="00943882">
        <w:rPr>
          <w:rFonts w:cs="Arial"/>
        </w:rPr>
        <w:t>.</w:t>
      </w:r>
      <w:r w:rsidR="00943882" w:rsidRPr="00943882">
        <w:rPr>
          <w:rFonts w:cs="Arial"/>
        </w:rPr>
        <w:t xml:space="preserve"> </w:t>
      </w:r>
      <w:r w:rsidR="00943882" w:rsidRPr="00943882">
        <w:rPr>
          <w:rFonts w:cs="Arial"/>
          <w:i/>
        </w:rPr>
        <w:t xml:space="preserve">Interim Biogeographic Regionalisation for Australia (Subregions - States and Territories) v. 7. </w:t>
      </w:r>
      <w:r w:rsidR="00943882" w:rsidRPr="00943882">
        <w:rPr>
          <w:rFonts w:cs="Arial"/>
        </w:rPr>
        <w:t xml:space="preserve">Available </w:t>
      </w:r>
      <w:r w:rsidR="00943882">
        <w:rPr>
          <w:rFonts w:cs="Arial"/>
        </w:rPr>
        <w:t xml:space="preserve">from </w:t>
      </w:r>
      <w:hyperlink r:id="rId25" w:history="1">
        <w:r w:rsidR="00943882" w:rsidRPr="00943882">
          <w:rPr>
            <w:rStyle w:val="Hyperlink"/>
            <w:rFonts w:cs="Arial"/>
          </w:rPr>
          <w:t>http://intspat01.ris.environment.gov.au/fed/catalog/search/resource/details.page?uuid=%7BBC052189-DBEC-49C0-B735-71818899DA01%7D</w:t>
        </w:r>
      </w:hyperlink>
      <w:r w:rsidR="00943882" w:rsidRPr="00943882">
        <w:rPr>
          <w:rFonts w:cs="Arial"/>
          <w:color w:val="444444"/>
        </w:rPr>
        <w:t xml:space="preserve"> </w:t>
      </w:r>
    </w:p>
    <w:p w14:paraId="6986E710" w14:textId="5C1ADDC1" w:rsidR="00CF5407" w:rsidRDefault="0068135E" w:rsidP="00A47F50">
      <w:pPr>
        <w:pStyle w:val="ListParagraph"/>
        <w:numPr>
          <w:ilvl w:val="0"/>
          <w:numId w:val="3"/>
        </w:numPr>
      </w:pPr>
      <w:r>
        <w:t>DoE [</w:t>
      </w:r>
      <w:r w:rsidR="00CF5407">
        <w:t>Department of the Environment</w:t>
      </w:r>
      <w:r>
        <w:t>]</w:t>
      </w:r>
      <w:r w:rsidR="00CF5407">
        <w:t xml:space="preserve"> (2015). </w:t>
      </w:r>
      <w:r w:rsidR="00CF5407" w:rsidRPr="00CF5407">
        <w:rPr>
          <w:i/>
        </w:rPr>
        <w:t>Arrive Clean, Leave Clean. Guidelines to help prevent the spread of invasive plant diseases and weeds threatening our native plants, animals and ecosystems</w:t>
      </w:r>
      <w:r w:rsidR="00CF5407">
        <w:t xml:space="preserve">. Commonwealth of Australia. Available from </w:t>
      </w:r>
      <w:hyperlink r:id="rId26" w:history="1">
        <w:r w:rsidR="00CF5407" w:rsidRPr="00CF5407">
          <w:rPr>
            <w:rStyle w:val="Hyperlink"/>
          </w:rPr>
          <w:t>https://www.environment.gov.au/biodiversity/invasive-species/publications/arrive-clean-leave-clean</w:t>
        </w:r>
      </w:hyperlink>
      <w:r w:rsidR="00CF5407">
        <w:t xml:space="preserve"> </w:t>
      </w:r>
    </w:p>
    <w:p w14:paraId="096E37A3" w14:textId="7AC6115F" w:rsidR="001A45F8" w:rsidRPr="00D94FEA" w:rsidRDefault="0068135E" w:rsidP="00A47F50">
      <w:pPr>
        <w:pStyle w:val="ListParagraph"/>
        <w:numPr>
          <w:ilvl w:val="0"/>
          <w:numId w:val="3"/>
        </w:numPr>
        <w:rPr>
          <w:rStyle w:val="Hyperlink"/>
          <w:color w:val="auto"/>
          <w:sz w:val="24"/>
          <w:shd w:val="clear" w:color="auto" w:fill="FFFFFF"/>
        </w:rPr>
      </w:pPr>
      <w:r>
        <w:t>DPIPWE [</w:t>
      </w:r>
      <w:r w:rsidR="001A45F8" w:rsidRPr="001A45F8">
        <w:t>Department of Primary Industries, Parks, Water and Environment</w:t>
      </w:r>
      <w:r>
        <w:t>]</w:t>
      </w:r>
      <w:r w:rsidR="001A45F8" w:rsidRPr="001A45F8">
        <w:t xml:space="preserve"> (2011). </w:t>
      </w:r>
      <w:r w:rsidR="001A45F8" w:rsidRPr="001A45F8">
        <w:rPr>
          <w:i/>
        </w:rPr>
        <w:t>A planning toolkit for managing browsing and grazing losses from wallabies and brushtail possums on farms in Tasmania</w:t>
      </w:r>
      <w:r w:rsidR="001A45F8" w:rsidRPr="001A45F8">
        <w:t xml:space="preserve">. Tasmanian Government. </w:t>
      </w:r>
      <w:r w:rsidR="001A45F8" w:rsidRPr="001A45F8">
        <w:rPr>
          <w:shd w:val="clear" w:color="auto" w:fill="FFFFFF"/>
        </w:rPr>
        <w:t xml:space="preserve">Available from: </w:t>
      </w:r>
      <w:hyperlink r:id="rId27" w:history="1">
        <w:r w:rsidR="001A45F8" w:rsidRPr="001A45F8">
          <w:rPr>
            <w:rStyle w:val="Hyperlink"/>
          </w:rPr>
          <w:t>http://dpipwe.tas.gov.au/Documents/Information-booklet-web.pdf</w:t>
        </w:r>
      </w:hyperlink>
    </w:p>
    <w:p w14:paraId="2627B0C9" w14:textId="5DF5AC27" w:rsidR="00D94FEA" w:rsidRPr="00D94FEA" w:rsidRDefault="00D94FEA" w:rsidP="00D94FEA">
      <w:pPr>
        <w:pStyle w:val="ListParagraph"/>
      </w:pPr>
      <w:r>
        <w:t>DPIPWE [</w:t>
      </w:r>
      <w:r w:rsidRPr="00D94FEA">
        <w:t>Department of Primary Industries, Parks, Water and Environment</w:t>
      </w:r>
      <w:r>
        <w:t>] (2013)</w:t>
      </w:r>
      <w:r w:rsidRPr="00D94FEA">
        <w:t xml:space="preserve"> </w:t>
      </w:r>
      <w:r w:rsidRPr="00D94FEA">
        <w:rPr>
          <w:i/>
        </w:rPr>
        <w:t>TASVEG 3.0</w:t>
      </w:r>
      <w:r w:rsidRPr="00D94FEA">
        <w:t>, Released November 2013. Tasmanian Vegetation Monitoring and Mapping Program, Resource Management and Conservation Division.</w:t>
      </w:r>
    </w:p>
    <w:p w14:paraId="4BC8B42B" w14:textId="5B36485F" w:rsidR="00164614" w:rsidRPr="00164614" w:rsidRDefault="0068135E" w:rsidP="00A47F50">
      <w:pPr>
        <w:pStyle w:val="ListParagraph"/>
        <w:numPr>
          <w:ilvl w:val="0"/>
          <w:numId w:val="3"/>
        </w:numPr>
      </w:pPr>
      <w:r w:rsidRPr="0068135E">
        <w:t xml:space="preserve">DPIPWE [Department of Primary Industries, Parks, Water and Environment] </w:t>
      </w:r>
      <w:r w:rsidR="00164614">
        <w:t xml:space="preserve">(2016). </w:t>
      </w:r>
      <w:r w:rsidR="00164614" w:rsidRPr="00164614">
        <w:rPr>
          <w:i/>
        </w:rPr>
        <w:t>Vegetation Benchmarks</w:t>
      </w:r>
      <w:r w:rsidR="000A5648">
        <w:rPr>
          <w:i/>
        </w:rPr>
        <w:t xml:space="preserve"> – Wet eucalypt forest and woodland</w:t>
      </w:r>
      <w:r w:rsidR="00164614">
        <w:t xml:space="preserve">. Tasmanian Government. Available from </w:t>
      </w:r>
      <w:hyperlink r:id="rId28" w:history="1">
        <w:r w:rsidR="000A5648" w:rsidRPr="000A5648">
          <w:rPr>
            <w:rStyle w:val="Hyperlink"/>
          </w:rPr>
          <w:t>https://dpipwe.tas.gov.au/Documents/All_Wet_forest_benchmarks_R3.pdf</w:t>
        </w:r>
      </w:hyperlink>
      <w:r w:rsidR="000A5648">
        <w:t xml:space="preserve"> </w:t>
      </w:r>
    </w:p>
    <w:p w14:paraId="2C22B318" w14:textId="505A6A5E" w:rsidR="001D67DF" w:rsidRPr="0064667C" w:rsidRDefault="001D67DF" w:rsidP="00A47F50">
      <w:pPr>
        <w:pStyle w:val="ListParagraph"/>
        <w:numPr>
          <w:ilvl w:val="0"/>
          <w:numId w:val="3"/>
        </w:numPr>
      </w:pPr>
      <w:r w:rsidRPr="0064667C">
        <w:t xml:space="preserve">DPIPWE [Department of Primary Industries, Parks, Water and Environment] (2018a). General Vegetation Reserve Report June 2018 including Threatened Communities. Tasmanian Government. Available from </w:t>
      </w:r>
      <w:hyperlink r:id="rId29" w:history="1">
        <w:r w:rsidRPr="0064667C">
          <w:rPr>
            <w:rStyle w:val="Hyperlink"/>
            <w:szCs w:val="20"/>
          </w:rPr>
          <w:t>https://dpipwe.tas.gov.au/conservation/development-planning-conservation-assessment/planning-tools/tasmanian-reserve-estate-spatial-layer</w:t>
        </w:r>
      </w:hyperlink>
      <w:r w:rsidRPr="0064667C">
        <w:t xml:space="preserve"> </w:t>
      </w:r>
    </w:p>
    <w:p w14:paraId="6E9E3E84" w14:textId="37AF7F7A" w:rsidR="00F913CC" w:rsidRPr="00F913CC" w:rsidRDefault="0068135E" w:rsidP="00A47F50">
      <w:pPr>
        <w:pStyle w:val="ListParagraph"/>
        <w:numPr>
          <w:ilvl w:val="0"/>
          <w:numId w:val="3"/>
        </w:numPr>
      </w:pPr>
      <w:r w:rsidRPr="0064667C">
        <w:t xml:space="preserve">DPIPWE [Department of Primary Industries, Parks, Water and Environment] </w:t>
      </w:r>
      <w:r w:rsidR="00F913CC" w:rsidRPr="0064667C">
        <w:t>(2018</w:t>
      </w:r>
      <w:r w:rsidR="001D67DF" w:rsidRPr="0064667C">
        <w:t>b</w:t>
      </w:r>
      <w:r w:rsidR="00F913CC" w:rsidRPr="0064667C">
        <w:t>). Tasmanian</w:t>
      </w:r>
      <w:r w:rsidR="00F913CC">
        <w:t xml:space="preserve"> Threatened Native Vegetation Communities – </w:t>
      </w:r>
      <w:r w:rsidR="00F913CC" w:rsidRPr="00F913CC">
        <w:rPr>
          <w:i/>
        </w:rPr>
        <w:t>Eucalyptus viminalis</w:t>
      </w:r>
      <w:r w:rsidR="00F913CC">
        <w:t xml:space="preserve"> wet forest. Tasmanian Government. </w:t>
      </w:r>
      <w:r w:rsidR="00882D6E" w:rsidRPr="00882D6E">
        <w:t xml:space="preserve">Available from </w:t>
      </w:r>
      <w:hyperlink r:id="rId30" w:history="1">
        <w:r w:rsidR="00F913CC" w:rsidRPr="00882D6E">
          <w:rPr>
            <w:rStyle w:val="Hyperlink"/>
          </w:rPr>
          <w:t>https://dpipwe.tas.gov.au/Documents/25.%20Eucalyptus%20viminalis%20wet%20forest.pdf</w:t>
        </w:r>
      </w:hyperlink>
      <w:r w:rsidR="00F913CC">
        <w:t xml:space="preserve"> </w:t>
      </w:r>
    </w:p>
    <w:p w14:paraId="68EF6384" w14:textId="2120301E" w:rsidR="003A630A" w:rsidRPr="003A630A" w:rsidRDefault="003A630A" w:rsidP="00A47F50">
      <w:pPr>
        <w:pStyle w:val="ListParagraph"/>
        <w:numPr>
          <w:ilvl w:val="0"/>
          <w:numId w:val="3"/>
        </w:numPr>
      </w:pPr>
      <w:r w:rsidRPr="003A630A">
        <w:t xml:space="preserve">DPIPWE [Department of Primary Industries, Parks, Water and Environment] (2019) </w:t>
      </w:r>
      <w:r w:rsidRPr="003A630A">
        <w:rPr>
          <w:i/>
        </w:rPr>
        <w:t>Natural Values Atlas</w:t>
      </w:r>
      <w:r w:rsidRPr="003A630A">
        <w:t xml:space="preserve">, Authoritative, comprehensive information on Tasmania's natural values. Tasmanian Government. </w:t>
      </w:r>
      <w:r w:rsidRPr="003A630A">
        <w:rPr>
          <w:rStyle w:val="Hyperlink"/>
        </w:rPr>
        <w:t>https://www.naturalvaluesatlas.tas.gov.au/</w:t>
      </w:r>
      <w:r w:rsidRPr="003A630A">
        <w:t xml:space="preserve"> </w:t>
      </w:r>
    </w:p>
    <w:p w14:paraId="7633D2BE" w14:textId="6AE2A19F" w:rsidR="003A630A" w:rsidRPr="007C5ED6" w:rsidRDefault="003A630A" w:rsidP="00A47F50">
      <w:pPr>
        <w:pStyle w:val="ListParagraph"/>
        <w:numPr>
          <w:ilvl w:val="0"/>
          <w:numId w:val="3"/>
        </w:numPr>
      </w:pPr>
      <w:r>
        <w:t>DPIWE [</w:t>
      </w:r>
      <w:r w:rsidRPr="007C5ED6">
        <w:t>Department of Primary Industries, Water and Environment</w:t>
      </w:r>
      <w:r>
        <w:t>]</w:t>
      </w:r>
      <w:r w:rsidRPr="007C5ED6">
        <w:t xml:space="preserve"> </w:t>
      </w:r>
      <w:r>
        <w:t>(</w:t>
      </w:r>
      <w:r w:rsidRPr="007C5ED6">
        <w:t xml:space="preserve">2000) Threatened Species Strategy for Tasmania. Tasmanian Government. </w:t>
      </w:r>
      <w:r>
        <w:t xml:space="preserve">Available from </w:t>
      </w:r>
      <w:r w:rsidRPr="003A630A">
        <w:rPr>
          <w:rStyle w:val="Hyperlink"/>
        </w:rPr>
        <w:t>https://dpipwe.tas.gov.au/Documents/threatspstrat.pdf</w:t>
      </w:r>
    </w:p>
    <w:p w14:paraId="5AD662FE" w14:textId="77777777" w:rsidR="00473528" w:rsidRPr="00C14C35" w:rsidRDefault="00473528" w:rsidP="003A630A">
      <w:pPr>
        <w:pStyle w:val="ListParagraph"/>
      </w:pPr>
      <w:r w:rsidRPr="00C14C35">
        <w:t xml:space="preserve">Duncan, F. (1996). </w:t>
      </w:r>
      <w:r w:rsidRPr="00C14C35">
        <w:rPr>
          <w:i/>
        </w:rPr>
        <w:t>A field key to Tasmanian species of eucalypts</w:t>
      </w:r>
      <w:r w:rsidRPr="00C14C35">
        <w:t>. Tasforests 8: 27-38.</w:t>
      </w:r>
    </w:p>
    <w:p w14:paraId="38B076CA" w14:textId="5CE23CB7" w:rsidR="00924650" w:rsidRPr="00924650" w:rsidRDefault="0068135E" w:rsidP="00A47F50">
      <w:pPr>
        <w:pStyle w:val="ListParagraph"/>
        <w:numPr>
          <w:ilvl w:val="0"/>
          <w:numId w:val="3"/>
        </w:numPr>
      </w:pPr>
      <w:r>
        <w:t>FPA [</w:t>
      </w:r>
      <w:r w:rsidR="00924650">
        <w:t>Forest Practices Authority</w:t>
      </w:r>
      <w:r>
        <w:t>]</w:t>
      </w:r>
      <w:r w:rsidR="00924650">
        <w:t xml:space="preserve"> (2005). </w:t>
      </w:r>
      <w:r w:rsidR="00924650" w:rsidRPr="00924650">
        <w:rPr>
          <w:i/>
        </w:rPr>
        <w:t>Forest Botany Manual</w:t>
      </w:r>
      <w:r w:rsidR="00924650">
        <w:t xml:space="preserve">. Forest Practices Authority, Tasmania. Available from </w:t>
      </w:r>
      <w:hyperlink r:id="rId31" w:history="1">
        <w:r w:rsidR="00924650" w:rsidRPr="00924650">
          <w:rPr>
            <w:rStyle w:val="Hyperlink"/>
          </w:rPr>
          <w:t>https://www.fpa.tas.gov.au/fpa_services/planning_assistance/advisory_planning_tools/forest_botany_manual</w:t>
        </w:r>
      </w:hyperlink>
      <w:r w:rsidR="00924650">
        <w:t xml:space="preserve"> </w:t>
      </w:r>
    </w:p>
    <w:p w14:paraId="7C408E96" w14:textId="311BBA13" w:rsidR="003F7C31" w:rsidRPr="003F7C31" w:rsidRDefault="003F7C31" w:rsidP="00A47F50">
      <w:pPr>
        <w:pStyle w:val="ListParagraph"/>
        <w:numPr>
          <w:ilvl w:val="0"/>
          <w:numId w:val="3"/>
        </w:numPr>
      </w:pPr>
      <w:r w:rsidRPr="003F7C31">
        <w:lastRenderedPageBreak/>
        <w:t>FPA</w:t>
      </w:r>
      <w:r>
        <w:t xml:space="preserve"> [Forest Practices Authority] (2011). </w:t>
      </w:r>
      <w:r w:rsidRPr="003F7C31">
        <w:rPr>
          <w:i/>
        </w:rPr>
        <w:t>Flora Technical Note No 12 Management of gene flow from plantation eucalypts.</w:t>
      </w:r>
      <w:r>
        <w:t xml:space="preserve"> Forest Practices Authority, Tasmania.</w:t>
      </w:r>
    </w:p>
    <w:p w14:paraId="25C331FF" w14:textId="4A8E93FD" w:rsidR="00694044" w:rsidRPr="00694044" w:rsidRDefault="0068135E" w:rsidP="00A47F50">
      <w:pPr>
        <w:pStyle w:val="ListParagraph"/>
        <w:numPr>
          <w:ilvl w:val="0"/>
          <w:numId w:val="3"/>
        </w:numPr>
        <w:rPr>
          <w:i/>
        </w:rPr>
      </w:pPr>
      <w:r w:rsidRPr="0068135E">
        <w:t xml:space="preserve">FPA [Forest Practices Authority] </w:t>
      </w:r>
      <w:r w:rsidR="00694044" w:rsidRPr="00694044">
        <w:t xml:space="preserve">(2012). </w:t>
      </w:r>
      <w:r w:rsidR="00694044" w:rsidRPr="00694044">
        <w:rPr>
          <w:i/>
          <w:iCs/>
        </w:rPr>
        <w:t xml:space="preserve">Review of </w:t>
      </w:r>
      <w:r w:rsidR="00694044" w:rsidRPr="00694044">
        <w:rPr>
          <w:i/>
        </w:rPr>
        <w:t>Threatened Fauna Adviser</w:t>
      </w:r>
      <w:r w:rsidR="00694044" w:rsidRPr="00694044">
        <w:rPr>
          <w:i/>
          <w:iCs/>
        </w:rPr>
        <w:t>. Background Report 2 Review of Information on Species and Management Approach</w:t>
      </w:r>
      <w:r w:rsidR="00694044" w:rsidRPr="00694044">
        <w:t>. Forest Practices Authority</w:t>
      </w:r>
      <w:r w:rsidR="00694044">
        <w:t xml:space="preserve"> </w:t>
      </w:r>
      <w:r w:rsidR="00694044" w:rsidRPr="00694044">
        <w:t>&amp; Threatened Species Section (DPIPWE), Hobart.</w:t>
      </w:r>
      <w:r w:rsidR="00694044">
        <w:t xml:space="preserve"> Available from: </w:t>
      </w:r>
      <w:hyperlink r:id="rId32" w:history="1">
        <w:r w:rsidR="00694044" w:rsidRPr="00694044">
          <w:rPr>
            <w:rStyle w:val="Hyperlink"/>
          </w:rPr>
          <w:t>https://www.fpa.tas.gov.au/__data/assets/pdf_file/0019/111493/Background_document_2_for_TFA_2012.pdf</w:t>
        </w:r>
      </w:hyperlink>
      <w:r w:rsidR="00694044">
        <w:t xml:space="preserve"> </w:t>
      </w:r>
    </w:p>
    <w:p w14:paraId="21D4298B" w14:textId="4837E6FF" w:rsidR="00BC200B" w:rsidRPr="00BC200B" w:rsidRDefault="0068135E" w:rsidP="00A47F50">
      <w:pPr>
        <w:pStyle w:val="ListParagraph"/>
        <w:numPr>
          <w:ilvl w:val="0"/>
          <w:numId w:val="3"/>
        </w:numPr>
      </w:pPr>
      <w:r w:rsidRPr="0068135E">
        <w:t xml:space="preserve">FPA [Forest Practices Authority] </w:t>
      </w:r>
      <w:r w:rsidR="00BC200B" w:rsidRPr="00BC200B">
        <w:t xml:space="preserve">(2017) </w:t>
      </w:r>
      <w:r w:rsidR="00BC200B" w:rsidRPr="00BC200B">
        <w:rPr>
          <w:i/>
        </w:rPr>
        <w:t>State of the Forests Tasmania 2017</w:t>
      </w:r>
      <w:r w:rsidR="00BC200B" w:rsidRPr="00BC200B">
        <w:t>.</w:t>
      </w:r>
      <w:r w:rsidR="00BC200B">
        <w:t xml:space="preserve"> Tasmanian Government</w:t>
      </w:r>
      <w:r w:rsidR="00882D6E">
        <w:t xml:space="preserve">. Available from </w:t>
      </w:r>
      <w:hyperlink r:id="rId33" w:history="1">
        <w:r w:rsidR="00BC200B" w:rsidRPr="00882D6E">
          <w:rPr>
            <w:rStyle w:val="Hyperlink"/>
          </w:rPr>
          <w:t>http://www.fpa.tas.gov.au/__data/assets/pdf_file/0005/163418/State_of_the_Forests_Report_2017_-_erratum_Feb_2018.pdf</w:t>
        </w:r>
      </w:hyperlink>
      <w:r w:rsidR="00BC200B">
        <w:t xml:space="preserve"> </w:t>
      </w:r>
    </w:p>
    <w:p w14:paraId="06E9DEE5" w14:textId="0C2AE394" w:rsidR="00E00E3C" w:rsidRDefault="00EC52A9" w:rsidP="00A47F50">
      <w:pPr>
        <w:pStyle w:val="ListParagraph"/>
        <w:numPr>
          <w:ilvl w:val="0"/>
          <w:numId w:val="3"/>
        </w:numPr>
      </w:pPr>
      <w:r>
        <w:t xml:space="preserve">Grose, M., Barnes-Keoghan, I., Corney, S., White, C., Holz, G., Bennet, J, Gaynor, S. and Bindoff, N (2010). </w:t>
      </w:r>
      <w:r w:rsidR="00E00E3C" w:rsidRPr="00E00E3C">
        <w:rPr>
          <w:i/>
          <w:iCs/>
        </w:rPr>
        <w:t>Climate Futures for Tasmania: general climate impacts technical report</w:t>
      </w:r>
      <w:r w:rsidR="00E00E3C">
        <w:t>.</w:t>
      </w:r>
      <w:r w:rsidR="00E00E3C" w:rsidRPr="00E00E3C">
        <w:t xml:space="preserve"> Antarctic Climate &amp; Ecosystems</w:t>
      </w:r>
      <w:r w:rsidR="00E00E3C">
        <w:t xml:space="preserve"> </w:t>
      </w:r>
      <w:r w:rsidR="00E00E3C" w:rsidRPr="00E00E3C">
        <w:t>Cooperative Research Centre, Hobart, Tasmania.</w:t>
      </w:r>
    </w:p>
    <w:p w14:paraId="0E53B225" w14:textId="33AB52EE" w:rsidR="00D94FEA" w:rsidRDefault="00D94FEA" w:rsidP="00A47F50">
      <w:pPr>
        <w:pStyle w:val="ListParagraph"/>
        <w:numPr>
          <w:ilvl w:val="0"/>
          <w:numId w:val="3"/>
        </w:numPr>
      </w:pPr>
      <w:r w:rsidRPr="00D94FEA">
        <w:t xml:space="preserve">Harrison, P. A. (2017). </w:t>
      </w:r>
      <w:r w:rsidRPr="00D94FEA">
        <w:rPr>
          <w:i/>
          <w:iCs/>
        </w:rPr>
        <w:t>Integrating climate change into conservation and restoration strategies: the case of the Tasmanian eucalypts.</w:t>
      </w:r>
      <w:r w:rsidRPr="00D94FEA">
        <w:t xml:space="preserve"> (Doctor of Philosophy PhD thesis), University of Tasmania, Hobart, Tasmania.</w:t>
      </w:r>
    </w:p>
    <w:p w14:paraId="25ECF17E" w14:textId="3BE5FE59" w:rsidR="00845129" w:rsidRDefault="00845129" w:rsidP="00A47F50">
      <w:pPr>
        <w:pStyle w:val="ListParagraph"/>
        <w:numPr>
          <w:ilvl w:val="0"/>
          <w:numId w:val="3"/>
        </w:numPr>
      </w:pPr>
      <w:r w:rsidRPr="00845129">
        <w:t xml:space="preserve">Jackson, W.D. (1981) </w:t>
      </w:r>
      <w:r w:rsidRPr="00845129">
        <w:rPr>
          <w:i/>
        </w:rPr>
        <w:t>Fire patterned vegetation</w:t>
      </w:r>
      <w:r w:rsidRPr="00845129">
        <w:t xml:space="preserve">. In: W.D. Jackson (ed.) </w:t>
      </w:r>
      <w:r w:rsidRPr="00845129">
        <w:rPr>
          <w:i/>
          <w:iCs/>
        </w:rPr>
        <w:t>The vegetation of Tasmania</w:t>
      </w:r>
      <w:r w:rsidRPr="00845129">
        <w:t>.</w:t>
      </w:r>
      <w:r>
        <w:t xml:space="preserve"> </w:t>
      </w:r>
      <w:r w:rsidRPr="00845129">
        <w:t>Univ</w:t>
      </w:r>
      <w:r>
        <w:t>ersity</w:t>
      </w:r>
      <w:r w:rsidRPr="00845129">
        <w:t xml:space="preserve"> of Tas</w:t>
      </w:r>
      <w:r>
        <w:t>mania</w:t>
      </w:r>
      <w:r w:rsidRPr="00845129">
        <w:t>, Hobart, pp 17-35.</w:t>
      </w:r>
    </w:p>
    <w:p w14:paraId="2DBB75CA" w14:textId="3632EF17" w:rsidR="00CF1A60" w:rsidRPr="00CF1A60" w:rsidRDefault="00CF1A60" w:rsidP="00A47F50">
      <w:pPr>
        <w:pStyle w:val="ListParagraph"/>
        <w:numPr>
          <w:ilvl w:val="0"/>
          <w:numId w:val="3"/>
        </w:numPr>
      </w:pPr>
      <w:r>
        <w:t xml:space="preserve">Kirkpatrick, J.B. &amp; Gilfedder, L.A. (1999). Tasmanian Bushcare Toolkit. Department of Primary Industries, Water and Environment. </w:t>
      </w:r>
      <w:r w:rsidR="00882D6E" w:rsidRPr="00882D6E">
        <w:t xml:space="preserve">Available from </w:t>
      </w:r>
      <w:hyperlink r:id="rId34" w:history="1">
        <w:r w:rsidRPr="00CF1A60">
          <w:rPr>
            <w:rStyle w:val="Hyperlink"/>
            <w:szCs w:val="20"/>
          </w:rPr>
          <w:t>https://dpipwe.tas.gov.au/conservation/conservation-on-private-land/bush-information-management/tasmanian-bushcare-toolkit</w:t>
        </w:r>
      </w:hyperlink>
      <w:r>
        <w:t xml:space="preserve"> </w:t>
      </w:r>
    </w:p>
    <w:p w14:paraId="3542563B" w14:textId="5B5DC70E" w:rsidR="00DF243D" w:rsidRDefault="00DF243D" w:rsidP="00A47F50">
      <w:pPr>
        <w:pStyle w:val="ListParagraph"/>
        <w:numPr>
          <w:ilvl w:val="0"/>
          <w:numId w:val="3"/>
        </w:numPr>
      </w:pPr>
      <w:r>
        <w:t xml:space="preserve">Kirkpatrick, J.B., Peacock, R.J., Cullen, P.J. and Neyland, M.G. (1988). </w:t>
      </w:r>
      <w:r w:rsidRPr="00DF243D">
        <w:rPr>
          <w:i/>
        </w:rPr>
        <w:t>The Wet Eucalypt Forests of Tasmania</w:t>
      </w:r>
      <w:r>
        <w:t>. Tasmanian Conservation Trust.</w:t>
      </w:r>
    </w:p>
    <w:p w14:paraId="609BD31B" w14:textId="5EE2563F" w:rsidR="00220358" w:rsidRDefault="00220358" w:rsidP="00A47F50">
      <w:pPr>
        <w:pStyle w:val="ListParagraph"/>
        <w:numPr>
          <w:ilvl w:val="0"/>
          <w:numId w:val="3"/>
        </w:numPr>
      </w:pPr>
      <w:r>
        <w:t>Kitchener, A. &amp; Harris, S. (2013). From Forest to Fjaeldmark: Descriptions of Tasmania's Vegetation. Edition 2. Department of Primary Industries, Parks, Water and Environment, Tasmania.</w:t>
      </w:r>
      <w:r w:rsidR="00882D6E">
        <w:t xml:space="preserve"> Available from</w:t>
      </w:r>
      <w:r>
        <w:t xml:space="preserve"> </w:t>
      </w:r>
      <w:hyperlink r:id="rId35" w:history="1">
        <w:r w:rsidR="00D21118" w:rsidRPr="00360C90">
          <w:rPr>
            <w:rStyle w:val="Hyperlink"/>
          </w:rPr>
          <w:t>http://dpipwe.tas.gov.au/conservation/flora-of-tasmania/from-forest-to-fjaeldmark-descriptions-of-tasmanias</w:t>
        </w:r>
        <w:r w:rsidR="00360C90" w:rsidRPr="00360C90">
          <w:rPr>
            <w:rStyle w:val="Hyperlink"/>
          </w:rPr>
          <w:t>-vegetation</w:t>
        </w:r>
      </w:hyperlink>
    </w:p>
    <w:p w14:paraId="6AE6648D" w14:textId="66B5AA42" w:rsidR="00166B34" w:rsidRDefault="00166B34" w:rsidP="00A47F50">
      <w:pPr>
        <w:pStyle w:val="ListParagraph"/>
        <w:numPr>
          <w:ilvl w:val="0"/>
          <w:numId w:val="3"/>
        </w:numPr>
      </w:pPr>
      <w:r>
        <w:t>Low, T.</w:t>
      </w:r>
      <w:r w:rsidRPr="00166B34">
        <w:t xml:space="preserve"> (1988). Wild Food Plants of Australia. </w:t>
      </w:r>
      <w:r>
        <w:t xml:space="preserve"> </w:t>
      </w:r>
    </w:p>
    <w:p w14:paraId="7A7A18F6" w14:textId="6E05886B" w:rsidR="00046372" w:rsidRDefault="00046372" w:rsidP="00A47F50">
      <w:pPr>
        <w:pStyle w:val="ListParagraph"/>
        <w:numPr>
          <w:ilvl w:val="0"/>
          <w:numId w:val="3"/>
        </w:numPr>
        <w:rPr>
          <w:rStyle w:val="Hyperlink"/>
          <w:color w:val="auto"/>
          <w:sz w:val="24"/>
          <w:u w:val="none"/>
        </w:rPr>
      </w:pPr>
      <w:r w:rsidRPr="00046372">
        <w:t>Mesibov, R. &amp; Ruhberg, H. (1991)</w:t>
      </w:r>
      <w:r>
        <w:t xml:space="preserve">. </w:t>
      </w:r>
      <w:r w:rsidRPr="00C14C35">
        <w:rPr>
          <w:i/>
        </w:rPr>
        <w:t>Ecology and Conservation of Tasmanipatus barretti and T. anophthalmus, parapatric onychophorans (Onychophora: Peripatopsidae) from northeastern Tasmania.</w:t>
      </w:r>
      <w:r>
        <w:t xml:space="preserve"> Papers and Proceedings of the Royal Society of Tasmania, Volume 125 pp11-16. Available from </w:t>
      </w:r>
      <w:hyperlink r:id="rId36" w:history="1">
        <w:r w:rsidRPr="00882D6E">
          <w:rPr>
            <w:rStyle w:val="Hyperlink"/>
            <w:szCs w:val="20"/>
          </w:rPr>
          <w:t>https://eprints.utas.edu.au/13753/1/1991-mesibov-ecology-and-conservation.pdf</w:t>
        </w:r>
      </w:hyperlink>
    </w:p>
    <w:p w14:paraId="49D712B4" w14:textId="504638BA" w:rsidR="00164614" w:rsidRDefault="00164614" w:rsidP="00A47F50">
      <w:pPr>
        <w:pStyle w:val="ListParagraph"/>
        <w:numPr>
          <w:ilvl w:val="0"/>
          <w:numId w:val="3"/>
        </w:numPr>
      </w:pPr>
      <w:r>
        <w:t xml:space="preserve">Michaels, K. (2006). </w:t>
      </w:r>
      <w:r w:rsidRPr="00164614">
        <w:rPr>
          <w:i/>
        </w:rPr>
        <w:t>A Manual for Assessing Vegetation Condition in Tasmania, Version 1.0.</w:t>
      </w:r>
      <w:r>
        <w:t xml:space="preserve"> Resource Management and Conservation, Department of Primary Industries, Water and Environment, Hobart.</w:t>
      </w:r>
    </w:p>
    <w:p w14:paraId="79B6368F" w14:textId="21F588CE" w:rsidR="00AB6C10" w:rsidRDefault="00AB6C10" w:rsidP="00A47F50">
      <w:pPr>
        <w:pStyle w:val="ListParagraph"/>
        <w:numPr>
          <w:ilvl w:val="0"/>
          <w:numId w:val="3"/>
        </w:numPr>
      </w:pPr>
      <w:r>
        <w:t xml:space="preserve">Mitchell, I. (2015). </w:t>
      </w:r>
      <w:r w:rsidRPr="00AB6C10">
        <w:rPr>
          <w:i/>
        </w:rPr>
        <w:t>Ginger tree syndrome</w:t>
      </w:r>
      <w:r>
        <w:t xml:space="preserve">. In: The Running Postman December 2015 – Newsletter of the Private Land Conservation Program. Department of </w:t>
      </w:r>
      <w:r w:rsidRPr="00AB6C10">
        <w:t>Primary Industries, Parks, Water and Environment, Tasmania</w:t>
      </w:r>
      <w:r>
        <w:t>.</w:t>
      </w:r>
    </w:p>
    <w:p w14:paraId="3B43BAB1" w14:textId="65B5B5E1" w:rsidR="00882AA8" w:rsidRPr="00882AA8" w:rsidRDefault="00882AA8" w:rsidP="00A47F50">
      <w:pPr>
        <w:pStyle w:val="ListParagraph"/>
        <w:numPr>
          <w:ilvl w:val="0"/>
          <w:numId w:val="3"/>
        </w:numPr>
      </w:pPr>
      <w:r w:rsidRPr="00882AA8">
        <w:lastRenderedPageBreak/>
        <w:t xml:space="preserve">National Committee on Soil and Terrain (2009). The Australian Soil </w:t>
      </w:r>
      <w:r>
        <w:t>and Land Survey Field Handbook. CSIRO.</w:t>
      </w:r>
    </w:p>
    <w:p w14:paraId="292183C0" w14:textId="646F3F3F" w:rsidR="009745DD" w:rsidRPr="00C14C35" w:rsidRDefault="009745DD" w:rsidP="00A47F50">
      <w:pPr>
        <w:pStyle w:val="ListParagraph"/>
        <w:numPr>
          <w:ilvl w:val="0"/>
          <w:numId w:val="3"/>
        </w:numPr>
      </w:pPr>
      <w:r w:rsidRPr="00C14C35">
        <w:t xml:space="preserve">Proceedings of the Royal Society of Tasmania. pp. 279-305. Available </w:t>
      </w:r>
      <w:r w:rsidR="00C14C35">
        <w:t>from</w:t>
      </w:r>
      <w:r w:rsidRPr="00C14C35">
        <w:t xml:space="preserve">: </w:t>
      </w:r>
      <w:hyperlink r:id="rId37" w:history="1">
        <w:r w:rsidRPr="00C14C35">
          <w:rPr>
            <w:rStyle w:val="Hyperlink"/>
          </w:rPr>
          <w:t>http://eprints.utas.edu.au/16495/</w:t>
        </w:r>
      </w:hyperlink>
    </w:p>
    <w:p w14:paraId="7130F7EB" w14:textId="07A7CECC" w:rsidR="00EA035A" w:rsidRPr="00EA035A" w:rsidRDefault="00EA035A" w:rsidP="00A47F50">
      <w:pPr>
        <w:pStyle w:val="ListParagraph"/>
        <w:numPr>
          <w:ilvl w:val="0"/>
          <w:numId w:val="3"/>
        </w:numPr>
      </w:pPr>
      <w:r w:rsidRPr="00EA035A">
        <w:t>Pl</w:t>
      </w:r>
      <w:r>
        <w:t xml:space="preserve">ants of Tasmania Nursery (2019). </w:t>
      </w:r>
      <w:r w:rsidRPr="00EA035A">
        <w:rPr>
          <w:i/>
        </w:rPr>
        <w:t>Edible Plants</w:t>
      </w:r>
      <w:r>
        <w:t xml:space="preserve">. Available from </w:t>
      </w:r>
      <w:hyperlink r:id="rId38" w:history="1">
        <w:r w:rsidR="00355576" w:rsidRPr="00355576">
          <w:rPr>
            <w:rStyle w:val="Hyperlink"/>
          </w:rPr>
          <w:t>http://www.potn.com.au/edible_plants.html</w:t>
        </w:r>
      </w:hyperlink>
      <w:r w:rsidR="00355576" w:rsidRPr="00355576">
        <w:rPr>
          <w:rStyle w:val="Hyperlink"/>
        </w:rPr>
        <w:t>.</w:t>
      </w:r>
      <w:r w:rsidR="00355576">
        <w:t xml:space="preserve"> Viewed June 2019.</w:t>
      </w:r>
    </w:p>
    <w:p w14:paraId="1E7441F8" w14:textId="4F51A826" w:rsidR="00DE4E39" w:rsidRPr="00167199" w:rsidRDefault="00DE4E39" w:rsidP="00A47F50">
      <w:pPr>
        <w:pStyle w:val="ListParagraph"/>
        <w:numPr>
          <w:ilvl w:val="0"/>
          <w:numId w:val="3"/>
        </w:numPr>
      </w:pPr>
      <w:r w:rsidRPr="00167199">
        <w:t>Standards Reference Group SERA</w:t>
      </w:r>
      <w:r w:rsidR="00167199" w:rsidRPr="00167199">
        <w:t xml:space="preserve"> (</w:t>
      </w:r>
      <w:r w:rsidRPr="00167199">
        <w:t>2016</w:t>
      </w:r>
      <w:r w:rsidR="00167199" w:rsidRPr="00167199">
        <w:t xml:space="preserve">). </w:t>
      </w:r>
      <w:r w:rsidR="00167199" w:rsidRPr="00167199">
        <w:rPr>
          <w:i/>
        </w:rPr>
        <w:t>National Standards for the Practice of Ecological Restoration in Australia.</w:t>
      </w:r>
      <w:r w:rsidR="00167199" w:rsidRPr="00167199">
        <w:t xml:space="preserve"> Standards Reference Group.</w:t>
      </w:r>
      <w:r w:rsidR="00AF4CCD">
        <w:t xml:space="preserve"> Available from </w:t>
      </w:r>
      <w:hyperlink r:id="rId39" w:history="1">
        <w:r w:rsidR="00AF4CCD" w:rsidRPr="00AF4CCD">
          <w:rPr>
            <w:rStyle w:val="Hyperlink"/>
          </w:rPr>
          <w:t>http://www.seraustralasia.com/pages/standards.html</w:t>
        </w:r>
      </w:hyperlink>
      <w:r w:rsidR="00AF4CCD">
        <w:t xml:space="preserve"> </w:t>
      </w:r>
    </w:p>
    <w:p w14:paraId="6FA642D5" w14:textId="015D9105" w:rsidR="009B10EB" w:rsidRPr="00C14C35" w:rsidRDefault="009B10EB" w:rsidP="00A47F50">
      <w:pPr>
        <w:pStyle w:val="ListParagraph"/>
        <w:numPr>
          <w:ilvl w:val="0"/>
          <w:numId w:val="3"/>
        </w:numPr>
      </w:pPr>
      <w:r w:rsidRPr="00C14C35">
        <w:t>Specht, R.L. (1970) Vegetation. Pages 44–67 in Leeper, G.W. (ed.), "Australian Environment", 4th edn. Melbourne University Press, Melbourne</w:t>
      </w:r>
    </w:p>
    <w:p w14:paraId="6D1383DC" w14:textId="356B7F64" w:rsidR="00BB2422" w:rsidRPr="003F7B07" w:rsidRDefault="00BB2422" w:rsidP="00A47F50">
      <w:pPr>
        <w:pStyle w:val="ListParagraph"/>
        <w:numPr>
          <w:ilvl w:val="0"/>
          <w:numId w:val="3"/>
        </w:numPr>
      </w:pPr>
      <w:r w:rsidRPr="003F7B07">
        <w:t>T</w:t>
      </w:r>
      <w:r w:rsidR="003F7B07">
        <w:t>aroona Environment Network (2019</w:t>
      </w:r>
      <w:r w:rsidRPr="003F7B07">
        <w:t xml:space="preserve">). Native plants. Available </w:t>
      </w:r>
      <w:r w:rsidR="003F7B07">
        <w:t>from</w:t>
      </w:r>
      <w:r w:rsidRPr="003F7B07">
        <w:t xml:space="preserve">: </w:t>
      </w:r>
      <w:hyperlink r:id="rId40" w:history="1">
        <w:r w:rsidRPr="003F7B07">
          <w:rPr>
            <w:rStyle w:val="Hyperlink"/>
          </w:rPr>
          <w:t>http://www.ten.org.au/native-plants</w:t>
        </w:r>
      </w:hyperlink>
      <w:r w:rsidR="003F7B07">
        <w:t xml:space="preserve"> </w:t>
      </w:r>
    </w:p>
    <w:p w14:paraId="07CDA2C0" w14:textId="2FDF927C" w:rsidR="009745DD" w:rsidRDefault="009745DD" w:rsidP="00A47F50">
      <w:pPr>
        <w:pStyle w:val="ListParagraph"/>
        <w:numPr>
          <w:ilvl w:val="0"/>
          <w:numId w:val="3"/>
        </w:numPr>
      </w:pPr>
      <w:r w:rsidRPr="004F2512">
        <w:t xml:space="preserve">Williams, KJ and Potts, BM (1996) </w:t>
      </w:r>
      <w:r w:rsidRPr="00F96D06">
        <w:rPr>
          <w:i/>
        </w:rPr>
        <w:t>The natural distribution of Eucalyptus species in Tasmania</w:t>
      </w:r>
      <w:r w:rsidRPr="006D46C6">
        <w:t>. Tasforests 8</w:t>
      </w:r>
      <w:r>
        <w:t>, p39-165.</w:t>
      </w:r>
      <w:bookmarkStart w:id="49" w:name="_Ref529438345"/>
    </w:p>
    <w:p w14:paraId="2595D3D6" w14:textId="77777777" w:rsidR="00DB129A" w:rsidRDefault="00DB129A" w:rsidP="00DB129A">
      <w:pPr>
        <w:pStyle w:val="ListParagraph"/>
      </w:pPr>
    </w:p>
    <w:p w14:paraId="305E9FB6" w14:textId="77777777" w:rsidR="00DB129A" w:rsidRDefault="00DB129A">
      <w:pPr>
        <w:spacing w:after="160" w:line="259" w:lineRule="auto"/>
      </w:pPr>
      <w:r>
        <w:br w:type="page"/>
      </w:r>
    </w:p>
    <w:p w14:paraId="26278673" w14:textId="7FEC895D" w:rsidR="00DB129A" w:rsidRPr="007746EC" w:rsidRDefault="00DB129A" w:rsidP="007746EC">
      <w:pPr>
        <w:pStyle w:val="ListParagraph"/>
        <w:spacing w:after="0"/>
        <w:rPr>
          <w:sz w:val="4"/>
          <w:szCs w:val="4"/>
        </w:rPr>
      </w:pPr>
    </w:p>
    <w:p w14:paraId="66C091A8" w14:textId="4998BD54" w:rsidR="006551A0" w:rsidRPr="00F96D06" w:rsidRDefault="00F44533" w:rsidP="00E06CAC">
      <w:pPr>
        <w:pStyle w:val="Heading1"/>
        <w:spacing w:before="0"/>
      </w:pPr>
      <w:bookmarkStart w:id="50" w:name="_Ref17974956"/>
      <w:bookmarkStart w:id="51" w:name="_Ref17975023"/>
      <w:bookmarkStart w:id="52" w:name="_Ref17975079"/>
      <w:bookmarkStart w:id="53" w:name="_Ref17975136"/>
      <w:bookmarkStart w:id="54" w:name="_Toc24971011"/>
      <w:r w:rsidRPr="00F96D06">
        <w:t>A</w:t>
      </w:r>
      <w:r w:rsidR="004543EF" w:rsidRPr="00F96D06">
        <w:t>ppendix </w:t>
      </w:r>
      <w:r w:rsidRPr="00F96D06">
        <w:t xml:space="preserve">A - </w:t>
      </w:r>
      <w:r w:rsidR="006551A0" w:rsidRPr="00F96D06">
        <w:t>Species lists</w:t>
      </w:r>
      <w:bookmarkEnd w:id="49"/>
      <w:bookmarkEnd w:id="50"/>
      <w:bookmarkEnd w:id="51"/>
      <w:bookmarkEnd w:id="52"/>
      <w:bookmarkEnd w:id="53"/>
      <w:bookmarkEnd w:id="54"/>
    </w:p>
    <w:p w14:paraId="04A0D97D" w14:textId="62D105B4" w:rsidR="002C314A" w:rsidRDefault="008C3D55" w:rsidP="008C3D55">
      <w:pPr>
        <w:rPr>
          <w:b/>
        </w:rPr>
      </w:pPr>
      <w:r w:rsidRPr="0008253D">
        <w:t xml:space="preserve">Scientific names are nationally accepted names as per </w:t>
      </w:r>
      <w:r w:rsidR="00473528" w:rsidRPr="0008253D">
        <w:t xml:space="preserve">the Atlas of Living Australia, </w:t>
      </w:r>
      <w:r w:rsidR="002C314A" w:rsidRPr="0008253D">
        <w:t xml:space="preserve">as at </w:t>
      </w:r>
      <w:r w:rsidR="0008253D" w:rsidRPr="0008253D">
        <w:t>the time of writing</w:t>
      </w:r>
      <w:r w:rsidRPr="0008253D">
        <w:t>.</w:t>
      </w:r>
    </w:p>
    <w:p w14:paraId="29C442C3" w14:textId="1DC9F0EC" w:rsidR="002C314A" w:rsidRDefault="002C314A" w:rsidP="008C3D55">
      <w:r w:rsidRPr="002C314A">
        <w:t xml:space="preserve">These species are considered to be characteristic </w:t>
      </w:r>
      <w:r>
        <w:t xml:space="preserve">or frequent </w:t>
      </w:r>
      <w:r w:rsidRPr="002C314A">
        <w:t>based on the sources cited.</w:t>
      </w:r>
      <w:r w:rsidR="0052663E">
        <w:t xml:space="preserve"> </w:t>
      </w:r>
      <w:r w:rsidRPr="002C314A">
        <w:t>The species listed may not necessarily be present in a</w:t>
      </w:r>
      <w:r>
        <w:t>ny</w:t>
      </w:r>
      <w:r w:rsidRPr="002C314A">
        <w:t xml:space="preserve"> given patch of the ecological community, and other native species not listed here may be present.</w:t>
      </w:r>
      <w:r>
        <w:t xml:space="preserve"> T</w:t>
      </w:r>
      <w:r w:rsidRPr="005F437C">
        <w:t xml:space="preserve">he total list </w:t>
      </w:r>
      <w:r>
        <w:t>of species that may be found in</w:t>
      </w:r>
      <w:r w:rsidRPr="005F437C">
        <w:t xml:space="preserve"> the ecological community is considerably larger than the species listed here</w:t>
      </w:r>
      <w:r>
        <w:t>.</w:t>
      </w:r>
    </w:p>
    <w:p w14:paraId="69420F13" w14:textId="77777777" w:rsidR="00126438" w:rsidRPr="005F437C" w:rsidRDefault="00126438" w:rsidP="00126438">
      <w:pPr>
        <w:pStyle w:val="Heading2"/>
      </w:pPr>
      <w:bookmarkStart w:id="55" w:name="_Ref529438338"/>
      <w:bookmarkStart w:id="56" w:name="_Toc24971012"/>
      <w:r>
        <w:t>Flora</w:t>
      </w:r>
      <w:bookmarkEnd w:id="55"/>
      <w:bookmarkEnd w:id="56"/>
    </w:p>
    <w:p w14:paraId="26493CBF" w14:textId="77777777" w:rsidR="008C3D55" w:rsidRDefault="008C3D55" w:rsidP="008C3D55">
      <w:pPr>
        <w:pStyle w:val="Caption"/>
        <w:keepNext/>
      </w:pPr>
      <w:bookmarkStart w:id="57" w:name="_Toc531941948"/>
      <w:r>
        <w:t xml:space="preserve">Table </w:t>
      </w:r>
      <w:r w:rsidR="00526711">
        <w:rPr>
          <w:noProof/>
        </w:rPr>
        <w:fldChar w:fldCharType="begin"/>
      </w:r>
      <w:r w:rsidR="00DB6720">
        <w:rPr>
          <w:noProof/>
        </w:rPr>
        <w:instrText xml:space="preserve"> SEQ Table \* ARABIC </w:instrText>
      </w:r>
      <w:r w:rsidR="00526711">
        <w:rPr>
          <w:noProof/>
        </w:rPr>
        <w:fldChar w:fldCharType="separate"/>
      </w:r>
      <w:r w:rsidR="005E6E9C">
        <w:rPr>
          <w:noProof/>
        </w:rPr>
        <w:t>10</w:t>
      </w:r>
      <w:r w:rsidR="00526711">
        <w:rPr>
          <w:noProof/>
        </w:rPr>
        <w:fldChar w:fldCharType="end"/>
      </w:r>
      <w:r>
        <w:t>: Characteristic, frequently occurring or threatened flora</w:t>
      </w:r>
      <w:bookmarkEnd w:id="57"/>
    </w:p>
    <w:tbl>
      <w:tblPr>
        <w:tblStyle w:val="TableGrid"/>
        <w:tblW w:w="5000" w:type="pct"/>
        <w:tblLayout w:type="fixed"/>
        <w:tblLook w:val="04A0" w:firstRow="1" w:lastRow="0" w:firstColumn="1" w:lastColumn="0" w:noHBand="0" w:noVBand="1"/>
      </w:tblPr>
      <w:tblGrid>
        <w:gridCol w:w="3256"/>
        <w:gridCol w:w="3399"/>
        <w:gridCol w:w="994"/>
        <w:gridCol w:w="1367"/>
      </w:tblGrid>
      <w:tr w:rsidR="00DB129A" w:rsidRPr="008C3D55" w14:paraId="78ACFF83" w14:textId="77777777" w:rsidTr="00DB129A">
        <w:trPr>
          <w:cantSplit/>
          <w:tblHeader/>
        </w:trPr>
        <w:tc>
          <w:tcPr>
            <w:tcW w:w="1806" w:type="pct"/>
          </w:tcPr>
          <w:p w14:paraId="62AC33FE" w14:textId="77777777" w:rsidR="00DB129A" w:rsidRPr="00444B17" w:rsidRDefault="00DB129A" w:rsidP="00444B17">
            <w:pPr>
              <w:pStyle w:val="Tabletext"/>
              <w:rPr>
                <w:b/>
              </w:rPr>
            </w:pPr>
            <w:r w:rsidRPr="00444B17">
              <w:rPr>
                <w:b/>
              </w:rPr>
              <w:t>Scientific name</w:t>
            </w:r>
          </w:p>
        </w:tc>
        <w:tc>
          <w:tcPr>
            <w:tcW w:w="1885" w:type="pct"/>
          </w:tcPr>
          <w:p w14:paraId="0353717E" w14:textId="77777777" w:rsidR="00DB129A" w:rsidRPr="00444B17" w:rsidRDefault="00DB129A" w:rsidP="00444B17">
            <w:pPr>
              <w:pStyle w:val="Tabletext"/>
              <w:rPr>
                <w:b/>
              </w:rPr>
            </w:pPr>
            <w:r w:rsidRPr="00444B17">
              <w:rPr>
                <w:b/>
              </w:rPr>
              <w:t>Common name/s</w:t>
            </w:r>
          </w:p>
        </w:tc>
        <w:tc>
          <w:tcPr>
            <w:tcW w:w="551" w:type="pct"/>
          </w:tcPr>
          <w:p w14:paraId="33359690" w14:textId="77777777" w:rsidR="00DB129A" w:rsidRPr="00444B17" w:rsidRDefault="00DB129A" w:rsidP="00444B17">
            <w:pPr>
              <w:pStyle w:val="Tabletext"/>
              <w:rPr>
                <w:b/>
              </w:rPr>
            </w:pPr>
            <w:r w:rsidRPr="00444B17">
              <w:rPr>
                <w:b/>
              </w:rPr>
              <w:t>EPBC status</w:t>
            </w:r>
            <w:bookmarkStart w:id="58" w:name="_Ref524516737"/>
            <w:r w:rsidRPr="00444B17">
              <w:rPr>
                <w:rStyle w:val="FootnoteReference"/>
                <w:b/>
              </w:rPr>
              <w:footnoteReference w:id="11"/>
            </w:r>
            <w:bookmarkEnd w:id="58"/>
          </w:p>
        </w:tc>
        <w:tc>
          <w:tcPr>
            <w:tcW w:w="758" w:type="pct"/>
          </w:tcPr>
          <w:p w14:paraId="29DDD71A" w14:textId="77777777" w:rsidR="00DB129A" w:rsidRPr="00444B17" w:rsidRDefault="00DB129A" w:rsidP="00444B17">
            <w:pPr>
              <w:pStyle w:val="Tabletext"/>
              <w:rPr>
                <w:b/>
              </w:rPr>
            </w:pPr>
            <w:r w:rsidRPr="00444B17">
              <w:rPr>
                <w:b/>
              </w:rPr>
              <w:t>Tasmanian status</w:t>
            </w:r>
            <w:bookmarkStart w:id="59" w:name="_Ref524518091"/>
            <w:r w:rsidRPr="00444B17">
              <w:rPr>
                <w:rStyle w:val="FootnoteReference"/>
                <w:b/>
              </w:rPr>
              <w:footnoteReference w:id="12"/>
            </w:r>
            <w:bookmarkEnd w:id="59"/>
          </w:p>
        </w:tc>
      </w:tr>
      <w:tr w:rsidR="00DB129A" w:rsidRPr="00CF4BDD" w14:paraId="323553C3" w14:textId="77777777" w:rsidTr="00016AE1">
        <w:tc>
          <w:tcPr>
            <w:tcW w:w="5000" w:type="pct"/>
            <w:gridSpan w:val="4"/>
            <w:shd w:val="clear" w:color="auto" w:fill="D9D9D9" w:themeFill="background1" w:themeFillShade="D9"/>
          </w:tcPr>
          <w:p w14:paraId="71993DF5" w14:textId="0B3C39AE" w:rsidR="00DB129A" w:rsidRPr="00CF4BDD" w:rsidRDefault="00DB129A" w:rsidP="00DB129A">
            <w:pPr>
              <w:pStyle w:val="Tabletext"/>
              <w:rPr>
                <w:b/>
              </w:rPr>
            </w:pPr>
            <w:r>
              <w:rPr>
                <w:b/>
              </w:rPr>
              <w:t>Canopy tree</w:t>
            </w:r>
            <w:r w:rsidRPr="00CF4BDD">
              <w:rPr>
                <w:b/>
              </w:rPr>
              <w:t xml:space="preserve"> species</w:t>
            </w:r>
          </w:p>
        </w:tc>
      </w:tr>
      <w:tr w:rsidR="00DB129A" w14:paraId="16DC2624" w14:textId="77777777" w:rsidTr="00DB129A">
        <w:tc>
          <w:tcPr>
            <w:tcW w:w="1806" w:type="pct"/>
          </w:tcPr>
          <w:p w14:paraId="6C09ECB5" w14:textId="77777777" w:rsidR="00DB129A" w:rsidRPr="008C3D55" w:rsidRDefault="00DB129A" w:rsidP="005811A3">
            <w:pPr>
              <w:pStyle w:val="Tabletext"/>
              <w:rPr>
                <w:i/>
              </w:rPr>
            </w:pPr>
            <w:r w:rsidRPr="008C3D55">
              <w:rPr>
                <w:i/>
              </w:rPr>
              <w:t>Eucalyptus viminalis</w:t>
            </w:r>
          </w:p>
        </w:tc>
        <w:tc>
          <w:tcPr>
            <w:tcW w:w="1885" w:type="pct"/>
          </w:tcPr>
          <w:p w14:paraId="53CAD61C" w14:textId="77777777" w:rsidR="00DB129A" w:rsidRDefault="00DB129A" w:rsidP="005811A3">
            <w:pPr>
              <w:pStyle w:val="Tabletext"/>
            </w:pPr>
            <w:r>
              <w:t>White gum, manna gum</w:t>
            </w:r>
          </w:p>
        </w:tc>
        <w:tc>
          <w:tcPr>
            <w:tcW w:w="551" w:type="pct"/>
          </w:tcPr>
          <w:p w14:paraId="2784E1D7" w14:textId="77777777" w:rsidR="00DB129A" w:rsidRDefault="00DB129A" w:rsidP="005811A3">
            <w:pPr>
              <w:pStyle w:val="Tabletext"/>
            </w:pPr>
          </w:p>
        </w:tc>
        <w:tc>
          <w:tcPr>
            <w:tcW w:w="758" w:type="pct"/>
          </w:tcPr>
          <w:p w14:paraId="2FD8BDA3" w14:textId="77777777" w:rsidR="00DB129A" w:rsidRDefault="00DB129A" w:rsidP="005811A3">
            <w:pPr>
              <w:pStyle w:val="Tabletext"/>
            </w:pPr>
          </w:p>
        </w:tc>
      </w:tr>
      <w:tr w:rsidR="00DB129A" w14:paraId="269AFACC" w14:textId="77777777" w:rsidTr="00DB129A">
        <w:tc>
          <w:tcPr>
            <w:tcW w:w="1806" w:type="pct"/>
          </w:tcPr>
          <w:p w14:paraId="76B647B1" w14:textId="4C69E5BB" w:rsidR="00DB129A" w:rsidRPr="008C3D55" w:rsidRDefault="00DB129A" w:rsidP="005811A3">
            <w:pPr>
              <w:pStyle w:val="Tabletext"/>
              <w:rPr>
                <w:i/>
              </w:rPr>
            </w:pPr>
            <w:r>
              <w:rPr>
                <w:i/>
              </w:rPr>
              <w:t>Eucalyptus amygdalina</w:t>
            </w:r>
          </w:p>
        </w:tc>
        <w:tc>
          <w:tcPr>
            <w:tcW w:w="1885" w:type="pct"/>
          </w:tcPr>
          <w:p w14:paraId="49E94F54" w14:textId="159F07A2" w:rsidR="00DB129A" w:rsidRDefault="00DB129A" w:rsidP="005811A3">
            <w:pPr>
              <w:pStyle w:val="Tabletext"/>
            </w:pPr>
            <w:r>
              <w:t>Black peppermint</w:t>
            </w:r>
          </w:p>
        </w:tc>
        <w:tc>
          <w:tcPr>
            <w:tcW w:w="551" w:type="pct"/>
          </w:tcPr>
          <w:p w14:paraId="16953770" w14:textId="77777777" w:rsidR="00DB129A" w:rsidRDefault="00DB129A" w:rsidP="005811A3">
            <w:pPr>
              <w:pStyle w:val="Tabletext"/>
            </w:pPr>
          </w:p>
        </w:tc>
        <w:tc>
          <w:tcPr>
            <w:tcW w:w="758" w:type="pct"/>
          </w:tcPr>
          <w:p w14:paraId="757C8911" w14:textId="77777777" w:rsidR="00DB129A" w:rsidRDefault="00DB129A" w:rsidP="005811A3">
            <w:pPr>
              <w:pStyle w:val="Tabletext"/>
            </w:pPr>
          </w:p>
        </w:tc>
      </w:tr>
      <w:tr w:rsidR="00DB129A" w14:paraId="09FEB562" w14:textId="77777777" w:rsidTr="00DB129A">
        <w:tc>
          <w:tcPr>
            <w:tcW w:w="1806" w:type="pct"/>
          </w:tcPr>
          <w:p w14:paraId="44FD78AF" w14:textId="4152BCF2" w:rsidR="00DB129A" w:rsidRDefault="00DB129A" w:rsidP="005811A3">
            <w:pPr>
              <w:pStyle w:val="Tabletext"/>
              <w:rPr>
                <w:i/>
              </w:rPr>
            </w:pPr>
            <w:r>
              <w:rPr>
                <w:i/>
              </w:rPr>
              <w:t>Eucalyptus dalrympleana</w:t>
            </w:r>
          </w:p>
        </w:tc>
        <w:tc>
          <w:tcPr>
            <w:tcW w:w="1885" w:type="pct"/>
          </w:tcPr>
          <w:p w14:paraId="4B0BA99D" w14:textId="522F98AC" w:rsidR="00DB129A" w:rsidRDefault="00DB129A" w:rsidP="005811A3">
            <w:pPr>
              <w:pStyle w:val="Tabletext"/>
            </w:pPr>
            <w:r>
              <w:t>Mountain white gum</w:t>
            </w:r>
          </w:p>
        </w:tc>
        <w:tc>
          <w:tcPr>
            <w:tcW w:w="551" w:type="pct"/>
          </w:tcPr>
          <w:p w14:paraId="1976D649" w14:textId="77777777" w:rsidR="00DB129A" w:rsidRDefault="00DB129A" w:rsidP="005811A3">
            <w:pPr>
              <w:pStyle w:val="Tabletext"/>
            </w:pPr>
          </w:p>
        </w:tc>
        <w:tc>
          <w:tcPr>
            <w:tcW w:w="758" w:type="pct"/>
          </w:tcPr>
          <w:p w14:paraId="7F0777B9" w14:textId="77777777" w:rsidR="00DB129A" w:rsidRDefault="00DB129A" w:rsidP="005811A3">
            <w:pPr>
              <w:pStyle w:val="Tabletext"/>
            </w:pPr>
          </w:p>
        </w:tc>
      </w:tr>
      <w:tr w:rsidR="00DB129A" w14:paraId="0CAEA295" w14:textId="77777777" w:rsidTr="00DB129A">
        <w:tc>
          <w:tcPr>
            <w:tcW w:w="1806" w:type="pct"/>
          </w:tcPr>
          <w:p w14:paraId="0B9F16E1" w14:textId="77777777" w:rsidR="00DB129A" w:rsidRDefault="00DB129A" w:rsidP="001F2039">
            <w:pPr>
              <w:pStyle w:val="Tabletext"/>
              <w:rPr>
                <w:i/>
              </w:rPr>
            </w:pPr>
            <w:r>
              <w:rPr>
                <w:i/>
              </w:rPr>
              <w:t>Eucalyptus delegatensis</w:t>
            </w:r>
          </w:p>
        </w:tc>
        <w:tc>
          <w:tcPr>
            <w:tcW w:w="1885" w:type="pct"/>
          </w:tcPr>
          <w:p w14:paraId="713D604B" w14:textId="77777777" w:rsidR="00DB129A" w:rsidRDefault="00DB129A" w:rsidP="001F2039">
            <w:pPr>
              <w:pStyle w:val="Tabletext"/>
            </w:pPr>
            <w:r>
              <w:t>Gumtopped stringybark</w:t>
            </w:r>
          </w:p>
        </w:tc>
        <w:tc>
          <w:tcPr>
            <w:tcW w:w="551" w:type="pct"/>
          </w:tcPr>
          <w:p w14:paraId="5AA4240A" w14:textId="77777777" w:rsidR="00DB129A" w:rsidRDefault="00DB129A" w:rsidP="001F2039">
            <w:pPr>
              <w:pStyle w:val="Tabletext"/>
            </w:pPr>
          </w:p>
        </w:tc>
        <w:tc>
          <w:tcPr>
            <w:tcW w:w="758" w:type="pct"/>
          </w:tcPr>
          <w:p w14:paraId="66078B24" w14:textId="77777777" w:rsidR="00DB129A" w:rsidRDefault="00DB129A" w:rsidP="001F2039">
            <w:pPr>
              <w:pStyle w:val="Tabletext"/>
            </w:pPr>
          </w:p>
        </w:tc>
      </w:tr>
      <w:tr w:rsidR="00DB129A" w14:paraId="6B2D623C" w14:textId="77777777" w:rsidTr="00DB129A">
        <w:tc>
          <w:tcPr>
            <w:tcW w:w="1806" w:type="pct"/>
          </w:tcPr>
          <w:p w14:paraId="504D1B3B" w14:textId="77777777" w:rsidR="00DB129A" w:rsidRPr="008C3D55" w:rsidRDefault="00DB129A" w:rsidP="001F2039">
            <w:pPr>
              <w:pStyle w:val="Tabletext"/>
              <w:rPr>
                <w:i/>
              </w:rPr>
            </w:pPr>
            <w:r>
              <w:rPr>
                <w:i/>
              </w:rPr>
              <w:t>Eucalyptus obliqua</w:t>
            </w:r>
          </w:p>
        </w:tc>
        <w:tc>
          <w:tcPr>
            <w:tcW w:w="1885" w:type="pct"/>
          </w:tcPr>
          <w:p w14:paraId="391A99C0" w14:textId="77777777" w:rsidR="00DB129A" w:rsidRDefault="00DB129A" w:rsidP="001F2039">
            <w:pPr>
              <w:pStyle w:val="Tabletext"/>
            </w:pPr>
            <w:r>
              <w:t>Stringybark</w:t>
            </w:r>
          </w:p>
        </w:tc>
        <w:tc>
          <w:tcPr>
            <w:tcW w:w="551" w:type="pct"/>
          </w:tcPr>
          <w:p w14:paraId="4C893184" w14:textId="77777777" w:rsidR="00DB129A" w:rsidRDefault="00DB129A" w:rsidP="001F2039">
            <w:pPr>
              <w:pStyle w:val="Tabletext"/>
            </w:pPr>
          </w:p>
        </w:tc>
        <w:tc>
          <w:tcPr>
            <w:tcW w:w="758" w:type="pct"/>
          </w:tcPr>
          <w:p w14:paraId="463D7BD4" w14:textId="77777777" w:rsidR="00DB129A" w:rsidRDefault="00DB129A" w:rsidP="001F2039">
            <w:pPr>
              <w:pStyle w:val="Tabletext"/>
            </w:pPr>
          </w:p>
        </w:tc>
      </w:tr>
      <w:tr w:rsidR="00DB129A" w14:paraId="1EBF1253" w14:textId="77777777" w:rsidTr="00DB129A">
        <w:tc>
          <w:tcPr>
            <w:tcW w:w="1806" w:type="pct"/>
          </w:tcPr>
          <w:p w14:paraId="5756C3CC" w14:textId="77777777" w:rsidR="00DB129A" w:rsidRDefault="00DB129A" w:rsidP="001F2039">
            <w:pPr>
              <w:pStyle w:val="Tabletext"/>
              <w:rPr>
                <w:i/>
              </w:rPr>
            </w:pPr>
            <w:r>
              <w:rPr>
                <w:i/>
              </w:rPr>
              <w:t>Eucalyptus ovata</w:t>
            </w:r>
          </w:p>
        </w:tc>
        <w:tc>
          <w:tcPr>
            <w:tcW w:w="1885" w:type="pct"/>
          </w:tcPr>
          <w:p w14:paraId="36A25442" w14:textId="77777777" w:rsidR="00DB129A" w:rsidRDefault="00DB129A" w:rsidP="001F2039">
            <w:pPr>
              <w:pStyle w:val="Tabletext"/>
            </w:pPr>
            <w:r w:rsidRPr="00061F61">
              <w:t>Black gum</w:t>
            </w:r>
          </w:p>
        </w:tc>
        <w:tc>
          <w:tcPr>
            <w:tcW w:w="551" w:type="pct"/>
          </w:tcPr>
          <w:p w14:paraId="0C873814" w14:textId="77777777" w:rsidR="00DB129A" w:rsidRDefault="00DB129A" w:rsidP="001F2039">
            <w:pPr>
              <w:pStyle w:val="Tabletext"/>
            </w:pPr>
          </w:p>
        </w:tc>
        <w:tc>
          <w:tcPr>
            <w:tcW w:w="758" w:type="pct"/>
          </w:tcPr>
          <w:p w14:paraId="3A7F1169" w14:textId="77777777" w:rsidR="00DB129A" w:rsidRDefault="00DB129A" w:rsidP="001F2039">
            <w:pPr>
              <w:pStyle w:val="Tabletext"/>
            </w:pPr>
          </w:p>
        </w:tc>
      </w:tr>
      <w:tr w:rsidR="00DB129A" w14:paraId="6393DE5C" w14:textId="77777777" w:rsidTr="00DB129A">
        <w:tc>
          <w:tcPr>
            <w:tcW w:w="1806" w:type="pct"/>
          </w:tcPr>
          <w:p w14:paraId="444ADBD1" w14:textId="77777777" w:rsidR="00DB129A" w:rsidRDefault="00DB129A" w:rsidP="005811A3">
            <w:pPr>
              <w:pStyle w:val="Tabletext"/>
              <w:rPr>
                <w:i/>
              </w:rPr>
            </w:pPr>
            <w:r>
              <w:rPr>
                <w:i/>
              </w:rPr>
              <w:t>Eucalyptus regnans</w:t>
            </w:r>
          </w:p>
        </w:tc>
        <w:tc>
          <w:tcPr>
            <w:tcW w:w="1885" w:type="pct"/>
          </w:tcPr>
          <w:p w14:paraId="06DFC7E2" w14:textId="77777777" w:rsidR="00DB129A" w:rsidRDefault="00DB129A" w:rsidP="005811A3">
            <w:pPr>
              <w:pStyle w:val="Tabletext"/>
            </w:pPr>
            <w:r>
              <w:t>Giant ash</w:t>
            </w:r>
          </w:p>
        </w:tc>
        <w:tc>
          <w:tcPr>
            <w:tcW w:w="551" w:type="pct"/>
          </w:tcPr>
          <w:p w14:paraId="5203CC3E" w14:textId="77777777" w:rsidR="00DB129A" w:rsidRDefault="00DB129A" w:rsidP="005811A3">
            <w:pPr>
              <w:pStyle w:val="Tabletext"/>
            </w:pPr>
          </w:p>
        </w:tc>
        <w:tc>
          <w:tcPr>
            <w:tcW w:w="758" w:type="pct"/>
          </w:tcPr>
          <w:p w14:paraId="76BF47A1" w14:textId="77777777" w:rsidR="00DB129A" w:rsidRDefault="00DB129A" w:rsidP="005811A3">
            <w:pPr>
              <w:pStyle w:val="Tabletext"/>
            </w:pPr>
          </w:p>
        </w:tc>
      </w:tr>
      <w:tr w:rsidR="00DB129A" w14:paraId="40369760" w14:textId="77777777" w:rsidTr="00016AE1">
        <w:tc>
          <w:tcPr>
            <w:tcW w:w="5000" w:type="pct"/>
            <w:gridSpan w:val="4"/>
            <w:shd w:val="clear" w:color="auto" w:fill="D9D9D9" w:themeFill="background1" w:themeFillShade="D9"/>
          </w:tcPr>
          <w:p w14:paraId="6F7CFBF4" w14:textId="77777777" w:rsidR="00DB129A" w:rsidRPr="00C609FF" w:rsidRDefault="00DB129A" w:rsidP="00D61DF8">
            <w:pPr>
              <w:pStyle w:val="Tabletext"/>
              <w:rPr>
                <w:b/>
              </w:rPr>
            </w:pPr>
            <w:r>
              <w:rPr>
                <w:b/>
              </w:rPr>
              <w:t>Understorey tree and shrub species</w:t>
            </w:r>
          </w:p>
        </w:tc>
      </w:tr>
      <w:tr w:rsidR="00DB129A" w14:paraId="68FD7F01" w14:textId="77777777" w:rsidTr="00DB129A">
        <w:tc>
          <w:tcPr>
            <w:tcW w:w="1806" w:type="pct"/>
          </w:tcPr>
          <w:p w14:paraId="095A140C" w14:textId="77777777" w:rsidR="00DB129A" w:rsidRPr="008C3D55" w:rsidRDefault="00DB129A" w:rsidP="005811A3">
            <w:pPr>
              <w:pStyle w:val="Tabletext"/>
              <w:rPr>
                <w:i/>
              </w:rPr>
            </w:pPr>
            <w:r>
              <w:rPr>
                <w:i/>
              </w:rPr>
              <w:t>Acacia dealbata</w:t>
            </w:r>
          </w:p>
        </w:tc>
        <w:tc>
          <w:tcPr>
            <w:tcW w:w="1885" w:type="pct"/>
          </w:tcPr>
          <w:p w14:paraId="5FBFBF7D" w14:textId="77777777" w:rsidR="00DB129A" w:rsidRDefault="00DB129A" w:rsidP="005811A3">
            <w:pPr>
              <w:pStyle w:val="Tabletext"/>
            </w:pPr>
            <w:r>
              <w:t>Silver wattle</w:t>
            </w:r>
          </w:p>
        </w:tc>
        <w:tc>
          <w:tcPr>
            <w:tcW w:w="551" w:type="pct"/>
          </w:tcPr>
          <w:p w14:paraId="5A2201EA" w14:textId="77777777" w:rsidR="00DB129A" w:rsidRDefault="00DB129A" w:rsidP="005811A3">
            <w:pPr>
              <w:pStyle w:val="Tabletext"/>
            </w:pPr>
          </w:p>
        </w:tc>
        <w:tc>
          <w:tcPr>
            <w:tcW w:w="758" w:type="pct"/>
          </w:tcPr>
          <w:p w14:paraId="65B0503D" w14:textId="77777777" w:rsidR="00DB129A" w:rsidRDefault="00DB129A" w:rsidP="005811A3">
            <w:pPr>
              <w:pStyle w:val="Tabletext"/>
            </w:pPr>
          </w:p>
        </w:tc>
      </w:tr>
      <w:tr w:rsidR="00DB129A" w14:paraId="089C9542" w14:textId="77777777" w:rsidTr="00DB129A">
        <w:tc>
          <w:tcPr>
            <w:tcW w:w="1806" w:type="pct"/>
          </w:tcPr>
          <w:p w14:paraId="5FFE418C" w14:textId="77777777" w:rsidR="00DB129A" w:rsidRPr="008C3D55" w:rsidRDefault="00DB129A" w:rsidP="005811A3">
            <w:pPr>
              <w:pStyle w:val="Tabletext"/>
              <w:rPr>
                <w:i/>
              </w:rPr>
            </w:pPr>
            <w:r>
              <w:rPr>
                <w:i/>
              </w:rPr>
              <w:t>Acacia melanoxylon</w:t>
            </w:r>
          </w:p>
        </w:tc>
        <w:tc>
          <w:tcPr>
            <w:tcW w:w="1885" w:type="pct"/>
          </w:tcPr>
          <w:p w14:paraId="38257F30" w14:textId="77777777" w:rsidR="00DB129A" w:rsidRDefault="00DB129A" w:rsidP="005811A3">
            <w:pPr>
              <w:pStyle w:val="Tabletext"/>
            </w:pPr>
            <w:r>
              <w:t>blackwood</w:t>
            </w:r>
          </w:p>
        </w:tc>
        <w:tc>
          <w:tcPr>
            <w:tcW w:w="551" w:type="pct"/>
          </w:tcPr>
          <w:p w14:paraId="118D1A6C" w14:textId="77777777" w:rsidR="00DB129A" w:rsidRDefault="00DB129A" w:rsidP="005811A3">
            <w:pPr>
              <w:pStyle w:val="Tabletext"/>
            </w:pPr>
          </w:p>
        </w:tc>
        <w:tc>
          <w:tcPr>
            <w:tcW w:w="758" w:type="pct"/>
          </w:tcPr>
          <w:p w14:paraId="6D3B6DBC" w14:textId="77777777" w:rsidR="00DB129A" w:rsidRDefault="00DB129A" w:rsidP="005811A3">
            <w:pPr>
              <w:pStyle w:val="Tabletext"/>
            </w:pPr>
          </w:p>
        </w:tc>
      </w:tr>
      <w:tr w:rsidR="00DB129A" w14:paraId="799ABB8F" w14:textId="77777777" w:rsidTr="00DB129A">
        <w:tc>
          <w:tcPr>
            <w:tcW w:w="1806" w:type="pct"/>
          </w:tcPr>
          <w:p w14:paraId="7A16B6E0" w14:textId="77777777" w:rsidR="00DB129A" w:rsidRDefault="00DB129A" w:rsidP="005811A3">
            <w:pPr>
              <w:pStyle w:val="Tabletext"/>
              <w:rPr>
                <w:i/>
              </w:rPr>
            </w:pPr>
            <w:r>
              <w:rPr>
                <w:i/>
              </w:rPr>
              <w:t>Acacia verticillata</w:t>
            </w:r>
          </w:p>
        </w:tc>
        <w:tc>
          <w:tcPr>
            <w:tcW w:w="1885" w:type="pct"/>
          </w:tcPr>
          <w:p w14:paraId="5472AE87" w14:textId="77777777" w:rsidR="00DB129A" w:rsidRDefault="00DB129A" w:rsidP="005811A3">
            <w:pPr>
              <w:pStyle w:val="Tabletext"/>
            </w:pPr>
            <w:r>
              <w:t>Prickly moses</w:t>
            </w:r>
          </w:p>
        </w:tc>
        <w:tc>
          <w:tcPr>
            <w:tcW w:w="551" w:type="pct"/>
          </w:tcPr>
          <w:p w14:paraId="4E9E5453" w14:textId="77777777" w:rsidR="00DB129A" w:rsidRDefault="00DB129A" w:rsidP="005811A3">
            <w:pPr>
              <w:pStyle w:val="Tabletext"/>
            </w:pPr>
          </w:p>
        </w:tc>
        <w:tc>
          <w:tcPr>
            <w:tcW w:w="758" w:type="pct"/>
          </w:tcPr>
          <w:p w14:paraId="2B15C17B" w14:textId="77777777" w:rsidR="00DB129A" w:rsidRDefault="00DB129A" w:rsidP="005811A3">
            <w:pPr>
              <w:pStyle w:val="Tabletext"/>
            </w:pPr>
          </w:p>
        </w:tc>
      </w:tr>
      <w:tr w:rsidR="00DB129A" w14:paraId="7EB1161C" w14:textId="77777777" w:rsidTr="00DB129A">
        <w:tc>
          <w:tcPr>
            <w:tcW w:w="1806" w:type="pct"/>
          </w:tcPr>
          <w:p w14:paraId="401A5FD9" w14:textId="77777777" w:rsidR="00DB129A" w:rsidRDefault="00DB129A" w:rsidP="005811A3">
            <w:pPr>
              <w:pStyle w:val="Tabletext"/>
              <w:rPr>
                <w:i/>
              </w:rPr>
            </w:pPr>
            <w:r>
              <w:rPr>
                <w:i/>
              </w:rPr>
              <w:t>Atherosperma moschatum</w:t>
            </w:r>
          </w:p>
        </w:tc>
        <w:tc>
          <w:tcPr>
            <w:tcW w:w="1885" w:type="pct"/>
          </w:tcPr>
          <w:p w14:paraId="4EDBEE42" w14:textId="77777777" w:rsidR="00DB129A" w:rsidRDefault="00DB129A" w:rsidP="005811A3">
            <w:pPr>
              <w:pStyle w:val="Tabletext"/>
            </w:pPr>
            <w:r>
              <w:t>Sassafras</w:t>
            </w:r>
          </w:p>
        </w:tc>
        <w:tc>
          <w:tcPr>
            <w:tcW w:w="551" w:type="pct"/>
          </w:tcPr>
          <w:p w14:paraId="66503F6D" w14:textId="77777777" w:rsidR="00DB129A" w:rsidRDefault="00DB129A" w:rsidP="005811A3">
            <w:pPr>
              <w:pStyle w:val="Tabletext"/>
            </w:pPr>
          </w:p>
        </w:tc>
        <w:tc>
          <w:tcPr>
            <w:tcW w:w="758" w:type="pct"/>
          </w:tcPr>
          <w:p w14:paraId="2F9E368E" w14:textId="77777777" w:rsidR="00DB129A" w:rsidRDefault="00DB129A" w:rsidP="005811A3">
            <w:pPr>
              <w:pStyle w:val="Tabletext"/>
            </w:pPr>
          </w:p>
        </w:tc>
      </w:tr>
      <w:tr w:rsidR="00DB129A" w14:paraId="251D3628" w14:textId="77777777" w:rsidTr="00DB129A">
        <w:tc>
          <w:tcPr>
            <w:tcW w:w="1806" w:type="pct"/>
          </w:tcPr>
          <w:p w14:paraId="6AAA1985" w14:textId="77777777" w:rsidR="00DB129A" w:rsidRDefault="00DB129A" w:rsidP="005811A3">
            <w:pPr>
              <w:pStyle w:val="Tabletext"/>
              <w:rPr>
                <w:i/>
              </w:rPr>
            </w:pPr>
            <w:r>
              <w:rPr>
                <w:i/>
              </w:rPr>
              <w:t>Bedfordia salicina</w:t>
            </w:r>
          </w:p>
        </w:tc>
        <w:tc>
          <w:tcPr>
            <w:tcW w:w="1885" w:type="pct"/>
          </w:tcPr>
          <w:p w14:paraId="1AA1EC25" w14:textId="77777777" w:rsidR="00DB129A" w:rsidRDefault="00DB129A" w:rsidP="005811A3">
            <w:pPr>
              <w:pStyle w:val="Tabletext"/>
            </w:pPr>
            <w:r>
              <w:t>Tasmanian blanketleaf</w:t>
            </w:r>
          </w:p>
        </w:tc>
        <w:tc>
          <w:tcPr>
            <w:tcW w:w="551" w:type="pct"/>
          </w:tcPr>
          <w:p w14:paraId="50ECFF56" w14:textId="77777777" w:rsidR="00DB129A" w:rsidRDefault="00DB129A" w:rsidP="005811A3">
            <w:pPr>
              <w:pStyle w:val="Tabletext"/>
            </w:pPr>
          </w:p>
        </w:tc>
        <w:tc>
          <w:tcPr>
            <w:tcW w:w="758" w:type="pct"/>
          </w:tcPr>
          <w:p w14:paraId="2F0C736A" w14:textId="77777777" w:rsidR="00DB129A" w:rsidRDefault="00DB129A" w:rsidP="005811A3">
            <w:pPr>
              <w:pStyle w:val="Tabletext"/>
            </w:pPr>
          </w:p>
        </w:tc>
      </w:tr>
      <w:tr w:rsidR="00DB129A" w14:paraId="791DD1AC" w14:textId="77777777" w:rsidTr="00DB129A">
        <w:tc>
          <w:tcPr>
            <w:tcW w:w="1806" w:type="pct"/>
          </w:tcPr>
          <w:p w14:paraId="6CB35852" w14:textId="77777777" w:rsidR="00DB129A" w:rsidRDefault="00DB129A" w:rsidP="005811A3">
            <w:pPr>
              <w:pStyle w:val="Tabletext"/>
              <w:rPr>
                <w:i/>
              </w:rPr>
            </w:pPr>
            <w:r>
              <w:rPr>
                <w:i/>
              </w:rPr>
              <w:t>Bursaria spinosa</w:t>
            </w:r>
          </w:p>
        </w:tc>
        <w:tc>
          <w:tcPr>
            <w:tcW w:w="1885" w:type="pct"/>
          </w:tcPr>
          <w:p w14:paraId="3750400B" w14:textId="77777777" w:rsidR="00DB129A" w:rsidRDefault="00DB129A" w:rsidP="005811A3">
            <w:pPr>
              <w:pStyle w:val="Tabletext"/>
            </w:pPr>
            <w:r>
              <w:t>Prickly box</w:t>
            </w:r>
          </w:p>
        </w:tc>
        <w:tc>
          <w:tcPr>
            <w:tcW w:w="551" w:type="pct"/>
          </w:tcPr>
          <w:p w14:paraId="1CB5C263" w14:textId="77777777" w:rsidR="00DB129A" w:rsidRDefault="00DB129A" w:rsidP="005811A3">
            <w:pPr>
              <w:pStyle w:val="Tabletext"/>
            </w:pPr>
          </w:p>
        </w:tc>
        <w:tc>
          <w:tcPr>
            <w:tcW w:w="758" w:type="pct"/>
          </w:tcPr>
          <w:p w14:paraId="03EF0205" w14:textId="77777777" w:rsidR="00DB129A" w:rsidRDefault="00DB129A" w:rsidP="005811A3">
            <w:pPr>
              <w:pStyle w:val="Tabletext"/>
            </w:pPr>
          </w:p>
        </w:tc>
      </w:tr>
      <w:tr w:rsidR="00DB129A" w14:paraId="17897E9E" w14:textId="77777777" w:rsidTr="00DB129A">
        <w:tc>
          <w:tcPr>
            <w:tcW w:w="1806" w:type="pct"/>
          </w:tcPr>
          <w:p w14:paraId="0801A0F6" w14:textId="77777777" w:rsidR="00DB129A" w:rsidRDefault="00DB129A" w:rsidP="005811A3">
            <w:pPr>
              <w:pStyle w:val="Tabletext"/>
              <w:rPr>
                <w:i/>
              </w:rPr>
            </w:pPr>
            <w:r>
              <w:rPr>
                <w:i/>
              </w:rPr>
              <w:t>Cassinia aculeata</w:t>
            </w:r>
          </w:p>
        </w:tc>
        <w:tc>
          <w:tcPr>
            <w:tcW w:w="1885" w:type="pct"/>
          </w:tcPr>
          <w:p w14:paraId="4188AFF2" w14:textId="77777777" w:rsidR="00DB129A" w:rsidRDefault="00DB129A" w:rsidP="005811A3">
            <w:pPr>
              <w:pStyle w:val="Tabletext"/>
            </w:pPr>
            <w:r>
              <w:t>Dollybush</w:t>
            </w:r>
          </w:p>
        </w:tc>
        <w:tc>
          <w:tcPr>
            <w:tcW w:w="551" w:type="pct"/>
          </w:tcPr>
          <w:p w14:paraId="33D2A1B2" w14:textId="77777777" w:rsidR="00DB129A" w:rsidRDefault="00DB129A" w:rsidP="005811A3">
            <w:pPr>
              <w:pStyle w:val="Tabletext"/>
            </w:pPr>
          </w:p>
        </w:tc>
        <w:tc>
          <w:tcPr>
            <w:tcW w:w="758" w:type="pct"/>
          </w:tcPr>
          <w:p w14:paraId="3291E7C8" w14:textId="77777777" w:rsidR="00DB129A" w:rsidRDefault="00DB129A" w:rsidP="005811A3">
            <w:pPr>
              <w:pStyle w:val="Tabletext"/>
            </w:pPr>
          </w:p>
        </w:tc>
      </w:tr>
      <w:tr w:rsidR="00DB129A" w14:paraId="7ACDE865" w14:textId="77777777" w:rsidTr="00DB129A">
        <w:tc>
          <w:tcPr>
            <w:tcW w:w="1806" w:type="pct"/>
          </w:tcPr>
          <w:p w14:paraId="74DFCE59" w14:textId="77777777" w:rsidR="00DB129A" w:rsidRDefault="00DB129A" w:rsidP="00DF243D">
            <w:pPr>
              <w:pStyle w:val="Tabletext"/>
              <w:rPr>
                <w:i/>
              </w:rPr>
            </w:pPr>
            <w:r>
              <w:rPr>
                <w:i/>
              </w:rPr>
              <w:t>Coprosma quadrifida</w:t>
            </w:r>
          </w:p>
        </w:tc>
        <w:tc>
          <w:tcPr>
            <w:tcW w:w="1885" w:type="pct"/>
          </w:tcPr>
          <w:p w14:paraId="48FC214B" w14:textId="77777777" w:rsidR="00DB129A" w:rsidRDefault="00DB129A" w:rsidP="00DF243D">
            <w:pPr>
              <w:pStyle w:val="Tabletext"/>
            </w:pPr>
            <w:r>
              <w:t>Native currant, prickly currant-bush</w:t>
            </w:r>
          </w:p>
        </w:tc>
        <w:tc>
          <w:tcPr>
            <w:tcW w:w="551" w:type="pct"/>
          </w:tcPr>
          <w:p w14:paraId="0B9628EB" w14:textId="77777777" w:rsidR="00DB129A" w:rsidRDefault="00DB129A" w:rsidP="00DF243D">
            <w:pPr>
              <w:pStyle w:val="Tabletext"/>
            </w:pPr>
          </w:p>
        </w:tc>
        <w:tc>
          <w:tcPr>
            <w:tcW w:w="758" w:type="pct"/>
          </w:tcPr>
          <w:p w14:paraId="1AAC7DB7" w14:textId="77777777" w:rsidR="00DB129A" w:rsidRDefault="00DB129A" w:rsidP="00DF243D">
            <w:pPr>
              <w:pStyle w:val="Tabletext"/>
            </w:pPr>
          </w:p>
        </w:tc>
      </w:tr>
      <w:tr w:rsidR="00DB129A" w14:paraId="1F4B926C" w14:textId="77777777" w:rsidTr="00DB129A">
        <w:tc>
          <w:tcPr>
            <w:tcW w:w="1806" w:type="pct"/>
          </w:tcPr>
          <w:p w14:paraId="5C76B7D7" w14:textId="5E375166" w:rsidR="00DB129A" w:rsidRDefault="00DB129A" w:rsidP="00DF243D">
            <w:pPr>
              <w:pStyle w:val="Tabletext"/>
              <w:rPr>
                <w:i/>
              </w:rPr>
            </w:pPr>
            <w:r>
              <w:rPr>
                <w:i/>
              </w:rPr>
              <w:t>Exocarpos cupressiformis</w:t>
            </w:r>
          </w:p>
        </w:tc>
        <w:tc>
          <w:tcPr>
            <w:tcW w:w="1885" w:type="pct"/>
          </w:tcPr>
          <w:p w14:paraId="517795EF" w14:textId="0B3A9345" w:rsidR="00DB129A" w:rsidRDefault="00DB129A" w:rsidP="00DF243D">
            <w:pPr>
              <w:pStyle w:val="Tabletext"/>
            </w:pPr>
            <w:r>
              <w:t>Native cherry</w:t>
            </w:r>
          </w:p>
        </w:tc>
        <w:tc>
          <w:tcPr>
            <w:tcW w:w="551" w:type="pct"/>
          </w:tcPr>
          <w:p w14:paraId="73BFE210" w14:textId="77777777" w:rsidR="00DB129A" w:rsidRDefault="00DB129A" w:rsidP="00DF243D">
            <w:pPr>
              <w:pStyle w:val="Tabletext"/>
            </w:pPr>
          </w:p>
        </w:tc>
        <w:tc>
          <w:tcPr>
            <w:tcW w:w="758" w:type="pct"/>
          </w:tcPr>
          <w:p w14:paraId="235083C3" w14:textId="77777777" w:rsidR="00DB129A" w:rsidRDefault="00DB129A" w:rsidP="00DF243D">
            <w:pPr>
              <w:pStyle w:val="Tabletext"/>
            </w:pPr>
          </w:p>
        </w:tc>
      </w:tr>
      <w:tr w:rsidR="00DB129A" w14:paraId="0F68AF82" w14:textId="77777777" w:rsidTr="00DB129A">
        <w:tc>
          <w:tcPr>
            <w:tcW w:w="1806" w:type="pct"/>
          </w:tcPr>
          <w:p w14:paraId="10CB2A19" w14:textId="173BBDDC" w:rsidR="00DB129A" w:rsidRDefault="00DB129A" w:rsidP="00DB129A">
            <w:pPr>
              <w:pStyle w:val="Tabletext"/>
              <w:rPr>
                <w:i/>
              </w:rPr>
            </w:pPr>
            <w:r>
              <w:rPr>
                <w:i/>
              </w:rPr>
              <w:t>Leptospermum lanigerum</w:t>
            </w:r>
          </w:p>
        </w:tc>
        <w:tc>
          <w:tcPr>
            <w:tcW w:w="1885" w:type="pct"/>
          </w:tcPr>
          <w:p w14:paraId="5D1ACB7C" w14:textId="1ECBF894" w:rsidR="00DB129A" w:rsidRDefault="00DB129A" w:rsidP="00DB129A">
            <w:pPr>
              <w:pStyle w:val="Tabletext"/>
            </w:pPr>
            <w:r>
              <w:t>Woolly teatree</w:t>
            </w:r>
          </w:p>
        </w:tc>
        <w:tc>
          <w:tcPr>
            <w:tcW w:w="551" w:type="pct"/>
          </w:tcPr>
          <w:p w14:paraId="67FD3C0C" w14:textId="77777777" w:rsidR="00DB129A" w:rsidRDefault="00DB129A" w:rsidP="005811A3">
            <w:pPr>
              <w:pStyle w:val="Tabletext"/>
            </w:pPr>
          </w:p>
        </w:tc>
        <w:tc>
          <w:tcPr>
            <w:tcW w:w="758" w:type="pct"/>
          </w:tcPr>
          <w:p w14:paraId="78F576B1" w14:textId="77777777" w:rsidR="00DB129A" w:rsidRDefault="00DB129A" w:rsidP="005811A3">
            <w:pPr>
              <w:pStyle w:val="Tabletext"/>
            </w:pPr>
          </w:p>
        </w:tc>
      </w:tr>
      <w:tr w:rsidR="00DB129A" w14:paraId="609A15D1" w14:textId="77777777" w:rsidTr="00DB129A">
        <w:tc>
          <w:tcPr>
            <w:tcW w:w="1806" w:type="pct"/>
          </w:tcPr>
          <w:p w14:paraId="38F25BFE" w14:textId="670DFDBC" w:rsidR="00DB129A" w:rsidRDefault="00DB129A" w:rsidP="005811A3">
            <w:pPr>
              <w:pStyle w:val="Tabletext"/>
              <w:rPr>
                <w:i/>
              </w:rPr>
            </w:pPr>
            <w:r>
              <w:rPr>
                <w:i/>
              </w:rPr>
              <w:t>Leptospermum scoparium</w:t>
            </w:r>
          </w:p>
        </w:tc>
        <w:tc>
          <w:tcPr>
            <w:tcW w:w="1885" w:type="pct"/>
          </w:tcPr>
          <w:p w14:paraId="44C00327" w14:textId="74454493" w:rsidR="00DB129A" w:rsidRDefault="00DB129A" w:rsidP="005811A3">
            <w:pPr>
              <w:pStyle w:val="Tabletext"/>
            </w:pPr>
            <w:r>
              <w:t>Common teatreee</w:t>
            </w:r>
          </w:p>
        </w:tc>
        <w:tc>
          <w:tcPr>
            <w:tcW w:w="551" w:type="pct"/>
          </w:tcPr>
          <w:p w14:paraId="1545CDE1" w14:textId="77777777" w:rsidR="00DB129A" w:rsidRDefault="00DB129A" w:rsidP="005811A3">
            <w:pPr>
              <w:pStyle w:val="Tabletext"/>
            </w:pPr>
          </w:p>
        </w:tc>
        <w:tc>
          <w:tcPr>
            <w:tcW w:w="758" w:type="pct"/>
          </w:tcPr>
          <w:p w14:paraId="31F7FAFE" w14:textId="77777777" w:rsidR="00DB129A" w:rsidRDefault="00DB129A" w:rsidP="005811A3">
            <w:pPr>
              <w:pStyle w:val="Tabletext"/>
            </w:pPr>
          </w:p>
        </w:tc>
      </w:tr>
      <w:tr w:rsidR="00DB129A" w14:paraId="396E64BF" w14:textId="77777777" w:rsidTr="00DB129A">
        <w:tc>
          <w:tcPr>
            <w:tcW w:w="1806" w:type="pct"/>
          </w:tcPr>
          <w:p w14:paraId="58A9F2DF" w14:textId="77777777" w:rsidR="00DB129A" w:rsidRPr="008C3D55" w:rsidRDefault="00DB129A" w:rsidP="001F2039">
            <w:pPr>
              <w:pStyle w:val="Tabletext"/>
              <w:rPr>
                <w:i/>
              </w:rPr>
            </w:pPr>
            <w:r>
              <w:rPr>
                <w:i/>
              </w:rPr>
              <w:t>Lomatia tinctoria</w:t>
            </w:r>
          </w:p>
        </w:tc>
        <w:tc>
          <w:tcPr>
            <w:tcW w:w="1885" w:type="pct"/>
          </w:tcPr>
          <w:p w14:paraId="0AD74A34" w14:textId="77777777" w:rsidR="00DB129A" w:rsidRDefault="00DB129A" w:rsidP="001F2039">
            <w:pPr>
              <w:pStyle w:val="Tabletext"/>
            </w:pPr>
            <w:r>
              <w:t>Guitarplant</w:t>
            </w:r>
          </w:p>
        </w:tc>
        <w:tc>
          <w:tcPr>
            <w:tcW w:w="551" w:type="pct"/>
          </w:tcPr>
          <w:p w14:paraId="004663AB" w14:textId="77777777" w:rsidR="00DB129A" w:rsidRDefault="00DB129A" w:rsidP="001F2039">
            <w:pPr>
              <w:pStyle w:val="Tabletext"/>
            </w:pPr>
          </w:p>
        </w:tc>
        <w:tc>
          <w:tcPr>
            <w:tcW w:w="758" w:type="pct"/>
          </w:tcPr>
          <w:p w14:paraId="276A4222" w14:textId="77777777" w:rsidR="00DB129A" w:rsidRDefault="00DB129A" w:rsidP="001F2039">
            <w:pPr>
              <w:pStyle w:val="Tabletext"/>
            </w:pPr>
          </w:p>
        </w:tc>
      </w:tr>
      <w:tr w:rsidR="00DB129A" w14:paraId="6DD33D95" w14:textId="77777777" w:rsidTr="00DB129A">
        <w:tc>
          <w:tcPr>
            <w:tcW w:w="1806" w:type="pct"/>
          </w:tcPr>
          <w:p w14:paraId="3E21DA94" w14:textId="3FD34E81" w:rsidR="00DB129A" w:rsidRDefault="00DB129A" w:rsidP="00DB129A">
            <w:pPr>
              <w:pStyle w:val="Tabletext"/>
              <w:rPr>
                <w:i/>
              </w:rPr>
            </w:pPr>
            <w:r>
              <w:rPr>
                <w:i/>
              </w:rPr>
              <w:t>Melaleuca ericifolia</w:t>
            </w:r>
          </w:p>
        </w:tc>
        <w:tc>
          <w:tcPr>
            <w:tcW w:w="1885" w:type="pct"/>
          </w:tcPr>
          <w:p w14:paraId="33CB3D21" w14:textId="0E55DC79" w:rsidR="00DB129A" w:rsidRDefault="00DB129A" w:rsidP="00DB129A">
            <w:pPr>
              <w:pStyle w:val="Tabletext"/>
            </w:pPr>
            <w:r>
              <w:t>Coast paperbark</w:t>
            </w:r>
          </w:p>
        </w:tc>
        <w:tc>
          <w:tcPr>
            <w:tcW w:w="551" w:type="pct"/>
          </w:tcPr>
          <w:p w14:paraId="16F4DAE8" w14:textId="77777777" w:rsidR="00DB129A" w:rsidRDefault="00DB129A" w:rsidP="005811A3">
            <w:pPr>
              <w:pStyle w:val="Tabletext"/>
            </w:pPr>
          </w:p>
        </w:tc>
        <w:tc>
          <w:tcPr>
            <w:tcW w:w="758" w:type="pct"/>
          </w:tcPr>
          <w:p w14:paraId="4A7EA76F" w14:textId="77777777" w:rsidR="00DB129A" w:rsidRDefault="00DB129A" w:rsidP="005811A3">
            <w:pPr>
              <w:pStyle w:val="Tabletext"/>
            </w:pPr>
          </w:p>
        </w:tc>
      </w:tr>
      <w:tr w:rsidR="00DB129A" w14:paraId="7FF66C2F" w14:textId="77777777" w:rsidTr="00DB129A">
        <w:tc>
          <w:tcPr>
            <w:tcW w:w="1806" w:type="pct"/>
          </w:tcPr>
          <w:p w14:paraId="361D1994" w14:textId="31F8C9CF" w:rsidR="00DB129A" w:rsidRDefault="00DB129A" w:rsidP="005811A3">
            <w:pPr>
              <w:pStyle w:val="Tabletext"/>
              <w:rPr>
                <w:i/>
              </w:rPr>
            </w:pPr>
            <w:r>
              <w:rPr>
                <w:i/>
              </w:rPr>
              <w:t>Melaleuca squarrosa</w:t>
            </w:r>
          </w:p>
        </w:tc>
        <w:tc>
          <w:tcPr>
            <w:tcW w:w="1885" w:type="pct"/>
          </w:tcPr>
          <w:p w14:paraId="156B2380" w14:textId="06D5DB8E" w:rsidR="00DB129A" w:rsidRDefault="00DB129A" w:rsidP="00DB129A">
            <w:pPr>
              <w:pStyle w:val="Tabletext"/>
            </w:pPr>
            <w:r>
              <w:t>Scented paperbark</w:t>
            </w:r>
          </w:p>
        </w:tc>
        <w:tc>
          <w:tcPr>
            <w:tcW w:w="551" w:type="pct"/>
          </w:tcPr>
          <w:p w14:paraId="4A3DAC15" w14:textId="77777777" w:rsidR="00DB129A" w:rsidRDefault="00DB129A" w:rsidP="005811A3">
            <w:pPr>
              <w:pStyle w:val="Tabletext"/>
            </w:pPr>
          </w:p>
        </w:tc>
        <w:tc>
          <w:tcPr>
            <w:tcW w:w="758" w:type="pct"/>
          </w:tcPr>
          <w:p w14:paraId="3AFF7F84" w14:textId="77777777" w:rsidR="00DB129A" w:rsidRDefault="00DB129A" w:rsidP="005811A3">
            <w:pPr>
              <w:pStyle w:val="Tabletext"/>
            </w:pPr>
          </w:p>
        </w:tc>
      </w:tr>
      <w:tr w:rsidR="00DB129A" w14:paraId="4D8EC0E1" w14:textId="77777777" w:rsidTr="00DB129A">
        <w:tc>
          <w:tcPr>
            <w:tcW w:w="1806" w:type="pct"/>
          </w:tcPr>
          <w:p w14:paraId="5BEE6640" w14:textId="77777777" w:rsidR="00DB129A" w:rsidRDefault="00DB129A" w:rsidP="005811A3">
            <w:pPr>
              <w:pStyle w:val="Tabletext"/>
              <w:rPr>
                <w:i/>
              </w:rPr>
            </w:pPr>
            <w:r>
              <w:rPr>
                <w:i/>
              </w:rPr>
              <w:t>Monotoca glauca</w:t>
            </w:r>
          </w:p>
        </w:tc>
        <w:tc>
          <w:tcPr>
            <w:tcW w:w="1885" w:type="pct"/>
          </w:tcPr>
          <w:p w14:paraId="63D59F75" w14:textId="77777777" w:rsidR="00DB129A" w:rsidRDefault="00DB129A" w:rsidP="005811A3">
            <w:pPr>
              <w:pStyle w:val="Tabletext"/>
            </w:pPr>
            <w:r>
              <w:t>Goldey wood</w:t>
            </w:r>
          </w:p>
        </w:tc>
        <w:tc>
          <w:tcPr>
            <w:tcW w:w="551" w:type="pct"/>
          </w:tcPr>
          <w:p w14:paraId="15532F29" w14:textId="77777777" w:rsidR="00DB129A" w:rsidRDefault="00DB129A" w:rsidP="005811A3">
            <w:pPr>
              <w:pStyle w:val="Tabletext"/>
            </w:pPr>
          </w:p>
        </w:tc>
        <w:tc>
          <w:tcPr>
            <w:tcW w:w="758" w:type="pct"/>
          </w:tcPr>
          <w:p w14:paraId="334501B3" w14:textId="77777777" w:rsidR="00DB129A" w:rsidRDefault="00DB129A" w:rsidP="005811A3">
            <w:pPr>
              <w:pStyle w:val="Tabletext"/>
            </w:pPr>
          </w:p>
        </w:tc>
      </w:tr>
      <w:tr w:rsidR="00DB129A" w14:paraId="416AC047" w14:textId="77777777" w:rsidTr="00DB129A">
        <w:tc>
          <w:tcPr>
            <w:tcW w:w="1806" w:type="pct"/>
          </w:tcPr>
          <w:p w14:paraId="788A68F4" w14:textId="77777777" w:rsidR="00DB129A" w:rsidRDefault="00DB129A" w:rsidP="005811A3">
            <w:pPr>
              <w:pStyle w:val="Tabletext"/>
              <w:rPr>
                <w:i/>
              </w:rPr>
            </w:pPr>
            <w:r>
              <w:rPr>
                <w:i/>
              </w:rPr>
              <w:t>Nothofagus cunninghamii</w:t>
            </w:r>
          </w:p>
        </w:tc>
        <w:tc>
          <w:tcPr>
            <w:tcW w:w="1885" w:type="pct"/>
          </w:tcPr>
          <w:p w14:paraId="70E94416" w14:textId="77777777" w:rsidR="00DB129A" w:rsidRDefault="00DB129A" w:rsidP="005811A3">
            <w:pPr>
              <w:pStyle w:val="Tabletext"/>
            </w:pPr>
            <w:r>
              <w:t>Myrtle beech</w:t>
            </w:r>
          </w:p>
        </w:tc>
        <w:tc>
          <w:tcPr>
            <w:tcW w:w="551" w:type="pct"/>
          </w:tcPr>
          <w:p w14:paraId="3FE5EC1D" w14:textId="77777777" w:rsidR="00DB129A" w:rsidRDefault="00DB129A" w:rsidP="005811A3">
            <w:pPr>
              <w:pStyle w:val="Tabletext"/>
            </w:pPr>
          </w:p>
        </w:tc>
        <w:tc>
          <w:tcPr>
            <w:tcW w:w="758" w:type="pct"/>
          </w:tcPr>
          <w:p w14:paraId="729FF291" w14:textId="77777777" w:rsidR="00DB129A" w:rsidRDefault="00DB129A" w:rsidP="005811A3">
            <w:pPr>
              <w:pStyle w:val="Tabletext"/>
            </w:pPr>
          </w:p>
        </w:tc>
      </w:tr>
      <w:tr w:rsidR="00DB129A" w14:paraId="7DE2957C" w14:textId="77777777" w:rsidTr="00DB129A">
        <w:tc>
          <w:tcPr>
            <w:tcW w:w="1806" w:type="pct"/>
          </w:tcPr>
          <w:p w14:paraId="510D8DFA" w14:textId="77777777" w:rsidR="00DB129A" w:rsidRDefault="00DB129A" w:rsidP="00DF243D">
            <w:pPr>
              <w:pStyle w:val="Tabletext"/>
              <w:rPr>
                <w:i/>
              </w:rPr>
            </w:pPr>
            <w:r>
              <w:rPr>
                <w:i/>
              </w:rPr>
              <w:t>Olearia argophylla</w:t>
            </w:r>
          </w:p>
        </w:tc>
        <w:tc>
          <w:tcPr>
            <w:tcW w:w="1885" w:type="pct"/>
          </w:tcPr>
          <w:p w14:paraId="100CA1CA" w14:textId="77777777" w:rsidR="00DB129A" w:rsidRDefault="00DB129A" w:rsidP="00DF243D">
            <w:pPr>
              <w:pStyle w:val="Tabletext"/>
            </w:pPr>
            <w:r>
              <w:t>Musk daisybush</w:t>
            </w:r>
          </w:p>
        </w:tc>
        <w:tc>
          <w:tcPr>
            <w:tcW w:w="551" w:type="pct"/>
          </w:tcPr>
          <w:p w14:paraId="4FA7806C" w14:textId="77777777" w:rsidR="00DB129A" w:rsidRDefault="00DB129A" w:rsidP="00DF243D">
            <w:pPr>
              <w:pStyle w:val="Tabletext"/>
            </w:pPr>
          </w:p>
        </w:tc>
        <w:tc>
          <w:tcPr>
            <w:tcW w:w="758" w:type="pct"/>
          </w:tcPr>
          <w:p w14:paraId="67F6985B" w14:textId="77777777" w:rsidR="00DB129A" w:rsidRDefault="00DB129A" w:rsidP="00DF243D">
            <w:pPr>
              <w:pStyle w:val="Tabletext"/>
            </w:pPr>
          </w:p>
        </w:tc>
      </w:tr>
      <w:tr w:rsidR="00DB129A" w14:paraId="432FF87F" w14:textId="77777777" w:rsidTr="00DB129A">
        <w:tc>
          <w:tcPr>
            <w:tcW w:w="1806" w:type="pct"/>
          </w:tcPr>
          <w:p w14:paraId="07D81C92" w14:textId="77777777" w:rsidR="00DB129A" w:rsidRPr="008C3D55" w:rsidRDefault="00DB129A" w:rsidP="001F2039">
            <w:pPr>
              <w:pStyle w:val="Tabletext"/>
              <w:rPr>
                <w:i/>
              </w:rPr>
            </w:pPr>
            <w:r>
              <w:rPr>
                <w:i/>
              </w:rPr>
              <w:t>Olearia lirata</w:t>
            </w:r>
          </w:p>
        </w:tc>
        <w:tc>
          <w:tcPr>
            <w:tcW w:w="1885" w:type="pct"/>
          </w:tcPr>
          <w:p w14:paraId="08CCC8D6" w14:textId="77777777" w:rsidR="00DB129A" w:rsidRDefault="00DB129A" w:rsidP="001F2039">
            <w:pPr>
              <w:pStyle w:val="Tabletext"/>
            </w:pPr>
            <w:r>
              <w:t>Forest daisybush</w:t>
            </w:r>
          </w:p>
        </w:tc>
        <w:tc>
          <w:tcPr>
            <w:tcW w:w="551" w:type="pct"/>
          </w:tcPr>
          <w:p w14:paraId="33416B45" w14:textId="77777777" w:rsidR="00DB129A" w:rsidRDefault="00DB129A" w:rsidP="001F2039">
            <w:pPr>
              <w:pStyle w:val="Tabletext"/>
            </w:pPr>
          </w:p>
        </w:tc>
        <w:tc>
          <w:tcPr>
            <w:tcW w:w="758" w:type="pct"/>
          </w:tcPr>
          <w:p w14:paraId="6FBD1260" w14:textId="77777777" w:rsidR="00DB129A" w:rsidRDefault="00DB129A" w:rsidP="001F2039">
            <w:pPr>
              <w:pStyle w:val="Tabletext"/>
            </w:pPr>
          </w:p>
        </w:tc>
      </w:tr>
      <w:tr w:rsidR="00DB129A" w14:paraId="748C1224" w14:textId="77777777" w:rsidTr="00DB129A">
        <w:tc>
          <w:tcPr>
            <w:tcW w:w="1806" w:type="pct"/>
          </w:tcPr>
          <w:p w14:paraId="1E042D24" w14:textId="77777777" w:rsidR="00DB129A" w:rsidRDefault="00DB129A" w:rsidP="001F2039">
            <w:pPr>
              <w:pStyle w:val="Tabletext"/>
              <w:rPr>
                <w:i/>
              </w:rPr>
            </w:pPr>
            <w:r>
              <w:rPr>
                <w:i/>
              </w:rPr>
              <w:t>Pittosporum bicolor</w:t>
            </w:r>
          </w:p>
        </w:tc>
        <w:tc>
          <w:tcPr>
            <w:tcW w:w="1885" w:type="pct"/>
          </w:tcPr>
          <w:p w14:paraId="21446F02" w14:textId="77777777" w:rsidR="00DB129A" w:rsidRDefault="00DB129A" w:rsidP="001F2039">
            <w:pPr>
              <w:pStyle w:val="Tabletext"/>
            </w:pPr>
            <w:r>
              <w:t>Cheesewood</w:t>
            </w:r>
          </w:p>
        </w:tc>
        <w:tc>
          <w:tcPr>
            <w:tcW w:w="551" w:type="pct"/>
          </w:tcPr>
          <w:p w14:paraId="59637628" w14:textId="77777777" w:rsidR="00DB129A" w:rsidRDefault="00DB129A" w:rsidP="001F2039">
            <w:pPr>
              <w:pStyle w:val="Tabletext"/>
            </w:pPr>
          </w:p>
        </w:tc>
        <w:tc>
          <w:tcPr>
            <w:tcW w:w="758" w:type="pct"/>
          </w:tcPr>
          <w:p w14:paraId="57B8B73B" w14:textId="77777777" w:rsidR="00DB129A" w:rsidRDefault="00DB129A" w:rsidP="001F2039">
            <w:pPr>
              <w:pStyle w:val="Tabletext"/>
            </w:pPr>
          </w:p>
        </w:tc>
      </w:tr>
      <w:tr w:rsidR="00DB129A" w14:paraId="2F5923A1" w14:textId="77777777" w:rsidTr="00DB129A">
        <w:tc>
          <w:tcPr>
            <w:tcW w:w="1806" w:type="pct"/>
          </w:tcPr>
          <w:p w14:paraId="034EDD31" w14:textId="77777777" w:rsidR="00DB129A" w:rsidRPr="00373983" w:rsidRDefault="00DB129A" w:rsidP="001F2039">
            <w:pPr>
              <w:pStyle w:val="Tabletext"/>
              <w:rPr>
                <w:i/>
              </w:rPr>
            </w:pPr>
            <w:r w:rsidRPr="00373983">
              <w:rPr>
                <w:i/>
              </w:rPr>
              <w:t>Pomaderris apetala</w:t>
            </w:r>
          </w:p>
        </w:tc>
        <w:tc>
          <w:tcPr>
            <w:tcW w:w="1885" w:type="pct"/>
          </w:tcPr>
          <w:p w14:paraId="038843CC" w14:textId="77777777" w:rsidR="00DB129A" w:rsidRPr="00373983" w:rsidRDefault="00DB129A" w:rsidP="001F2039">
            <w:pPr>
              <w:pStyle w:val="Tabletext"/>
            </w:pPr>
            <w:r w:rsidRPr="00373983">
              <w:t>Common dogwood</w:t>
            </w:r>
          </w:p>
        </w:tc>
        <w:tc>
          <w:tcPr>
            <w:tcW w:w="551" w:type="pct"/>
          </w:tcPr>
          <w:p w14:paraId="1D9D95EC" w14:textId="77777777" w:rsidR="00DB129A" w:rsidRPr="00373983" w:rsidRDefault="00DB129A" w:rsidP="001F2039">
            <w:pPr>
              <w:pStyle w:val="Tabletext"/>
            </w:pPr>
          </w:p>
        </w:tc>
        <w:tc>
          <w:tcPr>
            <w:tcW w:w="758" w:type="pct"/>
          </w:tcPr>
          <w:p w14:paraId="418D3AAB" w14:textId="77777777" w:rsidR="00DB129A" w:rsidRPr="00373983" w:rsidRDefault="00DB129A" w:rsidP="001F2039">
            <w:pPr>
              <w:pStyle w:val="Tabletext"/>
            </w:pPr>
          </w:p>
        </w:tc>
      </w:tr>
      <w:tr w:rsidR="00DB129A" w14:paraId="75CF5701" w14:textId="77777777" w:rsidTr="00DB129A">
        <w:tc>
          <w:tcPr>
            <w:tcW w:w="1806" w:type="pct"/>
          </w:tcPr>
          <w:p w14:paraId="7EBF6DA3" w14:textId="77777777" w:rsidR="00DB129A" w:rsidRPr="00373983" w:rsidRDefault="00DB129A" w:rsidP="007D5DD4">
            <w:pPr>
              <w:pStyle w:val="Tabletext"/>
              <w:rPr>
                <w:i/>
              </w:rPr>
            </w:pPr>
            <w:r w:rsidRPr="00373983">
              <w:rPr>
                <w:i/>
              </w:rPr>
              <w:t>Pultenaea juniperina</w:t>
            </w:r>
          </w:p>
        </w:tc>
        <w:tc>
          <w:tcPr>
            <w:tcW w:w="1885" w:type="pct"/>
          </w:tcPr>
          <w:p w14:paraId="10DDF2B7" w14:textId="77777777" w:rsidR="00DB129A" w:rsidRPr="00373983" w:rsidRDefault="00DB129A" w:rsidP="007D5DD4">
            <w:pPr>
              <w:pStyle w:val="Tabletext"/>
            </w:pPr>
            <w:r w:rsidRPr="00373983">
              <w:t>Prickly beauty</w:t>
            </w:r>
          </w:p>
        </w:tc>
        <w:tc>
          <w:tcPr>
            <w:tcW w:w="551" w:type="pct"/>
          </w:tcPr>
          <w:p w14:paraId="2DB50A8F" w14:textId="77777777" w:rsidR="00DB129A" w:rsidRPr="00373983" w:rsidRDefault="00DB129A" w:rsidP="007D5DD4">
            <w:pPr>
              <w:pStyle w:val="Tabletext"/>
            </w:pPr>
          </w:p>
        </w:tc>
        <w:tc>
          <w:tcPr>
            <w:tcW w:w="758" w:type="pct"/>
          </w:tcPr>
          <w:p w14:paraId="1562CCA5" w14:textId="77777777" w:rsidR="00DB129A" w:rsidRPr="00373983" w:rsidRDefault="00DB129A" w:rsidP="007D5DD4">
            <w:pPr>
              <w:pStyle w:val="Tabletext"/>
            </w:pPr>
          </w:p>
        </w:tc>
      </w:tr>
      <w:tr w:rsidR="00DB129A" w14:paraId="41DE2A6E" w14:textId="77777777" w:rsidTr="00DB129A">
        <w:tc>
          <w:tcPr>
            <w:tcW w:w="1806" w:type="pct"/>
          </w:tcPr>
          <w:p w14:paraId="23E6ECE2" w14:textId="77777777" w:rsidR="00DB129A" w:rsidRDefault="00DB129A" w:rsidP="00A20F92">
            <w:pPr>
              <w:pStyle w:val="Tabletext"/>
              <w:rPr>
                <w:i/>
              </w:rPr>
            </w:pPr>
            <w:r>
              <w:rPr>
                <w:i/>
              </w:rPr>
              <w:t>Sambucus gaudichaudiana</w:t>
            </w:r>
          </w:p>
        </w:tc>
        <w:tc>
          <w:tcPr>
            <w:tcW w:w="1885" w:type="pct"/>
          </w:tcPr>
          <w:p w14:paraId="6D1A6B3F" w14:textId="77777777" w:rsidR="00DB129A" w:rsidRDefault="00DB129A" w:rsidP="00A20F92">
            <w:pPr>
              <w:pStyle w:val="Tabletext"/>
            </w:pPr>
            <w:r>
              <w:t>white elderberry</w:t>
            </w:r>
          </w:p>
        </w:tc>
        <w:tc>
          <w:tcPr>
            <w:tcW w:w="551" w:type="pct"/>
          </w:tcPr>
          <w:p w14:paraId="2991453A" w14:textId="77777777" w:rsidR="00DB129A" w:rsidRDefault="00DB129A" w:rsidP="00A20F92">
            <w:pPr>
              <w:pStyle w:val="Tabletext"/>
            </w:pPr>
          </w:p>
        </w:tc>
        <w:tc>
          <w:tcPr>
            <w:tcW w:w="758" w:type="pct"/>
          </w:tcPr>
          <w:p w14:paraId="451986EE" w14:textId="77777777" w:rsidR="00DB129A" w:rsidRDefault="00DB129A" w:rsidP="00A20F92">
            <w:pPr>
              <w:pStyle w:val="Tabletext"/>
            </w:pPr>
          </w:p>
        </w:tc>
      </w:tr>
      <w:tr w:rsidR="00DB129A" w14:paraId="7DDD2919" w14:textId="77777777" w:rsidTr="00DB129A">
        <w:tc>
          <w:tcPr>
            <w:tcW w:w="1806" w:type="pct"/>
          </w:tcPr>
          <w:p w14:paraId="711A440A" w14:textId="77777777" w:rsidR="00DB129A" w:rsidRPr="00D61DF8" w:rsidRDefault="00DB129A" w:rsidP="007D5DD4">
            <w:pPr>
              <w:pStyle w:val="Tabletext"/>
              <w:rPr>
                <w:i/>
              </w:rPr>
            </w:pPr>
            <w:r w:rsidRPr="00D61DF8">
              <w:rPr>
                <w:i/>
              </w:rPr>
              <w:t>Zieria arborescens</w:t>
            </w:r>
          </w:p>
        </w:tc>
        <w:tc>
          <w:tcPr>
            <w:tcW w:w="1885" w:type="pct"/>
          </w:tcPr>
          <w:p w14:paraId="17B1278D" w14:textId="77777777" w:rsidR="00DB129A" w:rsidRPr="00D61DF8" w:rsidRDefault="00DB129A" w:rsidP="007D5DD4">
            <w:pPr>
              <w:pStyle w:val="Tabletext"/>
            </w:pPr>
            <w:r w:rsidRPr="00D61DF8">
              <w:t>stinkwood</w:t>
            </w:r>
          </w:p>
        </w:tc>
        <w:tc>
          <w:tcPr>
            <w:tcW w:w="551" w:type="pct"/>
          </w:tcPr>
          <w:p w14:paraId="0246FFB4" w14:textId="77777777" w:rsidR="00DB129A" w:rsidRPr="00D61DF8" w:rsidRDefault="00DB129A" w:rsidP="007D5DD4">
            <w:pPr>
              <w:pStyle w:val="Tabletext"/>
            </w:pPr>
          </w:p>
        </w:tc>
        <w:tc>
          <w:tcPr>
            <w:tcW w:w="758" w:type="pct"/>
          </w:tcPr>
          <w:p w14:paraId="78CC47B2" w14:textId="77777777" w:rsidR="00DB129A" w:rsidRPr="00D61DF8" w:rsidRDefault="00DB129A" w:rsidP="007D5DD4">
            <w:pPr>
              <w:pStyle w:val="Tabletext"/>
            </w:pPr>
          </w:p>
        </w:tc>
      </w:tr>
      <w:tr w:rsidR="00DB129A" w14:paraId="74733FD1" w14:textId="77777777" w:rsidTr="00016AE1">
        <w:tc>
          <w:tcPr>
            <w:tcW w:w="5000" w:type="pct"/>
            <w:gridSpan w:val="4"/>
            <w:shd w:val="clear" w:color="auto" w:fill="D9D9D9" w:themeFill="background1" w:themeFillShade="D9"/>
          </w:tcPr>
          <w:p w14:paraId="64C5FF82" w14:textId="77777777" w:rsidR="00DB129A" w:rsidRPr="003D2C79" w:rsidRDefault="00DB129A" w:rsidP="00DB129A">
            <w:pPr>
              <w:pStyle w:val="Tabletext"/>
              <w:keepNext/>
            </w:pPr>
            <w:r>
              <w:rPr>
                <w:b/>
              </w:rPr>
              <w:t>Fern species</w:t>
            </w:r>
          </w:p>
        </w:tc>
      </w:tr>
      <w:tr w:rsidR="00DB129A" w14:paraId="2E20A33B" w14:textId="77777777" w:rsidTr="00DB129A">
        <w:tc>
          <w:tcPr>
            <w:tcW w:w="1806" w:type="pct"/>
          </w:tcPr>
          <w:p w14:paraId="04643BCD" w14:textId="305977CF" w:rsidR="00DB129A" w:rsidRDefault="00DB129A" w:rsidP="005811A3">
            <w:pPr>
              <w:pStyle w:val="Tabletext"/>
              <w:rPr>
                <w:i/>
              </w:rPr>
            </w:pPr>
            <w:r>
              <w:rPr>
                <w:i/>
              </w:rPr>
              <w:t>Asplenium appendiculatum subsp appendiculatum</w:t>
            </w:r>
          </w:p>
        </w:tc>
        <w:tc>
          <w:tcPr>
            <w:tcW w:w="1885" w:type="pct"/>
          </w:tcPr>
          <w:p w14:paraId="1456D927" w14:textId="5855AC61" w:rsidR="00DB129A" w:rsidRDefault="00DB129A" w:rsidP="005811A3">
            <w:pPr>
              <w:pStyle w:val="Tabletext"/>
            </w:pPr>
            <w:r>
              <w:t>Ground spleenwort</w:t>
            </w:r>
          </w:p>
        </w:tc>
        <w:tc>
          <w:tcPr>
            <w:tcW w:w="551" w:type="pct"/>
          </w:tcPr>
          <w:p w14:paraId="62D5710D" w14:textId="77777777" w:rsidR="00DB129A" w:rsidRDefault="00DB129A" w:rsidP="005811A3">
            <w:pPr>
              <w:pStyle w:val="Tabletext"/>
            </w:pPr>
          </w:p>
        </w:tc>
        <w:tc>
          <w:tcPr>
            <w:tcW w:w="758" w:type="pct"/>
          </w:tcPr>
          <w:p w14:paraId="315EEF4B" w14:textId="77777777" w:rsidR="00DB129A" w:rsidRDefault="00DB129A" w:rsidP="005811A3">
            <w:pPr>
              <w:pStyle w:val="Tabletext"/>
            </w:pPr>
          </w:p>
        </w:tc>
      </w:tr>
      <w:tr w:rsidR="00DB129A" w14:paraId="6A46BCE8" w14:textId="77777777" w:rsidTr="00DB129A">
        <w:tc>
          <w:tcPr>
            <w:tcW w:w="1806" w:type="pct"/>
          </w:tcPr>
          <w:p w14:paraId="18FEAF8B" w14:textId="64FFC14A" w:rsidR="00DB129A" w:rsidRDefault="00DB129A" w:rsidP="00DF243D">
            <w:pPr>
              <w:pStyle w:val="Tabletext"/>
              <w:rPr>
                <w:i/>
              </w:rPr>
            </w:pPr>
            <w:r>
              <w:rPr>
                <w:i/>
              </w:rPr>
              <w:t>Asplenium bulbiferum</w:t>
            </w:r>
          </w:p>
        </w:tc>
        <w:tc>
          <w:tcPr>
            <w:tcW w:w="1885" w:type="pct"/>
          </w:tcPr>
          <w:p w14:paraId="7DA12755" w14:textId="6CDEE457" w:rsidR="00DB129A" w:rsidRDefault="00DB129A" w:rsidP="00DF243D">
            <w:pPr>
              <w:pStyle w:val="Tabletext"/>
            </w:pPr>
            <w:r>
              <w:t>Mother spleenwort</w:t>
            </w:r>
          </w:p>
        </w:tc>
        <w:tc>
          <w:tcPr>
            <w:tcW w:w="551" w:type="pct"/>
          </w:tcPr>
          <w:p w14:paraId="2A6EDECB" w14:textId="77777777" w:rsidR="00DB129A" w:rsidRDefault="00DB129A" w:rsidP="00DF243D">
            <w:pPr>
              <w:pStyle w:val="Tabletext"/>
            </w:pPr>
          </w:p>
        </w:tc>
        <w:tc>
          <w:tcPr>
            <w:tcW w:w="758" w:type="pct"/>
          </w:tcPr>
          <w:p w14:paraId="7A65CF69" w14:textId="77777777" w:rsidR="00DB129A" w:rsidRDefault="00DB129A" w:rsidP="00DF243D">
            <w:pPr>
              <w:pStyle w:val="Tabletext"/>
            </w:pPr>
          </w:p>
        </w:tc>
      </w:tr>
      <w:tr w:rsidR="00DB129A" w14:paraId="0B63896C" w14:textId="77777777" w:rsidTr="00DB129A">
        <w:tc>
          <w:tcPr>
            <w:tcW w:w="1806" w:type="pct"/>
          </w:tcPr>
          <w:p w14:paraId="746DB0F1" w14:textId="74563700" w:rsidR="00DB129A" w:rsidRDefault="00DB129A" w:rsidP="00DF243D">
            <w:pPr>
              <w:pStyle w:val="Tabletext"/>
              <w:rPr>
                <w:i/>
              </w:rPr>
            </w:pPr>
            <w:r>
              <w:rPr>
                <w:i/>
              </w:rPr>
              <w:lastRenderedPageBreak/>
              <w:t>Asplenium flabellifolium</w:t>
            </w:r>
          </w:p>
        </w:tc>
        <w:tc>
          <w:tcPr>
            <w:tcW w:w="1885" w:type="pct"/>
          </w:tcPr>
          <w:p w14:paraId="2F2A00D4" w14:textId="6A6B3704" w:rsidR="00DB129A" w:rsidRDefault="00DB129A" w:rsidP="00DF243D">
            <w:pPr>
              <w:pStyle w:val="Tabletext"/>
            </w:pPr>
            <w:r>
              <w:t>Butterfly fern; necklace fern</w:t>
            </w:r>
          </w:p>
        </w:tc>
        <w:tc>
          <w:tcPr>
            <w:tcW w:w="551" w:type="pct"/>
          </w:tcPr>
          <w:p w14:paraId="796E9D34" w14:textId="77777777" w:rsidR="00DB129A" w:rsidRDefault="00DB129A" w:rsidP="00DF243D">
            <w:pPr>
              <w:pStyle w:val="Tabletext"/>
            </w:pPr>
          </w:p>
        </w:tc>
        <w:tc>
          <w:tcPr>
            <w:tcW w:w="758" w:type="pct"/>
          </w:tcPr>
          <w:p w14:paraId="2391CC14" w14:textId="77777777" w:rsidR="00DB129A" w:rsidRDefault="00DB129A" w:rsidP="00DF243D">
            <w:pPr>
              <w:pStyle w:val="Tabletext"/>
            </w:pPr>
          </w:p>
        </w:tc>
      </w:tr>
      <w:tr w:rsidR="0064667C" w14:paraId="6C6CDA3D" w14:textId="77777777" w:rsidTr="0064667C">
        <w:tc>
          <w:tcPr>
            <w:tcW w:w="1806" w:type="pct"/>
          </w:tcPr>
          <w:p w14:paraId="1E76A357" w14:textId="77777777" w:rsidR="0064667C" w:rsidRPr="00373983" w:rsidRDefault="0064667C" w:rsidP="0064667C">
            <w:pPr>
              <w:pStyle w:val="Tabletext"/>
              <w:rPr>
                <w:i/>
              </w:rPr>
            </w:pPr>
            <w:r w:rsidRPr="00373983">
              <w:rPr>
                <w:i/>
              </w:rPr>
              <w:t>Blechnum cartilagineum</w:t>
            </w:r>
          </w:p>
        </w:tc>
        <w:tc>
          <w:tcPr>
            <w:tcW w:w="1885" w:type="pct"/>
          </w:tcPr>
          <w:p w14:paraId="4864F4E8" w14:textId="77777777" w:rsidR="0064667C" w:rsidRPr="00373983" w:rsidRDefault="0064667C" w:rsidP="0064667C">
            <w:pPr>
              <w:pStyle w:val="Tabletext"/>
            </w:pPr>
            <w:r w:rsidRPr="00373983">
              <w:t>Gristle fern</w:t>
            </w:r>
          </w:p>
        </w:tc>
        <w:tc>
          <w:tcPr>
            <w:tcW w:w="551" w:type="pct"/>
          </w:tcPr>
          <w:p w14:paraId="641439E0" w14:textId="77777777" w:rsidR="0064667C" w:rsidRPr="00373983" w:rsidRDefault="0064667C" w:rsidP="0064667C">
            <w:pPr>
              <w:pStyle w:val="Tabletext"/>
            </w:pPr>
          </w:p>
        </w:tc>
        <w:tc>
          <w:tcPr>
            <w:tcW w:w="758" w:type="pct"/>
          </w:tcPr>
          <w:p w14:paraId="76FD3F28" w14:textId="5DF64736" w:rsidR="0064667C" w:rsidRPr="00373983" w:rsidRDefault="0064667C" w:rsidP="0064667C">
            <w:pPr>
              <w:pStyle w:val="Tabletext"/>
            </w:pPr>
            <w:r>
              <w:t>Vulnerable</w:t>
            </w:r>
          </w:p>
        </w:tc>
      </w:tr>
      <w:tr w:rsidR="0064667C" w14:paraId="42AA75A9" w14:textId="77777777" w:rsidTr="0064667C">
        <w:tc>
          <w:tcPr>
            <w:tcW w:w="1806" w:type="pct"/>
          </w:tcPr>
          <w:p w14:paraId="707D3258" w14:textId="77777777" w:rsidR="0064667C" w:rsidRPr="00373983" w:rsidRDefault="0064667C" w:rsidP="0064667C">
            <w:pPr>
              <w:pStyle w:val="Tabletext"/>
              <w:rPr>
                <w:i/>
              </w:rPr>
            </w:pPr>
            <w:r w:rsidRPr="00373983">
              <w:rPr>
                <w:i/>
              </w:rPr>
              <w:t>Blechnum nudum</w:t>
            </w:r>
          </w:p>
        </w:tc>
        <w:tc>
          <w:tcPr>
            <w:tcW w:w="1885" w:type="pct"/>
          </w:tcPr>
          <w:p w14:paraId="0E014771" w14:textId="77777777" w:rsidR="0064667C" w:rsidRPr="00373983" w:rsidRDefault="0064667C" w:rsidP="0064667C">
            <w:pPr>
              <w:pStyle w:val="Tabletext"/>
            </w:pPr>
            <w:r w:rsidRPr="00373983">
              <w:t>Fishbone waterfern</w:t>
            </w:r>
          </w:p>
        </w:tc>
        <w:tc>
          <w:tcPr>
            <w:tcW w:w="551" w:type="pct"/>
          </w:tcPr>
          <w:p w14:paraId="621E7C10" w14:textId="77777777" w:rsidR="0064667C" w:rsidRPr="00373983" w:rsidRDefault="0064667C" w:rsidP="0064667C">
            <w:pPr>
              <w:pStyle w:val="Tabletext"/>
            </w:pPr>
          </w:p>
        </w:tc>
        <w:tc>
          <w:tcPr>
            <w:tcW w:w="758" w:type="pct"/>
          </w:tcPr>
          <w:p w14:paraId="468A4CA0" w14:textId="77777777" w:rsidR="0064667C" w:rsidRPr="00373983" w:rsidRDefault="0064667C" w:rsidP="0064667C">
            <w:pPr>
              <w:pStyle w:val="Tabletext"/>
            </w:pPr>
          </w:p>
        </w:tc>
      </w:tr>
      <w:tr w:rsidR="0064667C" w14:paraId="645F9620" w14:textId="77777777" w:rsidTr="0064667C">
        <w:tc>
          <w:tcPr>
            <w:tcW w:w="1806" w:type="pct"/>
          </w:tcPr>
          <w:p w14:paraId="44437D42" w14:textId="77777777" w:rsidR="0064667C" w:rsidRPr="00373983" w:rsidRDefault="0064667C" w:rsidP="0064667C">
            <w:pPr>
              <w:pStyle w:val="Tabletext"/>
              <w:rPr>
                <w:i/>
              </w:rPr>
            </w:pPr>
            <w:r w:rsidRPr="00373983">
              <w:rPr>
                <w:i/>
              </w:rPr>
              <w:t>Blechnum wattsii</w:t>
            </w:r>
          </w:p>
        </w:tc>
        <w:tc>
          <w:tcPr>
            <w:tcW w:w="1885" w:type="pct"/>
          </w:tcPr>
          <w:p w14:paraId="6C291B33" w14:textId="77777777" w:rsidR="0064667C" w:rsidRPr="00373983" w:rsidRDefault="0064667C" w:rsidP="0064667C">
            <w:pPr>
              <w:pStyle w:val="Tabletext"/>
            </w:pPr>
            <w:r w:rsidRPr="00373983">
              <w:t>hard water fern</w:t>
            </w:r>
          </w:p>
        </w:tc>
        <w:tc>
          <w:tcPr>
            <w:tcW w:w="551" w:type="pct"/>
          </w:tcPr>
          <w:p w14:paraId="000565A6" w14:textId="77777777" w:rsidR="0064667C" w:rsidRPr="00373983" w:rsidRDefault="0064667C" w:rsidP="0064667C">
            <w:pPr>
              <w:pStyle w:val="Tabletext"/>
            </w:pPr>
          </w:p>
        </w:tc>
        <w:tc>
          <w:tcPr>
            <w:tcW w:w="758" w:type="pct"/>
          </w:tcPr>
          <w:p w14:paraId="6A1936FE" w14:textId="77777777" w:rsidR="0064667C" w:rsidRPr="00373983" w:rsidRDefault="0064667C" w:rsidP="0064667C">
            <w:pPr>
              <w:pStyle w:val="Tabletext"/>
            </w:pPr>
          </w:p>
        </w:tc>
      </w:tr>
      <w:tr w:rsidR="0064667C" w14:paraId="443E2784" w14:textId="77777777" w:rsidTr="0064667C">
        <w:tc>
          <w:tcPr>
            <w:tcW w:w="1806" w:type="pct"/>
          </w:tcPr>
          <w:p w14:paraId="23F2B883" w14:textId="77777777" w:rsidR="0064667C" w:rsidRDefault="0064667C" w:rsidP="0064667C">
            <w:pPr>
              <w:pStyle w:val="Tabletext"/>
              <w:rPr>
                <w:i/>
              </w:rPr>
            </w:pPr>
            <w:r>
              <w:rPr>
                <w:i/>
              </w:rPr>
              <w:t>Crepidomanes venosum</w:t>
            </w:r>
          </w:p>
        </w:tc>
        <w:tc>
          <w:tcPr>
            <w:tcW w:w="1885" w:type="pct"/>
          </w:tcPr>
          <w:p w14:paraId="319D45A5" w14:textId="77777777" w:rsidR="0064667C" w:rsidRPr="00202858" w:rsidRDefault="0064667C" w:rsidP="0064667C">
            <w:pPr>
              <w:pStyle w:val="Tabletext"/>
            </w:pPr>
            <w:r w:rsidRPr="00202858">
              <w:t>bristle filmyfern</w:t>
            </w:r>
          </w:p>
        </w:tc>
        <w:tc>
          <w:tcPr>
            <w:tcW w:w="551" w:type="pct"/>
          </w:tcPr>
          <w:p w14:paraId="79858C6D" w14:textId="77777777" w:rsidR="0064667C" w:rsidRDefault="0064667C" w:rsidP="0064667C">
            <w:pPr>
              <w:pStyle w:val="Tabletext"/>
            </w:pPr>
          </w:p>
        </w:tc>
        <w:tc>
          <w:tcPr>
            <w:tcW w:w="758" w:type="pct"/>
          </w:tcPr>
          <w:p w14:paraId="1369285D" w14:textId="77777777" w:rsidR="0064667C" w:rsidRDefault="0064667C" w:rsidP="0064667C">
            <w:pPr>
              <w:pStyle w:val="Tabletext"/>
            </w:pPr>
          </w:p>
        </w:tc>
      </w:tr>
      <w:tr w:rsidR="0064667C" w14:paraId="32B3467F" w14:textId="77777777" w:rsidTr="0064667C">
        <w:tc>
          <w:tcPr>
            <w:tcW w:w="1806" w:type="pct"/>
          </w:tcPr>
          <w:p w14:paraId="3C65395D" w14:textId="77777777" w:rsidR="0064667C" w:rsidRPr="00373983" w:rsidRDefault="0064667C" w:rsidP="0064667C">
            <w:pPr>
              <w:pStyle w:val="Tabletext"/>
              <w:rPr>
                <w:i/>
              </w:rPr>
            </w:pPr>
            <w:r w:rsidRPr="00373983">
              <w:rPr>
                <w:i/>
              </w:rPr>
              <w:t>Cyathea australis</w:t>
            </w:r>
          </w:p>
        </w:tc>
        <w:tc>
          <w:tcPr>
            <w:tcW w:w="1885" w:type="pct"/>
          </w:tcPr>
          <w:p w14:paraId="12566D8B" w14:textId="77777777" w:rsidR="0064667C" w:rsidRPr="00373983" w:rsidRDefault="0064667C" w:rsidP="0064667C">
            <w:pPr>
              <w:pStyle w:val="Tabletext"/>
            </w:pPr>
            <w:r w:rsidRPr="00373983">
              <w:t>rough tree fern</w:t>
            </w:r>
          </w:p>
        </w:tc>
        <w:tc>
          <w:tcPr>
            <w:tcW w:w="551" w:type="pct"/>
          </w:tcPr>
          <w:p w14:paraId="18B52F49" w14:textId="77777777" w:rsidR="0064667C" w:rsidRPr="00373983" w:rsidRDefault="0064667C" w:rsidP="0064667C">
            <w:pPr>
              <w:pStyle w:val="Tabletext"/>
            </w:pPr>
          </w:p>
        </w:tc>
        <w:tc>
          <w:tcPr>
            <w:tcW w:w="758" w:type="pct"/>
          </w:tcPr>
          <w:p w14:paraId="79E3C96D" w14:textId="77777777" w:rsidR="0064667C" w:rsidRPr="00373983" w:rsidRDefault="0064667C" w:rsidP="0064667C">
            <w:pPr>
              <w:pStyle w:val="Tabletext"/>
            </w:pPr>
          </w:p>
        </w:tc>
      </w:tr>
      <w:tr w:rsidR="00DB129A" w14:paraId="6B9876EF" w14:textId="77777777" w:rsidTr="00DB129A">
        <w:tc>
          <w:tcPr>
            <w:tcW w:w="1806" w:type="pct"/>
          </w:tcPr>
          <w:p w14:paraId="15B7C432" w14:textId="45DCB122" w:rsidR="00DB129A" w:rsidRDefault="00DB129A" w:rsidP="00DF243D">
            <w:pPr>
              <w:pStyle w:val="Tabletext"/>
              <w:rPr>
                <w:i/>
              </w:rPr>
            </w:pPr>
            <w:r>
              <w:rPr>
                <w:i/>
              </w:rPr>
              <w:t>Dicksonia antarctica</w:t>
            </w:r>
          </w:p>
        </w:tc>
        <w:tc>
          <w:tcPr>
            <w:tcW w:w="1885" w:type="pct"/>
          </w:tcPr>
          <w:p w14:paraId="45EE70E1" w14:textId="1E4A3C5D" w:rsidR="00DB129A" w:rsidRDefault="00DB129A" w:rsidP="00DF243D">
            <w:pPr>
              <w:pStyle w:val="Tabletext"/>
            </w:pPr>
            <w:r>
              <w:t xml:space="preserve">Soft treefern </w:t>
            </w:r>
          </w:p>
        </w:tc>
        <w:tc>
          <w:tcPr>
            <w:tcW w:w="551" w:type="pct"/>
          </w:tcPr>
          <w:p w14:paraId="676D42D9" w14:textId="77777777" w:rsidR="00DB129A" w:rsidRDefault="00DB129A" w:rsidP="00DF243D">
            <w:pPr>
              <w:pStyle w:val="Tabletext"/>
            </w:pPr>
          </w:p>
        </w:tc>
        <w:tc>
          <w:tcPr>
            <w:tcW w:w="758" w:type="pct"/>
          </w:tcPr>
          <w:p w14:paraId="65AA7A3D" w14:textId="77777777" w:rsidR="00DB129A" w:rsidRDefault="00DB129A" w:rsidP="00DF243D">
            <w:pPr>
              <w:pStyle w:val="Tabletext"/>
            </w:pPr>
          </w:p>
        </w:tc>
      </w:tr>
      <w:tr w:rsidR="00DB129A" w:rsidRPr="00B6679E" w14:paraId="07D8F191" w14:textId="77777777" w:rsidTr="00DB129A">
        <w:tc>
          <w:tcPr>
            <w:tcW w:w="1806" w:type="pct"/>
          </w:tcPr>
          <w:p w14:paraId="2917F0DE" w14:textId="5968027F" w:rsidR="00DB129A" w:rsidRPr="00373983" w:rsidRDefault="00DB129A" w:rsidP="00DF243D">
            <w:pPr>
              <w:pStyle w:val="Tabletext"/>
              <w:rPr>
                <w:i/>
              </w:rPr>
            </w:pPr>
            <w:r w:rsidRPr="00373983">
              <w:rPr>
                <w:i/>
              </w:rPr>
              <w:t>Histiopteris incisa</w:t>
            </w:r>
          </w:p>
        </w:tc>
        <w:tc>
          <w:tcPr>
            <w:tcW w:w="1885" w:type="pct"/>
          </w:tcPr>
          <w:p w14:paraId="1680364A" w14:textId="764D48F0" w:rsidR="00DB129A" w:rsidRPr="00373983" w:rsidRDefault="00DB129A" w:rsidP="00DF243D">
            <w:pPr>
              <w:pStyle w:val="Tabletext"/>
            </w:pPr>
            <w:r w:rsidRPr="00373983">
              <w:t>bat’s wing fern</w:t>
            </w:r>
          </w:p>
        </w:tc>
        <w:tc>
          <w:tcPr>
            <w:tcW w:w="551" w:type="pct"/>
          </w:tcPr>
          <w:p w14:paraId="4FAF6CDB" w14:textId="77777777" w:rsidR="00DB129A" w:rsidRPr="00373983" w:rsidRDefault="00DB129A" w:rsidP="00DF243D">
            <w:pPr>
              <w:pStyle w:val="Tabletext"/>
            </w:pPr>
          </w:p>
        </w:tc>
        <w:tc>
          <w:tcPr>
            <w:tcW w:w="758" w:type="pct"/>
          </w:tcPr>
          <w:p w14:paraId="17EFDB56" w14:textId="77777777" w:rsidR="00DB129A" w:rsidRPr="00373983" w:rsidRDefault="00DB129A" w:rsidP="00DF243D">
            <w:pPr>
              <w:pStyle w:val="Tabletext"/>
            </w:pPr>
          </w:p>
        </w:tc>
      </w:tr>
      <w:tr w:rsidR="00DB129A" w:rsidRPr="00B6679E" w14:paraId="67232503" w14:textId="77777777" w:rsidTr="00DB129A">
        <w:tc>
          <w:tcPr>
            <w:tcW w:w="1806" w:type="pct"/>
          </w:tcPr>
          <w:p w14:paraId="7278F72E" w14:textId="28E76C93" w:rsidR="00DB129A" w:rsidRPr="00373983" w:rsidRDefault="00DB129A" w:rsidP="00202858">
            <w:pPr>
              <w:pStyle w:val="Tabletext"/>
              <w:rPr>
                <w:i/>
              </w:rPr>
            </w:pPr>
            <w:r w:rsidRPr="00202858">
              <w:rPr>
                <w:i/>
              </w:rPr>
              <w:t xml:space="preserve">Hymenophyllum australe </w:t>
            </w:r>
          </w:p>
        </w:tc>
        <w:tc>
          <w:tcPr>
            <w:tcW w:w="1885" w:type="pct"/>
          </w:tcPr>
          <w:p w14:paraId="25AF9CD8" w14:textId="74407BCB" w:rsidR="00DB129A" w:rsidRPr="00202858" w:rsidRDefault="00DB129A" w:rsidP="00DF243D">
            <w:pPr>
              <w:pStyle w:val="Tabletext"/>
            </w:pPr>
            <w:r w:rsidRPr="00202858">
              <w:t>southern filmyfern</w:t>
            </w:r>
          </w:p>
        </w:tc>
        <w:tc>
          <w:tcPr>
            <w:tcW w:w="551" w:type="pct"/>
          </w:tcPr>
          <w:p w14:paraId="5D20CB21" w14:textId="77777777" w:rsidR="00DB129A" w:rsidRPr="00373983" w:rsidRDefault="00DB129A" w:rsidP="00DF243D">
            <w:pPr>
              <w:pStyle w:val="Tabletext"/>
            </w:pPr>
          </w:p>
        </w:tc>
        <w:tc>
          <w:tcPr>
            <w:tcW w:w="758" w:type="pct"/>
          </w:tcPr>
          <w:p w14:paraId="4E1DA7D3" w14:textId="77777777" w:rsidR="00DB129A" w:rsidRPr="00373983" w:rsidRDefault="00DB129A" w:rsidP="00DF243D">
            <w:pPr>
              <w:pStyle w:val="Tabletext"/>
            </w:pPr>
          </w:p>
        </w:tc>
      </w:tr>
      <w:tr w:rsidR="00DB129A" w:rsidRPr="00B6679E" w14:paraId="7EC6D5B1" w14:textId="77777777" w:rsidTr="00DB129A">
        <w:tc>
          <w:tcPr>
            <w:tcW w:w="1806" w:type="pct"/>
          </w:tcPr>
          <w:p w14:paraId="451C1523" w14:textId="0F5C394B" w:rsidR="00DB129A" w:rsidRPr="00373983" w:rsidRDefault="00DB129A" w:rsidP="00DF243D">
            <w:pPr>
              <w:pStyle w:val="Tabletext"/>
              <w:rPr>
                <w:i/>
              </w:rPr>
            </w:pPr>
            <w:r w:rsidRPr="00373983">
              <w:rPr>
                <w:i/>
              </w:rPr>
              <w:t>Hymenophyllum cupressiforme</w:t>
            </w:r>
          </w:p>
        </w:tc>
        <w:tc>
          <w:tcPr>
            <w:tcW w:w="1885" w:type="pct"/>
          </w:tcPr>
          <w:p w14:paraId="6163C218" w14:textId="600E9BAE" w:rsidR="00DB129A" w:rsidRPr="00373983" w:rsidRDefault="00DB129A" w:rsidP="00DF243D">
            <w:pPr>
              <w:pStyle w:val="Tabletext"/>
            </w:pPr>
            <w:r w:rsidRPr="00373983">
              <w:t>common filmy fern</w:t>
            </w:r>
          </w:p>
        </w:tc>
        <w:tc>
          <w:tcPr>
            <w:tcW w:w="551" w:type="pct"/>
          </w:tcPr>
          <w:p w14:paraId="4B19FF84" w14:textId="77777777" w:rsidR="00DB129A" w:rsidRPr="00373983" w:rsidRDefault="00DB129A" w:rsidP="00DF243D">
            <w:pPr>
              <w:pStyle w:val="Tabletext"/>
            </w:pPr>
          </w:p>
        </w:tc>
        <w:tc>
          <w:tcPr>
            <w:tcW w:w="758" w:type="pct"/>
          </w:tcPr>
          <w:p w14:paraId="3F6C3AE7" w14:textId="77777777" w:rsidR="00DB129A" w:rsidRPr="00373983" w:rsidRDefault="00DB129A" w:rsidP="00DF243D">
            <w:pPr>
              <w:pStyle w:val="Tabletext"/>
            </w:pPr>
          </w:p>
        </w:tc>
      </w:tr>
      <w:tr w:rsidR="00DB129A" w:rsidRPr="00B6679E" w14:paraId="179BAA93" w14:textId="77777777" w:rsidTr="00DB129A">
        <w:tc>
          <w:tcPr>
            <w:tcW w:w="1806" w:type="pct"/>
          </w:tcPr>
          <w:p w14:paraId="193A8137" w14:textId="77777777" w:rsidR="00DB129A" w:rsidRPr="00373983" w:rsidRDefault="00DB129A" w:rsidP="007D5DD4">
            <w:pPr>
              <w:pStyle w:val="Tabletext"/>
              <w:rPr>
                <w:i/>
              </w:rPr>
            </w:pPr>
            <w:r w:rsidRPr="00373983">
              <w:rPr>
                <w:i/>
              </w:rPr>
              <w:t>Hymenophyllum flabellatum</w:t>
            </w:r>
          </w:p>
        </w:tc>
        <w:tc>
          <w:tcPr>
            <w:tcW w:w="1885" w:type="pct"/>
          </w:tcPr>
          <w:p w14:paraId="747BCD8E" w14:textId="77777777" w:rsidR="00DB129A" w:rsidRPr="00373983" w:rsidRDefault="00DB129A" w:rsidP="007D5DD4">
            <w:pPr>
              <w:pStyle w:val="Tabletext"/>
            </w:pPr>
            <w:r w:rsidRPr="00373983">
              <w:t>shiny filmy fern</w:t>
            </w:r>
          </w:p>
        </w:tc>
        <w:tc>
          <w:tcPr>
            <w:tcW w:w="551" w:type="pct"/>
          </w:tcPr>
          <w:p w14:paraId="4C89B1BA" w14:textId="77777777" w:rsidR="00DB129A" w:rsidRPr="00373983" w:rsidRDefault="00DB129A" w:rsidP="007D5DD4">
            <w:pPr>
              <w:pStyle w:val="Tabletext"/>
            </w:pPr>
          </w:p>
        </w:tc>
        <w:tc>
          <w:tcPr>
            <w:tcW w:w="758" w:type="pct"/>
          </w:tcPr>
          <w:p w14:paraId="59741133" w14:textId="77777777" w:rsidR="00DB129A" w:rsidRPr="00373983" w:rsidRDefault="00DB129A" w:rsidP="007D5DD4">
            <w:pPr>
              <w:pStyle w:val="Tabletext"/>
            </w:pPr>
          </w:p>
        </w:tc>
      </w:tr>
      <w:tr w:rsidR="00DB129A" w:rsidRPr="00B6679E" w14:paraId="46A0F18F" w14:textId="77777777" w:rsidTr="00DB129A">
        <w:tc>
          <w:tcPr>
            <w:tcW w:w="1806" w:type="pct"/>
          </w:tcPr>
          <w:p w14:paraId="534F7478" w14:textId="3A8AABEA" w:rsidR="00DB129A" w:rsidRPr="00373983" w:rsidRDefault="00DB129A" w:rsidP="00202858">
            <w:pPr>
              <w:pStyle w:val="Tabletext"/>
              <w:rPr>
                <w:i/>
              </w:rPr>
            </w:pPr>
            <w:r w:rsidRPr="00202858">
              <w:rPr>
                <w:i/>
              </w:rPr>
              <w:t xml:space="preserve">Hymenophyllum rarum </w:t>
            </w:r>
          </w:p>
        </w:tc>
        <w:tc>
          <w:tcPr>
            <w:tcW w:w="1885" w:type="pct"/>
          </w:tcPr>
          <w:p w14:paraId="2A340ABE" w14:textId="3533C302" w:rsidR="00DB129A" w:rsidRPr="00202858" w:rsidRDefault="00DB129A" w:rsidP="007D5DD4">
            <w:pPr>
              <w:pStyle w:val="Tabletext"/>
            </w:pPr>
            <w:r w:rsidRPr="00202858">
              <w:t>narrow filmyfern</w:t>
            </w:r>
          </w:p>
        </w:tc>
        <w:tc>
          <w:tcPr>
            <w:tcW w:w="551" w:type="pct"/>
          </w:tcPr>
          <w:p w14:paraId="298CEB20" w14:textId="77777777" w:rsidR="00DB129A" w:rsidRPr="00373983" w:rsidRDefault="00DB129A" w:rsidP="007D5DD4">
            <w:pPr>
              <w:pStyle w:val="Tabletext"/>
            </w:pPr>
          </w:p>
        </w:tc>
        <w:tc>
          <w:tcPr>
            <w:tcW w:w="758" w:type="pct"/>
          </w:tcPr>
          <w:p w14:paraId="1E24E4C6" w14:textId="77777777" w:rsidR="00DB129A" w:rsidRPr="00373983" w:rsidRDefault="00DB129A" w:rsidP="007D5DD4">
            <w:pPr>
              <w:pStyle w:val="Tabletext"/>
            </w:pPr>
          </w:p>
        </w:tc>
      </w:tr>
      <w:tr w:rsidR="00DB129A" w14:paraId="22D404B0" w14:textId="77777777" w:rsidTr="00DB129A">
        <w:tc>
          <w:tcPr>
            <w:tcW w:w="1806" w:type="pct"/>
          </w:tcPr>
          <w:p w14:paraId="7AA854C2" w14:textId="44161A12" w:rsidR="00DB129A" w:rsidRPr="00373983" w:rsidRDefault="00DB129A" w:rsidP="00DF243D">
            <w:pPr>
              <w:pStyle w:val="Tabletext"/>
              <w:rPr>
                <w:i/>
              </w:rPr>
            </w:pPr>
            <w:r w:rsidRPr="00373983">
              <w:rPr>
                <w:i/>
              </w:rPr>
              <w:t>Hypolepis rugosula</w:t>
            </w:r>
          </w:p>
        </w:tc>
        <w:tc>
          <w:tcPr>
            <w:tcW w:w="1885" w:type="pct"/>
          </w:tcPr>
          <w:p w14:paraId="26C8818E" w14:textId="1EF30DD1" w:rsidR="00DB129A" w:rsidRPr="00373983" w:rsidRDefault="00DB129A" w:rsidP="00DF243D">
            <w:pPr>
              <w:pStyle w:val="Tabletext"/>
            </w:pPr>
            <w:r w:rsidRPr="00373983">
              <w:t>ruddy ground fern</w:t>
            </w:r>
          </w:p>
        </w:tc>
        <w:tc>
          <w:tcPr>
            <w:tcW w:w="551" w:type="pct"/>
          </w:tcPr>
          <w:p w14:paraId="751EDE5A" w14:textId="77777777" w:rsidR="00DB129A" w:rsidRPr="00373983" w:rsidRDefault="00DB129A" w:rsidP="00DF243D">
            <w:pPr>
              <w:pStyle w:val="Tabletext"/>
            </w:pPr>
          </w:p>
        </w:tc>
        <w:tc>
          <w:tcPr>
            <w:tcW w:w="758" w:type="pct"/>
          </w:tcPr>
          <w:p w14:paraId="3C45249F" w14:textId="77777777" w:rsidR="00DB129A" w:rsidRPr="00373983" w:rsidRDefault="00DB129A" w:rsidP="00DF243D">
            <w:pPr>
              <w:pStyle w:val="Tabletext"/>
            </w:pPr>
          </w:p>
        </w:tc>
      </w:tr>
      <w:tr w:rsidR="00DB129A" w14:paraId="0E556A02" w14:textId="77777777" w:rsidTr="00DB129A">
        <w:tc>
          <w:tcPr>
            <w:tcW w:w="1806" w:type="pct"/>
          </w:tcPr>
          <w:p w14:paraId="4EC9B1DB" w14:textId="04E4BC14" w:rsidR="00DB129A" w:rsidRPr="00373983" w:rsidRDefault="00DB129A" w:rsidP="00DF243D">
            <w:pPr>
              <w:pStyle w:val="Tabletext"/>
              <w:rPr>
                <w:i/>
              </w:rPr>
            </w:pPr>
            <w:r w:rsidRPr="00373983">
              <w:rPr>
                <w:i/>
              </w:rPr>
              <w:t>Microsorum pustulatum</w:t>
            </w:r>
          </w:p>
        </w:tc>
        <w:tc>
          <w:tcPr>
            <w:tcW w:w="1885" w:type="pct"/>
          </w:tcPr>
          <w:p w14:paraId="2AB90AAF" w14:textId="77777777" w:rsidR="00DB129A" w:rsidRPr="00373983" w:rsidRDefault="00DB129A" w:rsidP="00DF243D">
            <w:pPr>
              <w:pStyle w:val="Tabletext"/>
            </w:pPr>
            <w:r w:rsidRPr="00373983">
              <w:t>Kangaroo fern</w:t>
            </w:r>
          </w:p>
        </w:tc>
        <w:tc>
          <w:tcPr>
            <w:tcW w:w="551" w:type="pct"/>
          </w:tcPr>
          <w:p w14:paraId="17DB932C" w14:textId="77777777" w:rsidR="00DB129A" w:rsidRPr="00373983" w:rsidRDefault="00DB129A" w:rsidP="00DF243D">
            <w:pPr>
              <w:pStyle w:val="Tabletext"/>
            </w:pPr>
          </w:p>
        </w:tc>
        <w:tc>
          <w:tcPr>
            <w:tcW w:w="758" w:type="pct"/>
          </w:tcPr>
          <w:p w14:paraId="5DA9D048" w14:textId="77777777" w:rsidR="00DB129A" w:rsidRPr="00373983" w:rsidRDefault="00DB129A" w:rsidP="00DF243D">
            <w:pPr>
              <w:pStyle w:val="Tabletext"/>
            </w:pPr>
          </w:p>
        </w:tc>
      </w:tr>
      <w:tr w:rsidR="00DB129A" w14:paraId="462D0AA0" w14:textId="77777777" w:rsidTr="00DB129A">
        <w:tc>
          <w:tcPr>
            <w:tcW w:w="1806" w:type="pct"/>
          </w:tcPr>
          <w:p w14:paraId="16A4846D" w14:textId="0D2B9BB9" w:rsidR="00DB129A" w:rsidRDefault="00DB129A" w:rsidP="00DF243D">
            <w:pPr>
              <w:pStyle w:val="Tabletext"/>
              <w:rPr>
                <w:i/>
              </w:rPr>
            </w:pPr>
            <w:r>
              <w:rPr>
                <w:i/>
              </w:rPr>
              <w:t>Notogrammitis billardierei</w:t>
            </w:r>
          </w:p>
        </w:tc>
        <w:tc>
          <w:tcPr>
            <w:tcW w:w="1885" w:type="pct"/>
          </w:tcPr>
          <w:p w14:paraId="4078FF9F" w14:textId="5D01BD68" w:rsidR="00DB129A" w:rsidRDefault="00DB129A" w:rsidP="00DF243D">
            <w:pPr>
              <w:pStyle w:val="Tabletext"/>
            </w:pPr>
            <w:r>
              <w:t>Common finger fern; strap fern</w:t>
            </w:r>
          </w:p>
        </w:tc>
        <w:tc>
          <w:tcPr>
            <w:tcW w:w="551" w:type="pct"/>
          </w:tcPr>
          <w:p w14:paraId="7CF34F2C" w14:textId="77777777" w:rsidR="00DB129A" w:rsidRDefault="00DB129A" w:rsidP="00DF243D">
            <w:pPr>
              <w:pStyle w:val="Tabletext"/>
            </w:pPr>
          </w:p>
        </w:tc>
        <w:tc>
          <w:tcPr>
            <w:tcW w:w="758" w:type="pct"/>
          </w:tcPr>
          <w:p w14:paraId="1D315814" w14:textId="77777777" w:rsidR="00DB129A" w:rsidRDefault="00DB129A" w:rsidP="00DF243D">
            <w:pPr>
              <w:pStyle w:val="Tabletext"/>
            </w:pPr>
          </w:p>
        </w:tc>
      </w:tr>
      <w:tr w:rsidR="00DB129A" w14:paraId="3D172460" w14:textId="77777777" w:rsidTr="00DB129A">
        <w:tc>
          <w:tcPr>
            <w:tcW w:w="1806" w:type="pct"/>
          </w:tcPr>
          <w:p w14:paraId="7DD0989A" w14:textId="2D2C73F9" w:rsidR="00DB129A" w:rsidRDefault="00DB129A" w:rsidP="00DF243D">
            <w:pPr>
              <w:pStyle w:val="Tabletext"/>
              <w:rPr>
                <w:i/>
              </w:rPr>
            </w:pPr>
            <w:r>
              <w:rPr>
                <w:i/>
              </w:rPr>
              <w:t>Polystichum proliferum</w:t>
            </w:r>
          </w:p>
        </w:tc>
        <w:tc>
          <w:tcPr>
            <w:tcW w:w="1885" w:type="pct"/>
          </w:tcPr>
          <w:p w14:paraId="467B4FE5" w14:textId="77777777" w:rsidR="00DB129A" w:rsidRDefault="00DB129A" w:rsidP="00DF243D">
            <w:pPr>
              <w:pStyle w:val="Tabletext"/>
            </w:pPr>
            <w:r>
              <w:t>Mother shieldfern</w:t>
            </w:r>
          </w:p>
        </w:tc>
        <w:tc>
          <w:tcPr>
            <w:tcW w:w="551" w:type="pct"/>
          </w:tcPr>
          <w:p w14:paraId="03B4D917" w14:textId="77777777" w:rsidR="00DB129A" w:rsidRDefault="00DB129A" w:rsidP="00DF243D">
            <w:pPr>
              <w:pStyle w:val="Tabletext"/>
            </w:pPr>
          </w:p>
        </w:tc>
        <w:tc>
          <w:tcPr>
            <w:tcW w:w="758" w:type="pct"/>
          </w:tcPr>
          <w:p w14:paraId="4BF8F31D" w14:textId="77777777" w:rsidR="00DB129A" w:rsidRDefault="00DB129A" w:rsidP="00DF243D">
            <w:pPr>
              <w:pStyle w:val="Tabletext"/>
            </w:pPr>
          </w:p>
        </w:tc>
      </w:tr>
      <w:tr w:rsidR="00DB129A" w14:paraId="7AF686F1" w14:textId="77777777" w:rsidTr="00DB129A">
        <w:tc>
          <w:tcPr>
            <w:tcW w:w="1806" w:type="pct"/>
          </w:tcPr>
          <w:p w14:paraId="3BDB44E0" w14:textId="10127394" w:rsidR="00DB129A" w:rsidRDefault="00DB129A" w:rsidP="00DF243D">
            <w:pPr>
              <w:pStyle w:val="Tabletext"/>
              <w:rPr>
                <w:i/>
              </w:rPr>
            </w:pPr>
            <w:r>
              <w:rPr>
                <w:i/>
              </w:rPr>
              <w:t>Pteridium esculentum</w:t>
            </w:r>
          </w:p>
        </w:tc>
        <w:tc>
          <w:tcPr>
            <w:tcW w:w="1885" w:type="pct"/>
          </w:tcPr>
          <w:p w14:paraId="65EE2295" w14:textId="77777777" w:rsidR="00DB129A" w:rsidRDefault="00DB129A" w:rsidP="00DF243D">
            <w:pPr>
              <w:pStyle w:val="Tabletext"/>
            </w:pPr>
            <w:r>
              <w:t>Bracken</w:t>
            </w:r>
          </w:p>
        </w:tc>
        <w:tc>
          <w:tcPr>
            <w:tcW w:w="551" w:type="pct"/>
          </w:tcPr>
          <w:p w14:paraId="7BB1ACD4" w14:textId="77777777" w:rsidR="00DB129A" w:rsidRDefault="00DB129A" w:rsidP="00DF243D">
            <w:pPr>
              <w:pStyle w:val="Tabletext"/>
            </w:pPr>
          </w:p>
        </w:tc>
        <w:tc>
          <w:tcPr>
            <w:tcW w:w="758" w:type="pct"/>
          </w:tcPr>
          <w:p w14:paraId="6A404723" w14:textId="77777777" w:rsidR="00DB129A" w:rsidRDefault="00DB129A" w:rsidP="00DF243D">
            <w:pPr>
              <w:pStyle w:val="Tabletext"/>
            </w:pPr>
          </w:p>
        </w:tc>
      </w:tr>
      <w:tr w:rsidR="00DB129A" w14:paraId="176FCD12" w14:textId="77777777" w:rsidTr="00DB129A">
        <w:tc>
          <w:tcPr>
            <w:tcW w:w="1806" w:type="pct"/>
          </w:tcPr>
          <w:p w14:paraId="1981F34A" w14:textId="6049EE60" w:rsidR="00DB129A" w:rsidRDefault="00DB129A" w:rsidP="00DF243D">
            <w:pPr>
              <w:pStyle w:val="Tabletext"/>
              <w:rPr>
                <w:i/>
              </w:rPr>
            </w:pPr>
            <w:r>
              <w:rPr>
                <w:i/>
              </w:rPr>
              <w:t>Rumohra adiantiformis</w:t>
            </w:r>
          </w:p>
        </w:tc>
        <w:tc>
          <w:tcPr>
            <w:tcW w:w="1885" w:type="pct"/>
          </w:tcPr>
          <w:p w14:paraId="295F2584" w14:textId="44E12CAA" w:rsidR="00DB129A" w:rsidRDefault="00DB129A" w:rsidP="00DF243D">
            <w:pPr>
              <w:pStyle w:val="Tabletext"/>
            </w:pPr>
            <w:r>
              <w:t>leather fern; iron fern; leathery shieldfern</w:t>
            </w:r>
          </w:p>
        </w:tc>
        <w:tc>
          <w:tcPr>
            <w:tcW w:w="551" w:type="pct"/>
          </w:tcPr>
          <w:p w14:paraId="422F054E" w14:textId="77777777" w:rsidR="00DB129A" w:rsidRDefault="00DB129A" w:rsidP="00DF243D">
            <w:pPr>
              <w:pStyle w:val="Tabletext"/>
            </w:pPr>
          </w:p>
        </w:tc>
        <w:tc>
          <w:tcPr>
            <w:tcW w:w="758" w:type="pct"/>
          </w:tcPr>
          <w:p w14:paraId="20EB5EB3" w14:textId="77777777" w:rsidR="00DB129A" w:rsidRDefault="00DB129A" w:rsidP="00DF243D">
            <w:pPr>
              <w:pStyle w:val="Tabletext"/>
            </w:pPr>
          </w:p>
        </w:tc>
      </w:tr>
      <w:tr w:rsidR="00DB129A" w:rsidRPr="00C609FF" w14:paraId="0BCB0366" w14:textId="77777777" w:rsidTr="00016AE1">
        <w:tc>
          <w:tcPr>
            <w:tcW w:w="5000" w:type="pct"/>
            <w:gridSpan w:val="4"/>
            <w:shd w:val="clear" w:color="auto" w:fill="D9D9D9" w:themeFill="background1" w:themeFillShade="D9"/>
          </w:tcPr>
          <w:p w14:paraId="42599F75" w14:textId="77777777" w:rsidR="00DB129A" w:rsidRPr="00C609FF" w:rsidRDefault="00DB129A" w:rsidP="00DF243D">
            <w:pPr>
              <w:pStyle w:val="Tabletext"/>
              <w:rPr>
                <w:b/>
              </w:rPr>
            </w:pPr>
            <w:r>
              <w:rPr>
                <w:b/>
              </w:rPr>
              <w:t>H</w:t>
            </w:r>
            <w:r w:rsidRPr="00C609FF">
              <w:rPr>
                <w:b/>
              </w:rPr>
              <w:t>erb</w:t>
            </w:r>
            <w:r>
              <w:rPr>
                <w:b/>
              </w:rPr>
              <w:t xml:space="preserve"> and orchid and sedge/graminoid </w:t>
            </w:r>
            <w:r w:rsidRPr="00C609FF">
              <w:rPr>
                <w:b/>
              </w:rPr>
              <w:t>species</w:t>
            </w:r>
          </w:p>
        </w:tc>
      </w:tr>
      <w:tr w:rsidR="00DB129A" w14:paraId="069C24D6" w14:textId="77777777" w:rsidTr="00DB129A">
        <w:tc>
          <w:tcPr>
            <w:tcW w:w="1806" w:type="pct"/>
          </w:tcPr>
          <w:p w14:paraId="064E1F86" w14:textId="2A860F08" w:rsidR="00DB129A" w:rsidRDefault="00DB129A" w:rsidP="00DF243D">
            <w:pPr>
              <w:pStyle w:val="Tabletext"/>
              <w:rPr>
                <w:i/>
              </w:rPr>
            </w:pPr>
            <w:r>
              <w:rPr>
                <w:i/>
              </w:rPr>
              <w:t>Acaena novae-zelandiae</w:t>
            </w:r>
          </w:p>
        </w:tc>
        <w:tc>
          <w:tcPr>
            <w:tcW w:w="1885" w:type="pct"/>
          </w:tcPr>
          <w:p w14:paraId="7E1C0562" w14:textId="77777777" w:rsidR="00DB129A" w:rsidRDefault="00DB129A" w:rsidP="00DF243D">
            <w:pPr>
              <w:pStyle w:val="Tabletext"/>
            </w:pPr>
            <w:r>
              <w:t>Common buzzy</w:t>
            </w:r>
          </w:p>
        </w:tc>
        <w:tc>
          <w:tcPr>
            <w:tcW w:w="551" w:type="pct"/>
          </w:tcPr>
          <w:p w14:paraId="1407792A" w14:textId="77777777" w:rsidR="00DB129A" w:rsidRDefault="00DB129A" w:rsidP="00DF243D">
            <w:pPr>
              <w:pStyle w:val="Tabletext"/>
            </w:pPr>
          </w:p>
        </w:tc>
        <w:tc>
          <w:tcPr>
            <w:tcW w:w="758" w:type="pct"/>
          </w:tcPr>
          <w:p w14:paraId="7DBFFDC5" w14:textId="77777777" w:rsidR="00DB129A" w:rsidRDefault="00DB129A" w:rsidP="00DF243D">
            <w:pPr>
              <w:pStyle w:val="Tabletext"/>
            </w:pPr>
          </w:p>
        </w:tc>
      </w:tr>
      <w:tr w:rsidR="00DB129A" w14:paraId="05CA2E93" w14:textId="77777777" w:rsidTr="00DB129A">
        <w:tc>
          <w:tcPr>
            <w:tcW w:w="1806" w:type="pct"/>
          </w:tcPr>
          <w:p w14:paraId="00B7AB43" w14:textId="77F99F6D" w:rsidR="00DB129A" w:rsidRDefault="00DB129A" w:rsidP="00AB142B">
            <w:pPr>
              <w:pStyle w:val="Tabletext"/>
              <w:rPr>
                <w:i/>
              </w:rPr>
            </w:pPr>
            <w:r>
              <w:rPr>
                <w:i/>
              </w:rPr>
              <w:t xml:space="preserve">Gahnia </w:t>
            </w:r>
            <w:r w:rsidRPr="00AB142B">
              <w:rPr>
                <w:i/>
                <w:iCs/>
              </w:rPr>
              <w:t>grandis</w:t>
            </w:r>
            <w:r>
              <w:rPr>
                <w:i/>
              </w:rPr>
              <w:t>.</w:t>
            </w:r>
          </w:p>
        </w:tc>
        <w:tc>
          <w:tcPr>
            <w:tcW w:w="1885" w:type="pct"/>
          </w:tcPr>
          <w:p w14:paraId="2131DB65" w14:textId="77777777" w:rsidR="00DB129A" w:rsidRDefault="00DB129A" w:rsidP="007D5DD4">
            <w:pPr>
              <w:pStyle w:val="Tabletext"/>
            </w:pPr>
            <w:r>
              <w:t>cutting grass</w:t>
            </w:r>
          </w:p>
        </w:tc>
        <w:tc>
          <w:tcPr>
            <w:tcW w:w="551" w:type="pct"/>
          </w:tcPr>
          <w:p w14:paraId="10BA720F" w14:textId="77777777" w:rsidR="00DB129A" w:rsidRDefault="00DB129A" w:rsidP="007D5DD4">
            <w:pPr>
              <w:pStyle w:val="Tabletext"/>
            </w:pPr>
          </w:p>
        </w:tc>
        <w:tc>
          <w:tcPr>
            <w:tcW w:w="758" w:type="pct"/>
          </w:tcPr>
          <w:p w14:paraId="5BB6698D" w14:textId="77777777" w:rsidR="00DB129A" w:rsidRDefault="00DB129A" w:rsidP="007D5DD4">
            <w:pPr>
              <w:pStyle w:val="Tabletext"/>
            </w:pPr>
          </w:p>
        </w:tc>
      </w:tr>
      <w:tr w:rsidR="00DB129A" w14:paraId="6FB99781" w14:textId="77777777" w:rsidTr="00DB129A">
        <w:tc>
          <w:tcPr>
            <w:tcW w:w="1806" w:type="pct"/>
          </w:tcPr>
          <w:p w14:paraId="2F5088B4" w14:textId="3E661BCC" w:rsidR="00DB129A" w:rsidRDefault="00DB129A" w:rsidP="007D5DD4">
            <w:pPr>
              <w:pStyle w:val="Tabletext"/>
              <w:rPr>
                <w:i/>
              </w:rPr>
            </w:pPr>
            <w:r>
              <w:rPr>
                <w:i/>
              </w:rPr>
              <w:t>Gahnia sieberiana</w:t>
            </w:r>
          </w:p>
        </w:tc>
        <w:tc>
          <w:tcPr>
            <w:tcW w:w="1885" w:type="pct"/>
          </w:tcPr>
          <w:p w14:paraId="3F9931A4" w14:textId="6E453D0B" w:rsidR="00DB129A" w:rsidRDefault="00DB129A" w:rsidP="007D5DD4">
            <w:pPr>
              <w:pStyle w:val="Tabletext"/>
            </w:pPr>
            <w:r>
              <w:t>redfruit sawsedge</w:t>
            </w:r>
          </w:p>
        </w:tc>
        <w:tc>
          <w:tcPr>
            <w:tcW w:w="551" w:type="pct"/>
          </w:tcPr>
          <w:p w14:paraId="731228A8" w14:textId="77777777" w:rsidR="00DB129A" w:rsidRDefault="00DB129A" w:rsidP="007D5DD4">
            <w:pPr>
              <w:pStyle w:val="Tabletext"/>
            </w:pPr>
          </w:p>
        </w:tc>
        <w:tc>
          <w:tcPr>
            <w:tcW w:w="758" w:type="pct"/>
          </w:tcPr>
          <w:p w14:paraId="1AAEAB32" w14:textId="77777777" w:rsidR="00DB129A" w:rsidRDefault="00DB129A" w:rsidP="007D5DD4">
            <w:pPr>
              <w:pStyle w:val="Tabletext"/>
            </w:pPr>
          </w:p>
        </w:tc>
      </w:tr>
      <w:tr w:rsidR="00DB129A" w14:paraId="2D459FDB" w14:textId="77777777" w:rsidTr="00DB129A">
        <w:tc>
          <w:tcPr>
            <w:tcW w:w="1806" w:type="pct"/>
          </w:tcPr>
          <w:p w14:paraId="6825B938" w14:textId="77777777" w:rsidR="00DB129A" w:rsidRDefault="00DB129A" w:rsidP="007D5DD4">
            <w:pPr>
              <w:pStyle w:val="Tabletext"/>
              <w:rPr>
                <w:i/>
              </w:rPr>
            </w:pPr>
            <w:r>
              <w:rPr>
                <w:i/>
              </w:rPr>
              <w:t>Gonocarpus teucrioides</w:t>
            </w:r>
          </w:p>
        </w:tc>
        <w:tc>
          <w:tcPr>
            <w:tcW w:w="1885" w:type="pct"/>
          </w:tcPr>
          <w:p w14:paraId="0A3F8B17" w14:textId="77777777" w:rsidR="00DB129A" w:rsidRDefault="00DB129A" w:rsidP="007D5DD4">
            <w:pPr>
              <w:pStyle w:val="Tabletext"/>
            </w:pPr>
            <w:r>
              <w:t>Forest raspwort</w:t>
            </w:r>
          </w:p>
        </w:tc>
        <w:tc>
          <w:tcPr>
            <w:tcW w:w="551" w:type="pct"/>
          </w:tcPr>
          <w:p w14:paraId="42C79A7E" w14:textId="77777777" w:rsidR="00DB129A" w:rsidRDefault="00DB129A" w:rsidP="007D5DD4">
            <w:pPr>
              <w:pStyle w:val="Tabletext"/>
            </w:pPr>
          </w:p>
        </w:tc>
        <w:tc>
          <w:tcPr>
            <w:tcW w:w="758" w:type="pct"/>
          </w:tcPr>
          <w:p w14:paraId="7E7EA2E5" w14:textId="77777777" w:rsidR="00DB129A" w:rsidRDefault="00DB129A" w:rsidP="007D5DD4">
            <w:pPr>
              <w:pStyle w:val="Tabletext"/>
            </w:pPr>
          </w:p>
        </w:tc>
      </w:tr>
      <w:tr w:rsidR="00DB129A" w14:paraId="14CE1840" w14:textId="77777777" w:rsidTr="00DB129A">
        <w:tc>
          <w:tcPr>
            <w:tcW w:w="1806" w:type="pct"/>
          </w:tcPr>
          <w:p w14:paraId="0C4F66CD" w14:textId="77777777" w:rsidR="00DB129A" w:rsidRDefault="00DB129A" w:rsidP="001F2039">
            <w:pPr>
              <w:pStyle w:val="Tabletext"/>
              <w:rPr>
                <w:i/>
              </w:rPr>
            </w:pPr>
            <w:r>
              <w:rPr>
                <w:i/>
              </w:rPr>
              <w:t>Hydrocotyle hirta</w:t>
            </w:r>
          </w:p>
        </w:tc>
        <w:tc>
          <w:tcPr>
            <w:tcW w:w="1885" w:type="pct"/>
          </w:tcPr>
          <w:p w14:paraId="5D276CFC" w14:textId="77777777" w:rsidR="00DB129A" w:rsidRDefault="00DB129A" w:rsidP="001F2039">
            <w:pPr>
              <w:pStyle w:val="Tabletext"/>
            </w:pPr>
            <w:r>
              <w:t>Hairy pennywort</w:t>
            </w:r>
          </w:p>
        </w:tc>
        <w:tc>
          <w:tcPr>
            <w:tcW w:w="551" w:type="pct"/>
          </w:tcPr>
          <w:p w14:paraId="4C8CE752" w14:textId="77777777" w:rsidR="00DB129A" w:rsidRDefault="00DB129A" w:rsidP="001F2039">
            <w:pPr>
              <w:pStyle w:val="Tabletext"/>
            </w:pPr>
          </w:p>
        </w:tc>
        <w:tc>
          <w:tcPr>
            <w:tcW w:w="758" w:type="pct"/>
          </w:tcPr>
          <w:p w14:paraId="54932495" w14:textId="77777777" w:rsidR="00DB129A" w:rsidRDefault="00DB129A" w:rsidP="001F2039">
            <w:pPr>
              <w:pStyle w:val="Tabletext"/>
            </w:pPr>
          </w:p>
        </w:tc>
      </w:tr>
      <w:tr w:rsidR="00DB129A" w14:paraId="596F11F7" w14:textId="77777777" w:rsidTr="00DB129A">
        <w:tc>
          <w:tcPr>
            <w:tcW w:w="1806" w:type="pct"/>
          </w:tcPr>
          <w:p w14:paraId="4EAD7F4F" w14:textId="16626133" w:rsidR="00DB129A" w:rsidRDefault="00DB129A" w:rsidP="00AB142B">
            <w:pPr>
              <w:pStyle w:val="Tabletext"/>
              <w:rPr>
                <w:i/>
              </w:rPr>
            </w:pPr>
            <w:r>
              <w:rPr>
                <w:i/>
              </w:rPr>
              <w:t>Lepidosperma ensiforme</w:t>
            </w:r>
          </w:p>
        </w:tc>
        <w:tc>
          <w:tcPr>
            <w:tcW w:w="1885" w:type="pct"/>
          </w:tcPr>
          <w:p w14:paraId="70F9C8E5" w14:textId="1655D867" w:rsidR="00DB129A" w:rsidRDefault="00DB129A" w:rsidP="001F2039">
            <w:pPr>
              <w:pStyle w:val="Tabletext"/>
            </w:pPr>
            <w:r>
              <w:t>arching swordsedge</w:t>
            </w:r>
          </w:p>
        </w:tc>
        <w:tc>
          <w:tcPr>
            <w:tcW w:w="551" w:type="pct"/>
          </w:tcPr>
          <w:p w14:paraId="399CF92B" w14:textId="77777777" w:rsidR="00DB129A" w:rsidRDefault="00DB129A" w:rsidP="001F2039">
            <w:pPr>
              <w:pStyle w:val="Tabletext"/>
            </w:pPr>
          </w:p>
        </w:tc>
        <w:tc>
          <w:tcPr>
            <w:tcW w:w="758" w:type="pct"/>
          </w:tcPr>
          <w:p w14:paraId="560FC9C0" w14:textId="77777777" w:rsidR="00DB129A" w:rsidRDefault="00DB129A" w:rsidP="001F2039">
            <w:pPr>
              <w:pStyle w:val="Tabletext"/>
            </w:pPr>
          </w:p>
        </w:tc>
      </w:tr>
      <w:tr w:rsidR="00DB129A" w14:paraId="79E5E359" w14:textId="77777777" w:rsidTr="00DB129A">
        <w:tc>
          <w:tcPr>
            <w:tcW w:w="1806" w:type="pct"/>
          </w:tcPr>
          <w:p w14:paraId="12F7110D" w14:textId="6F1D8EEC" w:rsidR="00DB129A" w:rsidRDefault="00DB129A" w:rsidP="001F2039">
            <w:pPr>
              <w:pStyle w:val="Tabletext"/>
              <w:rPr>
                <w:i/>
              </w:rPr>
            </w:pPr>
            <w:r>
              <w:rPr>
                <w:i/>
              </w:rPr>
              <w:t>Lepidosperma elatius</w:t>
            </w:r>
          </w:p>
        </w:tc>
        <w:tc>
          <w:tcPr>
            <w:tcW w:w="1885" w:type="pct"/>
          </w:tcPr>
          <w:p w14:paraId="2B55DC57" w14:textId="77777777" w:rsidR="00DB129A" w:rsidRDefault="00DB129A" w:rsidP="001F2039">
            <w:pPr>
              <w:pStyle w:val="Tabletext"/>
            </w:pPr>
            <w:r>
              <w:t>tall sword-sedge</w:t>
            </w:r>
          </w:p>
        </w:tc>
        <w:tc>
          <w:tcPr>
            <w:tcW w:w="551" w:type="pct"/>
          </w:tcPr>
          <w:p w14:paraId="17F2CD6D" w14:textId="77777777" w:rsidR="00DB129A" w:rsidRDefault="00DB129A" w:rsidP="001F2039">
            <w:pPr>
              <w:pStyle w:val="Tabletext"/>
            </w:pPr>
          </w:p>
        </w:tc>
        <w:tc>
          <w:tcPr>
            <w:tcW w:w="758" w:type="pct"/>
          </w:tcPr>
          <w:p w14:paraId="58BF7D94" w14:textId="77777777" w:rsidR="00DB129A" w:rsidRDefault="00DB129A" w:rsidP="001F2039">
            <w:pPr>
              <w:pStyle w:val="Tabletext"/>
            </w:pPr>
          </w:p>
        </w:tc>
      </w:tr>
      <w:tr w:rsidR="00DB129A" w14:paraId="5DB97056" w14:textId="77777777" w:rsidTr="00DB129A">
        <w:tc>
          <w:tcPr>
            <w:tcW w:w="1806" w:type="pct"/>
          </w:tcPr>
          <w:p w14:paraId="49119F22" w14:textId="77777777" w:rsidR="00DB129A" w:rsidRDefault="00DB129A" w:rsidP="007D5DD4">
            <w:pPr>
              <w:pStyle w:val="Tabletext"/>
              <w:rPr>
                <w:i/>
              </w:rPr>
            </w:pPr>
            <w:r>
              <w:rPr>
                <w:i/>
              </w:rPr>
              <w:t>Lomandra longifolia</w:t>
            </w:r>
          </w:p>
        </w:tc>
        <w:tc>
          <w:tcPr>
            <w:tcW w:w="1885" w:type="pct"/>
          </w:tcPr>
          <w:p w14:paraId="4412AED2" w14:textId="1717D3BC" w:rsidR="00DB129A" w:rsidRDefault="00DB129A" w:rsidP="007D5DD4">
            <w:pPr>
              <w:pStyle w:val="Tabletext"/>
            </w:pPr>
            <w:r>
              <w:t>sagg</w:t>
            </w:r>
          </w:p>
        </w:tc>
        <w:tc>
          <w:tcPr>
            <w:tcW w:w="551" w:type="pct"/>
          </w:tcPr>
          <w:p w14:paraId="1BC99578" w14:textId="77777777" w:rsidR="00DB129A" w:rsidRDefault="00DB129A" w:rsidP="007D5DD4">
            <w:pPr>
              <w:pStyle w:val="Tabletext"/>
            </w:pPr>
          </w:p>
        </w:tc>
        <w:tc>
          <w:tcPr>
            <w:tcW w:w="758" w:type="pct"/>
          </w:tcPr>
          <w:p w14:paraId="1F77D4A4" w14:textId="77777777" w:rsidR="00DB129A" w:rsidRDefault="00DB129A" w:rsidP="007D5DD4">
            <w:pPr>
              <w:pStyle w:val="Tabletext"/>
            </w:pPr>
          </w:p>
        </w:tc>
      </w:tr>
      <w:tr w:rsidR="00DB129A" w14:paraId="48C0EF0A" w14:textId="77777777" w:rsidTr="00DB129A">
        <w:tc>
          <w:tcPr>
            <w:tcW w:w="1806" w:type="pct"/>
          </w:tcPr>
          <w:p w14:paraId="0944F7E6" w14:textId="77777777" w:rsidR="00DB129A" w:rsidRDefault="00DB129A" w:rsidP="001F2039">
            <w:pPr>
              <w:pStyle w:val="Tabletext"/>
              <w:rPr>
                <w:i/>
              </w:rPr>
            </w:pPr>
            <w:r>
              <w:rPr>
                <w:i/>
              </w:rPr>
              <w:t>Oxalis perennans</w:t>
            </w:r>
          </w:p>
        </w:tc>
        <w:tc>
          <w:tcPr>
            <w:tcW w:w="1885" w:type="pct"/>
          </w:tcPr>
          <w:p w14:paraId="35E6F983" w14:textId="77777777" w:rsidR="00DB129A" w:rsidRDefault="00DB129A" w:rsidP="001F2039">
            <w:pPr>
              <w:pStyle w:val="Tabletext"/>
            </w:pPr>
            <w:r>
              <w:t>Grassland woodsorrel</w:t>
            </w:r>
          </w:p>
        </w:tc>
        <w:tc>
          <w:tcPr>
            <w:tcW w:w="551" w:type="pct"/>
          </w:tcPr>
          <w:p w14:paraId="78FEF0F3" w14:textId="77777777" w:rsidR="00DB129A" w:rsidRDefault="00DB129A" w:rsidP="001F2039">
            <w:pPr>
              <w:pStyle w:val="Tabletext"/>
            </w:pPr>
          </w:p>
        </w:tc>
        <w:tc>
          <w:tcPr>
            <w:tcW w:w="758" w:type="pct"/>
          </w:tcPr>
          <w:p w14:paraId="676E9CBA" w14:textId="77777777" w:rsidR="00DB129A" w:rsidRDefault="00DB129A" w:rsidP="001F2039">
            <w:pPr>
              <w:pStyle w:val="Tabletext"/>
            </w:pPr>
          </w:p>
        </w:tc>
      </w:tr>
      <w:tr w:rsidR="00DB129A" w14:paraId="3F09E23B" w14:textId="77777777" w:rsidTr="00DB129A">
        <w:tc>
          <w:tcPr>
            <w:tcW w:w="1806" w:type="pct"/>
          </w:tcPr>
          <w:p w14:paraId="2F3EBA60" w14:textId="77777777" w:rsidR="00DB129A" w:rsidRDefault="00DB129A" w:rsidP="001F2039">
            <w:pPr>
              <w:pStyle w:val="Tabletext"/>
              <w:rPr>
                <w:i/>
              </w:rPr>
            </w:pPr>
            <w:r>
              <w:rPr>
                <w:i/>
              </w:rPr>
              <w:t>Stellaria spp</w:t>
            </w:r>
          </w:p>
        </w:tc>
        <w:tc>
          <w:tcPr>
            <w:tcW w:w="1885" w:type="pct"/>
          </w:tcPr>
          <w:p w14:paraId="1480AF79" w14:textId="77777777" w:rsidR="00DB129A" w:rsidRDefault="00DB129A" w:rsidP="001F2039">
            <w:pPr>
              <w:pStyle w:val="Tabletext"/>
            </w:pPr>
            <w:r>
              <w:t>starwort</w:t>
            </w:r>
          </w:p>
        </w:tc>
        <w:tc>
          <w:tcPr>
            <w:tcW w:w="551" w:type="pct"/>
          </w:tcPr>
          <w:p w14:paraId="27D86A15" w14:textId="77777777" w:rsidR="00DB129A" w:rsidRDefault="00DB129A" w:rsidP="001F2039">
            <w:pPr>
              <w:pStyle w:val="Tabletext"/>
            </w:pPr>
          </w:p>
        </w:tc>
        <w:tc>
          <w:tcPr>
            <w:tcW w:w="758" w:type="pct"/>
          </w:tcPr>
          <w:p w14:paraId="346A7927" w14:textId="77777777" w:rsidR="00DB129A" w:rsidRDefault="00DB129A" w:rsidP="001F2039">
            <w:pPr>
              <w:pStyle w:val="Tabletext"/>
            </w:pPr>
          </w:p>
        </w:tc>
      </w:tr>
      <w:tr w:rsidR="00DB129A" w14:paraId="6BF56024" w14:textId="77777777" w:rsidTr="00DB129A">
        <w:tc>
          <w:tcPr>
            <w:tcW w:w="1806" w:type="pct"/>
          </w:tcPr>
          <w:p w14:paraId="5D41F4EF" w14:textId="0ACFC26B" w:rsidR="00DB129A" w:rsidRDefault="00DB129A" w:rsidP="00DF243D">
            <w:pPr>
              <w:pStyle w:val="Tabletext"/>
              <w:rPr>
                <w:i/>
              </w:rPr>
            </w:pPr>
            <w:r>
              <w:rPr>
                <w:i/>
              </w:rPr>
              <w:t>Urtica incisa</w:t>
            </w:r>
          </w:p>
        </w:tc>
        <w:tc>
          <w:tcPr>
            <w:tcW w:w="1885" w:type="pct"/>
          </w:tcPr>
          <w:p w14:paraId="465E5F72" w14:textId="5F623BF7" w:rsidR="00DB129A" w:rsidRDefault="00DB129A" w:rsidP="00DF243D">
            <w:pPr>
              <w:pStyle w:val="Tabletext"/>
            </w:pPr>
            <w:r>
              <w:t>scrub nettle; stinging nettle</w:t>
            </w:r>
          </w:p>
        </w:tc>
        <w:tc>
          <w:tcPr>
            <w:tcW w:w="551" w:type="pct"/>
          </w:tcPr>
          <w:p w14:paraId="2D808476" w14:textId="77777777" w:rsidR="00DB129A" w:rsidRDefault="00DB129A" w:rsidP="00DF243D">
            <w:pPr>
              <w:pStyle w:val="Tabletext"/>
            </w:pPr>
          </w:p>
        </w:tc>
        <w:tc>
          <w:tcPr>
            <w:tcW w:w="758" w:type="pct"/>
          </w:tcPr>
          <w:p w14:paraId="366679DC" w14:textId="77777777" w:rsidR="00DB129A" w:rsidRDefault="00DB129A" w:rsidP="00DF243D">
            <w:pPr>
              <w:pStyle w:val="Tabletext"/>
            </w:pPr>
          </w:p>
        </w:tc>
      </w:tr>
      <w:tr w:rsidR="00DB129A" w14:paraId="2D652970" w14:textId="77777777" w:rsidTr="00016AE1">
        <w:tc>
          <w:tcPr>
            <w:tcW w:w="5000" w:type="pct"/>
            <w:gridSpan w:val="4"/>
            <w:shd w:val="clear" w:color="auto" w:fill="D9D9D9" w:themeFill="background1" w:themeFillShade="D9"/>
          </w:tcPr>
          <w:p w14:paraId="7568F7E9" w14:textId="77777777" w:rsidR="00DB129A" w:rsidRPr="005A115D" w:rsidRDefault="00DB129A" w:rsidP="00DF243D">
            <w:pPr>
              <w:pStyle w:val="Tabletext"/>
              <w:rPr>
                <w:b/>
              </w:rPr>
            </w:pPr>
            <w:r>
              <w:rPr>
                <w:b/>
              </w:rPr>
              <w:t>Scrambler/climber/epiphyte species</w:t>
            </w:r>
          </w:p>
        </w:tc>
      </w:tr>
      <w:tr w:rsidR="00DB129A" w14:paraId="13BB7220" w14:textId="77777777" w:rsidTr="00DB129A">
        <w:tc>
          <w:tcPr>
            <w:tcW w:w="1806" w:type="pct"/>
          </w:tcPr>
          <w:p w14:paraId="1CF36762" w14:textId="379E346F" w:rsidR="00DB129A" w:rsidRDefault="00DB129A" w:rsidP="00DF243D">
            <w:pPr>
              <w:pStyle w:val="Tabletext"/>
              <w:rPr>
                <w:i/>
              </w:rPr>
            </w:pPr>
            <w:r>
              <w:rPr>
                <w:i/>
              </w:rPr>
              <w:t>Clematis aristata</w:t>
            </w:r>
          </w:p>
        </w:tc>
        <w:tc>
          <w:tcPr>
            <w:tcW w:w="1885" w:type="pct"/>
          </w:tcPr>
          <w:p w14:paraId="40D1EF32" w14:textId="77777777" w:rsidR="00DB129A" w:rsidRDefault="00DB129A" w:rsidP="00DF243D">
            <w:pPr>
              <w:pStyle w:val="Tabletext"/>
            </w:pPr>
            <w:r>
              <w:t>Mountain clematis (climber)</w:t>
            </w:r>
          </w:p>
        </w:tc>
        <w:tc>
          <w:tcPr>
            <w:tcW w:w="551" w:type="pct"/>
          </w:tcPr>
          <w:p w14:paraId="50D22DC6" w14:textId="77777777" w:rsidR="00DB129A" w:rsidRDefault="00DB129A" w:rsidP="00DF243D">
            <w:pPr>
              <w:pStyle w:val="Tabletext"/>
            </w:pPr>
          </w:p>
        </w:tc>
        <w:tc>
          <w:tcPr>
            <w:tcW w:w="758" w:type="pct"/>
          </w:tcPr>
          <w:p w14:paraId="2A32F240" w14:textId="77777777" w:rsidR="00DB129A" w:rsidRDefault="00DB129A" w:rsidP="00DF243D">
            <w:pPr>
              <w:pStyle w:val="Tabletext"/>
            </w:pPr>
          </w:p>
        </w:tc>
      </w:tr>
    </w:tbl>
    <w:p w14:paraId="6CDCD5FE" w14:textId="5F7C5F6D" w:rsidR="008C3D55" w:rsidRDefault="008C3D55" w:rsidP="004A6896">
      <w:pPr>
        <w:pStyle w:val="Tablesource"/>
      </w:pPr>
      <w:r>
        <w:t xml:space="preserve">Sources: </w:t>
      </w:r>
      <w:r w:rsidR="003C49BA">
        <w:t>Kitchener and Harris (2013)</w:t>
      </w:r>
      <w:r w:rsidR="00F913CC">
        <w:t xml:space="preserve">, </w:t>
      </w:r>
      <w:r w:rsidR="00373983">
        <w:t xml:space="preserve">Kirkpatrick </w:t>
      </w:r>
      <w:r w:rsidR="00373983" w:rsidRPr="00373983">
        <w:t>&amp; Gilfedder (1999)</w:t>
      </w:r>
      <w:r w:rsidR="00373983">
        <w:t xml:space="preserve">, </w:t>
      </w:r>
      <w:r w:rsidR="00F913CC">
        <w:t>DPIPWE (2018</w:t>
      </w:r>
      <w:r w:rsidR="0064667C">
        <w:t>b</w:t>
      </w:r>
      <w:r w:rsidR="00F913CC">
        <w:t>)</w:t>
      </w:r>
      <w:r w:rsidR="005811A3">
        <w:t>, DPIPWE (2016)</w:t>
      </w:r>
      <w:r w:rsidR="00191381">
        <w:t>, FPA (2005)</w:t>
      </w:r>
      <w:r w:rsidR="00807C64">
        <w:t xml:space="preserve">, </w:t>
      </w:r>
      <w:r w:rsidR="00807C64" w:rsidRPr="00807C64">
        <w:t>Kirkpatrick et al (1988)</w:t>
      </w:r>
    </w:p>
    <w:p w14:paraId="3077830D" w14:textId="77777777" w:rsidR="00905ED3" w:rsidRDefault="00126438" w:rsidP="00126438">
      <w:pPr>
        <w:pStyle w:val="Heading2"/>
      </w:pPr>
      <w:bookmarkStart w:id="60" w:name="_Toc24971013"/>
      <w:r>
        <w:t>Fauna</w:t>
      </w:r>
      <w:bookmarkEnd w:id="60"/>
    </w:p>
    <w:p w14:paraId="0A63354B" w14:textId="17BABE03" w:rsidR="007D5DD4" w:rsidRDefault="007D5DD4" w:rsidP="007D5DD4">
      <w:pPr>
        <w:pStyle w:val="Caption"/>
        <w:keepNext/>
      </w:pPr>
      <w:bookmarkStart w:id="61" w:name="_Toc531941949"/>
      <w:r>
        <w:t xml:space="preserve">Table </w:t>
      </w:r>
      <w:r>
        <w:rPr>
          <w:noProof/>
        </w:rPr>
        <w:fldChar w:fldCharType="begin"/>
      </w:r>
      <w:r>
        <w:rPr>
          <w:noProof/>
        </w:rPr>
        <w:instrText xml:space="preserve"> SEQ Table \* ARABIC </w:instrText>
      </w:r>
      <w:r>
        <w:rPr>
          <w:noProof/>
        </w:rPr>
        <w:fldChar w:fldCharType="separate"/>
      </w:r>
      <w:r w:rsidR="005E6E9C">
        <w:rPr>
          <w:noProof/>
        </w:rPr>
        <w:t>11</w:t>
      </w:r>
      <w:r>
        <w:rPr>
          <w:noProof/>
        </w:rPr>
        <w:fldChar w:fldCharType="end"/>
      </w:r>
      <w:r>
        <w:t xml:space="preserve">: Fauna </w:t>
      </w:r>
      <w:r w:rsidR="00396E0B">
        <w:t>recorded in</w:t>
      </w:r>
      <w:r>
        <w:t xml:space="preserve"> </w:t>
      </w:r>
      <w:r w:rsidR="007E6420" w:rsidRPr="007E6420">
        <w:t xml:space="preserve">Tasmanian </w:t>
      </w:r>
      <w:r>
        <w:t>white gum wet forest</w:t>
      </w:r>
      <w:bookmarkEnd w:id="61"/>
    </w:p>
    <w:tbl>
      <w:tblPr>
        <w:tblStyle w:val="TableGrid"/>
        <w:tblW w:w="5000" w:type="pct"/>
        <w:tblLayout w:type="fixed"/>
        <w:tblLook w:val="04A0" w:firstRow="1" w:lastRow="0" w:firstColumn="1" w:lastColumn="0" w:noHBand="0" w:noVBand="1"/>
      </w:tblPr>
      <w:tblGrid>
        <w:gridCol w:w="3257"/>
        <w:gridCol w:w="2975"/>
        <w:gridCol w:w="1417"/>
        <w:gridCol w:w="1367"/>
      </w:tblGrid>
      <w:tr w:rsidR="00016AE1" w:rsidRPr="007746EC" w14:paraId="464B0622" w14:textId="12079C61" w:rsidTr="007746EC">
        <w:trPr>
          <w:cantSplit/>
          <w:tblHeader/>
        </w:trPr>
        <w:tc>
          <w:tcPr>
            <w:tcW w:w="1806" w:type="pct"/>
            <w:shd w:val="clear" w:color="auto" w:fill="auto"/>
          </w:tcPr>
          <w:p w14:paraId="263255B0" w14:textId="77777777" w:rsidR="00016AE1" w:rsidRPr="007746EC" w:rsidRDefault="00016AE1" w:rsidP="00016AE1">
            <w:pPr>
              <w:pStyle w:val="Tabletext"/>
              <w:rPr>
                <w:b/>
              </w:rPr>
            </w:pPr>
            <w:r w:rsidRPr="007746EC">
              <w:rPr>
                <w:b/>
              </w:rPr>
              <w:t>Scientific name</w:t>
            </w:r>
          </w:p>
        </w:tc>
        <w:tc>
          <w:tcPr>
            <w:tcW w:w="1650" w:type="pct"/>
            <w:shd w:val="clear" w:color="auto" w:fill="auto"/>
          </w:tcPr>
          <w:p w14:paraId="740E07E4" w14:textId="77777777" w:rsidR="00016AE1" w:rsidRPr="007746EC" w:rsidRDefault="00016AE1" w:rsidP="00016AE1">
            <w:pPr>
              <w:pStyle w:val="Tabletext"/>
              <w:rPr>
                <w:b/>
              </w:rPr>
            </w:pPr>
            <w:r w:rsidRPr="007746EC">
              <w:rPr>
                <w:b/>
              </w:rPr>
              <w:t>Common name/s</w:t>
            </w:r>
          </w:p>
        </w:tc>
        <w:tc>
          <w:tcPr>
            <w:tcW w:w="786" w:type="pct"/>
            <w:shd w:val="clear" w:color="auto" w:fill="auto"/>
          </w:tcPr>
          <w:p w14:paraId="5951B68E" w14:textId="27AD1AE6" w:rsidR="00016AE1" w:rsidRPr="007746EC" w:rsidRDefault="00016AE1" w:rsidP="00016AE1">
            <w:pPr>
              <w:pStyle w:val="Tabletext"/>
              <w:rPr>
                <w:b/>
              </w:rPr>
            </w:pPr>
            <w:r w:rsidRPr="007746EC">
              <w:rPr>
                <w:b/>
              </w:rPr>
              <w:t>EPBC status</w:t>
            </w:r>
            <w:r w:rsidRPr="007746EC">
              <w:rPr>
                <w:b/>
                <w:vertAlign w:val="superscript"/>
              </w:rPr>
              <w:fldChar w:fldCharType="begin"/>
            </w:r>
            <w:r w:rsidRPr="007746EC">
              <w:rPr>
                <w:b/>
                <w:vertAlign w:val="superscript"/>
              </w:rPr>
              <w:instrText xml:space="preserve"> NOTEREF _Ref524516737 \h  \* MERGEFORMAT </w:instrText>
            </w:r>
            <w:r w:rsidRPr="007746EC">
              <w:rPr>
                <w:b/>
                <w:vertAlign w:val="superscript"/>
              </w:rPr>
            </w:r>
            <w:r w:rsidRPr="007746EC">
              <w:rPr>
                <w:b/>
                <w:vertAlign w:val="superscript"/>
              </w:rPr>
              <w:fldChar w:fldCharType="separate"/>
            </w:r>
            <w:r w:rsidR="005E6E9C">
              <w:rPr>
                <w:b/>
                <w:vertAlign w:val="superscript"/>
              </w:rPr>
              <w:t>10</w:t>
            </w:r>
            <w:r w:rsidRPr="007746EC">
              <w:rPr>
                <w:b/>
                <w:vertAlign w:val="superscript"/>
              </w:rPr>
              <w:fldChar w:fldCharType="end"/>
            </w:r>
          </w:p>
        </w:tc>
        <w:tc>
          <w:tcPr>
            <w:tcW w:w="758" w:type="pct"/>
            <w:shd w:val="clear" w:color="auto" w:fill="auto"/>
          </w:tcPr>
          <w:p w14:paraId="2ED541D3" w14:textId="00D25544" w:rsidR="00016AE1" w:rsidRPr="007746EC" w:rsidRDefault="00016AE1" w:rsidP="00016AE1">
            <w:pPr>
              <w:pStyle w:val="Tabletext"/>
              <w:rPr>
                <w:b/>
              </w:rPr>
            </w:pPr>
            <w:r w:rsidRPr="007746EC">
              <w:rPr>
                <w:b/>
              </w:rPr>
              <w:t>Tasmanian status</w:t>
            </w:r>
            <w:r w:rsidRPr="007746EC">
              <w:rPr>
                <w:b/>
                <w:vertAlign w:val="superscript"/>
              </w:rPr>
              <w:fldChar w:fldCharType="begin"/>
            </w:r>
            <w:r w:rsidRPr="007746EC">
              <w:rPr>
                <w:b/>
                <w:vertAlign w:val="superscript"/>
              </w:rPr>
              <w:instrText xml:space="preserve"> NOTEREF _Ref524518091 \h  \* MERGEFORMAT </w:instrText>
            </w:r>
            <w:r w:rsidRPr="007746EC">
              <w:rPr>
                <w:b/>
                <w:vertAlign w:val="superscript"/>
              </w:rPr>
            </w:r>
            <w:r w:rsidRPr="007746EC">
              <w:rPr>
                <w:b/>
                <w:vertAlign w:val="superscript"/>
              </w:rPr>
              <w:fldChar w:fldCharType="separate"/>
            </w:r>
            <w:r w:rsidR="005E6E9C">
              <w:rPr>
                <w:b/>
                <w:vertAlign w:val="superscript"/>
              </w:rPr>
              <w:t>11</w:t>
            </w:r>
            <w:r w:rsidRPr="007746EC">
              <w:rPr>
                <w:b/>
                <w:vertAlign w:val="superscript"/>
              </w:rPr>
              <w:fldChar w:fldCharType="end"/>
            </w:r>
          </w:p>
        </w:tc>
      </w:tr>
      <w:tr w:rsidR="00016AE1" w:rsidRPr="00016AE1" w14:paraId="7EA52092" w14:textId="77777777" w:rsidTr="00016AE1">
        <w:trPr>
          <w:cantSplit/>
        </w:trPr>
        <w:tc>
          <w:tcPr>
            <w:tcW w:w="5000" w:type="pct"/>
            <w:gridSpan w:val="4"/>
            <w:shd w:val="clear" w:color="auto" w:fill="BFBFBF" w:themeFill="background1" w:themeFillShade="BF"/>
          </w:tcPr>
          <w:p w14:paraId="1EDEDB59" w14:textId="77777777" w:rsidR="00016AE1" w:rsidRPr="00016AE1" w:rsidRDefault="00016AE1" w:rsidP="00016AE1">
            <w:pPr>
              <w:pStyle w:val="Tabletext"/>
              <w:rPr>
                <w:b/>
              </w:rPr>
            </w:pPr>
            <w:r w:rsidRPr="00016AE1">
              <w:rPr>
                <w:b/>
              </w:rPr>
              <w:t>Mammals and monotremes</w:t>
            </w:r>
          </w:p>
        </w:tc>
      </w:tr>
      <w:tr w:rsidR="00016AE1" w:rsidRPr="008C3D55" w14:paraId="61DA7E16" w14:textId="77777777" w:rsidTr="00016AE1">
        <w:trPr>
          <w:cantSplit/>
        </w:trPr>
        <w:tc>
          <w:tcPr>
            <w:tcW w:w="1806" w:type="pct"/>
          </w:tcPr>
          <w:p w14:paraId="0A9EFFAD" w14:textId="77777777" w:rsidR="00016AE1" w:rsidRPr="0057750C" w:rsidRDefault="00016AE1" w:rsidP="00016AE1">
            <w:pPr>
              <w:pStyle w:val="Tabletext"/>
              <w:rPr>
                <w:i/>
                <w:iCs/>
              </w:rPr>
            </w:pPr>
            <w:r w:rsidRPr="0057750C">
              <w:rPr>
                <w:i/>
                <w:iCs/>
              </w:rPr>
              <w:t>Bettongia gaimardi</w:t>
            </w:r>
          </w:p>
        </w:tc>
        <w:tc>
          <w:tcPr>
            <w:tcW w:w="1650" w:type="pct"/>
          </w:tcPr>
          <w:p w14:paraId="10C3498C" w14:textId="77777777" w:rsidR="00016AE1" w:rsidRPr="0057750C" w:rsidRDefault="00016AE1" w:rsidP="00016AE1">
            <w:pPr>
              <w:pStyle w:val="Tabletext"/>
            </w:pPr>
            <w:r w:rsidRPr="0057750C">
              <w:t>Tasmanian bettong</w:t>
            </w:r>
          </w:p>
        </w:tc>
        <w:tc>
          <w:tcPr>
            <w:tcW w:w="786" w:type="pct"/>
          </w:tcPr>
          <w:p w14:paraId="2EE92E17" w14:textId="77777777" w:rsidR="00016AE1" w:rsidRPr="0057750C" w:rsidRDefault="00016AE1" w:rsidP="00016AE1">
            <w:pPr>
              <w:pStyle w:val="Tabletext"/>
            </w:pPr>
          </w:p>
        </w:tc>
        <w:tc>
          <w:tcPr>
            <w:tcW w:w="758" w:type="pct"/>
          </w:tcPr>
          <w:p w14:paraId="429A04F8" w14:textId="77777777" w:rsidR="00016AE1" w:rsidRPr="0057750C" w:rsidRDefault="00016AE1" w:rsidP="00016AE1">
            <w:pPr>
              <w:pStyle w:val="Tabletext"/>
            </w:pPr>
          </w:p>
        </w:tc>
      </w:tr>
      <w:tr w:rsidR="00016AE1" w:rsidRPr="008C3D55" w14:paraId="2F4849C7" w14:textId="77777777" w:rsidTr="00016AE1">
        <w:trPr>
          <w:cantSplit/>
        </w:trPr>
        <w:tc>
          <w:tcPr>
            <w:tcW w:w="1806" w:type="pct"/>
          </w:tcPr>
          <w:p w14:paraId="2D08B975" w14:textId="02B70926" w:rsidR="00016AE1" w:rsidRPr="0057750C" w:rsidRDefault="00016AE1" w:rsidP="00016AE1">
            <w:pPr>
              <w:pStyle w:val="Tabletext"/>
              <w:rPr>
                <w:i/>
                <w:iCs/>
              </w:rPr>
            </w:pPr>
            <w:r w:rsidRPr="0057750C">
              <w:rPr>
                <w:i/>
                <w:iCs/>
              </w:rPr>
              <w:t xml:space="preserve">Cercartetus lepidus </w:t>
            </w:r>
          </w:p>
        </w:tc>
        <w:tc>
          <w:tcPr>
            <w:tcW w:w="1650" w:type="pct"/>
          </w:tcPr>
          <w:p w14:paraId="42BF9AA4" w14:textId="48A60CEB" w:rsidR="00016AE1" w:rsidRPr="0057750C" w:rsidRDefault="00016AE1" w:rsidP="00016AE1">
            <w:pPr>
              <w:pStyle w:val="Tabletext"/>
            </w:pPr>
            <w:r>
              <w:t>Tasmanian</w:t>
            </w:r>
            <w:r w:rsidRPr="0057750C">
              <w:t xml:space="preserve"> pygmy possum</w:t>
            </w:r>
          </w:p>
        </w:tc>
        <w:tc>
          <w:tcPr>
            <w:tcW w:w="786" w:type="pct"/>
          </w:tcPr>
          <w:p w14:paraId="4B9C56F3" w14:textId="77777777" w:rsidR="00016AE1" w:rsidRPr="0057750C" w:rsidRDefault="00016AE1" w:rsidP="00016AE1">
            <w:pPr>
              <w:pStyle w:val="Tabletext"/>
            </w:pPr>
          </w:p>
        </w:tc>
        <w:tc>
          <w:tcPr>
            <w:tcW w:w="758" w:type="pct"/>
          </w:tcPr>
          <w:p w14:paraId="47C08C28" w14:textId="77777777" w:rsidR="00016AE1" w:rsidRPr="0057750C" w:rsidRDefault="00016AE1" w:rsidP="00016AE1">
            <w:pPr>
              <w:pStyle w:val="Tabletext"/>
            </w:pPr>
          </w:p>
        </w:tc>
      </w:tr>
      <w:tr w:rsidR="00016AE1" w:rsidRPr="008C3D55" w14:paraId="12FE7864" w14:textId="77777777" w:rsidTr="00016AE1">
        <w:trPr>
          <w:cantSplit/>
        </w:trPr>
        <w:tc>
          <w:tcPr>
            <w:tcW w:w="1806" w:type="pct"/>
          </w:tcPr>
          <w:p w14:paraId="5EFCF072" w14:textId="64E468A6" w:rsidR="00016AE1" w:rsidRPr="0057750C" w:rsidRDefault="00016AE1" w:rsidP="00016AE1">
            <w:pPr>
              <w:pStyle w:val="Tabletext"/>
              <w:rPr>
                <w:i/>
                <w:iCs/>
              </w:rPr>
            </w:pPr>
            <w:r w:rsidRPr="0057750C">
              <w:rPr>
                <w:i/>
                <w:iCs/>
              </w:rPr>
              <w:t>Chalinolobus morio</w:t>
            </w:r>
          </w:p>
        </w:tc>
        <w:tc>
          <w:tcPr>
            <w:tcW w:w="1650" w:type="pct"/>
          </w:tcPr>
          <w:p w14:paraId="28A12BC5" w14:textId="77777777" w:rsidR="00016AE1" w:rsidRPr="0057750C" w:rsidRDefault="00016AE1" w:rsidP="00016AE1">
            <w:pPr>
              <w:pStyle w:val="Tabletext"/>
            </w:pPr>
            <w:r w:rsidRPr="0057750C">
              <w:t>chocolate wattled bat</w:t>
            </w:r>
          </w:p>
        </w:tc>
        <w:tc>
          <w:tcPr>
            <w:tcW w:w="786" w:type="pct"/>
          </w:tcPr>
          <w:p w14:paraId="4A18DCB0" w14:textId="77777777" w:rsidR="00016AE1" w:rsidRPr="0057750C" w:rsidRDefault="00016AE1" w:rsidP="00016AE1">
            <w:pPr>
              <w:pStyle w:val="Tabletext"/>
            </w:pPr>
          </w:p>
        </w:tc>
        <w:tc>
          <w:tcPr>
            <w:tcW w:w="758" w:type="pct"/>
          </w:tcPr>
          <w:p w14:paraId="36D727A7" w14:textId="77777777" w:rsidR="00016AE1" w:rsidRPr="0057750C" w:rsidRDefault="00016AE1" w:rsidP="00016AE1">
            <w:pPr>
              <w:pStyle w:val="Tabletext"/>
            </w:pPr>
          </w:p>
        </w:tc>
      </w:tr>
      <w:tr w:rsidR="00016AE1" w:rsidRPr="008C3D55" w14:paraId="2966C7A0" w14:textId="77777777" w:rsidTr="00016AE1">
        <w:trPr>
          <w:cantSplit/>
        </w:trPr>
        <w:tc>
          <w:tcPr>
            <w:tcW w:w="1806" w:type="pct"/>
          </w:tcPr>
          <w:p w14:paraId="348833E2" w14:textId="27B8407A" w:rsidR="00016AE1" w:rsidRPr="0053301A" w:rsidRDefault="00016AE1" w:rsidP="00016AE1">
            <w:pPr>
              <w:pStyle w:val="Tabletext"/>
              <w:rPr>
                <w:i/>
              </w:rPr>
            </w:pPr>
            <w:r w:rsidRPr="0053301A">
              <w:rPr>
                <w:i/>
              </w:rPr>
              <w:t>Dasyurus maculatus</w:t>
            </w:r>
          </w:p>
        </w:tc>
        <w:tc>
          <w:tcPr>
            <w:tcW w:w="1650" w:type="pct"/>
          </w:tcPr>
          <w:p w14:paraId="683B2563" w14:textId="4307718A" w:rsidR="00016AE1" w:rsidRPr="0053301A" w:rsidRDefault="00016AE1" w:rsidP="00016AE1">
            <w:pPr>
              <w:pStyle w:val="Tabletext"/>
            </w:pPr>
            <w:r w:rsidRPr="0053301A">
              <w:t>spotted-tail</w:t>
            </w:r>
            <w:r>
              <w:t xml:space="preserve"> quoll</w:t>
            </w:r>
          </w:p>
        </w:tc>
        <w:tc>
          <w:tcPr>
            <w:tcW w:w="786" w:type="pct"/>
          </w:tcPr>
          <w:p w14:paraId="40164153" w14:textId="0F9B805F" w:rsidR="00016AE1" w:rsidRDefault="00016AE1" w:rsidP="00016AE1">
            <w:pPr>
              <w:pStyle w:val="Tabletext"/>
            </w:pPr>
            <w:r>
              <w:t>Vulnerable</w:t>
            </w:r>
          </w:p>
        </w:tc>
        <w:tc>
          <w:tcPr>
            <w:tcW w:w="758" w:type="pct"/>
          </w:tcPr>
          <w:p w14:paraId="30D4D862" w14:textId="5B9869B1" w:rsidR="00016AE1" w:rsidRDefault="00016AE1" w:rsidP="00016AE1">
            <w:pPr>
              <w:pStyle w:val="Tabletext"/>
            </w:pPr>
            <w:r>
              <w:t>Rare</w:t>
            </w:r>
          </w:p>
        </w:tc>
      </w:tr>
      <w:tr w:rsidR="00016AE1" w:rsidRPr="008C3D55" w14:paraId="66CE12C3" w14:textId="77777777" w:rsidTr="00016AE1">
        <w:trPr>
          <w:cantSplit/>
        </w:trPr>
        <w:tc>
          <w:tcPr>
            <w:tcW w:w="1806" w:type="pct"/>
          </w:tcPr>
          <w:p w14:paraId="7E5241AA" w14:textId="10566B80" w:rsidR="00016AE1" w:rsidRDefault="00016AE1" w:rsidP="00016AE1">
            <w:pPr>
              <w:pStyle w:val="Tabletext"/>
              <w:rPr>
                <w:i/>
              </w:rPr>
            </w:pPr>
            <w:r w:rsidRPr="00670B0B">
              <w:rPr>
                <w:i/>
                <w:iCs/>
              </w:rPr>
              <w:t xml:space="preserve">Dasyurus viverrinus </w:t>
            </w:r>
          </w:p>
          <w:p w14:paraId="528C8786" w14:textId="0DD5FDC4" w:rsidR="00016AE1" w:rsidRDefault="00016AE1" w:rsidP="00016AE1">
            <w:pPr>
              <w:pStyle w:val="Tabletext"/>
              <w:rPr>
                <w:i/>
              </w:rPr>
            </w:pPr>
          </w:p>
        </w:tc>
        <w:tc>
          <w:tcPr>
            <w:tcW w:w="1650" w:type="pct"/>
          </w:tcPr>
          <w:p w14:paraId="743809B3" w14:textId="0F73636A" w:rsidR="00016AE1" w:rsidRPr="00670B0B" w:rsidRDefault="00016AE1" w:rsidP="00016AE1">
            <w:pPr>
              <w:pStyle w:val="Tabletext"/>
            </w:pPr>
            <w:r>
              <w:t>eastern quoll</w:t>
            </w:r>
          </w:p>
        </w:tc>
        <w:tc>
          <w:tcPr>
            <w:tcW w:w="786" w:type="pct"/>
          </w:tcPr>
          <w:p w14:paraId="24D9190E" w14:textId="4D779192" w:rsidR="00016AE1" w:rsidRPr="008C3D55" w:rsidRDefault="00016AE1" w:rsidP="00016AE1">
            <w:pPr>
              <w:pStyle w:val="Tabletext"/>
            </w:pPr>
            <w:r>
              <w:t>Endangered</w:t>
            </w:r>
          </w:p>
        </w:tc>
        <w:tc>
          <w:tcPr>
            <w:tcW w:w="758" w:type="pct"/>
          </w:tcPr>
          <w:p w14:paraId="37A2FFD5" w14:textId="77777777" w:rsidR="00016AE1" w:rsidRPr="008C3D55" w:rsidRDefault="00016AE1" w:rsidP="00016AE1">
            <w:pPr>
              <w:pStyle w:val="Tabletext"/>
            </w:pPr>
          </w:p>
        </w:tc>
      </w:tr>
      <w:tr w:rsidR="00016AE1" w:rsidRPr="008C3D55" w14:paraId="2589FE18" w14:textId="77777777" w:rsidTr="00016AE1">
        <w:trPr>
          <w:cantSplit/>
        </w:trPr>
        <w:tc>
          <w:tcPr>
            <w:tcW w:w="1806" w:type="pct"/>
          </w:tcPr>
          <w:p w14:paraId="03DDA12D" w14:textId="77777777" w:rsidR="00016AE1" w:rsidRDefault="00016AE1" w:rsidP="00016AE1">
            <w:pPr>
              <w:pStyle w:val="Tabletext"/>
              <w:rPr>
                <w:i/>
                <w:iCs/>
              </w:rPr>
            </w:pPr>
            <w:r>
              <w:rPr>
                <w:i/>
                <w:iCs/>
              </w:rPr>
              <w:t>Hydromys chrysogaster</w:t>
            </w:r>
          </w:p>
        </w:tc>
        <w:tc>
          <w:tcPr>
            <w:tcW w:w="1650" w:type="pct"/>
          </w:tcPr>
          <w:p w14:paraId="687CFFE8" w14:textId="77777777" w:rsidR="00016AE1" w:rsidRDefault="00016AE1" w:rsidP="00016AE1">
            <w:pPr>
              <w:pStyle w:val="Tabletext"/>
            </w:pPr>
            <w:r>
              <w:t>water rat</w:t>
            </w:r>
          </w:p>
        </w:tc>
        <w:tc>
          <w:tcPr>
            <w:tcW w:w="786" w:type="pct"/>
          </w:tcPr>
          <w:p w14:paraId="1E7248D7" w14:textId="77777777" w:rsidR="00016AE1" w:rsidRPr="00C560DA" w:rsidRDefault="00016AE1" w:rsidP="00016AE1">
            <w:pPr>
              <w:pStyle w:val="Tabletext"/>
            </w:pPr>
          </w:p>
        </w:tc>
        <w:tc>
          <w:tcPr>
            <w:tcW w:w="758" w:type="pct"/>
          </w:tcPr>
          <w:p w14:paraId="2161269D" w14:textId="77777777" w:rsidR="00016AE1" w:rsidRPr="00C560DA" w:rsidRDefault="00016AE1" w:rsidP="00016AE1">
            <w:pPr>
              <w:pStyle w:val="Tabletext"/>
            </w:pPr>
          </w:p>
        </w:tc>
      </w:tr>
      <w:tr w:rsidR="00016AE1" w:rsidRPr="008C3D55" w14:paraId="329E8F22" w14:textId="77777777" w:rsidTr="00016AE1">
        <w:trPr>
          <w:cantSplit/>
        </w:trPr>
        <w:tc>
          <w:tcPr>
            <w:tcW w:w="1806" w:type="pct"/>
          </w:tcPr>
          <w:p w14:paraId="5982FFE6" w14:textId="4225B660" w:rsidR="00016AE1" w:rsidRPr="00600205" w:rsidRDefault="00016AE1" w:rsidP="00016AE1">
            <w:pPr>
              <w:pStyle w:val="Tabletext"/>
              <w:rPr>
                <w:i/>
              </w:rPr>
            </w:pPr>
            <w:r w:rsidRPr="00600205">
              <w:rPr>
                <w:i/>
                <w:iCs/>
              </w:rPr>
              <w:t xml:space="preserve">Isoodon obesulus </w:t>
            </w:r>
          </w:p>
          <w:p w14:paraId="11A00089" w14:textId="77777777" w:rsidR="00016AE1" w:rsidRDefault="00016AE1" w:rsidP="00016AE1">
            <w:pPr>
              <w:pStyle w:val="Tabletext"/>
              <w:rPr>
                <w:i/>
              </w:rPr>
            </w:pPr>
          </w:p>
        </w:tc>
        <w:tc>
          <w:tcPr>
            <w:tcW w:w="1650" w:type="pct"/>
          </w:tcPr>
          <w:p w14:paraId="4241436A" w14:textId="77777777" w:rsidR="00016AE1" w:rsidRPr="00600205" w:rsidRDefault="00016AE1" w:rsidP="00016AE1">
            <w:pPr>
              <w:pStyle w:val="Tabletext"/>
            </w:pPr>
            <w:r>
              <w:t>southern brown bandicoot</w:t>
            </w:r>
          </w:p>
        </w:tc>
        <w:tc>
          <w:tcPr>
            <w:tcW w:w="786" w:type="pct"/>
          </w:tcPr>
          <w:p w14:paraId="5CC40376" w14:textId="77777777" w:rsidR="00016AE1" w:rsidRPr="00A30F68" w:rsidRDefault="00016AE1" w:rsidP="00016AE1">
            <w:pPr>
              <w:pStyle w:val="Tabletext"/>
              <w:rPr>
                <w:highlight w:val="yellow"/>
              </w:rPr>
            </w:pPr>
          </w:p>
        </w:tc>
        <w:tc>
          <w:tcPr>
            <w:tcW w:w="758" w:type="pct"/>
          </w:tcPr>
          <w:p w14:paraId="66C5AA6B" w14:textId="77777777" w:rsidR="00016AE1" w:rsidRPr="008C3D55" w:rsidRDefault="00016AE1" w:rsidP="00016AE1">
            <w:pPr>
              <w:pStyle w:val="Tabletext"/>
            </w:pPr>
          </w:p>
        </w:tc>
      </w:tr>
      <w:tr w:rsidR="00016AE1" w:rsidRPr="008C3D55" w14:paraId="7F44DFE0" w14:textId="77777777" w:rsidTr="00016AE1">
        <w:trPr>
          <w:cantSplit/>
        </w:trPr>
        <w:tc>
          <w:tcPr>
            <w:tcW w:w="1806" w:type="pct"/>
          </w:tcPr>
          <w:p w14:paraId="3726AA93" w14:textId="77777777" w:rsidR="00016AE1" w:rsidRPr="00A546EF" w:rsidRDefault="00016AE1" w:rsidP="00016AE1">
            <w:pPr>
              <w:pStyle w:val="Tabletext"/>
              <w:rPr>
                <w:i/>
                <w:iCs/>
              </w:rPr>
            </w:pPr>
            <w:r>
              <w:rPr>
                <w:i/>
                <w:iCs/>
              </w:rPr>
              <w:t>Notamacropus rufogriseus</w:t>
            </w:r>
          </w:p>
        </w:tc>
        <w:tc>
          <w:tcPr>
            <w:tcW w:w="1650" w:type="pct"/>
          </w:tcPr>
          <w:p w14:paraId="616AA4F7" w14:textId="77777777" w:rsidR="00016AE1" w:rsidRDefault="00016AE1" w:rsidP="00016AE1">
            <w:pPr>
              <w:pStyle w:val="Tabletext"/>
            </w:pPr>
            <w:r>
              <w:t>red-necked wallaby</w:t>
            </w:r>
          </w:p>
        </w:tc>
        <w:tc>
          <w:tcPr>
            <w:tcW w:w="786" w:type="pct"/>
          </w:tcPr>
          <w:p w14:paraId="53477038" w14:textId="77777777" w:rsidR="00016AE1" w:rsidRPr="00C560DA" w:rsidRDefault="00016AE1" w:rsidP="00016AE1">
            <w:pPr>
              <w:pStyle w:val="Tabletext"/>
            </w:pPr>
          </w:p>
        </w:tc>
        <w:tc>
          <w:tcPr>
            <w:tcW w:w="758" w:type="pct"/>
          </w:tcPr>
          <w:p w14:paraId="76A90209" w14:textId="77777777" w:rsidR="00016AE1" w:rsidRPr="00C560DA" w:rsidRDefault="00016AE1" w:rsidP="00016AE1">
            <w:pPr>
              <w:pStyle w:val="Tabletext"/>
            </w:pPr>
          </w:p>
        </w:tc>
      </w:tr>
      <w:tr w:rsidR="00016AE1" w:rsidRPr="008C3D55" w14:paraId="748E8283" w14:textId="77777777" w:rsidTr="00016AE1">
        <w:trPr>
          <w:cantSplit/>
        </w:trPr>
        <w:tc>
          <w:tcPr>
            <w:tcW w:w="1806" w:type="pct"/>
          </w:tcPr>
          <w:p w14:paraId="659DC66A" w14:textId="77777777" w:rsidR="00016AE1" w:rsidRDefault="00016AE1" w:rsidP="00016AE1">
            <w:pPr>
              <w:pStyle w:val="Tabletext"/>
              <w:rPr>
                <w:i/>
                <w:iCs/>
              </w:rPr>
            </w:pPr>
            <w:r>
              <w:rPr>
                <w:i/>
                <w:iCs/>
              </w:rPr>
              <w:t>Nyctophilus geoffroyi</w:t>
            </w:r>
          </w:p>
        </w:tc>
        <w:tc>
          <w:tcPr>
            <w:tcW w:w="1650" w:type="pct"/>
          </w:tcPr>
          <w:p w14:paraId="70D1B223" w14:textId="77777777" w:rsidR="00016AE1" w:rsidRDefault="00016AE1" w:rsidP="00016AE1">
            <w:pPr>
              <w:pStyle w:val="Tabletext"/>
            </w:pPr>
            <w:r>
              <w:t>lesser long-eared bat</w:t>
            </w:r>
          </w:p>
        </w:tc>
        <w:tc>
          <w:tcPr>
            <w:tcW w:w="786" w:type="pct"/>
          </w:tcPr>
          <w:p w14:paraId="37ABDC8E" w14:textId="77777777" w:rsidR="00016AE1" w:rsidRPr="00C560DA" w:rsidRDefault="00016AE1" w:rsidP="00016AE1">
            <w:pPr>
              <w:pStyle w:val="Tabletext"/>
            </w:pPr>
          </w:p>
        </w:tc>
        <w:tc>
          <w:tcPr>
            <w:tcW w:w="758" w:type="pct"/>
          </w:tcPr>
          <w:p w14:paraId="57390688" w14:textId="77777777" w:rsidR="00016AE1" w:rsidRPr="00C560DA" w:rsidRDefault="00016AE1" w:rsidP="00016AE1">
            <w:pPr>
              <w:pStyle w:val="Tabletext"/>
            </w:pPr>
          </w:p>
        </w:tc>
      </w:tr>
      <w:tr w:rsidR="00016AE1" w:rsidRPr="008C3D55" w14:paraId="305A77D6" w14:textId="77777777" w:rsidTr="00016AE1">
        <w:trPr>
          <w:cantSplit/>
        </w:trPr>
        <w:tc>
          <w:tcPr>
            <w:tcW w:w="1806" w:type="pct"/>
          </w:tcPr>
          <w:p w14:paraId="52D3DF12" w14:textId="77777777" w:rsidR="00016AE1" w:rsidRPr="00A546EF" w:rsidRDefault="00016AE1" w:rsidP="00016AE1">
            <w:pPr>
              <w:pStyle w:val="Tabletext"/>
              <w:rPr>
                <w:i/>
                <w:iCs/>
              </w:rPr>
            </w:pPr>
            <w:r>
              <w:rPr>
                <w:i/>
                <w:iCs/>
              </w:rPr>
              <w:t>Nyctophilus gouldi</w:t>
            </w:r>
          </w:p>
        </w:tc>
        <w:tc>
          <w:tcPr>
            <w:tcW w:w="1650" w:type="pct"/>
          </w:tcPr>
          <w:p w14:paraId="25218843" w14:textId="77777777" w:rsidR="00016AE1" w:rsidRDefault="00016AE1" w:rsidP="00016AE1">
            <w:pPr>
              <w:pStyle w:val="Tabletext"/>
            </w:pPr>
            <w:r>
              <w:t>Gould’s long-eared bat</w:t>
            </w:r>
          </w:p>
        </w:tc>
        <w:tc>
          <w:tcPr>
            <w:tcW w:w="786" w:type="pct"/>
          </w:tcPr>
          <w:p w14:paraId="12753A33" w14:textId="77777777" w:rsidR="00016AE1" w:rsidRPr="00C560DA" w:rsidRDefault="00016AE1" w:rsidP="00016AE1">
            <w:pPr>
              <w:pStyle w:val="Tabletext"/>
            </w:pPr>
          </w:p>
        </w:tc>
        <w:tc>
          <w:tcPr>
            <w:tcW w:w="758" w:type="pct"/>
          </w:tcPr>
          <w:p w14:paraId="3646716C" w14:textId="77777777" w:rsidR="00016AE1" w:rsidRPr="00C560DA" w:rsidRDefault="00016AE1" w:rsidP="00016AE1">
            <w:pPr>
              <w:pStyle w:val="Tabletext"/>
            </w:pPr>
          </w:p>
        </w:tc>
      </w:tr>
      <w:tr w:rsidR="00016AE1" w:rsidRPr="008C3D55" w14:paraId="315E5BF7" w14:textId="77777777" w:rsidTr="00016AE1">
        <w:trPr>
          <w:cantSplit/>
        </w:trPr>
        <w:tc>
          <w:tcPr>
            <w:tcW w:w="1806" w:type="pct"/>
          </w:tcPr>
          <w:p w14:paraId="408C0856" w14:textId="77777777" w:rsidR="00016AE1" w:rsidRDefault="00016AE1" w:rsidP="00016AE1">
            <w:pPr>
              <w:pStyle w:val="Tabletext"/>
              <w:rPr>
                <w:i/>
                <w:iCs/>
              </w:rPr>
            </w:pPr>
            <w:r>
              <w:rPr>
                <w:i/>
                <w:iCs/>
              </w:rPr>
              <w:t>Ornithorhynchus anatinus</w:t>
            </w:r>
          </w:p>
        </w:tc>
        <w:tc>
          <w:tcPr>
            <w:tcW w:w="1650" w:type="pct"/>
          </w:tcPr>
          <w:p w14:paraId="5728B4BD" w14:textId="77777777" w:rsidR="00016AE1" w:rsidRDefault="00016AE1" w:rsidP="00016AE1">
            <w:pPr>
              <w:pStyle w:val="Tabletext"/>
            </w:pPr>
            <w:r>
              <w:t>platypus</w:t>
            </w:r>
          </w:p>
        </w:tc>
        <w:tc>
          <w:tcPr>
            <w:tcW w:w="786" w:type="pct"/>
          </w:tcPr>
          <w:p w14:paraId="4FAAAD45" w14:textId="77777777" w:rsidR="00016AE1" w:rsidRPr="00C560DA" w:rsidRDefault="00016AE1" w:rsidP="00016AE1">
            <w:pPr>
              <w:pStyle w:val="Tabletext"/>
            </w:pPr>
          </w:p>
        </w:tc>
        <w:tc>
          <w:tcPr>
            <w:tcW w:w="758" w:type="pct"/>
          </w:tcPr>
          <w:p w14:paraId="61C61E82" w14:textId="77777777" w:rsidR="00016AE1" w:rsidRPr="00C560DA" w:rsidRDefault="00016AE1" w:rsidP="00016AE1">
            <w:pPr>
              <w:pStyle w:val="Tabletext"/>
            </w:pPr>
          </w:p>
        </w:tc>
      </w:tr>
      <w:tr w:rsidR="00016AE1" w:rsidRPr="008C3D55" w14:paraId="7AFEF0BA" w14:textId="77777777" w:rsidTr="00016AE1">
        <w:trPr>
          <w:cantSplit/>
        </w:trPr>
        <w:tc>
          <w:tcPr>
            <w:tcW w:w="1806" w:type="pct"/>
          </w:tcPr>
          <w:p w14:paraId="6867C0AD" w14:textId="77777777" w:rsidR="00016AE1" w:rsidRDefault="00016AE1" w:rsidP="00016AE1">
            <w:pPr>
              <w:pStyle w:val="Tabletext"/>
              <w:rPr>
                <w:i/>
                <w:iCs/>
                <w:highlight w:val="yellow"/>
              </w:rPr>
            </w:pPr>
            <w:r w:rsidRPr="00A546EF">
              <w:rPr>
                <w:i/>
                <w:iCs/>
              </w:rPr>
              <w:t>Perameles gunnii</w:t>
            </w:r>
          </w:p>
        </w:tc>
        <w:tc>
          <w:tcPr>
            <w:tcW w:w="1650" w:type="pct"/>
          </w:tcPr>
          <w:p w14:paraId="6F579838" w14:textId="77777777" w:rsidR="00016AE1" w:rsidRPr="00C560DA" w:rsidRDefault="00016AE1" w:rsidP="00016AE1">
            <w:pPr>
              <w:pStyle w:val="Tabletext"/>
            </w:pPr>
            <w:r>
              <w:t>eastern barred bandicoot</w:t>
            </w:r>
          </w:p>
        </w:tc>
        <w:tc>
          <w:tcPr>
            <w:tcW w:w="786" w:type="pct"/>
          </w:tcPr>
          <w:p w14:paraId="0E77815A" w14:textId="77777777" w:rsidR="00016AE1" w:rsidRPr="00C560DA" w:rsidRDefault="00016AE1" w:rsidP="00016AE1">
            <w:pPr>
              <w:pStyle w:val="Tabletext"/>
            </w:pPr>
          </w:p>
        </w:tc>
        <w:tc>
          <w:tcPr>
            <w:tcW w:w="758" w:type="pct"/>
          </w:tcPr>
          <w:p w14:paraId="19AA077B" w14:textId="77777777" w:rsidR="00016AE1" w:rsidRPr="00C560DA" w:rsidRDefault="00016AE1" w:rsidP="00016AE1">
            <w:pPr>
              <w:pStyle w:val="Tabletext"/>
            </w:pPr>
          </w:p>
        </w:tc>
      </w:tr>
      <w:tr w:rsidR="00016AE1" w:rsidRPr="008C3D55" w14:paraId="7D074D1C" w14:textId="77777777" w:rsidTr="00016AE1">
        <w:trPr>
          <w:cantSplit/>
        </w:trPr>
        <w:tc>
          <w:tcPr>
            <w:tcW w:w="1806" w:type="pct"/>
          </w:tcPr>
          <w:p w14:paraId="2D344A81" w14:textId="77777777" w:rsidR="00016AE1" w:rsidRPr="00D26689" w:rsidRDefault="00016AE1" w:rsidP="00016AE1">
            <w:pPr>
              <w:pStyle w:val="Tabletext"/>
              <w:rPr>
                <w:i/>
              </w:rPr>
            </w:pPr>
            <w:r w:rsidRPr="00D26689">
              <w:rPr>
                <w:i/>
                <w:iCs/>
              </w:rPr>
              <w:t xml:space="preserve">Potorous tridactylus </w:t>
            </w:r>
          </w:p>
        </w:tc>
        <w:tc>
          <w:tcPr>
            <w:tcW w:w="1650" w:type="pct"/>
          </w:tcPr>
          <w:p w14:paraId="4A1B1054" w14:textId="77777777" w:rsidR="00016AE1" w:rsidRPr="00D26689" w:rsidRDefault="00016AE1" w:rsidP="00016AE1">
            <w:pPr>
              <w:pStyle w:val="Tabletext"/>
            </w:pPr>
            <w:r w:rsidRPr="00D26689">
              <w:t>long-nosed potoroo</w:t>
            </w:r>
          </w:p>
        </w:tc>
        <w:tc>
          <w:tcPr>
            <w:tcW w:w="786" w:type="pct"/>
          </w:tcPr>
          <w:p w14:paraId="0B4E3BB6" w14:textId="77777777" w:rsidR="00016AE1" w:rsidRPr="00D26689" w:rsidRDefault="00016AE1" w:rsidP="00016AE1">
            <w:pPr>
              <w:pStyle w:val="Tabletext"/>
            </w:pPr>
          </w:p>
        </w:tc>
        <w:tc>
          <w:tcPr>
            <w:tcW w:w="758" w:type="pct"/>
          </w:tcPr>
          <w:p w14:paraId="53557CBF" w14:textId="77777777" w:rsidR="00016AE1" w:rsidRPr="00D26689" w:rsidRDefault="00016AE1" w:rsidP="00016AE1">
            <w:pPr>
              <w:pStyle w:val="Tabletext"/>
            </w:pPr>
          </w:p>
        </w:tc>
      </w:tr>
      <w:tr w:rsidR="00016AE1" w:rsidRPr="008C3D55" w14:paraId="52C95D26" w14:textId="77777777" w:rsidTr="00016AE1">
        <w:trPr>
          <w:cantSplit/>
        </w:trPr>
        <w:tc>
          <w:tcPr>
            <w:tcW w:w="1806" w:type="pct"/>
          </w:tcPr>
          <w:p w14:paraId="3E81BF69" w14:textId="77777777" w:rsidR="00016AE1" w:rsidRDefault="00016AE1" w:rsidP="00016AE1">
            <w:pPr>
              <w:pStyle w:val="Tabletext"/>
              <w:rPr>
                <w:i/>
                <w:iCs/>
              </w:rPr>
            </w:pPr>
            <w:r>
              <w:rPr>
                <w:i/>
                <w:iCs/>
              </w:rPr>
              <w:lastRenderedPageBreak/>
              <w:t>Pseudocheirus peregrinus</w:t>
            </w:r>
          </w:p>
        </w:tc>
        <w:tc>
          <w:tcPr>
            <w:tcW w:w="1650" w:type="pct"/>
          </w:tcPr>
          <w:p w14:paraId="1298E847" w14:textId="77777777" w:rsidR="00016AE1" w:rsidRDefault="00016AE1" w:rsidP="00016AE1">
            <w:pPr>
              <w:pStyle w:val="Tabletext"/>
            </w:pPr>
            <w:r>
              <w:t>common ringtail possum</w:t>
            </w:r>
          </w:p>
        </w:tc>
        <w:tc>
          <w:tcPr>
            <w:tcW w:w="786" w:type="pct"/>
          </w:tcPr>
          <w:p w14:paraId="0F13AA10" w14:textId="77777777" w:rsidR="00016AE1" w:rsidRPr="00C560DA" w:rsidRDefault="00016AE1" w:rsidP="00016AE1">
            <w:pPr>
              <w:pStyle w:val="Tabletext"/>
            </w:pPr>
          </w:p>
        </w:tc>
        <w:tc>
          <w:tcPr>
            <w:tcW w:w="758" w:type="pct"/>
          </w:tcPr>
          <w:p w14:paraId="006FD91F" w14:textId="77777777" w:rsidR="00016AE1" w:rsidRPr="00C560DA" w:rsidRDefault="00016AE1" w:rsidP="00016AE1">
            <w:pPr>
              <w:pStyle w:val="Tabletext"/>
            </w:pPr>
          </w:p>
        </w:tc>
      </w:tr>
      <w:tr w:rsidR="00016AE1" w:rsidRPr="008C3D55" w14:paraId="3E6D2962" w14:textId="77777777" w:rsidTr="00016AE1">
        <w:trPr>
          <w:cantSplit/>
        </w:trPr>
        <w:tc>
          <w:tcPr>
            <w:tcW w:w="1806" w:type="pct"/>
          </w:tcPr>
          <w:p w14:paraId="782D1C32" w14:textId="15A3737D" w:rsidR="00016AE1" w:rsidRPr="0057750C" w:rsidRDefault="00016AE1" w:rsidP="00016AE1">
            <w:pPr>
              <w:pStyle w:val="Tabletext"/>
              <w:rPr>
                <w:i/>
              </w:rPr>
            </w:pPr>
            <w:r w:rsidRPr="0057750C">
              <w:rPr>
                <w:i/>
                <w:iCs/>
              </w:rPr>
              <w:t>Sarcophilus harrisii</w:t>
            </w:r>
          </w:p>
        </w:tc>
        <w:tc>
          <w:tcPr>
            <w:tcW w:w="1650" w:type="pct"/>
          </w:tcPr>
          <w:p w14:paraId="759F966F" w14:textId="03EAB3C3" w:rsidR="00016AE1" w:rsidRPr="0057750C" w:rsidRDefault="00016AE1" w:rsidP="00016AE1">
            <w:pPr>
              <w:pStyle w:val="Tabletext"/>
            </w:pPr>
            <w:r w:rsidRPr="0057750C">
              <w:t>Tasmanian devil</w:t>
            </w:r>
          </w:p>
        </w:tc>
        <w:tc>
          <w:tcPr>
            <w:tcW w:w="786" w:type="pct"/>
          </w:tcPr>
          <w:p w14:paraId="065B0C4D" w14:textId="71B962F5" w:rsidR="00016AE1" w:rsidRPr="0057750C" w:rsidRDefault="00016AE1" w:rsidP="00016AE1">
            <w:pPr>
              <w:pStyle w:val="Tabletext"/>
            </w:pPr>
            <w:r w:rsidRPr="0057750C">
              <w:t>Endangered</w:t>
            </w:r>
          </w:p>
        </w:tc>
        <w:tc>
          <w:tcPr>
            <w:tcW w:w="758" w:type="pct"/>
          </w:tcPr>
          <w:p w14:paraId="6DF38FB5" w14:textId="101E4091" w:rsidR="00016AE1" w:rsidRPr="0057750C" w:rsidRDefault="00016AE1" w:rsidP="00016AE1">
            <w:pPr>
              <w:pStyle w:val="Tabletext"/>
            </w:pPr>
            <w:r w:rsidRPr="0057750C">
              <w:t>Endangered</w:t>
            </w:r>
          </w:p>
        </w:tc>
      </w:tr>
      <w:tr w:rsidR="00016AE1" w:rsidRPr="008C3D55" w14:paraId="729006FF" w14:textId="77777777" w:rsidTr="00016AE1">
        <w:trPr>
          <w:cantSplit/>
        </w:trPr>
        <w:tc>
          <w:tcPr>
            <w:tcW w:w="1806" w:type="pct"/>
          </w:tcPr>
          <w:p w14:paraId="1F44A87E" w14:textId="4DC153EB" w:rsidR="00016AE1" w:rsidRPr="0057750C" w:rsidRDefault="00016AE1" w:rsidP="00016AE1">
            <w:pPr>
              <w:pStyle w:val="Tabletext"/>
              <w:rPr>
                <w:i/>
                <w:iCs/>
              </w:rPr>
            </w:pPr>
            <w:r>
              <w:rPr>
                <w:i/>
                <w:iCs/>
              </w:rPr>
              <w:t>Tachyglossus aculeatus</w:t>
            </w:r>
          </w:p>
        </w:tc>
        <w:tc>
          <w:tcPr>
            <w:tcW w:w="1650" w:type="pct"/>
          </w:tcPr>
          <w:p w14:paraId="2800AAAA" w14:textId="0CBD4447" w:rsidR="00016AE1" w:rsidRPr="0057750C" w:rsidRDefault="00016AE1" w:rsidP="00016AE1">
            <w:pPr>
              <w:pStyle w:val="Tabletext"/>
            </w:pPr>
            <w:r>
              <w:t>Short-Beaked Echidna</w:t>
            </w:r>
          </w:p>
        </w:tc>
        <w:tc>
          <w:tcPr>
            <w:tcW w:w="786" w:type="pct"/>
          </w:tcPr>
          <w:p w14:paraId="3C9FFAC6" w14:textId="77777777" w:rsidR="00016AE1" w:rsidRPr="0057750C" w:rsidRDefault="00016AE1" w:rsidP="00016AE1">
            <w:pPr>
              <w:pStyle w:val="Tabletext"/>
            </w:pPr>
          </w:p>
        </w:tc>
        <w:tc>
          <w:tcPr>
            <w:tcW w:w="758" w:type="pct"/>
          </w:tcPr>
          <w:p w14:paraId="60644E8D" w14:textId="77777777" w:rsidR="00016AE1" w:rsidRPr="0057750C" w:rsidRDefault="00016AE1" w:rsidP="00016AE1">
            <w:pPr>
              <w:pStyle w:val="Tabletext"/>
            </w:pPr>
          </w:p>
        </w:tc>
      </w:tr>
      <w:tr w:rsidR="00016AE1" w:rsidRPr="008C3D55" w14:paraId="2B0DF2B1" w14:textId="77777777" w:rsidTr="00016AE1">
        <w:trPr>
          <w:cantSplit/>
        </w:trPr>
        <w:tc>
          <w:tcPr>
            <w:tcW w:w="1806" w:type="pct"/>
          </w:tcPr>
          <w:p w14:paraId="2878CFDC" w14:textId="77777777" w:rsidR="00016AE1" w:rsidRPr="0057750C" w:rsidRDefault="00016AE1" w:rsidP="00016AE1">
            <w:pPr>
              <w:pStyle w:val="Tabletext"/>
              <w:rPr>
                <w:i/>
                <w:iCs/>
              </w:rPr>
            </w:pPr>
            <w:r w:rsidRPr="0057750C">
              <w:rPr>
                <w:i/>
                <w:iCs/>
              </w:rPr>
              <w:t>Thylogale billardierii</w:t>
            </w:r>
          </w:p>
        </w:tc>
        <w:tc>
          <w:tcPr>
            <w:tcW w:w="1650" w:type="pct"/>
          </w:tcPr>
          <w:p w14:paraId="3DCAE9B6" w14:textId="77777777" w:rsidR="00016AE1" w:rsidRPr="0057750C" w:rsidRDefault="00016AE1" w:rsidP="00016AE1">
            <w:pPr>
              <w:pStyle w:val="Tabletext"/>
            </w:pPr>
            <w:r w:rsidRPr="0057750C">
              <w:t>Tasmanian pademelon</w:t>
            </w:r>
          </w:p>
        </w:tc>
        <w:tc>
          <w:tcPr>
            <w:tcW w:w="786" w:type="pct"/>
          </w:tcPr>
          <w:p w14:paraId="2C74CD33" w14:textId="77777777" w:rsidR="00016AE1" w:rsidRPr="0057750C" w:rsidRDefault="00016AE1" w:rsidP="00016AE1">
            <w:pPr>
              <w:pStyle w:val="Tabletext"/>
            </w:pPr>
          </w:p>
        </w:tc>
        <w:tc>
          <w:tcPr>
            <w:tcW w:w="758" w:type="pct"/>
          </w:tcPr>
          <w:p w14:paraId="17F0EE74" w14:textId="77777777" w:rsidR="00016AE1" w:rsidRPr="0057750C" w:rsidRDefault="00016AE1" w:rsidP="00016AE1">
            <w:pPr>
              <w:pStyle w:val="Tabletext"/>
            </w:pPr>
          </w:p>
        </w:tc>
      </w:tr>
      <w:tr w:rsidR="00016AE1" w:rsidRPr="008C3D55" w14:paraId="4B70BEB5" w14:textId="77777777" w:rsidTr="00016AE1">
        <w:trPr>
          <w:cantSplit/>
        </w:trPr>
        <w:tc>
          <w:tcPr>
            <w:tcW w:w="1806" w:type="pct"/>
          </w:tcPr>
          <w:p w14:paraId="7E19F685" w14:textId="77777777" w:rsidR="00016AE1" w:rsidRPr="0057750C" w:rsidRDefault="00016AE1" w:rsidP="00016AE1">
            <w:pPr>
              <w:pStyle w:val="Tabletext"/>
              <w:rPr>
                <w:i/>
                <w:iCs/>
              </w:rPr>
            </w:pPr>
            <w:r w:rsidRPr="0057750C">
              <w:rPr>
                <w:i/>
                <w:iCs/>
              </w:rPr>
              <w:t>Trichosurus vulpecula</w:t>
            </w:r>
          </w:p>
        </w:tc>
        <w:tc>
          <w:tcPr>
            <w:tcW w:w="1650" w:type="pct"/>
          </w:tcPr>
          <w:p w14:paraId="4513446D" w14:textId="77777777" w:rsidR="00016AE1" w:rsidRPr="0057750C" w:rsidRDefault="00016AE1" w:rsidP="00016AE1">
            <w:pPr>
              <w:pStyle w:val="Tabletext"/>
            </w:pPr>
            <w:r w:rsidRPr="0057750C">
              <w:t>common brushtail possum</w:t>
            </w:r>
          </w:p>
        </w:tc>
        <w:tc>
          <w:tcPr>
            <w:tcW w:w="786" w:type="pct"/>
          </w:tcPr>
          <w:p w14:paraId="0F34EA09" w14:textId="77777777" w:rsidR="00016AE1" w:rsidRPr="0057750C" w:rsidRDefault="00016AE1" w:rsidP="00016AE1">
            <w:pPr>
              <w:pStyle w:val="Tabletext"/>
            </w:pPr>
          </w:p>
        </w:tc>
        <w:tc>
          <w:tcPr>
            <w:tcW w:w="758" w:type="pct"/>
          </w:tcPr>
          <w:p w14:paraId="7C0305FA" w14:textId="77777777" w:rsidR="00016AE1" w:rsidRPr="0057750C" w:rsidRDefault="00016AE1" w:rsidP="00016AE1">
            <w:pPr>
              <w:pStyle w:val="Tabletext"/>
            </w:pPr>
          </w:p>
        </w:tc>
      </w:tr>
      <w:tr w:rsidR="00016AE1" w:rsidRPr="008C3D55" w14:paraId="163DE637" w14:textId="77777777" w:rsidTr="00016AE1">
        <w:trPr>
          <w:cantSplit/>
        </w:trPr>
        <w:tc>
          <w:tcPr>
            <w:tcW w:w="1806" w:type="pct"/>
          </w:tcPr>
          <w:p w14:paraId="6D6E8A1B" w14:textId="77777777" w:rsidR="00016AE1" w:rsidRPr="0057750C" w:rsidRDefault="00016AE1" w:rsidP="00016AE1">
            <w:pPr>
              <w:pStyle w:val="Tabletext"/>
              <w:rPr>
                <w:i/>
                <w:iCs/>
              </w:rPr>
            </w:pPr>
            <w:r w:rsidRPr="0057750C">
              <w:rPr>
                <w:i/>
                <w:iCs/>
              </w:rPr>
              <w:t>Vespadelus regulus</w:t>
            </w:r>
          </w:p>
        </w:tc>
        <w:tc>
          <w:tcPr>
            <w:tcW w:w="1650" w:type="pct"/>
          </w:tcPr>
          <w:p w14:paraId="44B530A2" w14:textId="77777777" w:rsidR="00016AE1" w:rsidRPr="0057750C" w:rsidRDefault="00016AE1" w:rsidP="00016AE1">
            <w:pPr>
              <w:pStyle w:val="Tabletext"/>
            </w:pPr>
            <w:r w:rsidRPr="0057750C">
              <w:t>southern forest bat</w:t>
            </w:r>
          </w:p>
        </w:tc>
        <w:tc>
          <w:tcPr>
            <w:tcW w:w="786" w:type="pct"/>
          </w:tcPr>
          <w:p w14:paraId="76179662" w14:textId="77777777" w:rsidR="00016AE1" w:rsidRPr="0057750C" w:rsidRDefault="00016AE1" w:rsidP="00016AE1">
            <w:pPr>
              <w:pStyle w:val="Tabletext"/>
            </w:pPr>
          </w:p>
        </w:tc>
        <w:tc>
          <w:tcPr>
            <w:tcW w:w="758" w:type="pct"/>
          </w:tcPr>
          <w:p w14:paraId="01F11E26" w14:textId="77777777" w:rsidR="00016AE1" w:rsidRPr="0057750C" w:rsidRDefault="00016AE1" w:rsidP="00016AE1">
            <w:pPr>
              <w:pStyle w:val="Tabletext"/>
            </w:pPr>
          </w:p>
        </w:tc>
      </w:tr>
      <w:tr w:rsidR="00016AE1" w:rsidRPr="008C3D55" w14:paraId="42F68BA4" w14:textId="77777777" w:rsidTr="00016AE1">
        <w:trPr>
          <w:cantSplit/>
        </w:trPr>
        <w:tc>
          <w:tcPr>
            <w:tcW w:w="1806" w:type="pct"/>
          </w:tcPr>
          <w:p w14:paraId="66F5279C" w14:textId="77777777" w:rsidR="00016AE1" w:rsidRPr="0057750C" w:rsidRDefault="00016AE1" w:rsidP="00016AE1">
            <w:pPr>
              <w:pStyle w:val="Tabletext"/>
              <w:rPr>
                <w:i/>
                <w:iCs/>
              </w:rPr>
            </w:pPr>
            <w:r w:rsidRPr="0057750C">
              <w:rPr>
                <w:i/>
                <w:iCs/>
              </w:rPr>
              <w:t>Vespadelus vulturnus</w:t>
            </w:r>
          </w:p>
        </w:tc>
        <w:tc>
          <w:tcPr>
            <w:tcW w:w="1650" w:type="pct"/>
          </w:tcPr>
          <w:p w14:paraId="65FD801C" w14:textId="77777777" w:rsidR="00016AE1" w:rsidRPr="0057750C" w:rsidRDefault="00016AE1" w:rsidP="00016AE1">
            <w:pPr>
              <w:pStyle w:val="Tabletext"/>
            </w:pPr>
            <w:r w:rsidRPr="0057750C">
              <w:t>little forest bat</w:t>
            </w:r>
          </w:p>
        </w:tc>
        <w:tc>
          <w:tcPr>
            <w:tcW w:w="786" w:type="pct"/>
          </w:tcPr>
          <w:p w14:paraId="4928965A" w14:textId="77777777" w:rsidR="00016AE1" w:rsidRPr="0057750C" w:rsidRDefault="00016AE1" w:rsidP="00016AE1">
            <w:pPr>
              <w:pStyle w:val="Tabletext"/>
            </w:pPr>
          </w:p>
        </w:tc>
        <w:tc>
          <w:tcPr>
            <w:tcW w:w="758" w:type="pct"/>
          </w:tcPr>
          <w:p w14:paraId="351CCEEA" w14:textId="77777777" w:rsidR="00016AE1" w:rsidRPr="0057750C" w:rsidRDefault="00016AE1" w:rsidP="00016AE1">
            <w:pPr>
              <w:pStyle w:val="Tabletext"/>
            </w:pPr>
          </w:p>
        </w:tc>
      </w:tr>
      <w:tr w:rsidR="00016AE1" w:rsidRPr="008C3D55" w14:paraId="57F5D298" w14:textId="77777777" w:rsidTr="00016AE1">
        <w:trPr>
          <w:cantSplit/>
        </w:trPr>
        <w:tc>
          <w:tcPr>
            <w:tcW w:w="1806" w:type="pct"/>
          </w:tcPr>
          <w:p w14:paraId="1A2C4DAC" w14:textId="77777777" w:rsidR="00016AE1" w:rsidRPr="00E30631" w:rsidRDefault="00016AE1" w:rsidP="00016AE1">
            <w:pPr>
              <w:pStyle w:val="Tabletext"/>
            </w:pPr>
            <w:r w:rsidRPr="0057750C">
              <w:rPr>
                <w:i/>
                <w:iCs/>
              </w:rPr>
              <w:t>Vombatus ursinus</w:t>
            </w:r>
            <w:r>
              <w:t xml:space="preserve"> subsp. </w:t>
            </w:r>
            <w:r w:rsidRPr="00E30631">
              <w:rPr>
                <w:i/>
                <w:iCs/>
              </w:rPr>
              <w:t>tasmaniensis</w:t>
            </w:r>
          </w:p>
        </w:tc>
        <w:tc>
          <w:tcPr>
            <w:tcW w:w="1650" w:type="pct"/>
          </w:tcPr>
          <w:p w14:paraId="30AC77D5" w14:textId="77777777" w:rsidR="00016AE1" w:rsidRPr="0057750C" w:rsidRDefault="00016AE1" w:rsidP="00016AE1">
            <w:pPr>
              <w:pStyle w:val="Tabletext"/>
            </w:pPr>
            <w:r w:rsidRPr="0057750C">
              <w:t>wombat</w:t>
            </w:r>
          </w:p>
        </w:tc>
        <w:tc>
          <w:tcPr>
            <w:tcW w:w="786" w:type="pct"/>
          </w:tcPr>
          <w:p w14:paraId="637DF0A2" w14:textId="77777777" w:rsidR="00016AE1" w:rsidRPr="0057750C" w:rsidRDefault="00016AE1" w:rsidP="00016AE1">
            <w:pPr>
              <w:pStyle w:val="Tabletext"/>
            </w:pPr>
          </w:p>
        </w:tc>
        <w:tc>
          <w:tcPr>
            <w:tcW w:w="758" w:type="pct"/>
          </w:tcPr>
          <w:p w14:paraId="718550EA" w14:textId="77777777" w:rsidR="00016AE1" w:rsidRPr="0057750C" w:rsidRDefault="00016AE1" w:rsidP="00016AE1">
            <w:pPr>
              <w:pStyle w:val="Tabletext"/>
            </w:pPr>
          </w:p>
        </w:tc>
      </w:tr>
      <w:tr w:rsidR="00016AE1" w:rsidRPr="008C3D55" w14:paraId="6C393811" w14:textId="77777777" w:rsidTr="00016AE1">
        <w:trPr>
          <w:cantSplit/>
        </w:trPr>
        <w:tc>
          <w:tcPr>
            <w:tcW w:w="1806" w:type="pct"/>
          </w:tcPr>
          <w:p w14:paraId="0C9CE78A" w14:textId="77777777" w:rsidR="00016AE1" w:rsidRPr="0057750C" w:rsidRDefault="00016AE1" w:rsidP="00016AE1">
            <w:pPr>
              <w:pStyle w:val="Tabletext"/>
              <w:rPr>
                <w:i/>
                <w:iCs/>
              </w:rPr>
            </w:pPr>
            <w:r w:rsidRPr="0057750C">
              <w:rPr>
                <w:i/>
                <w:iCs/>
              </w:rPr>
              <w:t xml:space="preserve">Vombatus ursinus </w:t>
            </w:r>
            <w:r w:rsidRPr="00E30631">
              <w:t>subsp</w:t>
            </w:r>
            <w:r w:rsidRPr="0057750C">
              <w:rPr>
                <w:i/>
                <w:iCs/>
              </w:rPr>
              <w:t>. ursinus</w:t>
            </w:r>
          </w:p>
        </w:tc>
        <w:tc>
          <w:tcPr>
            <w:tcW w:w="1650" w:type="pct"/>
          </w:tcPr>
          <w:p w14:paraId="7A6B5632" w14:textId="77777777" w:rsidR="00016AE1" w:rsidRPr="0057750C" w:rsidRDefault="00016AE1" w:rsidP="00016AE1">
            <w:pPr>
              <w:pStyle w:val="Tabletext"/>
            </w:pPr>
            <w:r w:rsidRPr="0057750C">
              <w:t>Flinders Island wombat</w:t>
            </w:r>
          </w:p>
        </w:tc>
        <w:tc>
          <w:tcPr>
            <w:tcW w:w="786" w:type="pct"/>
          </w:tcPr>
          <w:p w14:paraId="02D6BDCB" w14:textId="0810072D" w:rsidR="00016AE1" w:rsidRPr="0057750C" w:rsidRDefault="00016AE1" w:rsidP="00016AE1">
            <w:pPr>
              <w:pStyle w:val="Tabletext"/>
            </w:pPr>
          </w:p>
        </w:tc>
        <w:tc>
          <w:tcPr>
            <w:tcW w:w="758" w:type="pct"/>
          </w:tcPr>
          <w:p w14:paraId="033BD184" w14:textId="77777777" w:rsidR="00016AE1" w:rsidRPr="0057750C" w:rsidRDefault="00016AE1" w:rsidP="00016AE1">
            <w:pPr>
              <w:pStyle w:val="Tabletext"/>
            </w:pPr>
          </w:p>
        </w:tc>
      </w:tr>
      <w:tr w:rsidR="00016AE1" w:rsidRPr="007746EC" w14:paraId="01A78843" w14:textId="77777777" w:rsidTr="00016AE1">
        <w:trPr>
          <w:cantSplit/>
        </w:trPr>
        <w:tc>
          <w:tcPr>
            <w:tcW w:w="5000" w:type="pct"/>
            <w:gridSpan w:val="4"/>
            <w:shd w:val="clear" w:color="auto" w:fill="BFBFBF" w:themeFill="background1" w:themeFillShade="BF"/>
          </w:tcPr>
          <w:p w14:paraId="226B7B71" w14:textId="77777777" w:rsidR="00016AE1" w:rsidRPr="007746EC" w:rsidRDefault="00016AE1" w:rsidP="00016AE1">
            <w:pPr>
              <w:pStyle w:val="Tabletext"/>
              <w:rPr>
                <w:b/>
              </w:rPr>
            </w:pPr>
            <w:r w:rsidRPr="007746EC">
              <w:rPr>
                <w:b/>
              </w:rPr>
              <w:t>Birds</w:t>
            </w:r>
          </w:p>
        </w:tc>
      </w:tr>
      <w:tr w:rsidR="00016AE1" w:rsidRPr="008C3D55" w14:paraId="4BC99947" w14:textId="77777777" w:rsidTr="00016AE1">
        <w:trPr>
          <w:cantSplit/>
        </w:trPr>
        <w:tc>
          <w:tcPr>
            <w:tcW w:w="1806" w:type="pct"/>
          </w:tcPr>
          <w:p w14:paraId="1323121D" w14:textId="7B46C4CE" w:rsidR="00016AE1" w:rsidRPr="0057750C" w:rsidRDefault="007746EC" w:rsidP="007746EC">
            <w:pPr>
              <w:pStyle w:val="Tabletext"/>
              <w:rPr>
                <w:i/>
              </w:rPr>
            </w:pPr>
            <w:r>
              <w:rPr>
                <w:i/>
                <w:iCs/>
              </w:rPr>
              <w:t>Acanthornis magna</w:t>
            </w:r>
          </w:p>
        </w:tc>
        <w:tc>
          <w:tcPr>
            <w:tcW w:w="1650" w:type="pct"/>
          </w:tcPr>
          <w:p w14:paraId="437A969D" w14:textId="77777777" w:rsidR="00016AE1" w:rsidRPr="0057750C" w:rsidRDefault="00016AE1" w:rsidP="00016AE1">
            <w:pPr>
              <w:pStyle w:val="Tabletext"/>
            </w:pPr>
            <w:r w:rsidRPr="0057750C">
              <w:t>scrubtit</w:t>
            </w:r>
          </w:p>
        </w:tc>
        <w:tc>
          <w:tcPr>
            <w:tcW w:w="786" w:type="pct"/>
          </w:tcPr>
          <w:p w14:paraId="50F0CD3A" w14:textId="65EFFDFC" w:rsidR="00016AE1" w:rsidRPr="0057750C" w:rsidRDefault="00016AE1" w:rsidP="00016AE1">
            <w:pPr>
              <w:pStyle w:val="Tabletext"/>
            </w:pPr>
          </w:p>
        </w:tc>
        <w:tc>
          <w:tcPr>
            <w:tcW w:w="758" w:type="pct"/>
          </w:tcPr>
          <w:p w14:paraId="40FE1777" w14:textId="6C6C7E91" w:rsidR="00016AE1" w:rsidRPr="0057750C" w:rsidRDefault="00016AE1" w:rsidP="00016AE1">
            <w:pPr>
              <w:pStyle w:val="Tabletext"/>
            </w:pPr>
          </w:p>
        </w:tc>
      </w:tr>
      <w:tr w:rsidR="00016AE1" w:rsidRPr="008C3D55" w14:paraId="09E20AE6" w14:textId="77777777" w:rsidTr="00016AE1">
        <w:trPr>
          <w:cantSplit/>
        </w:trPr>
        <w:tc>
          <w:tcPr>
            <w:tcW w:w="1806" w:type="pct"/>
          </w:tcPr>
          <w:p w14:paraId="100A1C3A" w14:textId="77777777" w:rsidR="00016AE1" w:rsidRPr="0057750C" w:rsidRDefault="00016AE1" w:rsidP="00016AE1">
            <w:pPr>
              <w:pStyle w:val="Tabletext"/>
              <w:rPr>
                <w:i/>
              </w:rPr>
            </w:pPr>
            <w:r w:rsidRPr="0057750C">
              <w:rPr>
                <w:i/>
              </w:rPr>
              <w:t>Accipiter novaehollandiae</w:t>
            </w:r>
            <w:r w:rsidRPr="0057750C">
              <w:t xml:space="preserve"> </w:t>
            </w:r>
          </w:p>
        </w:tc>
        <w:tc>
          <w:tcPr>
            <w:tcW w:w="1650" w:type="pct"/>
          </w:tcPr>
          <w:p w14:paraId="6EE991F8" w14:textId="77777777" w:rsidR="00016AE1" w:rsidRPr="0057750C" w:rsidRDefault="00016AE1" w:rsidP="00016AE1">
            <w:pPr>
              <w:pStyle w:val="Tabletext"/>
            </w:pPr>
            <w:r w:rsidRPr="0057750C">
              <w:t>grey goshawk, white goshawk</w:t>
            </w:r>
          </w:p>
        </w:tc>
        <w:tc>
          <w:tcPr>
            <w:tcW w:w="786" w:type="pct"/>
          </w:tcPr>
          <w:p w14:paraId="1191BA14" w14:textId="77777777" w:rsidR="00016AE1" w:rsidRPr="0057750C" w:rsidRDefault="00016AE1" w:rsidP="00016AE1">
            <w:pPr>
              <w:pStyle w:val="Tabletext"/>
            </w:pPr>
          </w:p>
        </w:tc>
        <w:tc>
          <w:tcPr>
            <w:tcW w:w="758" w:type="pct"/>
          </w:tcPr>
          <w:p w14:paraId="1E9C42CC" w14:textId="77777777" w:rsidR="00016AE1" w:rsidRPr="0057750C" w:rsidRDefault="00016AE1" w:rsidP="00016AE1">
            <w:pPr>
              <w:pStyle w:val="Tabletext"/>
            </w:pPr>
            <w:r w:rsidRPr="0057750C">
              <w:t>Endangered</w:t>
            </w:r>
          </w:p>
        </w:tc>
      </w:tr>
      <w:tr w:rsidR="00016AE1" w:rsidRPr="008C3D55" w14:paraId="3F57478B" w14:textId="77777777" w:rsidTr="00016AE1">
        <w:trPr>
          <w:cantSplit/>
        </w:trPr>
        <w:tc>
          <w:tcPr>
            <w:tcW w:w="1806" w:type="pct"/>
          </w:tcPr>
          <w:p w14:paraId="3FC8DE1D" w14:textId="5CF1D787" w:rsidR="00016AE1" w:rsidRPr="0057750C" w:rsidRDefault="007746EC" w:rsidP="007746EC">
            <w:pPr>
              <w:pStyle w:val="Tabletext"/>
              <w:rPr>
                <w:i/>
                <w:iCs/>
              </w:rPr>
            </w:pPr>
            <w:r>
              <w:rPr>
                <w:i/>
                <w:iCs/>
              </w:rPr>
              <w:t>Alcedo azurea</w:t>
            </w:r>
          </w:p>
        </w:tc>
        <w:tc>
          <w:tcPr>
            <w:tcW w:w="1650" w:type="pct"/>
          </w:tcPr>
          <w:p w14:paraId="17FDE018" w14:textId="77777777" w:rsidR="00016AE1" w:rsidRPr="0057750C" w:rsidRDefault="00016AE1" w:rsidP="00016AE1">
            <w:pPr>
              <w:pStyle w:val="Tabletext"/>
            </w:pPr>
            <w:r w:rsidRPr="0057750C">
              <w:t>azure kingfisher</w:t>
            </w:r>
          </w:p>
        </w:tc>
        <w:tc>
          <w:tcPr>
            <w:tcW w:w="786" w:type="pct"/>
          </w:tcPr>
          <w:p w14:paraId="018ABF3B" w14:textId="77777777" w:rsidR="00016AE1" w:rsidRPr="0057750C" w:rsidRDefault="00016AE1" w:rsidP="00016AE1">
            <w:pPr>
              <w:pStyle w:val="Tabletext"/>
            </w:pPr>
            <w:r>
              <w:t>Endangered</w:t>
            </w:r>
          </w:p>
        </w:tc>
        <w:tc>
          <w:tcPr>
            <w:tcW w:w="758" w:type="pct"/>
          </w:tcPr>
          <w:p w14:paraId="42D6EAFD" w14:textId="77777777" w:rsidR="00016AE1" w:rsidRPr="0057750C" w:rsidRDefault="00016AE1" w:rsidP="00016AE1">
            <w:pPr>
              <w:pStyle w:val="Tabletext"/>
            </w:pPr>
            <w:r>
              <w:t>Endangered</w:t>
            </w:r>
          </w:p>
        </w:tc>
      </w:tr>
      <w:tr w:rsidR="00016AE1" w:rsidRPr="008C3D55" w14:paraId="1633D17B" w14:textId="77777777" w:rsidTr="00016AE1">
        <w:trPr>
          <w:cantSplit/>
        </w:trPr>
        <w:tc>
          <w:tcPr>
            <w:tcW w:w="1806" w:type="pct"/>
          </w:tcPr>
          <w:p w14:paraId="12607D76" w14:textId="77777777" w:rsidR="00016AE1" w:rsidRPr="0053301A" w:rsidRDefault="00016AE1" w:rsidP="00016AE1">
            <w:pPr>
              <w:pStyle w:val="Tabletext"/>
              <w:rPr>
                <w:i/>
              </w:rPr>
            </w:pPr>
            <w:r w:rsidRPr="0053301A">
              <w:rPr>
                <w:i/>
              </w:rPr>
              <w:t xml:space="preserve">Aquila audax </w:t>
            </w:r>
            <w:r w:rsidRPr="00E30631">
              <w:rPr>
                <w:iCs/>
              </w:rPr>
              <w:t>subsp</w:t>
            </w:r>
            <w:r>
              <w:rPr>
                <w:i/>
              </w:rPr>
              <w:t xml:space="preserve">. </w:t>
            </w:r>
            <w:r w:rsidRPr="0053301A">
              <w:rPr>
                <w:i/>
              </w:rPr>
              <w:t>fleayi</w:t>
            </w:r>
          </w:p>
        </w:tc>
        <w:tc>
          <w:tcPr>
            <w:tcW w:w="1650" w:type="pct"/>
          </w:tcPr>
          <w:p w14:paraId="1AB9C2CE" w14:textId="77777777" w:rsidR="00016AE1" w:rsidRPr="0053301A" w:rsidRDefault="00016AE1" w:rsidP="00016AE1">
            <w:pPr>
              <w:pStyle w:val="Tabletext"/>
            </w:pPr>
            <w:r>
              <w:t>Tasmanian wedge-tailed eagle</w:t>
            </w:r>
          </w:p>
        </w:tc>
        <w:tc>
          <w:tcPr>
            <w:tcW w:w="786" w:type="pct"/>
          </w:tcPr>
          <w:p w14:paraId="63730F62" w14:textId="77777777" w:rsidR="00016AE1" w:rsidRPr="008C3D55" w:rsidRDefault="00016AE1" w:rsidP="00016AE1">
            <w:pPr>
              <w:pStyle w:val="Tabletext"/>
            </w:pPr>
            <w:r w:rsidRPr="002612B3">
              <w:t>Endangered</w:t>
            </w:r>
          </w:p>
        </w:tc>
        <w:tc>
          <w:tcPr>
            <w:tcW w:w="758" w:type="pct"/>
          </w:tcPr>
          <w:p w14:paraId="5022056E" w14:textId="77777777" w:rsidR="00016AE1" w:rsidRPr="008C3D55" w:rsidRDefault="00016AE1" w:rsidP="00016AE1">
            <w:pPr>
              <w:pStyle w:val="Tabletext"/>
            </w:pPr>
            <w:r w:rsidRPr="002612B3">
              <w:t>Endangered</w:t>
            </w:r>
          </w:p>
        </w:tc>
      </w:tr>
      <w:tr w:rsidR="00016AE1" w:rsidRPr="008C3D55" w14:paraId="5E3E973B" w14:textId="77777777" w:rsidTr="00016AE1">
        <w:trPr>
          <w:cantSplit/>
        </w:trPr>
        <w:tc>
          <w:tcPr>
            <w:tcW w:w="1806" w:type="pct"/>
          </w:tcPr>
          <w:p w14:paraId="5CF80A23" w14:textId="77777777" w:rsidR="00016AE1" w:rsidRPr="0057750C" w:rsidRDefault="00016AE1" w:rsidP="00016AE1">
            <w:pPr>
              <w:pStyle w:val="Tabletext"/>
              <w:rPr>
                <w:i/>
                <w:iCs/>
              </w:rPr>
            </w:pPr>
            <w:r w:rsidRPr="0057750C">
              <w:rPr>
                <w:i/>
                <w:iCs/>
              </w:rPr>
              <w:t xml:space="preserve">Calyptorhynchus funereus </w:t>
            </w:r>
          </w:p>
        </w:tc>
        <w:tc>
          <w:tcPr>
            <w:tcW w:w="1650" w:type="pct"/>
          </w:tcPr>
          <w:p w14:paraId="32A9D23B" w14:textId="77777777" w:rsidR="00016AE1" w:rsidRPr="0057750C" w:rsidRDefault="00016AE1" w:rsidP="00016AE1">
            <w:pPr>
              <w:pStyle w:val="Tabletext"/>
            </w:pPr>
            <w:r w:rsidRPr="0057750C">
              <w:t>yellow-tailed black cockatoo</w:t>
            </w:r>
          </w:p>
        </w:tc>
        <w:tc>
          <w:tcPr>
            <w:tcW w:w="786" w:type="pct"/>
          </w:tcPr>
          <w:p w14:paraId="37F30264" w14:textId="77777777" w:rsidR="00016AE1" w:rsidRPr="0057750C" w:rsidRDefault="00016AE1" w:rsidP="00016AE1">
            <w:pPr>
              <w:pStyle w:val="Tabletext"/>
            </w:pPr>
          </w:p>
        </w:tc>
        <w:tc>
          <w:tcPr>
            <w:tcW w:w="758" w:type="pct"/>
          </w:tcPr>
          <w:p w14:paraId="00AF91D2" w14:textId="77777777" w:rsidR="00016AE1" w:rsidRPr="0057750C" w:rsidRDefault="00016AE1" w:rsidP="00016AE1">
            <w:pPr>
              <w:pStyle w:val="Tabletext"/>
            </w:pPr>
          </w:p>
        </w:tc>
      </w:tr>
      <w:tr w:rsidR="00016AE1" w:rsidRPr="008C3D55" w14:paraId="2F2573B5" w14:textId="77777777" w:rsidTr="00016AE1">
        <w:trPr>
          <w:cantSplit/>
        </w:trPr>
        <w:tc>
          <w:tcPr>
            <w:tcW w:w="1806" w:type="pct"/>
          </w:tcPr>
          <w:p w14:paraId="223C945E" w14:textId="77777777" w:rsidR="00016AE1" w:rsidRPr="0057750C" w:rsidRDefault="00016AE1" w:rsidP="00016AE1">
            <w:pPr>
              <w:pStyle w:val="Tabletext"/>
              <w:rPr>
                <w:i/>
                <w:iCs/>
              </w:rPr>
            </w:pPr>
            <w:r w:rsidRPr="0057750C">
              <w:rPr>
                <w:i/>
                <w:iCs/>
              </w:rPr>
              <w:t>Falco peregrinus</w:t>
            </w:r>
          </w:p>
        </w:tc>
        <w:tc>
          <w:tcPr>
            <w:tcW w:w="1650" w:type="pct"/>
          </w:tcPr>
          <w:p w14:paraId="09149D23" w14:textId="77777777" w:rsidR="00016AE1" w:rsidRPr="0057750C" w:rsidRDefault="00016AE1" w:rsidP="00016AE1">
            <w:pPr>
              <w:pStyle w:val="Tabletext"/>
            </w:pPr>
            <w:r w:rsidRPr="0057750C">
              <w:t>peregrine falcon</w:t>
            </w:r>
          </w:p>
        </w:tc>
        <w:tc>
          <w:tcPr>
            <w:tcW w:w="786" w:type="pct"/>
          </w:tcPr>
          <w:p w14:paraId="76DD0A06" w14:textId="77777777" w:rsidR="00016AE1" w:rsidRPr="0057750C" w:rsidRDefault="00016AE1" w:rsidP="00016AE1">
            <w:pPr>
              <w:pStyle w:val="Tabletext"/>
            </w:pPr>
          </w:p>
        </w:tc>
        <w:tc>
          <w:tcPr>
            <w:tcW w:w="758" w:type="pct"/>
          </w:tcPr>
          <w:p w14:paraId="18D67EDE" w14:textId="77777777" w:rsidR="00016AE1" w:rsidRPr="0057750C" w:rsidRDefault="00016AE1" w:rsidP="00016AE1">
            <w:pPr>
              <w:pStyle w:val="Tabletext"/>
            </w:pPr>
          </w:p>
        </w:tc>
      </w:tr>
      <w:tr w:rsidR="00016AE1" w:rsidRPr="008C3D55" w14:paraId="294BC5D4" w14:textId="77777777" w:rsidTr="00016AE1">
        <w:trPr>
          <w:cantSplit/>
        </w:trPr>
        <w:tc>
          <w:tcPr>
            <w:tcW w:w="1806" w:type="pct"/>
          </w:tcPr>
          <w:p w14:paraId="53AE2C75" w14:textId="77777777" w:rsidR="00016AE1" w:rsidRPr="0057750C" w:rsidRDefault="00016AE1" w:rsidP="00016AE1">
            <w:pPr>
              <w:pStyle w:val="Tabletext"/>
              <w:rPr>
                <w:i/>
                <w:iCs/>
              </w:rPr>
            </w:pPr>
            <w:r w:rsidRPr="0057750C">
              <w:rPr>
                <w:i/>
                <w:iCs/>
              </w:rPr>
              <w:t>Ninox novaeseelandiae</w:t>
            </w:r>
          </w:p>
        </w:tc>
        <w:tc>
          <w:tcPr>
            <w:tcW w:w="1650" w:type="pct"/>
          </w:tcPr>
          <w:p w14:paraId="5BEC7319" w14:textId="77777777" w:rsidR="00016AE1" w:rsidRPr="0057750C" w:rsidRDefault="00016AE1" w:rsidP="00016AE1">
            <w:pPr>
              <w:pStyle w:val="Tabletext"/>
            </w:pPr>
            <w:r w:rsidRPr="0057750C">
              <w:t>southern boobook</w:t>
            </w:r>
          </w:p>
        </w:tc>
        <w:tc>
          <w:tcPr>
            <w:tcW w:w="786" w:type="pct"/>
          </w:tcPr>
          <w:p w14:paraId="190863D2" w14:textId="77777777" w:rsidR="00016AE1" w:rsidRPr="0057750C" w:rsidRDefault="00016AE1" w:rsidP="00016AE1">
            <w:pPr>
              <w:pStyle w:val="Tabletext"/>
            </w:pPr>
          </w:p>
        </w:tc>
        <w:tc>
          <w:tcPr>
            <w:tcW w:w="758" w:type="pct"/>
          </w:tcPr>
          <w:p w14:paraId="71EA2BAE" w14:textId="77777777" w:rsidR="00016AE1" w:rsidRPr="0057750C" w:rsidRDefault="00016AE1" w:rsidP="00016AE1">
            <w:pPr>
              <w:pStyle w:val="Tabletext"/>
            </w:pPr>
          </w:p>
        </w:tc>
      </w:tr>
      <w:tr w:rsidR="00016AE1" w:rsidRPr="008C3D55" w14:paraId="2B9FDA0B" w14:textId="77777777" w:rsidTr="00016AE1">
        <w:trPr>
          <w:cantSplit/>
        </w:trPr>
        <w:tc>
          <w:tcPr>
            <w:tcW w:w="1806" w:type="pct"/>
          </w:tcPr>
          <w:p w14:paraId="04560849" w14:textId="77777777" w:rsidR="00016AE1" w:rsidRPr="0057750C" w:rsidRDefault="00016AE1" w:rsidP="00016AE1">
            <w:pPr>
              <w:pStyle w:val="Tabletext"/>
              <w:rPr>
                <w:i/>
                <w:iCs/>
              </w:rPr>
            </w:pPr>
            <w:r w:rsidRPr="0057750C">
              <w:rPr>
                <w:i/>
                <w:iCs/>
              </w:rPr>
              <w:t>Pardalotus quadragintus</w:t>
            </w:r>
          </w:p>
        </w:tc>
        <w:tc>
          <w:tcPr>
            <w:tcW w:w="1650" w:type="pct"/>
          </w:tcPr>
          <w:p w14:paraId="73888D7E" w14:textId="77777777" w:rsidR="00016AE1" w:rsidRPr="0057750C" w:rsidRDefault="00016AE1" w:rsidP="00016AE1">
            <w:pPr>
              <w:pStyle w:val="Tabletext"/>
            </w:pPr>
            <w:r w:rsidRPr="0057750C">
              <w:t>forty spotted pardalote</w:t>
            </w:r>
          </w:p>
        </w:tc>
        <w:tc>
          <w:tcPr>
            <w:tcW w:w="786" w:type="pct"/>
          </w:tcPr>
          <w:p w14:paraId="58A904B9" w14:textId="77777777" w:rsidR="00016AE1" w:rsidRPr="0057750C" w:rsidRDefault="00016AE1" w:rsidP="00016AE1">
            <w:pPr>
              <w:pStyle w:val="Tabletext"/>
            </w:pPr>
            <w:r w:rsidRPr="0057750C">
              <w:t>Endangered</w:t>
            </w:r>
          </w:p>
        </w:tc>
        <w:tc>
          <w:tcPr>
            <w:tcW w:w="758" w:type="pct"/>
          </w:tcPr>
          <w:p w14:paraId="6727010D" w14:textId="77777777" w:rsidR="00016AE1" w:rsidRPr="0057750C" w:rsidRDefault="00016AE1" w:rsidP="00016AE1">
            <w:pPr>
              <w:pStyle w:val="Tabletext"/>
            </w:pPr>
            <w:r w:rsidRPr="0057750C">
              <w:t>Endangered</w:t>
            </w:r>
          </w:p>
        </w:tc>
      </w:tr>
      <w:tr w:rsidR="00016AE1" w:rsidRPr="008C3D55" w14:paraId="07D46A51" w14:textId="77777777" w:rsidTr="00016AE1">
        <w:trPr>
          <w:cantSplit/>
        </w:trPr>
        <w:tc>
          <w:tcPr>
            <w:tcW w:w="1806" w:type="pct"/>
          </w:tcPr>
          <w:p w14:paraId="2E7CAE9D" w14:textId="77777777" w:rsidR="00016AE1" w:rsidRPr="0057750C" w:rsidRDefault="00016AE1" w:rsidP="00016AE1">
            <w:pPr>
              <w:pStyle w:val="Tabletext"/>
              <w:rPr>
                <w:i/>
                <w:iCs/>
              </w:rPr>
            </w:pPr>
            <w:r w:rsidRPr="0057750C">
              <w:rPr>
                <w:i/>
                <w:iCs/>
              </w:rPr>
              <w:t>Pardalotus striatus</w:t>
            </w:r>
          </w:p>
        </w:tc>
        <w:tc>
          <w:tcPr>
            <w:tcW w:w="1650" w:type="pct"/>
          </w:tcPr>
          <w:p w14:paraId="004395FB" w14:textId="77777777" w:rsidR="00016AE1" w:rsidRPr="0057750C" w:rsidRDefault="00016AE1" w:rsidP="00016AE1">
            <w:pPr>
              <w:pStyle w:val="Tabletext"/>
            </w:pPr>
            <w:r w:rsidRPr="0057750C">
              <w:t>striated pardalote</w:t>
            </w:r>
          </w:p>
        </w:tc>
        <w:tc>
          <w:tcPr>
            <w:tcW w:w="786" w:type="pct"/>
          </w:tcPr>
          <w:p w14:paraId="3BDD6299" w14:textId="77777777" w:rsidR="00016AE1" w:rsidRPr="0057750C" w:rsidRDefault="00016AE1" w:rsidP="00016AE1">
            <w:pPr>
              <w:pStyle w:val="Tabletext"/>
            </w:pPr>
          </w:p>
        </w:tc>
        <w:tc>
          <w:tcPr>
            <w:tcW w:w="758" w:type="pct"/>
          </w:tcPr>
          <w:p w14:paraId="371C6C10" w14:textId="77777777" w:rsidR="00016AE1" w:rsidRPr="0057750C" w:rsidRDefault="00016AE1" w:rsidP="00016AE1">
            <w:pPr>
              <w:pStyle w:val="Tabletext"/>
            </w:pPr>
          </w:p>
        </w:tc>
      </w:tr>
      <w:tr w:rsidR="00016AE1" w:rsidRPr="008C3D55" w14:paraId="4E38A213" w14:textId="77777777" w:rsidTr="00016AE1">
        <w:trPr>
          <w:cantSplit/>
        </w:trPr>
        <w:tc>
          <w:tcPr>
            <w:tcW w:w="1806" w:type="pct"/>
          </w:tcPr>
          <w:p w14:paraId="7AFF6A82" w14:textId="77777777" w:rsidR="00016AE1" w:rsidRPr="0057750C" w:rsidRDefault="00016AE1" w:rsidP="00016AE1">
            <w:pPr>
              <w:pStyle w:val="Tabletext"/>
              <w:rPr>
                <w:i/>
                <w:iCs/>
              </w:rPr>
            </w:pPr>
            <w:r w:rsidRPr="0057750C">
              <w:rPr>
                <w:i/>
                <w:iCs/>
              </w:rPr>
              <w:t>Petroica rodinogaster</w:t>
            </w:r>
          </w:p>
        </w:tc>
        <w:tc>
          <w:tcPr>
            <w:tcW w:w="1650" w:type="pct"/>
          </w:tcPr>
          <w:p w14:paraId="33A5E933" w14:textId="77777777" w:rsidR="00016AE1" w:rsidRPr="0057750C" w:rsidRDefault="00016AE1" w:rsidP="00016AE1">
            <w:pPr>
              <w:pStyle w:val="Tabletext"/>
            </w:pPr>
            <w:r w:rsidRPr="0057750C">
              <w:t>pink robin</w:t>
            </w:r>
          </w:p>
        </w:tc>
        <w:tc>
          <w:tcPr>
            <w:tcW w:w="786" w:type="pct"/>
          </w:tcPr>
          <w:p w14:paraId="7EF0199F" w14:textId="77777777" w:rsidR="00016AE1" w:rsidRPr="0057750C" w:rsidRDefault="00016AE1" w:rsidP="00016AE1">
            <w:pPr>
              <w:pStyle w:val="Tabletext"/>
            </w:pPr>
          </w:p>
        </w:tc>
        <w:tc>
          <w:tcPr>
            <w:tcW w:w="758" w:type="pct"/>
          </w:tcPr>
          <w:p w14:paraId="5C13EFA2" w14:textId="77777777" w:rsidR="00016AE1" w:rsidRPr="0057750C" w:rsidRDefault="00016AE1" w:rsidP="00016AE1">
            <w:pPr>
              <w:pStyle w:val="Tabletext"/>
            </w:pPr>
          </w:p>
        </w:tc>
      </w:tr>
      <w:tr w:rsidR="00016AE1" w:rsidRPr="008C3D55" w14:paraId="02515397" w14:textId="77777777" w:rsidTr="00016AE1">
        <w:trPr>
          <w:cantSplit/>
        </w:trPr>
        <w:tc>
          <w:tcPr>
            <w:tcW w:w="1806" w:type="pct"/>
          </w:tcPr>
          <w:p w14:paraId="6DAEA278" w14:textId="77777777" w:rsidR="00016AE1" w:rsidRPr="0057750C" w:rsidRDefault="00016AE1" w:rsidP="00016AE1">
            <w:pPr>
              <w:pStyle w:val="Tabletext"/>
              <w:rPr>
                <w:i/>
                <w:iCs/>
              </w:rPr>
            </w:pPr>
            <w:r w:rsidRPr="0057750C">
              <w:rPr>
                <w:i/>
                <w:iCs/>
              </w:rPr>
              <w:t xml:space="preserve">Tyto novaehollandiae </w:t>
            </w:r>
            <w:r w:rsidRPr="00E30631">
              <w:t>subsp</w:t>
            </w:r>
            <w:r w:rsidRPr="0057750C">
              <w:rPr>
                <w:i/>
                <w:iCs/>
              </w:rPr>
              <w:t>. castanops</w:t>
            </w:r>
          </w:p>
        </w:tc>
        <w:tc>
          <w:tcPr>
            <w:tcW w:w="1650" w:type="pct"/>
          </w:tcPr>
          <w:p w14:paraId="5F9BC130" w14:textId="77777777" w:rsidR="00016AE1" w:rsidRPr="0057750C" w:rsidRDefault="00016AE1" w:rsidP="00016AE1">
            <w:pPr>
              <w:pStyle w:val="Tabletext"/>
            </w:pPr>
            <w:r w:rsidRPr="0057750C">
              <w:t>masked owl</w:t>
            </w:r>
          </w:p>
        </w:tc>
        <w:tc>
          <w:tcPr>
            <w:tcW w:w="786" w:type="pct"/>
          </w:tcPr>
          <w:p w14:paraId="754F4858" w14:textId="77777777" w:rsidR="00016AE1" w:rsidRPr="0057750C" w:rsidRDefault="00016AE1" w:rsidP="00016AE1">
            <w:pPr>
              <w:pStyle w:val="Tabletext"/>
            </w:pPr>
            <w:r w:rsidRPr="0057750C">
              <w:t>vulnerable</w:t>
            </w:r>
          </w:p>
        </w:tc>
        <w:tc>
          <w:tcPr>
            <w:tcW w:w="758" w:type="pct"/>
          </w:tcPr>
          <w:p w14:paraId="7D97461C" w14:textId="77777777" w:rsidR="00016AE1" w:rsidRPr="0057750C" w:rsidRDefault="00016AE1" w:rsidP="00016AE1">
            <w:pPr>
              <w:pStyle w:val="Tabletext"/>
            </w:pPr>
            <w:r w:rsidRPr="0057750C">
              <w:t>endangered</w:t>
            </w:r>
          </w:p>
        </w:tc>
      </w:tr>
      <w:tr w:rsidR="00016AE1" w:rsidRPr="007746EC" w14:paraId="550BBD59" w14:textId="6A47BA51" w:rsidTr="00016AE1">
        <w:trPr>
          <w:cantSplit/>
        </w:trPr>
        <w:tc>
          <w:tcPr>
            <w:tcW w:w="5000" w:type="pct"/>
            <w:gridSpan w:val="4"/>
            <w:shd w:val="clear" w:color="auto" w:fill="BFBFBF" w:themeFill="background1" w:themeFillShade="BF"/>
          </w:tcPr>
          <w:p w14:paraId="656B00D4" w14:textId="5516E05B" w:rsidR="00016AE1" w:rsidRPr="007746EC" w:rsidRDefault="00016AE1" w:rsidP="00016AE1">
            <w:pPr>
              <w:pStyle w:val="Tabletext"/>
              <w:rPr>
                <w:b/>
              </w:rPr>
            </w:pPr>
            <w:r w:rsidRPr="007746EC">
              <w:rPr>
                <w:b/>
              </w:rPr>
              <w:t>Reptiles and Amphibians</w:t>
            </w:r>
          </w:p>
        </w:tc>
      </w:tr>
      <w:tr w:rsidR="00016AE1" w:rsidRPr="008C3D55" w14:paraId="1DB179B7" w14:textId="77777777" w:rsidTr="00016AE1">
        <w:trPr>
          <w:cantSplit/>
        </w:trPr>
        <w:tc>
          <w:tcPr>
            <w:tcW w:w="1806" w:type="pct"/>
          </w:tcPr>
          <w:p w14:paraId="12D9DD72" w14:textId="5DC36549" w:rsidR="00016AE1" w:rsidRDefault="00016AE1" w:rsidP="00016AE1">
            <w:pPr>
              <w:pStyle w:val="Tabletext"/>
              <w:rPr>
                <w:i/>
              </w:rPr>
            </w:pPr>
            <w:r>
              <w:rPr>
                <w:i/>
              </w:rPr>
              <w:t xml:space="preserve">Carinascincus </w:t>
            </w:r>
            <w:r w:rsidRPr="00AB142B">
              <w:rPr>
                <w:i/>
                <w:iCs/>
              </w:rPr>
              <w:t>pretiosus</w:t>
            </w:r>
          </w:p>
        </w:tc>
        <w:tc>
          <w:tcPr>
            <w:tcW w:w="1650" w:type="pct"/>
          </w:tcPr>
          <w:p w14:paraId="4B111CD4" w14:textId="5BF953FD" w:rsidR="00016AE1" w:rsidRDefault="00016AE1" w:rsidP="00016AE1">
            <w:pPr>
              <w:pStyle w:val="Tabletext"/>
            </w:pPr>
            <w:r>
              <w:t>Tasmanian tree skink</w:t>
            </w:r>
          </w:p>
        </w:tc>
        <w:tc>
          <w:tcPr>
            <w:tcW w:w="786" w:type="pct"/>
          </w:tcPr>
          <w:p w14:paraId="6A8BD69E" w14:textId="77777777" w:rsidR="00016AE1" w:rsidRPr="001D492F" w:rsidRDefault="00016AE1" w:rsidP="00016AE1">
            <w:pPr>
              <w:pStyle w:val="Tabletext"/>
              <w:rPr>
                <w:highlight w:val="yellow"/>
              </w:rPr>
            </w:pPr>
          </w:p>
        </w:tc>
        <w:tc>
          <w:tcPr>
            <w:tcW w:w="758" w:type="pct"/>
          </w:tcPr>
          <w:p w14:paraId="11B550EE" w14:textId="77777777" w:rsidR="00016AE1" w:rsidRPr="00B71BA6" w:rsidRDefault="00016AE1" w:rsidP="00016AE1">
            <w:pPr>
              <w:pStyle w:val="Tabletext"/>
            </w:pPr>
          </w:p>
        </w:tc>
      </w:tr>
      <w:tr w:rsidR="00016AE1" w:rsidRPr="008C3D55" w14:paraId="19B3D2E6" w14:textId="77777777" w:rsidTr="00016AE1">
        <w:trPr>
          <w:cantSplit/>
        </w:trPr>
        <w:tc>
          <w:tcPr>
            <w:tcW w:w="1806" w:type="pct"/>
          </w:tcPr>
          <w:p w14:paraId="3C971D80" w14:textId="77777777" w:rsidR="00016AE1" w:rsidRDefault="00016AE1" w:rsidP="00016AE1">
            <w:pPr>
              <w:pStyle w:val="Tabletext"/>
              <w:rPr>
                <w:i/>
              </w:rPr>
            </w:pPr>
            <w:r>
              <w:rPr>
                <w:i/>
              </w:rPr>
              <w:t>Geocrinia laevis</w:t>
            </w:r>
          </w:p>
        </w:tc>
        <w:tc>
          <w:tcPr>
            <w:tcW w:w="1650" w:type="pct"/>
          </w:tcPr>
          <w:p w14:paraId="0C537DF0" w14:textId="77777777" w:rsidR="00016AE1" w:rsidRDefault="00016AE1" w:rsidP="00016AE1">
            <w:pPr>
              <w:pStyle w:val="Tabletext"/>
            </w:pPr>
            <w:r>
              <w:t>Tasmanian smooth frog</w:t>
            </w:r>
          </w:p>
        </w:tc>
        <w:tc>
          <w:tcPr>
            <w:tcW w:w="786" w:type="pct"/>
          </w:tcPr>
          <w:p w14:paraId="7A1309C5" w14:textId="77777777" w:rsidR="00016AE1" w:rsidRPr="001D492F" w:rsidRDefault="00016AE1" w:rsidP="00016AE1">
            <w:pPr>
              <w:pStyle w:val="Tabletext"/>
              <w:rPr>
                <w:highlight w:val="yellow"/>
              </w:rPr>
            </w:pPr>
          </w:p>
        </w:tc>
        <w:tc>
          <w:tcPr>
            <w:tcW w:w="758" w:type="pct"/>
          </w:tcPr>
          <w:p w14:paraId="476AC380" w14:textId="7CACBC8A" w:rsidR="00016AE1" w:rsidRDefault="00016AE1" w:rsidP="00016AE1">
            <w:pPr>
              <w:pStyle w:val="Tabletext"/>
            </w:pPr>
          </w:p>
        </w:tc>
      </w:tr>
      <w:tr w:rsidR="00016AE1" w:rsidRPr="008C3D55" w14:paraId="27B3C9C7" w14:textId="77777777" w:rsidTr="00016AE1">
        <w:trPr>
          <w:cantSplit/>
        </w:trPr>
        <w:tc>
          <w:tcPr>
            <w:tcW w:w="1806" w:type="pct"/>
          </w:tcPr>
          <w:p w14:paraId="22AE8990" w14:textId="77777777" w:rsidR="00016AE1" w:rsidRDefault="00016AE1" w:rsidP="00016AE1">
            <w:pPr>
              <w:pStyle w:val="Tabletext"/>
              <w:rPr>
                <w:i/>
              </w:rPr>
            </w:pPr>
            <w:r>
              <w:rPr>
                <w:i/>
              </w:rPr>
              <w:t>Litoria ewingii</w:t>
            </w:r>
          </w:p>
        </w:tc>
        <w:tc>
          <w:tcPr>
            <w:tcW w:w="1650" w:type="pct"/>
          </w:tcPr>
          <w:p w14:paraId="1CE02225" w14:textId="77777777" w:rsidR="00016AE1" w:rsidRDefault="00016AE1" w:rsidP="00016AE1">
            <w:pPr>
              <w:pStyle w:val="Tabletext"/>
            </w:pPr>
            <w:r>
              <w:t>brown tree frog</w:t>
            </w:r>
          </w:p>
        </w:tc>
        <w:tc>
          <w:tcPr>
            <w:tcW w:w="786" w:type="pct"/>
          </w:tcPr>
          <w:p w14:paraId="5D8AAE32" w14:textId="77777777" w:rsidR="00016AE1" w:rsidRPr="001D492F" w:rsidRDefault="00016AE1" w:rsidP="00016AE1">
            <w:pPr>
              <w:pStyle w:val="Tabletext"/>
              <w:rPr>
                <w:highlight w:val="yellow"/>
              </w:rPr>
            </w:pPr>
          </w:p>
        </w:tc>
        <w:tc>
          <w:tcPr>
            <w:tcW w:w="758" w:type="pct"/>
          </w:tcPr>
          <w:p w14:paraId="2C499C51" w14:textId="0F8EADCD" w:rsidR="00016AE1" w:rsidRDefault="00016AE1" w:rsidP="00016AE1">
            <w:pPr>
              <w:pStyle w:val="Tabletext"/>
            </w:pPr>
          </w:p>
        </w:tc>
      </w:tr>
      <w:tr w:rsidR="00016AE1" w:rsidRPr="007746EC" w14:paraId="15FA7CE8" w14:textId="54FDE18B" w:rsidTr="00016AE1">
        <w:trPr>
          <w:cantSplit/>
        </w:trPr>
        <w:tc>
          <w:tcPr>
            <w:tcW w:w="5000" w:type="pct"/>
            <w:gridSpan w:val="4"/>
            <w:shd w:val="clear" w:color="auto" w:fill="BFBFBF" w:themeFill="background1" w:themeFillShade="BF"/>
          </w:tcPr>
          <w:p w14:paraId="478D6222" w14:textId="126A979B" w:rsidR="00016AE1" w:rsidRPr="007746EC" w:rsidRDefault="00016AE1" w:rsidP="00016AE1">
            <w:pPr>
              <w:pStyle w:val="Tabletext"/>
              <w:rPr>
                <w:b/>
              </w:rPr>
            </w:pPr>
            <w:r w:rsidRPr="007746EC">
              <w:rPr>
                <w:b/>
              </w:rPr>
              <w:t>Invertebrates</w:t>
            </w:r>
          </w:p>
        </w:tc>
      </w:tr>
      <w:tr w:rsidR="00016AE1" w:rsidRPr="008C3D55" w14:paraId="6E3F0EF9" w14:textId="77777777" w:rsidTr="00016AE1">
        <w:trPr>
          <w:cantSplit/>
        </w:trPr>
        <w:tc>
          <w:tcPr>
            <w:tcW w:w="1806" w:type="pct"/>
          </w:tcPr>
          <w:p w14:paraId="1AEE6E02" w14:textId="41CE5F0F" w:rsidR="00016AE1" w:rsidRPr="006008E6" w:rsidRDefault="00016AE1" w:rsidP="00016AE1">
            <w:pPr>
              <w:pStyle w:val="Tabletext"/>
              <w:rPr>
                <w:i/>
                <w:iCs/>
              </w:rPr>
            </w:pPr>
            <w:r w:rsidRPr="006008E6">
              <w:rPr>
                <w:i/>
                <w:iCs/>
              </w:rPr>
              <w:t>Anoglypta launcestonensis</w:t>
            </w:r>
          </w:p>
        </w:tc>
        <w:tc>
          <w:tcPr>
            <w:tcW w:w="1650" w:type="pct"/>
          </w:tcPr>
          <w:p w14:paraId="47FF0E67" w14:textId="147671A4" w:rsidR="00016AE1" w:rsidRPr="006008E6" w:rsidRDefault="00016AE1" w:rsidP="00016AE1">
            <w:pPr>
              <w:pStyle w:val="Tabletext"/>
            </w:pPr>
            <w:r>
              <w:t>n</w:t>
            </w:r>
            <w:r w:rsidRPr="006008E6">
              <w:t>orth east forest snail</w:t>
            </w:r>
          </w:p>
        </w:tc>
        <w:tc>
          <w:tcPr>
            <w:tcW w:w="786" w:type="pct"/>
            <w:shd w:val="clear" w:color="auto" w:fill="auto"/>
          </w:tcPr>
          <w:p w14:paraId="1ED870CB" w14:textId="6FC380AB" w:rsidR="00016AE1" w:rsidRPr="00084655" w:rsidRDefault="00016AE1" w:rsidP="00016AE1">
            <w:pPr>
              <w:pStyle w:val="Tabletext"/>
              <w:rPr>
                <w:highlight w:val="yellow"/>
              </w:rPr>
            </w:pPr>
          </w:p>
        </w:tc>
        <w:tc>
          <w:tcPr>
            <w:tcW w:w="758" w:type="pct"/>
            <w:shd w:val="clear" w:color="auto" w:fill="auto"/>
          </w:tcPr>
          <w:p w14:paraId="706BDA62" w14:textId="4EAD0D73" w:rsidR="00016AE1" w:rsidRPr="00084655" w:rsidRDefault="00016AE1" w:rsidP="00016AE1">
            <w:pPr>
              <w:pStyle w:val="Tabletext"/>
              <w:rPr>
                <w:iCs/>
                <w:highlight w:val="yellow"/>
              </w:rPr>
            </w:pPr>
          </w:p>
        </w:tc>
      </w:tr>
      <w:tr w:rsidR="00016AE1" w:rsidRPr="008C3D55" w14:paraId="3E8F1E8E" w14:textId="77777777" w:rsidTr="00016AE1">
        <w:trPr>
          <w:cantSplit/>
        </w:trPr>
        <w:tc>
          <w:tcPr>
            <w:tcW w:w="1806" w:type="pct"/>
          </w:tcPr>
          <w:p w14:paraId="18C5B093" w14:textId="2B8192A4" w:rsidR="00016AE1" w:rsidRDefault="00016AE1" w:rsidP="00016AE1">
            <w:pPr>
              <w:pStyle w:val="Tabletext"/>
              <w:rPr>
                <w:i/>
                <w:iCs/>
              </w:rPr>
            </w:pPr>
            <w:r>
              <w:rPr>
                <w:i/>
                <w:iCs/>
              </w:rPr>
              <w:t>Astacopsis gouldi</w:t>
            </w:r>
          </w:p>
        </w:tc>
        <w:tc>
          <w:tcPr>
            <w:tcW w:w="1650" w:type="pct"/>
          </w:tcPr>
          <w:p w14:paraId="7313ABED" w14:textId="77777777" w:rsidR="00016AE1" w:rsidRDefault="00016AE1" w:rsidP="00016AE1">
            <w:pPr>
              <w:pStyle w:val="Tabletext"/>
            </w:pPr>
            <w:r>
              <w:t>giant freshwater crayfish</w:t>
            </w:r>
          </w:p>
        </w:tc>
        <w:tc>
          <w:tcPr>
            <w:tcW w:w="786" w:type="pct"/>
          </w:tcPr>
          <w:p w14:paraId="54B78999" w14:textId="77777777" w:rsidR="00016AE1" w:rsidRDefault="00016AE1" w:rsidP="00016AE1">
            <w:pPr>
              <w:pStyle w:val="Tabletext"/>
            </w:pPr>
          </w:p>
        </w:tc>
        <w:tc>
          <w:tcPr>
            <w:tcW w:w="758" w:type="pct"/>
          </w:tcPr>
          <w:p w14:paraId="20269F01" w14:textId="77777777" w:rsidR="00016AE1" w:rsidRDefault="00016AE1" w:rsidP="00016AE1">
            <w:pPr>
              <w:pStyle w:val="Tabletext"/>
            </w:pPr>
          </w:p>
        </w:tc>
      </w:tr>
      <w:tr w:rsidR="00016AE1" w:rsidRPr="008C3D55" w14:paraId="7AC01C33" w14:textId="77777777" w:rsidTr="00016AE1">
        <w:trPr>
          <w:cantSplit/>
        </w:trPr>
        <w:tc>
          <w:tcPr>
            <w:tcW w:w="1806" w:type="pct"/>
          </w:tcPr>
          <w:p w14:paraId="48FE3833" w14:textId="77777777" w:rsidR="00016AE1" w:rsidRDefault="00016AE1" w:rsidP="00016AE1">
            <w:pPr>
              <w:pStyle w:val="Tabletext"/>
              <w:rPr>
                <w:i/>
                <w:iCs/>
              </w:rPr>
            </w:pPr>
            <w:r>
              <w:rPr>
                <w:i/>
                <w:iCs/>
              </w:rPr>
              <w:t>Charopidae ‘Skemps’</w:t>
            </w:r>
          </w:p>
        </w:tc>
        <w:tc>
          <w:tcPr>
            <w:tcW w:w="1650" w:type="pct"/>
          </w:tcPr>
          <w:p w14:paraId="5BBEE760" w14:textId="77777777" w:rsidR="00016AE1" w:rsidRDefault="00016AE1" w:rsidP="00016AE1">
            <w:pPr>
              <w:pStyle w:val="Tabletext"/>
            </w:pPr>
            <w:r>
              <w:t>Skemps snail</w:t>
            </w:r>
          </w:p>
        </w:tc>
        <w:tc>
          <w:tcPr>
            <w:tcW w:w="786" w:type="pct"/>
          </w:tcPr>
          <w:p w14:paraId="45BF2877" w14:textId="77777777" w:rsidR="00016AE1" w:rsidRDefault="00016AE1" w:rsidP="00016AE1">
            <w:pPr>
              <w:pStyle w:val="Tabletext"/>
            </w:pPr>
          </w:p>
        </w:tc>
        <w:tc>
          <w:tcPr>
            <w:tcW w:w="758" w:type="pct"/>
          </w:tcPr>
          <w:p w14:paraId="518027DC" w14:textId="77777777" w:rsidR="00016AE1" w:rsidRDefault="00016AE1" w:rsidP="00016AE1">
            <w:pPr>
              <w:pStyle w:val="Tabletext"/>
            </w:pPr>
          </w:p>
        </w:tc>
      </w:tr>
      <w:tr w:rsidR="00016AE1" w:rsidRPr="008C3D55" w14:paraId="60C808EB" w14:textId="77777777" w:rsidTr="00016AE1">
        <w:trPr>
          <w:cantSplit/>
        </w:trPr>
        <w:tc>
          <w:tcPr>
            <w:tcW w:w="1806" w:type="pct"/>
          </w:tcPr>
          <w:p w14:paraId="4A2AD4B6" w14:textId="71E205EF" w:rsidR="00016AE1" w:rsidRDefault="00016AE1" w:rsidP="00016AE1">
            <w:pPr>
              <w:pStyle w:val="Tabletext"/>
              <w:rPr>
                <w:i/>
                <w:iCs/>
              </w:rPr>
            </w:pPr>
            <w:r>
              <w:rPr>
                <w:i/>
                <w:iCs/>
              </w:rPr>
              <w:t>Engaeus granulatus</w:t>
            </w:r>
          </w:p>
        </w:tc>
        <w:tc>
          <w:tcPr>
            <w:tcW w:w="1650" w:type="pct"/>
          </w:tcPr>
          <w:p w14:paraId="682F2920" w14:textId="070A8F60" w:rsidR="00016AE1" w:rsidRDefault="00016AE1" w:rsidP="00016AE1">
            <w:pPr>
              <w:pStyle w:val="Tabletext"/>
            </w:pPr>
            <w:r>
              <w:t>Central North burrowing crayfish</w:t>
            </w:r>
          </w:p>
        </w:tc>
        <w:tc>
          <w:tcPr>
            <w:tcW w:w="786" w:type="pct"/>
          </w:tcPr>
          <w:p w14:paraId="744996C0" w14:textId="4A7339BC" w:rsidR="00016AE1" w:rsidRDefault="00016AE1" w:rsidP="00016AE1">
            <w:pPr>
              <w:pStyle w:val="Tabletext"/>
            </w:pPr>
            <w:r>
              <w:t>Endangered</w:t>
            </w:r>
          </w:p>
        </w:tc>
        <w:tc>
          <w:tcPr>
            <w:tcW w:w="758" w:type="pct"/>
          </w:tcPr>
          <w:p w14:paraId="462933B1" w14:textId="69A3842B" w:rsidR="00016AE1" w:rsidRDefault="00016AE1" w:rsidP="00016AE1">
            <w:pPr>
              <w:pStyle w:val="Tabletext"/>
            </w:pPr>
            <w:r>
              <w:t>Endangered</w:t>
            </w:r>
          </w:p>
        </w:tc>
      </w:tr>
      <w:tr w:rsidR="00016AE1" w:rsidRPr="008C3D55" w14:paraId="4ECF57ED" w14:textId="77777777" w:rsidTr="00016AE1">
        <w:trPr>
          <w:cantSplit/>
        </w:trPr>
        <w:tc>
          <w:tcPr>
            <w:tcW w:w="1806" w:type="pct"/>
          </w:tcPr>
          <w:p w14:paraId="2EADD858" w14:textId="004243DF" w:rsidR="00016AE1" w:rsidRPr="0057750C" w:rsidRDefault="00016AE1" w:rsidP="00016AE1">
            <w:pPr>
              <w:pStyle w:val="Tabletext"/>
              <w:rPr>
                <w:i/>
              </w:rPr>
            </w:pPr>
            <w:r w:rsidRPr="0057750C">
              <w:rPr>
                <w:i/>
                <w:iCs/>
              </w:rPr>
              <w:t>Engaeus orramakunna</w:t>
            </w:r>
          </w:p>
        </w:tc>
        <w:tc>
          <w:tcPr>
            <w:tcW w:w="1650" w:type="pct"/>
          </w:tcPr>
          <w:p w14:paraId="5E516A5B" w14:textId="77777777" w:rsidR="00016AE1" w:rsidRPr="0057750C" w:rsidRDefault="00016AE1" w:rsidP="00016AE1">
            <w:pPr>
              <w:pStyle w:val="Tabletext"/>
            </w:pPr>
            <w:r w:rsidRPr="0057750C">
              <w:t>Mt Arthur burrowing crayfish</w:t>
            </w:r>
          </w:p>
        </w:tc>
        <w:tc>
          <w:tcPr>
            <w:tcW w:w="786" w:type="pct"/>
          </w:tcPr>
          <w:p w14:paraId="7469FC59" w14:textId="77777777" w:rsidR="00016AE1" w:rsidRPr="0057750C" w:rsidRDefault="00016AE1" w:rsidP="00016AE1">
            <w:pPr>
              <w:pStyle w:val="Tabletext"/>
            </w:pPr>
            <w:r w:rsidRPr="0057750C">
              <w:t>Vulnerable</w:t>
            </w:r>
          </w:p>
        </w:tc>
        <w:tc>
          <w:tcPr>
            <w:tcW w:w="758" w:type="pct"/>
          </w:tcPr>
          <w:p w14:paraId="2102D3A0" w14:textId="77777777" w:rsidR="00016AE1" w:rsidRPr="0057750C" w:rsidRDefault="00016AE1" w:rsidP="00016AE1">
            <w:pPr>
              <w:pStyle w:val="Tabletext"/>
            </w:pPr>
            <w:r w:rsidRPr="0057750C">
              <w:t>Vulnerable</w:t>
            </w:r>
          </w:p>
        </w:tc>
      </w:tr>
      <w:tr w:rsidR="00016AE1" w:rsidRPr="008C3D55" w14:paraId="5AD1B575" w14:textId="77777777" w:rsidTr="00016AE1">
        <w:trPr>
          <w:cantSplit/>
        </w:trPr>
        <w:tc>
          <w:tcPr>
            <w:tcW w:w="1806" w:type="pct"/>
          </w:tcPr>
          <w:p w14:paraId="5578737E" w14:textId="1B680BCF" w:rsidR="00016AE1" w:rsidRPr="0057750C" w:rsidRDefault="00016AE1" w:rsidP="00016AE1">
            <w:pPr>
              <w:pStyle w:val="Tabletext"/>
              <w:rPr>
                <w:i/>
                <w:iCs/>
              </w:rPr>
            </w:pPr>
            <w:r w:rsidRPr="0057750C">
              <w:rPr>
                <w:i/>
                <w:iCs/>
              </w:rPr>
              <w:t>Engaeus fossor</w:t>
            </w:r>
          </w:p>
        </w:tc>
        <w:tc>
          <w:tcPr>
            <w:tcW w:w="1650" w:type="pct"/>
          </w:tcPr>
          <w:p w14:paraId="08F37FFE" w14:textId="65F6E7AF" w:rsidR="00016AE1" w:rsidRPr="0057750C" w:rsidRDefault="00016AE1" w:rsidP="00016AE1">
            <w:pPr>
              <w:pStyle w:val="Tabletext"/>
            </w:pPr>
            <w:r w:rsidRPr="0057750C">
              <w:t>a burrowing crayfish</w:t>
            </w:r>
          </w:p>
        </w:tc>
        <w:tc>
          <w:tcPr>
            <w:tcW w:w="786" w:type="pct"/>
          </w:tcPr>
          <w:p w14:paraId="0081F73D" w14:textId="77777777" w:rsidR="00016AE1" w:rsidRPr="0057750C" w:rsidRDefault="00016AE1" w:rsidP="00016AE1">
            <w:pPr>
              <w:pStyle w:val="Tabletext"/>
            </w:pPr>
          </w:p>
        </w:tc>
        <w:tc>
          <w:tcPr>
            <w:tcW w:w="758" w:type="pct"/>
          </w:tcPr>
          <w:p w14:paraId="14F688F9" w14:textId="77777777" w:rsidR="00016AE1" w:rsidRPr="0057750C" w:rsidRDefault="00016AE1" w:rsidP="00016AE1">
            <w:pPr>
              <w:pStyle w:val="Tabletext"/>
            </w:pPr>
          </w:p>
        </w:tc>
      </w:tr>
      <w:tr w:rsidR="00016AE1" w:rsidRPr="008C3D55" w14:paraId="73DC2280" w14:textId="77777777" w:rsidTr="00016AE1">
        <w:trPr>
          <w:cantSplit/>
        </w:trPr>
        <w:tc>
          <w:tcPr>
            <w:tcW w:w="1806" w:type="pct"/>
          </w:tcPr>
          <w:p w14:paraId="32283DE4" w14:textId="6710D821" w:rsidR="00016AE1" w:rsidRPr="0057750C" w:rsidRDefault="00016AE1" w:rsidP="00016AE1">
            <w:pPr>
              <w:pStyle w:val="Tabletext"/>
              <w:rPr>
                <w:i/>
                <w:iCs/>
              </w:rPr>
            </w:pPr>
            <w:r w:rsidRPr="0057750C">
              <w:rPr>
                <w:i/>
                <w:iCs/>
              </w:rPr>
              <w:t>Engaeus tayatea</w:t>
            </w:r>
          </w:p>
        </w:tc>
        <w:tc>
          <w:tcPr>
            <w:tcW w:w="1650" w:type="pct"/>
          </w:tcPr>
          <w:p w14:paraId="4CDB1EAE" w14:textId="15A0EC62" w:rsidR="00016AE1" w:rsidRPr="0057750C" w:rsidRDefault="00016AE1" w:rsidP="00016AE1">
            <w:pPr>
              <w:pStyle w:val="Tabletext"/>
            </w:pPr>
            <w:r w:rsidRPr="0057750C">
              <w:t>a burrowing crayfish</w:t>
            </w:r>
          </w:p>
        </w:tc>
        <w:tc>
          <w:tcPr>
            <w:tcW w:w="786" w:type="pct"/>
          </w:tcPr>
          <w:p w14:paraId="0D34E4A9" w14:textId="77777777" w:rsidR="00016AE1" w:rsidRPr="0057750C" w:rsidRDefault="00016AE1" w:rsidP="00016AE1">
            <w:pPr>
              <w:pStyle w:val="Tabletext"/>
            </w:pPr>
          </w:p>
        </w:tc>
        <w:tc>
          <w:tcPr>
            <w:tcW w:w="758" w:type="pct"/>
          </w:tcPr>
          <w:p w14:paraId="4134ED01" w14:textId="24A8CA87" w:rsidR="00016AE1" w:rsidRPr="0057750C" w:rsidRDefault="00016AE1" w:rsidP="00016AE1">
            <w:pPr>
              <w:pStyle w:val="Tabletext"/>
            </w:pPr>
          </w:p>
        </w:tc>
      </w:tr>
      <w:tr w:rsidR="00016AE1" w:rsidRPr="008C3D55" w14:paraId="4910A0D7" w14:textId="77777777" w:rsidTr="00016AE1">
        <w:trPr>
          <w:cantSplit/>
        </w:trPr>
        <w:tc>
          <w:tcPr>
            <w:tcW w:w="1806" w:type="pct"/>
          </w:tcPr>
          <w:p w14:paraId="58B99F4F" w14:textId="20A2EB52" w:rsidR="00016AE1" w:rsidRPr="0057750C" w:rsidRDefault="00016AE1" w:rsidP="00016AE1">
            <w:pPr>
              <w:pStyle w:val="Tabletext"/>
              <w:rPr>
                <w:i/>
                <w:iCs/>
              </w:rPr>
            </w:pPr>
            <w:r w:rsidRPr="0057750C">
              <w:rPr>
                <w:i/>
                <w:iCs/>
              </w:rPr>
              <w:t>Engaeus yabbimunna</w:t>
            </w:r>
          </w:p>
        </w:tc>
        <w:tc>
          <w:tcPr>
            <w:tcW w:w="1650" w:type="pct"/>
          </w:tcPr>
          <w:p w14:paraId="64218D03" w14:textId="77777777" w:rsidR="00016AE1" w:rsidRPr="0057750C" w:rsidRDefault="00016AE1" w:rsidP="00016AE1">
            <w:pPr>
              <w:pStyle w:val="Tabletext"/>
            </w:pPr>
            <w:r w:rsidRPr="0057750C">
              <w:t>Burnie burrowing crayfish</w:t>
            </w:r>
          </w:p>
        </w:tc>
        <w:tc>
          <w:tcPr>
            <w:tcW w:w="786" w:type="pct"/>
          </w:tcPr>
          <w:p w14:paraId="762B9AD5" w14:textId="77777777" w:rsidR="00016AE1" w:rsidRPr="0057750C" w:rsidRDefault="00016AE1" w:rsidP="00016AE1">
            <w:pPr>
              <w:pStyle w:val="Tabletext"/>
            </w:pPr>
            <w:r w:rsidRPr="0057750C">
              <w:t>Vulnerable</w:t>
            </w:r>
          </w:p>
        </w:tc>
        <w:tc>
          <w:tcPr>
            <w:tcW w:w="758" w:type="pct"/>
          </w:tcPr>
          <w:p w14:paraId="01DFC90E" w14:textId="77777777" w:rsidR="00016AE1" w:rsidRPr="0057750C" w:rsidRDefault="00016AE1" w:rsidP="00016AE1">
            <w:pPr>
              <w:pStyle w:val="Tabletext"/>
            </w:pPr>
            <w:r w:rsidRPr="0057750C">
              <w:t>Vulnerable</w:t>
            </w:r>
          </w:p>
        </w:tc>
      </w:tr>
      <w:tr w:rsidR="00016AE1" w:rsidRPr="008C3D55" w14:paraId="57BB51A0" w14:textId="77777777" w:rsidTr="00016AE1">
        <w:trPr>
          <w:cantSplit/>
        </w:trPr>
        <w:tc>
          <w:tcPr>
            <w:tcW w:w="1806" w:type="pct"/>
          </w:tcPr>
          <w:p w14:paraId="1CC4251C" w14:textId="77777777" w:rsidR="00016AE1" w:rsidRPr="0057750C" w:rsidRDefault="00016AE1" w:rsidP="00016AE1">
            <w:pPr>
              <w:pStyle w:val="Tabletext"/>
              <w:rPr>
                <w:i/>
              </w:rPr>
            </w:pPr>
            <w:r w:rsidRPr="0057750C">
              <w:rPr>
                <w:i/>
              </w:rPr>
              <w:t>Helicarion rubicundus</w:t>
            </w:r>
          </w:p>
        </w:tc>
        <w:tc>
          <w:tcPr>
            <w:tcW w:w="1650" w:type="pct"/>
          </w:tcPr>
          <w:p w14:paraId="2BD06C14" w14:textId="77777777" w:rsidR="00016AE1" w:rsidRPr="0057750C" w:rsidRDefault="00016AE1" w:rsidP="00016AE1">
            <w:pPr>
              <w:pStyle w:val="Tabletext"/>
            </w:pPr>
            <w:r w:rsidRPr="0057750C">
              <w:t>Burgundy snail</w:t>
            </w:r>
          </w:p>
        </w:tc>
        <w:tc>
          <w:tcPr>
            <w:tcW w:w="786" w:type="pct"/>
            <w:shd w:val="clear" w:color="auto" w:fill="auto"/>
          </w:tcPr>
          <w:p w14:paraId="75CF0AFD" w14:textId="77777777" w:rsidR="00016AE1" w:rsidRPr="0057750C" w:rsidRDefault="00016AE1" w:rsidP="00016AE1">
            <w:pPr>
              <w:pStyle w:val="Tabletext"/>
            </w:pPr>
          </w:p>
        </w:tc>
        <w:tc>
          <w:tcPr>
            <w:tcW w:w="758" w:type="pct"/>
          </w:tcPr>
          <w:p w14:paraId="22E56FF1" w14:textId="77777777" w:rsidR="00016AE1" w:rsidRPr="0057750C" w:rsidRDefault="00016AE1" w:rsidP="00016AE1">
            <w:pPr>
              <w:pStyle w:val="Tabletext"/>
            </w:pPr>
            <w:r w:rsidRPr="0057750C">
              <w:t>rare</w:t>
            </w:r>
          </w:p>
        </w:tc>
      </w:tr>
      <w:tr w:rsidR="00016AE1" w:rsidRPr="008C3D55" w14:paraId="4ED3D688" w14:textId="77777777" w:rsidTr="00016AE1">
        <w:trPr>
          <w:cantSplit/>
        </w:trPr>
        <w:tc>
          <w:tcPr>
            <w:tcW w:w="1806" w:type="pct"/>
          </w:tcPr>
          <w:p w14:paraId="5B429549" w14:textId="77777777" w:rsidR="00016AE1" w:rsidRPr="0057750C" w:rsidRDefault="00016AE1" w:rsidP="00016AE1">
            <w:pPr>
              <w:pStyle w:val="Tabletext"/>
              <w:rPr>
                <w:i/>
                <w:iCs/>
              </w:rPr>
            </w:pPr>
            <w:r w:rsidRPr="0057750C">
              <w:rPr>
                <w:i/>
                <w:iCs/>
              </w:rPr>
              <w:t>Ooperipatellus cryptus</w:t>
            </w:r>
          </w:p>
        </w:tc>
        <w:tc>
          <w:tcPr>
            <w:tcW w:w="1650" w:type="pct"/>
          </w:tcPr>
          <w:p w14:paraId="2465F061" w14:textId="77777777" w:rsidR="00016AE1" w:rsidRPr="0057750C" w:rsidRDefault="00016AE1" w:rsidP="00016AE1">
            <w:pPr>
              <w:pStyle w:val="Tabletext"/>
            </w:pPr>
            <w:r w:rsidRPr="0057750C">
              <w:t>northwest velvet worm</w:t>
            </w:r>
          </w:p>
        </w:tc>
        <w:tc>
          <w:tcPr>
            <w:tcW w:w="786" w:type="pct"/>
            <w:shd w:val="clear" w:color="auto" w:fill="auto"/>
          </w:tcPr>
          <w:p w14:paraId="75C3916D" w14:textId="056D6CFD" w:rsidR="00016AE1" w:rsidRPr="0057750C" w:rsidRDefault="00016AE1" w:rsidP="00016AE1">
            <w:pPr>
              <w:pStyle w:val="Tabletext"/>
            </w:pPr>
          </w:p>
        </w:tc>
        <w:tc>
          <w:tcPr>
            <w:tcW w:w="758" w:type="pct"/>
          </w:tcPr>
          <w:p w14:paraId="6AAEFAC8" w14:textId="6893C565" w:rsidR="00016AE1" w:rsidRPr="0057750C" w:rsidRDefault="00016AE1" w:rsidP="00016AE1">
            <w:pPr>
              <w:pStyle w:val="Tabletext"/>
            </w:pPr>
          </w:p>
        </w:tc>
      </w:tr>
      <w:tr w:rsidR="00016AE1" w:rsidRPr="00A30F68" w14:paraId="4DE972FB" w14:textId="77777777" w:rsidTr="00016AE1">
        <w:trPr>
          <w:cantSplit/>
        </w:trPr>
        <w:tc>
          <w:tcPr>
            <w:tcW w:w="1806" w:type="pct"/>
          </w:tcPr>
          <w:p w14:paraId="2FD9EBE9" w14:textId="77777777" w:rsidR="00016AE1" w:rsidRPr="0057750C" w:rsidRDefault="00016AE1" w:rsidP="00016AE1">
            <w:pPr>
              <w:pStyle w:val="Tabletext"/>
              <w:rPr>
                <w:i/>
              </w:rPr>
            </w:pPr>
            <w:r w:rsidRPr="0057750C">
              <w:rPr>
                <w:i/>
              </w:rPr>
              <w:t>Parvotettix goedei</w:t>
            </w:r>
          </w:p>
        </w:tc>
        <w:tc>
          <w:tcPr>
            <w:tcW w:w="1650" w:type="pct"/>
          </w:tcPr>
          <w:p w14:paraId="563C0E94" w14:textId="77777777" w:rsidR="00016AE1" w:rsidRPr="0057750C" w:rsidRDefault="00016AE1" w:rsidP="00016AE1">
            <w:pPr>
              <w:pStyle w:val="Tabletext"/>
            </w:pPr>
            <w:r w:rsidRPr="0057750C">
              <w:t>a cave cricket</w:t>
            </w:r>
          </w:p>
        </w:tc>
        <w:tc>
          <w:tcPr>
            <w:tcW w:w="786" w:type="pct"/>
          </w:tcPr>
          <w:p w14:paraId="590821CD" w14:textId="77777777" w:rsidR="00016AE1" w:rsidRPr="0057750C" w:rsidRDefault="00016AE1" w:rsidP="00016AE1">
            <w:pPr>
              <w:pStyle w:val="Tabletext"/>
            </w:pPr>
          </w:p>
        </w:tc>
        <w:tc>
          <w:tcPr>
            <w:tcW w:w="758" w:type="pct"/>
          </w:tcPr>
          <w:p w14:paraId="28058DBD" w14:textId="77777777" w:rsidR="00016AE1" w:rsidRPr="0057750C" w:rsidRDefault="00016AE1" w:rsidP="00016AE1">
            <w:pPr>
              <w:pStyle w:val="Tabletext"/>
            </w:pPr>
          </w:p>
        </w:tc>
      </w:tr>
      <w:tr w:rsidR="00016AE1" w:rsidRPr="00A30F68" w14:paraId="57A1772B" w14:textId="77777777" w:rsidTr="00016AE1">
        <w:trPr>
          <w:cantSplit/>
        </w:trPr>
        <w:tc>
          <w:tcPr>
            <w:tcW w:w="1806" w:type="pct"/>
          </w:tcPr>
          <w:p w14:paraId="095508C2" w14:textId="77777777" w:rsidR="00016AE1" w:rsidRPr="0057750C" w:rsidRDefault="00016AE1" w:rsidP="00016AE1">
            <w:pPr>
              <w:pStyle w:val="Tabletext"/>
              <w:rPr>
                <w:i/>
              </w:rPr>
            </w:pPr>
            <w:r w:rsidRPr="0057750C">
              <w:rPr>
                <w:i/>
              </w:rPr>
              <w:t>Styloniscus nichollsi</w:t>
            </w:r>
          </w:p>
        </w:tc>
        <w:tc>
          <w:tcPr>
            <w:tcW w:w="1650" w:type="pct"/>
          </w:tcPr>
          <w:p w14:paraId="1E3DB586" w14:textId="77777777" w:rsidR="00016AE1" w:rsidRPr="0057750C" w:rsidRDefault="00016AE1" w:rsidP="00016AE1">
            <w:pPr>
              <w:pStyle w:val="Tabletext"/>
            </w:pPr>
            <w:r w:rsidRPr="0057750C">
              <w:t>a woodlice</w:t>
            </w:r>
          </w:p>
        </w:tc>
        <w:tc>
          <w:tcPr>
            <w:tcW w:w="786" w:type="pct"/>
          </w:tcPr>
          <w:p w14:paraId="40698E40" w14:textId="77777777" w:rsidR="00016AE1" w:rsidRPr="0057750C" w:rsidRDefault="00016AE1" w:rsidP="00016AE1">
            <w:pPr>
              <w:pStyle w:val="Tabletext"/>
            </w:pPr>
          </w:p>
        </w:tc>
        <w:tc>
          <w:tcPr>
            <w:tcW w:w="758" w:type="pct"/>
          </w:tcPr>
          <w:p w14:paraId="2C830C69" w14:textId="77777777" w:rsidR="00016AE1" w:rsidRPr="0057750C" w:rsidRDefault="00016AE1" w:rsidP="00016AE1">
            <w:pPr>
              <w:pStyle w:val="Tabletext"/>
            </w:pPr>
          </w:p>
        </w:tc>
      </w:tr>
      <w:tr w:rsidR="00016AE1" w:rsidRPr="008C3D55" w14:paraId="7C305D88" w14:textId="77777777" w:rsidTr="00016AE1">
        <w:trPr>
          <w:cantSplit/>
        </w:trPr>
        <w:tc>
          <w:tcPr>
            <w:tcW w:w="1806" w:type="pct"/>
          </w:tcPr>
          <w:p w14:paraId="68659572" w14:textId="77777777" w:rsidR="00016AE1" w:rsidRPr="0057750C" w:rsidRDefault="00016AE1" w:rsidP="00016AE1">
            <w:pPr>
              <w:pStyle w:val="Tabletext"/>
              <w:rPr>
                <w:i/>
                <w:iCs/>
              </w:rPr>
            </w:pPr>
            <w:r w:rsidRPr="0057750C">
              <w:rPr>
                <w:i/>
                <w:iCs/>
              </w:rPr>
              <w:t>Tasmanipatus barretti</w:t>
            </w:r>
          </w:p>
        </w:tc>
        <w:tc>
          <w:tcPr>
            <w:tcW w:w="1650" w:type="pct"/>
          </w:tcPr>
          <w:p w14:paraId="1C2314AD" w14:textId="77777777" w:rsidR="00016AE1" w:rsidRPr="0057750C" w:rsidRDefault="00016AE1" w:rsidP="00016AE1">
            <w:pPr>
              <w:pStyle w:val="Tabletext"/>
            </w:pPr>
            <w:r w:rsidRPr="0057750C">
              <w:t>giant velvet worm</w:t>
            </w:r>
          </w:p>
        </w:tc>
        <w:tc>
          <w:tcPr>
            <w:tcW w:w="786" w:type="pct"/>
          </w:tcPr>
          <w:p w14:paraId="08DCF7A9" w14:textId="1DD0CF1F" w:rsidR="00016AE1" w:rsidRPr="0057750C" w:rsidRDefault="00016AE1" w:rsidP="00016AE1">
            <w:pPr>
              <w:pStyle w:val="Tabletext"/>
            </w:pPr>
          </w:p>
        </w:tc>
        <w:tc>
          <w:tcPr>
            <w:tcW w:w="758" w:type="pct"/>
          </w:tcPr>
          <w:p w14:paraId="2015B476" w14:textId="77777777" w:rsidR="00016AE1" w:rsidRPr="0057750C" w:rsidRDefault="00016AE1" w:rsidP="00016AE1">
            <w:pPr>
              <w:pStyle w:val="Tabletext"/>
              <w:rPr>
                <w:iCs/>
              </w:rPr>
            </w:pPr>
            <w:r w:rsidRPr="0057750C">
              <w:rPr>
                <w:iCs/>
              </w:rPr>
              <w:t>Rare</w:t>
            </w:r>
          </w:p>
        </w:tc>
      </w:tr>
    </w:tbl>
    <w:p w14:paraId="1BD7DCB6" w14:textId="6B0A6E4C" w:rsidR="007746EC" w:rsidRDefault="00A30F68" w:rsidP="004A6896">
      <w:pPr>
        <w:pStyle w:val="Tablesource"/>
        <w:rPr>
          <w:iCs/>
        </w:rPr>
      </w:pPr>
      <w:r>
        <w:t>Sources: Bryant and Jackson (1999)</w:t>
      </w:r>
      <w:r w:rsidR="00046372">
        <w:t>, Mesibov &amp; Ruhberg (1991)</w:t>
      </w:r>
      <w:r w:rsidR="008A63F2">
        <w:t>,</w:t>
      </w:r>
      <w:r w:rsidR="004D1CE5">
        <w:t xml:space="preserve"> FPA (2012),</w:t>
      </w:r>
      <w:r w:rsidR="008A63F2">
        <w:t xml:space="preserve"> </w:t>
      </w:r>
      <w:r w:rsidR="0057750C" w:rsidRPr="0057750C">
        <w:rPr>
          <w:iCs/>
        </w:rPr>
        <w:t>Kirkpatrick &amp; Gilfedder</w:t>
      </w:r>
      <w:r w:rsidR="0057750C" w:rsidRPr="0057750C">
        <w:t xml:space="preserve"> </w:t>
      </w:r>
      <w:r w:rsidR="0057750C">
        <w:t xml:space="preserve"> (1999), </w:t>
      </w:r>
      <w:r w:rsidR="00D94FEA" w:rsidRPr="00D94FEA">
        <w:rPr>
          <w:iCs/>
        </w:rPr>
        <w:t>DPIPWE (2019)</w:t>
      </w:r>
    </w:p>
    <w:p w14:paraId="0A36595E" w14:textId="77777777" w:rsidR="007746EC" w:rsidRDefault="007746EC" w:rsidP="007746EC">
      <w:pPr>
        <w:rPr>
          <w:sz w:val="20"/>
        </w:rPr>
      </w:pPr>
      <w:r>
        <w:br w:type="page"/>
      </w:r>
    </w:p>
    <w:p w14:paraId="5A6EE314" w14:textId="77777777" w:rsidR="008C3D55" w:rsidRPr="007746EC" w:rsidRDefault="008C3D55" w:rsidP="007746EC">
      <w:pPr>
        <w:pStyle w:val="Tablesource"/>
        <w:spacing w:after="0"/>
        <w:rPr>
          <w:iCs/>
          <w:sz w:val="4"/>
          <w:szCs w:val="4"/>
        </w:rPr>
      </w:pPr>
    </w:p>
    <w:p w14:paraId="49D6983B" w14:textId="0071C63F" w:rsidR="005253AA" w:rsidRPr="009E5160" w:rsidRDefault="00F44533" w:rsidP="00E06CAC">
      <w:pPr>
        <w:pStyle w:val="Heading1"/>
        <w:spacing w:before="0"/>
      </w:pPr>
      <w:bookmarkStart w:id="62" w:name="_Ref3975288"/>
      <w:bookmarkStart w:id="63" w:name="_Toc24971014"/>
      <w:r>
        <w:t>A</w:t>
      </w:r>
      <w:r w:rsidR="004543EF">
        <w:t>ppendix </w:t>
      </w:r>
      <w:r>
        <w:t xml:space="preserve">B - </w:t>
      </w:r>
      <w:r w:rsidR="005253AA" w:rsidRPr="009E5160">
        <w:t>Relationship to other vegetation classification and mapping systems</w:t>
      </w:r>
      <w:bookmarkEnd w:id="62"/>
      <w:bookmarkEnd w:id="63"/>
    </w:p>
    <w:p w14:paraId="489ADF3B" w14:textId="37A24ADE" w:rsidR="009E5160" w:rsidRPr="00B14C8E" w:rsidRDefault="009E5160" w:rsidP="009E5160">
      <w:pPr>
        <w:ind w:right="-143"/>
      </w:pPr>
      <w:r w:rsidRPr="003D5EF2">
        <w:t xml:space="preserve">Ecological communities are complex to classify. </w:t>
      </w:r>
      <w:r w:rsidR="00B14C8E" w:rsidRPr="003D5EF2">
        <w:t>Tasmania</w:t>
      </w:r>
      <w:r w:rsidRPr="003D5EF2">
        <w:t xml:space="preserve"> applies its own system to classify </w:t>
      </w:r>
      <w:r w:rsidR="00B14C8E" w:rsidRPr="003D5EF2">
        <w:t>vegetation</w:t>
      </w:r>
      <w:r w:rsidRPr="003D5EF2">
        <w:t xml:space="preserve"> communities. Reference to vegetation and mapping units as equivalent to </w:t>
      </w:r>
      <w:r w:rsidR="00B14C8E" w:rsidRPr="003D5EF2">
        <w:t>the</w:t>
      </w:r>
      <w:r w:rsidRPr="003D5EF2">
        <w:t xml:space="preserve"> ecological community, at the time of listing, should be taken as indicative rather than definitive. A unit that is generally equivalent may include elements that do not meet the </w:t>
      </w:r>
      <w:r w:rsidR="00940783">
        <w:t>key diagnostics and minimum condition thresholds</w:t>
      </w:r>
      <w:r w:rsidRPr="003D5EF2">
        <w:t xml:space="preserve">. Conversely, areas mapped or described as </w:t>
      </w:r>
      <w:r w:rsidR="003D5EF2" w:rsidRPr="003D5EF2">
        <w:t xml:space="preserve">other </w:t>
      </w:r>
      <w:r w:rsidRPr="003D5EF2">
        <w:t xml:space="preserve">units may sometimes meet the </w:t>
      </w:r>
      <w:r w:rsidR="00940783">
        <w:t xml:space="preserve">key diagnostics for </w:t>
      </w:r>
      <w:r w:rsidR="007E6420" w:rsidRPr="007E6420">
        <w:t xml:space="preserve">Tasmanian </w:t>
      </w:r>
      <w:r w:rsidR="00940783">
        <w:t>white gum wet forest</w:t>
      </w:r>
      <w:r w:rsidR="00B14C8E" w:rsidRPr="003D5EF2">
        <w:t xml:space="preserve">. Judgement of whether the </w:t>
      </w:r>
      <w:r w:rsidRPr="003D5EF2">
        <w:t xml:space="preserve">ecological community is present at a particular site should focus on how </w:t>
      </w:r>
      <w:r w:rsidR="00B14C8E" w:rsidRPr="003D5EF2">
        <w:t>the</w:t>
      </w:r>
      <w:r w:rsidR="00C749E8">
        <w:t xml:space="preserve"> </w:t>
      </w:r>
      <w:r w:rsidR="00B14C8E" w:rsidRPr="003D5EF2">
        <w:t>site</w:t>
      </w:r>
      <w:r w:rsidRPr="003D5EF2">
        <w:t xml:space="preserve"> meets the </w:t>
      </w:r>
      <w:r w:rsidRPr="00B14C8E">
        <w:t>description</w:t>
      </w:r>
      <w:r w:rsidR="00C749E8">
        <w:t xml:space="preserve"> (section </w:t>
      </w:r>
      <w:r w:rsidR="00C749E8">
        <w:fldChar w:fldCharType="begin"/>
      </w:r>
      <w:r w:rsidR="00C749E8">
        <w:instrText xml:space="preserve"> REF _Ref527448783 \r \h </w:instrText>
      </w:r>
      <w:r w:rsidR="00C749E8">
        <w:fldChar w:fldCharType="separate"/>
      </w:r>
      <w:r w:rsidR="005E6E9C">
        <w:t>2</w:t>
      </w:r>
      <w:r w:rsidR="00C749E8">
        <w:fldChar w:fldCharType="end"/>
      </w:r>
      <w:r w:rsidR="00C749E8">
        <w:t>)</w:t>
      </w:r>
      <w:r w:rsidRPr="00B14C8E">
        <w:t xml:space="preserve">, the key diagnostic characteristics </w:t>
      </w:r>
      <w:r w:rsidR="00B14C8E" w:rsidRPr="00B14C8E">
        <w:t>(section</w:t>
      </w:r>
      <w:r w:rsidR="0064667C">
        <w:t xml:space="preserve"> </w:t>
      </w:r>
      <w:r w:rsidR="0064667C">
        <w:fldChar w:fldCharType="begin"/>
      </w:r>
      <w:r w:rsidR="0064667C">
        <w:instrText xml:space="preserve"> REF _Ref24022341 \r \h </w:instrText>
      </w:r>
      <w:r w:rsidR="0064667C">
        <w:fldChar w:fldCharType="separate"/>
      </w:r>
      <w:r w:rsidR="005E6E9C">
        <w:t>6.1.1</w:t>
      </w:r>
      <w:r w:rsidR="0064667C">
        <w:fldChar w:fldCharType="end"/>
      </w:r>
      <w:r w:rsidR="00B14C8E" w:rsidRPr="00B14C8E">
        <w:t xml:space="preserve">) </w:t>
      </w:r>
      <w:r w:rsidRPr="00B14C8E">
        <w:t xml:space="preserve">and </w:t>
      </w:r>
      <w:r w:rsidR="00571D67">
        <w:t xml:space="preserve">minimum </w:t>
      </w:r>
      <w:r w:rsidRPr="00B14C8E">
        <w:t xml:space="preserve">condition thresholds </w:t>
      </w:r>
      <w:r w:rsidR="00B14C8E" w:rsidRPr="00B14C8E">
        <w:t>(section</w:t>
      </w:r>
      <w:r w:rsidR="0064667C">
        <w:t xml:space="preserve"> </w:t>
      </w:r>
      <w:r w:rsidR="0064667C">
        <w:fldChar w:fldCharType="begin"/>
      </w:r>
      <w:r w:rsidR="0064667C">
        <w:instrText xml:space="preserve"> REF _Ref24022578 \r \h </w:instrText>
      </w:r>
      <w:r w:rsidR="0064667C">
        <w:fldChar w:fldCharType="separate"/>
      </w:r>
      <w:r w:rsidR="005E6E9C">
        <w:t>6.2.1</w:t>
      </w:r>
      <w:r w:rsidR="0064667C">
        <w:fldChar w:fldCharType="end"/>
      </w:r>
      <w:r w:rsidR="00B14C8E" w:rsidRPr="00B14C8E">
        <w:t>)</w:t>
      </w:r>
      <w:r w:rsidRPr="00B14C8E">
        <w:t xml:space="preserve">. </w:t>
      </w:r>
    </w:p>
    <w:p w14:paraId="62F3007D" w14:textId="733049CC" w:rsidR="00C749E8" w:rsidRPr="00C749E8" w:rsidRDefault="009E5160" w:rsidP="00C749E8">
      <w:r w:rsidRPr="00C749E8">
        <w:t xml:space="preserve">Tasmanian vegetation </w:t>
      </w:r>
      <w:r w:rsidR="007D5DD4">
        <w:t xml:space="preserve">mapping </w:t>
      </w:r>
      <w:r w:rsidRPr="00C749E8">
        <w:t xml:space="preserve">units are </w:t>
      </w:r>
      <w:r w:rsidRPr="00C749E8">
        <w:rPr>
          <w:u w:val="single"/>
        </w:rPr>
        <w:t>not</w:t>
      </w:r>
      <w:r w:rsidRPr="00C749E8">
        <w:t xml:space="preserve"> the ecological community being listed. However, for many sites (but not all) certain vegetation map units will correspond sufficiently to provide indicative mapping for the national ecological community, where the description matches.</w:t>
      </w:r>
      <w:r w:rsidR="00C749E8" w:rsidRPr="00C749E8">
        <w:t xml:space="preserve"> </w:t>
      </w:r>
    </w:p>
    <w:p w14:paraId="7872C56E" w14:textId="7509EFC3" w:rsidR="006520D6" w:rsidRDefault="00C749E8" w:rsidP="006520D6">
      <w:pPr>
        <w:rPr>
          <w:color w:val="ED7D31" w:themeColor="accent2"/>
        </w:rPr>
      </w:pPr>
      <w:r w:rsidRPr="00C749E8">
        <w:t xml:space="preserve">On-ground assessment is </w:t>
      </w:r>
      <w:r>
        <w:t>vital to finally determine if any patch</w:t>
      </w:r>
      <w:r w:rsidRPr="00C749E8">
        <w:t xml:space="preserve"> is part of the ecological community.</w:t>
      </w:r>
    </w:p>
    <w:p w14:paraId="660CF57C" w14:textId="77777777" w:rsidR="009E5160" w:rsidRPr="00453C27" w:rsidRDefault="00C46FA8" w:rsidP="00295162">
      <w:pPr>
        <w:pStyle w:val="Heading2"/>
      </w:pPr>
      <w:bookmarkStart w:id="64" w:name="_Toc24971015"/>
      <w:r w:rsidRPr="00453C27">
        <w:t>TASVEG classification</w:t>
      </w:r>
      <w:bookmarkEnd w:id="64"/>
    </w:p>
    <w:p w14:paraId="1A327EE0" w14:textId="3F3315B1" w:rsidR="00C46FA8" w:rsidRPr="00952DCB" w:rsidRDefault="00C46FA8" w:rsidP="00C46FA8">
      <w:r w:rsidRPr="00952DCB">
        <w:t xml:space="preserve">Tasmania has a comprehensive state-wide vegetation classification system. The vegetation community descriptions for the system are outlined in Kitchener and Harris (2013), and these units are mapped, generally at a scale of 1:25 000, for the Tasmanian vegetation map known as TASVEG. TASVEG groups vegetation into about nine broad categories, each of which is divided into several separate ecological communities. It includes a modified lands category that identifies those areas converted to agricultural production, forestry, urban and similar land uses. Many of the eucalypt forest and woodland communities are identified primarily by </w:t>
      </w:r>
      <w:r w:rsidR="0095393F">
        <w:t>the</w:t>
      </w:r>
      <w:r w:rsidRPr="00952DCB">
        <w:t xml:space="preserve"> eucalypt species </w:t>
      </w:r>
      <w:r w:rsidR="0095393F">
        <w:t xml:space="preserve">that </w:t>
      </w:r>
      <w:r w:rsidRPr="00952DCB">
        <w:t xml:space="preserve">is dominant in the tree canopy, supplemented by the general structure of the understorey. </w:t>
      </w:r>
    </w:p>
    <w:p w14:paraId="1E3A0F46" w14:textId="77777777" w:rsidR="00905ED3" w:rsidRDefault="00C46FA8" w:rsidP="005A73EE">
      <w:pPr>
        <w:keepNext/>
      </w:pPr>
      <w:r>
        <w:t>The Tasmanian white gum wet forest corresponds best to the TASVEG unit identified as:</w:t>
      </w:r>
    </w:p>
    <w:p w14:paraId="3468B73D" w14:textId="77777777" w:rsidR="00C46FA8" w:rsidRDefault="00C46FA8" w:rsidP="00A47F50">
      <w:pPr>
        <w:pStyle w:val="ListParagraph"/>
        <w:numPr>
          <w:ilvl w:val="0"/>
          <w:numId w:val="18"/>
        </w:numPr>
      </w:pPr>
      <w:r>
        <w:t xml:space="preserve">WVI – </w:t>
      </w:r>
      <w:r w:rsidRPr="00C46FA8">
        <w:rPr>
          <w:i/>
        </w:rPr>
        <w:t>Eucalyptus viminalis</w:t>
      </w:r>
      <w:r>
        <w:t xml:space="preserve"> wet forest</w:t>
      </w:r>
      <w:r w:rsidR="00E64C81">
        <w:t>.</w:t>
      </w:r>
    </w:p>
    <w:p w14:paraId="2686BFB6" w14:textId="6B2966CD" w:rsidR="000E0427" w:rsidRDefault="000E0427" w:rsidP="000E0427">
      <w:pPr>
        <w:keepNext/>
      </w:pPr>
      <w:r>
        <w:t>This unit is class</w:t>
      </w:r>
      <w:r w:rsidR="007D5DD4">
        <w:t>ified within the ‘wet eucalypt</w:t>
      </w:r>
      <w:r>
        <w:t xml:space="preserve"> forest and woodland’ category.</w:t>
      </w:r>
    </w:p>
    <w:p w14:paraId="01F04062" w14:textId="6C7AB0C4" w:rsidR="000E0427" w:rsidRDefault="007333E4" w:rsidP="007333E4">
      <w:r>
        <w:t xml:space="preserve">The ecological community </w:t>
      </w:r>
      <w:r w:rsidR="007D5DD4">
        <w:t>may also include</w:t>
      </w:r>
      <w:r w:rsidR="001E07C7">
        <w:t xml:space="preserve"> </w:t>
      </w:r>
      <w:r w:rsidR="00932374">
        <w:t>(see</w:t>
      </w:r>
      <w:r w:rsidR="001E07C7">
        <w:t xml:space="preserve"> </w:t>
      </w:r>
      <w:r w:rsidR="001E07C7">
        <w:fldChar w:fldCharType="begin"/>
      </w:r>
      <w:r w:rsidR="001E07C7">
        <w:instrText xml:space="preserve"> REF _Ref24021972 \h </w:instrText>
      </w:r>
      <w:r w:rsidR="001E07C7">
        <w:fldChar w:fldCharType="separate"/>
      </w:r>
      <w:r w:rsidR="005E6E9C" w:rsidRPr="000970A0">
        <w:t xml:space="preserve">Table </w:t>
      </w:r>
      <w:r w:rsidR="005E6E9C">
        <w:rPr>
          <w:noProof/>
        </w:rPr>
        <w:t>7</w:t>
      </w:r>
      <w:r w:rsidR="001E07C7">
        <w:fldChar w:fldCharType="end"/>
      </w:r>
      <w:r w:rsidR="00932374">
        <w:t>)</w:t>
      </w:r>
      <w:r w:rsidR="000E0427">
        <w:t>:</w:t>
      </w:r>
    </w:p>
    <w:p w14:paraId="5727B9B6" w14:textId="5696CC55" w:rsidR="007333E4" w:rsidRPr="00932374" w:rsidRDefault="007333E4" w:rsidP="00A47F50">
      <w:pPr>
        <w:pStyle w:val="ListParagraph"/>
        <w:numPr>
          <w:ilvl w:val="0"/>
          <w:numId w:val="18"/>
        </w:numPr>
      </w:pPr>
      <w:r w:rsidRPr="00932374">
        <w:t>the wet forest components</w:t>
      </w:r>
      <w:r w:rsidR="000E0427" w:rsidRPr="00932374">
        <w:t xml:space="preserve"> </w:t>
      </w:r>
      <w:r w:rsidR="00932374" w:rsidRPr="00932374">
        <w:t>of DVF</w:t>
      </w:r>
      <w:r w:rsidR="001E07C7">
        <w:t xml:space="preserve"> - </w:t>
      </w:r>
      <w:r w:rsidR="001E07C7" w:rsidRPr="001E07C7">
        <w:rPr>
          <w:i/>
        </w:rPr>
        <w:t>Eucalyptus viminalis</w:t>
      </w:r>
      <w:r w:rsidR="001E07C7" w:rsidRPr="001E07C7">
        <w:t xml:space="preserve"> Furneaux forest and woodland</w:t>
      </w:r>
      <w:r w:rsidR="007D5DD4">
        <w:t>;</w:t>
      </w:r>
    </w:p>
    <w:p w14:paraId="2983F6E6" w14:textId="3B70B881" w:rsidR="000E0427" w:rsidRPr="00932374" w:rsidRDefault="00932374" w:rsidP="00A47F50">
      <w:pPr>
        <w:pStyle w:val="ListParagraph"/>
        <w:numPr>
          <w:ilvl w:val="0"/>
          <w:numId w:val="18"/>
        </w:numPr>
      </w:pPr>
      <w:r w:rsidRPr="00932374">
        <w:t>t</w:t>
      </w:r>
      <w:r w:rsidR="000E0427" w:rsidRPr="00932374">
        <w:t xml:space="preserve">he </w:t>
      </w:r>
      <w:r w:rsidRPr="00932374">
        <w:rPr>
          <w:i/>
        </w:rPr>
        <w:t>E. viminalis</w:t>
      </w:r>
      <w:r w:rsidRPr="00932374">
        <w:t>-</w:t>
      </w:r>
      <w:r w:rsidR="000E0427" w:rsidRPr="00932374">
        <w:t>dominated components of DOV</w:t>
      </w:r>
      <w:r w:rsidR="001E07C7">
        <w:t xml:space="preserve"> - </w:t>
      </w:r>
      <w:r w:rsidR="001E07C7" w:rsidRPr="001E07C7">
        <w:rPr>
          <w:i/>
        </w:rPr>
        <w:t>Eucalyptus ovata</w:t>
      </w:r>
      <w:r w:rsidR="001E07C7" w:rsidRPr="001E07C7">
        <w:t xml:space="preserve"> forest and woodland</w:t>
      </w:r>
      <w:r w:rsidR="007D5DD4">
        <w:t>; and</w:t>
      </w:r>
    </w:p>
    <w:p w14:paraId="0946EC9D" w14:textId="2151C817" w:rsidR="00360C90" w:rsidRPr="00932374" w:rsidRDefault="00932374" w:rsidP="00A47F50">
      <w:pPr>
        <w:pStyle w:val="ListParagraph"/>
        <w:numPr>
          <w:ilvl w:val="0"/>
          <w:numId w:val="18"/>
        </w:numPr>
      </w:pPr>
      <w:r w:rsidRPr="00932374">
        <w:t>l</w:t>
      </w:r>
      <w:r w:rsidR="00360C90" w:rsidRPr="00932374">
        <w:t xml:space="preserve">ocally </w:t>
      </w:r>
      <w:r w:rsidRPr="00932374">
        <w:rPr>
          <w:i/>
        </w:rPr>
        <w:t>E. viminalis</w:t>
      </w:r>
      <w:r w:rsidRPr="00932374">
        <w:t>-dominant patches in DSC</w:t>
      </w:r>
      <w:r w:rsidR="001E07C7">
        <w:t xml:space="preserve"> - </w:t>
      </w:r>
      <w:r w:rsidR="001E07C7" w:rsidRPr="001E07C7">
        <w:rPr>
          <w:i/>
        </w:rPr>
        <w:t>Eucalyptus amygdalina - Eucalyptus obliqua</w:t>
      </w:r>
      <w:r w:rsidR="001E07C7" w:rsidRPr="001E07C7">
        <w:t xml:space="preserve"> damp sclerophyll forest</w:t>
      </w:r>
      <w:r w:rsidR="007D5DD4">
        <w:t>.</w:t>
      </w:r>
    </w:p>
    <w:p w14:paraId="015980A7" w14:textId="54D57C2E" w:rsidR="003B29A6" w:rsidRPr="00C749E8" w:rsidRDefault="003B29A6" w:rsidP="003B29A6">
      <w:r w:rsidRPr="00630270">
        <w:t>Discrete patches dominated by particular tree species can be hard to distinguish within complex mosaic vegetation, and many potential sites remain to be ground-truthed.</w:t>
      </w:r>
      <w:r w:rsidR="00630270" w:rsidRPr="00630270">
        <w:t xml:space="preserve"> </w:t>
      </w:r>
      <w:r w:rsidRPr="00630270">
        <w:t xml:space="preserve">Some patches of the ecological community may be currently </w:t>
      </w:r>
      <w:r w:rsidRPr="00C749E8">
        <w:t xml:space="preserve">classified as </w:t>
      </w:r>
      <w:r w:rsidR="00630270" w:rsidRPr="00C749E8">
        <w:t>another</w:t>
      </w:r>
      <w:r w:rsidRPr="00C749E8">
        <w:t xml:space="preserve"> TASVEG unit because the patch was too small or the vegetation mosaic </w:t>
      </w:r>
      <w:r w:rsidRPr="00C749E8">
        <w:lastRenderedPageBreak/>
        <w:t>sufficiently complex to allow reclassification. In short, the key TASVEG unit</w:t>
      </w:r>
      <w:r w:rsidR="005F236B" w:rsidRPr="00C749E8">
        <w:t xml:space="preserve"> </w:t>
      </w:r>
      <w:r w:rsidRPr="00C749E8">
        <w:t xml:space="preserve">WVI likely comprise most of the ecological community’s extent. </w:t>
      </w:r>
      <w:r w:rsidR="00C749E8" w:rsidRPr="00C749E8">
        <w:t>Areas mapped as other units</w:t>
      </w:r>
      <w:r w:rsidRPr="00C749E8">
        <w:t xml:space="preserve"> are likely to collectively account for mostly smaller patches and only a low proportion of the ecological community’s total extent. </w:t>
      </w:r>
    </w:p>
    <w:p w14:paraId="32E67D9A" w14:textId="77777777" w:rsidR="00384149" w:rsidRDefault="00384149" w:rsidP="00295162">
      <w:pPr>
        <w:pStyle w:val="Heading2"/>
      </w:pPr>
      <w:bookmarkStart w:id="65" w:name="_Toc24971016"/>
      <w:r>
        <w:t xml:space="preserve">Regional Forest Agreement </w:t>
      </w:r>
      <w:r w:rsidR="002169E4">
        <w:t>forest t</w:t>
      </w:r>
      <w:r>
        <w:t>ypes</w:t>
      </w:r>
      <w:bookmarkEnd w:id="65"/>
    </w:p>
    <w:p w14:paraId="4F6D3CA2" w14:textId="66F280B2" w:rsidR="00384149" w:rsidRPr="006520D6" w:rsidRDefault="006520D6" w:rsidP="006520D6">
      <w:pPr>
        <w:rPr>
          <w:color w:val="ED7D31" w:themeColor="accent2"/>
        </w:rPr>
      </w:pPr>
      <w:r w:rsidRPr="005F56EF">
        <w:t xml:space="preserve">The TASVEG system built upon earlier vegetation studies and classifications, as detailed by Kitchener and Harris (2013). The most relevant previous system, in terms of practical application for forestry purposes, is that prepared for the Tasmanian </w:t>
      </w:r>
      <w:r w:rsidRPr="007D5DD4">
        <w:rPr>
          <w:i/>
        </w:rPr>
        <w:t>Regional Forest Agreement</w:t>
      </w:r>
      <w:r w:rsidRPr="005F56EF">
        <w:t xml:space="preserve"> (RFA) in the mid-1990s. </w:t>
      </w:r>
      <w:r w:rsidR="00384149" w:rsidRPr="005F56EF">
        <w:t xml:space="preserve">The Tasmanian RFA identified the forest types that required protection from further clearing and areas to be reserved. The </w:t>
      </w:r>
      <w:r w:rsidR="00384149">
        <w:t xml:space="preserve">status of the identified forest types are </w:t>
      </w:r>
      <w:r w:rsidR="00384149" w:rsidRPr="00C03FC3">
        <w:t xml:space="preserve">reported on in </w:t>
      </w:r>
      <w:r w:rsidR="00C03FC3" w:rsidRPr="00C03FC3">
        <w:t>Forest Practic</w:t>
      </w:r>
      <w:r w:rsidR="00384149" w:rsidRPr="00C03FC3">
        <w:t xml:space="preserve">es Authority annual reports and five-yearly </w:t>
      </w:r>
      <w:r w:rsidR="00384149" w:rsidRPr="007D5DD4">
        <w:rPr>
          <w:i/>
        </w:rPr>
        <w:t>State of the Forests</w:t>
      </w:r>
      <w:r w:rsidR="00384149">
        <w:t xml:space="preserve"> reports. The forest type included in these reports that most closely aligns with the ecological community is the:</w:t>
      </w:r>
    </w:p>
    <w:p w14:paraId="2CBBFBD4" w14:textId="02849C87" w:rsidR="00384149" w:rsidRPr="007333E4" w:rsidRDefault="001E07C7" w:rsidP="00A47F50">
      <w:pPr>
        <w:pStyle w:val="ListParagraph"/>
        <w:numPr>
          <w:ilvl w:val="0"/>
          <w:numId w:val="19"/>
        </w:numPr>
      </w:pPr>
      <w:r>
        <w:t>W</w:t>
      </w:r>
      <w:r w:rsidR="00384149" w:rsidRPr="007333E4">
        <w:t xml:space="preserve">et </w:t>
      </w:r>
      <w:r w:rsidR="00384149" w:rsidRPr="007333E4">
        <w:rPr>
          <w:i/>
        </w:rPr>
        <w:t xml:space="preserve">Eucalyptus viminalis </w:t>
      </w:r>
      <w:r w:rsidR="00384149" w:rsidRPr="007333E4">
        <w:t>forest on basalt</w:t>
      </w:r>
      <w:r w:rsidR="005F236B" w:rsidRPr="007333E4">
        <w:t xml:space="preserve"> (VW).</w:t>
      </w:r>
    </w:p>
    <w:p w14:paraId="557F513E" w14:textId="3B67AA36" w:rsidR="007D5DD4" w:rsidRDefault="007D5DD4" w:rsidP="007D5DD4">
      <w:r>
        <w:t xml:space="preserve">This comprises five floristic communities, as defined by earlier classification systems and later adopted by the forest practices system in the Forest Botany </w:t>
      </w:r>
      <w:r w:rsidRPr="00893AD8">
        <w:t>Manual (FPA 2005):</w:t>
      </w:r>
    </w:p>
    <w:p w14:paraId="02DD6C05" w14:textId="02FCDA34" w:rsidR="00AD208C" w:rsidRDefault="00AD208C" w:rsidP="00A47F50">
      <w:pPr>
        <w:pStyle w:val="ListParagraph"/>
        <w:numPr>
          <w:ilvl w:val="0"/>
          <w:numId w:val="19"/>
        </w:numPr>
      </w:pPr>
      <w:r>
        <w:t>WET-VIM00</w:t>
      </w:r>
      <w:r w:rsidR="00485BBF">
        <w:t>1</w:t>
      </w:r>
      <w:r>
        <w:t>1</w:t>
      </w:r>
      <w:r w:rsidR="00485BBF">
        <w:t xml:space="preserve"> – </w:t>
      </w:r>
      <w:r w:rsidR="00485BBF" w:rsidRPr="00485BBF">
        <w:rPr>
          <w:i/>
        </w:rPr>
        <w:t>Eucalyptus viminalis – Bedfordia salici</w:t>
      </w:r>
      <w:r w:rsidR="007D5DD4">
        <w:rPr>
          <w:i/>
        </w:rPr>
        <w:t>n</w:t>
      </w:r>
      <w:r w:rsidR="00485BBF" w:rsidRPr="00485BBF">
        <w:rPr>
          <w:i/>
        </w:rPr>
        <w:t>a – Pultenaea juniperina</w:t>
      </w:r>
      <w:r w:rsidR="00485BBF">
        <w:t xml:space="preserve"> wet sclerophyll forest</w:t>
      </w:r>
    </w:p>
    <w:p w14:paraId="0385B2BE" w14:textId="2C05A8DA" w:rsidR="00AD208C" w:rsidRDefault="00AD208C" w:rsidP="00A47F50">
      <w:pPr>
        <w:pStyle w:val="ListParagraph"/>
        <w:numPr>
          <w:ilvl w:val="0"/>
          <w:numId w:val="19"/>
        </w:numPr>
      </w:pPr>
      <w:r>
        <w:t>WET-VIM0100</w:t>
      </w:r>
      <w:r w:rsidR="00485BBF">
        <w:t xml:space="preserve"> – </w:t>
      </w:r>
      <w:r w:rsidR="00485BBF" w:rsidRPr="00485BBF">
        <w:rPr>
          <w:i/>
        </w:rPr>
        <w:t>Eucalyptus viminalis – Acacia dealbata – Pomaderris apetala</w:t>
      </w:r>
      <w:r w:rsidR="00485BBF">
        <w:t xml:space="preserve"> wet sclerophyll forest</w:t>
      </w:r>
    </w:p>
    <w:p w14:paraId="3B26DBF9" w14:textId="20317FC6" w:rsidR="00AD208C" w:rsidRDefault="00AD208C" w:rsidP="00A47F50">
      <w:pPr>
        <w:pStyle w:val="ListParagraph"/>
        <w:numPr>
          <w:ilvl w:val="0"/>
          <w:numId w:val="19"/>
        </w:numPr>
      </w:pPr>
      <w:r>
        <w:t>WET-VIM0101</w:t>
      </w:r>
      <w:r w:rsidR="00485BBF">
        <w:t xml:space="preserve">- </w:t>
      </w:r>
      <w:r w:rsidR="00485BBF" w:rsidRPr="00485BBF">
        <w:rPr>
          <w:i/>
        </w:rPr>
        <w:t xml:space="preserve">Eucalyptus viminalis – Acacia dealbata – </w:t>
      </w:r>
      <w:r w:rsidR="00485BBF">
        <w:rPr>
          <w:i/>
        </w:rPr>
        <w:t>Dicksonia antarctica</w:t>
      </w:r>
      <w:r w:rsidR="00485BBF" w:rsidRPr="00485BBF">
        <w:t xml:space="preserve"> wet sclerophyll forest</w:t>
      </w:r>
    </w:p>
    <w:p w14:paraId="2069A7A8" w14:textId="04817CFB" w:rsidR="00485BBF" w:rsidRDefault="00485BBF" w:rsidP="00A47F50">
      <w:pPr>
        <w:pStyle w:val="ListParagraph"/>
        <w:numPr>
          <w:ilvl w:val="0"/>
          <w:numId w:val="19"/>
        </w:numPr>
      </w:pPr>
      <w:r>
        <w:t xml:space="preserve">WET-VIM111 </w:t>
      </w:r>
      <w:r w:rsidR="005F236B">
        <w:t>–</w:t>
      </w:r>
      <w:r>
        <w:t xml:space="preserve"> </w:t>
      </w:r>
      <w:r w:rsidR="005F236B" w:rsidRPr="005F236B">
        <w:rPr>
          <w:i/>
        </w:rPr>
        <w:t xml:space="preserve">Eucalyptus viminalis – </w:t>
      </w:r>
      <w:r w:rsidR="004B7531" w:rsidRPr="004B7531">
        <w:rPr>
          <w:i/>
        </w:rPr>
        <w:t>Nothofagus</w:t>
      </w:r>
      <w:r w:rsidR="005F236B" w:rsidRPr="005F236B">
        <w:rPr>
          <w:i/>
        </w:rPr>
        <w:t xml:space="preserve"> cunninghamii</w:t>
      </w:r>
      <w:r w:rsidR="004B7531">
        <w:rPr>
          <w:i/>
        </w:rPr>
        <w:t xml:space="preserve"> </w:t>
      </w:r>
      <w:r w:rsidR="005F236B" w:rsidRPr="005F236B">
        <w:rPr>
          <w:i/>
        </w:rPr>
        <w:t xml:space="preserve">– </w:t>
      </w:r>
      <w:r w:rsidR="004B7531" w:rsidRPr="004B7531">
        <w:rPr>
          <w:i/>
        </w:rPr>
        <w:t xml:space="preserve">Atherosperma </w:t>
      </w:r>
      <w:r w:rsidR="005F236B" w:rsidRPr="005F236B">
        <w:rPr>
          <w:i/>
        </w:rPr>
        <w:t>moschatum – Dicksonia antarctica</w:t>
      </w:r>
      <w:r w:rsidR="005F236B">
        <w:t xml:space="preserve"> mixed forest</w:t>
      </w:r>
    </w:p>
    <w:p w14:paraId="1ED090B5" w14:textId="69634C75" w:rsidR="00DA0301" w:rsidRDefault="00DA0301" w:rsidP="00A47F50">
      <w:pPr>
        <w:pStyle w:val="ListParagraph"/>
        <w:numPr>
          <w:ilvl w:val="0"/>
          <w:numId w:val="19"/>
        </w:numPr>
      </w:pPr>
      <w:r>
        <w:t xml:space="preserve">WET-VIM2 - </w:t>
      </w:r>
      <w:r w:rsidRPr="00DA0301">
        <w:rPr>
          <w:i/>
        </w:rPr>
        <w:t>Eucalyptus viminalis</w:t>
      </w:r>
      <w:r>
        <w:rPr>
          <w:i/>
        </w:rPr>
        <w:t xml:space="preserve"> – </w:t>
      </w:r>
      <w:r w:rsidRPr="00893AD8">
        <w:rPr>
          <w:i/>
        </w:rPr>
        <w:t xml:space="preserve">Melaleuca </w:t>
      </w:r>
      <w:r w:rsidR="00893AD8" w:rsidRPr="00893AD8">
        <w:t>sp</w:t>
      </w:r>
      <w:r w:rsidRPr="00893AD8">
        <w:t>p</w:t>
      </w:r>
      <w:r>
        <w:rPr>
          <w:i/>
        </w:rPr>
        <w:t xml:space="preserve">. – Leptospermum </w:t>
      </w:r>
      <w:r w:rsidRPr="003A5AA4">
        <w:t>spp</w:t>
      </w:r>
      <w:r>
        <w:rPr>
          <w:i/>
        </w:rPr>
        <w:t xml:space="preserve">. </w:t>
      </w:r>
      <w:r w:rsidRPr="00DA0301">
        <w:t>w</w:t>
      </w:r>
      <w:r>
        <w:t xml:space="preserve">et sclerophyll forest (where </w:t>
      </w:r>
      <w:r w:rsidRPr="00DA0301">
        <w:rPr>
          <w:i/>
        </w:rPr>
        <w:t>E. viminalis</w:t>
      </w:r>
      <w:r>
        <w:t xml:space="preserve"> is dominant in the canopy)</w:t>
      </w:r>
    </w:p>
    <w:p w14:paraId="79F493A5" w14:textId="77777777" w:rsidR="006520D6" w:rsidRDefault="006520D6" w:rsidP="00295162">
      <w:pPr>
        <w:pStyle w:val="Heading2"/>
      </w:pPr>
      <w:bookmarkStart w:id="66" w:name="_Toc24971017"/>
      <w:r>
        <w:t>Tasmanian threatened native vegetation communities</w:t>
      </w:r>
      <w:bookmarkEnd w:id="66"/>
    </w:p>
    <w:p w14:paraId="36D12AF6" w14:textId="77777777" w:rsidR="006520D6" w:rsidRDefault="006520D6" w:rsidP="006520D6">
      <w:pPr>
        <w:keepNext/>
      </w:pPr>
      <w:r w:rsidRPr="00AB0074">
        <w:rPr>
          <w:lang w:val="en-US"/>
        </w:rPr>
        <w:t xml:space="preserve">Tasmania recognises and lists threatened native vegetation communities under </w:t>
      </w:r>
      <w:r w:rsidRPr="00AB0074">
        <w:t xml:space="preserve">Schedule 3A of the Tasmanian Government’s </w:t>
      </w:r>
      <w:hyperlink r:id="rId41" w:tgtFrame="_blank" w:history="1">
        <w:r w:rsidRPr="00AB0074">
          <w:rPr>
            <w:rStyle w:val="Emphasis"/>
            <w:szCs w:val="24"/>
          </w:rPr>
          <w:t>Nature Conservation Act 2002</w:t>
        </w:r>
      </w:hyperlink>
      <w:r w:rsidRPr="00AB0074">
        <w:t>. The listed native vegetation community</w:t>
      </w:r>
      <w:r>
        <w:t xml:space="preserve"> that most closely </w:t>
      </w:r>
      <w:r w:rsidRPr="00AB0074">
        <w:t>corresponds to the ecological community</w:t>
      </w:r>
      <w:r>
        <w:t xml:space="preserve"> is:</w:t>
      </w:r>
    </w:p>
    <w:p w14:paraId="1169E953" w14:textId="77777777" w:rsidR="006520D6" w:rsidRPr="00384149" w:rsidRDefault="006520D6" w:rsidP="00A47F50">
      <w:pPr>
        <w:pStyle w:val="ListParagraph"/>
        <w:numPr>
          <w:ilvl w:val="0"/>
          <w:numId w:val="18"/>
        </w:numPr>
      </w:pPr>
      <w:r w:rsidRPr="00384149">
        <w:rPr>
          <w:i/>
        </w:rPr>
        <w:t xml:space="preserve">Eucalyptus viminalis </w:t>
      </w:r>
      <w:r w:rsidRPr="00384149">
        <w:t>wet forest.</w:t>
      </w:r>
    </w:p>
    <w:p w14:paraId="07A680A5" w14:textId="77777777" w:rsidR="00AF4CCD" w:rsidRDefault="00AF4CCD">
      <w:pPr>
        <w:spacing w:after="160" w:line="259" w:lineRule="auto"/>
        <w:rPr>
          <w:rFonts w:eastAsiaTheme="majorEastAsia" w:cstheme="majorBidi"/>
          <w:b/>
          <w:caps/>
          <w:szCs w:val="32"/>
        </w:rPr>
      </w:pPr>
      <w:bookmarkStart w:id="67" w:name="_Ref527448862"/>
      <w:r>
        <w:br w:type="page"/>
      </w:r>
    </w:p>
    <w:p w14:paraId="60F4F80C" w14:textId="58B64ACE" w:rsidR="006551A0" w:rsidRDefault="00F44533" w:rsidP="00126438">
      <w:pPr>
        <w:pStyle w:val="Heading1"/>
      </w:pPr>
      <w:bookmarkStart w:id="68" w:name="_Toc24971018"/>
      <w:bookmarkEnd w:id="67"/>
      <w:r>
        <w:lastRenderedPageBreak/>
        <w:t>Appendix</w:t>
      </w:r>
      <w:r w:rsidR="004543EF">
        <w:t> </w:t>
      </w:r>
      <w:r w:rsidR="00BB52A7">
        <w:t>C</w:t>
      </w:r>
      <w:r>
        <w:t xml:space="preserve"> - </w:t>
      </w:r>
      <w:r w:rsidR="006551A0">
        <w:t>Indigenous information</w:t>
      </w:r>
      <w:bookmarkEnd w:id="68"/>
    </w:p>
    <w:p w14:paraId="17D3CCD6" w14:textId="0280F5CC" w:rsidR="00FB6C46" w:rsidRPr="00FB6C46" w:rsidRDefault="00056C81" w:rsidP="00056C81">
      <w:r w:rsidRPr="00FB6C46">
        <w:t xml:space="preserve">Humans have been present in Tasmania for at least 35,000 years and recent evidence from a site on the Jordon River suggests they may have arrived more than 40,000 years ago. The interaction of humans, climate, vegetation and soils has been profound, with the frequency and intensity of fires changing throughout the period since human colonisation. The current broad vegetation pattern is attributed largely to a pattern of fire use maintained throughout the period of Aboriginal occupation of the </w:t>
      </w:r>
      <w:r w:rsidRPr="00845129">
        <w:t>island (</w:t>
      </w:r>
      <w:r w:rsidR="00845129" w:rsidRPr="00845129">
        <w:t>Jackson 1981</w:t>
      </w:r>
      <w:r w:rsidRPr="00845129">
        <w:t>).</w:t>
      </w:r>
      <w:r w:rsidRPr="00FB6C46">
        <w:t xml:space="preserve"> </w:t>
      </w:r>
    </w:p>
    <w:p w14:paraId="7378D945" w14:textId="77777777" w:rsidR="009745DD" w:rsidRPr="003B3464" w:rsidRDefault="009745DD" w:rsidP="009745DD">
      <w:pPr>
        <w:pStyle w:val="Heading2"/>
      </w:pPr>
      <w:bookmarkStart w:id="69" w:name="_Toc15485253"/>
      <w:bookmarkStart w:id="70" w:name="_Toc24971019"/>
      <w:r w:rsidRPr="003B3464">
        <w:t>Traditional owners</w:t>
      </w:r>
      <w:bookmarkEnd w:id="69"/>
      <w:bookmarkEnd w:id="70"/>
    </w:p>
    <w:p w14:paraId="3070FD63" w14:textId="52ECA525" w:rsidR="009745DD" w:rsidRPr="00A07FE0" w:rsidRDefault="009745DD" w:rsidP="00A07FE0">
      <w:r w:rsidRPr="00A07FE0">
        <w:t xml:space="preserve">The Indigenous peoples of Tasmania (Palawa and Lia Pootah communities) understood and managed their natural landscapes sustainably for many thousands of years. They established diverse and dynamic cultures, with eight language groups </w:t>
      </w:r>
      <w:r w:rsidRPr="00C14C35">
        <w:t>recognised by AIATSIS (1996).</w:t>
      </w:r>
      <w:r w:rsidR="00A07FE0" w:rsidRPr="00C14C35">
        <w:t xml:space="preserve"> Aboriginal</w:t>
      </w:r>
      <w:r w:rsidR="00A07FE0" w:rsidRPr="00A07FE0">
        <w:t xml:space="preserve"> places and landscapes have a strong and continuing significance to the Tasmanian Aboriginal community. </w:t>
      </w:r>
      <w:r w:rsidRPr="00A07FE0">
        <w:t xml:space="preserve">The present day Palawa population maintains a strong connection with the land, successfully petitioning for the return of twelve significant places under the Tasmanian </w:t>
      </w:r>
      <w:r w:rsidRPr="00A07FE0">
        <w:rPr>
          <w:i/>
          <w:iCs/>
        </w:rPr>
        <w:t xml:space="preserve">Aboriginal Lands Act </w:t>
      </w:r>
      <w:r w:rsidRPr="00C14C35">
        <w:rPr>
          <w:i/>
          <w:iCs/>
        </w:rPr>
        <w:t xml:space="preserve">1995 </w:t>
      </w:r>
      <w:r w:rsidRPr="00C14C35">
        <w:t>(</w:t>
      </w:r>
      <w:r w:rsidR="00C14C35" w:rsidRPr="00C14C35">
        <w:t>ABS</w:t>
      </w:r>
      <w:r w:rsidR="00A07FE0" w:rsidRPr="00C14C35">
        <w:t xml:space="preserve"> 2000).</w:t>
      </w:r>
      <w:r w:rsidR="00A07FE0" w:rsidRPr="00A07FE0">
        <w:t xml:space="preserve"> </w:t>
      </w:r>
    </w:p>
    <w:p w14:paraId="04C22B0C" w14:textId="77777777" w:rsidR="009745DD" w:rsidRPr="0085185F" w:rsidRDefault="009745DD" w:rsidP="009745DD">
      <w:pPr>
        <w:pStyle w:val="Heading2"/>
      </w:pPr>
      <w:bookmarkStart w:id="71" w:name="_Toc15485255"/>
      <w:bookmarkStart w:id="72" w:name="_Toc24971020"/>
      <w:r w:rsidRPr="0085185F">
        <w:t>Traditional Indigenous use of resources from the ecological community</w:t>
      </w:r>
      <w:bookmarkEnd w:id="71"/>
      <w:bookmarkEnd w:id="72"/>
    </w:p>
    <w:p w14:paraId="27FA1CAA" w14:textId="1F5AF403" w:rsidR="009745DD" w:rsidRPr="0085185F" w:rsidRDefault="00A07FE0" w:rsidP="009745DD">
      <w:pPr>
        <w:ind w:right="-425"/>
      </w:pPr>
      <w:r w:rsidRPr="00A07FE0">
        <w:t xml:space="preserve">A wide variety of plant and animal resources </w:t>
      </w:r>
      <w:r>
        <w:t xml:space="preserve">from within the </w:t>
      </w:r>
      <w:r w:rsidR="007E6420" w:rsidRPr="007E6420">
        <w:t xml:space="preserve">Tasmanian </w:t>
      </w:r>
      <w:r>
        <w:t xml:space="preserve">white gum wet forest </w:t>
      </w:r>
      <w:r w:rsidRPr="00A07FE0">
        <w:t xml:space="preserve">were used for food and materials by the Indigenous peoples of Tasmania, some of which were described by </w:t>
      </w:r>
      <w:r w:rsidRPr="00C14C35">
        <w:t>Noetling (1910).</w:t>
      </w:r>
      <w:r w:rsidRPr="00A07FE0">
        <w:t xml:space="preserve"> </w:t>
      </w:r>
      <w:r w:rsidR="009745DD" w:rsidRPr="0085185F">
        <w:t xml:space="preserve">The known Indigenous uses in Tasmania of some plants that occur in wet forests are given in </w:t>
      </w:r>
      <w:r w:rsidR="009745DD" w:rsidRPr="0085185F">
        <w:rPr>
          <w:u w:val="single"/>
        </w:rPr>
        <w:fldChar w:fldCharType="begin"/>
      </w:r>
      <w:r w:rsidR="009745DD" w:rsidRPr="0085185F">
        <w:rPr>
          <w:u w:val="single"/>
        </w:rPr>
        <w:instrText xml:space="preserve"> REF _Ref12287524 \h  \* MERGEFORMAT </w:instrText>
      </w:r>
      <w:r w:rsidR="009745DD" w:rsidRPr="0085185F">
        <w:rPr>
          <w:u w:val="single"/>
        </w:rPr>
      </w:r>
      <w:r w:rsidR="009745DD" w:rsidRPr="0085185F">
        <w:rPr>
          <w:u w:val="single"/>
        </w:rPr>
        <w:fldChar w:fldCharType="separate"/>
      </w:r>
      <w:r w:rsidR="005E6E9C" w:rsidRPr="005E6E9C">
        <w:rPr>
          <w:u w:val="single"/>
        </w:rPr>
        <w:t xml:space="preserve">Table </w:t>
      </w:r>
      <w:r w:rsidR="005E6E9C" w:rsidRPr="005E6E9C">
        <w:rPr>
          <w:noProof/>
          <w:u w:val="single"/>
        </w:rPr>
        <w:t>12</w:t>
      </w:r>
      <w:r w:rsidR="009745DD" w:rsidRPr="0085185F">
        <w:rPr>
          <w:u w:val="single"/>
        </w:rPr>
        <w:fldChar w:fldCharType="end"/>
      </w:r>
      <w:r w:rsidR="009745DD" w:rsidRPr="0085185F">
        <w:t>. The animal resources likely to occur in the ecological community that were used for food, hides and other resources include possums, wombat, bandicoot, bettong and potoroo, which were often cooked whole on open fires or coals.</w:t>
      </w:r>
    </w:p>
    <w:p w14:paraId="412A6D2A" w14:textId="77777777" w:rsidR="009745DD" w:rsidRPr="003F7B07" w:rsidRDefault="009745DD" w:rsidP="009745DD">
      <w:pPr>
        <w:pStyle w:val="Caption"/>
        <w:keepNext/>
      </w:pPr>
      <w:bookmarkStart w:id="73" w:name="_Ref12287524"/>
      <w:bookmarkStart w:id="74" w:name="_Toc531941951"/>
      <w:r w:rsidRPr="003F7B07">
        <w:t xml:space="preserve">Table </w:t>
      </w:r>
      <w:r w:rsidR="00702214">
        <w:rPr>
          <w:noProof/>
        </w:rPr>
        <w:fldChar w:fldCharType="begin"/>
      </w:r>
      <w:r w:rsidR="00702214">
        <w:rPr>
          <w:noProof/>
        </w:rPr>
        <w:instrText xml:space="preserve"> SEQ Table \* ARABIC </w:instrText>
      </w:r>
      <w:r w:rsidR="00702214">
        <w:rPr>
          <w:noProof/>
        </w:rPr>
        <w:fldChar w:fldCharType="separate"/>
      </w:r>
      <w:r w:rsidR="005E6E9C">
        <w:rPr>
          <w:noProof/>
        </w:rPr>
        <w:t>12</w:t>
      </w:r>
      <w:r w:rsidR="00702214">
        <w:rPr>
          <w:noProof/>
        </w:rPr>
        <w:fldChar w:fldCharType="end"/>
      </w:r>
      <w:bookmarkEnd w:id="73"/>
      <w:r w:rsidRPr="003F7B07">
        <w:t>: Known Indigenous uses of plant species that occur in the ecological community.</w:t>
      </w:r>
      <w:bookmarkEnd w:id="74"/>
    </w:p>
    <w:tbl>
      <w:tblPr>
        <w:tblStyle w:val="TableGrid"/>
        <w:tblW w:w="9776" w:type="dxa"/>
        <w:tblLook w:val="04A0" w:firstRow="1" w:lastRow="0" w:firstColumn="1" w:lastColumn="0" w:noHBand="0" w:noVBand="1"/>
      </w:tblPr>
      <w:tblGrid>
        <w:gridCol w:w="2405"/>
        <w:gridCol w:w="7371"/>
      </w:tblGrid>
      <w:tr w:rsidR="009745DD" w:rsidRPr="003F7B07" w14:paraId="7B772FB4" w14:textId="77777777" w:rsidTr="00483E42">
        <w:trPr>
          <w:cantSplit/>
          <w:tblHeader/>
        </w:trPr>
        <w:tc>
          <w:tcPr>
            <w:tcW w:w="2405" w:type="dxa"/>
          </w:tcPr>
          <w:p w14:paraId="13AAC212" w14:textId="77777777" w:rsidR="009745DD" w:rsidRPr="003F7B07" w:rsidRDefault="009745DD" w:rsidP="00483E42">
            <w:pPr>
              <w:rPr>
                <w:b/>
                <w:sz w:val="20"/>
              </w:rPr>
            </w:pPr>
            <w:r w:rsidRPr="003F7B07">
              <w:rPr>
                <w:b/>
                <w:sz w:val="20"/>
              </w:rPr>
              <w:t>Species</w:t>
            </w:r>
          </w:p>
        </w:tc>
        <w:tc>
          <w:tcPr>
            <w:tcW w:w="7371" w:type="dxa"/>
          </w:tcPr>
          <w:p w14:paraId="18E3EFE7" w14:textId="77777777" w:rsidR="009745DD" w:rsidRPr="003F7B07" w:rsidRDefault="009745DD" w:rsidP="00483E42">
            <w:pPr>
              <w:rPr>
                <w:b/>
                <w:sz w:val="20"/>
              </w:rPr>
            </w:pPr>
            <w:r w:rsidRPr="003F7B07">
              <w:rPr>
                <w:b/>
                <w:sz w:val="20"/>
              </w:rPr>
              <w:t>Indigenous uses in Tasmania</w:t>
            </w:r>
          </w:p>
        </w:tc>
      </w:tr>
      <w:tr w:rsidR="009745DD" w:rsidRPr="007C5B57" w14:paraId="01350811" w14:textId="77777777" w:rsidTr="00483E42">
        <w:trPr>
          <w:cantSplit/>
        </w:trPr>
        <w:tc>
          <w:tcPr>
            <w:tcW w:w="2405" w:type="dxa"/>
          </w:tcPr>
          <w:p w14:paraId="266E14D6" w14:textId="77777777" w:rsidR="009745DD" w:rsidRPr="007C5B57" w:rsidRDefault="009745DD" w:rsidP="00483E42">
            <w:pPr>
              <w:rPr>
                <w:sz w:val="20"/>
              </w:rPr>
            </w:pPr>
            <w:r w:rsidRPr="007C5B57">
              <w:rPr>
                <w:i/>
                <w:sz w:val="20"/>
              </w:rPr>
              <w:t>Acacia dealbata</w:t>
            </w:r>
            <w:r>
              <w:rPr>
                <w:sz w:val="20"/>
              </w:rPr>
              <w:t xml:space="preserve"> (silver wattle)</w:t>
            </w:r>
          </w:p>
        </w:tc>
        <w:tc>
          <w:tcPr>
            <w:tcW w:w="7371" w:type="dxa"/>
          </w:tcPr>
          <w:p w14:paraId="682226BD" w14:textId="77777777" w:rsidR="009745DD" w:rsidRPr="007C5B57" w:rsidRDefault="009745DD" w:rsidP="00483E42">
            <w:pPr>
              <w:rPr>
                <w:sz w:val="20"/>
              </w:rPr>
            </w:pPr>
            <w:r w:rsidRPr="007C5B57">
              <w:rPr>
                <w:sz w:val="20"/>
              </w:rPr>
              <w:t>Aboriginal people ground silver wattle seeds to make flour and ate the sticky gum which weeps from the tree when insects attack.</w:t>
            </w:r>
          </w:p>
        </w:tc>
      </w:tr>
      <w:tr w:rsidR="009745DD" w:rsidRPr="007C5B57" w14:paraId="0C5EE045" w14:textId="77777777" w:rsidTr="00483E42">
        <w:trPr>
          <w:cantSplit/>
        </w:trPr>
        <w:tc>
          <w:tcPr>
            <w:tcW w:w="2405" w:type="dxa"/>
          </w:tcPr>
          <w:p w14:paraId="6A831AC3" w14:textId="77777777" w:rsidR="009745DD" w:rsidRDefault="009745DD" w:rsidP="00483E42">
            <w:pPr>
              <w:rPr>
                <w:sz w:val="20"/>
              </w:rPr>
            </w:pPr>
            <w:r w:rsidRPr="007C5B57">
              <w:rPr>
                <w:i/>
                <w:sz w:val="20"/>
              </w:rPr>
              <w:t>Acacia melanoxylon</w:t>
            </w:r>
            <w:r>
              <w:rPr>
                <w:sz w:val="20"/>
              </w:rPr>
              <w:t xml:space="preserve"> (blackwood)</w:t>
            </w:r>
          </w:p>
        </w:tc>
        <w:tc>
          <w:tcPr>
            <w:tcW w:w="7371" w:type="dxa"/>
          </w:tcPr>
          <w:p w14:paraId="42A69996" w14:textId="77777777" w:rsidR="009745DD" w:rsidRDefault="009745DD" w:rsidP="00483E42">
            <w:pPr>
              <w:rPr>
                <w:sz w:val="20"/>
              </w:rPr>
            </w:pPr>
            <w:r w:rsidRPr="007C5B57">
              <w:rPr>
                <w:sz w:val="20"/>
              </w:rPr>
              <w:t>Tasmanian Aboriginal people used its timber for waddies</w:t>
            </w:r>
            <w:r>
              <w:rPr>
                <w:sz w:val="20"/>
              </w:rPr>
              <w:t xml:space="preserve"> (clubs)</w:t>
            </w:r>
            <w:r w:rsidRPr="007C5B57">
              <w:rPr>
                <w:sz w:val="20"/>
              </w:rPr>
              <w:t xml:space="preserve"> and digging sticks (for digging up roots and tubers). They soaked the bark in water for an infusion to treat arthritic joint pain. They also found food value in blackwood gum soaked in water, and probably ate its seeds. Blossom from this and other acacia trees, hung near where they slept, was thought to induce sleep. </w:t>
            </w:r>
          </w:p>
        </w:tc>
      </w:tr>
      <w:tr w:rsidR="009745DD" w:rsidRPr="007C5B57" w14:paraId="784F49B9" w14:textId="77777777" w:rsidTr="00483E42">
        <w:trPr>
          <w:cantSplit/>
        </w:trPr>
        <w:tc>
          <w:tcPr>
            <w:tcW w:w="2405" w:type="dxa"/>
          </w:tcPr>
          <w:p w14:paraId="2ECE6333" w14:textId="77777777" w:rsidR="009745DD" w:rsidRDefault="009745DD" w:rsidP="00483E42">
            <w:pPr>
              <w:rPr>
                <w:sz w:val="20"/>
              </w:rPr>
            </w:pPr>
            <w:r w:rsidRPr="007C5B57">
              <w:rPr>
                <w:i/>
                <w:sz w:val="20"/>
              </w:rPr>
              <w:t>Acacia verticillata</w:t>
            </w:r>
            <w:r>
              <w:rPr>
                <w:sz w:val="20"/>
              </w:rPr>
              <w:t xml:space="preserve"> (prickly moses)</w:t>
            </w:r>
          </w:p>
        </w:tc>
        <w:tc>
          <w:tcPr>
            <w:tcW w:w="7371" w:type="dxa"/>
          </w:tcPr>
          <w:p w14:paraId="3EC074D8" w14:textId="77777777" w:rsidR="009745DD" w:rsidRDefault="009745DD" w:rsidP="00483E42">
            <w:pPr>
              <w:rPr>
                <w:sz w:val="20"/>
              </w:rPr>
            </w:pPr>
            <w:r w:rsidRPr="007C5B57">
              <w:rPr>
                <w:sz w:val="20"/>
              </w:rPr>
              <w:t xml:space="preserve">Aboriginal people ate the seeds of prickly </w:t>
            </w:r>
            <w:r w:rsidRPr="00893AD8">
              <w:rPr>
                <w:sz w:val="20"/>
              </w:rPr>
              <w:t>mimosa</w:t>
            </w:r>
            <w:r w:rsidRPr="007C5B57">
              <w:rPr>
                <w:sz w:val="20"/>
              </w:rPr>
              <w:t>, which are high in protein and carbohydrates, and hung the blossoms near where they slept to help induce sleep.</w:t>
            </w:r>
          </w:p>
        </w:tc>
      </w:tr>
      <w:tr w:rsidR="009745DD" w:rsidRPr="007C5B57" w14:paraId="470CCE99" w14:textId="77777777" w:rsidTr="00483E42">
        <w:trPr>
          <w:cantSplit/>
        </w:trPr>
        <w:tc>
          <w:tcPr>
            <w:tcW w:w="2405" w:type="dxa"/>
          </w:tcPr>
          <w:p w14:paraId="14CC3472" w14:textId="77777777" w:rsidR="009745DD" w:rsidRPr="007C5B57" w:rsidRDefault="009745DD" w:rsidP="00483E42">
            <w:pPr>
              <w:rPr>
                <w:i/>
                <w:sz w:val="20"/>
              </w:rPr>
            </w:pPr>
            <w:r>
              <w:rPr>
                <w:i/>
                <w:sz w:val="20"/>
              </w:rPr>
              <w:t xml:space="preserve">Acaena </w:t>
            </w:r>
            <w:r>
              <w:rPr>
                <w:sz w:val="20"/>
              </w:rPr>
              <w:t>(buzzy)</w:t>
            </w:r>
          </w:p>
        </w:tc>
        <w:tc>
          <w:tcPr>
            <w:tcW w:w="7371" w:type="dxa"/>
          </w:tcPr>
          <w:p w14:paraId="7904C52A" w14:textId="77777777" w:rsidR="009745DD" w:rsidRPr="007C5B57" w:rsidRDefault="009745DD" w:rsidP="00483E42">
            <w:pPr>
              <w:rPr>
                <w:sz w:val="20"/>
              </w:rPr>
            </w:pPr>
            <w:r w:rsidRPr="00355576">
              <w:rPr>
                <w:sz w:val="20"/>
              </w:rPr>
              <w:t>Leaves can be infused for tea.</w:t>
            </w:r>
          </w:p>
        </w:tc>
      </w:tr>
      <w:tr w:rsidR="009745DD" w:rsidRPr="007C5B57" w14:paraId="3F501902" w14:textId="77777777" w:rsidTr="00483E42">
        <w:trPr>
          <w:cantSplit/>
        </w:trPr>
        <w:tc>
          <w:tcPr>
            <w:tcW w:w="2405" w:type="dxa"/>
          </w:tcPr>
          <w:p w14:paraId="64A4C22C" w14:textId="77777777" w:rsidR="009745DD" w:rsidRDefault="009745DD" w:rsidP="00483E42">
            <w:pPr>
              <w:rPr>
                <w:sz w:val="20"/>
              </w:rPr>
            </w:pPr>
            <w:r w:rsidRPr="007C5B57">
              <w:rPr>
                <w:i/>
                <w:sz w:val="20"/>
              </w:rPr>
              <w:t>Bursaria spinos</w:t>
            </w:r>
            <w:r>
              <w:rPr>
                <w:i/>
                <w:sz w:val="20"/>
              </w:rPr>
              <w:t>a</w:t>
            </w:r>
            <w:r>
              <w:rPr>
                <w:sz w:val="20"/>
              </w:rPr>
              <w:t xml:space="preserve"> (prickly box)</w:t>
            </w:r>
          </w:p>
        </w:tc>
        <w:tc>
          <w:tcPr>
            <w:tcW w:w="7371" w:type="dxa"/>
          </w:tcPr>
          <w:p w14:paraId="1FBA0B4C" w14:textId="77777777" w:rsidR="009745DD" w:rsidRDefault="009745DD" w:rsidP="00483E42">
            <w:pPr>
              <w:rPr>
                <w:sz w:val="20"/>
              </w:rPr>
            </w:pPr>
            <w:r w:rsidRPr="007C5B57">
              <w:rPr>
                <w:sz w:val="20"/>
              </w:rPr>
              <w:t>Aboriginal people found its timber made good waddies (clubs). They also sucked nectar from its flowers.</w:t>
            </w:r>
          </w:p>
        </w:tc>
      </w:tr>
      <w:tr w:rsidR="009745DD" w:rsidRPr="007C5B57" w14:paraId="60C111F0" w14:textId="77777777" w:rsidTr="00483E42">
        <w:trPr>
          <w:cantSplit/>
        </w:trPr>
        <w:tc>
          <w:tcPr>
            <w:tcW w:w="2405" w:type="dxa"/>
          </w:tcPr>
          <w:p w14:paraId="7EDC369E" w14:textId="77777777" w:rsidR="009745DD" w:rsidRPr="00EA035A" w:rsidRDefault="009745DD" w:rsidP="00483E42">
            <w:pPr>
              <w:rPr>
                <w:sz w:val="20"/>
              </w:rPr>
            </w:pPr>
            <w:r>
              <w:rPr>
                <w:i/>
                <w:sz w:val="20"/>
              </w:rPr>
              <w:t xml:space="preserve">Coprosma quadrifida </w:t>
            </w:r>
            <w:r>
              <w:rPr>
                <w:sz w:val="20"/>
              </w:rPr>
              <w:t>(currant bush)</w:t>
            </w:r>
          </w:p>
        </w:tc>
        <w:tc>
          <w:tcPr>
            <w:tcW w:w="7371" w:type="dxa"/>
          </w:tcPr>
          <w:p w14:paraId="612843E2" w14:textId="77777777" w:rsidR="009745DD" w:rsidRPr="007C5B57" w:rsidRDefault="009745DD" w:rsidP="00483E42">
            <w:pPr>
              <w:rPr>
                <w:sz w:val="20"/>
              </w:rPr>
            </w:pPr>
            <w:r w:rsidRPr="00EA035A">
              <w:rPr>
                <w:sz w:val="20"/>
              </w:rPr>
              <w:t>The female plants can be laden with shiny orange berries in autumn.</w:t>
            </w:r>
          </w:p>
        </w:tc>
      </w:tr>
      <w:tr w:rsidR="009745DD" w:rsidRPr="007C5B57" w14:paraId="2E2E566B" w14:textId="77777777" w:rsidTr="00483E42">
        <w:trPr>
          <w:cantSplit/>
        </w:trPr>
        <w:tc>
          <w:tcPr>
            <w:tcW w:w="2405" w:type="dxa"/>
          </w:tcPr>
          <w:p w14:paraId="69DA000C" w14:textId="77777777" w:rsidR="009745DD" w:rsidRPr="00E20CFB" w:rsidRDefault="009745DD" w:rsidP="00483E42">
            <w:pPr>
              <w:rPr>
                <w:sz w:val="20"/>
              </w:rPr>
            </w:pPr>
            <w:r>
              <w:rPr>
                <w:i/>
                <w:sz w:val="20"/>
              </w:rPr>
              <w:t xml:space="preserve">Cyathea australis </w:t>
            </w:r>
            <w:r>
              <w:rPr>
                <w:sz w:val="20"/>
              </w:rPr>
              <w:t>(rough tree-fern)</w:t>
            </w:r>
          </w:p>
        </w:tc>
        <w:tc>
          <w:tcPr>
            <w:tcW w:w="7371" w:type="dxa"/>
          </w:tcPr>
          <w:p w14:paraId="6B40C0B8" w14:textId="77777777" w:rsidR="009745DD" w:rsidRPr="00E20CFB" w:rsidRDefault="009745DD" w:rsidP="00483E42">
            <w:pPr>
              <w:rPr>
                <w:sz w:val="20"/>
              </w:rPr>
            </w:pPr>
            <w:r w:rsidRPr="00E20CFB">
              <w:rPr>
                <w:sz w:val="20"/>
              </w:rPr>
              <w:t>Aboriginal people used the soft, starchy pith from the top part (0.5m) of the stem. They split the stem, scooped out the pith and ate it raw or roasted in ashes. Preferred to the soft tree-fern because it tasted better.</w:t>
            </w:r>
          </w:p>
        </w:tc>
      </w:tr>
      <w:tr w:rsidR="009745DD" w:rsidRPr="007C5B57" w14:paraId="054453F7" w14:textId="77777777" w:rsidTr="00483E42">
        <w:trPr>
          <w:cantSplit/>
        </w:trPr>
        <w:tc>
          <w:tcPr>
            <w:tcW w:w="2405" w:type="dxa"/>
          </w:tcPr>
          <w:p w14:paraId="42B61F36" w14:textId="77777777" w:rsidR="009745DD" w:rsidRPr="00FA17CB" w:rsidRDefault="009745DD" w:rsidP="00483E42">
            <w:pPr>
              <w:rPr>
                <w:sz w:val="20"/>
              </w:rPr>
            </w:pPr>
            <w:r>
              <w:rPr>
                <w:i/>
                <w:sz w:val="20"/>
              </w:rPr>
              <w:lastRenderedPageBreak/>
              <w:t xml:space="preserve">Dicksonia antarctica </w:t>
            </w:r>
            <w:r>
              <w:rPr>
                <w:sz w:val="20"/>
              </w:rPr>
              <w:t>(soft tree-fern)</w:t>
            </w:r>
          </w:p>
        </w:tc>
        <w:tc>
          <w:tcPr>
            <w:tcW w:w="7371" w:type="dxa"/>
          </w:tcPr>
          <w:p w14:paraId="5FD83A60" w14:textId="77777777" w:rsidR="009745DD" w:rsidRPr="007C5B57" w:rsidRDefault="009745DD" w:rsidP="00483E42">
            <w:pPr>
              <w:rPr>
                <w:sz w:val="20"/>
              </w:rPr>
            </w:pPr>
            <w:r>
              <w:rPr>
                <w:sz w:val="20"/>
              </w:rPr>
              <w:t>Aboriginal p</w:t>
            </w:r>
            <w:r w:rsidRPr="00FA17CB">
              <w:rPr>
                <w:sz w:val="20"/>
              </w:rPr>
              <w:t>eople used the soft, starchy pith from the top part</w:t>
            </w:r>
            <w:r>
              <w:rPr>
                <w:sz w:val="20"/>
              </w:rPr>
              <w:t xml:space="preserve"> </w:t>
            </w:r>
            <w:r w:rsidRPr="00FA17CB">
              <w:rPr>
                <w:sz w:val="20"/>
              </w:rPr>
              <w:t>(0.5m) of the stem. They split the stem, scooped out</w:t>
            </w:r>
            <w:r>
              <w:rPr>
                <w:sz w:val="20"/>
              </w:rPr>
              <w:t xml:space="preserve"> </w:t>
            </w:r>
            <w:r w:rsidRPr="00FA17CB">
              <w:rPr>
                <w:sz w:val="20"/>
              </w:rPr>
              <w:t>the pith and ate it raw or roasted in ashes.</w:t>
            </w:r>
          </w:p>
        </w:tc>
      </w:tr>
      <w:tr w:rsidR="009745DD" w:rsidRPr="007C5B57" w14:paraId="29B4AB5F" w14:textId="77777777" w:rsidTr="00483E42">
        <w:trPr>
          <w:cantSplit/>
        </w:trPr>
        <w:tc>
          <w:tcPr>
            <w:tcW w:w="2405" w:type="dxa"/>
          </w:tcPr>
          <w:p w14:paraId="2955CB1A" w14:textId="77777777" w:rsidR="009745DD" w:rsidRDefault="009745DD" w:rsidP="00483E42">
            <w:pPr>
              <w:rPr>
                <w:sz w:val="20"/>
              </w:rPr>
            </w:pPr>
            <w:r w:rsidRPr="007C5B57">
              <w:rPr>
                <w:i/>
                <w:sz w:val="20"/>
              </w:rPr>
              <w:t>Eucalyptus viminalis</w:t>
            </w:r>
            <w:r>
              <w:rPr>
                <w:sz w:val="20"/>
              </w:rPr>
              <w:t xml:space="preserve"> (white gum)</w:t>
            </w:r>
          </w:p>
        </w:tc>
        <w:tc>
          <w:tcPr>
            <w:tcW w:w="7371" w:type="dxa"/>
          </w:tcPr>
          <w:p w14:paraId="5B5D69E7" w14:textId="77777777" w:rsidR="009745DD" w:rsidRDefault="009745DD" w:rsidP="00483E42">
            <w:pPr>
              <w:rPr>
                <w:sz w:val="20"/>
              </w:rPr>
            </w:pPr>
            <w:r w:rsidRPr="007C5B57">
              <w:rPr>
                <w:sz w:val="20"/>
              </w:rPr>
              <w:t>Aboriginal people used white gum timber to make waddies (clubs), ate the manna from the foliage, and used moistened bark and leaves to relieve sore eyes.</w:t>
            </w:r>
          </w:p>
        </w:tc>
      </w:tr>
      <w:tr w:rsidR="009745DD" w:rsidRPr="007C5B57" w14:paraId="1032F2EF" w14:textId="77777777" w:rsidTr="00483E42">
        <w:trPr>
          <w:cantSplit/>
        </w:trPr>
        <w:tc>
          <w:tcPr>
            <w:tcW w:w="2405" w:type="dxa"/>
          </w:tcPr>
          <w:p w14:paraId="131F16EF" w14:textId="7565D7C2" w:rsidR="00893AD8" w:rsidRPr="00893AD8" w:rsidRDefault="00893AD8" w:rsidP="00893AD8">
            <w:pPr>
              <w:rPr>
                <w:sz w:val="20"/>
              </w:rPr>
            </w:pPr>
            <w:r>
              <w:rPr>
                <w:i/>
                <w:sz w:val="20"/>
              </w:rPr>
              <w:t>Exocarpo</w:t>
            </w:r>
            <w:r w:rsidR="009745DD" w:rsidRPr="00175ECF">
              <w:rPr>
                <w:i/>
                <w:sz w:val="20"/>
              </w:rPr>
              <w:t>s cupressiformis</w:t>
            </w:r>
            <w:r w:rsidR="009745DD">
              <w:rPr>
                <w:i/>
                <w:sz w:val="20"/>
              </w:rPr>
              <w:t xml:space="preserve"> </w:t>
            </w:r>
            <w:r w:rsidR="009745DD" w:rsidRPr="00175ECF">
              <w:rPr>
                <w:sz w:val="20"/>
              </w:rPr>
              <w:t>(native cherry)</w:t>
            </w:r>
          </w:p>
        </w:tc>
        <w:tc>
          <w:tcPr>
            <w:tcW w:w="7371" w:type="dxa"/>
          </w:tcPr>
          <w:p w14:paraId="2ABF83E0" w14:textId="77777777" w:rsidR="009745DD" w:rsidRPr="007C5B57" w:rsidRDefault="009745DD" w:rsidP="00483E42">
            <w:pPr>
              <w:rPr>
                <w:sz w:val="20"/>
              </w:rPr>
            </w:pPr>
            <w:r>
              <w:rPr>
                <w:sz w:val="20"/>
              </w:rPr>
              <w:t xml:space="preserve">Fruits </w:t>
            </w:r>
            <w:r w:rsidRPr="00E20CFB">
              <w:rPr>
                <w:sz w:val="20"/>
              </w:rPr>
              <w:t>eaten. Wood used to make bull roarers.</w:t>
            </w:r>
          </w:p>
        </w:tc>
      </w:tr>
      <w:tr w:rsidR="009745DD" w:rsidRPr="007C5B57" w14:paraId="18A4D01C" w14:textId="77777777" w:rsidTr="00483E42">
        <w:trPr>
          <w:cantSplit/>
        </w:trPr>
        <w:tc>
          <w:tcPr>
            <w:tcW w:w="2405" w:type="dxa"/>
          </w:tcPr>
          <w:p w14:paraId="22119F54" w14:textId="77777777" w:rsidR="009745DD" w:rsidRPr="00355576" w:rsidRDefault="009745DD" w:rsidP="00483E42">
            <w:pPr>
              <w:rPr>
                <w:sz w:val="20"/>
              </w:rPr>
            </w:pPr>
            <w:r>
              <w:rPr>
                <w:i/>
                <w:sz w:val="20"/>
              </w:rPr>
              <w:t xml:space="preserve">Leptospermum spp </w:t>
            </w:r>
            <w:r>
              <w:rPr>
                <w:sz w:val="20"/>
              </w:rPr>
              <w:t>(tea tree)</w:t>
            </w:r>
          </w:p>
        </w:tc>
        <w:tc>
          <w:tcPr>
            <w:tcW w:w="7371" w:type="dxa"/>
          </w:tcPr>
          <w:p w14:paraId="191A1503" w14:textId="77777777" w:rsidR="009745DD" w:rsidRPr="007C5B57" w:rsidRDefault="009745DD" w:rsidP="00483E42">
            <w:pPr>
              <w:rPr>
                <w:sz w:val="20"/>
              </w:rPr>
            </w:pPr>
            <w:r>
              <w:rPr>
                <w:sz w:val="20"/>
              </w:rPr>
              <w:t>U</w:t>
            </w:r>
            <w:r w:rsidRPr="00355576">
              <w:rPr>
                <w:sz w:val="20"/>
              </w:rPr>
              <w:t>sed for tea and food flavouring.</w:t>
            </w:r>
          </w:p>
        </w:tc>
      </w:tr>
      <w:tr w:rsidR="009745DD" w:rsidRPr="007C5B57" w14:paraId="4DCD208C" w14:textId="77777777" w:rsidTr="00483E42">
        <w:trPr>
          <w:cantSplit/>
        </w:trPr>
        <w:tc>
          <w:tcPr>
            <w:tcW w:w="2405" w:type="dxa"/>
          </w:tcPr>
          <w:p w14:paraId="05D0889C" w14:textId="77777777" w:rsidR="009745DD" w:rsidRPr="00807C64" w:rsidRDefault="009745DD" w:rsidP="00483E42">
            <w:pPr>
              <w:rPr>
                <w:sz w:val="20"/>
              </w:rPr>
            </w:pPr>
            <w:r>
              <w:rPr>
                <w:i/>
                <w:sz w:val="20"/>
              </w:rPr>
              <w:t xml:space="preserve">Lomandra longifolia </w:t>
            </w:r>
            <w:r>
              <w:rPr>
                <w:sz w:val="20"/>
              </w:rPr>
              <w:t>(spiny-head mat-rush)</w:t>
            </w:r>
          </w:p>
        </w:tc>
        <w:tc>
          <w:tcPr>
            <w:tcW w:w="7371" w:type="dxa"/>
          </w:tcPr>
          <w:p w14:paraId="2C157242" w14:textId="77777777" w:rsidR="009745DD" w:rsidRDefault="009745DD" w:rsidP="00483E42">
            <w:pPr>
              <w:rPr>
                <w:sz w:val="20"/>
              </w:rPr>
            </w:pPr>
            <w:r>
              <w:rPr>
                <w:sz w:val="20"/>
              </w:rPr>
              <w:t>Stems split while fresh and dried in the sun, then later soaked in water to make them pliable to provide fibre to make st</w:t>
            </w:r>
            <w:r w:rsidRPr="00807C64">
              <w:rPr>
                <w:sz w:val="20"/>
              </w:rPr>
              <w:t>ring, bags, rope, baskets and mats</w:t>
            </w:r>
            <w:r>
              <w:rPr>
                <w:sz w:val="20"/>
              </w:rPr>
              <w:t>.</w:t>
            </w:r>
          </w:p>
        </w:tc>
      </w:tr>
      <w:tr w:rsidR="009745DD" w:rsidRPr="007C5B57" w14:paraId="7FA2E703" w14:textId="77777777" w:rsidTr="00483E42">
        <w:trPr>
          <w:cantSplit/>
        </w:trPr>
        <w:tc>
          <w:tcPr>
            <w:tcW w:w="2405" w:type="dxa"/>
          </w:tcPr>
          <w:p w14:paraId="51667B24" w14:textId="77777777" w:rsidR="009745DD" w:rsidRPr="00355576" w:rsidRDefault="009745DD" w:rsidP="00483E42">
            <w:pPr>
              <w:rPr>
                <w:sz w:val="20"/>
              </w:rPr>
            </w:pPr>
            <w:r>
              <w:rPr>
                <w:i/>
                <w:sz w:val="20"/>
              </w:rPr>
              <w:t xml:space="preserve">Melaleuca spp </w:t>
            </w:r>
            <w:r>
              <w:rPr>
                <w:sz w:val="20"/>
              </w:rPr>
              <w:t>(paperbarks)</w:t>
            </w:r>
          </w:p>
        </w:tc>
        <w:tc>
          <w:tcPr>
            <w:tcW w:w="7371" w:type="dxa"/>
          </w:tcPr>
          <w:p w14:paraId="638EFD93" w14:textId="77777777" w:rsidR="009745DD" w:rsidRDefault="009745DD" w:rsidP="00483E42">
            <w:pPr>
              <w:rPr>
                <w:sz w:val="20"/>
              </w:rPr>
            </w:pPr>
            <w:r w:rsidRPr="00355576">
              <w:rPr>
                <w:sz w:val="20"/>
              </w:rPr>
              <w:t>Pollen from flowers can be eaten.</w:t>
            </w:r>
          </w:p>
        </w:tc>
      </w:tr>
      <w:tr w:rsidR="009745DD" w:rsidRPr="007C5B57" w14:paraId="0DF3AC6B" w14:textId="77777777" w:rsidTr="00483E42">
        <w:trPr>
          <w:cantSplit/>
        </w:trPr>
        <w:tc>
          <w:tcPr>
            <w:tcW w:w="2405" w:type="dxa"/>
          </w:tcPr>
          <w:p w14:paraId="27854C89" w14:textId="77777777" w:rsidR="009745DD" w:rsidRDefault="009745DD" w:rsidP="00483E42">
            <w:pPr>
              <w:rPr>
                <w:sz w:val="20"/>
              </w:rPr>
            </w:pPr>
            <w:r w:rsidRPr="007C5B57">
              <w:rPr>
                <w:i/>
                <w:sz w:val="20"/>
              </w:rPr>
              <w:t xml:space="preserve">Pittosporum bicolor </w:t>
            </w:r>
            <w:r>
              <w:rPr>
                <w:sz w:val="20"/>
              </w:rPr>
              <w:t>(cheesewood)</w:t>
            </w:r>
          </w:p>
        </w:tc>
        <w:tc>
          <w:tcPr>
            <w:tcW w:w="7371" w:type="dxa"/>
          </w:tcPr>
          <w:p w14:paraId="3FD5F3B8" w14:textId="77777777" w:rsidR="009745DD" w:rsidRDefault="009745DD" w:rsidP="00483E42">
            <w:pPr>
              <w:rPr>
                <w:sz w:val="20"/>
              </w:rPr>
            </w:pPr>
            <w:r w:rsidRPr="00E20CFB">
              <w:rPr>
                <w:sz w:val="20"/>
              </w:rPr>
              <w:t>The wood was used by Tasmanian aborigines for waddies</w:t>
            </w:r>
            <w:r>
              <w:rPr>
                <w:sz w:val="20"/>
              </w:rPr>
              <w:t xml:space="preserve"> (clubs).</w:t>
            </w:r>
          </w:p>
        </w:tc>
      </w:tr>
      <w:tr w:rsidR="009745DD" w:rsidRPr="007C5B57" w14:paraId="0DA3125A" w14:textId="77777777" w:rsidTr="00483E42">
        <w:trPr>
          <w:cantSplit/>
        </w:trPr>
        <w:tc>
          <w:tcPr>
            <w:tcW w:w="2405" w:type="dxa"/>
          </w:tcPr>
          <w:p w14:paraId="582A3ECA" w14:textId="77777777" w:rsidR="009745DD" w:rsidRPr="007C5B57" w:rsidRDefault="009745DD" w:rsidP="00483E42">
            <w:pPr>
              <w:rPr>
                <w:sz w:val="20"/>
              </w:rPr>
            </w:pPr>
            <w:r>
              <w:rPr>
                <w:i/>
                <w:sz w:val="20"/>
              </w:rPr>
              <w:t xml:space="preserve">Pomaderris apetala </w:t>
            </w:r>
            <w:r>
              <w:rPr>
                <w:sz w:val="20"/>
              </w:rPr>
              <w:t>(common dogwood)</w:t>
            </w:r>
          </w:p>
        </w:tc>
        <w:tc>
          <w:tcPr>
            <w:tcW w:w="7371" w:type="dxa"/>
          </w:tcPr>
          <w:p w14:paraId="67B7B4E1" w14:textId="77777777" w:rsidR="009745DD" w:rsidRDefault="009745DD" w:rsidP="00483E42">
            <w:pPr>
              <w:rPr>
                <w:sz w:val="20"/>
              </w:rPr>
            </w:pPr>
          </w:p>
        </w:tc>
      </w:tr>
      <w:tr w:rsidR="009745DD" w:rsidRPr="007C5B57" w14:paraId="35ABF55B" w14:textId="77777777" w:rsidTr="00483E42">
        <w:trPr>
          <w:cantSplit/>
        </w:trPr>
        <w:tc>
          <w:tcPr>
            <w:tcW w:w="2405" w:type="dxa"/>
          </w:tcPr>
          <w:p w14:paraId="4403CEC7" w14:textId="77777777" w:rsidR="009745DD" w:rsidRPr="00E20CFB" w:rsidRDefault="009745DD" w:rsidP="00483E42">
            <w:pPr>
              <w:rPr>
                <w:sz w:val="20"/>
              </w:rPr>
            </w:pPr>
            <w:r>
              <w:rPr>
                <w:i/>
                <w:sz w:val="20"/>
              </w:rPr>
              <w:t xml:space="preserve">Pteridium esculentum </w:t>
            </w:r>
            <w:r>
              <w:rPr>
                <w:sz w:val="20"/>
              </w:rPr>
              <w:t>(bracken fern)</w:t>
            </w:r>
          </w:p>
        </w:tc>
        <w:tc>
          <w:tcPr>
            <w:tcW w:w="7371" w:type="dxa"/>
          </w:tcPr>
          <w:p w14:paraId="61207817" w14:textId="77777777" w:rsidR="009745DD" w:rsidRDefault="009745DD" w:rsidP="00483E42">
            <w:pPr>
              <w:rPr>
                <w:sz w:val="20"/>
              </w:rPr>
            </w:pPr>
            <w:r>
              <w:rPr>
                <w:sz w:val="20"/>
              </w:rPr>
              <w:t>R</w:t>
            </w:r>
            <w:r w:rsidRPr="00E20CFB">
              <w:rPr>
                <w:sz w:val="20"/>
              </w:rPr>
              <w:t xml:space="preserve">oots </w:t>
            </w:r>
            <w:r>
              <w:rPr>
                <w:sz w:val="20"/>
              </w:rPr>
              <w:t xml:space="preserve">used for food - </w:t>
            </w:r>
            <w:r w:rsidRPr="00E20CFB">
              <w:rPr>
                <w:sz w:val="20"/>
              </w:rPr>
              <w:t>chewed or beaten to obtain a sticky starch.</w:t>
            </w:r>
          </w:p>
        </w:tc>
      </w:tr>
      <w:tr w:rsidR="009745DD" w:rsidRPr="007C5B57" w14:paraId="0D497F03" w14:textId="77777777" w:rsidTr="00483E42">
        <w:trPr>
          <w:cantSplit/>
        </w:trPr>
        <w:tc>
          <w:tcPr>
            <w:tcW w:w="2405" w:type="dxa"/>
          </w:tcPr>
          <w:p w14:paraId="20F06639" w14:textId="77777777" w:rsidR="009745DD" w:rsidRPr="003F7B07" w:rsidRDefault="009745DD" w:rsidP="00483E42">
            <w:pPr>
              <w:rPr>
                <w:sz w:val="20"/>
              </w:rPr>
            </w:pPr>
            <w:r>
              <w:rPr>
                <w:i/>
                <w:sz w:val="20"/>
              </w:rPr>
              <w:t xml:space="preserve">Pultenaea juniperia </w:t>
            </w:r>
            <w:r>
              <w:rPr>
                <w:sz w:val="20"/>
              </w:rPr>
              <w:t>(prickly beauty)</w:t>
            </w:r>
          </w:p>
        </w:tc>
        <w:tc>
          <w:tcPr>
            <w:tcW w:w="7371" w:type="dxa"/>
          </w:tcPr>
          <w:p w14:paraId="418E5B18" w14:textId="77777777" w:rsidR="009745DD" w:rsidRDefault="009745DD" w:rsidP="00483E42">
            <w:pPr>
              <w:rPr>
                <w:sz w:val="20"/>
              </w:rPr>
            </w:pPr>
          </w:p>
        </w:tc>
      </w:tr>
      <w:tr w:rsidR="009745DD" w:rsidRPr="007C5B57" w14:paraId="128ED481" w14:textId="77777777" w:rsidTr="00483E42">
        <w:trPr>
          <w:cantSplit/>
        </w:trPr>
        <w:tc>
          <w:tcPr>
            <w:tcW w:w="2405" w:type="dxa"/>
          </w:tcPr>
          <w:p w14:paraId="579A6104" w14:textId="77777777" w:rsidR="009745DD" w:rsidRPr="00E20CFB" w:rsidRDefault="009745DD" w:rsidP="00483E42">
            <w:pPr>
              <w:rPr>
                <w:sz w:val="20"/>
              </w:rPr>
            </w:pPr>
            <w:r>
              <w:rPr>
                <w:i/>
                <w:sz w:val="20"/>
              </w:rPr>
              <w:t xml:space="preserve">Urtica incisa </w:t>
            </w:r>
            <w:r>
              <w:rPr>
                <w:sz w:val="20"/>
              </w:rPr>
              <w:t>(scrub nettle)</w:t>
            </w:r>
          </w:p>
        </w:tc>
        <w:tc>
          <w:tcPr>
            <w:tcW w:w="7371" w:type="dxa"/>
          </w:tcPr>
          <w:p w14:paraId="5888C8DE" w14:textId="77777777" w:rsidR="009745DD" w:rsidRDefault="009745DD" w:rsidP="00483E42">
            <w:pPr>
              <w:rPr>
                <w:sz w:val="20"/>
              </w:rPr>
            </w:pPr>
            <w:r>
              <w:rPr>
                <w:sz w:val="20"/>
              </w:rPr>
              <w:t>Leaves eaten, after baking them between hot stones.</w:t>
            </w:r>
          </w:p>
        </w:tc>
      </w:tr>
    </w:tbl>
    <w:p w14:paraId="0C7B02E7" w14:textId="40B75811" w:rsidR="009745DD" w:rsidRPr="003F7B07" w:rsidRDefault="009745DD" w:rsidP="009745DD">
      <w:pPr>
        <w:pStyle w:val="Tablesource"/>
      </w:pPr>
      <w:r w:rsidRPr="003F7B07">
        <w:t>Source: T</w:t>
      </w:r>
      <w:r>
        <w:t>aroona Environment Network (2019</w:t>
      </w:r>
      <w:r w:rsidRPr="003F7B07">
        <w:t>)</w:t>
      </w:r>
      <w:r>
        <w:t xml:space="preserve">; Plants of Tasmania Nursery (2019); Aboriginal Heritage Tasmania (2019); </w:t>
      </w:r>
      <w:r w:rsidR="0068135E">
        <w:t xml:space="preserve">Australian National Botanic Gardens (2000); </w:t>
      </w:r>
      <w:r w:rsidR="00166B34">
        <w:t>Low (1998).</w:t>
      </w:r>
    </w:p>
    <w:p w14:paraId="5D2D9385" w14:textId="77777777" w:rsidR="00BE1620" w:rsidRDefault="00BE1620" w:rsidP="00932374"/>
    <w:p w14:paraId="4E542AB4" w14:textId="03796343" w:rsidR="00BE1620" w:rsidRDefault="00BE1620">
      <w:pPr>
        <w:spacing w:after="160" w:line="259" w:lineRule="auto"/>
      </w:pPr>
    </w:p>
    <w:sectPr w:rsidR="00BE1620" w:rsidSect="00666032">
      <w:headerReference w:type="even" r:id="rId42"/>
      <w:headerReference w:type="default" r:id="rId43"/>
      <w:footerReference w:type="even" r:id="rId44"/>
      <w:footerReference w:type="default" r:id="rId45"/>
      <w:headerReference w:type="first" r:id="rId46"/>
      <w:footerReference w:type="first" r:id="rId4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303422" w14:textId="77777777" w:rsidR="00220FCD" w:rsidRDefault="00220FCD" w:rsidP="00DE4E39">
      <w:pPr>
        <w:spacing w:after="0"/>
      </w:pPr>
      <w:r>
        <w:separator/>
      </w:r>
    </w:p>
  </w:endnote>
  <w:endnote w:type="continuationSeparator" w:id="0">
    <w:p w14:paraId="3FB1AD4F" w14:textId="77777777" w:rsidR="00220FCD" w:rsidRDefault="00220FCD" w:rsidP="00DE4E39">
      <w:pPr>
        <w:spacing w:after="0"/>
      </w:pPr>
      <w:r>
        <w:continuationSeparator/>
      </w:r>
    </w:p>
  </w:endnote>
  <w:endnote w:type="continuationNotice" w:id="1">
    <w:p w14:paraId="76DFFD24" w14:textId="77777777" w:rsidR="00220FCD" w:rsidRDefault="00220F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850A1" w14:textId="77777777" w:rsidR="00092678" w:rsidRDefault="000926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036553"/>
      <w:docPartObj>
        <w:docPartGallery w:val="Page Numbers (Bottom of Page)"/>
        <w:docPartUnique/>
      </w:docPartObj>
    </w:sdtPr>
    <w:sdtEndPr>
      <w:rPr>
        <w:noProof/>
      </w:rPr>
    </w:sdtEndPr>
    <w:sdtContent>
      <w:p w14:paraId="737051FE" w14:textId="3D4FE2AE" w:rsidR="00220FCD" w:rsidRDefault="00220FCD" w:rsidP="00A8540A">
        <w:pPr>
          <w:pStyle w:val="Footer"/>
          <w:jc w:val="center"/>
          <w:rPr>
            <w:noProof/>
          </w:rPr>
        </w:pPr>
        <w:r>
          <w:fldChar w:fldCharType="begin"/>
        </w:r>
        <w:r>
          <w:instrText xml:space="preserve"> PAGE   \* MERGEFORMAT </w:instrText>
        </w:r>
        <w:r>
          <w:fldChar w:fldCharType="separate"/>
        </w:r>
        <w:r w:rsidR="00092678">
          <w:rPr>
            <w:noProof/>
          </w:rPr>
          <w:t>21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80322" w14:textId="77777777" w:rsidR="00092678" w:rsidRDefault="000926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C83C74" w14:textId="77777777" w:rsidR="00220FCD" w:rsidRDefault="00220FCD" w:rsidP="00DE4E39">
      <w:pPr>
        <w:spacing w:after="0"/>
      </w:pPr>
      <w:r>
        <w:separator/>
      </w:r>
    </w:p>
  </w:footnote>
  <w:footnote w:type="continuationSeparator" w:id="0">
    <w:p w14:paraId="537F2761" w14:textId="77777777" w:rsidR="00220FCD" w:rsidRDefault="00220FCD" w:rsidP="00DE4E39">
      <w:pPr>
        <w:spacing w:after="0"/>
      </w:pPr>
      <w:r>
        <w:continuationSeparator/>
      </w:r>
    </w:p>
  </w:footnote>
  <w:footnote w:type="continuationNotice" w:id="1">
    <w:p w14:paraId="6505FCEF" w14:textId="77777777" w:rsidR="00220FCD" w:rsidRDefault="00220FCD">
      <w:pPr>
        <w:spacing w:after="0"/>
      </w:pPr>
    </w:p>
  </w:footnote>
  <w:footnote w:id="2">
    <w:p w14:paraId="01A0F071" w14:textId="4CB9B61B" w:rsidR="00220FCD" w:rsidRDefault="00220FCD">
      <w:pPr>
        <w:pStyle w:val="FootnoteText"/>
      </w:pPr>
      <w:r>
        <w:rPr>
          <w:rStyle w:val="FootnoteReference"/>
        </w:rPr>
        <w:footnoteRef/>
      </w:r>
      <w:r>
        <w:t xml:space="preserve"> For the purposes of this ecological community, i</w:t>
      </w:r>
      <w:r w:rsidRPr="00F835A6">
        <w:rPr>
          <w:iCs/>
        </w:rPr>
        <w:t xml:space="preserve">n the absence of clear distinguishing characteristics (typically juvenile leaves), these forests should be treated as if they contain </w:t>
      </w:r>
      <w:r w:rsidRPr="00F835A6">
        <w:rPr>
          <w:i/>
          <w:iCs/>
        </w:rPr>
        <w:t>E. viminalis</w:t>
      </w:r>
      <w:r w:rsidRPr="00F835A6">
        <w:rPr>
          <w:iCs/>
        </w:rPr>
        <w:t xml:space="preserve"> below 600 m ASL, and </w:t>
      </w:r>
      <w:r w:rsidRPr="00F835A6">
        <w:rPr>
          <w:i/>
          <w:iCs/>
        </w:rPr>
        <w:t>E. dalrympleana</w:t>
      </w:r>
      <w:r w:rsidRPr="00F835A6">
        <w:rPr>
          <w:iCs/>
        </w:rPr>
        <w:t xml:space="preserve"> above this altitude</w:t>
      </w:r>
      <w:r w:rsidRPr="00F835A6">
        <w:t>.</w:t>
      </w:r>
    </w:p>
  </w:footnote>
  <w:footnote w:id="3">
    <w:p w14:paraId="5B227496" w14:textId="704D5C02" w:rsidR="00220FCD" w:rsidRDefault="00220FCD">
      <w:pPr>
        <w:pStyle w:val="FootnoteText"/>
      </w:pPr>
      <w:r>
        <w:rPr>
          <w:rStyle w:val="FootnoteReference"/>
        </w:rPr>
        <w:footnoteRef/>
      </w:r>
      <w:r>
        <w:t xml:space="preserve"> A ‘tall open forest’ has canopy of trees over 30 meters in height with a foliage cover of 30-70% (Specht 1970).</w:t>
      </w:r>
    </w:p>
  </w:footnote>
  <w:footnote w:id="4">
    <w:p w14:paraId="5A13761F" w14:textId="0362FC29" w:rsidR="00220FCD" w:rsidRPr="00F835A6" w:rsidRDefault="00220FCD">
      <w:pPr>
        <w:pStyle w:val="FootnoteText"/>
        <w:rPr>
          <w:iCs/>
        </w:rPr>
      </w:pPr>
      <w:r>
        <w:rPr>
          <w:rStyle w:val="FootnoteReference"/>
        </w:rPr>
        <w:footnoteRef/>
      </w:r>
      <w:r w:rsidR="00E319EE">
        <w:rPr>
          <w:iCs/>
        </w:rPr>
        <w:t xml:space="preserve"> </w:t>
      </w:r>
      <w:r w:rsidRPr="00006041">
        <w:rPr>
          <w:iCs/>
        </w:rPr>
        <w:t>O</w:t>
      </w:r>
      <w:r w:rsidRPr="003F7C31">
        <w:rPr>
          <w:iCs/>
        </w:rPr>
        <w:t>nly</w:t>
      </w:r>
      <w:r>
        <w:rPr>
          <w:iCs/>
        </w:rPr>
        <w:t xml:space="preserve"> the subspecies</w:t>
      </w:r>
      <w:r w:rsidRPr="003F7C31">
        <w:rPr>
          <w:iCs/>
        </w:rPr>
        <w:t xml:space="preserve"> </w:t>
      </w:r>
      <w:r w:rsidRPr="003F7C31">
        <w:rPr>
          <w:i/>
          <w:iCs/>
        </w:rPr>
        <w:t xml:space="preserve">E. viminalis </w:t>
      </w:r>
      <w:r w:rsidRPr="003F7C31">
        <w:rPr>
          <w:iCs/>
        </w:rPr>
        <w:t xml:space="preserve">subsp. </w:t>
      </w:r>
      <w:r w:rsidRPr="003F7C31">
        <w:rPr>
          <w:i/>
          <w:iCs/>
        </w:rPr>
        <w:t>viminalis</w:t>
      </w:r>
      <w:r w:rsidRPr="003F7C31">
        <w:rPr>
          <w:iCs/>
        </w:rPr>
        <w:t xml:space="preserve"> will occur in </w:t>
      </w:r>
      <w:r w:rsidRPr="007E6420">
        <w:rPr>
          <w:iCs/>
        </w:rPr>
        <w:t xml:space="preserve">Tasmanian </w:t>
      </w:r>
      <w:r w:rsidRPr="003F7C31">
        <w:rPr>
          <w:iCs/>
        </w:rPr>
        <w:t>white gum wet forest.</w:t>
      </w:r>
    </w:p>
  </w:footnote>
  <w:footnote w:id="5">
    <w:p w14:paraId="70038726" w14:textId="77777777" w:rsidR="00220FCD" w:rsidRPr="002C671C" w:rsidRDefault="00220FCD" w:rsidP="002C671C">
      <w:pPr>
        <w:pStyle w:val="FootnoteText"/>
      </w:pPr>
      <w:r>
        <w:rPr>
          <w:rStyle w:val="FootnoteReference"/>
        </w:rPr>
        <w:footnoteRef/>
      </w:r>
      <w:r>
        <w:t xml:space="preserve"> </w:t>
      </w:r>
      <w:r w:rsidRPr="002C671C">
        <w:t>According to the IUCN Threat Impact Scoring System</w:t>
      </w:r>
    </w:p>
    <w:p w14:paraId="5264B237" w14:textId="77777777" w:rsidR="00220FCD" w:rsidRPr="002C671C" w:rsidRDefault="00220FCD" w:rsidP="002C671C">
      <w:pPr>
        <w:pStyle w:val="FootnoteText"/>
      </w:pPr>
      <w:r w:rsidRPr="002C671C">
        <w:rPr>
          <w:b/>
          <w:i/>
          <w:u w:val="single"/>
        </w:rPr>
        <w:t>Timing</w:t>
      </w:r>
      <w:r w:rsidRPr="002C671C">
        <w:t xml:space="preserve"> – the threat occurs in the </w:t>
      </w:r>
      <w:r w:rsidRPr="002C671C">
        <w:rPr>
          <w:b/>
        </w:rPr>
        <w:t xml:space="preserve">past </w:t>
      </w:r>
      <w:r w:rsidRPr="002C671C">
        <w:t xml:space="preserve">(and unlikely to return), is </w:t>
      </w:r>
      <w:r w:rsidRPr="002C671C">
        <w:rPr>
          <w:b/>
        </w:rPr>
        <w:t>ongoing</w:t>
      </w:r>
      <w:r w:rsidRPr="002C671C">
        <w:t xml:space="preserve"> (present/continuing), is likely to occur/return in the </w:t>
      </w:r>
      <w:r w:rsidRPr="002C671C">
        <w:rPr>
          <w:b/>
        </w:rPr>
        <w:t>future</w:t>
      </w:r>
      <w:r w:rsidRPr="002C671C">
        <w:t xml:space="preserve"> or timing is </w:t>
      </w:r>
      <w:r w:rsidRPr="002C671C">
        <w:rPr>
          <w:b/>
        </w:rPr>
        <w:t>unknown</w:t>
      </w:r>
    </w:p>
    <w:p w14:paraId="7C15DA18" w14:textId="77777777" w:rsidR="00220FCD" w:rsidRPr="002C671C" w:rsidRDefault="00220FCD" w:rsidP="002C671C">
      <w:pPr>
        <w:pStyle w:val="FootnoteText"/>
      </w:pPr>
      <w:r w:rsidRPr="002C671C">
        <w:rPr>
          <w:b/>
          <w:i/>
          <w:u w:val="single"/>
        </w:rPr>
        <w:t>Severity</w:t>
      </w:r>
      <w:r w:rsidRPr="002C671C">
        <w:t xml:space="preserve"> – the threat is causing losses or degradation that are </w:t>
      </w:r>
      <w:r w:rsidRPr="002C671C">
        <w:rPr>
          <w:b/>
        </w:rPr>
        <w:t>very rapid</w:t>
      </w:r>
      <w:r w:rsidRPr="002C671C">
        <w:t xml:space="preserve"> (&gt;30% over 10 years), </w:t>
      </w:r>
      <w:r w:rsidRPr="002C671C">
        <w:rPr>
          <w:b/>
        </w:rPr>
        <w:t>rapid</w:t>
      </w:r>
      <w:r w:rsidRPr="002C671C">
        <w:t xml:space="preserve"> (&gt;20% over 10 years), </w:t>
      </w:r>
      <w:r w:rsidRPr="002C671C">
        <w:rPr>
          <w:b/>
        </w:rPr>
        <w:t>slow</w:t>
      </w:r>
      <w:r w:rsidRPr="002C671C">
        <w:t xml:space="preserve"> (&lt;20% over 10 years), </w:t>
      </w:r>
      <w:r w:rsidRPr="002C671C">
        <w:rPr>
          <w:b/>
        </w:rPr>
        <w:t>negligible</w:t>
      </w:r>
      <w:r w:rsidRPr="002C671C">
        <w:t xml:space="preserve"> or </w:t>
      </w:r>
      <w:r w:rsidRPr="002C671C">
        <w:rPr>
          <w:b/>
        </w:rPr>
        <w:t>unknown</w:t>
      </w:r>
    </w:p>
    <w:p w14:paraId="6D5CBD0F" w14:textId="77777777" w:rsidR="00220FCD" w:rsidRPr="002C671C" w:rsidRDefault="00220FCD" w:rsidP="002C671C">
      <w:pPr>
        <w:pStyle w:val="FootnoteText"/>
      </w:pPr>
      <w:r w:rsidRPr="002C671C">
        <w:rPr>
          <w:b/>
          <w:i/>
          <w:u w:val="single"/>
        </w:rPr>
        <w:t>Scope</w:t>
      </w:r>
      <w:r w:rsidRPr="002C671C">
        <w:t xml:space="preserve"> – the threat is affecting the </w:t>
      </w:r>
      <w:r w:rsidRPr="002C671C">
        <w:rPr>
          <w:b/>
        </w:rPr>
        <w:t>whole</w:t>
      </w:r>
      <w:r w:rsidRPr="002C671C">
        <w:t xml:space="preserve"> (&gt;90%), a </w:t>
      </w:r>
      <w:r w:rsidRPr="002C671C">
        <w:rPr>
          <w:b/>
        </w:rPr>
        <w:t>majority</w:t>
      </w:r>
      <w:r w:rsidRPr="002C671C">
        <w:t xml:space="preserve"> (&gt;50%), a </w:t>
      </w:r>
      <w:r w:rsidRPr="002C671C">
        <w:rPr>
          <w:b/>
        </w:rPr>
        <w:t>minority</w:t>
      </w:r>
      <w:r w:rsidRPr="002C671C">
        <w:t xml:space="preserve"> (&lt;50%), a </w:t>
      </w:r>
      <w:r w:rsidRPr="002C671C">
        <w:rPr>
          <w:b/>
        </w:rPr>
        <w:t>negligible</w:t>
      </w:r>
      <w:r w:rsidRPr="002C671C">
        <w:t xml:space="preserve"> amount, or </w:t>
      </w:r>
      <w:r w:rsidRPr="002C671C">
        <w:rPr>
          <w:b/>
        </w:rPr>
        <w:t>unknown</w:t>
      </w:r>
      <w:r w:rsidRPr="002C671C">
        <w:t xml:space="preserve"> amount of the ecological community</w:t>
      </w:r>
    </w:p>
    <w:p w14:paraId="7F6A2980" w14:textId="3C298AB6" w:rsidR="00220FCD" w:rsidRDefault="00220FCD">
      <w:pPr>
        <w:pStyle w:val="FootnoteText"/>
      </w:pPr>
    </w:p>
  </w:footnote>
  <w:footnote w:id="6">
    <w:p w14:paraId="722DDBF6" w14:textId="77777777" w:rsidR="00220FCD" w:rsidRPr="00FF562C" w:rsidRDefault="00220FCD" w:rsidP="000970A0">
      <w:pPr>
        <w:pStyle w:val="FootnoteText"/>
        <w:rPr>
          <w:iCs/>
        </w:rPr>
      </w:pPr>
      <w:r>
        <w:rPr>
          <w:rStyle w:val="FootnoteReference"/>
        </w:rPr>
        <w:footnoteRef/>
      </w:r>
      <w:r>
        <w:t xml:space="preserve"> Crown cover is measured as the projective foliage cover (area occupied by the vertical projection of foliage and branches) of all canopy species, not just </w:t>
      </w:r>
      <w:r w:rsidRPr="000908E3">
        <w:rPr>
          <w:i/>
        </w:rPr>
        <w:t>E.</w:t>
      </w:r>
      <w:r>
        <w:rPr>
          <w:i/>
        </w:rPr>
        <w:t xml:space="preserve"> </w:t>
      </w:r>
      <w:r w:rsidRPr="000908E3">
        <w:rPr>
          <w:i/>
        </w:rPr>
        <w:t>viminalis</w:t>
      </w:r>
      <w:r>
        <w:rPr>
          <w:iCs/>
        </w:rPr>
        <w:t>.</w:t>
      </w:r>
    </w:p>
  </w:footnote>
  <w:footnote w:id="7">
    <w:p w14:paraId="645C65AD" w14:textId="77777777" w:rsidR="00220FCD" w:rsidRDefault="00220FCD" w:rsidP="000970A0">
      <w:pPr>
        <w:pStyle w:val="FootnoteText"/>
      </w:pPr>
      <w:r>
        <w:rPr>
          <w:rStyle w:val="FootnoteReference"/>
        </w:rPr>
        <w:footnoteRef/>
      </w:r>
      <w:r>
        <w:t xml:space="preserve"> </w:t>
      </w:r>
      <w:r w:rsidRPr="00485BBF">
        <w:t xml:space="preserve">A canopy dominated by </w:t>
      </w:r>
      <w:r>
        <w:rPr>
          <w:i/>
          <w:iCs/>
        </w:rPr>
        <w:t>E.</w:t>
      </w:r>
      <w:r w:rsidRPr="00485BBF">
        <w:rPr>
          <w:i/>
          <w:iCs/>
        </w:rPr>
        <w:t xml:space="preserve"> viminalis </w:t>
      </w:r>
      <w:r w:rsidRPr="00485BBF">
        <w:t xml:space="preserve">occurs where </w:t>
      </w:r>
      <w:r>
        <w:rPr>
          <w:i/>
          <w:iCs/>
        </w:rPr>
        <w:t>E.</w:t>
      </w:r>
      <w:r w:rsidRPr="00485BBF">
        <w:rPr>
          <w:i/>
          <w:iCs/>
        </w:rPr>
        <w:t xml:space="preserve"> viminalis </w:t>
      </w:r>
      <w:r w:rsidRPr="00485BBF">
        <w:t>is the most abundant tree in the canopy in terms of cover and/</w:t>
      </w:r>
      <w:r>
        <w:t>or stem density.</w:t>
      </w:r>
    </w:p>
  </w:footnote>
  <w:footnote w:id="8">
    <w:p w14:paraId="18306770" w14:textId="33A087DD" w:rsidR="00220FCD" w:rsidRDefault="00220FCD" w:rsidP="000970A0">
      <w:pPr>
        <w:pStyle w:val="FootnoteText"/>
      </w:pPr>
      <w:r w:rsidRPr="001F2039">
        <w:rPr>
          <w:rStyle w:val="FootnoteReference"/>
        </w:rPr>
        <w:footnoteRef/>
      </w:r>
      <w:r w:rsidRPr="001F2039">
        <w:t xml:space="preserve"> The understorey consists of all vegetation below the eucalypt canopy</w:t>
      </w:r>
      <w:r>
        <w:t xml:space="preserve">, including juvenile </w:t>
      </w:r>
      <w:r w:rsidR="008F2A87">
        <w:t>trees</w:t>
      </w:r>
      <w:r>
        <w:t>.</w:t>
      </w:r>
    </w:p>
  </w:footnote>
  <w:footnote w:id="9">
    <w:p w14:paraId="13FD01B1" w14:textId="77777777" w:rsidR="00220FCD" w:rsidRDefault="00220FCD" w:rsidP="000970A0">
      <w:pPr>
        <w:pStyle w:val="FootnoteText"/>
      </w:pPr>
      <w:r w:rsidRPr="00D91780">
        <w:rPr>
          <w:rStyle w:val="FootnoteReference"/>
        </w:rPr>
        <w:footnoteRef/>
      </w:r>
      <w:r w:rsidRPr="00D91780">
        <w:t xml:space="preserve"> </w:t>
      </w:r>
      <w:r w:rsidRPr="00B51AE7">
        <w:t xml:space="preserve">The dominant component of </w:t>
      </w:r>
      <w:r>
        <w:t>the understorey</w:t>
      </w:r>
      <w:r w:rsidRPr="00B51AE7">
        <w:t xml:space="preserve"> is the species (or group of species) that supply most of the cover.</w:t>
      </w:r>
    </w:p>
  </w:footnote>
  <w:footnote w:id="10">
    <w:p w14:paraId="02A1B47F" w14:textId="77777777" w:rsidR="00220FCD" w:rsidRDefault="00220FCD" w:rsidP="000970A0">
      <w:pPr>
        <w:pStyle w:val="FootnoteText"/>
      </w:pPr>
      <w:r>
        <w:rPr>
          <w:rStyle w:val="FootnoteReference"/>
        </w:rPr>
        <w:footnoteRef/>
      </w:r>
      <w:r>
        <w:t xml:space="preserve"> Society for Ecological Restoration: </w:t>
      </w:r>
      <w:hyperlink r:id="rId1" w:history="1">
        <w:r w:rsidRPr="002A08FE">
          <w:rPr>
            <w:rStyle w:val="Hyperlink"/>
          </w:rPr>
          <w:t>www.seraustralasia.com/standards/contents.html</w:t>
        </w:r>
      </w:hyperlink>
    </w:p>
  </w:footnote>
  <w:footnote w:id="11">
    <w:p w14:paraId="7FF63E37" w14:textId="4AE8B37A" w:rsidR="00220FCD" w:rsidRDefault="00220FCD">
      <w:pPr>
        <w:pStyle w:val="FootnoteText"/>
      </w:pPr>
      <w:r>
        <w:rPr>
          <w:rStyle w:val="FootnoteReference"/>
        </w:rPr>
        <w:footnoteRef/>
      </w:r>
      <w:r>
        <w:t xml:space="preserve"> Species listed under the EPBC Act at the time this document was prepared. Source: </w:t>
      </w:r>
      <w:hyperlink r:id="rId2" w:history="1">
        <w:r w:rsidRPr="00F8624E">
          <w:rPr>
            <w:rStyle w:val="Hyperlink"/>
          </w:rPr>
          <w:t>https://www.environment.gov.au/cgi-bin/sprat/public/sprat.pl</w:t>
        </w:r>
      </w:hyperlink>
      <w:r>
        <w:t xml:space="preserve"> </w:t>
      </w:r>
    </w:p>
  </w:footnote>
  <w:footnote w:id="12">
    <w:p w14:paraId="24BDC4EF" w14:textId="2BAE965D" w:rsidR="00220FCD" w:rsidRDefault="00220FCD">
      <w:pPr>
        <w:pStyle w:val="FootnoteText"/>
      </w:pPr>
      <w:r>
        <w:rPr>
          <w:rStyle w:val="FootnoteReference"/>
        </w:rPr>
        <w:footnoteRef/>
      </w:r>
      <w:r>
        <w:t xml:space="preserve"> Species listed under the Tasmanian </w:t>
      </w:r>
      <w:r w:rsidRPr="00887E26">
        <w:rPr>
          <w:i/>
        </w:rPr>
        <w:t>Threatened Species Protection Act 1995</w:t>
      </w:r>
      <w:r>
        <w:t xml:space="preserve"> </w:t>
      </w:r>
      <w:r w:rsidRPr="00473528">
        <w:t>at the time this document was prepared</w:t>
      </w:r>
      <w:r>
        <w:t xml:space="preserve">. Source: </w:t>
      </w:r>
      <w:hyperlink r:id="rId3" w:history="1">
        <w:r w:rsidRPr="002773AD">
          <w:rPr>
            <w:rStyle w:val="Hyperlink"/>
          </w:rPr>
          <w:t>https://dpipwe.tas.gov.au/conservation/threatened-species-and-communities/lists-of-threatened-species</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004D5" w14:textId="77777777" w:rsidR="00092678" w:rsidRDefault="000926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42CC1" w14:textId="2CC02574" w:rsidR="00220FCD" w:rsidRDefault="00092678" w:rsidP="0059045B">
    <w:pPr>
      <w:pStyle w:val="Header"/>
      <w:jc w:val="center"/>
    </w:pPr>
    <w:sdt>
      <w:sdtPr>
        <w:rPr>
          <w:b/>
          <w:i/>
        </w:rPr>
        <w:id w:val="1744991676"/>
        <w:docPartObj>
          <w:docPartGallery w:val="Watermarks"/>
          <w:docPartUnique/>
        </w:docPartObj>
      </w:sdtPr>
      <w:sdtEndPr/>
      <w:sdtContent>
        <w:r>
          <w:rPr>
            <w:b/>
            <w:i/>
            <w:noProof/>
            <w:lang w:val="en-US"/>
          </w:rPr>
          <w:pict w14:anchorId="1F14D2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FC65F" w14:textId="22F504A6" w:rsidR="00220FCD" w:rsidRPr="00666032" w:rsidRDefault="00220FCD" w:rsidP="00666032">
    <w:pPr>
      <w:pStyle w:val="Header"/>
      <w:jc w:val="center"/>
      <w:rPr>
        <w:sz w:val="22"/>
      </w:rPr>
    </w:pPr>
    <w:r w:rsidRPr="00666032">
      <w:rPr>
        <w:b/>
        <w:i/>
        <w:sz w:val="22"/>
      </w:rPr>
      <w:t>Environment Protection and Biodiversity Conservation Act 1999 (EPBC Act) (s266B)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00A5D"/>
    <w:multiLevelType w:val="hybridMultilevel"/>
    <w:tmpl w:val="74BA638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6A2F09"/>
    <w:multiLevelType w:val="hybridMultilevel"/>
    <w:tmpl w:val="38DCD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753AE6"/>
    <w:multiLevelType w:val="hybridMultilevel"/>
    <w:tmpl w:val="65E8C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1727886"/>
    <w:multiLevelType w:val="hybridMultilevel"/>
    <w:tmpl w:val="5360EC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2CB03FB"/>
    <w:multiLevelType w:val="hybridMultilevel"/>
    <w:tmpl w:val="BDFA9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90B3BD6"/>
    <w:multiLevelType w:val="hybridMultilevel"/>
    <w:tmpl w:val="950A42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FAA5311"/>
    <w:multiLevelType w:val="hybridMultilevel"/>
    <w:tmpl w:val="E9DC4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0864EE4"/>
    <w:multiLevelType w:val="hybridMultilevel"/>
    <w:tmpl w:val="ECDAF4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CE0309"/>
    <w:multiLevelType w:val="hybridMultilevel"/>
    <w:tmpl w:val="478AD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05E21FB"/>
    <w:multiLevelType w:val="hybridMultilevel"/>
    <w:tmpl w:val="D81651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4C5339"/>
    <w:multiLevelType w:val="hybridMultilevel"/>
    <w:tmpl w:val="15DABE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A7246C9"/>
    <w:multiLevelType w:val="hybridMultilevel"/>
    <w:tmpl w:val="BFE2F228"/>
    <w:lvl w:ilvl="0" w:tplc="DE84141E">
      <w:start w:val="1"/>
      <w:numFmt w:val="bullet"/>
      <w:pStyle w:val="Dotpoin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360"/>
        </w:tabs>
        <w:ind w:left="36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F77F0D"/>
    <w:multiLevelType w:val="hybridMultilevel"/>
    <w:tmpl w:val="D58AA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C66382A"/>
    <w:multiLevelType w:val="hybridMultilevel"/>
    <w:tmpl w:val="AE882B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D4A5689"/>
    <w:multiLevelType w:val="multilevel"/>
    <w:tmpl w:val="AC70DE3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504E0844"/>
    <w:multiLevelType w:val="hybridMultilevel"/>
    <w:tmpl w:val="9F503B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2375D20"/>
    <w:multiLevelType w:val="hybridMultilevel"/>
    <w:tmpl w:val="7728D0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33B4690"/>
    <w:multiLevelType w:val="hybridMultilevel"/>
    <w:tmpl w:val="A508BB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F13471"/>
    <w:multiLevelType w:val="hybridMultilevel"/>
    <w:tmpl w:val="AAE0D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8FE612A"/>
    <w:multiLevelType w:val="hybridMultilevel"/>
    <w:tmpl w:val="B5225D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B8D6B67"/>
    <w:multiLevelType w:val="hybridMultilevel"/>
    <w:tmpl w:val="1A30E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B5A2578"/>
    <w:multiLevelType w:val="hybridMultilevel"/>
    <w:tmpl w:val="88AA54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C861CB2"/>
    <w:multiLevelType w:val="hybridMultilevel"/>
    <w:tmpl w:val="21FADF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05379E1"/>
    <w:multiLevelType w:val="hybridMultilevel"/>
    <w:tmpl w:val="D63652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21"/>
  </w:num>
  <w:num w:numId="4">
    <w:abstractNumId w:val="11"/>
  </w:num>
  <w:num w:numId="5">
    <w:abstractNumId w:val="20"/>
  </w:num>
  <w:num w:numId="6">
    <w:abstractNumId w:val="5"/>
  </w:num>
  <w:num w:numId="7">
    <w:abstractNumId w:val="15"/>
  </w:num>
  <w:num w:numId="8">
    <w:abstractNumId w:val="10"/>
  </w:num>
  <w:num w:numId="9">
    <w:abstractNumId w:val="12"/>
  </w:num>
  <w:num w:numId="10">
    <w:abstractNumId w:val="17"/>
  </w:num>
  <w:num w:numId="11">
    <w:abstractNumId w:val="23"/>
  </w:num>
  <w:num w:numId="12">
    <w:abstractNumId w:val="0"/>
  </w:num>
  <w:num w:numId="13">
    <w:abstractNumId w:val="8"/>
  </w:num>
  <w:num w:numId="14">
    <w:abstractNumId w:val="19"/>
  </w:num>
  <w:num w:numId="15">
    <w:abstractNumId w:val="9"/>
  </w:num>
  <w:num w:numId="16">
    <w:abstractNumId w:val="16"/>
  </w:num>
  <w:num w:numId="17">
    <w:abstractNumId w:val="18"/>
  </w:num>
  <w:num w:numId="18">
    <w:abstractNumId w:val="7"/>
  </w:num>
  <w:num w:numId="19">
    <w:abstractNumId w:val="3"/>
  </w:num>
  <w:num w:numId="20">
    <w:abstractNumId w:val="13"/>
  </w:num>
  <w:num w:numId="21">
    <w:abstractNumId w:val="22"/>
  </w:num>
  <w:num w:numId="22">
    <w:abstractNumId w:val="4"/>
  </w:num>
  <w:num w:numId="23">
    <w:abstractNumId w:val="2"/>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AB0"/>
    <w:rsid w:val="000027BE"/>
    <w:rsid w:val="000032A6"/>
    <w:rsid w:val="00006041"/>
    <w:rsid w:val="00006C70"/>
    <w:rsid w:val="00012F18"/>
    <w:rsid w:val="00014361"/>
    <w:rsid w:val="00016AE1"/>
    <w:rsid w:val="0002021B"/>
    <w:rsid w:val="00021B21"/>
    <w:rsid w:val="000227F4"/>
    <w:rsid w:val="00032A44"/>
    <w:rsid w:val="00032A84"/>
    <w:rsid w:val="00043A0D"/>
    <w:rsid w:val="00046372"/>
    <w:rsid w:val="00047B22"/>
    <w:rsid w:val="00051D85"/>
    <w:rsid w:val="000524AF"/>
    <w:rsid w:val="00055104"/>
    <w:rsid w:val="0005561E"/>
    <w:rsid w:val="00056C81"/>
    <w:rsid w:val="00061F61"/>
    <w:rsid w:val="000648DF"/>
    <w:rsid w:val="00064E43"/>
    <w:rsid w:val="0006637C"/>
    <w:rsid w:val="00067AC5"/>
    <w:rsid w:val="000730D0"/>
    <w:rsid w:val="00074797"/>
    <w:rsid w:val="00075D20"/>
    <w:rsid w:val="0008042F"/>
    <w:rsid w:val="000810D5"/>
    <w:rsid w:val="000813EE"/>
    <w:rsid w:val="0008253D"/>
    <w:rsid w:val="00083319"/>
    <w:rsid w:val="00084655"/>
    <w:rsid w:val="000854A1"/>
    <w:rsid w:val="00087AA6"/>
    <w:rsid w:val="000908E3"/>
    <w:rsid w:val="00092678"/>
    <w:rsid w:val="00093F0C"/>
    <w:rsid w:val="0009548B"/>
    <w:rsid w:val="00096A30"/>
    <w:rsid w:val="000970A0"/>
    <w:rsid w:val="000A03A9"/>
    <w:rsid w:val="000A427B"/>
    <w:rsid w:val="000A5648"/>
    <w:rsid w:val="000A6894"/>
    <w:rsid w:val="000B0CE2"/>
    <w:rsid w:val="000B4CE0"/>
    <w:rsid w:val="000B55CB"/>
    <w:rsid w:val="000B7325"/>
    <w:rsid w:val="000B7593"/>
    <w:rsid w:val="000B7933"/>
    <w:rsid w:val="000C0940"/>
    <w:rsid w:val="000C15AD"/>
    <w:rsid w:val="000C1F71"/>
    <w:rsid w:val="000D6251"/>
    <w:rsid w:val="000D7E20"/>
    <w:rsid w:val="000E0427"/>
    <w:rsid w:val="000E2F82"/>
    <w:rsid w:val="000E6677"/>
    <w:rsid w:val="000F179D"/>
    <w:rsid w:val="000F3580"/>
    <w:rsid w:val="000F4C3E"/>
    <w:rsid w:val="000F5DDB"/>
    <w:rsid w:val="000F5DE3"/>
    <w:rsid w:val="000F601D"/>
    <w:rsid w:val="00100CE8"/>
    <w:rsid w:val="001018E5"/>
    <w:rsid w:val="00101D3F"/>
    <w:rsid w:val="0010333C"/>
    <w:rsid w:val="00110CE7"/>
    <w:rsid w:val="001113CB"/>
    <w:rsid w:val="00113F4E"/>
    <w:rsid w:val="001154CB"/>
    <w:rsid w:val="00116CBE"/>
    <w:rsid w:val="001209DA"/>
    <w:rsid w:val="00121989"/>
    <w:rsid w:val="0012380F"/>
    <w:rsid w:val="00124EE9"/>
    <w:rsid w:val="001255A8"/>
    <w:rsid w:val="00126438"/>
    <w:rsid w:val="00127192"/>
    <w:rsid w:val="001321DC"/>
    <w:rsid w:val="0013591C"/>
    <w:rsid w:val="00142BE0"/>
    <w:rsid w:val="00146BE8"/>
    <w:rsid w:val="00151C9B"/>
    <w:rsid w:val="00157E9E"/>
    <w:rsid w:val="001645A7"/>
    <w:rsid w:val="00164614"/>
    <w:rsid w:val="00166B34"/>
    <w:rsid w:val="00167199"/>
    <w:rsid w:val="00171575"/>
    <w:rsid w:val="00172C85"/>
    <w:rsid w:val="00174303"/>
    <w:rsid w:val="0017478A"/>
    <w:rsid w:val="00175ECF"/>
    <w:rsid w:val="00181F87"/>
    <w:rsid w:val="00183D7B"/>
    <w:rsid w:val="00184CBD"/>
    <w:rsid w:val="00186436"/>
    <w:rsid w:val="00190B1C"/>
    <w:rsid w:val="00190E12"/>
    <w:rsid w:val="00191381"/>
    <w:rsid w:val="00195C00"/>
    <w:rsid w:val="001A40BB"/>
    <w:rsid w:val="001A45F8"/>
    <w:rsid w:val="001A49B4"/>
    <w:rsid w:val="001A5FD6"/>
    <w:rsid w:val="001A6D06"/>
    <w:rsid w:val="001B03B1"/>
    <w:rsid w:val="001B1EC9"/>
    <w:rsid w:val="001B7D7D"/>
    <w:rsid w:val="001C09DA"/>
    <w:rsid w:val="001C20E6"/>
    <w:rsid w:val="001C3D2C"/>
    <w:rsid w:val="001C42E1"/>
    <w:rsid w:val="001C5644"/>
    <w:rsid w:val="001C7C4A"/>
    <w:rsid w:val="001D199B"/>
    <w:rsid w:val="001D26B2"/>
    <w:rsid w:val="001D492F"/>
    <w:rsid w:val="001D5319"/>
    <w:rsid w:val="001D5D40"/>
    <w:rsid w:val="001D67DF"/>
    <w:rsid w:val="001E07C7"/>
    <w:rsid w:val="001E1BBF"/>
    <w:rsid w:val="001E41A6"/>
    <w:rsid w:val="001E67AD"/>
    <w:rsid w:val="001F2039"/>
    <w:rsid w:val="001F37BA"/>
    <w:rsid w:val="001F7075"/>
    <w:rsid w:val="002000CF"/>
    <w:rsid w:val="00200397"/>
    <w:rsid w:val="0020067B"/>
    <w:rsid w:val="00202756"/>
    <w:rsid w:val="00202858"/>
    <w:rsid w:val="002044CF"/>
    <w:rsid w:val="0020538C"/>
    <w:rsid w:val="00205589"/>
    <w:rsid w:val="00211231"/>
    <w:rsid w:val="00211A02"/>
    <w:rsid w:val="00211B07"/>
    <w:rsid w:val="00212222"/>
    <w:rsid w:val="00214220"/>
    <w:rsid w:val="002158B9"/>
    <w:rsid w:val="00215CD3"/>
    <w:rsid w:val="002169E4"/>
    <w:rsid w:val="00216BB7"/>
    <w:rsid w:val="00220358"/>
    <w:rsid w:val="00220FCD"/>
    <w:rsid w:val="00221D6B"/>
    <w:rsid w:val="00223085"/>
    <w:rsid w:val="002311E6"/>
    <w:rsid w:val="00231B68"/>
    <w:rsid w:val="00233B91"/>
    <w:rsid w:val="00234D3C"/>
    <w:rsid w:val="00236D31"/>
    <w:rsid w:val="002402AC"/>
    <w:rsid w:val="00243096"/>
    <w:rsid w:val="002431F9"/>
    <w:rsid w:val="002435C0"/>
    <w:rsid w:val="00253891"/>
    <w:rsid w:val="00257B8C"/>
    <w:rsid w:val="002612B3"/>
    <w:rsid w:val="00272168"/>
    <w:rsid w:val="0027405E"/>
    <w:rsid w:val="002740CB"/>
    <w:rsid w:val="002878C7"/>
    <w:rsid w:val="00287F0F"/>
    <w:rsid w:val="00293FAC"/>
    <w:rsid w:val="00295162"/>
    <w:rsid w:val="00297FA7"/>
    <w:rsid w:val="002A06B3"/>
    <w:rsid w:val="002A0B92"/>
    <w:rsid w:val="002A1B1F"/>
    <w:rsid w:val="002A356B"/>
    <w:rsid w:val="002B7B23"/>
    <w:rsid w:val="002C314A"/>
    <w:rsid w:val="002C339D"/>
    <w:rsid w:val="002C3623"/>
    <w:rsid w:val="002C51B2"/>
    <w:rsid w:val="002C671C"/>
    <w:rsid w:val="002C735A"/>
    <w:rsid w:val="002D25BD"/>
    <w:rsid w:val="002D4183"/>
    <w:rsid w:val="002D5633"/>
    <w:rsid w:val="002D6AB0"/>
    <w:rsid w:val="002E0B63"/>
    <w:rsid w:val="002E37C8"/>
    <w:rsid w:val="002E60FE"/>
    <w:rsid w:val="002E6803"/>
    <w:rsid w:val="002F2947"/>
    <w:rsid w:val="002F70BF"/>
    <w:rsid w:val="002F7F61"/>
    <w:rsid w:val="003006F8"/>
    <w:rsid w:val="003008A1"/>
    <w:rsid w:val="00307D58"/>
    <w:rsid w:val="00307EEA"/>
    <w:rsid w:val="0031574E"/>
    <w:rsid w:val="00320BB2"/>
    <w:rsid w:val="00324360"/>
    <w:rsid w:val="00325160"/>
    <w:rsid w:val="00327CE8"/>
    <w:rsid w:val="00327F5E"/>
    <w:rsid w:val="00332A0A"/>
    <w:rsid w:val="00332C6D"/>
    <w:rsid w:val="00333F82"/>
    <w:rsid w:val="00333FED"/>
    <w:rsid w:val="003340C7"/>
    <w:rsid w:val="0033606F"/>
    <w:rsid w:val="003369CA"/>
    <w:rsid w:val="00337113"/>
    <w:rsid w:val="00343F34"/>
    <w:rsid w:val="0034586D"/>
    <w:rsid w:val="00347768"/>
    <w:rsid w:val="00350392"/>
    <w:rsid w:val="003506AD"/>
    <w:rsid w:val="0035373E"/>
    <w:rsid w:val="0035484A"/>
    <w:rsid w:val="00354BC5"/>
    <w:rsid w:val="003550B9"/>
    <w:rsid w:val="00355576"/>
    <w:rsid w:val="00356543"/>
    <w:rsid w:val="003608AC"/>
    <w:rsid w:val="00360C90"/>
    <w:rsid w:val="00372969"/>
    <w:rsid w:val="00373983"/>
    <w:rsid w:val="00376BFC"/>
    <w:rsid w:val="00384149"/>
    <w:rsid w:val="00386933"/>
    <w:rsid w:val="00386CB0"/>
    <w:rsid w:val="0039079D"/>
    <w:rsid w:val="00394E87"/>
    <w:rsid w:val="0039542B"/>
    <w:rsid w:val="003963D5"/>
    <w:rsid w:val="00396E0B"/>
    <w:rsid w:val="003A071B"/>
    <w:rsid w:val="003A34CD"/>
    <w:rsid w:val="003A34D3"/>
    <w:rsid w:val="003A5AA4"/>
    <w:rsid w:val="003A630A"/>
    <w:rsid w:val="003B29A6"/>
    <w:rsid w:val="003B3464"/>
    <w:rsid w:val="003B3B5E"/>
    <w:rsid w:val="003B3BA2"/>
    <w:rsid w:val="003B5684"/>
    <w:rsid w:val="003C0F36"/>
    <w:rsid w:val="003C49AD"/>
    <w:rsid w:val="003C49BA"/>
    <w:rsid w:val="003C4C14"/>
    <w:rsid w:val="003C6AD1"/>
    <w:rsid w:val="003D2C79"/>
    <w:rsid w:val="003D4282"/>
    <w:rsid w:val="003D4938"/>
    <w:rsid w:val="003D4A66"/>
    <w:rsid w:val="003D5EF2"/>
    <w:rsid w:val="003D73EA"/>
    <w:rsid w:val="003E3D87"/>
    <w:rsid w:val="003F3A48"/>
    <w:rsid w:val="003F7B07"/>
    <w:rsid w:val="003F7C31"/>
    <w:rsid w:val="00401CE0"/>
    <w:rsid w:val="00404D3E"/>
    <w:rsid w:val="00406596"/>
    <w:rsid w:val="00407D98"/>
    <w:rsid w:val="0041007E"/>
    <w:rsid w:val="00411383"/>
    <w:rsid w:val="004134AE"/>
    <w:rsid w:val="00413862"/>
    <w:rsid w:val="00421148"/>
    <w:rsid w:val="004220F1"/>
    <w:rsid w:val="00431C3D"/>
    <w:rsid w:val="00431F91"/>
    <w:rsid w:val="00432B51"/>
    <w:rsid w:val="00432ED1"/>
    <w:rsid w:val="00433AD1"/>
    <w:rsid w:val="004425F7"/>
    <w:rsid w:val="00444B17"/>
    <w:rsid w:val="004528BE"/>
    <w:rsid w:val="00453C27"/>
    <w:rsid w:val="004543EF"/>
    <w:rsid w:val="00456A3F"/>
    <w:rsid w:val="004571EA"/>
    <w:rsid w:val="004577DD"/>
    <w:rsid w:val="00460965"/>
    <w:rsid w:val="0046243D"/>
    <w:rsid w:val="0047089F"/>
    <w:rsid w:val="00473528"/>
    <w:rsid w:val="0047382C"/>
    <w:rsid w:val="004746EC"/>
    <w:rsid w:val="00481658"/>
    <w:rsid w:val="004830BE"/>
    <w:rsid w:val="004834BF"/>
    <w:rsid w:val="00483E42"/>
    <w:rsid w:val="00485BBF"/>
    <w:rsid w:val="0048749F"/>
    <w:rsid w:val="00496226"/>
    <w:rsid w:val="00496309"/>
    <w:rsid w:val="00496455"/>
    <w:rsid w:val="00497395"/>
    <w:rsid w:val="004A6896"/>
    <w:rsid w:val="004A6B37"/>
    <w:rsid w:val="004B0BF0"/>
    <w:rsid w:val="004B0E7F"/>
    <w:rsid w:val="004B7531"/>
    <w:rsid w:val="004C3DB3"/>
    <w:rsid w:val="004C48D5"/>
    <w:rsid w:val="004C4E77"/>
    <w:rsid w:val="004D0383"/>
    <w:rsid w:val="004D0BF2"/>
    <w:rsid w:val="004D1CE5"/>
    <w:rsid w:val="004D1DE2"/>
    <w:rsid w:val="004D21CC"/>
    <w:rsid w:val="004D3A97"/>
    <w:rsid w:val="004E1DA7"/>
    <w:rsid w:val="004E34CB"/>
    <w:rsid w:val="004E413A"/>
    <w:rsid w:val="004E630E"/>
    <w:rsid w:val="004E7B79"/>
    <w:rsid w:val="004F203E"/>
    <w:rsid w:val="004F2512"/>
    <w:rsid w:val="004F2634"/>
    <w:rsid w:val="004F286E"/>
    <w:rsid w:val="004F3A6D"/>
    <w:rsid w:val="004F3C83"/>
    <w:rsid w:val="004F491C"/>
    <w:rsid w:val="004F5BD6"/>
    <w:rsid w:val="004F7C15"/>
    <w:rsid w:val="005003A8"/>
    <w:rsid w:val="00502CBD"/>
    <w:rsid w:val="00510BCC"/>
    <w:rsid w:val="005166F6"/>
    <w:rsid w:val="0051719A"/>
    <w:rsid w:val="00517EAC"/>
    <w:rsid w:val="00521F0C"/>
    <w:rsid w:val="005253AA"/>
    <w:rsid w:val="0052663E"/>
    <w:rsid w:val="00526711"/>
    <w:rsid w:val="00527D90"/>
    <w:rsid w:val="00527DFE"/>
    <w:rsid w:val="0053005A"/>
    <w:rsid w:val="00530EA7"/>
    <w:rsid w:val="00531362"/>
    <w:rsid w:val="0053301A"/>
    <w:rsid w:val="005337F5"/>
    <w:rsid w:val="00541499"/>
    <w:rsid w:val="00545844"/>
    <w:rsid w:val="005468A5"/>
    <w:rsid w:val="00547D61"/>
    <w:rsid w:val="0055050B"/>
    <w:rsid w:val="00552D6A"/>
    <w:rsid w:val="00552E5F"/>
    <w:rsid w:val="005604E7"/>
    <w:rsid w:val="005609D4"/>
    <w:rsid w:val="00561A13"/>
    <w:rsid w:val="00562B64"/>
    <w:rsid w:val="0056511C"/>
    <w:rsid w:val="00571D67"/>
    <w:rsid w:val="005727D2"/>
    <w:rsid w:val="00573BF2"/>
    <w:rsid w:val="005749AD"/>
    <w:rsid w:val="0057750C"/>
    <w:rsid w:val="00577658"/>
    <w:rsid w:val="00577AB6"/>
    <w:rsid w:val="00580175"/>
    <w:rsid w:val="0058117F"/>
    <w:rsid w:val="005811A3"/>
    <w:rsid w:val="005838E0"/>
    <w:rsid w:val="00585051"/>
    <w:rsid w:val="0059045B"/>
    <w:rsid w:val="005921A2"/>
    <w:rsid w:val="00593469"/>
    <w:rsid w:val="0059348F"/>
    <w:rsid w:val="00593FF9"/>
    <w:rsid w:val="00595CC1"/>
    <w:rsid w:val="005A0A37"/>
    <w:rsid w:val="005A115D"/>
    <w:rsid w:val="005A25CE"/>
    <w:rsid w:val="005A73EE"/>
    <w:rsid w:val="005B1DBA"/>
    <w:rsid w:val="005B47CB"/>
    <w:rsid w:val="005C39C3"/>
    <w:rsid w:val="005C5EDF"/>
    <w:rsid w:val="005C633E"/>
    <w:rsid w:val="005D4C23"/>
    <w:rsid w:val="005D7B1F"/>
    <w:rsid w:val="005E394D"/>
    <w:rsid w:val="005E44B3"/>
    <w:rsid w:val="005E6A90"/>
    <w:rsid w:val="005E6E9C"/>
    <w:rsid w:val="005F19DD"/>
    <w:rsid w:val="005F236B"/>
    <w:rsid w:val="005F4386"/>
    <w:rsid w:val="005F56EF"/>
    <w:rsid w:val="005F58BD"/>
    <w:rsid w:val="005F5B99"/>
    <w:rsid w:val="005F7B8B"/>
    <w:rsid w:val="00600205"/>
    <w:rsid w:val="006008E6"/>
    <w:rsid w:val="00605BC4"/>
    <w:rsid w:val="00606098"/>
    <w:rsid w:val="006107A2"/>
    <w:rsid w:val="00611557"/>
    <w:rsid w:val="00613B55"/>
    <w:rsid w:val="00614F99"/>
    <w:rsid w:val="006159FB"/>
    <w:rsid w:val="00620FF1"/>
    <w:rsid w:val="006253FD"/>
    <w:rsid w:val="00626AB4"/>
    <w:rsid w:val="00627EBB"/>
    <w:rsid w:val="00630270"/>
    <w:rsid w:val="006327DC"/>
    <w:rsid w:val="00633A63"/>
    <w:rsid w:val="00633B03"/>
    <w:rsid w:val="006344A4"/>
    <w:rsid w:val="00636E8F"/>
    <w:rsid w:val="00637297"/>
    <w:rsid w:val="006434A1"/>
    <w:rsid w:val="0064667C"/>
    <w:rsid w:val="00651B36"/>
    <w:rsid w:val="006520D6"/>
    <w:rsid w:val="00652420"/>
    <w:rsid w:val="00654294"/>
    <w:rsid w:val="006551A0"/>
    <w:rsid w:val="006612A4"/>
    <w:rsid w:val="00661563"/>
    <w:rsid w:val="006643F7"/>
    <w:rsid w:val="00666032"/>
    <w:rsid w:val="0067061C"/>
    <w:rsid w:val="00670B0B"/>
    <w:rsid w:val="006731FE"/>
    <w:rsid w:val="0067600E"/>
    <w:rsid w:val="006760FC"/>
    <w:rsid w:val="00677FE0"/>
    <w:rsid w:val="0068135E"/>
    <w:rsid w:val="006818D2"/>
    <w:rsid w:val="00682E1B"/>
    <w:rsid w:val="00683814"/>
    <w:rsid w:val="006849BC"/>
    <w:rsid w:val="00684E02"/>
    <w:rsid w:val="00685139"/>
    <w:rsid w:val="006856B0"/>
    <w:rsid w:val="006919B2"/>
    <w:rsid w:val="006939BB"/>
    <w:rsid w:val="00694044"/>
    <w:rsid w:val="006A325E"/>
    <w:rsid w:val="006A36CF"/>
    <w:rsid w:val="006A5D8C"/>
    <w:rsid w:val="006A68E4"/>
    <w:rsid w:val="006B045A"/>
    <w:rsid w:val="006B3C3D"/>
    <w:rsid w:val="006B4D46"/>
    <w:rsid w:val="006B631D"/>
    <w:rsid w:val="006B75E8"/>
    <w:rsid w:val="006C0779"/>
    <w:rsid w:val="006C1A90"/>
    <w:rsid w:val="006C3FD4"/>
    <w:rsid w:val="006C7442"/>
    <w:rsid w:val="006D46C6"/>
    <w:rsid w:val="006D5C93"/>
    <w:rsid w:val="006E4BB9"/>
    <w:rsid w:val="006F2815"/>
    <w:rsid w:val="006F388D"/>
    <w:rsid w:val="006F5737"/>
    <w:rsid w:val="006F7DD0"/>
    <w:rsid w:val="00700178"/>
    <w:rsid w:val="00702214"/>
    <w:rsid w:val="00703C89"/>
    <w:rsid w:val="00706192"/>
    <w:rsid w:val="0070698D"/>
    <w:rsid w:val="00725E65"/>
    <w:rsid w:val="00727FE9"/>
    <w:rsid w:val="0073068D"/>
    <w:rsid w:val="00730FCD"/>
    <w:rsid w:val="007333E4"/>
    <w:rsid w:val="007365AB"/>
    <w:rsid w:val="00736A33"/>
    <w:rsid w:val="00746258"/>
    <w:rsid w:val="00753277"/>
    <w:rsid w:val="00753ADD"/>
    <w:rsid w:val="00754514"/>
    <w:rsid w:val="00757AB7"/>
    <w:rsid w:val="00761290"/>
    <w:rsid w:val="00761719"/>
    <w:rsid w:val="00761A5A"/>
    <w:rsid w:val="00762AFA"/>
    <w:rsid w:val="007639AD"/>
    <w:rsid w:val="007642A3"/>
    <w:rsid w:val="00764426"/>
    <w:rsid w:val="007674E0"/>
    <w:rsid w:val="00772D38"/>
    <w:rsid w:val="007746EC"/>
    <w:rsid w:val="0077510C"/>
    <w:rsid w:val="007767A1"/>
    <w:rsid w:val="0077725A"/>
    <w:rsid w:val="00780C45"/>
    <w:rsid w:val="0078152C"/>
    <w:rsid w:val="00783840"/>
    <w:rsid w:val="00784174"/>
    <w:rsid w:val="007859AA"/>
    <w:rsid w:val="007923E6"/>
    <w:rsid w:val="00792E29"/>
    <w:rsid w:val="00793BEA"/>
    <w:rsid w:val="007A43E2"/>
    <w:rsid w:val="007B27B9"/>
    <w:rsid w:val="007B2DB7"/>
    <w:rsid w:val="007B37CC"/>
    <w:rsid w:val="007B7FA7"/>
    <w:rsid w:val="007C4993"/>
    <w:rsid w:val="007C53E4"/>
    <w:rsid w:val="007C5870"/>
    <w:rsid w:val="007C5B57"/>
    <w:rsid w:val="007C5ED6"/>
    <w:rsid w:val="007C5F74"/>
    <w:rsid w:val="007C6063"/>
    <w:rsid w:val="007C6A2A"/>
    <w:rsid w:val="007D0F32"/>
    <w:rsid w:val="007D2118"/>
    <w:rsid w:val="007D445E"/>
    <w:rsid w:val="007D4621"/>
    <w:rsid w:val="007D5DD4"/>
    <w:rsid w:val="007E00A7"/>
    <w:rsid w:val="007E0B64"/>
    <w:rsid w:val="007E1BE8"/>
    <w:rsid w:val="007E6420"/>
    <w:rsid w:val="007F18FA"/>
    <w:rsid w:val="007F2E20"/>
    <w:rsid w:val="00801E6A"/>
    <w:rsid w:val="008045EA"/>
    <w:rsid w:val="008048BE"/>
    <w:rsid w:val="0080716B"/>
    <w:rsid w:val="008072C2"/>
    <w:rsid w:val="00807C64"/>
    <w:rsid w:val="008115AC"/>
    <w:rsid w:val="00814E7B"/>
    <w:rsid w:val="00815272"/>
    <w:rsid w:val="00815F90"/>
    <w:rsid w:val="00821986"/>
    <w:rsid w:val="008323DB"/>
    <w:rsid w:val="00833825"/>
    <w:rsid w:val="00834472"/>
    <w:rsid w:val="00835E00"/>
    <w:rsid w:val="00841539"/>
    <w:rsid w:val="00845129"/>
    <w:rsid w:val="008471A8"/>
    <w:rsid w:val="0085185F"/>
    <w:rsid w:val="00854362"/>
    <w:rsid w:val="00854932"/>
    <w:rsid w:val="00855988"/>
    <w:rsid w:val="00855DC6"/>
    <w:rsid w:val="00857561"/>
    <w:rsid w:val="00863C2E"/>
    <w:rsid w:val="00864D92"/>
    <w:rsid w:val="00867EAD"/>
    <w:rsid w:val="00873202"/>
    <w:rsid w:val="008737CC"/>
    <w:rsid w:val="00873F83"/>
    <w:rsid w:val="00881F9E"/>
    <w:rsid w:val="00882AA8"/>
    <w:rsid w:val="00882D6E"/>
    <w:rsid w:val="00887E26"/>
    <w:rsid w:val="00893AD8"/>
    <w:rsid w:val="00893D64"/>
    <w:rsid w:val="00895160"/>
    <w:rsid w:val="008966F2"/>
    <w:rsid w:val="0089768D"/>
    <w:rsid w:val="008A0ED3"/>
    <w:rsid w:val="008A1F31"/>
    <w:rsid w:val="008A22EE"/>
    <w:rsid w:val="008A3BDC"/>
    <w:rsid w:val="008A4FB9"/>
    <w:rsid w:val="008A63F2"/>
    <w:rsid w:val="008A659B"/>
    <w:rsid w:val="008B0CA1"/>
    <w:rsid w:val="008B4406"/>
    <w:rsid w:val="008B4B3A"/>
    <w:rsid w:val="008C0CF1"/>
    <w:rsid w:val="008C1F41"/>
    <w:rsid w:val="008C27B5"/>
    <w:rsid w:val="008C328C"/>
    <w:rsid w:val="008C3ACE"/>
    <w:rsid w:val="008C3D55"/>
    <w:rsid w:val="008C5A7B"/>
    <w:rsid w:val="008C5C02"/>
    <w:rsid w:val="008D223F"/>
    <w:rsid w:val="008D27EF"/>
    <w:rsid w:val="008D2A7F"/>
    <w:rsid w:val="008D40A2"/>
    <w:rsid w:val="008D54C3"/>
    <w:rsid w:val="008E2852"/>
    <w:rsid w:val="008E2FEF"/>
    <w:rsid w:val="008E3131"/>
    <w:rsid w:val="008E3F36"/>
    <w:rsid w:val="008E5AB3"/>
    <w:rsid w:val="008E7150"/>
    <w:rsid w:val="008E74C6"/>
    <w:rsid w:val="008F2A87"/>
    <w:rsid w:val="008F3289"/>
    <w:rsid w:val="008F4CE6"/>
    <w:rsid w:val="00902D31"/>
    <w:rsid w:val="0090350A"/>
    <w:rsid w:val="0090406F"/>
    <w:rsid w:val="009043B5"/>
    <w:rsid w:val="00905ED3"/>
    <w:rsid w:val="00924650"/>
    <w:rsid w:val="00924F84"/>
    <w:rsid w:val="00926F27"/>
    <w:rsid w:val="009308C3"/>
    <w:rsid w:val="009311E3"/>
    <w:rsid w:val="00932374"/>
    <w:rsid w:val="009364CD"/>
    <w:rsid w:val="00940455"/>
    <w:rsid w:val="00940783"/>
    <w:rsid w:val="00943882"/>
    <w:rsid w:val="00943B17"/>
    <w:rsid w:val="009514C3"/>
    <w:rsid w:val="00952DCB"/>
    <w:rsid w:val="0095393F"/>
    <w:rsid w:val="00964EA1"/>
    <w:rsid w:val="00966353"/>
    <w:rsid w:val="00966AAE"/>
    <w:rsid w:val="00966DFC"/>
    <w:rsid w:val="00970A57"/>
    <w:rsid w:val="009711A1"/>
    <w:rsid w:val="009745DD"/>
    <w:rsid w:val="00977BB5"/>
    <w:rsid w:val="00982525"/>
    <w:rsid w:val="00985911"/>
    <w:rsid w:val="00986D83"/>
    <w:rsid w:val="00987C2A"/>
    <w:rsid w:val="00990060"/>
    <w:rsid w:val="00990DB0"/>
    <w:rsid w:val="00991DE1"/>
    <w:rsid w:val="00995021"/>
    <w:rsid w:val="00997F21"/>
    <w:rsid w:val="009A04C8"/>
    <w:rsid w:val="009A3A1A"/>
    <w:rsid w:val="009A5797"/>
    <w:rsid w:val="009A660B"/>
    <w:rsid w:val="009A6D6B"/>
    <w:rsid w:val="009B10EB"/>
    <w:rsid w:val="009B4E73"/>
    <w:rsid w:val="009B660E"/>
    <w:rsid w:val="009B6762"/>
    <w:rsid w:val="009B7DFB"/>
    <w:rsid w:val="009C0201"/>
    <w:rsid w:val="009C0C00"/>
    <w:rsid w:val="009C30E6"/>
    <w:rsid w:val="009C41D4"/>
    <w:rsid w:val="009C56BA"/>
    <w:rsid w:val="009C59B6"/>
    <w:rsid w:val="009C7E66"/>
    <w:rsid w:val="009D217B"/>
    <w:rsid w:val="009D3175"/>
    <w:rsid w:val="009D39F0"/>
    <w:rsid w:val="009E0169"/>
    <w:rsid w:val="009E255D"/>
    <w:rsid w:val="009E5160"/>
    <w:rsid w:val="009E5483"/>
    <w:rsid w:val="009E6119"/>
    <w:rsid w:val="009E6639"/>
    <w:rsid w:val="009E7800"/>
    <w:rsid w:val="009F0335"/>
    <w:rsid w:val="009F51A9"/>
    <w:rsid w:val="00A01C5D"/>
    <w:rsid w:val="00A07FE0"/>
    <w:rsid w:val="00A10C87"/>
    <w:rsid w:val="00A10FF6"/>
    <w:rsid w:val="00A12A7B"/>
    <w:rsid w:val="00A20F92"/>
    <w:rsid w:val="00A23AD7"/>
    <w:rsid w:val="00A25F42"/>
    <w:rsid w:val="00A30F68"/>
    <w:rsid w:val="00A3181B"/>
    <w:rsid w:val="00A37AE5"/>
    <w:rsid w:val="00A40695"/>
    <w:rsid w:val="00A47F50"/>
    <w:rsid w:val="00A50FB2"/>
    <w:rsid w:val="00A546EF"/>
    <w:rsid w:val="00A567AF"/>
    <w:rsid w:val="00A57088"/>
    <w:rsid w:val="00A60F31"/>
    <w:rsid w:val="00A7105D"/>
    <w:rsid w:val="00A7263C"/>
    <w:rsid w:val="00A728B2"/>
    <w:rsid w:val="00A74088"/>
    <w:rsid w:val="00A7488C"/>
    <w:rsid w:val="00A75DAB"/>
    <w:rsid w:val="00A813A6"/>
    <w:rsid w:val="00A84AEA"/>
    <w:rsid w:val="00A851FD"/>
    <w:rsid w:val="00A8540A"/>
    <w:rsid w:val="00A87619"/>
    <w:rsid w:val="00A9135F"/>
    <w:rsid w:val="00A924C7"/>
    <w:rsid w:val="00A93A14"/>
    <w:rsid w:val="00A95FA7"/>
    <w:rsid w:val="00A96CAD"/>
    <w:rsid w:val="00A96CE4"/>
    <w:rsid w:val="00A977B6"/>
    <w:rsid w:val="00AA0D7C"/>
    <w:rsid w:val="00AA2B78"/>
    <w:rsid w:val="00AA4444"/>
    <w:rsid w:val="00AA7BB5"/>
    <w:rsid w:val="00AB0074"/>
    <w:rsid w:val="00AB00A1"/>
    <w:rsid w:val="00AB142B"/>
    <w:rsid w:val="00AB6C10"/>
    <w:rsid w:val="00AB7619"/>
    <w:rsid w:val="00AC32F4"/>
    <w:rsid w:val="00AC5094"/>
    <w:rsid w:val="00AC60B7"/>
    <w:rsid w:val="00AD0C83"/>
    <w:rsid w:val="00AD208C"/>
    <w:rsid w:val="00AD2ECE"/>
    <w:rsid w:val="00AD3183"/>
    <w:rsid w:val="00AD3B90"/>
    <w:rsid w:val="00AD40F0"/>
    <w:rsid w:val="00AD7A82"/>
    <w:rsid w:val="00AE0162"/>
    <w:rsid w:val="00AE0431"/>
    <w:rsid w:val="00AE04EF"/>
    <w:rsid w:val="00AE649F"/>
    <w:rsid w:val="00AE6AA2"/>
    <w:rsid w:val="00AF3433"/>
    <w:rsid w:val="00AF4CCD"/>
    <w:rsid w:val="00AF683E"/>
    <w:rsid w:val="00AF6C8D"/>
    <w:rsid w:val="00B00E86"/>
    <w:rsid w:val="00B01CD1"/>
    <w:rsid w:val="00B0278F"/>
    <w:rsid w:val="00B033A6"/>
    <w:rsid w:val="00B0448E"/>
    <w:rsid w:val="00B0653B"/>
    <w:rsid w:val="00B117BA"/>
    <w:rsid w:val="00B1237C"/>
    <w:rsid w:val="00B14C8E"/>
    <w:rsid w:val="00B152F7"/>
    <w:rsid w:val="00B17065"/>
    <w:rsid w:val="00B17150"/>
    <w:rsid w:val="00B20058"/>
    <w:rsid w:val="00B23F5B"/>
    <w:rsid w:val="00B27C70"/>
    <w:rsid w:val="00B309CC"/>
    <w:rsid w:val="00B310C4"/>
    <w:rsid w:val="00B31AC6"/>
    <w:rsid w:val="00B31C33"/>
    <w:rsid w:val="00B32385"/>
    <w:rsid w:val="00B32A99"/>
    <w:rsid w:val="00B3340E"/>
    <w:rsid w:val="00B33EE9"/>
    <w:rsid w:val="00B40FE8"/>
    <w:rsid w:val="00B41350"/>
    <w:rsid w:val="00B42C09"/>
    <w:rsid w:val="00B45280"/>
    <w:rsid w:val="00B4566D"/>
    <w:rsid w:val="00B456D0"/>
    <w:rsid w:val="00B45742"/>
    <w:rsid w:val="00B50F6F"/>
    <w:rsid w:val="00B51AE7"/>
    <w:rsid w:val="00B53364"/>
    <w:rsid w:val="00B62AC6"/>
    <w:rsid w:val="00B62E02"/>
    <w:rsid w:val="00B6364F"/>
    <w:rsid w:val="00B6679E"/>
    <w:rsid w:val="00B66BDB"/>
    <w:rsid w:val="00B70BC6"/>
    <w:rsid w:val="00B71748"/>
    <w:rsid w:val="00B71BA6"/>
    <w:rsid w:val="00B750A1"/>
    <w:rsid w:val="00B75B07"/>
    <w:rsid w:val="00B81CD7"/>
    <w:rsid w:val="00B83032"/>
    <w:rsid w:val="00B850FB"/>
    <w:rsid w:val="00B86F45"/>
    <w:rsid w:val="00B947BB"/>
    <w:rsid w:val="00BA2D67"/>
    <w:rsid w:val="00BB0795"/>
    <w:rsid w:val="00BB2422"/>
    <w:rsid w:val="00BB25C1"/>
    <w:rsid w:val="00BB2FFA"/>
    <w:rsid w:val="00BB336C"/>
    <w:rsid w:val="00BB340E"/>
    <w:rsid w:val="00BB4729"/>
    <w:rsid w:val="00BB52A7"/>
    <w:rsid w:val="00BB572C"/>
    <w:rsid w:val="00BB579C"/>
    <w:rsid w:val="00BC200B"/>
    <w:rsid w:val="00BC4C2F"/>
    <w:rsid w:val="00BC64C0"/>
    <w:rsid w:val="00BD6DD0"/>
    <w:rsid w:val="00BE1620"/>
    <w:rsid w:val="00BE4A42"/>
    <w:rsid w:val="00BE7401"/>
    <w:rsid w:val="00BF1B2A"/>
    <w:rsid w:val="00BF4886"/>
    <w:rsid w:val="00C018E5"/>
    <w:rsid w:val="00C02824"/>
    <w:rsid w:val="00C03FC3"/>
    <w:rsid w:val="00C074C6"/>
    <w:rsid w:val="00C138B8"/>
    <w:rsid w:val="00C145FD"/>
    <w:rsid w:val="00C14A57"/>
    <w:rsid w:val="00C14C35"/>
    <w:rsid w:val="00C21CFE"/>
    <w:rsid w:val="00C21E7F"/>
    <w:rsid w:val="00C250DE"/>
    <w:rsid w:val="00C26226"/>
    <w:rsid w:val="00C32BF3"/>
    <w:rsid w:val="00C33012"/>
    <w:rsid w:val="00C334AB"/>
    <w:rsid w:val="00C36D5A"/>
    <w:rsid w:val="00C3743A"/>
    <w:rsid w:val="00C3747F"/>
    <w:rsid w:val="00C42159"/>
    <w:rsid w:val="00C43FAB"/>
    <w:rsid w:val="00C44A42"/>
    <w:rsid w:val="00C44EE0"/>
    <w:rsid w:val="00C4672A"/>
    <w:rsid w:val="00C46FA8"/>
    <w:rsid w:val="00C50C04"/>
    <w:rsid w:val="00C51DFC"/>
    <w:rsid w:val="00C535E5"/>
    <w:rsid w:val="00C560DA"/>
    <w:rsid w:val="00C566EC"/>
    <w:rsid w:val="00C56AF4"/>
    <w:rsid w:val="00C60300"/>
    <w:rsid w:val="00C609FF"/>
    <w:rsid w:val="00C63490"/>
    <w:rsid w:val="00C662BC"/>
    <w:rsid w:val="00C72227"/>
    <w:rsid w:val="00C749E8"/>
    <w:rsid w:val="00C770BB"/>
    <w:rsid w:val="00C85D46"/>
    <w:rsid w:val="00C876FC"/>
    <w:rsid w:val="00C87B5B"/>
    <w:rsid w:val="00C87BF3"/>
    <w:rsid w:val="00C908A0"/>
    <w:rsid w:val="00CA098F"/>
    <w:rsid w:val="00CA41F9"/>
    <w:rsid w:val="00CA61B9"/>
    <w:rsid w:val="00CB358C"/>
    <w:rsid w:val="00CB6C8B"/>
    <w:rsid w:val="00CC00A2"/>
    <w:rsid w:val="00CC698F"/>
    <w:rsid w:val="00CD00BF"/>
    <w:rsid w:val="00CE26D1"/>
    <w:rsid w:val="00CE6611"/>
    <w:rsid w:val="00CF1A60"/>
    <w:rsid w:val="00CF44DC"/>
    <w:rsid w:val="00CF4A3C"/>
    <w:rsid w:val="00CF4BDD"/>
    <w:rsid w:val="00CF5407"/>
    <w:rsid w:val="00CF76D5"/>
    <w:rsid w:val="00D025D2"/>
    <w:rsid w:val="00D0459C"/>
    <w:rsid w:val="00D07065"/>
    <w:rsid w:val="00D10B26"/>
    <w:rsid w:val="00D10EA1"/>
    <w:rsid w:val="00D11E0C"/>
    <w:rsid w:val="00D1524B"/>
    <w:rsid w:val="00D16F12"/>
    <w:rsid w:val="00D175FD"/>
    <w:rsid w:val="00D21118"/>
    <w:rsid w:val="00D24946"/>
    <w:rsid w:val="00D26689"/>
    <w:rsid w:val="00D33288"/>
    <w:rsid w:val="00D35505"/>
    <w:rsid w:val="00D4150D"/>
    <w:rsid w:val="00D41CCC"/>
    <w:rsid w:val="00D42BC3"/>
    <w:rsid w:val="00D45CB0"/>
    <w:rsid w:val="00D51BE8"/>
    <w:rsid w:val="00D51BE9"/>
    <w:rsid w:val="00D54A06"/>
    <w:rsid w:val="00D56122"/>
    <w:rsid w:val="00D57F86"/>
    <w:rsid w:val="00D61DF8"/>
    <w:rsid w:val="00D64C95"/>
    <w:rsid w:val="00D65E5B"/>
    <w:rsid w:val="00D71647"/>
    <w:rsid w:val="00D72285"/>
    <w:rsid w:val="00D73542"/>
    <w:rsid w:val="00D77CC6"/>
    <w:rsid w:val="00D80335"/>
    <w:rsid w:val="00D911DD"/>
    <w:rsid w:val="00D91780"/>
    <w:rsid w:val="00D94FEA"/>
    <w:rsid w:val="00D977DD"/>
    <w:rsid w:val="00DA0301"/>
    <w:rsid w:val="00DA06F8"/>
    <w:rsid w:val="00DA270D"/>
    <w:rsid w:val="00DB0F76"/>
    <w:rsid w:val="00DB129A"/>
    <w:rsid w:val="00DB38F1"/>
    <w:rsid w:val="00DB6720"/>
    <w:rsid w:val="00DC4791"/>
    <w:rsid w:val="00DC47AD"/>
    <w:rsid w:val="00DD3B16"/>
    <w:rsid w:val="00DD43AB"/>
    <w:rsid w:val="00DD4409"/>
    <w:rsid w:val="00DD62B5"/>
    <w:rsid w:val="00DD7258"/>
    <w:rsid w:val="00DD72BF"/>
    <w:rsid w:val="00DD75FE"/>
    <w:rsid w:val="00DD77DB"/>
    <w:rsid w:val="00DE270D"/>
    <w:rsid w:val="00DE3559"/>
    <w:rsid w:val="00DE4E39"/>
    <w:rsid w:val="00DE69DC"/>
    <w:rsid w:val="00DF0E32"/>
    <w:rsid w:val="00DF243D"/>
    <w:rsid w:val="00DF7522"/>
    <w:rsid w:val="00DF7641"/>
    <w:rsid w:val="00DF7AFD"/>
    <w:rsid w:val="00DF7F73"/>
    <w:rsid w:val="00E00917"/>
    <w:rsid w:val="00E00E3C"/>
    <w:rsid w:val="00E02426"/>
    <w:rsid w:val="00E02DE2"/>
    <w:rsid w:val="00E06CAC"/>
    <w:rsid w:val="00E13BF6"/>
    <w:rsid w:val="00E17D8F"/>
    <w:rsid w:val="00E202C7"/>
    <w:rsid w:val="00E20817"/>
    <w:rsid w:val="00E20CFB"/>
    <w:rsid w:val="00E21679"/>
    <w:rsid w:val="00E22E35"/>
    <w:rsid w:val="00E304EB"/>
    <w:rsid w:val="00E319EE"/>
    <w:rsid w:val="00E33480"/>
    <w:rsid w:val="00E35866"/>
    <w:rsid w:val="00E3635D"/>
    <w:rsid w:val="00E36C69"/>
    <w:rsid w:val="00E400F1"/>
    <w:rsid w:val="00E435C9"/>
    <w:rsid w:val="00E43CD7"/>
    <w:rsid w:val="00E468C8"/>
    <w:rsid w:val="00E46CE9"/>
    <w:rsid w:val="00E474C4"/>
    <w:rsid w:val="00E50989"/>
    <w:rsid w:val="00E53232"/>
    <w:rsid w:val="00E548CE"/>
    <w:rsid w:val="00E54AA3"/>
    <w:rsid w:val="00E54BF6"/>
    <w:rsid w:val="00E607C8"/>
    <w:rsid w:val="00E63E46"/>
    <w:rsid w:val="00E64C81"/>
    <w:rsid w:val="00E65751"/>
    <w:rsid w:val="00E67F78"/>
    <w:rsid w:val="00E73D8D"/>
    <w:rsid w:val="00E74672"/>
    <w:rsid w:val="00E75689"/>
    <w:rsid w:val="00E8036F"/>
    <w:rsid w:val="00E828B4"/>
    <w:rsid w:val="00E8421F"/>
    <w:rsid w:val="00E865C6"/>
    <w:rsid w:val="00E86F77"/>
    <w:rsid w:val="00E9151B"/>
    <w:rsid w:val="00E91ABA"/>
    <w:rsid w:val="00EA035A"/>
    <w:rsid w:val="00EA2026"/>
    <w:rsid w:val="00EA70FE"/>
    <w:rsid w:val="00EC1970"/>
    <w:rsid w:val="00EC52A9"/>
    <w:rsid w:val="00EC691A"/>
    <w:rsid w:val="00ED20F0"/>
    <w:rsid w:val="00ED2DDF"/>
    <w:rsid w:val="00ED6050"/>
    <w:rsid w:val="00EE280B"/>
    <w:rsid w:val="00EE2963"/>
    <w:rsid w:val="00EE36A5"/>
    <w:rsid w:val="00EE6254"/>
    <w:rsid w:val="00EF030E"/>
    <w:rsid w:val="00EF1A94"/>
    <w:rsid w:val="00F00F72"/>
    <w:rsid w:val="00F05A77"/>
    <w:rsid w:val="00F06A5E"/>
    <w:rsid w:val="00F11B2E"/>
    <w:rsid w:val="00F1220D"/>
    <w:rsid w:val="00F169D1"/>
    <w:rsid w:val="00F250F0"/>
    <w:rsid w:val="00F2573C"/>
    <w:rsid w:val="00F32212"/>
    <w:rsid w:val="00F356B3"/>
    <w:rsid w:val="00F43258"/>
    <w:rsid w:val="00F443DB"/>
    <w:rsid w:val="00F44533"/>
    <w:rsid w:val="00F50F3D"/>
    <w:rsid w:val="00F53261"/>
    <w:rsid w:val="00F61BBC"/>
    <w:rsid w:val="00F63BE3"/>
    <w:rsid w:val="00F705D6"/>
    <w:rsid w:val="00F723D7"/>
    <w:rsid w:val="00F735FC"/>
    <w:rsid w:val="00F7441D"/>
    <w:rsid w:val="00F74720"/>
    <w:rsid w:val="00F75C76"/>
    <w:rsid w:val="00F75CC4"/>
    <w:rsid w:val="00F76629"/>
    <w:rsid w:val="00F76D2F"/>
    <w:rsid w:val="00F820BF"/>
    <w:rsid w:val="00F835A6"/>
    <w:rsid w:val="00F835BE"/>
    <w:rsid w:val="00F8471F"/>
    <w:rsid w:val="00F86E3C"/>
    <w:rsid w:val="00F913CC"/>
    <w:rsid w:val="00F931AC"/>
    <w:rsid w:val="00F944AC"/>
    <w:rsid w:val="00F96D06"/>
    <w:rsid w:val="00F97EE0"/>
    <w:rsid w:val="00FA17CB"/>
    <w:rsid w:val="00FA1F7D"/>
    <w:rsid w:val="00FA2DFB"/>
    <w:rsid w:val="00FA62D2"/>
    <w:rsid w:val="00FA7282"/>
    <w:rsid w:val="00FB177C"/>
    <w:rsid w:val="00FB6C46"/>
    <w:rsid w:val="00FC040A"/>
    <w:rsid w:val="00FC29E0"/>
    <w:rsid w:val="00FD2750"/>
    <w:rsid w:val="00FD377C"/>
    <w:rsid w:val="00FD3B9A"/>
    <w:rsid w:val="00FE11C8"/>
    <w:rsid w:val="00FE2030"/>
    <w:rsid w:val="00FE3933"/>
    <w:rsid w:val="00FF2619"/>
    <w:rsid w:val="00FF5D9A"/>
    <w:rsid w:val="00FF6C54"/>
    <w:rsid w:val="00FF6EEC"/>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5255470"/>
  <w15:docId w15:val="{9696AFB3-EE38-477B-9C0A-744D2CD42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9A6"/>
    <w:pPr>
      <w:spacing w:after="120" w:line="240" w:lineRule="auto"/>
    </w:pPr>
    <w:rPr>
      <w:rFonts w:ascii="Arial" w:hAnsi="Arial"/>
      <w:sz w:val="24"/>
    </w:rPr>
  </w:style>
  <w:style w:type="paragraph" w:styleId="Heading1">
    <w:name w:val="heading 1"/>
    <w:basedOn w:val="Normal"/>
    <w:next w:val="Normal"/>
    <w:link w:val="Heading1Char"/>
    <w:uiPriority w:val="9"/>
    <w:qFormat/>
    <w:rsid w:val="00B50F6F"/>
    <w:pPr>
      <w:keepNext/>
      <w:keepLines/>
      <w:numPr>
        <w:numId w:val="1"/>
      </w:numPr>
      <w:spacing w:before="360"/>
      <w:ind w:left="431" w:hanging="431"/>
      <w:outlineLvl w:val="0"/>
    </w:pPr>
    <w:rPr>
      <w:rFonts w:eastAsiaTheme="majorEastAsia" w:cstheme="majorBidi"/>
      <w:b/>
      <w:caps/>
      <w:szCs w:val="32"/>
    </w:rPr>
  </w:style>
  <w:style w:type="paragraph" w:styleId="Heading2">
    <w:name w:val="heading 2"/>
    <w:basedOn w:val="Normal"/>
    <w:next w:val="Normal"/>
    <w:link w:val="Heading2Char"/>
    <w:uiPriority w:val="9"/>
    <w:unhideWhenUsed/>
    <w:qFormat/>
    <w:rsid w:val="006551A0"/>
    <w:pPr>
      <w:keepNext/>
      <w:keepLines/>
      <w:numPr>
        <w:ilvl w:val="1"/>
        <w:numId w:val="1"/>
      </w:numPr>
      <w:spacing w:before="120"/>
      <w:ind w:left="0" w:firstLine="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C72227"/>
    <w:pPr>
      <w:keepNext/>
      <w:keepLines/>
      <w:numPr>
        <w:ilvl w:val="2"/>
        <w:numId w:val="1"/>
      </w:numPr>
      <w:spacing w:before="120"/>
      <w:outlineLvl w:val="2"/>
    </w:pPr>
    <w:rPr>
      <w:rFonts w:eastAsiaTheme="majorEastAsia" w:cstheme="majorBidi"/>
      <w:i/>
      <w:szCs w:val="24"/>
    </w:rPr>
  </w:style>
  <w:style w:type="paragraph" w:styleId="Heading4">
    <w:name w:val="heading 4"/>
    <w:basedOn w:val="Normal"/>
    <w:next w:val="Normal"/>
    <w:link w:val="Heading4Char"/>
    <w:uiPriority w:val="9"/>
    <w:unhideWhenUsed/>
    <w:rsid w:val="00C46FA8"/>
    <w:pPr>
      <w:keepNext/>
      <w:keepLines/>
      <w:numPr>
        <w:ilvl w:val="3"/>
        <w:numId w:val="1"/>
      </w:numPr>
      <w:spacing w:before="120" w:after="0"/>
      <w:ind w:left="0" w:firstLine="0"/>
      <w:outlineLvl w:val="3"/>
    </w:pPr>
    <w:rPr>
      <w:rFonts w:eastAsiaTheme="majorEastAsia" w:cs="Arial"/>
      <w:i/>
      <w:iCs/>
      <w:smallCaps/>
      <w:sz w:val="22"/>
    </w:rPr>
  </w:style>
  <w:style w:type="paragraph" w:styleId="Heading5">
    <w:name w:val="heading 5"/>
    <w:basedOn w:val="Normal"/>
    <w:next w:val="Normal"/>
    <w:link w:val="Heading5Char"/>
    <w:uiPriority w:val="9"/>
    <w:unhideWhenUsed/>
    <w:rsid w:val="00C72227"/>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C72227"/>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rsid w:val="00C72227"/>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7222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7222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0F6F"/>
    <w:rPr>
      <w:rFonts w:ascii="Arial" w:eastAsiaTheme="majorEastAsia" w:hAnsi="Arial" w:cstheme="majorBidi"/>
      <w:b/>
      <w:caps/>
      <w:sz w:val="24"/>
      <w:szCs w:val="32"/>
    </w:rPr>
  </w:style>
  <w:style w:type="character" w:customStyle="1" w:styleId="Heading2Char">
    <w:name w:val="Heading 2 Char"/>
    <w:basedOn w:val="DefaultParagraphFont"/>
    <w:link w:val="Heading2"/>
    <w:uiPriority w:val="9"/>
    <w:rsid w:val="006551A0"/>
    <w:rPr>
      <w:rFonts w:ascii="Arial" w:eastAsiaTheme="majorEastAsia" w:hAnsi="Arial" w:cstheme="majorBidi"/>
      <w:sz w:val="24"/>
      <w:szCs w:val="26"/>
    </w:rPr>
  </w:style>
  <w:style w:type="paragraph" w:styleId="ListParagraph">
    <w:name w:val="List Paragraph"/>
    <w:basedOn w:val="Normal"/>
    <w:link w:val="ListParagraphChar"/>
    <w:uiPriority w:val="34"/>
    <w:qFormat/>
    <w:rsid w:val="009043B5"/>
    <w:pPr>
      <w:ind w:left="720"/>
    </w:pPr>
  </w:style>
  <w:style w:type="character" w:customStyle="1" w:styleId="Heading3Char">
    <w:name w:val="Heading 3 Char"/>
    <w:basedOn w:val="DefaultParagraphFont"/>
    <w:link w:val="Heading3"/>
    <w:uiPriority w:val="9"/>
    <w:rsid w:val="00C72227"/>
    <w:rPr>
      <w:rFonts w:ascii="Arial" w:eastAsiaTheme="majorEastAsia" w:hAnsi="Arial" w:cstheme="majorBidi"/>
      <w:i/>
      <w:sz w:val="24"/>
      <w:szCs w:val="24"/>
    </w:rPr>
  </w:style>
  <w:style w:type="character" w:customStyle="1" w:styleId="Heading4Char">
    <w:name w:val="Heading 4 Char"/>
    <w:basedOn w:val="DefaultParagraphFont"/>
    <w:link w:val="Heading4"/>
    <w:uiPriority w:val="9"/>
    <w:rsid w:val="00C46FA8"/>
    <w:rPr>
      <w:rFonts w:ascii="Arial" w:eastAsiaTheme="majorEastAsia" w:hAnsi="Arial" w:cs="Arial"/>
      <w:i/>
      <w:iCs/>
      <w:smallCaps/>
    </w:rPr>
  </w:style>
  <w:style w:type="character" w:customStyle="1" w:styleId="Heading5Char">
    <w:name w:val="Heading 5 Char"/>
    <w:basedOn w:val="DefaultParagraphFont"/>
    <w:link w:val="Heading5"/>
    <w:uiPriority w:val="9"/>
    <w:rsid w:val="00C72227"/>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rsid w:val="00C72227"/>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C72227"/>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C7222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72227"/>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9043B5"/>
    <w:pPr>
      <w:spacing w:before="240" w:after="240"/>
      <w:contextualSpacing/>
      <w:jc w:val="center"/>
    </w:pPr>
    <w:rPr>
      <w:rFonts w:eastAsiaTheme="majorEastAsia" w:cstheme="majorBidi"/>
      <w:b/>
      <w:sz w:val="28"/>
      <w:szCs w:val="56"/>
    </w:rPr>
  </w:style>
  <w:style w:type="character" w:customStyle="1" w:styleId="TitleChar">
    <w:name w:val="Title Char"/>
    <w:basedOn w:val="DefaultParagraphFont"/>
    <w:link w:val="Title"/>
    <w:uiPriority w:val="10"/>
    <w:rsid w:val="009043B5"/>
    <w:rPr>
      <w:rFonts w:ascii="Arial" w:eastAsiaTheme="majorEastAsia" w:hAnsi="Arial" w:cstheme="majorBidi"/>
      <w:b/>
      <w:sz w:val="28"/>
      <w:szCs w:val="56"/>
    </w:rPr>
  </w:style>
  <w:style w:type="table" w:styleId="TableGrid">
    <w:name w:val="Table Grid"/>
    <w:basedOn w:val="TableNormal"/>
    <w:uiPriority w:val="39"/>
    <w:rsid w:val="00C722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44B17"/>
    <w:pPr>
      <w:spacing w:before="120" w:after="0"/>
    </w:pPr>
    <w:rPr>
      <w:b/>
      <w:iCs/>
      <w:sz w:val="22"/>
      <w:szCs w:val="18"/>
    </w:rPr>
  </w:style>
  <w:style w:type="paragraph" w:styleId="TOCHeading">
    <w:name w:val="TOC Heading"/>
    <w:basedOn w:val="Heading1"/>
    <w:next w:val="Normal"/>
    <w:uiPriority w:val="39"/>
    <w:unhideWhenUsed/>
    <w:qFormat/>
    <w:rsid w:val="00761A5A"/>
    <w:pPr>
      <w:keepLines w:val="0"/>
      <w:numPr>
        <w:numId w:val="0"/>
      </w:numPr>
      <w:spacing w:after="0"/>
      <w:outlineLvl w:val="9"/>
    </w:pPr>
    <w:rPr>
      <w:lang w:val="en-US"/>
    </w:rPr>
  </w:style>
  <w:style w:type="paragraph" w:styleId="TOC1">
    <w:name w:val="toc 1"/>
    <w:basedOn w:val="Normal"/>
    <w:next w:val="Normal"/>
    <w:autoRedefine/>
    <w:uiPriority w:val="39"/>
    <w:unhideWhenUsed/>
    <w:rsid w:val="00453C27"/>
    <w:pPr>
      <w:spacing w:after="0"/>
    </w:pPr>
    <w:rPr>
      <w:sz w:val="20"/>
    </w:rPr>
  </w:style>
  <w:style w:type="paragraph" w:styleId="TOC2">
    <w:name w:val="toc 2"/>
    <w:basedOn w:val="Normal"/>
    <w:next w:val="Normal"/>
    <w:autoRedefine/>
    <w:uiPriority w:val="39"/>
    <w:unhideWhenUsed/>
    <w:rsid w:val="00453C27"/>
    <w:pPr>
      <w:spacing w:after="0"/>
      <w:ind w:left="238"/>
    </w:pPr>
    <w:rPr>
      <w:sz w:val="20"/>
    </w:rPr>
  </w:style>
  <w:style w:type="paragraph" w:styleId="TOC3">
    <w:name w:val="toc 3"/>
    <w:basedOn w:val="Normal"/>
    <w:next w:val="Normal"/>
    <w:autoRedefine/>
    <w:uiPriority w:val="39"/>
    <w:unhideWhenUsed/>
    <w:rsid w:val="00453C27"/>
    <w:pPr>
      <w:spacing w:after="0"/>
      <w:ind w:left="482"/>
    </w:pPr>
    <w:rPr>
      <w:sz w:val="20"/>
    </w:rPr>
  </w:style>
  <w:style w:type="character" w:styleId="Hyperlink">
    <w:name w:val="Hyperlink"/>
    <w:basedOn w:val="DefaultParagraphFont"/>
    <w:uiPriority w:val="99"/>
    <w:unhideWhenUsed/>
    <w:rsid w:val="00882D6E"/>
    <w:rPr>
      <w:rFonts w:ascii="Arial" w:hAnsi="Arial"/>
      <w:color w:val="0563C1" w:themeColor="hyperlink"/>
      <w:sz w:val="20"/>
      <w:u w:val="single"/>
    </w:rPr>
  </w:style>
  <w:style w:type="paragraph" w:customStyle="1" w:styleId="Dotpoint">
    <w:name w:val="Dot point"/>
    <w:basedOn w:val="Normal"/>
    <w:uiPriority w:val="99"/>
    <w:rsid w:val="00F944AC"/>
    <w:pPr>
      <w:numPr>
        <w:numId w:val="4"/>
      </w:numPr>
      <w:spacing w:after="0"/>
    </w:pPr>
    <w:rPr>
      <w:rFonts w:ascii="Times New Roman" w:eastAsia="Times New Roman" w:hAnsi="Times New Roman" w:cs="Times New Roman"/>
      <w:sz w:val="20"/>
      <w:szCs w:val="20"/>
    </w:rPr>
  </w:style>
  <w:style w:type="paragraph" w:customStyle="1" w:styleId="Default">
    <w:name w:val="Default"/>
    <w:rsid w:val="00561A1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rsid w:val="00EC1970"/>
    <w:rPr>
      <w:rFonts w:ascii="Arial" w:hAnsi="Arial"/>
      <w:sz w:val="24"/>
    </w:rPr>
  </w:style>
  <w:style w:type="paragraph" w:styleId="Quote">
    <w:name w:val="Quote"/>
    <w:basedOn w:val="Normal"/>
    <w:next w:val="Normal"/>
    <w:link w:val="QuoteChar"/>
    <w:uiPriority w:val="29"/>
    <w:rsid w:val="00DE4E39"/>
    <w:pPr>
      <w:keepLines/>
      <w:ind w:left="567" w:right="624"/>
    </w:pPr>
    <w:rPr>
      <w:i/>
      <w:iCs/>
    </w:rPr>
  </w:style>
  <w:style w:type="character" w:customStyle="1" w:styleId="QuoteChar">
    <w:name w:val="Quote Char"/>
    <w:basedOn w:val="DefaultParagraphFont"/>
    <w:link w:val="Quote"/>
    <w:uiPriority w:val="29"/>
    <w:rsid w:val="00DE4E39"/>
    <w:rPr>
      <w:rFonts w:ascii="Arial" w:hAnsi="Arial"/>
      <w:i/>
      <w:iCs/>
      <w:sz w:val="24"/>
    </w:rPr>
  </w:style>
  <w:style w:type="paragraph" w:styleId="FootnoteText">
    <w:name w:val="footnote text"/>
    <w:basedOn w:val="Normal"/>
    <w:link w:val="FootnoteTextChar"/>
    <w:uiPriority w:val="99"/>
    <w:unhideWhenUsed/>
    <w:rsid w:val="00DE4E39"/>
    <w:pPr>
      <w:spacing w:after="0"/>
    </w:pPr>
    <w:rPr>
      <w:sz w:val="20"/>
      <w:szCs w:val="20"/>
    </w:rPr>
  </w:style>
  <w:style w:type="character" w:customStyle="1" w:styleId="FootnoteTextChar">
    <w:name w:val="Footnote Text Char"/>
    <w:basedOn w:val="DefaultParagraphFont"/>
    <w:link w:val="FootnoteText"/>
    <w:uiPriority w:val="99"/>
    <w:rsid w:val="00DE4E39"/>
    <w:rPr>
      <w:rFonts w:ascii="Arial" w:hAnsi="Arial"/>
      <w:sz w:val="20"/>
      <w:szCs w:val="20"/>
    </w:rPr>
  </w:style>
  <w:style w:type="character" w:styleId="FootnoteReference">
    <w:name w:val="footnote reference"/>
    <w:basedOn w:val="DefaultParagraphFont"/>
    <w:uiPriority w:val="99"/>
    <w:semiHidden/>
    <w:unhideWhenUsed/>
    <w:rsid w:val="00DE4E39"/>
    <w:rPr>
      <w:vertAlign w:val="superscript"/>
    </w:rPr>
  </w:style>
  <w:style w:type="paragraph" w:styleId="EndnoteText">
    <w:name w:val="endnote text"/>
    <w:basedOn w:val="Normal"/>
    <w:link w:val="EndnoteTextChar"/>
    <w:uiPriority w:val="99"/>
    <w:semiHidden/>
    <w:unhideWhenUsed/>
    <w:rsid w:val="00327CE8"/>
    <w:pPr>
      <w:spacing w:after="0"/>
    </w:pPr>
    <w:rPr>
      <w:sz w:val="20"/>
      <w:szCs w:val="20"/>
    </w:rPr>
  </w:style>
  <w:style w:type="character" w:customStyle="1" w:styleId="EndnoteTextChar">
    <w:name w:val="Endnote Text Char"/>
    <w:basedOn w:val="DefaultParagraphFont"/>
    <w:link w:val="EndnoteText"/>
    <w:uiPriority w:val="99"/>
    <w:semiHidden/>
    <w:rsid w:val="00327CE8"/>
    <w:rPr>
      <w:rFonts w:ascii="Arial" w:hAnsi="Arial"/>
      <w:sz w:val="20"/>
      <w:szCs w:val="20"/>
    </w:rPr>
  </w:style>
  <w:style w:type="character" w:styleId="EndnoteReference">
    <w:name w:val="endnote reference"/>
    <w:basedOn w:val="DefaultParagraphFont"/>
    <w:uiPriority w:val="99"/>
    <w:semiHidden/>
    <w:unhideWhenUsed/>
    <w:rsid w:val="00327CE8"/>
    <w:rPr>
      <w:vertAlign w:val="superscript"/>
    </w:rPr>
  </w:style>
  <w:style w:type="paragraph" w:customStyle="1" w:styleId="Tabletext">
    <w:name w:val="Table text"/>
    <w:basedOn w:val="Normal"/>
    <w:qFormat/>
    <w:rsid w:val="00970A57"/>
    <w:pPr>
      <w:spacing w:after="0"/>
    </w:pPr>
    <w:rPr>
      <w:sz w:val="20"/>
    </w:rPr>
  </w:style>
  <w:style w:type="paragraph" w:styleId="TableofFigures">
    <w:name w:val="table of figures"/>
    <w:basedOn w:val="Normal"/>
    <w:next w:val="Normal"/>
    <w:uiPriority w:val="99"/>
    <w:unhideWhenUsed/>
    <w:rsid w:val="00453C27"/>
    <w:pPr>
      <w:spacing w:after="0"/>
    </w:pPr>
    <w:rPr>
      <w:sz w:val="20"/>
    </w:rPr>
  </w:style>
  <w:style w:type="character" w:styleId="Emphasis">
    <w:name w:val="Emphasis"/>
    <w:uiPriority w:val="20"/>
    <w:rsid w:val="00AB0074"/>
    <w:rPr>
      <w:rFonts w:cs="Times New Roman"/>
      <w:i/>
    </w:rPr>
  </w:style>
  <w:style w:type="character" w:styleId="FollowedHyperlink">
    <w:name w:val="FollowedHyperlink"/>
    <w:basedOn w:val="DefaultParagraphFont"/>
    <w:uiPriority w:val="99"/>
    <w:semiHidden/>
    <w:unhideWhenUsed/>
    <w:rsid w:val="000B7933"/>
    <w:rPr>
      <w:color w:val="954F72" w:themeColor="followedHyperlink"/>
      <w:u w:val="single"/>
    </w:rPr>
  </w:style>
  <w:style w:type="paragraph" w:styleId="ListBullet">
    <w:name w:val="List Bullet"/>
    <w:basedOn w:val="Normal"/>
    <w:rsid w:val="006F7DD0"/>
    <w:pPr>
      <w:spacing w:after="200" w:line="276" w:lineRule="auto"/>
    </w:pPr>
    <w:rPr>
      <w:rFonts w:eastAsia="Times New Roman" w:cs="Times New Roman"/>
      <w:sz w:val="22"/>
    </w:rPr>
  </w:style>
  <w:style w:type="paragraph" w:customStyle="1" w:styleId="H2Anotindexed">
    <w:name w:val="H 2A (not indexed)"/>
    <w:basedOn w:val="Heading2"/>
    <w:qFormat/>
    <w:rsid w:val="00453C27"/>
  </w:style>
  <w:style w:type="paragraph" w:styleId="BalloonText">
    <w:name w:val="Balloon Text"/>
    <w:basedOn w:val="Normal"/>
    <w:link w:val="BalloonTextChar"/>
    <w:uiPriority w:val="99"/>
    <w:semiHidden/>
    <w:unhideWhenUsed/>
    <w:rsid w:val="00C908A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8A0"/>
    <w:rPr>
      <w:rFonts w:ascii="Tahoma" w:hAnsi="Tahoma" w:cs="Tahoma"/>
      <w:sz w:val="16"/>
      <w:szCs w:val="16"/>
    </w:rPr>
  </w:style>
  <w:style w:type="character" w:styleId="CommentReference">
    <w:name w:val="annotation reference"/>
    <w:basedOn w:val="DefaultParagraphFont"/>
    <w:uiPriority w:val="99"/>
    <w:semiHidden/>
    <w:unhideWhenUsed/>
    <w:rsid w:val="005C39C3"/>
    <w:rPr>
      <w:sz w:val="16"/>
      <w:szCs w:val="16"/>
    </w:rPr>
  </w:style>
  <w:style w:type="paragraph" w:styleId="CommentText">
    <w:name w:val="annotation text"/>
    <w:basedOn w:val="Normal"/>
    <w:link w:val="CommentTextChar"/>
    <w:uiPriority w:val="99"/>
    <w:semiHidden/>
    <w:unhideWhenUsed/>
    <w:rsid w:val="005C39C3"/>
    <w:rPr>
      <w:sz w:val="20"/>
      <w:szCs w:val="20"/>
    </w:rPr>
  </w:style>
  <w:style w:type="character" w:customStyle="1" w:styleId="CommentTextChar">
    <w:name w:val="Comment Text Char"/>
    <w:basedOn w:val="DefaultParagraphFont"/>
    <w:link w:val="CommentText"/>
    <w:uiPriority w:val="99"/>
    <w:semiHidden/>
    <w:rsid w:val="005C39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C39C3"/>
    <w:rPr>
      <w:b/>
      <w:bCs/>
    </w:rPr>
  </w:style>
  <w:style w:type="character" w:customStyle="1" w:styleId="CommentSubjectChar">
    <w:name w:val="Comment Subject Char"/>
    <w:basedOn w:val="CommentTextChar"/>
    <w:link w:val="CommentSubject"/>
    <w:uiPriority w:val="99"/>
    <w:semiHidden/>
    <w:rsid w:val="005C39C3"/>
    <w:rPr>
      <w:rFonts w:ascii="Arial" w:hAnsi="Arial"/>
      <w:b/>
      <w:bCs/>
      <w:sz w:val="20"/>
      <w:szCs w:val="20"/>
    </w:rPr>
  </w:style>
  <w:style w:type="paragraph" w:styleId="Header">
    <w:name w:val="header"/>
    <w:basedOn w:val="Normal"/>
    <w:link w:val="HeaderChar"/>
    <w:uiPriority w:val="99"/>
    <w:unhideWhenUsed/>
    <w:rsid w:val="00046372"/>
    <w:pPr>
      <w:tabs>
        <w:tab w:val="center" w:pos="4513"/>
        <w:tab w:val="right" w:pos="9026"/>
      </w:tabs>
      <w:spacing w:after="0"/>
    </w:pPr>
  </w:style>
  <w:style w:type="character" w:customStyle="1" w:styleId="HeaderChar">
    <w:name w:val="Header Char"/>
    <w:basedOn w:val="DefaultParagraphFont"/>
    <w:link w:val="Header"/>
    <w:uiPriority w:val="99"/>
    <w:rsid w:val="00046372"/>
    <w:rPr>
      <w:rFonts w:ascii="Arial" w:hAnsi="Arial"/>
      <w:sz w:val="24"/>
    </w:rPr>
  </w:style>
  <w:style w:type="paragraph" w:styleId="Footer">
    <w:name w:val="footer"/>
    <w:basedOn w:val="Normal"/>
    <w:link w:val="FooterChar"/>
    <w:uiPriority w:val="99"/>
    <w:unhideWhenUsed/>
    <w:rsid w:val="00046372"/>
    <w:pPr>
      <w:tabs>
        <w:tab w:val="center" w:pos="4513"/>
        <w:tab w:val="right" w:pos="9026"/>
      </w:tabs>
      <w:spacing w:after="0"/>
    </w:pPr>
  </w:style>
  <w:style w:type="character" w:customStyle="1" w:styleId="FooterChar">
    <w:name w:val="Footer Char"/>
    <w:basedOn w:val="DefaultParagraphFont"/>
    <w:link w:val="Footer"/>
    <w:uiPriority w:val="99"/>
    <w:rsid w:val="00046372"/>
    <w:rPr>
      <w:rFonts w:ascii="Arial" w:hAnsi="Arial"/>
      <w:sz w:val="24"/>
    </w:rPr>
  </w:style>
  <w:style w:type="paragraph" w:styleId="BodyText2">
    <w:name w:val="Body Text 2"/>
    <w:basedOn w:val="Normal"/>
    <w:link w:val="BodyText2Char"/>
    <w:uiPriority w:val="99"/>
    <w:rsid w:val="004F203E"/>
    <w:pPr>
      <w:widowControl w:val="0"/>
      <w:overflowPunct w:val="0"/>
      <w:autoSpaceDE w:val="0"/>
      <w:autoSpaceDN w:val="0"/>
      <w:adjustRightInd w:val="0"/>
      <w:spacing w:before="100" w:after="100"/>
      <w:ind w:left="284" w:hanging="224"/>
      <w:textAlignment w:val="baseline"/>
    </w:pPr>
    <w:rPr>
      <w:rFonts w:eastAsia="Times New Roman" w:cs="Times New Roman"/>
      <w:szCs w:val="20"/>
    </w:rPr>
  </w:style>
  <w:style w:type="character" w:customStyle="1" w:styleId="BodyText2Char">
    <w:name w:val="Body Text 2 Char"/>
    <w:basedOn w:val="DefaultParagraphFont"/>
    <w:link w:val="BodyText2"/>
    <w:uiPriority w:val="99"/>
    <w:rsid w:val="004F203E"/>
    <w:rPr>
      <w:rFonts w:ascii="Arial" w:eastAsia="Times New Roman" w:hAnsi="Arial" w:cs="Times New Roman"/>
      <w:sz w:val="24"/>
      <w:szCs w:val="20"/>
    </w:rPr>
  </w:style>
  <w:style w:type="paragraph" w:customStyle="1" w:styleId="Tablesource">
    <w:name w:val="Table source"/>
    <w:basedOn w:val="Tabletext"/>
    <w:next w:val="Normal"/>
    <w:qFormat/>
    <w:rsid w:val="00E54BF6"/>
    <w:pPr>
      <w:spacing w:after="120"/>
    </w:pPr>
  </w:style>
  <w:style w:type="paragraph" w:styleId="NormalWeb">
    <w:name w:val="Normal (Web)"/>
    <w:basedOn w:val="Normal"/>
    <w:uiPriority w:val="99"/>
    <w:semiHidden/>
    <w:unhideWhenUsed/>
    <w:rsid w:val="000D6251"/>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948029">
      <w:bodyDiv w:val="1"/>
      <w:marLeft w:val="0"/>
      <w:marRight w:val="0"/>
      <w:marTop w:val="0"/>
      <w:marBottom w:val="0"/>
      <w:divBdr>
        <w:top w:val="none" w:sz="0" w:space="0" w:color="auto"/>
        <w:left w:val="none" w:sz="0" w:space="0" w:color="auto"/>
        <w:bottom w:val="none" w:sz="0" w:space="0" w:color="auto"/>
        <w:right w:val="none" w:sz="0" w:space="0" w:color="auto"/>
      </w:divBdr>
      <w:divsChild>
        <w:div w:id="1542785508">
          <w:marLeft w:val="0"/>
          <w:marRight w:val="0"/>
          <w:marTop w:val="0"/>
          <w:marBottom w:val="0"/>
          <w:divBdr>
            <w:top w:val="none" w:sz="0" w:space="0" w:color="auto"/>
            <w:left w:val="none" w:sz="0" w:space="0" w:color="auto"/>
            <w:bottom w:val="none" w:sz="0" w:space="0" w:color="auto"/>
            <w:right w:val="none" w:sz="0" w:space="0" w:color="auto"/>
          </w:divBdr>
          <w:divsChild>
            <w:div w:id="1859193899">
              <w:marLeft w:val="0"/>
              <w:marRight w:val="0"/>
              <w:marTop w:val="0"/>
              <w:marBottom w:val="0"/>
              <w:divBdr>
                <w:top w:val="none" w:sz="0" w:space="0" w:color="auto"/>
                <w:left w:val="none" w:sz="0" w:space="0" w:color="auto"/>
                <w:bottom w:val="none" w:sz="0" w:space="0" w:color="auto"/>
                <w:right w:val="none" w:sz="0" w:space="0" w:color="auto"/>
              </w:divBdr>
              <w:divsChild>
                <w:div w:id="379942543">
                  <w:marLeft w:val="0"/>
                  <w:marRight w:val="0"/>
                  <w:marTop w:val="0"/>
                  <w:marBottom w:val="0"/>
                  <w:divBdr>
                    <w:top w:val="none" w:sz="0" w:space="0" w:color="auto"/>
                    <w:left w:val="none" w:sz="0" w:space="0" w:color="auto"/>
                    <w:bottom w:val="none" w:sz="0" w:space="0" w:color="auto"/>
                    <w:right w:val="none" w:sz="0" w:space="0" w:color="auto"/>
                  </w:divBdr>
                  <w:divsChild>
                    <w:div w:id="177500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813062">
      <w:bodyDiv w:val="1"/>
      <w:marLeft w:val="0"/>
      <w:marRight w:val="0"/>
      <w:marTop w:val="0"/>
      <w:marBottom w:val="0"/>
      <w:divBdr>
        <w:top w:val="none" w:sz="0" w:space="0" w:color="auto"/>
        <w:left w:val="none" w:sz="0" w:space="0" w:color="auto"/>
        <w:bottom w:val="none" w:sz="0" w:space="0" w:color="auto"/>
        <w:right w:val="none" w:sz="0" w:space="0" w:color="auto"/>
      </w:divBdr>
      <w:divsChild>
        <w:div w:id="1285189691">
          <w:marLeft w:val="0"/>
          <w:marRight w:val="0"/>
          <w:marTop w:val="0"/>
          <w:marBottom w:val="0"/>
          <w:divBdr>
            <w:top w:val="none" w:sz="0" w:space="0" w:color="auto"/>
            <w:left w:val="none" w:sz="0" w:space="0" w:color="auto"/>
            <w:bottom w:val="none" w:sz="0" w:space="0" w:color="auto"/>
            <w:right w:val="none" w:sz="0" w:space="0" w:color="auto"/>
          </w:divBdr>
          <w:divsChild>
            <w:div w:id="977031336">
              <w:marLeft w:val="0"/>
              <w:marRight w:val="0"/>
              <w:marTop w:val="0"/>
              <w:marBottom w:val="0"/>
              <w:divBdr>
                <w:top w:val="none" w:sz="0" w:space="0" w:color="auto"/>
                <w:left w:val="none" w:sz="0" w:space="0" w:color="auto"/>
                <w:bottom w:val="none" w:sz="0" w:space="0" w:color="auto"/>
                <w:right w:val="none" w:sz="0" w:space="0" w:color="auto"/>
              </w:divBdr>
              <w:divsChild>
                <w:div w:id="1123890518">
                  <w:marLeft w:val="0"/>
                  <w:marRight w:val="0"/>
                  <w:marTop w:val="0"/>
                  <w:marBottom w:val="0"/>
                  <w:divBdr>
                    <w:top w:val="none" w:sz="0" w:space="0" w:color="auto"/>
                    <w:left w:val="none" w:sz="0" w:space="0" w:color="auto"/>
                    <w:bottom w:val="none" w:sz="0" w:space="0" w:color="auto"/>
                    <w:right w:val="none" w:sz="0" w:space="0" w:color="auto"/>
                  </w:divBdr>
                  <w:divsChild>
                    <w:div w:id="5940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17928">
      <w:bodyDiv w:val="1"/>
      <w:marLeft w:val="0"/>
      <w:marRight w:val="0"/>
      <w:marTop w:val="0"/>
      <w:marBottom w:val="0"/>
      <w:divBdr>
        <w:top w:val="none" w:sz="0" w:space="0" w:color="auto"/>
        <w:left w:val="none" w:sz="0" w:space="0" w:color="auto"/>
        <w:bottom w:val="none" w:sz="0" w:space="0" w:color="auto"/>
        <w:right w:val="none" w:sz="0" w:space="0" w:color="auto"/>
      </w:divBdr>
      <w:divsChild>
        <w:div w:id="1682199359">
          <w:marLeft w:val="0"/>
          <w:marRight w:val="0"/>
          <w:marTop w:val="0"/>
          <w:marBottom w:val="0"/>
          <w:divBdr>
            <w:top w:val="none" w:sz="0" w:space="0" w:color="auto"/>
            <w:left w:val="none" w:sz="0" w:space="0" w:color="auto"/>
            <w:bottom w:val="none" w:sz="0" w:space="0" w:color="auto"/>
            <w:right w:val="none" w:sz="0" w:space="0" w:color="auto"/>
          </w:divBdr>
          <w:divsChild>
            <w:div w:id="1858694695">
              <w:marLeft w:val="0"/>
              <w:marRight w:val="0"/>
              <w:marTop w:val="0"/>
              <w:marBottom w:val="0"/>
              <w:divBdr>
                <w:top w:val="none" w:sz="0" w:space="0" w:color="auto"/>
                <w:left w:val="none" w:sz="0" w:space="0" w:color="auto"/>
                <w:bottom w:val="none" w:sz="0" w:space="0" w:color="auto"/>
                <w:right w:val="none" w:sz="0" w:space="0" w:color="auto"/>
              </w:divBdr>
              <w:divsChild>
                <w:div w:id="1442341461">
                  <w:marLeft w:val="0"/>
                  <w:marRight w:val="0"/>
                  <w:marTop w:val="0"/>
                  <w:marBottom w:val="0"/>
                  <w:divBdr>
                    <w:top w:val="none" w:sz="0" w:space="0" w:color="auto"/>
                    <w:left w:val="none" w:sz="0" w:space="0" w:color="auto"/>
                    <w:bottom w:val="none" w:sz="0" w:space="0" w:color="auto"/>
                    <w:right w:val="none" w:sz="0" w:space="0" w:color="auto"/>
                  </w:divBdr>
                  <w:divsChild>
                    <w:div w:id="407726773">
                      <w:marLeft w:val="0"/>
                      <w:marRight w:val="0"/>
                      <w:marTop w:val="0"/>
                      <w:marBottom w:val="0"/>
                      <w:divBdr>
                        <w:top w:val="none" w:sz="0" w:space="0" w:color="auto"/>
                        <w:left w:val="none" w:sz="0" w:space="0" w:color="auto"/>
                        <w:bottom w:val="none" w:sz="0" w:space="0" w:color="auto"/>
                        <w:right w:val="none" w:sz="0" w:space="0" w:color="auto"/>
                      </w:divBdr>
                      <w:divsChild>
                        <w:div w:id="141350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983891">
      <w:bodyDiv w:val="1"/>
      <w:marLeft w:val="0"/>
      <w:marRight w:val="0"/>
      <w:marTop w:val="0"/>
      <w:marBottom w:val="0"/>
      <w:divBdr>
        <w:top w:val="none" w:sz="0" w:space="0" w:color="auto"/>
        <w:left w:val="none" w:sz="0" w:space="0" w:color="auto"/>
        <w:bottom w:val="none" w:sz="0" w:space="0" w:color="auto"/>
        <w:right w:val="none" w:sz="0" w:space="0" w:color="auto"/>
      </w:divBdr>
      <w:divsChild>
        <w:div w:id="10836143">
          <w:marLeft w:val="150"/>
          <w:marRight w:val="150"/>
          <w:marTop w:val="100"/>
          <w:marBottom w:val="100"/>
          <w:divBdr>
            <w:top w:val="none" w:sz="0" w:space="0" w:color="auto"/>
            <w:left w:val="none" w:sz="0" w:space="0" w:color="auto"/>
            <w:bottom w:val="none" w:sz="0" w:space="0" w:color="auto"/>
            <w:right w:val="none" w:sz="0" w:space="0" w:color="auto"/>
          </w:divBdr>
          <w:divsChild>
            <w:div w:id="1813715286">
              <w:marLeft w:val="0"/>
              <w:marRight w:val="0"/>
              <w:marTop w:val="0"/>
              <w:marBottom w:val="0"/>
              <w:divBdr>
                <w:top w:val="none" w:sz="0" w:space="0" w:color="auto"/>
                <w:left w:val="none" w:sz="0" w:space="0" w:color="auto"/>
                <w:bottom w:val="none" w:sz="0" w:space="0" w:color="auto"/>
                <w:right w:val="none" w:sz="0" w:space="0" w:color="auto"/>
              </w:divBdr>
              <w:divsChild>
                <w:div w:id="74718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351030">
      <w:bodyDiv w:val="1"/>
      <w:marLeft w:val="0"/>
      <w:marRight w:val="0"/>
      <w:marTop w:val="0"/>
      <w:marBottom w:val="0"/>
      <w:divBdr>
        <w:top w:val="none" w:sz="0" w:space="0" w:color="auto"/>
        <w:left w:val="none" w:sz="0" w:space="0" w:color="auto"/>
        <w:bottom w:val="none" w:sz="0" w:space="0" w:color="auto"/>
        <w:right w:val="none" w:sz="0" w:space="0" w:color="auto"/>
      </w:divBdr>
      <w:divsChild>
        <w:div w:id="1963266702">
          <w:marLeft w:val="150"/>
          <w:marRight w:val="150"/>
          <w:marTop w:val="100"/>
          <w:marBottom w:val="100"/>
          <w:divBdr>
            <w:top w:val="none" w:sz="0" w:space="0" w:color="auto"/>
            <w:left w:val="none" w:sz="0" w:space="0" w:color="auto"/>
            <w:bottom w:val="none" w:sz="0" w:space="0" w:color="auto"/>
            <w:right w:val="none" w:sz="0" w:space="0" w:color="auto"/>
          </w:divBdr>
          <w:divsChild>
            <w:div w:id="1627351707">
              <w:marLeft w:val="0"/>
              <w:marRight w:val="0"/>
              <w:marTop w:val="0"/>
              <w:marBottom w:val="0"/>
              <w:divBdr>
                <w:top w:val="none" w:sz="0" w:space="0" w:color="auto"/>
                <w:left w:val="none" w:sz="0" w:space="0" w:color="auto"/>
                <w:bottom w:val="none" w:sz="0" w:space="0" w:color="auto"/>
                <w:right w:val="none" w:sz="0" w:space="0" w:color="auto"/>
              </w:divBdr>
              <w:divsChild>
                <w:div w:id="1847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1621">
      <w:bodyDiv w:val="1"/>
      <w:marLeft w:val="0"/>
      <w:marRight w:val="0"/>
      <w:marTop w:val="0"/>
      <w:marBottom w:val="0"/>
      <w:divBdr>
        <w:top w:val="none" w:sz="0" w:space="0" w:color="auto"/>
        <w:left w:val="none" w:sz="0" w:space="0" w:color="auto"/>
        <w:bottom w:val="none" w:sz="0" w:space="0" w:color="auto"/>
        <w:right w:val="none" w:sz="0" w:space="0" w:color="auto"/>
      </w:divBdr>
      <w:divsChild>
        <w:div w:id="1957521855">
          <w:marLeft w:val="0"/>
          <w:marRight w:val="0"/>
          <w:marTop w:val="0"/>
          <w:marBottom w:val="0"/>
          <w:divBdr>
            <w:top w:val="none" w:sz="0" w:space="0" w:color="auto"/>
            <w:left w:val="none" w:sz="0" w:space="0" w:color="auto"/>
            <w:bottom w:val="none" w:sz="0" w:space="0" w:color="auto"/>
            <w:right w:val="none" w:sz="0" w:space="0" w:color="auto"/>
          </w:divBdr>
          <w:divsChild>
            <w:div w:id="236744571">
              <w:marLeft w:val="0"/>
              <w:marRight w:val="0"/>
              <w:marTop w:val="0"/>
              <w:marBottom w:val="0"/>
              <w:divBdr>
                <w:top w:val="none" w:sz="0" w:space="0" w:color="auto"/>
                <w:left w:val="none" w:sz="0" w:space="0" w:color="auto"/>
                <w:bottom w:val="none" w:sz="0" w:space="0" w:color="auto"/>
                <w:right w:val="none" w:sz="0" w:space="0" w:color="auto"/>
              </w:divBdr>
              <w:divsChild>
                <w:div w:id="1405639516">
                  <w:marLeft w:val="0"/>
                  <w:marRight w:val="0"/>
                  <w:marTop w:val="0"/>
                  <w:marBottom w:val="0"/>
                  <w:divBdr>
                    <w:top w:val="none" w:sz="0" w:space="0" w:color="auto"/>
                    <w:left w:val="none" w:sz="0" w:space="0" w:color="auto"/>
                    <w:bottom w:val="none" w:sz="0" w:space="0" w:color="auto"/>
                    <w:right w:val="none" w:sz="0" w:space="0" w:color="auto"/>
                  </w:divBdr>
                  <w:divsChild>
                    <w:div w:id="866875326">
                      <w:marLeft w:val="150"/>
                      <w:marRight w:val="150"/>
                      <w:marTop w:val="0"/>
                      <w:marBottom w:val="0"/>
                      <w:divBdr>
                        <w:top w:val="none" w:sz="0" w:space="0" w:color="auto"/>
                        <w:left w:val="none" w:sz="0" w:space="0" w:color="auto"/>
                        <w:bottom w:val="none" w:sz="0" w:space="0" w:color="auto"/>
                        <w:right w:val="none" w:sz="0" w:space="0" w:color="auto"/>
                      </w:divBdr>
                      <w:divsChild>
                        <w:div w:id="1283271971">
                          <w:marLeft w:val="0"/>
                          <w:marRight w:val="0"/>
                          <w:marTop w:val="0"/>
                          <w:marBottom w:val="0"/>
                          <w:divBdr>
                            <w:top w:val="none" w:sz="0" w:space="0" w:color="auto"/>
                            <w:left w:val="none" w:sz="0" w:space="0" w:color="auto"/>
                            <w:bottom w:val="none" w:sz="0" w:space="0" w:color="auto"/>
                            <w:right w:val="none" w:sz="0" w:space="0" w:color="auto"/>
                          </w:divBdr>
                          <w:divsChild>
                            <w:div w:id="1709406569">
                              <w:marLeft w:val="0"/>
                              <w:marRight w:val="0"/>
                              <w:marTop w:val="0"/>
                              <w:marBottom w:val="240"/>
                              <w:divBdr>
                                <w:top w:val="none" w:sz="0" w:space="0" w:color="auto"/>
                                <w:left w:val="none" w:sz="0" w:space="0" w:color="auto"/>
                                <w:bottom w:val="none" w:sz="0" w:space="0" w:color="auto"/>
                                <w:right w:val="none" w:sz="0" w:space="0" w:color="auto"/>
                              </w:divBdr>
                              <w:divsChild>
                                <w:div w:id="1358698213">
                                  <w:marLeft w:val="0"/>
                                  <w:marRight w:val="0"/>
                                  <w:marTop w:val="0"/>
                                  <w:marBottom w:val="0"/>
                                  <w:divBdr>
                                    <w:top w:val="none" w:sz="0" w:space="0" w:color="auto"/>
                                    <w:left w:val="none" w:sz="0" w:space="0" w:color="auto"/>
                                    <w:bottom w:val="none" w:sz="0" w:space="0" w:color="auto"/>
                                    <w:right w:val="none" w:sz="0" w:space="0" w:color="auto"/>
                                  </w:divBdr>
                                  <w:divsChild>
                                    <w:div w:id="421029667">
                                      <w:marLeft w:val="0"/>
                                      <w:marRight w:val="0"/>
                                      <w:marTop w:val="0"/>
                                      <w:marBottom w:val="0"/>
                                      <w:divBdr>
                                        <w:top w:val="none" w:sz="0" w:space="0" w:color="auto"/>
                                        <w:left w:val="none" w:sz="0" w:space="0" w:color="auto"/>
                                        <w:bottom w:val="none" w:sz="0" w:space="0" w:color="auto"/>
                                        <w:right w:val="none" w:sz="0" w:space="0" w:color="auto"/>
                                      </w:divBdr>
                                      <w:divsChild>
                                        <w:div w:id="1924144107">
                                          <w:marLeft w:val="0"/>
                                          <w:marRight w:val="0"/>
                                          <w:marTop w:val="0"/>
                                          <w:marBottom w:val="0"/>
                                          <w:divBdr>
                                            <w:top w:val="none" w:sz="0" w:space="0" w:color="auto"/>
                                            <w:left w:val="none" w:sz="0" w:space="0" w:color="auto"/>
                                            <w:bottom w:val="none" w:sz="0" w:space="0" w:color="auto"/>
                                            <w:right w:val="none" w:sz="0" w:space="0" w:color="auto"/>
                                          </w:divBdr>
                                          <w:divsChild>
                                            <w:div w:id="1283731689">
                                              <w:marLeft w:val="0"/>
                                              <w:marRight w:val="0"/>
                                              <w:marTop w:val="0"/>
                                              <w:marBottom w:val="0"/>
                                              <w:divBdr>
                                                <w:top w:val="none" w:sz="0" w:space="0" w:color="auto"/>
                                                <w:left w:val="none" w:sz="0" w:space="0" w:color="auto"/>
                                                <w:bottom w:val="none" w:sz="0" w:space="0" w:color="auto"/>
                                                <w:right w:val="none" w:sz="0" w:space="0" w:color="auto"/>
                                              </w:divBdr>
                                              <w:divsChild>
                                                <w:div w:id="624897353">
                                                  <w:marLeft w:val="0"/>
                                                  <w:marRight w:val="0"/>
                                                  <w:marTop w:val="0"/>
                                                  <w:marBottom w:val="0"/>
                                                  <w:divBdr>
                                                    <w:top w:val="none" w:sz="0" w:space="0" w:color="auto"/>
                                                    <w:left w:val="none" w:sz="0" w:space="0" w:color="auto"/>
                                                    <w:bottom w:val="none" w:sz="0" w:space="0" w:color="auto"/>
                                                    <w:right w:val="none" w:sz="0" w:space="0" w:color="auto"/>
                                                  </w:divBdr>
                                                  <w:divsChild>
                                                    <w:div w:id="164465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9638125">
      <w:bodyDiv w:val="1"/>
      <w:marLeft w:val="0"/>
      <w:marRight w:val="0"/>
      <w:marTop w:val="0"/>
      <w:marBottom w:val="0"/>
      <w:divBdr>
        <w:top w:val="none" w:sz="0" w:space="0" w:color="auto"/>
        <w:left w:val="none" w:sz="0" w:space="0" w:color="auto"/>
        <w:bottom w:val="none" w:sz="0" w:space="0" w:color="auto"/>
        <w:right w:val="none" w:sz="0" w:space="0" w:color="auto"/>
      </w:divBdr>
      <w:divsChild>
        <w:div w:id="732318177">
          <w:marLeft w:val="0"/>
          <w:marRight w:val="0"/>
          <w:marTop w:val="0"/>
          <w:marBottom w:val="0"/>
          <w:divBdr>
            <w:top w:val="none" w:sz="0" w:space="0" w:color="auto"/>
            <w:left w:val="none" w:sz="0" w:space="0" w:color="auto"/>
            <w:bottom w:val="none" w:sz="0" w:space="0" w:color="auto"/>
            <w:right w:val="none" w:sz="0" w:space="0" w:color="auto"/>
          </w:divBdr>
          <w:divsChild>
            <w:div w:id="1207598206">
              <w:marLeft w:val="0"/>
              <w:marRight w:val="0"/>
              <w:marTop w:val="0"/>
              <w:marBottom w:val="0"/>
              <w:divBdr>
                <w:top w:val="none" w:sz="0" w:space="0" w:color="auto"/>
                <w:left w:val="none" w:sz="0" w:space="0" w:color="auto"/>
                <w:bottom w:val="none" w:sz="0" w:space="0" w:color="auto"/>
                <w:right w:val="none" w:sz="0" w:space="0" w:color="auto"/>
              </w:divBdr>
              <w:divsChild>
                <w:div w:id="1814519800">
                  <w:marLeft w:val="0"/>
                  <w:marRight w:val="0"/>
                  <w:marTop w:val="0"/>
                  <w:marBottom w:val="0"/>
                  <w:divBdr>
                    <w:top w:val="none" w:sz="0" w:space="0" w:color="auto"/>
                    <w:left w:val="none" w:sz="0" w:space="0" w:color="auto"/>
                    <w:bottom w:val="none" w:sz="0" w:space="0" w:color="auto"/>
                    <w:right w:val="none" w:sz="0" w:space="0" w:color="auto"/>
                  </w:divBdr>
                  <w:divsChild>
                    <w:div w:id="178397062">
                      <w:marLeft w:val="0"/>
                      <w:marRight w:val="0"/>
                      <w:marTop w:val="0"/>
                      <w:marBottom w:val="0"/>
                      <w:divBdr>
                        <w:top w:val="none" w:sz="0" w:space="0" w:color="auto"/>
                        <w:left w:val="none" w:sz="0" w:space="0" w:color="auto"/>
                        <w:bottom w:val="none" w:sz="0" w:space="0" w:color="auto"/>
                        <w:right w:val="none" w:sz="0" w:space="0" w:color="auto"/>
                      </w:divBdr>
                      <w:divsChild>
                        <w:div w:id="203418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798441">
      <w:bodyDiv w:val="1"/>
      <w:marLeft w:val="0"/>
      <w:marRight w:val="0"/>
      <w:marTop w:val="0"/>
      <w:marBottom w:val="0"/>
      <w:divBdr>
        <w:top w:val="none" w:sz="0" w:space="0" w:color="auto"/>
        <w:left w:val="none" w:sz="0" w:space="0" w:color="auto"/>
        <w:bottom w:val="none" w:sz="0" w:space="0" w:color="auto"/>
        <w:right w:val="none" w:sz="0" w:space="0" w:color="auto"/>
      </w:divBdr>
      <w:divsChild>
        <w:div w:id="412557044">
          <w:marLeft w:val="0"/>
          <w:marRight w:val="0"/>
          <w:marTop w:val="0"/>
          <w:marBottom w:val="0"/>
          <w:divBdr>
            <w:top w:val="none" w:sz="0" w:space="0" w:color="auto"/>
            <w:left w:val="none" w:sz="0" w:space="0" w:color="auto"/>
            <w:bottom w:val="none" w:sz="0" w:space="0" w:color="auto"/>
            <w:right w:val="none" w:sz="0" w:space="0" w:color="auto"/>
          </w:divBdr>
          <w:divsChild>
            <w:div w:id="665089883">
              <w:marLeft w:val="0"/>
              <w:marRight w:val="0"/>
              <w:marTop w:val="0"/>
              <w:marBottom w:val="0"/>
              <w:divBdr>
                <w:top w:val="none" w:sz="0" w:space="0" w:color="auto"/>
                <w:left w:val="none" w:sz="0" w:space="0" w:color="auto"/>
                <w:bottom w:val="none" w:sz="0" w:space="0" w:color="auto"/>
                <w:right w:val="none" w:sz="0" w:space="0" w:color="auto"/>
              </w:divBdr>
              <w:divsChild>
                <w:div w:id="276060381">
                  <w:marLeft w:val="0"/>
                  <w:marRight w:val="0"/>
                  <w:marTop w:val="0"/>
                  <w:marBottom w:val="0"/>
                  <w:divBdr>
                    <w:top w:val="none" w:sz="0" w:space="0" w:color="auto"/>
                    <w:left w:val="none" w:sz="0" w:space="0" w:color="auto"/>
                    <w:bottom w:val="none" w:sz="0" w:space="0" w:color="auto"/>
                    <w:right w:val="none" w:sz="0" w:space="0" w:color="auto"/>
                  </w:divBdr>
                  <w:divsChild>
                    <w:div w:id="1996910337">
                      <w:marLeft w:val="150"/>
                      <w:marRight w:val="150"/>
                      <w:marTop w:val="0"/>
                      <w:marBottom w:val="0"/>
                      <w:divBdr>
                        <w:top w:val="none" w:sz="0" w:space="0" w:color="auto"/>
                        <w:left w:val="none" w:sz="0" w:space="0" w:color="auto"/>
                        <w:bottom w:val="none" w:sz="0" w:space="0" w:color="auto"/>
                        <w:right w:val="none" w:sz="0" w:space="0" w:color="auto"/>
                      </w:divBdr>
                      <w:divsChild>
                        <w:div w:id="557477976">
                          <w:marLeft w:val="0"/>
                          <w:marRight w:val="0"/>
                          <w:marTop w:val="0"/>
                          <w:marBottom w:val="0"/>
                          <w:divBdr>
                            <w:top w:val="none" w:sz="0" w:space="0" w:color="auto"/>
                            <w:left w:val="none" w:sz="0" w:space="0" w:color="auto"/>
                            <w:bottom w:val="none" w:sz="0" w:space="0" w:color="auto"/>
                            <w:right w:val="none" w:sz="0" w:space="0" w:color="auto"/>
                          </w:divBdr>
                          <w:divsChild>
                            <w:div w:id="1130048342">
                              <w:marLeft w:val="0"/>
                              <w:marRight w:val="0"/>
                              <w:marTop w:val="0"/>
                              <w:marBottom w:val="240"/>
                              <w:divBdr>
                                <w:top w:val="none" w:sz="0" w:space="0" w:color="auto"/>
                                <w:left w:val="none" w:sz="0" w:space="0" w:color="auto"/>
                                <w:bottom w:val="none" w:sz="0" w:space="0" w:color="auto"/>
                                <w:right w:val="none" w:sz="0" w:space="0" w:color="auto"/>
                              </w:divBdr>
                              <w:divsChild>
                                <w:div w:id="1248535820">
                                  <w:marLeft w:val="0"/>
                                  <w:marRight w:val="0"/>
                                  <w:marTop w:val="0"/>
                                  <w:marBottom w:val="0"/>
                                  <w:divBdr>
                                    <w:top w:val="none" w:sz="0" w:space="0" w:color="auto"/>
                                    <w:left w:val="none" w:sz="0" w:space="0" w:color="auto"/>
                                    <w:bottom w:val="none" w:sz="0" w:space="0" w:color="auto"/>
                                    <w:right w:val="none" w:sz="0" w:space="0" w:color="auto"/>
                                  </w:divBdr>
                                  <w:divsChild>
                                    <w:div w:id="1568347249">
                                      <w:marLeft w:val="0"/>
                                      <w:marRight w:val="0"/>
                                      <w:marTop w:val="0"/>
                                      <w:marBottom w:val="0"/>
                                      <w:divBdr>
                                        <w:top w:val="none" w:sz="0" w:space="0" w:color="auto"/>
                                        <w:left w:val="none" w:sz="0" w:space="0" w:color="auto"/>
                                        <w:bottom w:val="none" w:sz="0" w:space="0" w:color="auto"/>
                                        <w:right w:val="none" w:sz="0" w:space="0" w:color="auto"/>
                                      </w:divBdr>
                                      <w:divsChild>
                                        <w:div w:id="1535802199">
                                          <w:marLeft w:val="0"/>
                                          <w:marRight w:val="0"/>
                                          <w:marTop w:val="0"/>
                                          <w:marBottom w:val="0"/>
                                          <w:divBdr>
                                            <w:top w:val="none" w:sz="0" w:space="0" w:color="auto"/>
                                            <w:left w:val="none" w:sz="0" w:space="0" w:color="auto"/>
                                            <w:bottom w:val="none" w:sz="0" w:space="0" w:color="auto"/>
                                            <w:right w:val="none" w:sz="0" w:space="0" w:color="auto"/>
                                          </w:divBdr>
                                          <w:divsChild>
                                            <w:div w:id="963344708">
                                              <w:marLeft w:val="0"/>
                                              <w:marRight w:val="0"/>
                                              <w:marTop w:val="0"/>
                                              <w:marBottom w:val="0"/>
                                              <w:divBdr>
                                                <w:top w:val="none" w:sz="0" w:space="0" w:color="auto"/>
                                                <w:left w:val="none" w:sz="0" w:space="0" w:color="auto"/>
                                                <w:bottom w:val="none" w:sz="0" w:space="0" w:color="auto"/>
                                                <w:right w:val="none" w:sz="0" w:space="0" w:color="auto"/>
                                              </w:divBdr>
                                              <w:divsChild>
                                                <w:div w:id="344136614">
                                                  <w:marLeft w:val="0"/>
                                                  <w:marRight w:val="0"/>
                                                  <w:marTop w:val="0"/>
                                                  <w:marBottom w:val="0"/>
                                                  <w:divBdr>
                                                    <w:top w:val="none" w:sz="0" w:space="0" w:color="auto"/>
                                                    <w:left w:val="none" w:sz="0" w:space="0" w:color="auto"/>
                                                    <w:bottom w:val="none" w:sz="0" w:space="0" w:color="auto"/>
                                                    <w:right w:val="none" w:sz="0" w:space="0" w:color="auto"/>
                                                  </w:divBdr>
                                                  <w:divsChild>
                                                    <w:div w:id="162260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pipwe.tas.gov.au/Documents/Information-booklet-web.pdf" TargetMode="External"/><Relationship Id="rId18" Type="http://schemas.openxmlformats.org/officeDocument/2006/relationships/hyperlink" Target="https://www.aboriginalheritage.tas.gov.au/cultural-heritage/aboriginal-diet" TargetMode="External"/><Relationship Id="rId26" Type="http://schemas.openxmlformats.org/officeDocument/2006/relationships/hyperlink" Target="https://www.environment.gov.au/biodiversity/invasive-species/publications/arrive-clean-leave-clean" TargetMode="External"/><Relationship Id="rId39" Type="http://schemas.openxmlformats.org/officeDocument/2006/relationships/hyperlink" Target="http://www.seraustralasia.com/pages/standards.html" TargetMode="External"/><Relationship Id="rId3" Type="http://schemas.openxmlformats.org/officeDocument/2006/relationships/settings" Target="settings.xml"/><Relationship Id="rId21" Type="http://schemas.openxmlformats.org/officeDocument/2006/relationships/hyperlink" Target="http://www.anbg.gov.au/gardens/education/programs/pdfs/aboriginal_plant_use_and_technology.pdf" TargetMode="External"/><Relationship Id="rId34" Type="http://schemas.openxmlformats.org/officeDocument/2006/relationships/hyperlink" Target="https://dpipwe.tas.gov.au/conservation/conservation-on-private-land/bush-information-management/tasmanian-bushcare-toolkit"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https://dpipwe.tas.gov.au/conservation/conservation-on-private-land/bush-information-management/tasmanian-bushcare-toolkit" TargetMode="External"/><Relationship Id="rId17" Type="http://schemas.openxmlformats.org/officeDocument/2006/relationships/hyperlink" Target="http://www.environment.gov.au/cgi-bin/sprat/public/publicshowcommunity.pl?id=77&amp;status=Critically+Endangered" TargetMode="External"/><Relationship Id="rId25" Type="http://schemas.openxmlformats.org/officeDocument/2006/relationships/hyperlink" Target="http://intspat01.ris.environment.gov.au/fed/catalog/search/resource/details.page?uuid=%7BBC052189-DBEC-49C0-B735-71818899DA01%7D" TargetMode="External"/><Relationship Id="rId33" Type="http://schemas.openxmlformats.org/officeDocument/2006/relationships/hyperlink" Target="http://www.fpa.tas.gov.au/__data/assets/pdf_file/0005/163418/State_of_the_Forests_Report_2017_-_erratum_Feb_2018.pdf" TargetMode="External"/><Relationship Id="rId38" Type="http://schemas.openxmlformats.org/officeDocument/2006/relationships/hyperlink" Target="http://www.potn.com.au/edible_plants.html" TargetMode="External"/><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environment.gov.au/cgi-bin/sprat/public/publicshowcommunity.pl?id=74&amp;status=Critically+Endangered" TargetMode="External"/><Relationship Id="rId20" Type="http://schemas.openxmlformats.org/officeDocument/2006/relationships/hyperlink" Target="http://aiatsis.gov.au/explore/articles/aiatsis-map-indigenous-australia" TargetMode="External"/><Relationship Id="rId29" Type="http://schemas.openxmlformats.org/officeDocument/2006/relationships/hyperlink" Target="https://dpipwe.tas.gov.au/conservation/development-planning-conservation-assessment/planning-tools/tasmanian-reserve-estate-spatial-layer" TargetMode="External"/><Relationship Id="rId41" Type="http://schemas.openxmlformats.org/officeDocument/2006/relationships/hyperlink" Target="http://www.thelaw.tas.gov.au/linkto.w3p;doc_id=63++2002+AT@EN+CURRE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pipwe.tas.gov.au/Documents/threatfauna.pdf" TargetMode="External"/><Relationship Id="rId24" Type="http://schemas.openxmlformats.org/officeDocument/2006/relationships/hyperlink" Target="https://dpipwe.tas.gov.au/Documents/threatfauna.pdf" TargetMode="External"/><Relationship Id="rId32" Type="http://schemas.openxmlformats.org/officeDocument/2006/relationships/hyperlink" Target="https://www.fpa.tas.gov.au/__data/assets/pdf_file/0019/111493/Background_document_2_for_TFA_2012.pdf" TargetMode="External"/><Relationship Id="rId37" Type="http://schemas.openxmlformats.org/officeDocument/2006/relationships/hyperlink" Target="http://eprints.utas.edu.au/16495/" TargetMode="External"/><Relationship Id="rId40" Type="http://schemas.openxmlformats.org/officeDocument/2006/relationships/hyperlink" Target="http://www.ten.org.au/native-plants" TargetMode="Externa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environment.gov.au/cgi-bin/sprat/public/publicshowcommunity.pl?id=40&amp;status=Vulnerable" TargetMode="External"/><Relationship Id="rId23" Type="http://schemas.openxmlformats.org/officeDocument/2006/relationships/hyperlink" Target="https://www.iucn.org/es/content/guidelines-application-iucn-red-list-ecosystems-categories-and-criteria" TargetMode="External"/><Relationship Id="rId28" Type="http://schemas.openxmlformats.org/officeDocument/2006/relationships/hyperlink" Target="https://dpipwe.tas.gov.au/Documents/All_Wet_forest_benchmarks_R3.pdf" TargetMode="External"/><Relationship Id="rId36" Type="http://schemas.openxmlformats.org/officeDocument/2006/relationships/hyperlink" Target="https://eprints.utas.edu.au/13753/1/1991-mesibov-ecology-and-conservation.pdf" TargetMode="External"/><Relationship Id="rId49" Type="http://schemas.openxmlformats.org/officeDocument/2006/relationships/theme" Target="theme/theme1.xml"/><Relationship Id="rId10" Type="http://schemas.openxmlformats.org/officeDocument/2006/relationships/hyperlink" Target="https://dpipwe.tas.gov.au/Documents/Nature-Conservation-Report-02-02.pdf" TargetMode="External"/><Relationship Id="rId19" Type="http://schemas.openxmlformats.org/officeDocument/2006/relationships/hyperlink" Target="http://www.abs.gov.au/ausstats/abs@.nsf/7d12b0f6763c78caca257061001cc588/3f2a34f97b0d1729ca256c32002417b6!OpenDocument" TargetMode="External"/><Relationship Id="rId31" Type="http://schemas.openxmlformats.org/officeDocument/2006/relationships/hyperlink" Target="https://www.fpa.tas.gov.au/fpa_services/planning_assistance/advisory_planning_tools/forest_botany_manual"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nvironment.gov.au/cgi-bin/sprat/public/publicgetkeythreats.pl" TargetMode="External"/><Relationship Id="rId14" Type="http://schemas.openxmlformats.org/officeDocument/2006/relationships/hyperlink" Target="http://www.environment.gov.au/cgi-bin/sprat/public/publicshowcommunity.pl?id=29&amp;status=Endangered" TargetMode="External"/><Relationship Id="rId22" Type="http://schemas.openxmlformats.org/officeDocument/2006/relationships/hyperlink" Target="https://dpipwe.tas.gov.au/Documents/Nature-Conservation-Report-02-02.pdf" TargetMode="External"/><Relationship Id="rId27" Type="http://schemas.openxmlformats.org/officeDocument/2006/relationships/hyperlink" Target="http://dpipwe.tas.gov.au/Documents/Information-booklet-web.pdf" TargetMode="External"/><Relationship Id="rId30" Type="http://schemas.openxmlformats.org/officeDocument/2006/relationships/hyperlink" Target="https://dpipwe.tas.gov.au/Documents/25.%20Eucalyptus%20viminalis%20wet%20forest.pdf" TargetMode="External"/><Relationship Id="rId35" Type="http://schemas.openxmlformats.org/officeDocument/2006/relationships/hyperlink" Target="http://dpipwe.tas.gov.au/conservation/flora-of-tasmania/from-forest-to-fjaeldmark-descriptions-of-tasmanias-vegetation"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image" Target="media/image2.jpg"/></Relationships>
</file>

<file path=word/_rels/footnotes.xml.rels><?xml version="1.0" encoding="UTF-8" standalone="yes"?>
<Relationships xmlns="http://schemas.openxmlformats.org/package/2006/relationships"><Relationship Id="rId3" Type="http://schemas.openxmlformats.org/officeDocument/2006/relationships/hyperlink" Target="https://dpipwe.tas.gov.au/conservation/threatened-species-and-communities/lists-of-threatened-species" TargetMode="External"/><Relationship Id="rId2" Type="http://schemas.openxmlformats.org/officeDocument/2006/relationships/hyperlink" Target="https://www.environment.gov.au/cgi-bin/sprat/public/sprat.pl" TargetMode="External"/><Relationship Id="rId1" Type="http://schemas.openxmlformats.org/officeDocument/2006/relationships/hyperlink" Target="http://www.seraustralasia.com/standards/cont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614FACE9.dotm</Template>
  <TotalTime>0</TotalTime>
  <Pages>42</Pages>
  <Words>15245</Words>
  <Characters>98490</Characters>
  <Application>Microsoft Office Word</Application>
  <DocSecurity>4</DocSecurity>
  <Lines>4690</Lines>
  <Paragraphs>997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Conservation Advice (incorporating listing advice) for the Tasmanian white gum (Eucalyptus viminalis) wet forest</dc:title>
  <dc:subject/>
  <dc:creator>Department of the Environment and Energy</dc:creator>
  <cp:keywords/>
  <dc:description/>
  <cp:lastModifiedBy>Durack, Bec</cp:lastModifiedBy>
  <cp:revision>2</cp:revision>
  <dcterms:created xsi:type="dcterms:W3CDTF">2019-11-18T02:45:00Z</dcterms:created>
  <dcterms:modified xsi:type="dcterms:W3CDTF">2019-11-18T02:45:00Z</dcterms:modified>
</cp:coreProperties>
</file>