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5B9" w:rsidRDefault="00D255B9" w:rsidP="00171C2D">
      <w:pPr>
        <w:pStyle w:val="Heading1"/>
        <w:jc w:val="center"/>
        <w:rPr>
          <w:color w:val="2C3C4C"/>
        </w:rPr>
      </w:pPr>
    </w:p>
    <w:p w:rsidR="008D6737" w:rsidRPr="008D6737" w:rsidRDefault="008D6737" w:rsidP="008D6737"/>
    <w:p w:rsidR="00D255B9" w:rsidRDefault="00D255B9" w:rsidP="00171C2D">
      <w:pPr>
        <w:pStyle w:val="Heading1"/>
        <w:jc w:val="center"/>
        <w:rPr>
          <w:color w:val="2C3C4C"/>
        </w:rPr>
      </w:pPr>
    </w:p>
    <w:p w:rsidR="008605BD" w:rsidRDefault="008605BD" w:rsidP="008605BD">
      <w:pPr>
        <w:pStyle w:val="Heading1"/>
        <w:jc w:val="center"/>
        <w:rPr>
          <w:color w:val="2C3C4C"/>
        </w:rPr>
      </w:pPr>
      <w:r>
        <w:rPr>
          <w:color w:val="2C3C4C"/>
        </w:rPr>
        <w:t xml:space="preserve">australian </w:t>
      </w:r>
      <w:r w:rsidR="009D1742">
        <w:rPr>
          <w:color w:val="2C3C4C"/>
        </w:rPr>
        <w:t>GOVERNMENT</w:t>
      </w:r>
    </w:p>
    <w:p w:rsidR="008605BD" w:rsidRPr="008605BD" w:rsidRDefault="009D1742" w:rsidP="008605BD">
      <w:pPr>
        <w:pStyle w:val="Heading1"/>
        <w:jc w:val="center"/>
        <w:rPr>
          <w:color w:val="2C3C4C"/>
        </w:rPr>
      </w:pPr>
      <w:r>
        <w:rPr>
          <w:color w:val="2C3C4C"/>
        </w:rPr>
        <w:t>Australian heritage strategy</w:t>
      </w:r>
    </w:p>
    <w:p w:rsidR="008605BD" w:rsidRPr="008605BD" w:rsidRDefault="008605BD" w:rsidP="008605BD"/>
    <w:p w:rsidR="003D32EC" w:rsidRPr="003D32EC" w:rsidRDefault="003D32EC" w:rsidP="003D32EC"/>
    <w:p w:rsidR="009634B9" w:rsidRPr="00537A7F" w:rsidRDefault="00537A7F" w:rsidP="00885656">
      <w:pPr>
        <w:pStyle w:val="Heading1"/>
        <w:jc w:val="center"/>
        <w:rPr>
          <w:color w:val="2C3C4C"/>
        </w:rPr>
      </w:pPr>
      <w:r w:rsidRPr="00537A7F">
        <w:rPr>
          <w:color w:val="2C3C4C"/>
        </w:rPr>
        <w:t xml:space="preserve">16 </w:t>
      </w:r>
      <w:r w:rsidR="009D1742" w:rsidRPr="00537A7F">
        <w:rPr>
          <w:color w:val="2C3C4C"/>
        </w:rPr>
        <w:t>june</w:t>
      </w:r>
      <w:r w:rsidR="00F13975" w:rsidRPr="00537A7F">
        <w:rPr>
          <w:color w:val="2C3C4C"/>
        </w:rPr>
        <w:t xml:space="preserve"> </w:t>
      </w:r>
      <w:r w:rsidR="00171C2D" w:rsidRPr="00537A7F">
        <w:rPr>
          <w:color w:val="2C3C4C"/>
        </w:rPr>
        <w:t>201</w:t>
      </w:r>
      <w:r w:rsidR="003960B3" w:rsidRPr="00537A7F">
        <w:rPr>
          <w:color w:val="2C3C4C"/>
        </w:rPr>
        <w:t>4</w:t>
      </w:r>
    </w:p>
    <w:p w:rsidR="009634B9" w:rsidRDefault="009634B9" w:rsidP="00322B43"/>
    <w:p w:rsidR="009634B9" w:rsidRDefault="009634B9" w:rsidP="00322B43"/>
    <w:p w:rsidR="009634B9" w:rsidRDefault="009634B9" w:rsidP="00322B43"/>
    <w:p w:rsidR="009634B9" w:rsidRDefault="009634B9" w:rsidP="00322B43"/>
    <w:p w:rsidR="009634B9" w:rsidRDefault="009634B9" w:rsidP="00322B43"/>
    <w:p w:rsidR="009634B9" w:rsidRDefault="009634B9" w:rsidP="00322B43"/>
    <w:p w:rsidR="009634B9" w:rsidRDefault="009634B9" w:rsidP="00322B43"/>
    <w:p w:rsidR="008D6737" w:rsidRDefault="008D6737" w:rsidP="00322B43"/>
    <w:p w:rsidR="008D6737" w:rsidRDefault="008D6737" w:rsidP="00322B43"/>
    <w:p w:rsidR="008D6737" w:rsidRDefault="008D6737" w:rsidP="00322B43"/>
    <w:p w:rsidR="00322B43" w:rsidRPr="008B3A85" w:rsidRDefault="00322B43" w:rsidP="00322B43">
      <w:pPr>
        <w:rPr>
          <w:color w:val="2C3C4C"/>
        </w:rPr>
      </w:pPr>
    </w:p>
    <w:p w:rsidR="008C56BA" w:rsidRPr="008C56BA" w:rsidRDefault="008C56BA" w:rsidP="008C56BA">
      <w:pPr>
        <w:sectPr w:rsidR="008C56BA" w:rsidRPr="008C56BA" w:rsidSect="004F3175">
          <w:headerReference w:type="default" r:id="rId7"/>
          <w:type w:val="continuous"/>
          <w:pgSz w:w="11906" w:h="16838"/>
          <w:pgMar w:top="1418" w:right="1418" w:bottom="1418" w:left="1701" w:header="709" w:footer="709" w:gutter="0"/>
          <w:cols w:space="708"/>
          <w:docGrid w:linePitch="360"/>
        </w:sectPr>
      </w:pPr>
    </w:p>
    <w:p w:rsidR="00857D71" w:rsidRPr="00A36A58" w:rsidRDefault="00D71505" w:rsidP="00424CD2">
      <w:pPr>
        <w:pStyle w:val="Heading2"/>
      </w:pPr>
      <w:r w:rsidRPr="00A36A58">
        <w:lastRenderedPageBreak/>
        <w:t xml:space="preserve">About </w:t>
      </w:r>
      <w:r w:rsidR="001E7050" w:rsidRPr="00A36A58">
        <w:t>T</w:t>
      </w:r>
      <w:r w:rsidRPr="00A36A58">
        <w:t>he AusIMM</w:t>
      </w:r>
    </w:p>
    <w:p w:rsidR="008F1307" w:rsidRPr="00A36A58" w:rsidRDefault="008F1307" w:rsidP="008F1307">
      <w:r w:rsidRPr="00A36A58">
        <w:t xml:space="preserve">The </w:t>
      </w:r>
      <w:bookmarkStart w:id="0" w:name="OLE_LINK1"/>
      <w:bookmarkStart w:id="1" w:name="OLE_LINK2"/>
      <w:r w:rsidRPr="00A36A58">
        <w:t xml:space="preserve">Australasian Institute of Mining and Metallurgy </w:t>
      </w:r>
      <w:bookmarkEnd w:id="0"/>
      <w:bookmarkEnd w:id="1"/>
      <w:r w:rsidRPr="00A36A58">
        <w:t>(The AusIMM) was formed in 1893 and is the leading org</w:t>
      </w:r>
      <w:r w:rsidR="005B58CF">
        <w:t>anisation representing over 13,5</w:t>
      </w:r>
      <w:r w:rsidRPr="00A36A58">
        <w:t>00 minerals sector professional</w:t>
      </w:r>
      <w:r w:rsidR="005B58CF">
        <w:t xml:space="preserve"> members</w:t>
      </w:r>
      <w:r w:rsidRPr="00A36A58">
        <w:t xml:space="preserve"> in the Australasian region, across industry, government and academia.</w:t>
      </w:r>
    </w:p>
    <w:p w:rsidR="008F1307" w:rsidRDefault="008F1307" w:rsidP="008F1307">
      <w:pPr>
        <w:spacing w:after="120"/>
        <w:rPr>
          <w:rFonts w:eastAsia="Times New Roman" w:cs="Arial"/>
          <w:szCs w:val="20"/>
          <w:lang w:val="en-US" w:eastAsia="en-AU"/>
        </w:rPr>
      </w:pPr>
      <w:r w:rsidRPr="00A36A58">
        <w:t xml:space="preserve">Our members include professionals from traditional disciplines such as mining </w:t>
      </w:r>
      <w:r w:rsidRPr="00A36A58">
        <w:rPr>
          <w:rFonts w:eastAsia="Times New Roman" w:cs="Arial"/>
          <w:szCs w:val="20"/>
          <w:lang w:val="en-US" w:eastAsia="en-AU"/>
        </w:rPr>
        <w:t>engineers, geoscientists and metallurgists, as well as from emerging disciplines such as business management, health and safety, social and environmental science.</w:t>
      </w:r>
    </w:p>
    <w:p w:rsidR="00001957" w:rsidRPr="00A36A58" w:rsidRDefault="00001957" w:rsidP="00001957">
      <w:pPr>
        <w:pStyle w:val="Heading2"/>
      </w:pPr>
      <w:r w:rsidRPr="00A36A58">
        <w:t>Submission</w:t>
      </w:r>
    </w:p>
    <w:p w:rsidR="009D1742" w:rsidRDefault="00003342" w:rsidP="00003342">
      <w:r w:rsidRPr="00A36A58">
        <w:t>This submission is in response to the invitation from the</w:t>
      </w:r>
      <w:r w:rsidR="009D1742">
        <w:t xml:space="preserve"> Australian Government</w:t>
      </w:r>
      <w:r w:rsidR="003C3BFF">
        <w:t xml:space="preserve"> seeking </w:t>
      </w:r>
      <w:r w:rsidR="009D1742">
        <w:t>feedback on the draft Australian Heritage Strategy</w:t>
      </w:r>
      <w:r w:rsidR="003C3BFF">
        <w: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5"/>
      </w:tblGrid>
      <w:tr w:rsidR="00B959CB" w:rsidTr="007E1AE6">
        <w:tc>
          <w:tcPr>
            <w:tcW w:w="9075" w:type="dxa"/>
            <w:tcBorders>
              <w:bottom w:val="single" w:sz="4" w:space="0" w:color="auto"/>
            </w:tcBorders>
          </w:tcPr>
          <w:p w:rsidR="00537A7F" w:rsidRPr="00537A7F" w:rsidRDefault="00537A7F" w:rsidP="008559B4">
            <w:pPr>
              <w:spacing w:before="200"/>
              <w:rPr>
                <w:rFonts w:cs="Arial"/>
                <w:b/>
                <w:u w:val="single"/>
              </w:rPr>
            </w:pPr>
            <w:r w:rsidRPr="00537A7F">
              <w:rPr>
                <w:rFonts w:cs="Arial"/>
                <w:b/>
                <w:u w:val="single"/>
              </w:rPr>
              <w:t>SUMMARY</w:t>
            </w:r>
          </w:p>
          <w:p w:rsidR="008559B4" w:rsidRDefault="008559B4" w:rsidP="008559B4">
            <w:pPr>
              <w:spacing w:before="200"/>
              <w:rPr>
                <w:rFonts w:cs="Arial"/>
              </w:rPr>
            </w:pPr>
            <w:r w:rsidRPr="00977AB5">
              <w:rPr>
                <w:rFonts w:cs="Arial"/>
              </w:rPr>
              <w:t>The AusIMM</w:t>
            </w:r>
            <w:r>
              <w:rPr>
                <w:rFonts w:cs="Arial"/>
              </w:rPr>
              <w:t xml:space="preserve"> commends the Australian Government for develop</w:t>
            </w:r>
            <w:r w:rsidR="00B0663F">
              <w:rPr>
                <w:rFonts w:cs="Arial"/>
              </w:rPr>
              <w:t>ing an</w:t>
            </w:r>
            <w:r w:rsidR="002C06EB">
              <w:rPr>
                <w:rFonts w:cs="Arial"/>
              </w:rPr>
              <w:t xml:space="preserve"> Australian Heritage Strategy.</w:t>
            </w:r>
          </w:p>
          <w:p w:rsidR="008559B4" w:rsidRDefault="00AA5620" w:rsidP="008559B4">
            <w:pPr>
              <w:spacing w:before="200"/>
              <w:rPr>
                <w:rFonts w:cs="Arial"/>
              </w:rPr>
            </w:pPr>
            <w:r>
              <w:rPr>
                <w:rFonts w:cs="Arial"/>
              </w:rPr>
              <w:t>The AusIMM agrees that h</w:t>
            </w:r>
            <w:r w:rsidR="008559B4">
              <w:rPr>
                <w:rFonts w:cs="Arial"/>
              </w:rPr>
              <w:t xml:space="preserve">eritage </w:t>
            </w:r>
            <w:r>
              <w:rPr>
                <w:rFonts w:cs="Arial"/>
              </w:rPr>
              <w:t>u</w:t>
            </w:r>
            <w:r w:rsidR="008559B4" w:rsidRPr="00977AB5">
              <w:rPr>
                <w:rFonts w:cs="Arial"/>
              </w:rPr>
              <w:t>nderpin</w:t>
            </w:r>
            <w:r>
              <w:rPr>
                <w:rFonts w:cs="Arial"/>
              </w:rPr>
              <w:t>s</w:t>
            </w:r>
            <w:r w:rsidR="008559B4" w:rsidRPr="00977AB5">
              <w:rPr>
                <w:rFonts w:cs="Arial"/>
              </w:rPr>
              <w:t xml:space="preserve"> our sense of place and national identity</w:t>
            </w:r>
            <w:r w:rsidR="008559B4">
              <w:rPr>
                <w:rFonts w:cs="Arial"/>
              </w:rPr>
              <w:t>, c</w:t>
            </w:r>
            <w:r w:rsidR="008559B4" w:rsidRPr="00977AB5">
              <w:rPr>
                <w:rFonts w:cs="Arial"/>
              </w:rPr>
              <w:t>ontribut</w:t>
            </w:r>
            <w:r w:rsidR="008559B4">
              <w:rPr>
                <w:rFonts w:cs="Arial"/>
              </w:rPr>
              <w:t>ing</w:t>
            </w:r>
            <w:r w:rsidR="008559B4" w:rsidRPr="00977AB5">
              <w:rPr>
                <w:rFonts w:cs="Arial"/>
              </w:rPr>
              <w:t xml:space="preserve"> significantly to our national story and sense of who we are.</w:t>
            </w:r>
            <w:r w:rsidR="008559B4">
              <w:rPr>
                <w:rFonts w:cs="Arial"/>
              </w:rPr>
              <w:t xml:space="preserve">  It is </w:t>
            </w:r>
            <w:r w:rsidR="008559B4" w:rsidRPr="00977AB5">
              <w:rPr>
                <w:rFonts w:cs="Arial"/>
              </w:rPr>
              <w:t>a legacy from our past, a living, integral part of life today, and the stories and places we pass on to future generations.</w:t>
            </w:r>
            <w:r w:rsidR="00467B99">
              <w:rPr>
                <w:rFonts w:cs="Arial"/>
              </w:rPr>
              <w:t xml:space="preserve">  </w:t>
            </w:r>
          </w:p>
          <w:p w:rsidR="00AA5620" w:rsidRDefault="00AA5620" w:rsidP="008559B4">
            <w:pPr>
              <w:spacing w:before="200"/>
              <w:rPr>
                <w:rFonts w:cs="Arial"/>
              </w:rPr>
            </w:pPr>
            <w:r>
              <w:rPr>
                <w:rFonts w:cs="Arial"/>
              </w:rPr>
              <w:t>Minerals professionals work in a sector that has enabled Australia to develop as a modern nation.  Minerals professionals have therefore played, continue to play, and will play into the future, an important role in helping to create, protect and enhance Australia’s heritage.</w:t>
            </w:r>
          </w:p>
          <w:p w:rsidR="00467B99" w:rsidRDefault="00467B99" w:rsidP="008559B4">
            <w:pPr>
              <w:spacing w:before="200"/>
              <w:rPr>
                <w:rFonts w:cs="Arial"/>
                <w:b/>
                <w:u w:val="single"/>
              </w:rPr>
            </w:pPr>
            <w:r>
              <w:rPr>
                <w:rFonts w:cs="Arial"/>
              </w:rPr>
              <w:t xml:space="preserve">Indeed, the AusIMM has a Heritage Committee whose role it is to </w:t>
            </w:r>
            <w:r w:rsidRPr="00467B99">
              <w:rPr>
                <w:rFonts w:cs="Arial"/>
              </w:rPr>
              <w:t>foster knowledge about the heritage of the minerals industry among members and the public and to identify and encourage conservation of significant sites, documents and objects.</w:t>
            </w:r>
          </w:p>
          <w:p w:rsidR="008559B4" w:rsidRDefault="008559B4" w:rsidP="008559B4">
            <w:pPr>
              <w:spacing w:before="200"/>
              <w:rPr>
                <w:rFonts w:cs="Arial"/>
                <w:b/>
                <w:u w:val="single"/>
              </w:rPr>
            </w:pPr>
            <w:r>
              <w:rPr>
                <w:rFonts w:cs="Arial"/>
                <w:b/>
                <w:u w:val="single"/>
              </w:rPr>
              <w:t>KEY MESSAGES ABOUT THE DRAFT STRATEGY</w:t>
            </w:r>
          </w:p>
          <w:p w:rsidR="00AA5620" w:rsidRPr="00AA5620" w:rsidRDefault="008559B4" w:rsidP="00AA5620">
            <w:pPr>
              <w:numPr>
                <w:ilvl w:val="0"/>
                <w:numId w:val="39"/>
              </w:numPr>
              <w:spacing w:before="200"/>
              <w:rPr>
                <w:rFonts w:cs="Arial"/>
              </w:rPr>
            </w:pPr>
            <w:r w:rsidRPr="000221B1">
              <w:rPr>
                <w:rFonts w:cs="Arial"/>
              </w:rPr>
              <w:t>Australia</w:t>
            </w:r>
            <w:r>
              <w:rPr>
                <w:rFonts w:cs="Arial"/>
              </w:rPr>
              <w:t>’s resources, and how we have developed them, are a key part of our heritage.  At its highest level, t</w:t>
            </w:r>
            <w:r w:rsidRPr="0036211E">
              <w:rPr>
                <w:rFonts w:cs="Arial"/>
              </w:rPr>
              <w:t>his is reflected in a key symbol of heritage, The Australian National Anthem, w</w:t>
            </w:r>
            <w:r>
              <w:rPr>
                <w:rFonts w:cs="Arial"/>
              </w:rPr>
              <w:t>hich</w:t>
            </w:r>
            <w:r w:rsidRPr="0036211E">
              <w:rPr>
                <w:rFonts w:cs="Arial"/>
              </w:rPr>
              <w:t xml:space="preserve"> references ‘golden soil’ and ‘our land abounds in nature’s gifts’.</w:t>
            </w:r>
          </w:p>
          <w:p w:rsidR="008559B4" w:rsidRDefault="008559B4" w:rsidP="008559B4">
            <w:pPr>
              <w:numPr>
                <w:ilvl w:val="0"/>
                <w:numId w:val="39"/>
              </w:numPr>
              <w:spacing w:before="200"/>
              <w:rPr>
                <w:rFonts w:cs="Arial"/>
              </w:rPr>
            </w:pPr>
            <w:r>
              <w:rPr>
                <w:rFonts w:cs="Arial"/>
              </w:rPr>
              <w:t>Developing our resources (e.g. coal from the 1800s</w:t>
            </w:r>
            <w:r w:rsidR="00AA5620">
              <w:rPr>
                <w:rFonts w:cs="Arial"/>
              </w:rPr>
              <w:t xml:space="preserve">, the </w:t>
            </w:r>
            <w:r>
              <w:rPr>
                <w:rFonts w:cs="Arial"/>
              </w:rPr>
              <w:t>gold rush from the 1850s) has significantly influenced immigration, powered the economy and given Australia a voice on the international stage.  It has helped us develop as a modern nation.</w:t>
            </w:r>
          </w:p>
          <w:p w:rsidR="008559B4" w:rsidRPr="00A806BD" w:rsidRDefault="008559B4" w:rsidP="008559B4">
            <w:pPr>
              <w:numPr>
                <w:ilvl w:val="0"/>
                <w:numId w:val="39"/>
              </w:numPr>
              <w:spacing w:before="200"/>
              <w:rPr>
                <w:rFonts w:cs="Arial"/>
              </w:rPr>
            </w:pPr>
            <w:r w:rsidRPr="00A806BD">
              <w:rPr>
                <w:rFonts w:cs="Arial"/>
              </w:rPr>
              <w:t xml:space="preserve">Our </w:t>
            </w:r>
            <w:r>
              <w:t>mining, mineral and geological heritage is inextricably linked to Australia's overall heritage and cannot be disregarded - it embraces industrial, economic, social and natural heritage aspects.</w:t>
            </w:r>
          </w:p>
          <w:p w:rsidR="008559B4" w:rsidRDefault="008559B4" w:rsidP="008559B4">
            <w:pPr>
              <w:numPr>
                <w:ilvl w:val="0"/>
                <w:numId w:val="39"/>
              </w:numPr>
              <w:spacing w:before="200"/>
              <w:rPr>
                <w:rFonts w:cs="Arial"/>
              </w:rPr>
            </w:pPr>
            <w:r>
              <w:rPr>
                <w:rFonts w:cs="Arial"/>
              </w:rPr>
              <w:t xml:space="preserve">The current strategy lacks </w:t>
            </w:r>
            <w:r w:rsidR="00AA5620">
              <w:rPr>
                <w:rFonts w:cs="Arial"/>
              </w:rPr>
              <w:t xml:space="preserve">any meaningful </w:t>
            </w:r>
            <w:r>
              <w:rPr>
                <w:rFonts w:cs="Arial"/>
              </w:rPr>
              <w:t xml:space="preserve">acknowledgement </w:t>
            </w:r>
            <w:r w:rsidR="00AA5620">
              <w:rPr>
                <w:rFonts w:cs="Arial"/>
              </w:rPr>
              <w:t>or</w:t>
            </w:r>
            <w:r>
              <w:rPr>
                <w:rFonts w:cs="Arial"/>
              </w:rPr>
              <w:t xml:space="preserve"> recognition of our industrial heritage, and in particular our minerals resources and mining heritage.</w:t>
            </w:r>
          </w:p>
          <w:p w:rsidR="00AA5620" w:rsidRDefault="008559B4" w:rsidP="007E1AE6">
            <w:pPr>
              <w:numPr>
                <w:ilvl w:val="0"/>
                <w:numId w:val="39"/>
              </w:numPr>
              <w:spacing w:before="200"/>
              <w:rPr>
                <w:rFonts w:cs="Arial"/>
              </w:rPr>
            </w:pPr>
            <w:r>
              <w:rPr>
                <w:rFonts w:cs="Arial"/>
              </w:rPr>
              <w:t xml:space="preserve">The impact of omission of our minerals resources and mining heritage will negatively impact the capability and capacity </w:t>
            </w:r>
            <w:r w:rsidR="005F2DBA">
              <w:rPr>
                <w:rFonts w:cs="Arial"/>
              </w:rPr>
              <w:t xml:space="preserve">of communities working together to effectively </w:t>
            </w:r>
            <w:r>
              <w:rPr>
                <w:rFonts w:cs="Arial"/>
              </w:rPr>
              <w:t>manag</w:t>
            </w:r>
            <w:r w:rsidR="005F2DBA">
              <w:rPr>
                <w:rFonts w:cs="Arial"/>
              </w:rPr>
              <w:t>e</w:t>
            </w:r>
            <w:r>
              <w:rPr>
                <w:rFonts w:cs="Arial"/>
              </w:rPr>
              <w:t xml:space="preserve"> and protect our mining heritage.</w:t>
            </w:r>
          </w:p>
          <w:p w:rsidR="008559B4" w:rsidRPr="00651933" w:rsidRDefault="00AA5620" w:rsidP="007E1AE6">
            <w:pPr>
              <w:numPr>
                <w:ilvl w:val="0"/>
                <w:numId w:val="39"/>
              </w:numPr>
              <w:spacing w:before="200"/>
              <w:rPr>
                <w:rFonts w:cs="Arial"/>
              </w:rPr>
            </w:pPr>
            <w:r>
              <w:rPr>
                <w:rFonts w:cs="Arial"/>
              </w:rPr>
              <w:t xml:space="preserve">The </w:t>
            </w:r>
            <w:r w:rsidR="008559B4" w:rsidRPr="00AA5620">
              <w:rPr>
                <w:rFonts w:cs="Arial"/>
              </w:rPr>
              <w:t>AusIMM proposes that industrial</w:t>
            </w:r>
            <w:r w:rsidR="009B02C9">
              <w:rPr>
                <w:rFonts w:cs="Arial"/>
              </w:rPr>
              <w:t xml:space="preserve"> </w:t>
            </w:r>
            <w:r w:rsidR="00B37407">
              <w:rPr>
                <w:rFonts w:cs="Arial"/>
              </w:rPr>
              <w:t xml:space="preserve">or </w:t>
            </w:r>
            <w:r w:rsidR="008559B4" w:rsidRPr="00AA5620">
              <w:rPr>
                <w:rFonts w:cs="Arial"/>
              </w:rPr>
              <w:t xml:space="preserve">mining heritage be included as </w:t>
            </w:r>
            <w:r w:rsidR="00651933">
              <w:rPr>
                <w:rFonts w:cs="Arial"/>
              </w:rPr>
              <w:t>explicit</w:t>
            </w:r>
            <w:r w:rsidR="008559B4" w:rsidRPr="00AA5620">
              <w:rPr>
                <w:rFonts w:cs="Arial"/>
              </w:rPr>
              <w:t xml:space="preserve"> </w:t>
            </w:r>
            <w:r w:rsidR="00651933">
              <w:rPr>
                <w:rFonts w:cs="Arial"/>
              </w:rPr>
              <w:t>language within</w:t>
            </w:r>
            <w:r w:rsidR="005F2DBA" w:rsidRPr="00AA5620">
              <w:rPr>
                <w:rFonts w:cs="Arial"/>
              </w:rPr>
              <w:t xml:space="preserve"> Australia’s</w:t>
            </w:r>
            <w:r w:rsidR="008559B4" w:rsidRPr="00AA5620">
              <w:rPr>
                <w:rFonts w:cs="Arial"/>
              </w:rPr>
              <w:t xml:space="preserve"> </w:t>
            </w:r>
            <w:r w:rsidR="008559B4" w:rsidRPr="00651933">
              <w:rPr>
                <w:rFonts w:cs="Arial"/>
              </w:rPr>
              <w:t>heritage</w:t>
            </w:r>
            <w:r w:rsidR="005F2DBA" w:rsidRPr="00651933">
              <w:rPr>
                <w:rFonts w:cs="Arial"/>
              </w:rPr>
              <w:t xml:space="preserve"> strategy</w:t>
            </w:r>
            <w:r w:rsidR="00B37407">
              <w:rPr>
                <w:rFonts w:cs="Arial"/>
              </w:rPr>
              <w:t>, including as part of the vision.</w:t>
            </w:r>
          </w:p>
          <w:p w:rsidR="00C8380A" w:rsidRPr="00BE789F" w:rsidRDefault="00AA5620" w:rsidP="00B0663F">
            <w:pPr>
              <w:numPr>
                <w:ilvl w:val="0"/>
                <w:numId w:val="39"/>
              </w:numPr>
              <w:spacing w:before="200"/>
              <w:rPr>
                <w:i/>
              </w:rPr>
            </w:pPr>
            <w:r w:rsidRPr="00537A7F">
              <w:rPr>
                <w:rFonts w:cs="Arial"/>
              </w:rPr>
              <w:t xml:space="preserve">The </w:t>
            </w:r>
            <w:r w:rsidR="00C8380A" w:rsidRPr="00537A7F">
              <w:rPr>
                <w:rFonts w:cs="Arial"/>
              </w:rPr>
              <w:t xml:space="preserve">following comments </w:t>
            </w:r>
            <w:r w:rsidR="002E4EC0">
              <w:rPr>
                <w:rFonts w:cs="Arial"/>
              </w:rPr>
              <w:t xml:space="preserve">under the </w:t>
            </w:r>
            <w:r w:rsidR="00EB7FBD">
              <w:rPr>
                <w:rFonts w:cs="Arial"/>
              </w:rPr>
              <w:t>four</w:t>
            </w:r>
            <w:r w:rsidR="002E4EC0">
              <w:rPr>
                <w:rFonts w:cs="Arial"/>
              </w:rPr>
              <w:t xml:space="preserve"> sections below represent</w:t>
            </w:r>
            <w:r w:rsidR="00C8380A" w:rsidRPr="00537A7F">
              <w:rPr>
                <w:rFonts w:cs="Arial"/>
              </w:rPr>
              <w:t xml:space="preserve"> an amalgamation of comments from our members.  </w:t>
            </w:r>
            <w:r w:rsidRPr="00537A7F">
              <w:rPr>
                <w:rFonts w:cs="Arial"/>
              </w:rPr>
              <w:t>While th</w:t>
            </w:r>
            <w:r w:rsidR="00C8380A" w:rsidRPr="00537A7F">
              <w:rPr>
                <w:rFonts w:cs="Arial"/>
              </w:rPr>
              <w:t>ey</w:t>
            </w:r>
            <w:r w:rsidRPr="00537A7F">
              <w:rPr>
                <w:rFonts w:cs="Arial"/>
              </w:rPr>
              <w:t xml:space="preserve"> do not necessarily represent the views of The AusIMM, </w:t>
            </w:r>
            <w:r w:rsidR="00C8380A" w:rsidRPr="00537A7F">
              <w:rPr>
                <w:rFonts w:cs="Arial"/>
              </w:rPr>
              <w:t xml:space="preserve">they </w:t>
            </w:r>
            <w:r w:rsidRPr="00537A7F">
              <w:rPr>
                <w:rFonts w:cs="Arial"/>
              </w:rPr>
              <w:t>contain detailed feedback</w:t>
            </w:r>
            <w:r w:rsidR="00C8380A" w:rsidRPr="00537A7F">
              <w:rPr>
                <w:rFonts w:cs="Arial"/>
              </w:rPr>
              <w:t xml:space="preserve"> and ideas </w:t>
            </w:r>
            <w:r w:rsidRPr="00537A7F">
              <w:rPr>
                <w:rFonts w:cs="Arial"/>
              </w:rPr>
              <w:t xml:space="preserve">that may be </w:t>
            </w:r>
            <w:r w:rsidR="00C8380A" w:rsidRPr="00537A7F">
              <w:rPr>
                <w:rFonts w:cs="Arial"/>
              </w:rPr>
              <w:t xml:space="preserve">particularly </w:t>
            </w:r>
            <w:r w:rsidRPr="00537A7F">
              <w:rPr>
                <w:rFonts w:cs="Arial"/>
              </w:rPr>
              <w:t>valu</w:t>
            </w:r>
            <w:r w:rsidR="00C8380A" w:rsidRPr="00537A7F">
              <w:rPr>
                <w:rFonts w:cs="Arial"/>
              </w:rPr>
              <w:t>abl</w:t>
            </w:r>
            <w:r w:rsidRPr="00537A7F">
              <w:rPr>
                <w:rFonts w:cs="Arial"/>
              </w:rPr>
              <w:t>e.</w:t>
            </w:r>
            <w:r w:rsidR="00B0663F">
              <w:rPr>
                <w:rFonts w:cs="Arial"/>
              </w:rPr>
              <w:t xml:space="preserve">  Many  members have offered to provide additional feedback if required.</w:t>
            </w:r>
          </w:p>
        </w:tc>
      </w:tr>
    </w:tbl>
    <w:p w:rsidR="00B46F90" w:rsidRDefault="00B46F90">
      <w: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5"/>
      </w:tblGrid>
      <w:tr w:rsidR="00B959CB" w:rsidTr="007E1AE6">
        <w:tc>
          <w:tcPr>
            <w:tcW w:w="9075" w:type="dxa"/>
            <w:shd w:val="clear" w:color="auto" w:fill="C6D9F1"/>
          </w:tcPr>
          <w:p w:rsidR="00B959CB" w:rsidRPr="005D4CD1" w:rsidRDefault="00B959CB" w:rsidP="007D7775">
            <w:pPr>
              <w:pStyle w:val="ListNumber"/>
              <w:rPr>
                <w:b/>
              </w:rPr>
            </w:pPr>
            <w:r w:rsidRPr="005D4CD1">
              <w:rPr>
                <w:b/>
              </w:rPr>
              <w:t xml:space="preserve">Improve National Leadership </w:t>
            </w:r>
          </w:p>
          <w:p w:rsidR="00B959CB" w:rsidRPr="005D4CD1" w:rsidRDefault="00B959CB" w:rsidP="007D7775">
            <w:pPr>
              <w:ind w:left="369"/>
              <w:rPr>
                <w:rFonts w:cs="Arial"/>
              </w:rPr>
            </w:pPr>
            <w:r w:rsidRPr="005D4CD1">
              <w:rPr>
                <w:rFonts w:cs="Arial"/>
              </w:rPr>
              <w:t>What are the most important things the Australian Government should be doing to offer leadership in heritage?</w:t>
            </w:r>
          </w:p>
          <w:p w:rsidR="00B959CB" w:rsidRPr="005D4CD1" w:rsidRDefault="00B959CB" w:rsidP="007D7775">
            <w:pPr>
              <w:ind w:left="369"/>
              <w:rPr>
                <w:rFonts w:cs="Arial"/>
              </w:rPr>
            </w:pPr>
            <w:r w:rsidRPr="005D4CD1">
              <w:rPr>
                <w:rFonts w:cs="Arial"/>
              </w:rPr>
              <w:t xml:space="preserve">How can the Australian Government provide guidance and support for our national heritage—while still empowering other government, industry and community members to take responsibility and get involved? </w:t>
            </w:r>
          </w:p>
          <w:p w:rsidR="00B959CB" w:rsidRPr="005D4CD1" w:rsidRDefault="00B959CB" w:rsidP="007D7775">
            <w:pPr>
              <w:ind w:left="369"/>
              <w:rPr>
                <w:rFonts w:cs="Arial"/>
              </w:rPr>
            </w:pPr>
            <w:r w:rsidRPr="005D4CD1">
              <w:rPr>
                <w:rFonts w:cs="Arial"/>
              </w:rPr>
              <w:t>What priority areas are important to you, your organisation or group?</w:t>
            </w:r>
          </w:p>
          <w:p w:rsidR="00B959CB" w:rsidRDefault="00B959CB" w:rsidP="007D7775">
            <w:pPr>
              <w:ind w:left="369"/>
            </w:pPr>
            <w:r w:rsidRPr="005D4CD1">
              <w:rPr>
                <w:rFonts w:cs="Arial"/>
              </w:rPr>
              <w:t>What practical actions would you suggest to improve national heritage leadership?</w:t>
            </w:r>
          </w:p>
        </w:tc>
      </w:tr>
      <w:tr w:rsidR="00B959CB" w:rsidTr="007E1AE6">
        <w:trPr>
          <w:trHeight w:val="1184"/>
        </w:trPr>
        <w:tc>
          <w:tcPr>
            <w:tcW w:w="9075" w:type="dxa"/>
            <w:tcBorders>
              <w:bottom w:val="single" w:sz="4" w:space="0" w:color="auto"/>
            </w:tcBorders>
          </w:tcPr>
          <w:p w:rsidR="00B959CB" w:rsidRPr="002E4EC0" w:rsidRDefault="00B959CB" w:rsidP="007D7775">
            <w:pPr>
              <w:spacing w:before="60" w:after="60"/>
              <w:outlineLvl w:val="1"/>
              <w:rPr>
                <w:rFonts w:cs="Arial"/>
                <w:sz w:val="24"/>
                <w:szCs w:val="24"/>
                <w:lang w:eastAsia="en-AU"/>
              </w:rPr>
            </w:pPr>
          </w:p>
          <w:p w:rsidR="00D3011B" w:rsidRPr="002E4EC0" w:rsidRDefault="00D3011B" w:rsidP="00D3011B">
            <w:pPr>
              <w:spacing w:before="60" w:after="60"/>
              <w:outlineLvl w:val="1"/>
              <w:rPr>
                <w:rFonts w:cs="Arial"/>
                <w:szCs w:val="20"/>
                <w:lang w:eastAsia="en-AU"/>
              </w:rPr>
            </w:pPr>
            <w:r w:rsidRPr="002E4EC0">
              <w:rPr>
                <w:rFonts w:cs="Arial"/>
                <w:szCs w:val="20"/>
                <w:lang w:eastAsia="en-AU"/>
              </w:rPr>
              <w:t xml:space="preserve">Australian government can offer leadership in heritage by; </w:t>
            </w:r>
          </w:p>
          <w:p w:rsidR="00D3011B" w:rsidRPr="002E4EC0" w:rsidRDefault="00D3011B" w:rsidP="00D3011B">
            <w:pPr>
              <w:pStyle w:val="ListParagraph"/>
              <w:numPr>
                <w:ilvl w:val="0"/>
                <w:numId w:val="38"/>
              </w:numPr>
              <w:spacing w:before="60" w:after="60"/>
              <w:contextualSpacing w:val="0"/>
              <w:outlineLvl w:val="1"/>
              <w:rPr>
                <w:rFonts w:cs="Arial"/>
                <w:szCs w:val="20"/>
                <w:lang w:eastAsia="en-AU"/>
              </w:rPr>
            </w:pPr>
            <w:r w:rsidRPr="002E4EC0">
              <w:rPr>
                <w:rFonts w:cs="Arial"/>
                <w:szCs w:val="20"/>
                <w:lang w:eastAsia="en-AU"/>
              </w:rPr>
              <w:t>Including mining heritage</w:t>
            </w:r>
            <w:r w:rsidR="0094353E" w:rsidRPr="002E4EC0">
              <w:rPr>
                <w:rFonts w:cs="Arial"/>
                <w:szCs w:val="20"/>
                <w:lang w:eastAsia="en-AU"/>
              </w:rPr>
              <w:t xml:space="preserve"> and geoheritage relating to mining activity</w:t>
            </w:r>
            <w:r w:rsidRPr="002E4EC0">
              <w:rPr>
                <w:rFonts w:cs="Arial"/>
                <w:szCs w:val="20"/>
                <w:lang w:eastAsia="en-AU"/>
              </w:rPr>
              <w:t xml:space="preserve"> </w:t>
            </w:r>
            <w:r w:rsidR="0094353E" w:rsidRPr="002E4EC0">
              <w:rPr>
                <w:rFonts w:cs="Arial"/>
                <w:szCs w:val="20"/>
                <w:lang w:eastAsia="en-AU"/>
              </w:rPr>
              <w:t xml:space="preserve"> (e.g. gossans, type economic geology ore zones) </w:t>
            </w:r>
            <w:r w:rsidRPr="002E4EC0">
              <w:rPr>
                <w:rFonts w:cs="Arial"/>
                <w:szCs w:val="20"/>
                <w:lang w:eastAsia="en-AU"/>
              </w:rPr>
              <w:t xml:space="preserve">within the AHS </w:t>
            </w:r>
            <w:r w:rsidR="006E08D9" w:rsidRPr="002E4EC0">
              <w:rPr>
                <w:rFonts w:cs="Arial"/>
                <w:szCs w:val="20"/>
                <w:lang w:eastAsia="en-AU"/>
              </w:rPr>
              <w:t>either by case study or direct funding /action</w:t>
            </w:r>
            <w:r w:rsidR="00C978FA" w:rsidRPr="002E4EC0">
              <w:rPr>
                <w:rFonts w:cs="Arial"/>
                <w:szCs w:val="20"/>
                <w:lang w:eastAsia="en-AU"/>
              </w:rPr>
              <w:t xml:space="preserve"> </w:t>
            </w:r>
            <w:r w:rsidR="00EB4B2B" w:rsidRPr="002E4EC0">
              <w:rPr>
                <w:rFonts w:cs="Arial"/>
                <w:szCs w:val="20"/>
                <w:lang w:eastAsia="en-AU"/>
              </w:rPr>
              <w:t>i.e.</w:t>
            </w:r>
            <w:r w:rsidR="00C978FA" w:rsidRPr="002E4EC0">
              <w:rPr>
                <w:rFonts w:cs="Arial"/>
                <w:szCs w:val="20"/>
                <w:lang w:eastAsia="en-AU"/>
              </w:rPr>
              <w:t xml:space="preserve"> for</w:t>
            </w:r>
            <w:r w:rsidR="006E08D9" w:rsidRPr="002E4EC0">
              <w:rPr>
                <w:rFonts w:cs="Arial"/>
                <w:szCs w:val="20"/>
                <w:lang w:eastAsia="en-AU"/>
              </w:rPr>
              <w:t xml:space="preserve"> nationally heritage listed</w:t>
            </w:r>
            <w:r w:rsidR="00C978FA" w:rsidRPr="002E4EC0">
              <w:rPr>
                <w:rFonts w:cs="Arial"/>
                <w:szCs w:val="20"/>
                <w:lang w:eastAsia="en-AU"/>
              </w:rPr>
              <w:t xml:space="preserve"> (</w:t>
            </w:r>
            <w:r w:rsidR="006E08D9" w:rsidRPr="002E4EC0">
              <w:rPr>
                <w:rFonts w:cs="Arial"/>
                <w:szCs w:val="20"/>
                <w:lang w:eastAsia="en-AU"/>
              </w:rPr>
              <w:t>or pending</w:t>
            </w:r>
            <w:r w:rsidR="00C978FA" w:rsidRPr="002E4EC0">
              <w:rPr>
                <w:rFonts w:cs="Arial"/>
                <w:szCs w:val="20"/>
                <w:lang w:eastAsia="en-AU"/>
              </w:rPr>
              <w:t>)</w:t>
            </w:r>
            <w:r w:rsidR="006E08D9" w:rsidRPr="002E4EC0">
              <w:rPr>
                <w:rFonts w:cs="Arial"/>
                <w:szCs w:val="20"/>
                <w:lang w:eastAsia="en-AU"/>
              </w:rPr>
              <w:t xml:space="preserve"> listed min</w:t>
            </w:r>
            <w:r w:rsidR="00C978FA" w:rsidRPr="002E4EC0">
              <w:rPr>
                <w:rFonts w:cs="Arial"/>
                <w:szCs w:val="20"/>
                <w:lang w:eastAsia="en-AU"/>
              </w:rPr>
              <w:t>e and communities</w:t>
            </w:r>
          </w:p>
          <w:p w:rsidR="00D3011B" w:rsidRPr="002E4EC0" w:rsidRDefault="00D3011B" w:rsidP="00D3011B">
            <w:pPr>
              <w:pStyle w:val="ListParagraph"/>
              <w:numPr>
                <w:ilvl w:val="0"/>
                <w:numId w:val="38"/>
              </w:numPr>
              <w:spacing w:before="60" w:after="60"/>
              <w:contextualSpacing w:val="0"/>
              <w:outlineLvl w:val="1"/>
              <w:rPr>
                <w:rFonts w:cs="Arial"/>
                <w:szCs w:val="20"/>
                <w:lang w:eastAsia="en-AU"/>
              </w:rPr>
            </w:pPr>
            <w:r w:rsidRPr="002E4EC0">
              <w:rPr>
                <w:rFonts w:cs="Arial"/>
                <w:szCs w:val="20"/>
                <w:lang w:eastAsia="en-AU"/>
              </w:rPr>
              <w:t xml:space="preserve">Providing guidance </w:t>
            </w:r>
            <w:r w:rsidR="006E08D9" w:rsidRPr="002E4EC0">
              <w:rPr>
                <w:rFonts w:cs="Arial"/>
                <w:szCs w:val="20"/>
                <w:lang w:eastAsia="en-AU"/>
              </w:rPr>
              <w:t xml:space="preserve">via toolkits and resources, </w:t>
            </w:r>
            <w:r w:rsidRPr="002E4EC0">
              <w:rPr>
                <w:rFonts w:cs="Arial"/>
                <w:szCs w:val="20"/>
                <w:lang w:eastAsia="en-AU"/>
              </w:rPr>
              <w:t>at a national level on what comprises global leading practice heritage manag</w:t>
            </w:r>
            <w:r w:rsidR="006E08D9" w:rsidRPr="002E4EC0">
              <w:rPr>
                <w:rFonts w:cs="Arial"/>
                <w:szCs w:val="20"/>
                <w:lang w:eastAsia="en-AU"/>
              </w:rPr>
              <w:t>e</w:t>
            </w:r>
            <w:r w:rsidRPr="002E4EC0">
              <w:rPr>
                <w:rFonts w:cs="Arial"/>
                <w:szCs w:val="20"/>
                <w:lang w:eastAsia="en-AU"/>
              </w:rPr>
              <w:t xml:space="preserve">ment with case studies of relevance to </w:t>
            </w:r>
            <w:smartTag w:uri="urn:schemas-microsoft-com:office:smarttags" w:element="country-region">
              <w:smartTag w:uri="urn:schemas-microsoft-com:office:smarttags" w:element="place">
                <w:r w:rsidRPr="002E4EC0">
                  <w:rPr>
                    <w:rFonts w:cs="Arial"/>
                    <w:szCs w:val="20"/>
                    <w:lang w:eastAsia="en-AU"/>
                  </w:rPr>
                  <w:t>Australia</w:t>
                </w:r>
              </w:smartTag>
            </w:smartTag>
            <w:r w:rsidR="006E08D9" w:rsidRPr="002E4EC0">
              <w:rPr>
                <w:rFonts w:cs="Arial"/>
                <w:szCs w:val="20"/>
                <w:lang w:eastAsia="en-AU"/>
              </w:rPr>
              <w:t xml:space="preserve"> (with links to ICOMOS’ and other resources)</w:t>
            </w:r>
          </w:p>
          <w:p w:rsidR="006E08D9" w:rsidRPr="002E4EC0" w:rsidRDefault="006E08D9" w:rsidP="00D3011B">
            <w:pPr>
              <w:pStyle w:val="ListParagraph"/>
              <w:numPr>
                <w:ilvl w:val="0"/>
                <w:numId w:val="38"/>
              </w:numPr>
              <w:spacing w:before="60" w:after="60"/>
              <w:contextualSpacing w:val="0"/>
              <w:outlineLvl w:val="1"/>
              <w:rPr>
                <w:rFonts w:cs="Arial"/>
                <w:szCs w:val="20"/>
                <w:lang w:eastAsia="en-AU"/>
              </w:rPr>
            </w:pPr>
            <w:r w:rsidRPr="002E4EC0">
              <w:rPr>
                <w:rFonts w:cs="Arial"/>
                <w:szCs w:val="20"/>
                <w:lang w:eastAsia="en-AU"/>
              </w:rPr>
              <w:t>Demonstrating via a pilot project or ‘wow’ site</w:t>
            </w:r>
            <w:r w:rsidR="00C978FA" w:rsidRPr="002E4EC0">
              <w:rPr>
                <w:rStyle w:val="FootnoteReference"/>
                <w:rFonts w:cs="Arial"/>
                <w:szCs w:val="20"/>
                <w:lang w:eastAsia="en-AU"/>
              </w:rPr>
              <w:footnoteReference w:id="1"/>
            </w:r>
            <w:r w:rsidRPr="002E4EC0">
              <w:rPr>
                <w:rFonts w:cs="Arial"/>
                <w:szCs w:val="20"/>
                <w:lang w:eastAsia="en-AU"/>
              </w:rPr>
              <w:t xml:space="preserve"> </w:t>
            </w:r>
            <w:r w:rsidR="00C978FA" w:rsidRPr="002E4EC0">
              <w:rPr>
                <w:rFonts w:cs="Arial"/>
                <w:szCs w:val="20"/>
                <w:lang w:eastAsia="en-AU"/>
              </w:rPr>
              <w:t>i</w:t>
            </w:r>
            <w:r w:rsidRPr="002E4EC0">
              <w:rPr>
                <w:rFonts w:cs="Arial"/>
                <w:szCs w:val="20"/>
                <w:lang w:eastAsia="en-AU"/>
              </w:rPr>
              <w:t xml:space="preserve">n collaboration with state or NT </w:t>
            </w:r>
            <w:r w:rsidR="00C978FA" w:rsidRPr="002E4EC0">
              <w:rPr>
                <w:rFonts w:cs="Arial"/>
                <w:szCs w:val="20"/>
                <w:lang w:eastAsia="en-AU"/>
              </w:rPr>
              <w:t xml:space="preserve">government </w:t>
            </w:r>
            <w:r w:rsidRPr="002E4EC0">
              <w:rPr>
                <w:rFonts w:cs="Arial"/>
                <w:szCs w:val="20"/>
                <w:lang w:eastAsia="en-AU"/>
              </w:rPr>
              <w:t>and</w:t>
            </w:r>
            <w:r w:rsidR="00C978FA" w:rsidRPr="002E4EC0">
              <w:rPr>
                <w:rFonts w:cs="Arial"/>
                <w:szCs w:val="20"/>
                <w:lang w:eastAsia="en-AU"/>
              </w:rPr>
              <w:t>/or</w:t>
            </w:r>
            <w:r w:rsidRPr="002E4EC0">
              <w:rPr>
                <w:rFonts w:cs="Arial"/>
                <w:szCs w:val="20"/>
                <w:lang w:eastAsia="en-AU"/>
              </w:rPr>
              <w:t xml:space="preserve"> local</w:t>
            </w:r>
            <w:r w:rsidR="00D3011B" w:rsidRPr="002E4EC0">
              <w:rPr>
                <w:rFonts w:cs="Arial"/>
                <w:szCs w:val="20"/>
                <w:lang w:eastAsia="en-AU"/>
              </w:rPr>
              <w:t xml:space="preserve"> governments, industry and civil society </w:t>
            </w:r>
            <w:r w:rsidRPr="002E4EC0">
              <w:rPr>
                <w:rFonts w:cs="Arial"/>
                <w:szCs w:val="20"/>
                <w:lang w:eastAsia="en-AU"/>
              </w:rPr>
              <w:t>to show how</w:t>
            </w:r>
            <w:r w:rsidR="00D3011B" w:rsidRPr="002E4EC0">
              <w:rPr>
                <w:rFonts w:cs="Arial"/>
                <w:szCs w:val="20"/>
                <w:lang w:eastAsia="en-AU"/>
              </w:rPr>
              <w:t xml:space="preserve"> beneficial post-mining land uses </w:t>
            </w:r>
            <w:r w:rsidRPr="002E4EC0">
              <w:rPr>
                <w:rFonts w:cs="Arial"/>
                <w:szCs w:val="20"/>
                <w:lang w:eastAsia="en-AU"/>
              </w:rPr>
              <w:t>can be created</w:t>
            </w:r>
            <w:r w:rsidR="00C978FA" w:rsidRPr="002E4EC0">
              <w:rPr>
                <w:rFonts w:cs="Arial"/>
                <w:szCs w:val="20"/>
                <w:lang w:eastAsia="en-AU"/>
              </w:rPr>
              <w:t xml:space="preserve"> or enhanced</w:t>
            </w:r>
            <w:r w:rsidRPr="002E4EC0">
              <w:rPr>
                <w:rFonts w:cs="Arial"/>
                <w:szCs w:val="20"/>
                <w:lang w:eastAsia="en-AU"/>
              </w:rPr>
              <w:t xml:space="preserve"> </w:t>
            </w:r>
            <w:r w:rsidR="00D3011B" w:rsidRPr="002E4EC0">
              <w:rPr>
                <w:rFonts w:cs="Arial"/>
                <w:szCs w:val="20"/>
                <w:lang w:eastAsia="en-AU"/>
              </w:rPr>
              <w:t>where mines have significant cultural and/or mining heritage values</w:t>
            </w:r>
            <w:r w:rsidR="00C978FA" w:rsidRPr="002E4EC0">
              <w:rPr>
                <w:rStyle w:val="FootnoteReference"/>
                <w:rFonts w:cs="Arial"/>
                <w:szCs w:val="20"/>
                <w:lang w:eastAsia="en-AU"/>
              </w:rPr>
              <w:footnoteReference w:id="2"/>
            </w:r>
            <w:r w:rsidRPr="002E4EC0">
              <w:rPr>
                <w:rFonts w:cs="Arial"/>
                <w:szCs w:val="20"/>
                <w:lang w:eastAsia="en-AU"/>
              </w:rPr>
              <w:t xml:space="preserve"> (see also case studies in China for geoheritage integrated with tourism and </w:t>
            </w:r>
            <w:smartTag w:uri="urn:schemas-microsoft-com:office:smarttags" w:element="country-region">
              <w:smartTag w:uri="urn:schemas-microsoft-com:office:smarttags" w:element="place">
                <w:r w:rsidRPr="002E4EC0">
                  <w:rPr>
                    <w:rFonts w:cs="Arial"/>
                    <w:szCs w:val="20"/>
                    <w:lang w:eastAsia="en-AU"/>
                  </w:rPr>
                  <w:t>Korea</w:t>
                </w:r>
              </w:smartTag>
            </w:smartTag>
            <w:r w:rsidRPr="002E4EC0">
              <w:rPr>
                <w:rFonts w:cs="Arial"/>
                <w:szCs w:val="20"/>
                <w:lang w:eastAsia="en-AU"/>
              </w:rPr>
              <w:t xml:space="preserve"> for post-mining development)</w:t>
            </w:r>
            <w:r w:rsidR="00D3011B" w:rsidRPr="002E4EC0">
              <w:rPr>
                <w:rFonts w:cs="Arial"/>
                <w:szCs w:val="20"/>
                <w:lang w:eastAsia="en-AU"/>
              </w:rPr>
              <w:t>.</w:t>
            </w:r>
          </w:p>
          <w:p w:rsidR="006E08D9" w:rsidRPr="002E4EC0" w:rsidRDefault="00D3011B" w:rsidP="00D3011B">
            <w:pPr>
              <w:pStyle w:val="ListParagraph"/>
              <w:numPr>
                <w:ilvl w:val="0"/>
                <w:numId w:val="38"/>
              </w:numPr>
              <w:spacing w:before="60" w:after="60"/>
              <w:contextualSpacing w:val="0"/>
              <w:outlineLvl w:val="1"/>
              <w:rPr>
                <w:rFonts w:cs="Arial"/>
                <w:szCs w:val="20"/>
                <w:lang w:eastAsia="en-AU"/>
              </w:rPr>
            </w:pPr>
            <w:r w:rsidRPr="002E4EC0">
              <w:rPr>
                <w:rFonts w:cs="Arial"/>
                <w:szCs w:val="20"/>
                <w:lang w:eastAsia="en-AU"/>
              </w:rPr>
              <w:t xml:space="preserve">Resourcing programs </w:t>
            </w:r>
            <w:r w:rsidR="006E08D9" w:rsidRPr="002E4EC0">
              <w:rPr>
                <w:rFonts w:cs="Arial"/>
                <w:szCs w:val="20"/>
                <w:lang w:eastAsia="en-AU"/>
              </w:rPr>
              <w:t xml:space="preserve">with </w:t>
            </w:r>
            <w:r w:rsidRPr="002E4EC0">
              <w:rPr>
                <w:rFonts w:cs="Arial"/>
                <w:szCs w:val="20"/>
                <w:lang w:eastAsia="en-AU"/>
              </w:rPr>
              <w:t>seed fun</w:t>
            </w:r>
            <w:r w:rsidR="006E08D9" w:rsidRPr="002E4EC0">
              <w:rPr>
                <w:rFonts w:cs="Arial"/>
                <w:szCs w:val="20"/>
                <w:lang w:eastAsia="en-AU"/>
              </w:rPr>
              <w:t>ding for innovative and beneficial</w:t>
            </w:r>
            <w:r w:rsidRPr="002E4EC0">
              <w:rPr>
                <w:rFonts w:cs="Arial"/>
                <w:szCs w:val="20"/>
                <w:lang w:eastAsia="en-AU"/>
              </w:rPr>
              <w:t xml:space="preserve"> projects </w:t>
            </w:r>
            <w:r w:rsidR="006E08D9" w:rsidRPr="002E4EC0">
              <w:rPr>
                <w:rFonts w:cs="Arial"/>
                <w:szCs w:val="20"/>
                <w:lang w:eastAsia="en-AU"/>
              </w:rPr>
              <w:t xml:space="preserve">in regional Australia </w:t>
            </w:r>
            <w:r w:rsidRPr="002E4EC0">
              <w:rPr>
                <w:rFonts w:cs="Arial"/>
                <w:szCs w:val="20"/>
                <w:lang w:eastAsia="en-AU"/>
              </w:rPr>
              <w:t>which conserve heritage and make them available for ongoing use in the</w:t>
            </w:r>
            <w:r w:rsidR="006E08D9" w:rsidRPr="002E4EC0">
              <w:rPr>
                <w:rFonts w:cs="Arial"/>
                <w:szCs w:val="20"/>
                <w:lang w:eastAsia="en-AU"/>
              </w:rPr>
              <w:t xml:space="preserve"> future in a sustainable manner in a way which also builds capacity and encourages socio-economic development (e</w:t>
            </w:r>
            <w:r w:rsidR="00277A8E">
              <w:rPr>
                <w:rFonts w:cs="Arial"/>
                <w:szCs w:val="20"/>
                <w:lang w:eastAsia="en-AU"/>
              </w:rPr>
              <w:t>.</w:t>
            </w:r>
            <w:r w:rsidR="006E08D9" w:rsidRPr="002E4EC0">
              <w:rPr>
                <w:rFonts w:cs="Arial"/>
                <w:szCs w:val="20"/>
                <w:lang w:eastAsia="en-AU"/>
              </w:rPr>
              <w:t>g</w:t>
            </w:r>
            <w:r w:rsidR="00277A8E">
              <w:rPr>
                <w:rFonts w:cs="Arial"/>
                <w:szCs w:val="20"/>
                <w:lang w:eastAsia="en-AU"/>
              </w:rPr>
              <w:t>.</w:t>
            </w:r>
            <w:r w:rsidR="006E08D9" w:rsidRPr="002E4EC0">
              <w:rPr>
                <w:rFonts w:cs="Arial"/>
                <w:szCs w:val="20"/>
                <w:lang w:eastAsia="en-AU"/>
              </w:rPr>
              <w:t xml:space="preserve"> </w:t>
            </w:r>
            <w:r w:rsidR="0094353E" w:rsidRPr="002E4EC0">
              <w:rPr>
                <w:rFonts w:cs="Arial"/>
                <w:szCs w:val="20"/>
                <w:lang w:eastAsia="en-AU"/>
              </w:rPr>
              <w:t xml:space="preserve">geotourism, </w:t>
            </w:r>
            <w:r w:rsidR="006E08D9" w:rsidRPr="002E4EC0">
              <w:rPr>
                <w:rFonts w:cs="Arial"/>
                <w:szCs w:val="20"/>
                <w:lang w:eastAsia="en-AU"/>
              </w:rPr>
              <w:t xml:space="preserve">heritage tourism). </w:t>
            </w:r>
          </w:p>
          <w:p w:rsidR="00D3011B" w:rsidRPr="002E4EC0" w:rsidRDefault="006E08D9" w:rsidP="00D3011B">
            <w:pPr>
              <w:pStyle w:val="ListParagraph"/>
              <w:numPr>
                <w:ilvl w:val="0"/>
                <w:numId w:val="38"/>
              </w:numPr>
              <w:spacing w:before="60" w:after="60"/>
              <w:contextualSpacing w:val="0"/>
              <w:outlineLvl w:val="1"/>
              <w:rPr>
                <w:rFonts w:cs="Arial"/>
                <w:szCs w:val="20"/>
                <w:lang w:eastAsia="en-AU"/>
              </w:rPr>
            </w:pPr>
            <w:r w:rsidRPr="002E4EC0">
              <w:rPr>
                <w:rFonts w:cs="Arial"/>
                <w:szCs w:val="20"/>
                <w:lang w:eastAsia="en-AU"/>
              </w:rPr>
              <w:t xml:space="preserve">Lead a national mining heritage trail initiative (learning from other heritage trail networks </w:t>
            </w:r>
            <w:r w:rsidR="007405BB" w:rsidRPr="002E4EC0">
              <w:rPr>
                <w:rFonts w:cs="Arial"/>
                <w:szCs w:val="20"/>
                <w:lang w:eastAsia="en-AU"/>
              </w:rPr>
              <w:t>(</w:t>
            </w:r>
            <w:r w:rsidRPr="002E4EC0">
              <w:rPr>
                <w:rFonts w:cs="Arial"/>
                <w:szCs w:val="20"/>
                <w:lang w:eastAsia="en-AU"/>
              </w:rPr>
              <w:t>such</w:t>
            </w:r>
            <w:r w:rsidR="007405BB" w:rsidRPr="002E4EC0">
              <w:rPr>
                <w:rFonts w:cs="Arial"/>
                <w:szCs w:val="20"/>
                <w:lang w:eastAsia="en-AU"/>
              </w:rPr>
              <w:t xml:space="preserve"> </w:t>
            </w:r>
            <w:r w:rsidRPr="002E4EC0">
              <w:rPr>
                <w:rFonts w:cs="Arial"/>
                <w:szCs w:val="20"/>
                <w:lang w:eastAsia="en-AU"/>
              </w:rPr>
              <w:t>as QHTN</w:t>
            </w:r>
            <w:r w:rsidR="009F1223" w:rsidRPr="002E4EC0">
              <w:rPr>
                <w:rFonts w:cs="Arial"/>
                <w:szCs w:val="20"/>
                <w:lang w:eastAsia="en-AU"/>
              </w:rPr>
              <w:t xml:space="preserve"> and the</w:t>
            </w:r>
            <w:r w:rsidRPr="002E4EC0">
              <w:rPr>
                <w:rFonts w:cs="Arial"/>
                <w:szCs w:val="20"/>
                <w:lang w:eastAsia="en-AU"/>
              </w:rPr>
              <w:t xml:space="preserve"> </w:t>
            </w:r>
            <w:r w:rsidR="009F1223" w:rsidRPr="002E4EC0">
              <w:rPr>
                <w:rFonts w:cs="Arial"/>
                <w:szCs w:val="20"/>
                <w:lang w:eastAsia="en-AU"/>
              </w:rPr>
              <w:t xml:space="preserve">‘Dig the Tropic: Outback to the Reef geotrail  </w:t>
            </w:r>
            <w:r w:rsidRPr="002E4EC0">
              <w:rPr>
                <w:rFonts w:cs="Arial"/>
                <w:szCs w:val="20"/>
                <w:lang w:eastAsia="en-AU"/>
              </w:rPr>
              <w:t xml:space="preserve">in </w:t>
            </w:r>
            <w:r w:rsidR="00B46F90" w:rsidRPr="002E4EC0">
              <w:rPr>
                <w:rFonts w:cs="Arial"/>
                <w:szCs w:val="20"/>
                <w:lang w:eastAsia="en-AU"/>
              </w:rPr>
              <w:t>Queens</w:t>
            </w:r>
            <w:r w:rsidR="001608DD">
              <w:rPr>
                <w:rFonts w:cs="Arial"/>
                <w:szCs w:val="20"/>
                <w:lang w:eastAsia="en-AU"/>
              </w:rPr>
              <w:t>land</w:t>
            </w:r>
            <w:r w:rsidR="0094353E" w:rsidRPr="002E4EC0">
              <w:rPr>
                <w:rFonts w:cs="Arial"/>
                <w:szCs w:val="20"/>
                <w:lang w:eastAsia="en-AU"/>
              </w:rPr>
              <w:t xml:space="preserve">, the </w:t>
            </w:r>
            <w:r w:rsidR="009F1223" w:rsidRPr="002E4EC0">
              <w:rPr>
                <w:rFonts w:cs="Arial"/>
                <w:szCs w:val="20"/>
                <w:lang w:eastAsia="en-AU"/>
              </w:rPr>
              <w:t xml:space="preserve">proposed </w:t>
            </w:r>
            <w:r w:rsidR="0094353E" w:rsidRPr="002E4EC0">
              <w:rPr>
                <w:rFonts w:cs="Arial"/>
                <w:szCs w:val="20"/>
                <w:lang w:eastAsia="en-AU"/>
              </w:rPr>
              <w:t>Cradle</w:t>
            </w:r>
            <w:r w:rsidR="00E66544" w:rsidRPr="002E4EC0">
              <w:rPr>
                <w:rFonts w:cs="Arial"/>
                <w:szCs w:val="20"/>
                <w:lang w:eastAsia="en-AU"/>
              </w:rPr>
              <w:t xml:space="preserve"> Coast GeoT</w:t>
            </w:r>
            <w:r w:rsidR="0094353E" w:rsidRPr="002E4EC0">
              <w:rPr>
                <w:rFonts w:cs="Arial"/>
                <w:szCs w:val="20"/>
                <w:lang w:eastAsia="en-AU"/>
              </w:rPr>
              <w:t>rail in Tasmania,</w:t>
            </w:r>
            <w:r w:rsidR="00215804" w:rsidRPr="002E4EC0">
              <w:rPr>
                <w:rFonts w:cs="Arial"/>
                <w:szCs w:val="20"/>
                <w:lang w:eastAsia="en-AU"/>
              </w:rPr>
              <w:t xml:space="preserve"> the </w:t>
            </w:r>
            <w:r w:rsidR="009F1223" w:rsidRPr="002E4EC0">
              <w:rPr>
                <w:rFonts w:cs="Arial"/>
                <w:szCs w:val="20"/>
                <w:lang w:eastAsia="en-AU"/>
              </w:rPr>
              <w:t>‘</w:t>
            </w:r>
            <w:r w:rsidR="00215804" w:rsidRPr="002E4EC0">
              <w:rPr>
                <w:rFonts w:cs="Arial"/>
                <w:szCs w:val="20"/>
                <w:lang w:eastAsia="en-AU"/>
              </w:rPr>
              <w:t>Modern Mining Trail</w:t>
            </w:r>
            <w:r w:rsidR="009F1223" w:rsidRPr="002E4EC0">
              <w:rPr>
                <w:rFonts w:cs="Arial"/>
                <w:szCs w:val="20"/>
                <w:lang w:eastAsia="en-AU"/>
              </w:rPr>
              <w:t>’</w:t>
            </w:r>
            <w:r w:rsidR="00215804" w:rsidRPr="002E4EC0">
              <w:rPr>
                <w:rFonts w:cs="Arial"/>
                <w:szCs w:val="20"/>
                <w:lang w:eastAsia="en-AU"/>
              </w:rPr>
              <w:t xml:space="preserve"> in Central West N</w:t>
            </w:r>
            <w:r w:rsidR="00B46F90" w:rsidRPr="002E4EC0">
              <w:rPr>
                <w:rFonts w:cs="Arial"/>
                <w:szCs w:val="20"/>
                <w:lang w:eastAsia="en-AU"/>
              </w:rPr>
              <w:t>ew South Wales</w:t>
            </w:r>
            <w:r w:rsidR="00215804" w:rsidRPr="002E4EC0">
              <w:rPr>
                <w:rFonts w:cs="Arial"/>
                <w:szCs w:val="20"/>
                <w:lang w:eastAsia="en-AU"/>
              </w:rPr>
              <w:t>,</w:t>
            </w:r>
            <w:r w:rsidR="009F1223" w:rsidRPr="002E4EC0">
              <w:rPr>
                <w:rFonts w:cs="Arial"/>
                <w:szCs w:val="20"/>
                <w:lang w:eastAsia="en-AU"/>
              </w:rPr>
              <w:t xml:space="preserve"> and the Kanawinka Geopark in Victori</w:t>
            </w:r>
            <w:r w:rsidR="002A6493" w:rsidRPr="002E4EC0">
              <w:rPr>
                <w:rFonts w:cs="Arial"/>
                <w:szCs w:val="20"/>
                <w:lang w:eastAsia="en-AU"/>
              </w:rPr>
              <w:t>a/S</w:t>
            </w:r>
            <w:r w:rsidR="00B46F90" w:rsidRPr="002E4EC0">
              <w:rPr>
                <w:rFonts w:cs="Arial"/>
                <w:szCs w:val="20"/>
                <w:lang w:eastAsia="en-AU"/>
              </w:rPr>
              <w:t>outh Australia</w:t>
            </w:r>
            <w:r w:rsidR="009F1223" w:rsidRPr="002E4EC0">
              <w:rPr>
                <w:rFonts w:cs="Arial"/>
                <w:szCs w:val="20"/>
                <w:lang w:eastAsia="en-AU"/>
              </w:rPr>
              <w:t>,</w:t>
            </w:r>
            <w:r w:rsidR="00215804" w:rsidRPr="002E4EC0">
              <w:rPr>
                <w:rFonts w:cs="Arial"/>
                <w:szCs w:val="20"/>
                <w:lang w:eastAsia="en-AU"/>
              </w:rPr>
              <w:t xml:space="preserve"> </w:t>
            </w:r>
            <w:r w:rsidRPr="002E4EC0">
              <w:rPr>
                <w:rFonts w:cs="Arial"/>
                <w:szCs w:val="20"/>
                <w:lang w:eastAsia="en-AU"/>
              </w:rPr>
              <w:t xml:space="preserve"> </w:t>
            </w:r>
            <w:r w:rsidR="007405BB" w:rsidRPr="002E4EC0">
              <w:rPr>
                <w:rFonts w:cs="Arial"/>
                <w:szCs w:val="20"/>
                <w:lang w:eastAsia="en-AU"/>
              </w:rPr>
              <w:t>a</w:t>
            </w:r>
            <w:r w:rsidR="009F1223" w:rsidRPr="002E4EC0">
              <w:rPr>
                <w:rFonts w:cs="Arial"/>
                <w:szCs w:val="20"/>
                <w:lang w:eastAsia="en-AU"/>
              </w:rPr>
              <w:t xml:space="preserve">s well as </w:t>
            </w:r>
            <w:r w:rsidR="007405BB" w:rsidRPr="002E4EC0">
              <w:rPr>
                <w:rFonts w:cs="Arial"/>
                <w:szCs w:val="20"/>
                <w:lang w:eastAsia="en-AU"/>
              </w:rPr>
              <w:t xml:space="preserve"> in Germany - Vulkaneif</w:t>
            </w:r>
            <w:r w:rsidRPr="002E4EC0">
              <w:rPr>
                <w:rFonts w:cs="Arial"/>
                <w:szCs w:val="20"/>
                <w:lang w:eastAsia="en-AU"/>
              </w:rPr>
              <w:t>el</w:t>
            </w:r>
            <w:r w:rsidR="007405BB" w:rsidRPr="002E4EC0">
              <w:rPr>
                <w:rStyle w:val="FootnoteReference"/>
                <w:rFonts w:cs="Arial"/>
                <w:szCs w:val="20"/>
                <w:lang w:eastAsia="en-AU"/>
              </w:rPr>
              <w:footnoteReference w:id="3"/>
            </w:r>
            <w:r w:rsidR="007405BB" w:rsidRPr="002E4EC0">
              <w:rPr>
                <w:rFonts w:cs="Arial"/>
                <w:szCs w:val="20"/>
                <w:lang w:eastAsia="en-AU"/>
              </w:rPr>
              <w:t>)</w:t>
            </w:r>
            <w:r w:rsidRPr="002E4EC0">
              <w:rPr>
                <w:rFonts w:cs="Arial"/>
                <w:szCs w:val="20"/>
                <w:lang w:eastAsia="en-AU"/>
              </w:rPr>
              <w:t xml:space="preserve"> which links key mining heritage sites across Australia (say one site/region in each jurisdiction)</w:t>
            </w:r>
            <w:r w:rsidR="00EA7467" w:rsidRPr="002E4EC0">
              <w:rPr>
                <w:rFonts w:cs="Arial"/>
                <w:szCs w:val="20"/>
                <w:lang w:eastAsia="en-AU"/>
              </w:rPr>
              <w:t xml:space="preserve"> and in the case of the latter to geological features</w:t>
            </w:r>
            <w:r w:rsidR="0094353E" w:rsidRPr="002E4EC0">
              <w:rPr>
                <w:rFonts w:cs="Arial"/>
                <w:szCs w:val="20"/>
                <w:lang w:eastAsia="en-AU"/>
              </w:rPr>
              <w:t xml:space="preserve"> (geosites)</w:t>
            </w:r>
            <w:r w:rsidR="00EA7467" w:rsidRPr="002E4EC0">
              <w:rPr>
                <w:rFonts w:cs="Arial"/>
                <w:szCs w:val="20"/>
                <w:lang w:eastAsia="en-AU"/>
              </w:rPr>
              <w:t>/heritage</w:t>
            </w:r>
            <w:r w:rsidRPr="002E4EC0">
              <w:rPr>
                <w:rFonts w:cs="Arial"/>
                <w:szCs w:val="20"/>
                <w:lang w:eastAsia="en-AU"/>
              </w:rPr>
              <w:t xml:space="preserve"> to attract </w:t>
            </w:r>
            <w:r w:rsidR="00EA7467" w:rsidRPr="002E4EC0">
              <w:rPr>
                <w:rFonts w:cs="Arial"/>
                <w:szCs w:val="20"/>
                <w:lang w:eastAsia="en-AU"/>
              </w:rPr>
              <w:t xml:space="preserve">tourism and other business revenue to regions </w:t>
            </w:r>
          </w:p>
          <w:p w:rsidR="006E08D9" w:rsidRPr="002E4EC0" w:rsidRDefault="006E08D9" w:rsidP="00D3011B">
            <w:pPr>
              <w:pStyle w:val="ListParagraph"/>
              <w:numPr>
                <w:ilvl w:val="0"/>
                <w:numId w:val="38"/>
              </w:numPr>
              <w:spacing w:before="60" w:after="60"/>
              <w:contextualSpacing w:val="0"/>
              <w:outlineLvl w:val="1"/>
              <w:rPr>
                <w:rFonts w:cs="Arial"/>
                <w:szCs w:val="20"/>
                <w:lang w:eastAsia="en-AU"/>
              </w:rPr>
            </w:pPr>
            <w:r w:rsidRPr="002E4EC0">
              <w:rPr>
                <w:rFonts w:cs="Arial"/>
                <w:szCs w:val="20"/>
                <w:lang w:eastAsia="en-AU"/>
              </w:rPr>
              <w:t xml:space="preserve">Establishing a </w:t>
            </w:r>
            <w:r w:rsidR="007405BB" w:rsidRPr="002E4EC0">
              <w:rPr>
                <w:rFonts w:cs="Arial"/>
                <w:szCs w:val="20"/>
                <w:lang w:eastAsia="en-AU"/>
              </w:rPr>
              <w:t xml:space="preserve">national </w:t>
            </w:r>
            <w:r w:rsidRPr="002E4EC0">
              <w:rPr>
                <w:rFonts w:cs="Arial"/>
                <w:szCs w:val="20"/>
                <w:lang w:eastAsia="en-AU"/>
              </w:rPr>
              <w:t>geological heritage</w:t>
            </w:r>
            <w:r w:rsidR="007405BB" w:rsidRPr="002E4EC0">
              <w:rPr>
                <w:rFonts w:cs="Arial"/>
                <w:szCs w:val="20"/>
                <w:lang w:eastAsia="en-AU"/>
              </w:rPr>
              <w:t xml:space="preserve"> network to encourage state/NT and local govt to seek out collaborators for interpreting and exhibiting unique elements of landscape (through national park networks and other/new frameworks</w:t>
            </w:r>
            <w:r w:rsidR="0094353E" w:rsidRPr="002E4EC0">
              <w:rPr>
                <w:rFonts w:cs="Arial"/>
                <w:szCs w:val="20"/>
                <w:lang w:eastAsia="en-AU"/>
              </w:rPr>
              <w:t xml:space="preserve"> such as the Australian National Landscapes</w:t>
            </w:r>
            <w:r w:rsidR="007E58CC" w:rsidRPr="002E4EC0">
              <w:rPr>
                <w:rFonts w:cs="Arial"/>
                <w:szCs w:val="20"/>
                <w:lang w:eastAsia="en-AU"/>
              </w:rPr>
              <w:t xml:space="preserve"> Program</w:t>
            </w:r>
            <w:r w:rsidR="007405BB" w:rsidRPr="002E4EC0">
              <w:rPr>
                <w:rFonts w:cs="Arial"/>
                <w:szCs w:val="20"/>
                <w:lang w:eastAsia="en-AU"/>
              </w:rPr>
              <w:t>)</w:t>
            </w:r>
          </w:p>
          <w:p w:rsidR="007405BB" w:rsidRPr="002E4EC0" w:rsidRDefault="007405BB" w:rsidP="007405BB">
            <w:pPr>
              <w:pStyle w:val="ListParagraph"/>
              <w:numPr>
                <w:ilvl w:val="0"/>
                <w:numId w:val="38"/>
              </w:numPr>
              <w:spacing w:before="60" w:after="60"/>
              <w:contextualSpacing w:val="0"/>
              <w:outlineLvl w:val="1"/>
              <w:rPr>
                <w:rFonts w:cs="Arial"/>
                <w:szCs w:val="20"/>
                <w:lang w:eastAsia="en-AU"/>
              </w:rPr>
            </w:pPr>
            <w:r w:rsidRPr="002E4EC0">
              <w:rPr>
                <w:rFonts w:cs="Arial"/>
                <w:szCs w:val="20"/>
                <w:lang w:eastAsia="en-AU"/>
              </w:rPr>
              <w:t>Place on the agenda of</w:t>
            </w:r>
            <w:r w:rsidR="001608DD">
              <w:rPr>
                <w:rFonts w:cs="Arial"/>
                <w:szCs w:val="20"/>
                <w:lang w:eastAsia="en-AU"/>
              </w:rPr>
              <w:t xml:space="preserve"> the Council of Australian Governments’ (COAG)</w:t>
            </w:r>
            <w:r w:rsidRPr="002E4EC0">
              <w:rPr>
                <w:rFonts w:cs="Arial"/>
                <w:szCs w:val="20"/>
                <w:lang w:eastAsia="en-AU"/>
              </w:rPr>
              <w:t xml:space="preserve"> S</w:t>
            </w:r>
            <w:r w:rsidR="001608DD">
              <w:rPr>
                <w:rFonts w:cs="Arial"/>
                <w:szCs w:val="20"/>
                <w:lang w:eastAsia="en-AU"/>
              </w:rPr>
              <w:t>tanding Council on Energy and Resources (S</w:t>
            </w:r>
            <w:r w:rsidRPr="002E4EC0">
              <w:rPr>
                <w:rFonts w:cs="Arial"/>
                <w:szCs w:val="20"/>
                <w:lang w:eastAsia="en-AU"/>
              </w:rPr>
              <w:t>CER</w:t>
            </w:r>
            <w:r w:rsidR="001608DD">
              <w:rPr>
                <w:rFonts w:cs="Arial"/>
                <w:szCs w:val="20"/>
                <w:lang w:eastAsia="en-AU"/>
              </w:rPr>
              <w:t>)</w:t>
            </w:r>
            <w:r w:rsidRPr="002E4EC0">
              <w:rPr>
                <w:rFonts w:cs="Arial"/>
                <w:szCs w:val="20"/>
                <w:lang w:eastAsia="en-AU"/>
              </w:rPr>
              <w:t xml:space="preserve"> and </w:t>
            </w:r>
            <w:r w:rsidR="001608DD">
              <w:rPr>
                <w:rFonts w:cs="Arial"/>
                <w:szCs w:val="20"/>
                <w:lang w:eastAsia="en-AU"/>
              </w:rPr>
              <w:t>former Standing Council on Environment and Water (</w:t>
            </w:r>
            <w:r w:rsidRPr="002E4EC0">
              <w:rPr>
                <w:rFonts w:cs="Arial"/>
                <w:szCs w:val="20"/>
                <w:lang w:eastAsia="en-AU"/>
              </w:rPr>
              <w:t>SCEW</w:t>
            </w:r>
            <w:r w:rsidR="001608DD">
              <w:rPr>
                <w:rFonts w:cs="Arial"/>
                <w:szCs w:val="20"/>
                <w:lang w:eastAsia="en-AU"/>
              </w:rPr>
              <w:t>)</w:t>
            </w:r>
            <w:r w:rsidRPr="002E4EC0">
              <w:rPr>
                <w:rFonts w:cs="Arial"/>
                <w:szCs w:val="20"/>
                <w:lang w:eastAsia="en-AU"/>
              </w:rPr>
              <w:t xml:space="preserve"> the  implementation of the Strategic Framework for Managing abandoned mines in the minerals industry (MCMPR/MCA 2010) which would encourage support for heritage conservation effort to address with potential to stimulate local economies as they demonstrate ‘Valuing abandoned mines’ </w:t>
            </w:r>
            <w:r w:rsidRPr="002E4EC0">
              <w:rPr>
                <w:rStyle w:val="FootnoteReference"/>
                <w:rFonts w:cs="Arial"/>
                <w:szCs w:val="20"/>
                <w:lang w:eastAsia="en-AU"/>
              </w:rPr>
              <w:footnoteReference w:id="4"/>
            </w:r>
            <w:r w:rsidRPr="002E4EC0">
              <w:rPr>
                <w:rFonts w:cs="Arial"/>
                <w:szCs w:val="20"/>
                <w:lang w:eastAsia="en-AU"/>
              </w:rPr>
              <w:t xml:space="preserve"> </w:t>
            </w:r>
          </w:p>
          <w:p w:rsidR="007405BB" w:rsidRPr="002E4EC0" w:rsidRDefault="00C978FA" w:rsidP="007405BB">
            <w:pPr>
              <w:pStyle w:val="ListParagraph"/>
              <w:numPr>
                <w:ilvl w:val="0"/>
                <w:numId w:val="38"/>
              </w:numPr>
              <w:spacing w:before="60" w:after="60"/>
              <w:contextualSpacing w:val="0"/>
              <w:outlineLvl w:val="1"/>
              <w:rPr>
                <w:rFonts w:cs="Arial"/>
                <w:szCs w:val="20"/>
                <w:lang w:eastAsia="en-AU"/>
              </w:rPr>
            </w:pPr>
            <w:r w:rsidRPr="002E4EC0">
              <w:rPr>
                <w:rFonts w:cs="Arial"/>
                <w:szCs w:val="20"/>
                <w:lang w:eastAsia="en-AU"/>
              </w:rPr>
              <w:t>Support a leading practice mining heritage booklet within the Department of industry series of booklets on leading practice Sustainable Development in mining series (currently being updated</w:t>
            </w:r>
            <w:r w:rsidRPr="002E4EC0">
              <w:rPr>
                <w:rStyle w:val="FootnoteReference"/>
                <w:rFonts w:cs="Arial"/>
                <w:szCs w:val="20"/>
                <w:lang w:eastAsia="en-AU"/>
              </w:rPr>
              <w:footnoteReference w:id="5"/>
            </w:r>
            <w:r w:rsidRPr="002E4EC0">
              <w:rPr>
                <w:rFonts w:cs="Arial"/>
                <w:szCs w:val="20"/>
                <w:lang w:eastAsia="en-AU"/>
              </w:rPr>
              <w:t>)</w:t>
            </w:r>
          </w:p>
          <w:p w:rsidR="0094353E" w:rsidRPr="002E4EC0" w:rsidRDefault="0094353E" w:rsidP="007405BB">
            <w:pPr>
              <w:pStyle w:val="ListParagraph"/>
              <w:numPr>
                <w:ilvl w:val="0"/>
                <w:numId w:val="38"/>
              </w:numPr>
              <w:spacing w:before="60" w:after="60"/>
              <w:contextualSpacing w:val="0"/>
              <w:outlineLvl w:val="1"/>
              <w:rPr>
                <w:rFonts w:cs="Arial"/>
                <w:szCs w:val="20"/>
                <w:lang w:eastAsia="en-AU"/>
              </w:rPr>
            </w:pPr>
            <w:r w:rsidRPr="002E4EC0">
              <w:rPr>
                <w:rFonts w:cs="Arial"/>
                <w:szCs w:val="20"/>
                <w:lang w:eastAsia="en-AU"/>
              </w:rPr>
              <w:t>Nurture the development of digital-based applications (e.g. GeoTreat) which enable ready public access to identified mining heritage sites.</w:t>
            </w:r>
          </w:p>
          <w:p w:rsidR="00D3011B" w:rsidRPr="002E4EC0" w:rsidRDefault="00D3011B" w:rsidP="00D3011B">
            <w:pPr>
              <w:spacing w:before="60" w:after="60"/>
              <w:outlineLvl w:val="1"/>
              <w:rPr>
                <w:rFonts w:cs="Arial"/>
                <w:szCs w:val="20"/>
                <w:lang w:eastAsia="en-AU"/>
              </w:rPr>
            </w:pPr>
          </w:p>
          <w:p w:rsidR="00AF2302" w:rsidRPr="002E4EC0" w:rsidRDefault="00C978FA" w:rsidP="007D7775">
            <w:pPr>
              <w:spacing w:before="60" w:after="60"/>
              <w:outlineLvl w:val="1"/>
              <w:rPr>
                <w:rFonts w:cs="Arial"/>
                <w:szCs w:val="20"/>
                <w:lang w:eastAsia="en-AU"/>
              </w:rPr>
            </w:pPr>
            <w:r w:rsidRPr="002E4EC0">
              <w:rPr>
                <w:rFonts w:cs="Arial"/>
                <w:szCs w:val="20"/>
                <w:lang w:eastAsia="en-AU"/>
              </w:rPr>
              <w:t xml:space="preserve">By including mining heritage </w:t>
            </w:r>
            <w:r w:rsidR="0094353E" w:rsidRPr="002E4EC0">
              <w:rPr>
                <w:rFonts w:cs="Arial"/>
                <w:szCs w:val="20"/>
                <w:lang w:eastAsia="en-AU"/>
              </w:rPr>
              <w:t xml:space="preserve">and mining geoheritage </w:t>
            </w:r>
            <w:r w:rsidR="00D3011B" w:rsidRPr="002E4EC0">
              <w:rPr>
                <w:rFonts w:cs="Arial"/>
                <w:szCs w:val="20"/>
                <w:lang w:eastAsia="en-AU"/>
              </w:rPr>
              <w:t>in the A</w:t>
            </w:r>
            <w:r w:rsidR="00AF2302" w:rsidRPr="002E4EC0">
              <w:rPr>
                <w:rFonts w:cs="Arial"/>
                <w:szCs w:val="20"/>
                <w:lang w:eastAsia="en-AU"/>
              </w:rPr>
              <w:t xml:space="preserve">ustralian </w:t>
            </w:r>
            <w:r w:rsidR="00D3011B" w:rsidRPr="002E4EC0">
              <w:rPr>
                <w:rFonts w:cs="Arial"/>
                <w:szCs w:val="20"/>
                <w:lang w:eastAsia="en-AU"/>
              </w:rPr>
              <w:t>H</w:t>
            </w:r>
            <w:r w:rsidRPr="002E4EC0">
              <w:rPr>
                <w:rFonts w:cs="Arial"/>
                <w:szCs w:val="20"/>
                <w:lang w:eastAsia="en-AU"/>
              </w:rPr>
              <w:t xml:space="preserve">eritage </w:t>
            </w:r>
            <w:r w:rsidR="00D3011B" w:rsidRPr="002E4EC0">
              <w:rPr>
                <w:rFonts w:cs="Arial"/>
                <w:szCs w:val="20"/>
                <w:lang w:eastAsia="en-AU"/>
              </w:rPr>
              <w:t>S</w:t>
            </w:r>
            <w:r w:rsidRPr="002E4EC0">
              <w:rPr>
                <w:rFonts w:cs="Arial"/>
                <w:szCs w:val="20"/>
                <w:lang w:eastAsia="en-AU"/>
              </w:rPr>
              <w:t>trategy,</w:t>
            </w:r>
            <w:r w:rsidR="00D3011B" w:rsidRPr="002E4EC0">
              <w:rPr>
                <w:rFonts w:cs="Arial"/>
                <w:szCs w:val="20"/>
                <w:lang w:eastAsia="en-AU"/>
              </w:rPr>
              <w:t xml:space="preserve"> </w:t>
            </w:r>
            <w:smartTag w:uri="urn:schemas-microsoft-com:office:smarttags" w:element="country-region">
              <w:smartTag w:uri="urn:schemas-microsoft-com:office:smarttags" w:element="place">
                <w:r w:rsidR="00D3011B" w:rsidRPr="002E4EC0">
                  <w:rPr>
                    <w:rFonts w:cs="Arial"/>
                    <w:szCs w:val="20"/>
                    <w:lang w:eastAsia="en-AU"/>
                  </w:rPr>
                  <w:t>Australia</w:t>
                </w:r>
              </w:smartTag>
            </w:smartTag>
            <w:r w:rsidR="00D3011B" w:rsidRPr="002E4EC0">
              <w:rPr>
                <w:rFonts w:cs="Arial"/>
                <w:szCs w:val="20"/>
                <w:lang w:eastAsia="en-AU"/>
              </w:rPr>
              <w:t xml:space="preserve"> </w:t>
            </w:r>
            <w:r w:rsidRPr="002E4EC0">
              <w:rPr>
                <w:rFonts w:cs="Arial"/>
                <w:szCs w:val="20"/>
                <w:lang w:eastAsia="en-AU"/>
              </w:rPr>
              <w:t>may</w:t>
            </w:r>
            <w:r w:rsidR="00D3011B" w:rsidRPr="002E4EC0">
              <w:rPr>
                <w:rFonts w:cs="Arial"/>
                <w:szCs w:val="20"/>
                <w:lang w:eastAsia="en-AU"/>
              </w:rPr>
              <w:t xml:space="preserve"> embrace</w:t>
            </w:r>
            <w:r w:rsidRPr="002E4EC0">
              <w:rPr>
                <w:rFonts w:cs="Arial"/>
                <w:szCs w:val="20"/>
                <w:lang w:eastAsia="en-AU"/>
              </w:rPr>
              <w:t xml:space="preserve"> more fully than is currently the case, the</w:t>
            </w:r>
            <w:r w:rsidR="00D3011B" w:rsidRPr="002E4EC0">
              <w:rPr>
                <w:rFonts w:cs="Arial"/>
                <w:szCs w:val="20"/>
                <w:lang w:eastAsia="en-AU"/>
              </w:rPr>
              <w:t xml:space="preserve"> socio-economic benefits</w:t>
            </w:r>
            <w:r w:rsidRPr="002E4EC0">
              <w:rPr>
                <w:rFonts w:cs="Arial"/>
                <w:szCs w:val="20"/>
                <w:lang w:eastAsia="en-AU"/>
              </w:rPr>
              <w:t xml:space="preserve"> of tourism (and other adaptive re-uses for mining heritage)</w:t>
            </w:r>
            <w:r w:rsidR="00D3011B" w:rsidRPr="002E4EC0">
              <w:rPr>
                <w:rFonts w:cs="Arial"/>
                <w:szCs w:val="20"/>
                <w:lang w:eastAsia="en-AU"/>
              </w:rPr>
              <w:t xml:space="preserve"> after mining for those sites and regions where long mining histories and significant values exist.  Other nations </w:t>
            </w:r>
            <w:r w:rsidRPr="002E4EC0">
              <w:rPr>
                <w:rFonts w:cs="Arial"/>
                <w:szCs w:val="20"/>
                <w:lang w:eastAsia="en-AU"/>
              </w:rPr>
              <w:t>provide useful benchmarks on leadership in this space such as</w:t>
            </w:r>
            <w:r w:rsidR="00D3011B" w:rsidRPr="002E4EC0">
              <w:rPr>
                <w:rFonts w:cs="Arial"/>
                <w:szCs w:val="20"/>
                <w:lang w:eastAsia="en-AU"/>
              </w:rPr>
              <w:t xml:space="preserve"> th</w:t>
            </w:r>
            <w:r w:rsidRPr="002E4EC0">
              <w:rPr>
                <w:rFonts w:cs="Arial"/>
                <w:szCs w:val="20"/>
                <w:lang w:eastAsia="en-AU"/>
              </w:rPr>
              <w:t xml:space="preserve">e </w:t>
            </w:r>
            <w:smartTag w:uri="urn:schemas-microsoft-com:office:smarttags" w:element="country-region">
              <w:smartTag w:uri="urn:schemas-microsoft-com:office:smarttags" w:element="place">
                <w:r w:rsidRPr="002E4EC0">
                  <w:rPr>
                    <w:rFonts w:cs="Arial"/>
                    <w:szCs w:val="20"/>
                    <w:lang w:eastAsia="en-AU"/>
                  </w:rPr>
                  <w:t>United Kingdom</w:t>
                </w:r>
              </w:smartTag>
            </w:smartTag>
            <w:r w:rsidRPr="002E4EC0">
              <w:rPr>
                <w:rFonts w:cs="Arial"/>
                <w:szCs w:val="20"/>
                <w:lang w:eastAsia="en-AU"/>
              </w:rPr>
              <w:t xml:space="preserve">, </w:t>
            </w:r>
            <w:smartTag w:uri="urn:schemas-microsoft-com:office:smarttags" w:element="country-region">
              <w:smartTag w:uri="urn:schemas-microsoft-com:office:smarttags" w:element="place">
                <w:r w:rsidRPr="002E4EC0">
                  <w:rPr>
                    <w:rFonts w:cs="Arial"/>
                    <w:szCs w:val="20"/>
                    <w:lang w:eastAsia="en-AU"/>
                  </w:rPr>
                  <w:t>USA</w:t>
                </w:r>
              </w:smartTag>
            </w:smartTag>
            <w:r w:rsidRPr="002E4EC0">
              <w:rPr>
                <w:rFonts w:cs="Arial"/>
                <w:szCs w:val="20"/>
                <w:lang w:eastAsia="en-AU"/>
              </w:rPr>
              <w:t xml:space="preserve"> and </w:t>
            </w:r>
            <w:smartTag w:uri="urn:schemas-microsoft-com:office:smarttags" w:element="country-region">
              <w:smartTag w:uri="urn:schemas-microsoft-com:office:smarttags" w:element="place">
                <w:r w:rsidRPr="002E4EC0">
                  <w:rPr>
                    <w:rFonts w:cs="Arial"/>
                    <w:szCs w:val="20"/>
                    <w:lang w:eastAsia="en-AU"/>
                  </w:rPr>
                  <w:t>Germany</w:t>
                </w:r>
              </w:smartTag>
            </w:smartTag>
            <w:r w:rsidRPr="002E4EC0">
              <w:rPr>
                <w:rFonts w:cs="Arial"/>
                <w:szCs w:val="20"/>
                <w:lang w:eastAsia="en-AU"/>
              </w:rPr>
              <w:t xml:space="preserve"> and increasingly </w:t>
            </w:r>
            <w:smartTag w:uri="urn:schemas-microsoft-com:office:smarttags" w:element="country-region">
              <w:smartTag w:uri="urn:schemas-microsoft-com:office:smarttags" w:element="place">
                <w:r w:rsidRPr="002E4EC0">
                  <w:rPr>
                    <w:rFonts w:cs="Arial"/>
                    <w:szCs w:val="20"/>
                    <w:lang w:eastAsia="en-AU"/>
                  </w:rPr>
                  <w:t>China</w:t>
                </w:r>
              </w:smartTag>
            </w:smartTag>
            <w:r w:rsidRPr="002E4EC0">
              <w:rPr>
                <w:rFonts w:cs="Arial"/>
                <w:szCs w:val="20"/>
                <w:lang w:eastAsia="en-AU"/>
              </w:rPr>
              <w:t xml:space="preserve"> and </w:t>
            </w:r>
            <w:smartTag w:uri="urn:schemas-microsoft-com:office:smarttags" w:element="country-region">
              <w:smartTag w:uri="urn:schemas-microsoft-com:office:smarttags" w:element="place">
                <w:r w:rsidRPr="002E4EC0">
                  <w:rPr>
                    <w:rFonts w:cs="Arial"/>
                    <w:szCs w:val="20"/>
                    <w:lang w:eastAsia="en-AU"/>
                  </w:rPr>
                  <w:t>Korea</w:t>
                </w:r>
              </w:smartTag>
            </w:smartTag>
            <w:r w:rsidRPr="002E4EC0">
              <w:rPr>
                <w:rFonts w:cs="Arial"/>
                <w:szCs w:val="20"/>
                <w:lang w:eastAsia="en-AU"/>
              </w:rPr>
              <w:t xml:space="preserve">. The educational value as well as </w:t>
            </w:r>
            <w:r w:rsidR="00AF2302" w:rsidRPr="002E4EC0">
              <w:rPr>
                <w:rFonts w:cs="Arial"/>
                <w:szCs w:val="20"/>
                <w:lang w:eastAsia="en-AU"/>
              </w:rPr>
              <w:t xml:space="preserve">connection of communities to mining are potentially undervalued in a nation which relies heavily upon and will continue to do so, the mining sector and access to new areas for mining in </w:t>
            </w:r>
            <w:smartTag w:uri="urn:schemas-microsoft-com:office:smarttags" w:element="country-region">
              <w:smartTag w:uri="urn:schemas-microsoft-com:office:smarttags" w:element="place">
                <w:r w:rsidR="00AF2302" w:rsidRPr="002E4EC0">
                  <w:rPr>
                    <w:rFonts w:cs="Arial"/>
                    <w:szCs w:val="20"/>
                    <w:lang w:eastAsia="en-AU"/>
                  </w:rPr>
                  <w:t>Australia</w:t>
                </w:r>
              </w:smartTag>
            </w:smartTag>
            <w:r w:rsidR="00AF2302" w:rsidRPr="002E4EC0">
              <w:rPr>
                <w:rFonts w:cs="Arial"/>
                <w:szCs w:val="20"/>
                <w:lang w:eastAsia="en-AU"/>
              </w:rPr>
              <w:t xml:space="preserve">. The Multiple Land Use Framework (MLUF, under SCER) should also be integrated into this strategy to pursue opportunities for collaboration with industry and communities. </w:t>
            </w:r>
          </w:p>
          <w:p w:rsidR="001608DD" w:rsidRDefault="001608DD" w:rsidP="007D7775">
            <w:pPr>
              <w:spacing w:before="60" w:after="60"/>
              <w:outlineLvl w:val="1"/>
              <w:rPr>
                <w:rFonts w:cs="Arial"/>
                <w:szCs w:val="20"/>
                <w:lang w:eastAsia="en-AU"/>
              </w:rPr>
            </w:pPr>
          </w:p>
          <w:p w:rsidR="00B959CB" w:rsidRPr="001608DD" w:rsidRDefault="001608DD" w:rsidP="007D7775">
            <w:pPr>
              <w:spacing w:before="60" w:after="60"/>
              <w:outlineLvl w:val="1"/>
              <w:rPr>
                <w:rFonts w:cs="Arial"/>
                <w:szCs w:val="20"/>
                <w:lang w:eastAsia="en-AU"/>
              </w:rPr>
            </w:pPr>
            <w:r w:rsidRPr="001608DD">
              <w:rPr>
                <w:rFonts w:cs="Arial"/>
                <w:szCs w:val="20"/>
                <w:lang w:eastAsia="en-AU"/>
              </w:rPr>
              <w:t>Potential p</w:t>
            </w:r>
            <w:r w:rsidR="00EE0A1B" w:rsidRPr="001608DD">
              <w:rPr>
                <w:rFonts w:cs="Arial"/>
                <w:szCs w:val="20"/>
                <w:lang w:eastAsia="en-AU"/>
              </w:rPr>
              <w:t>riority areas</w:t>
            </w:r>
            <w:r w:rsidR="00EA7467" w:rsidRPr="001608DD">
              <w:rPr>
                <w:rFonts w:cs="Arial"/>
                <w:szCs w:val="20"/>
                <w:lang w:eastAsia="en-AU"/>
              </w:rPr>
              <w:t xml:space="preserve"> for AusIMM </w:t>
            </w:r>
            <w:r w:rsidR="00EE0A1B" w:rsidRPr="001608DD">
              <w:rPr>
                <w:rFonts w:cs="Arial"/>
                <w:szCs w:val="20"/>
                <w:lang w:eastAsia="en-AU"/>
              </w:rPr>
              <w:t xml:space="preserve"> – </w:t>
            </w:r>
            <w:r>
              <w:rPr>
                <w:rFonts w:cs="Arial"/>
                <w:szCs w:val="20"/>
                <w:lang w:eastAsia="en-AU"/>
              </w:rPr>
              <w:t>work with federal, state and territory governments to promote greater utilisation of the capability and capacity of minerals</w:t>
            </w:r>
            <w:r w:rsidR="00EE0A1B" w:rsidRPr="001608DD">
              <w:rPr>
                <w:rFonts w:cs="Arial"/>
                <w:szCs w:val="20"/>
                <w:lang w:eastAsia="en-AU"/>
              </w:rPr>
              <w:t xml:space="preserve"> professionals </w:t>
            </w:r>
            <w:r w:rsidR="00AF2302" w:rsidRPr="001608DD">
              <w:rPr>
                <w:rFonts w:cs="Arial"/>
                <w:szCs w:val="20"/>
                <w:lang w:eastAsia="en-AU"/>
              </w:rPr>
              <w:t>to support the realisation of successful post-mining land uses in specific areas where communities value mining heritage conservation and adaptive re-use.</w:t>
            </w:r>
            <w:r w:rsidR="007E58CC" w:rsidRPr="001608DD">
              <w:rPr>
                <w:rFonts w:cs="Arial"/>
                <w:szCs w:val="20"/>
                <w:lang w:eastAsia="en-AU"/>
              </w:rPr>
              <w:t xml:space="preserve"> These professionals can also contribute knowledge and skills in geotourism activities which incorporate visits to heritage mining sites particularly within protected areas (e.g.</w:t>
            </w:r>
            <w:r w:rsidR="009F1223" w:rsidRPr="001608DD">
              <w:rPr>
                <w:rFonts w:cs="Arial"/>
                <w:szCs w:val="20"/>
                <w:lang w:eastAsia="en-AU"/>
              </w:rPr>
              <w:t xml:space="preserve"> Hill End and Yerranderie in NSW)</w:t>
            </w:r>
          </w:p>
          <w:p w:rsidR="00EE0A1B" w:rsidRPr="002E4EC0" w:rsidRDefault="00EE0A1B" w:rsidP="007D7775">
            <w:pPr>
              <w:spacing w:before="60" w:after="60"/>
              <w:outlineLvl w:val="1"/>
              <w:rPr>
                <w:rFonts w:cs="Arial"/>
                <w:sz w:val="24"/>
                <w:szCs w:val="24"/>
                <w:lang w:eastAsia="en-AU"/>
              </w:rPr>
            </w:pPr>
            <w:r w:rsidRPr="002E4EC0">
              <w:rPr>
                <w:rFonts w:cs="Arial"/>
                <w:szCs w:val="20"/>
                <w:lang w:eastAsia="en-AU"/>
              </w:rPr>
              <w:t>Collaborations which support communities after mine closure, to have sustainable socio-economic activities linked to historic land uses. All activities which soften the changes which can occur when mines close whether planned or unplanned. Ensuring abandoned mines with significant heritage values are supported by governments and communities into the future.</w:t>
            </w:r>
          </w:p>
          <w:p w:rsidR="00B959CB" w:rsidRPr="00B959CB" w:rsidRDefault="00B959CB" w:rsidP="007D7775">
            <w:pPr>
              <w:spacing w:before="60" w:after="60"/>
              <w:outlineLvl w:val="1"/>
              <w:rPr>
                <w:rFonts w:ascii="Calibri" w:hAnsi="Calibri"/>
                <w:sz w:val="24"/>
                <w:szCs w:val="24"/>
                <w:lang w:eastAsia="en-AU"/>
              </w:rPr>
            </w:pPr>
          </w:p>
        </w:tc>
      </w:tr>
      <w:tr w:rsidR="00B959CB" w:rsidTr="007E1AE6">
        <w:trPr>
          <w:trHeight w:val="809"/>
        </w:trPr>
        <w:tc>
          <w:tcPr>
            <w:tcW w:w="9075" w:type="dxa"/>
            <w:shd w:val="clear" w:color="auto" w:fill="C6D9F1"/>
          </w:tcPr>
          <w:p w:rsidR="00B959CB" w:rsidRPr="005D4CD1" w:rsidRDefault="00B959CB" w:rsidP="007D7775">
            <w:pPr>
              <w:pStyle w:val="ListNumber"/>
              <w:rPr>
                <w:b/>
              </w:rPr>
            </w:pPr>
            <w:r w:rsidRPr="005D4CD1">
              <w:rPr>
                <w:b/>
              </w:rPr>
              <w:t>Pursue Innovative Partnerships</w:t>
            </w:r>
          </w:p>
          <w:p w:rsidR="00B959CB" w:rsidRPr="005D4CD1" w:rsidRDefault="00B959CB" w:rsidP="007D7775">
            <w:pPr>
              <w:ind w:left="369"/>
              <w:rPr>
                <w:rFonts w:cs="Arial"/>
              </w:rPr>
            </w:pPr>
            <w:r w:rsidRPr="005D4CD1">
              <w:rPr>
                <w:rFonts w:cs="Arial"/>
              </w:rPr>
              <w:t xml:space="preserve">What partnerships are most needed within the heritage sector? </w:t>
            </w:r>
          </w:p>
          <w:p w:rsidR="00B959CB" w:rsidRPr="005D4CD1" w:rsidRDefault="00B959CB" w:rsidP="007D7775">
            <w:pPr>
              <w:ind w:left="369"/>
              <w:rPr>
                <w:rFonts w:cs="Arial"/>
              </w:rPr>
            </w:pPr>
            <w:r w:rsidRPr="005D4CD1">
              <w:rPr>
                <w:rFonts w:cs="Arial"/>
              </w:rPr>
              <w:t>What heritage roles and responsibilities should be led by governments, peak heritage organisations or community groups in the 21</w:t>
            </w:r>
            <w:r w:rsidRPr="005D4CD1">
              <w:rPr>
                <w:rFonts w:cs="Arial"/>
                <w:vertAlign w:val="superscript"/>
              </w:rPr>
              <w:t>st</w:t>
            </w:r>
            <w:r w:rsidRPr="005D4CD1">
              <w:rPr>
                <w:rFonts w:cs="Arial"/>
              </w:rPr>
              <w:t xml:space="preserve"> century? </w:t>
            </w:r>
          </w:p>
          <w:p w:rsidR="00B959CB" w:rsidRPr="005D4CD1" w:rsidRDefault="00B959CB" w:rsidP="007D7775">
            <w:pPr>
              <w:ind w:left="369"/>
              <w:rPr>
                <w:rFonts w:cs="Arial"/>
              </w:rPr>
            </w:pPr>
            <w:r w:rsidRPr="005D4CD1">
              <w:rPr>
                <w:rFonts w:cs="Arial"/>
              </w:rPr>
              <w:t xml:space="preserve">How should resources be shared through heritage partnerships to ensure the greatest return on agreed priorities? </w:t>
            </w:r>
          </w:p>
          <w:p w:rsidR="00B959CB" w:rsidRPr="005D4CD1" w:rsidRDefault="00B959CB" w:rsidP="007D7775">
            <w:pPr>
              <w:ind w:left="369"/>
              <w:rPr>
                <w:rFonts w:cs="Arial"/>
              </w:rPr>
            </w:pPr>
            <w:r w:rsidRPr="005D4CD1">
              <w:rPr>
                <w:rFonts w:cs="Arial"/>
              </w:rPr>
              <w:t>Can you provide examples of successful innovative partnerships you or your organisation have established?</w:t>
            </w:r>
          </w:p>
          <w:p w:rsidR="00B959CB" w:rsidRPr="00B959CB" w:rsidRDefault="00B959CB" w:rsidP="007D7775">
            <w:pPr>
              <w:spacing w:before="60" w:after="60"/>
              <w:outlineLvl w:val="1"/>
              <w:rPr>
                <w:rFonts w:ascii="Calibri" w:hAnsi="Calibri"/>
                <w:sz w:val="24"/>
                <w:szCs w:val="24"/>
                <w:lang w:eastAsia="en-AU"/>
              </w:rPr>
            </w:pPr>
          </w:p>
        </w:tc>
      </w:tr>
      <w:tr w:rsidR="00B959CB" w:rsidTr="007E1AE6">
        <w:trPr>
          <w:trHeight w:val="1119"/>
        </w:trPr>
        <w:tc>
          <w:tcPr>
            <w:tcW w:w="9075" w:type="dxa"/>
            <w:tcBorders>
              <w:bottom w:val="single" w:sz="4" w:space="0" w:color="auto"/>
            </w:tcBorders>
          </w:tcPr>
          <w:p w:rsidR="00B959CB" w:rsidRPr="002E4EC0" w:rsidRDefault="00B959CB" w:rsidP="007D7775">
            <w:pPr>
              <w:spacing w:before="60" w:after="60"/>
              <w:outlineLvl w:val="1"/>
              <w:rPr>
                <w:rFonts w:cs="Arial"/>
                <w:sz w:val="24"/>
                <w:szCs w:val="24"/>
                <w:lang w:eastAsia="en-AU"/>
              </w:rPr>
            </w:pPr>
          </w:p>
          <w:p w:rsidR="00B959CB" w:rsidRPr="002E4EC0" w:rsidRDefault="00EE0A1B" w:rsidP="007D7775">
            <w:pPr>
              <w:spacing w:before="60" w:after="60"/>
              <w:outlineLvl w:val="1"/>
              <w:rPr>
                <w:rFonts w:cs="Arial"/>
                <w:szCs w:val="20"/>
                <w:lang w:eastAsia="en-AU"/>
              </w:rPr>
            </w:pPr>
            <w:r w:rsidRPr="002E4EC0">
              <w:rPr>
                <w:rFonts w:cs="Arial"/>
                <w:szCs w:val="20"/>
                <w:lang w:eastAsia="en-AU"/>
              </w:rPr>
              <w:t>There is a need for transitional planning instruments, and case studies of success, which facilitate closing mines to transfer ownership of their significant mining heritage infrastructure and landscapes to new land owners and new uses.</w:t>
            </w:r>
          </w:p>
          <w:p w:rsidR="00EE0A1B" w:rsidRPr="002E4EC0" w:rsidRDefault="00EE0A1B" w:rsidP="007D7775">
            <w:pPr>
              <w:spacing w:before="60" w:after="60"/>
              <w:outlineLvl w:val="1"/>
              <w:rPr>
                <w:rFonts w:cs="Arial"/>
                <w:szCs w:val="20"/>
                <w:lang w:eastAsia="en-AU"/>
              </w:rPr>
            </w:pPr>
            <w:r w:rsidRPr="002E4EC0">
              <w:rPr>
                <w:rFonts w:cs="Arial"/>
                <w:szCs w:val="20"/>
                <w:lang w:eastAsia="en-AU"/>
              </w:rPr>
              <w:t>Leadership and collaboration frameworks are needed to provide the multi-di</w:t>
            </w:r>
            <w:r w:rsidR="00E66544" w:rsidRPr="002E4EC0">
              <w:rPr>
                <w:rFonts w:cs="Arial"/>
                <w:szCs w:val="20"/>
                <w:lang w:eastAsia="en-AU"/>
              </w:rPr>
              <w:t>s</w:t>
            </w:r>
            <w:r w:rsidRPr="002E4EC0">
              <w:rPr>
                <w:rFonts w:cs="Arial"/>
                <w:szCs w:val="20"/>
                <w:lang w:eastAsia="en-AU"/>
              </w:rPr>
              <w:t xml:space="preserve">ciplinary skills and planning </w:t>
            </w:r>
            <w:r w:rsidR="00EA7467" w:rsidRPr="002E4EC0">
              <w:rPr>
                <w:rFonts w:cs="Arial"/>
                <w:szCs w:val="20"/>
                <w:lang w:eastAsia="en-AU"/>
              </w:rPr>
              <w:t>tools to realise beneficial post-mining land uses. Not all jurisdictions have these. There are obstacles and hurdles and often a need to find a new path one mine at a time. Perhaps there are generic models, processes and pathways which need to be developed by governments in collaboration with industry. (there may be a need for a discussion paper exploring case studies here, Kalgoorlie WA, Burra, S</w:t>
            </w:r>
            <w:r w:rsidR="00277A8E">
              <w:rPr>
                <w:rFonts w:cs="Arial"/>
                <w:szCs w:val="20"/>
                <w:lang w:eastAsia="en-AU"/>
              </w:rPr>
              <w:t>outh Australia</w:t>
            </w:r>
            <w:r w:rsidR="00EA7467" w:rsidRPr="002E4EC0">
              <w:rPr>
                <w:rFonts w:cs="Arial"/>
                <w:szCs w:val="20"/>
                <w:lang w:eastAsia="en-AU"/>
              </w:rPr>
              <w:t xml:space="preserve"> and overseas </w:t>
            </w:r>
            <w:r w:rsidR="00277A8E" w:rsidRPr="002E4EC0">
              <w:rPr>
                <w:rFonts w:cs="Arial"/>
                <w:szCs w:val="20"/>
                <w:lang w:eastAsia="en-AU"/>
              </w:rPr>
              <w:t>e.g.</w:t>
            </w:r>
            <w:r w:rsidR="00EA7467" w:rsidRPr="002E4EC0">
              <w:rPr>
                <w:rFonts w:cs="Arial"/>
                <w:szCs w:val="20"/>
                <w:lang w:eastAsia="en-AU"/>
              </w:rPr>
              <w:t xml:space="preserve"> Geevor Tin Mine)</w:t>
            </w:r>
          </w:p>
          <w:p w:rsidR="00EA7467" w:rsidRPr="002E4EC0" w:rsidRDefault="00EA7467" w:rsidP="007D7775">
            <w:pPr>
              <w:spacing w:before="60" w:after="60"/>
              <w:outlineLvl w:val="1"/>
              <w:rPr>
                <w:rFonts w:cs="Arial"/>
                <w:szCs w:val="20"/>
                <w:lang w:eastAsia="en-AU"/>
              </w:rPr>
            </w:pPr>
            <w:r w:rsidRPr="002E4EC0">
              <w:rPr>
                <w:rFonts w:cs="Arial"/>
                <w:szCs w:val="20"/>
                <w:lang w:eastAsia="en-AU"/>
              </w:rPr>
              <w:t xml:space="preserve">Partnerships with the mining sector could be explored </w:t>
            </w:r>
            <w:r w:rsidR="00E66544" w:rsidRPr="002E4EC0">
              <w:rPr>
                <w:rFonts w:cs="Arial"/>
                <w:szCs w:val="20"/>
                <w:lang w:eastAsia="en-AU"/>
              </w:rPr>
              <w:t>t</w:t>
            </w:r>
            <w:r w:rsidRPr="002E4EC0">
              <w:rPr>
                <w:rFonts w:cs="Arial"/>
                <w:szCs w:val="20"/>
                <w:lang w:eastAsia="en-AU"/>
              </w:rPr>
              <w:t xml:space="preserve">o bring the collective knowledge to key sites for the benefit of the broader Australian community and mining sector in </w:t>
            </w:r>
            <w:smartTag w:uri="urn:schemas-microsoft-com:office:smarttags" w:element="country-region">
              <w:smartTag w:uri="urn:schemas-microsoft-com:office:smarttags" w:element="place">
                <w:r w:rsidRPr="002E4EC0">
                  <w:rPr>
                    <w:rFonts w:cs="Arial"/>
                    <w:szCs w:val="20"/>
                    <w:lang w:eastAsia="en-AU"/>
                  </w:rPr>
                  <w:t>Australia</w:t>
                </w:r>
              </w:smartTag>
            </w:smartTag>
            <w:r w:rsidRPr="002E4EC0">
              <w:rPr>
                <w:rFonts w:cs="Arial"/>
                <w:szCs w:val="20"/>
                <w:lang w:eastAsia="en-AU"/>
              </w:rPr>
              <w:t>.</w:t>
            </w:r>
            <w:r w:rsidR="00E66544" w:rsidRPr="002E4EC0">
              <w:rPr>
                <w:rFonts w:cs="Arial"/>
                <w:szCs w:val="20"/>
                <w:lang w:eastAsia="en-AU"/>
              </w:rPr>
              <w:t xml:space="preserve"> In this context, there may be opportunities for the development of further mining-related geotrails, or even geoparks which serve to foster regional development priorities of government.</w:t>
            </w:r>
          </w:p>
          <w:p w:rsidR="00B959CB" w:rsidRDefault="00EA7467" w:rsidP="007D7775">
            <w:pPr>
              <w:spacing w:before="60" w:after="60"/>
              <w:outlineLvl w:val="1"/>
              <w:rPr>
                <w:rFonts w:cs="Arial"/>
                <w:szCs w:val="20"/>
                <w:lang w:eastAsia="en-AU"/>
              </w:rPr>
            </w:pPr>
            <w:r w:rsidRPr="002E4EC0">
              <w:rPr>
                <w:rFonts w:cs="Arial"/>
                <w:szCs w:val="20"/>
                <w:lang w:eastAsia="en-AU"/>
              </w:rPr>
              <w:t xml:space="preserve">Successful innovative partnerships can be found in existing programs and perhaps research could be funded to elicit those particularly supportive of developing mining heritage tourism (such as QHTN- </w:t>
            </w:r>
            <w:r w:rsidR="00B46F90" w:rsidRPr="002E4EC0">
              <w:rPr>
                <w:rFonts w:cs="Arial"/>
                <w:szCs w:val="20"/>
                <w:lang w:eastAsia="en-AU"/>
              </w:rPr>
              <w:t>Q</w:t>
            </w:r>
            <w:r w:rsidR="00E54AF6" w:rsidRPr="002E4EC0">
              <w:rPr>
                <w:rFonts w:cs="Arial"/>
                <w:szCs w:val="20"/>
                <w:lang w:eastAsia="en-AU"/>
              </w:rPr>
              <w:t>ueensland</w:t>
            </w:r>
            <w:r w:rsidRPr="002E4EC0">
              <w:rPr>
                <w:rFonts w:cs="Arial"/>
                <w:szCs w:val="20"/>
                <w:lang w:eastAsia="en-AU"/>
              </w:rPr>
              <w:t xml:space="preserve"> </w:t>
            </w:r>
            <w:r w:rsidR="002A6493" w:rsidRPr="002E4EC0">
              <w:rPr>
                <w:rFonts w:cs="Arial"/>
                <w:szCs w:val="20"/>
                <w:lang w:eastAsia="en-AU"/>
              </w:rPr>
              <w:t>H</w:t>
            </w:r>
            <w:r w:rsidRPr="002E4EC0">
              <w:rPr>
                <w:rFonts w:cs="Arial"/>
                <w:szCs w:val="20"/>
                <w:lang w:eastAsia="en-AU"/>
              </w:rPr>
              <w:t xml:space="preserve">eritage </w:t>
            </w:r>
            <w:r w:rsidR="002A6493" w:rsidRPr="002E4EC0">
              <w:rPr>
                <w:rFonts w:cs="Arial"/>
                <w:szCs w:val="20"/>
                <w:lang w:eastAsia="en-AU"/>
              </w:rPr>
              <w:t>T</w:t>
            </w:r>
            <w:r w:rsidRPr="002E4EC0">
              <w:rPr>
                <w:rFonts w:cs="Arial"/>
                <w:szCs w:val="20"/>
                <w:lang w:eastAsia="en-AU"/>
              </w:rPr>
              <w:t xml:space="preserve">rail </w:t>
            </w:r>
            <w:r w:rsidR="002A6493" w:rsidRPr="002E4EC0">
              <w:rPr>
                <w:rFonts w:cs="Arial"/>
                <w:szCs w:val="20"/>
                <w:lang w:eastAsia="en-AU"/>
              </w:rPr>
              <w:t>N</w:t>
            </w:r>
            <w:r w:rsidRPr="002E4EC0">
              <w:rPr>
                <w:rFonts w:cs="Arial"/>
                <w:szCs w:val="20"/>
                <w:lang w:eastAsia="en-AU"/>
              </w:rPr>
              <w:t>etwork – Mount Morgan mine project – included state government environment and mines departments, and local community group to realise two projects – one on the mine and one in the town around 2000-2003)</w:t>
            </w:r>
            <w:r w:rsidR="00E54AF6" w:rsidRPr="002E4EC0">
              <w:rPr>
                <w:rFonts w:cs="Arial"/>
                <w:szCs w:val="20"/>
                <w:lang w:eastAsia="en-AU"/>
              </w:rPr>
              <w:t>.</w:t>
            </w:r>
          </w:p>
          <w:p w:rsidR="000979BD" w:rsidRPr="00B959CB" w:rsidRDefault="000979BD" w:rsidP="007D7775">
            <w:pPr>
              <w:spacing w:before="60" w:after="60"/>
              <w:outlineLvl w:val="1"/>
              <w:rPr>
                <w:rFonts w:ascii="Calibri" w:hAnsi="Calibri"/>
                <w:sz w:val="24"/>
                <w:szCs w:val="24"/>
                <w:lang w:eastAsia="en-AU"/>
              </w:rPr>
            </w:pPr>
          </w:p>
        </w:tc>
      </w:tr>
      <w:tr w:rsidR="00B959CB" w:rsidTr="007E1AE6">
        <w:trPr>
          <w:trHeight w:val="458"/>
        </w:trPr>
        <w:tc>
          <w:tcPr>
            <w:tcW w:w="9075" w:type="dxa"/>
            <w:shd w:val="clear" w:color="auto" w:fill="C6D9F1"/>
          </w:tcPr>
          <w:p w:rsidR="00B959CB" w:rsidRPr="005D4CD1" w:rsidRDefault="00B959CB" w:rsidP="007D7775">
            <w:pPr>
              <w:pStyle w:val="ListNumber"/>
              <w:rPr>
                <w:b/>
              </w:rPr>
            </w:pPr>
            <w:r w:rsidRPr="005D4CD1">
              <w:rPr>
                <w:b/>
              </w:rPr>
              <w:t>Enable encourage communities to understand and care for their heritage</w:t>
            </w:r>
          </w:p>
          <w:p w:rsidR="00B959CB" w:rsidRPr="005D4CD1" w:rsidRDefault="00B959CB" w:rsidP="007D7775">
            <w:pPr>
              <w:ind w:left="369"/>
              <w:rPr>
                <w:rFonts w:cs="Arial"/>
              </w:rPr>
            </w:pPr>
            <w:r w:rsidRPr="005D4CD1">
              <w:rPr>
                <w:rFonts w:cs="Arial"/>
              </w:rPr>
              <w:t xml:space="preserve">What should the Australian heritage sector be doing to help the Australian community better engage in heritage activities? </w:t>
            </w:r>
          </w:p>
          <w:p w:rsidR="00B959CB" w:rsidRPr="005D4CD1" w:rsidRDefault="00B959CB" w:rsidP="007D7775">
            <w:pPr>
              <w:ind w:left="369"/>
              <w:rPr>
                <w:rFonts w:cs="Arial"/>
              </w:rPr>
            </w:pPr>
            <w:r w:rsidRPr="005D4CD1">
              <w:rPr>
                <w:rFonts w:cs="Arial"/>
              </w:rPr>
              <w:t xml:space="preserve">How can a shared understanding of our national heritage be developed and best celebrated together?  </w:t>
            </w:r>
          </w:p>
          <w:p w:rsidR="00B959CB" w:rsidRPr="005D4CD1" w:rsidRDefault="00B959CB" w:rsidP="007D7775">
            <w:pPr>
              <w:ind w:left="369"/>
              <w:rPr>
                <w:rFonts w:cs="Arial"/>
              </w:rPr>
            </w:pPr>
            <w:r w:rsidRPr="005D4CD1">
              <w:rPr>
                <w:rFonts w:cs="Arial"/>
              </w:rPr>
              <w:t>Do you have any examples of activities that have been successful in promoting local heritage to a broader audience?</w:t>
            </w:r>
          </w:p>
          <w:p w:rsidR="00B959CB" w:rsidRPr="005D4CD1" w:rsidRDefault="00B959CB" w:rsidP="007D7775">
            <w:pPr>
              <w:ind w:left="369"/>
              <w:rPr>
                <w:rFonts w:cs="Arial"/>
              </w:rPr>
            </w:pPr>
            <w:r w:rsidRPr="005D4CD1">
              <w:rPr>
                <w:rFonts w:cs="Arial"/>
              </w:rPr>
              <w:t>What is the role of technology and new media in providing greater community access to heritage?</w:t>
            </w:r>
          </w:p>
          <w:p w:rsidR="00B959CB" w:rsidRPr="005D4CD1" w:rsidRDefault="00B959CB" w:rsidP="007D7775">
            <w:pPr>
              <w:spacing w:before="60" w:after="60"/>
              <w:outlineLvl w:val="1"/>
              <w:rPr>
                <w:rFonts w:cs="Arial"/>
                <w:sz w:val="24"/>
                <w:szCs w:val="24"/>
                <w:lang w:eastAsia="en-AU"/>
              </w:rPr>
            </w:pPr>
          </w:p>
        </w:tc>
      </w:tr>
      <w:tr w:rsidR="00B959CB" w:rsidTr="007E1AE6">
        <w:trPr>
          <w:trHeight w:val="979"/>
        </w:trPr>
        <w:tc>
          <w:tcPr>
            <w:tcW w:w="9075" w:type="dxa"/>
            <w:tcBorders>
              <w:bottom w:val="single" w:sz="4" w:space="0" w:color="auto"/>
            </w:tcBorders>
          </w:tcPr>
          <w:p w:rsidR="00B959CB" w:rsidRPr="002E4EC0" w:rsidRDefault="00B959CB" w:rsidP="007D7775">
            <w:pPr>
              <w:spacing w:before="60" w:after="60"/>
              <w:outlineLvl w:val="1"/>
              <w:rPr>
                <w:rFonts w:cs="Arial"/>
                <w:sz w:val="24"/>
                <w:szCs w:val="24"/>
                <w:lang w:eastAsia="en-AU"/>
              </w:rPr>
            </w:pPr>
          </w:p>
          <w:p w:rsidR="00B959CB" w:rsidRPr="002E4EC0" w:rsidRDefault="00EA7467" w:rsidP="007D7775">
            <w:pPr>
              <w:spacing w:before="60" w:after="60"/>
              <w:outlineLvl w:val="1"/>
              <w:rPr>
                <w:rFonts w:cs="Arial"/>
                <w:szCs w:val="20"/>
                <w:lang w:eastAsia="en-AU"/>
              </w:rPr>
            </w:pPr>
            <w:r w:rsidRPr="002E4EC0">
              <w:rPr>
                <w:rFonts w:cs="Arial"/>
                <w:szCs w:val="20"/>
                <w:lang w:eastAsia="en-AU"/>
              </w:rPr>
              <w:t xml:space="preserve">Showcasing successful projects and stories </w:t>
            </w:r>
            <w:r w:rsidR="00277A8E">
              <w:rPr>
                <w:rFonts w:cs="Arial"/>
                <w:szCs w:val="20"/>
                <w:lang w:eastAsia="en-AU"/>
              </w:rPr>
              <w:t>e.g.</w:t>
            </w:r>
            <w:r w:rsidRPr="002E4EC0">
              <w:rPr>
                <w:rFonts w:cs="Arial"/>
                <w:szCs w:val="20"/>
                <w:lang w:eastAsia="en-AU"/>
              </w:rPr>
              <w:t xml:space="preserve"> Geevor Tin Mine in Cornwall as an example of multi-group involvement – regional council, local historical society, national trust and mining sector (retired professionals) to develop a vibrant tourism entity which sustains a community, provides employment and builds capacity.</w:t>
            </w:r>
            <w:r w:rsidRPr="002E4EC0">
              <w:rPr>
                <w:rStyle w:val="FootnoteReference"/>
                <w:rFonts w:cs="Arial"/>
                <w:szCs w:val="20"/>
                <w:lang w:eastAsia="en-AU"/>
              </w:rPr>
              <w:footnoteReference w:id="6"/>
            </w:r>
          </w:p>
          <w:p w:rsidR="00756F4B" w:rsidRPr="002E4EC0" w:rsidRDefault="00756F4B" w:rsidP="007D7775">
            <w:pPr>
              <w:spacing w:before="60" w:after="60"/>
              <w:outlineLvl w:val="1"/>
              <w:rPr>
                <w:rFonts w:cs="Arial"/>
                <w:szCs w:val="20"/>
                <w:lang w:eastAsia="en-AU"/>
              </w:rPr>
            </w:pPr>
            <w:r w:rsidRPr="002E4EC0">
              <w:rPr>
                <w:rFonts w:cs="Arial"/>
                <w:szCs w:val="20"/>
                <w:lang w:eastAsia="en-AU"/>
              </w:rPr>
              <w:t xml:space="preserve">Through research make available these useful case studies and make them available on a government hosted webpage – use technology to develop an interactive spatial data base to locate the sites within </w:t>
            </w:r>
            <w:smartTag w:uri="urn:schemas-microsoft-com:office:smarttags" w:element="country-region">
              <w:smartTag w:uri="urn:schemas-microsoft-com:office:smarttags" w:element="place">
                <w:r w:rsidRPr="002E4EC0">
                  <w:rPr>
                    <w:rFonts w:cs="Arial"/>
                    <w:szCs w:val="20"/>
                    <w:lang w:eastAsia="en-AU"/>
                  </w:rPr>
                  <w:t>Australia</w:t>
                </w:r>
              </w:smartTag>
            </w:smartTag>
            <w:r w:rsidRPr="002E4EC0">
              <w:rPr>
                <w:rFonts w:cs="Arial"/>
                <w:szCs w:val="20"/>
                <w:lang w:eastAsia="en-AU"/>
              </w:rPr>
              <w:t xml:space="preserve"> and take the community on a virtual tour through a range of mining heritage sites linked to tourism, education and businesses to regions.</w:t>
            </w:r>
          </w:p>
          <w:p w:rsidR="00756F4B" w:rsidRPr="002E4EC0" w:rsidRDefault="00756F4B" w:rsidP="007D7775">
            <w:pPr>
              <w:spacing w:before="60" w:after="60"/>
              <w:outlineLvl w:val="1"/>
              <w:rPr>
                <w:rFonts w:cs="Arial"/>
                <w:szCs w:val="20"/>
                <w:lang w:eastAsia="en-AU"/>
              </w:rPr>
            </w:pPr>
            <w:r w:rsidRPr="002E4EC0">
              <w:rPr>
                <w:rFonts w:cs="Arial"/>
                <w:szCs w:val="20"/>
                <w:lang w:eastAsia="en-AU"/>
              </w:rPr>
              <w:t xml:space="preserve">Geosciences </w:t>
            </w:r>
            <w:smartTag w:uri="urn:schemas-microsoft-com:office:smarttags" w:element="country-region">
              <w:smartTag w:uri="urn:schemas-microsoft-com:office:smarttags" w:element="place">
                <w:r w:rsidRPr="002E4EC0">
                  <w:rPr>
                    <w:rFonts w:cs="Arial"/>
                    <w:szCs w:val="20"/>
                    <w:lang w:eastAsia="en-AU"/>
                  </w:rPr>
                  <w:t>Australia</w:t>
                </w:r>
              </w:smartTag>
            </w:smartTag>
            <w:r w:rsidRPr="002E4EC0">
              <w:rPr>
                <w:rFonts w:cs="Arial"/>
                <w:szCs w:val="20"/>
                <w:lang w:eastAsia="en-AU"/>
              </w:rPr>
              <w:t xml:space="preserve"> may have databases which can be used in conjunction with mining heritage databases from each state to identify significant mining sites/regions with potential for development or linkages through a national heritage trail network.</w:t>
            </w:r>
          </w:p>
          <w:p w:rsidR="00756F4B" w:rsidRPr="002E4EC0" w:rsidRDefault="00756F4B" w:rsidP="007D7775">
            <w:pPr>
              <w:spacing w:before="60" w:after="60"/>
              <w:outlineLvl w:val="1"/>
              <w:rPr>
                <w:rFonts w:cs="Arial"/>
                <w:szCs w:val="20"/>
                <w:lang w:eastAsia="en-AU"/>
              </w:rPr>
            </w:pPr>
            <w:r w:rsidRPr="002E4EC0">
              <w:rPr>
                <w:rFonts w:cs="Arial"/>
                <w:szCs w:val="20"/>
                <w:lang w:eastAsia="en-AU"/>
              </w:rPr>
              <w:t xml:space="preserve">The South Australian </w:t>
            </w:r>
            <w:r w:rsidR="00EB4B2B" w:rsidRPr="002E4EC0">
              <w:rPr>
                <w:rFonts w:cs="Arial"/>
                <w:szCs w:val="20"/>
                <w:lang w:eastAsia="en-AU"/>
              </w:rPr>
              <w:t>G</w:t>
            </w:r>
            <w:r w:rsidRPr="002E4EC0">
              <w:rPr>
                <w:rFonts w:cs="Arial"/>
                <w:szCs w:val="20"/>
                <w:lang w:eastAsia="en-AU"/>
              </w:rPr>
              <w:t>overnment (PIRSA) has a good heritage trail network map with supporting data – few jurisdictions have this in Australia.</w:t>
            </w:r>
          </w:p>
          <w:p w:rsidR="00756F4B" w:rsidRPr="002E4EC0" w:rsidRDefault="00756F4B" w:rsidP="007D7775">
            <w:pPr>
              <w:spacing w:before="60" w:after="60"/>
              <w:outlineLvl w:val="1"/>
              <w:rPr>
                <w:rFonts w:cs="Arial"/>
                <w:szCs w:val="20"/>
                <w:lang w:eastAsia="en-AU"/>
              </w:rPr>
            </w:pPr>
            <w:r w:rsidRPr="002E4EC0">
              <w:rPr>
                <w:rFonts w:cs="Arial"/>
                <w:szCs w:val="20"/>
                <w:lang w:eastAsia="en-AU"/>
              </w:rPr>
              <w:t xml:space="preserve">Burra heritage trail , SA another useful model for reference at a local level </w:t>
            </w:r>
          </w:p>
          <w:p w:rsidR="00364CCB" w:rsidRPr="002E4EC0" w:rsidRDefault="00364CCB" w:rsidP="007D7775">
            <w:pPr>
              <w:spacing w:before="60" w:after="60"/>
              <w:outlineLvl w:val="1"/>
              <w:rPr>
                <w:rFonts w:cs="Arial"/>
                <w:szCs w:val="20"/>
                <w:lang w:eastAsia="en-AU"/>
              </w:rPr>
            </w:pPr>
            <w:r w:rsidRPr="002E4EC0">
              <w:rPr>
                <w:rFonts w:cs="Arial"/>
                <w:szCs w:val="20"/>
                <w:lang w:eastAsia="en-AU"/>
              </w:rPr>
              <w:t xml:space="preserve">Learn from Eden Project in Cornwall England – how a ‘wow’ site in one region attracts other businesses and innovation </w:t>
            </w:r>
            <w:r w:rsidR="00EB4B2B" w:rsidRPr="002E4EC0">
              <w:rPr>
                <w:rFonts w:cs="Arial"/>
                <w:szCs w:val="20"/>
                <w:lang w:eastAsia="en-AU"/>
              </w:rPr>
              <w:t>i.e.</w:t>
            </w:r>
            <w:r w:rsidRPr="002E4EC0">
              <w:rPr>
                <w:rFonts w:cs="Arial"/>
                <w:szCs w:val="20"/>
                <w:lang w:eastAsia="en-AU"/>
              </w:rPr>
              <w:t xml:space="preserve"> Imerys Eco-towns project in former clay mined areas. This is such an under-developed element of Australian society to date.</w:t>
            </w:r>
          </w:p>
          <w:p w:rsidR="00756F4B" w:rsidRPr="002E4EC0" w:rsidRDefault="00756F4B" w:rsidP="007D7775">
            <w:pPr>
              <w:spacing w:before="60" w:after="60"/>
              <w:outlineLvl w:val="1"/>
              <w:rPr>
                <w:rFonts w:cs="Arial"/>
                <w:szCs w:val="20"/>
                <w:lang w:eastAsia="en-AU"/>
              </w:rPr>
            </w:pPr>
          </w:p>
          <w:p w:rsidR="00756F4B" w:rsidRPr="002E4EC0" w:rsidRDefault="00756F4B" w:rsidP="007D7775">
            <w:pPr>
              <w:spacing w:before="60" w:after="60"/>
              <w:outlineLvl w:val="1"/>
              <w:rPr>
                <w:rFonts w:cs="Arial"/>
                <w:szCs w:val="20"/>
                <w:lang w:eastAsia="en-AU"/>
              </w:rPr>
            </w:pPr>
            <w:r w:rsidRPr="002E4EC0">
              <w:rPr>
                <w:rFonts w:cs="Arial"/>
                <w:szCs w:val="20"/>
                <w:lang w:eastAsia="en-AU"/>
              </w:rPr>
              <w:t>National heritage trail could Link Kalgoorlie goldfields in WA with Burra and other sites on the SA mining heritage trail (e</w:t>
            </w:r>
            <w:r w:rsidR="00A937F2" w:rsidRPr="002E4EC0">
              <w:rPr>
                <w:rFonts w:cs="Arial"/>
                <w:szCs w:val="20"/>
                <w:lang w:eastAsia="en-AU"/>
              </w:rPr>
              <w:t>.</w:t>
            </w:r>
            <w:r w:rsidRPr="002E4EC0">
              <w:rPr>
                <w:rFonts w:cs="Arial"/>
                <w:szCs w:val="20"/>
                <w:lang w:eastAsia="en-AU"/>
              </w:rPr>
              <w:t>g</w:t>
            </w:r>
            <w:r w:rsidR="00A937F2" w:rsidRPr="002E4EC0">
              <w:rPr>
                <w:rFonts w:cs="Arial"/>
                <w:szCs w:val="20"/>
                <w:lang w:eastAsia="en-AU"/>
              </w:rPr>
              <w:t>.</w:t>
            </w:r>
            <w:r w:rsidRPr="002E4EC0">
              <w:rPr>
                <w:rFonts w:cs="Arial"/>
                <w:szCs w:val="20"/>
                <w:lang w:eastAsia="en-AU"/>
              </w:rPr>
              <w:t xml:space="preserve"> Kapunda, oldest mine in SA) and this could be linked to Victorian goldfields and townships (Ballarat/Bendigo) and then to Tasmania’s west coast Queenstown and heritage rail to Strahan</w:t>
            </w:r>
            <w:r w:rsidR="00E66544" w:rsidRPr="002E4EC0">
              <w:rPr>
                <w:rFonts w:cs="Arial"/>
                <w:szCs w:val="20"/>
                <w:lang w:eastAsia="en-AU"/>
              </w:rPr>
              <w:t xml:space="preserve"> (i.e. the Cradle Coast GeoTrail) </w:t>
            </w:r>
            <w:r w:rsidR="00A937F2" w:rsidRPr="002E4EC0">
              <w:rPr>
                <w:rFonts w:cs="Arial"/>
                <w:szCs w:val="20"/>
                <w:lang w:eastAsia="en-AU"/>
              </w:rPr>
              <w:t xml:space="preserve"> </w:t>
            </w:r>
            <w:r w:rsidRPr="002E4EC0">
              <w:rPr>
                <w:rFonts w:cs="Arial"/>
                <w:szCs w:val="20"/>
                <w:lang w:eastAsia="en-AU"/>
              </w:rPr>
              <w:t>linked to NSW, Broken Hill then up to Mount Morgan, and Charters Towers, across to the NT where there is significant Chinese mining history.</w:t>
            </w:r>
          </w:p>
          <w:p w:rsidR="00B959CB" w:rsidRPr="002E4EC0" w:rsidRDefault="00B959CB" w:rsidP="007D7775">
            <w:pPr>
              <w:spacing w:before="60" w:after="60"/>
              <w:outlineLvl w:val="1"/>
              <w:rPr>
                <w:rFonts w:cs="Arial"/>
                <w:szCs w:val="20"/>
                <w:lang w:eastAsia="en-AU"/>
              </w:rPr>
            </w:pPr>
          </w:p>
          <w:p w:rsidR="00756F4B" w:rsidRPr="000979BD" w:rsidRDefault="00BE3DE0" w:rsidP="007D7775">
            <w:pPr>
              <w:spacing w:before="60" w:after="60"/>
              <w:outlineLvl w:val="1"/>
              <w:rPr>
                <w:rFonts w:cs="Arial"/>
                <w:szCs w:val="20"/>
                <w:lang w:eastAsia="en-AU"/>
              </w:rPr>
            </w:pPr>
            <w:r w:rsidRPr="002E4EC0">
              <w:rPr>
                <w:rFonts w:cs="Arial"/>
                <w:szCs w:val="20"/>
                <w:lang w:eastAsia="en-AU"/>
              </w:rPr>
              <w:t>Both the GeoTreat and Mining Modern Trail applications are developed  and readily available on smartphone platforms and enable ready access to packaged information ‘bites’ about geoheritage and mining sites. Emerging GPS technology platforms (</w:t>
            </w:r>
            <w:r w:rsidR="00416CE3" w:rsidRPr="002E4EC0">
              <w:rPr>
                <w:rFonts w:cs="Arial"/>
                <w:szCs w:val="20"/>
                <w:lang w:eastAsia="en-AU"/>
              </w:rPr>
              <w:t>e.g.</w:t>
            </w:r>
            <w:r w:rsidRPr="002E4EC0">
              <w:rPr>
                <w:rFonts w:cs="Arial"/>
                <w:szCs w:val="20"/>
                <w:lang w:eastAsia="en-AU"/>
              </w:rPr>
              <w:t xml:space="preserve"> Geepers.com) provide an innovative means of ‘tagging’ sites. Australia has well developed GIS systems which service the mining and exploration industries and these platforms could be harnessed to capture key heritage locations.</w:t>
            </w:r>
          </w:p>
        </w:tc>
      </w:tr>
      <w:tr w:rsidR="00B959CB" w:rsidTr="007E1AE6">
        <w:trPr>
          <w:trHeight w:val="407"/>
        </w:trPr>
        <w:tc>
          <w:tcPr>
            <w:tcW w:w="9075" w:type="dxa"/>
            <w:shd w:val="clear" w:color="auto" w:fill="C6D9F1"/>
          </w:tcPr>
          <w:p w:rsidR="00B959CB" w:rsidRPr="00B959CB" w:rsidRDefault="00EB7FBD" w:rsidP="007D7775">
            <w:pPr>
              <w:spacing w:before="60" w:after="60"/>
              <w:outlineLvl w:val="1"/>
              <w:rPr>
                <w:rFonts w:ascii="Calibri" w:hAnsi="Calibri"/>
                <w:b/>
                <w:sz w:val="24"/>
                <w:szCs w:val="24"/>
                <w:lang w:eastAsia="en-AU"/>
              </w:rPr>
            </w:pPr>
            <w:r>
              <w:rPr>
                <w:rFonts w:ascii="Calibri" w:hAnsi="Calibri"/>
                <w:b/>
                <w:sz w:val="24"/>
                <w:szCs w:val="24"/>
                <w:lang w:eastAsia="en-AU"/>
              </w:rPr>
              <w:t xml:space="preserve">4. </w:t>
            </w:r>
            <w:r w:rsidR="00B959CB" w:rsidRPr="00B959CB">
              <w:rPr>
                <w:rFonts w:ascii="Calibri" w:hAnsi="Calibri"/>
                <w:b/>
                <w:sz w:val="24"/>
                <w:szCs w:val="24"/>
                <w:lang w:eastAsia="en-AU"/>
              </w:rPr>
              <w:t>Other comments</w:t>
            </w:r>
          </w:p>
        </w:tc>
      </w:tr>
      <w:tr w:rsidR="00B959CB" w:rsidTr="007E1AE6">
        <w:trPr>
          <w:trHeight w:val="847"/>
        </w:trPr>
        <w:tc>
          <w:tcPr>
            <w:tcW w:w="9075" w:type="dxa"/>
          </w:tcPr>
          <w:p w:rsidR="00B959CB" w:rsidRPr="002E4EC0" w:rsidRDefault="00B959CB" w:rsidP="007D7775">
            <w:pPr>
              <w:spacing w:before="60" w:after="60"/>
              <w:outlineLvl w:val="1"/>
              <w:rPr>
                <w:rFonts w:cs="Arial"/>
                <w:szCs w:val="20"/>
                <w:lang w:eastAsia="en-AU"/>
              </w:rPr>
            </w:pPr>
          </w:p>
          <w:p w:rsidR="00B959CB" w:rsidRPr="002E4EC0" w:rsidRDefault="00BE1CED" w:rsidP="007D7775">
            <w:pPr>
              <w:spacing w:before="60" w:after="60"/>
              <w:outlineLvl w:val="1"/>
              <w:rPr>
                <w:rFonts w:cs="Arial"/>
                <w:szCs w:val="20"/>
                <w:lang w:eastAsia="en-AU"/>
              </w:rPr>
            </w:pPr>
            <w:r w:rsidRPr="002E4EC0">
              <w:rPr>
                <w:rFonts w:cs="Arial"/>
                <w:szCs w:val="20"/>
                <w:lang w:eastAsia="en-AU"/>
              </w:rPr>
              <w:t xml:space="preserve">1. </w:t>
            </w:r>
            <w:r w:rsidR="00756F4B" w:rsidRPr="002E4EC0">
              <w:rPr>
                <w:rFonts w:cs="Arial"/>
                <w:szCs w:val="20"/>
                <w:lang w:eastAsia="en-AU"/>
              </w:rPr>
              <w:t xml:space="preserve">This </w:t>
            </w:r>
            <w:r w:rsidR="00364CCB" w:rsidRPr="002E4EC0">
              <w:rPr>
                <w:rFonts w:cs="Arial"/>
                <w:szCs w:val="20"/>
                <w:lang w:eastAsia="en-AU"/>
              </w:rPr>
              <w:t xml:space="preserve">strategy </w:t>
            </w:r>
            <w:r w:rsidR="00756F4B" w:rsidRPr="002E4EC0">
              <w:rPr>
                <w:rFonts w:cs="Arial"/>
                <w:szCs w:val="20"/>
                <w:lang w:eastAsia="en-AU"/>
              </w:rPr>
              <w:t xml:space="preserve">provides a significant opportunity for research on the socio-economic value of mining heritage tourism and other uses as part of regional development in </w:t>
            </w:r>
            <w:smartTag w:uri="urn:schemas-microsoft-com:office:smarttags" w:element="country-region">
              <w:smartTag w:uri="urn:schemas-microsoft-com:office:smarttags" w:element="place">
                <w:r w:rsidR="00756F4B" w:rsidRPr="002E4EC0">
                  <w:rPr>
                    <w:rFonts w:cs="Arial"/>
                    <w:szCs w:val="20"/>
                    <w:lang w:eastAsia="en-AU"/>
                  </w:rPr>
                  <w:t>Australia</w:t>
                </w:r>
              </w:smartTag>
            </w:smartTag>
            <w:r w:rsidR="00756F4B" w:rsidRPr="002E4EC0">
              <w:rPr>
                <w:rFonts w:cs="Arial"/>
                <w:szCs w:val="20"/>
                <w:lang w:eastAsia="en-AU"/>
              </w:rPr>
              <w:t>. This provides an economic focus on post-mining land use to embrace the opportunities which exist now and are likely to arise as older mines close over the next decade.</w:t>
            </w:r>
            <w:r w:rsidR="00364CCB" w:rsidRPr="002E4EC0">
              <w:rPr>
                <w:rFonts w:cs="Arial"/>
                <w:szCs w:val="20"/>
                <w:lang w:eastAsia="en-AU"/>
              </w:rPr>
              <w:t xml:space="preserve"> Regional communities need sustainable projects after mines close due to resource exhaustion and this is one potentially important aspect of sustainable regional communities. There is also a link through education and greater understanding of the value of mining to the Australian community to social license for future mining. There are synergistic opportunities for industry and gov</w:t>
            </w:r>
            <w:r w:rsidR="00BE3DE0" w:rsidRPr="002E4EC0">
              <w:rPr>
                <w:rFonts w:cs="Arial"/>
                <w:szCs w:val="20"/>
                <w:lang w:eastAsia="en-AU"/>
              </w:rPr>
              <w:t>ernments</w:t>
            </w:r>
            <w:r w:rsidR="00364CCB" w:rsidRPr="002E4EC0">
              <w:rPr>
                <w:rFonts w:cs="Arial"/>
                <w:szCs w:val="20"/>
                <w:lang w:eastAsia="en-AU"/>
              </w:rPr>
              <w:t xml:space="preserve"> and communities in historic mining communities if sufficient vision exists and leadership can provide the seed</w:t>
            </w:r>
            <w:r w:rsidR="00BE3DE0" w:rsidRPr="002E4EC0">
              <w:rPr>
                <w:rFonts w:cs="Arial"/>
                <w:szCs w:val="20"/>
                <w:lang w:eastAsia="en-AU"/>
              </w:rPr>
              <w:t>ing</w:t>
            </w:r>
            <w:r w:rsidR="00364CCB" w:rsidRPr="002E4EC0">
              <w:rPr>
                <w:rFonts w:cs="Arial"/>
                <w:szCs w:val="20"/>
                <w:lang w:eastAsia="en-AU"/>
              </w:rPr>
              <w:t xml:space="preserve"> and lead by example.</w:t>
            </w:r>
          </w:p>
          <w:p w:rsidR="00BE1CED" w:rsidRPr="002E4EC0" w:rsidRDefault="00BE1CED" w:rsidP="007D7775">
            <w:pPr>
              <w:spacing w:before="60" w:after="60"/>
              <w:outlineLvl w:val="1"/>
              <w:rPr>
                <w:rFonts w:cs="Arial"/>
                <w:szCs w:val="20"/>
                <w:lang w:eastAsia="en-AU"/>
              </w:rPr>
            </w:pPr>
          </w:p>
          <w:p w:rsidR="00BE1CED" w:rsidRPr="002E4EC0" w:rsidRDefault="00BE1CED" w:rsidP="007D7775">
            <w:pPr>
              <w:spacing w:before="60" w:after="60"/>
              <w:outlineLvl w:val="1"/>
              <w:rPr>
                <w:rFonts w:cs="Arial"/>
                <w:szCs w:val="20"/>
                <w:lang w:eastAsia="en-AU"/>
              </w:rPr>
            </w:pPr>
            <w:r w:rsidRPr="002E4EC0">
              <w:rPr>
                <w:rFonts w:cs="Arial"/>
                <w:szCs w:val="20"/>
                <w:lang w:eastAsia="en-AU"/>
              </w:rPr>
              <w:t xml:space="preserve">2. With its establishment dating back to 1893 and extensive historical archives of personal records and publications, The AusIMM can contribute significantly to expanding the knowledge base of the large number of professional people who have contributed significantly to the development of </w:t>
            </w:r>
            <w:smartTag w:uri="urn:schemas-microsoft-com:office:smarttags" w:element="country-region">
              <w:smartTag w:uri="urn:schemas-microsoft-com:office:smarttags" w:element="place">
                <w:r w:rsidRPr="002E4EC0">
                  <w:rPr>
                    <w:rFonts w:cs="Arial"/>
                    <w:szCs w:val="20"/>
                    <w:lang w:eastAsia="en-AU"/>
                  </w:rPr>
                  <w:t>Australia</w:t>
                </w:r>
              </w:smartTag>
            </w:smartTag>
            <w:r w:rsidRPr="002E4EC0">
              <w:rPr>
                <w:rFonts w:cs="Arial"/>
                <w:szCs w:val="20"/>
                <w:lang w:eastAsia="en-AU"/>
              </w:rPr>
              <w:t xml:space="preserve">’s mining heritage. </w:t>
            </w:r>
          </w:p>
          <w:p w:rsidR="00BE1CED" w:rsidRPr="002E4EC0" w:rsidRDefault="00BE1CED" w:rsidP="007D7775">
            <w:pPr>
              <w:spacing w:before="60" w:after="60"/>
              <w:outlineLvl w:val="1"/>
              <w:rPr>
                <w:rFonts w:cs="Arial"/>
                <w:szCs w:val="20"/>
                <w:lang w:eastAsia="en-AU"/>
              </w:rPr>
            </w:pPr>
          </w:p>
          <w:p w:rsidR="00A937F2" w:rsidRPr="002E4EC0" w:rsidRDefault="00BE1CED" w:rsidP="007D7775">
            <w:pPr>
              <w:spacing w:before="60" w:after="60"/>
              <w:outlineLvl w:val="1"/>
              <w:rPr>
                <w:rFonts w:cs="Arial"/>
                <w:szCs w:val="20"/>
                <w:lang w:eastAsia="en-AU"/>
              </w:rPr>
            </w:pPr>
            <w:r w:rsidRPr="002E4EC0">
              <w:rPr>
                <w:rFonts w:cs="Arial"/>
                <w:szCs w:val="20"/>
                <w:lang w:eastAsia="en-AU"/>
              </w:rPr>
              <w:t xml:space="preserve">3. </w:t>
            </w:r>
            <w:r w:rsidR="00A937F2" w:rsidRPr="002E4EC0">
              <w:rPr>
                <w:rFonts w:cs="Arial"/>
                <w:szCs w:val="20"/>
                <w:lang w:eastAsia="en-AU"/>
              </w:rPr>
              <w:t xml:space="preserve">There is a role for the Australian Government to encourage a higher level of collaboration </w:t>
            </w:r>
            <w:r w:rsidR="00BE3DE0" w:rsidRPr="002E4EC0">
              <w:rPr>
                <w:rFonts w:cs="Arial"/>
                <w:szCs w:val="20"/>
                <w:lang w:eastAsia="en-AU"/>
              </w:rPr>
              <w:t xml:space="preserve">within  and amongst </w:t>
            </w:r>
            <w:r w:rsidR="00A937F2" w:rsidRPr="002E4EC0">
              <w:rPr>
                <w:rFonts w:cs="Arial"/>
                <w:szCs w:val="20"/>
                <w:lang w:eastAsia="en-AU"/>
              </w:rPr>
              <w:t>government agencies</w:t>
            </w:r>
            <w:r w:rsidR="00BE3DE0" w:rsidRPr="002E4EC0">
              <w:rPr>
                <w:rFonts w:cs="Arial"/>
                <w:szCs w:val="20"/>
                <w:lang w:eastAsia="en-AU"/>
              </w:rPr>
              <w:t xml:space="preserve"> at all levels</w:t>
            </w:r>
            <w:r w:rsidR="00A937F2" w:rsidRPr="002E4EC0">
              <w:rPr>
                <w:rFonts w:cs="Arial"/>
                <w:szCs w:val="20"/>
                <w:lang w:eastAsia="en-AU"/>
              </w:rPr>
              <w:t xml:space="preserve"> </w:t>
            </w:r>
            <w:r w:rsidR="00F72CA5" w:rsidRPr="002E4EC0">
              <w:rPr>
                <w:rFonts w:cs="Arial"/>
                <w:szCs w:val="20"/>
                <w:lang w:eastAsia="en-AU"/>
              </w:rPr>
              <w:t xml:space="preserve">to provide ‘open access’ to </w:t>
            </w:r>
            <w:r w:rsidR="00A937F2" w:rsidRPr="002E4EC0">
              <w:rPr>
                <w:rFonts w:cs="Arial"/>
                <w:szCs w:val="20"/>
                <w:lang w:eastAsia="en-AU"/>
              </w:rPr>
              <w:t xml:space="preserve"> information retained by mining departments and geological surveys</w:t>
            </w:r>
            <w:r w:rsidR="00F72CA5" w:rsidRPr="002E4EC0">
              <w:rPr>
                <w:rFonts w:cs="Arial"/>
                <w:szCs w:val="20"/>
                <w:lang w:eastAsia="en-AU"/>
              </w:rPr>
              <w:t>, and to work more closely with public museums and historical societies with an interest in mining-related heritage.</w:t>
            </w:r>
          </w:p>
          <w:p w:rsidR="00230D98" w:rsidRPr="002E4EC0" w:rsidRDefault="00230D98" w:rsidP="00E75951">
            <w:pPr>
              <w:spacing w:before="60" w:after="60"/>
              <w:outlineLvl w:val="1"/>
              <w:rPr>
                <w:rFonts w:cs="Arial"/>
                <w:szCs w:val="20"/>
                <w:lang w:eastAsia="en-AU"/>
              </w:rPr>
            </w:pPr>
          </w:p>
          <w:p w:rsidR="00E75951" w:rsidRPr="002E4EC0" w:rsidRDefault="00BE1CED" w:rsidP="00E75951">
            <w:pPr>
              <w:spacing w:before="60" w:after="60"/>
              <w:outlineLvl w:val="1"/>
              <w:rPr>
                <w:rFonts w:cs="Arial"/>
                <w:szCs w:val="20"/>
                <w:lang w:eastAsia="en-AU"/>
              </w:rPr>
            </w:pPr>
            <w:r w:rsidRPr="002E4EC0">
              <w:rPr>
                <w:rFonts w:cs="Arial"/>
                <w:szCs w:val="20"/>
                <w:lang w:eastAsia="en-AU"/>
              </w:rPr>
              <w:t xml:space="preserve">4. </w:t>
            </w:r>
            <w:r w:rsidRPr="002E4EC0">
              <w:rPr>
                <w:rFonts w:cs="Arial"/>
                <w:bCs/>
                <w:szCs w:val="20"/>
                <w:lang w:eastAsia="en-AU"/>
              </w:rPr>
              <w:t>G</w:t>
            </w:r>
            <w:r w:rsidR="00E75951" w:rsidRPr="002E4EC0">
              <w:rPr>
                <w:rFonts w:cs="Arial"/>
                <w:bCs/>
                <w:szCs w:val="20"/>
                <w:lang w:eastAsia="en-AU"/>
              </w:rPr>
              <w:t>eotourism i</w:t>
            </w:r>
            <w:r w:rsidR="00E75951" w:rsidRPr="002E4EC0">
              <w:rPr>
                <w:rFonts w:cs="Arial"/>
                <w:szCs w:val="20"/>
                <w:lang w:eastAsia="en-AU"/>
              </w:rPr>
              <w:t>s emerging as a new global phenomenon which fosters sustainable tourism based upon landscapes. Its definition has recently been refined as a form of tourism that specifically focuses on the geology and landscapes which shape the character of a region. This advances an earlier concept of geotourism as strictly ‘geological tourism’. Geotourism promotes tourism to “geo-sites” and the conservation of geodiversity and an understanding of earth sciences through appreciation and learning. This is achieved through visits to geological features, use of geo-trails and view points, guided tours, geo-activities and patronage of geosite visitor centres.</w:t>
            </w:r>
          </w:p>
          <w:p w:rsidR="00E75951" w:rsidRPr="002E4EC0" w:rsidRDefault="00E75951" w:rsidP="00E75951">
            <w:pPr>
              <w:spacing w:before="60" w:after="60"/>
              <w:outlineLvl w:val="1"/>
              <w:rPr>
                <w:rFonts w:cs="Arial"/>
                <w:szCs w:val="20"/>
                <w:lang w:eastAsia="en-AU"/>
              </w:rPr>
            </w:pPr>
          </w:p>
          <w:p w:rsidR="00E75951" w:rsidRPr="002E4EC0" w:rsidRDefault="00E75951" w:rsidP="00E75951">
            <w:pPr>
              <w:spacing w:before="60" w:after="60"/>
              <w:outlineLvl w:val="1"/>
              <w:rPr>
                <w:rFonts w:cs="Arial"/>
                <w:szCs w:val="20"/>
                <w:lang w:eastAsia="en-AU"/>
              </w:rPr>
            </w:pPr>
            <w:r w:rsidRPr="002E4EC0">
              <w:rPr>
                <w:rFonts w:cs="Arial"/>
                <w:szCs w:val="20"/>
                <w:lang w:eastAsia="en-AU"/>
              </w:rPr>
              <w:t xml:space="preserve">Geotourists can comprise both independent travellers and group tourists, and they may visit natural areas </w:t>
            </w:r>
            <w:r w:rsidRPr="002E4EC0">
              <w:rPr>
                <w:rFonts w:cs="Arial"/>
                <w:b/>
                <w:bCs/>
                <w:szCs w:val="20"/>
                <w:lang w:eastAsia="en-AU"/>
              </w:rPr>
              <w:t>(including mining areas</w:t>
            </w:r>
            <w:r w:rsidRPr="002E4EC0">
              <w:rPr>
                <w:rFonts w:cs="Arial"/>
                <w:szCs w:val="20"/>
                <w:lang w:eastAsia="en-AU"/>
              </w:rPr>
              <w:t xml:space="preserve">) or urban/built areas wherever there is a geological attraction. Urban examples are the sandstones of ‘The Rocks’ in </w:t>
            </w:r>
            <w:smartTag w:uri="urn:schemas-microsoft-com:office:smarttags" w:element="City">
              <w:smartTag w:uri="urn:schemas-microsoft-com:office:smarttags" w:element="place">
                <w:r w:rsidRPr="002E4EC0">
                  <w:rPr>
                    <w:rFonts w:cs="Arial"/>
                    <w:szCs w:val="20"/>
                    <w:lang w:eastAsia="en-AU"/>
                  </w:rPr>
                  <w:t>Sydney</w:t>
                </w:r>
              </w:smartTag>
            </w:smartTag>
            <w:r w:rsidRPr="002E4EC0">
              <w:rPr>
                <w:rFonts w:cs="Arial"/>
                <w:szCs w:val="20"/>
                <w:lang w:eastAsia="en-AU"/>
              </w:rPr>
              <w:t xml:space="preserve"> (i.e. linking the geology to the early construction of </w:t>
            </w:r>
            <w:smartTag w:uri="urn:schemas-microsoft-com:office:smarttags" w:element="City">
              <w:smartTag w:uri="urn:schemas-microsoft-com:office:smarttags" w:element="place">
                <w:r w:rsidRPr="002E4EC0">
                  <w:rPr>
                    <w:rFonts w:cs="Arial"/>
                    <w:szCs w:val="20"/>
                    <w:lang w:eastAsia="en-AU"/>
                  </w:rPr>
                  <w:t>Sydney</w:t>
                </w:r>
              </w:smartTag>
            </w:smartTag>
            <w:r w:rsidRPr="002E4EC0">
              <w:rPr>
                <w:rFonts w:cs="Arial"/>
                <w:szCs w:val="20"/>
                <w:lang w:eastAsia="en-AU"/>
              </w:rPr>
              <w:t xml:space="preserve">’s built heritage) or the city of </w:t>
            </w:r>
            <w:smartTag w:uri="urn:schemas-microsoft-com:office:smarttags" w:element="City">
              <w:smartTag w:uri="urn:schemas-microsoft-com:office:smarttags" w:element="place">
                <w:r w:rsidRPr="002E4EC0">
                  <w:rPr>
                    <w:rFonts w:cs="Arial"/>
                    <w:szCs w:val="20"/>
                    <w:lang w:eastAsia="en-AU"/>
                  </w:rPr>
                  <w:t>Mount</w:t>
                </w:r>
              </w:smartTag>
            </w:smartTag>
            <w:r w:rsidRPr="002E4EC0">
              <w:rPr>
                <w:rFonts w:cs="Arial"/>
                <w:szCs w:val="20"/>
                <w:lang w:eastAsia="en-AU"/>
              </w:rPr>
              <w:t xml:space="preserve"> Gambier with its volcanic </w:t>
            </w:r>
            <w:smartTag w:uri="urn:schemas-microsoft-com:office:smarttags" w:element="place">
              <w:smartTag w:uri="urn:schemas-microsoft-com:office:smarttags" w:element="PlaceName">
                <w:r w:rsidRPr="002E4EC0">
                  <w:rPr>
                    <w:rFonts w:cs="Arial"/>
                    <w:szCs w:val="20"/>
                    <w:lang w:eastAsia="en-AU"/>
                  </w:rPr>
                  <w:t>Blue</w:t>
                </w:r>
              </w:smartTag>
              <w:r w:rsidRPr="002E4EC0">
                <w:rPr>
                  <w:rFonts w:cs="Arial"/>
                  <w:szCs w:val="20"/>
                  <w:lang w:eastAsia="en-AU"/>
                </w:rPr>
                <w:t xml:space="preserve"> </w:t>
              </w:r>
              <w:smartTag w:uri="urn:schemas-microsoft-com:office:smarttags" w:element="PlaceType">
                <w:r w:rsidRPr="002E4EC0">
                  <w:rPr>
                    <w:rFonts w:cs="Arial"/>
                    <w:szCs w:val="20"/>
                    <w:lang w:eastAsia="en-AU"/>
                  </w:rPr>
                  <w:t>Lake</w:t>
                </w:r>
              </w:smartTag>
            </w:smartTag>
            <w:r w:rsidRPr="002E4EC0">
              <w:rPr>
                <w:rFonts w:cs="Arial"/>
                <w:szCs w:val="20"/>
                <w:lang w:eastAsia="en-AU"/>
              </w:rPr>
              <w:t>. This is a key distinction between geotourism and other forms of natural area tourism, as by definition natural area tourism takes place only in natural areas.</w:t>
            </w:r>
          </w:p>
          <w:p w:rsidR="00E75951" w:rsidRPr="002E4EC0" w:rsidRDefault="00E75951" w:rsidP="00E75951">
            <w:pPr>
              <w:spacing w:before="60" w:after="60"/>
              <w:outlineLvl w:val="1"/>
              <w:rPr>
                <w:rFonts w:cs="Arial"/>
                <w:szCs w:val="20"/>
                <w:lang w:eastAsia="en-AU"/>
              </w:rPr>
            </w:pPr>
          </w:p>
          <w:p w:rsidR="00E75951" w:rsidRPr="002E4EC0" w:rsidRDefault="00230D98" w:rsidP="00E75951">
            <w:pPr>
              <w:spacing w:before="60" w:after="60"/>
              <w:outlineLvl w:val="1"/>
              <w:rPr>
                <w:rFonts w:cs="Arial"/>
                <w:szCs w:val="20"/>
                <w:lang w:eastAsia="en-AU"/>
              </w:rPr>
            </w:pPr>
            <w:r w:rsidRPr="002E4EC0">
              <w:rPr>
                <w:rFonts w:cs="Arial"/>
                <w:szCs w:val="20"/>
                <w:lang w:eastAsia="en-AU"/>
              </w:rPr>
              <w:t>Thus g</w:t>
            </w:r>
            <w:r w:rsidR="00E75951" w:rsidRPr="002E4EC0">
              <w:rPr>
                <w:rFonts w:cs="Arial"/>
                <w:szCs w:val="20"/>
                <w:lang w:eastAsia="en-AU"/>
              </w:rPr>
              <w:t xml:space="preserve">eotourism is </w:t>
            </w:r>
            <w:r w:rsidRPr="002E4EC0">
              <w:rPr>
                <w:rFonts w:cs="Arial"/>
                <w:szCs w:val="20"/>
                <w:lang w:eastAsia="en-AU"/>
              </w:rPr>
              <w:t>‘</w:t>
            </w:r>
            <w:r w:rsidR="00E75951" w:rsidRPr="002E4EC0">
              <w:rPr>
                <w:rFonts w:cs="Arial"/>
                <w:szCs w:val="20"/>
                <w:lang w:eastAsia="en-AU"/>
              </w:rPr>
              <w:t>sustainable tourism which focuses on an area's geology and landscape as the basis for providing visitor engagement, learning and enjoyment'. It has links with adventure tourism, cultural tourism and ecotourism, but is not synonymous with any of these forms of tourism. It is about creating a geotourism product that protects geoheritage, helps build communities, communicates and promotes geological heritage (and mining heritage where present), and works with a wide range of different people.</w:t>
            </w:r>
          </w:p>
          <w:p w:rsidR="00E75951" w:rsidRPr="002E4EC0" w:rsidRDefault="00E75951" w:rsidP="00E75951">
            <w:pPr>
              <w:spacing w:before="60" w:after="60"/>
              <w:outlineLvl w:val="1"/>
              <w:rPr>
                <w:rFonts w:cs="Arial"/>
                <w:szCs w:val="20"/>
                <w:lang w:eastAsia="en-AU"/>
              </w:rPr>
            </w:pPr>
          </w:p>
          <w:p w:rsidR="00E75951" w:rsidRPr="002E4EC0" w:rsidRDefault="00BE1CED" w:rsidP="00E75951">
            <w:pPr>
              <w:spacing w:before="60" w:after="60"/>
              <w:outlineLvl w:val="1"/>
              <w:rPr>
                <w:rFonts w:cs="Arial"/>
                <w:szCs w:val="20"/>
                <w:lang w:eastAsia="en-AU"/>
              </w:rPr>
            </w:pPr>
            <w:r w:rsidRPr="002E4EC0">
              <w:rPr>
                <w:rFonts w:cs="Arial"/>
                <w:szCs w:val="20"/>
                <w:lang w:eastAsia="en-AU"/>
              </w:rPr>
              <w:t xml:space="preserve">5. </w:t>
            </w:r>
            <w:r w:rsidR="00E75951" w:rsidRPr="002E4EC0">
              <w:rPr>
                <w:rFonts w:cs="Arial"/>
                <w:szCs w:val="20"/>
                <w:lang w:eastAsia="en-AU"/>
              </w:rPr>
              <w:t>Geotourism attractions are now being developed around the world primarily as a sustainable development tool for the development of local and regional communities. A major vehicle for such development is through the concept of ‘</w:t>
            </w:r>
            <w:r w:rsidR="00E75951" w:rsidRPr="002E4EC0">
              <w:rPr>
                <w:rFonts w:cs="Arial"/>
                <w:b/>
                <w:bCs/>
                <w:szCs w:val="20"/>
                <w:lang w:eastAsia="en-AU"/>
              </w:rPr>
              <w:t>geoparks</w:t>
            </w:r>
            <w:r w:rsidR="00E75951" w:rsidRPr="002E4EC0">
              <w:rPr>
                <w:rFonts w:cs="Arial"/>
                <w:szCs w:val="20"/>
                <w:lang w:eastAsia="en-AU"/>
              </w:rPr>
              <w:t>’. A geopark is a unified area with geological heritage of international significance and where that heritage is being used to promote the sustainable development of the local communities who live there). Geoparks can choose to evolve through a series of levels from ‘aspiring’, ‘national’, ‘regional’ (e.g. European or Asia-Pacific Regions) to ‘global’. There are now hundreds of geoparks around the world.. Support to individual geoparks are offered through the Global Geoparks Network Bureau which is currently representing 102 members from 29 countries. The original target of the Global Geoparks Network is establishing 500 geoparks around the world. The number is growing at a pace of about 10 new global geoparks per year.</w:t>
            </w:r>
          </w:p>
          <w:p w:rsidR="00E75951" w:rsidRPr="002E4EC0" w:rsidRDefault="00E75951" w:rsidP="00E75951">
            <w:pPr>
              <w:spacing w:before="60" w:after="60"/>
              <w:outlineLvl w:val="1"/>
              <w:rPr>
                <w:rFonts w:cs="Arial"/>
                <w:szCs w:val="20"/>
                <w:lang w:eastAsia="en-AU"/>
              </w:rPr>
            </w:pPr>
          </w:p>
          <w:p w:rsidR="00E75951" w:rsidRPr="002E4EC0" w:rsidRDefault="00E75951" w:rsidP="00E75951">
            <w:pPr>
              <w:spacing w:before="60" w:after="60"/>
              <w:outlineLvl w:val="1"/>
              <w:rPr>
                <w:rFonts w:cs="Arial"/>
                <w:szCs w:val="20"/>
                <w:lang w:eastAsia="en-AU"/>
              </w:rPr>
            </w:pPr>
            <w:r w:rsidRPr="002E4EC0">
              <w:rPr>
                <w:rFonts w:cs="Arial"/>
                <w:szCs w:val="20"/>
                <w:lang w:eastAsia="en-AU"/>
              </w:rPr>
              <w:t xml:space="preserve">In </w:t>
            </w:r>
            <w:smartTag w:uri="urn:schemas-microsoft-com:office:smarttags" w:element="country-region">
              <w:smartTag w:uri="urn:schemas-microsoft-com:office:smarttags" w:element="place">
                <w:r w:rsidRPr="002E4EC0">
                  <w:rPr>
                    <w:rFonts w:cs="Arial"/>
                    <w:szCs w:val="20"/>
                    <w:lang w:eastAsia="en-AU"/>
                  </w:rPr>
                  <w:t>China</w:t>
                </w:r>
              </w:smartTag>
            </w:smartTag>
            <w:r w:rsidRPr="002E4EC0">
              <w:rPr>
                <w:rFonts w:cs="Arial"/>
                <w:szCs w:val="20"/>
                <w:lang w:eastAsia="en-AU"/>
              </w:rPr>
              <w:t xml:space="preserve">, there are three levels of geoparks: provincial, national and global geoparks. They are all managed by local county or municipal governments under the direct supervision of the Ministry of Land and Resources.  Currently, there are over 320 provincial geoparks in </w:t>
            </w:r>
            <w:smartTag w:uri="urn:schemas-microsoft-com:office:smarttags" w:element="country-region">
              <w:smartTag w:uri="urn:schemas-microsoft-com:office:smarttags" w:element="place">
                <w:r w:rsidRPr="002E4EC0">
                  <w:rPr>
                    <w:rFonts w:cs="Arial"/>
                    <w:szCs w:val="20"/>
                    <w:lang w:eastAsia="en-AU"/>
                  </w:rPr>
                  <w:t>China</w:t>
                </w:r>
              </w:smartTag>
            </w:smartTag>
            <w:r w:rsidRPr="002E4EC0">
              <w:rPr>
                <w:rFonts w:cs="Arial"/>
                <w:szCs w:val="20"/>
                <w:lang w:eastAsia="en-AU"/>
              </w:rPr>
              <w:t xml:space="preserve">, among which 200 have already gained national status.  With 29 of these national geoparks (including Hong Kong Geopark) having acquired global status, </w:t>
            </w:r>
            <w:smartTag w:uri="urn:schemas-microsoft-com:office:smarttags" w:element="country-region">
              <w:smartTag w:uri="urn:schemas-microsoft-com:office:smarttags" w:element="place">
                <w:r w:rsidRPr="002E4EC0">
                  <w:rPr>
                    <w:rFonts w:cs="Arial"/>
                    <w:szCs w:val="20"/>
                    <w:lang w:eastAsia="en-AU"/>
                  </w:rPr>
                  <w:t>China</w:t>
                </w:r>
              </w:smartTag>
            </w:smartTag>
            <w:r w:rsidRPr="002E4EC0">
              <w:rPr>
                <w:rFonts w:cs="Arial"/>
                <w:szCs w:val="20"/>
                <w:lang w:eastAsia="en-AU"/>
              </w:rPr>
              <w:t xml:space="preserve"> manages by far the largest number of global geoparks in the world.</w:t>
            </w:r>
          </w:p>
          <w:p w:rsidR="00E75951" w:rsidRPr="002E4EC0" w:rsidRDefault="00E75951" w:rsidP="00E75951">
            <w:pPr>
              <w:spacing w:before="60" w:after="60"/>
              <w:outlineLvl w:val="1"/>
              <w:rPr>
                <w:rFonts w:cs="Arial"/>
                <w:szCs w:val="20"/>
                <w:lang w:eastAsia="en-AU"/>
              </w:rPr>
            </w:pPr>
          </w:p>
          <w:p w:rsidR="00E75951" w:rsidRPr="002E4EC0" w:rsidRDefault="00E75951" w:rsidP="00E75951">
            <w:pPr>
              <w:spacing w:before="60" w:after="60"/>
              <w:outlineLvl w:val="1"/>
              <w:rPr>
                <w:rFonts w:cs="Arial"/>
                <w:szCs w:val="20"/>
                <w:lang w:eastAsia="en-AU"/>
              </w:rPr>
            </w:pPr>
            <w:r w:rsidRPr="002E4EC0">
              <w:rPr>
                <w:rFonts w:cs="Arial"/>
                <w:szCs w:val="20"/>
                <w:lang w:eastAsia="en-AU"/>
              </w:rPr>
              <w:t>The Global Geopark brands is a voluntary, quality label and while it is not a legislative designation, the key heritage sites within a geopark should be protected under local, regional or national legislation as appropriate. UNESCO offers support to Global Geoparks on an ad-hoc basis via requests from Member States. Geopark status at any level, including ‘global’ does not imply restrictions on any economic activity inside a geopark where that activity complies with local, regional or national legislation. The focus of geoparks is on promotion and appreciation of geological heritage, geology and landscapes. These earth heritage sites are part of an integrated concept of protection, education and sustainable development http://www.unesco.org/new/en/natural-sciences/environment/earth-sciences/global-geoparks</w:t>
            </w:r>
          </w:p>
          <w:p w:rsidR="00E75951" w:rsidRPr="002E4EC0" w:rsidRDefault="00E75951" w:rsidP="00E75951">
            <w:pPr>
              <w:spacing w:before="60" w:after="60"/>
              <w:outlineLvl w:val="1"/>
              <w:rPr>
                <w:rFonts w:cs="Arial"/>
                <w:szCs w:val="20"/>
                <w:lang w:eastAsia="en-AU"/>
              </w:rPr>
            </w:pPr>
          </w:p>
          <w:p w:rsidR="00BB5154" w:rsidRPr="002E4EC0" w:rsidRDefault="00BB5154" w:rsidP="00BB5154">
            <w:pPr>
              <w:spacing w:before="60" w:after="60"/>
              <w:outlineLvl w:val="1"/>
              <w:rPr>
                <w:rFonts w:cs="Arial"/>
                <w:szCs w:val="20"/>
                <w:lang w:eastAsia="en-AU"/>
              </w:rPr>
            </w:pPr>
            <w:r w:rsidRPr="002E4EC0">
              <w:rPr>
                <w:rFonts w:cs="Arial"/>
                <w:szCs w:val="20"/>
                <w:lang w:eastAsia="en-AU"/>
              </w:rPr>
              <w:t>As an example of the application of the geopark concept to mining heritage, the Tuscan Mining Geopark in Italy highlights the geological history of the site Colline Metallifere which is one the most important mining district in Europe. Visitors can discover the world of mining, the geological heritage, the historical landscape, the history of mining activities and, above all, the identity of the area of the Colline Metallifere.</w:t>
            </w:r>
          </w:p>
          <w:p w:rsidR="00BB5154" w:rsidRPr="002E4EC0" w:rsidRDefault="00BB5154" w:rsidP="00E75951">
            <w:pPr>
              <w:spacing w:before="60" w:after="60"/>
              <w:outlineLvl w:val="1"/>
              <w:rPr>
                <w:rFonts w:cs="Arial"/>
                <w:szCs w:val="20"/>
                <w:lang w:eastAsia="en-AU"/>
              </w:rPr>
            </w:pPr>
          </w:p>
          <w:p w:rsidR="00BB5154" w:rsidRPr="002E4EC0" w:rsidRDefault="00E75951" w:rsidP="00E75951">
            <w:pPr>
              <w:spacing w:before="60" w:after="60"/>
              <w:outlineLvl w:val="1"/>
              <w:rPr>
                <w:rFonts w:cs="Arial"/>
                <w:szCs w:val="20"/>
                <w:lang w:eastAsia="en-AU"/>
              </w:rPr>
            </w:pPr>
            <w:r w:rsidRPr="002E4EC0">
              <w:rPr>
                <w:rFonts w:cs="Arial"/>
                <w:szCs w:val="20"/>
                <w:lang w:eastAsia="en-AU"/>
              </w:rPr>
              <w:t>Latest reports from UNESCO suggest that geotourism and geoheritage are now ‘on the radar’ in UNESCO and are supported, through the geoparks concept, by an increasing number of national governments worldwide.  If this trend continues according to the wishes of apparently the majority of UNESCO’s member states then, in coming months, it is understood that the Global Geoparks Program may join the World Heritage List and the ‘Man and Biosphere’ Program as one of UNESCO’s big three official global heritage lists. That would mark a significant step forward for the future development of geoheritage and geotourism.</w:t>
            </w:r>
          </w:p>
          <w:p w:rsidR="00B959CB" w:rsidRPr="00B959CB" w:rsidRDefault="00E75951" w:rsidP="00B0663F">
            <w:pPr>
              <w:spacing w:before="60" w:after="60"/>
              <w:outlineLvl w:val="1"/>
              <w:rPr>
                <w:rFonts w:ascii="Calibri" w:hAnsi="Calibri"/>
                <w:sz w:val="24"/>
                <w:szCs w:val="24"/>
                <w:lang w:eastAsia="en-AU"/>
              </w:rPr>
            </w:pPr>
            <w:r w:rsidRPr="002E4EC0">
              <w:rPr>
                <w:rFonts w:cs="Arial"/>
                <w:szCs w:val="20"/>
                <w:lang w:eastAsia="en-AU"/>
              </w:rPr>
              <w:t>In summary, a geopark achieves its goals through conservation, education and tourism. It seeks to conserve significant geological features, and explore and demonstrate methods for excellence in conservation and geoscientific knowledge. This is accomplished through protected and interpreted geosites, museums, information centres, trails, mine sites, guided tours, school class excursions, popular literature, maps, educational materials and displays, and seminars. Geoparks are capable of being community-driven. Geoparks stimulate economic activity and sustainable development through geotourism. By attracting increasing numbers of visitors, a geopark fosters local socio- economic development through the promotion of a quality label linked with the local natural heritage. It encourages the creation of local enterprises and cottage industries involved in geotourism and geoproducts.</w:t>
            </w:r>
          </w:p>
        </w:tc>
      </w:tr>
    </w:tbl>
    <w:p w:rsidR="00B959CB" w:rsidRPr="004E3AA0" w:rsidRDefault="00B959CB" w:rsidP="00B959CB">
      <w:pPr>
        <w:rPr>
          <w:b/>
          <w:sz w:val="18"/>
          <w:szCs w:val="18"/>
        </w:rPr>
      </w:pPr>
    </w:p>
    <w:p w:rsidR="005B58CF" w:rsidRDefault="005B58CF" w:rsidP="004F3754">
      <w:pPr>
        <w:tabs>
          <w:tab w:val="left" w:pos="5670"/>
        </w:tabs>
      </w:pPr>
    </w:p>
    <w:sectPr w:rsidR="005B58CF" w:rsidSect="00322B43">
      <w:headerReference w:type="default" r:id="rId8"/>
      <w:footerReference w:type="default" r:id="rId9"/>
      <w:pgSz w:w="11906" w:h="16838"/>
      <w:pgMar w:top="1418" w:right="1418" w:bottom="1418" w:left="1701" w:header="426"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E54" w:rsidRDefault="00945E54" w:rsidP="002C5165">
      <w:pPr>
        <w:spacing w:after="0"/>
      </w:pPr>
      <w:r>
        <w:separator/>
      </w:r>
    </w:p>
  </w:endnote>
  <w:endnote w:type="continuationSeparator" w:id="0">
    <w:p w:rsidR="00945E54" w:rsidRDefault="00945E54" w:rsidP="002C516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Neue Condensed">
    <w:altName w:val="HelveticaNeue Condens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98" w:rsidRPr="008B3A85" w:rsidRDefault="00230D98" w:rsidP="008B3A85">
    <w:pPr>
      <w:pStyle w:val="Footer"/>
      <w:tabs>
        <w:tab w:val="clear" w:pos="4513"/>
        <w:tab w:val="clear" w:pos="9026"/>
        <w:tab w:val="center" w:pos="4395"/>
        <w:tab w:val="right" w:pos="8789"/>
      </w:tabs>
      <w:rPr>
        <w:color w:val="00AAC3"/>
        <w:sz w:val="17"/>
        <w:szCs w:val="17"/>
      </w:rPr>
    </w:pPr>
    <w:r w:rsidRPr="008B3A85">
      <w:rPr>
        <w:color w:val="00AAC3"/>
        <w:sz w:val="17"/>
        <w:szCs w:val="17"/>
      </w:rPr>
      <w:t xml:space="preserve">Page </w:t>
    </w:r>
    <w:r w:rsidR="00E85371" w:rsidRPr="008B3A85">
      <w:rPr>
        <w:color w:val="00AAC3"/>
        <w:sz w:val="17"/>
        <w:szCs w:val="17"/>
      </w:rPr>
      <w:fldChar w:fldCharType="begin"/>
    </w:r>
    <w:r w:rsidRPr="008B3A85">
      <w:rPr>
        <w:color w:val="00AAC3"/>
        <w:sz w:val="17"/>
        <w:szCs w:val="17"/>
      </w:rPr>
      <w:instrText xml:space="preserve"> PAGE   \* MERGEFORMAT </w:instrText>
    </w:r>
    <w:r w:rsidR="00E85371" w:rsidRPr="008B3A85">
      <w:rPr>
        <w:color w:val="00AAC3"/>
        <w:sz w:val="17"/>
        <w:szCs w:val="17"/>
      </w:rPr>
      <w:fldChar w:fldCharType="separate"/>
    </w:r>
    <w:r w:rsidR="00867FF1">
      <w:rPr>
        <w:noProof/>
        <w:color w:val="00AAC3"/>
        <w:sz w:val="17"/>
        <w:szCs w:val="17"/>
      </w:rPr>
      <w:t>1</w:t>
    </w:r>
    <w:r w:rsidR="00E85371" w:rsidRPr="008B3A85">
      <w:rPr>
        <w:noProof/>
        <w:color w:val="00AAC3"/>
        <w:sz w:val="17"/>
        <w:szCs w:val="17"/>
      </w:rPr>
      <w:fldChar w:fldCharType="end"/>
    </w:r>
    <w:r w:rsidRPr="008B3A85">
      <w:rPr>
        <w:noProof/>
        <w:color w:val="00AAC3"/>
        <w:sz w:val="17"/>
        <w:szCs w:val="17"/>
      </w:rPr>
      <w:tab/>
    </w:r>
    <w:r w:rsidRPr="008B3A85">
      <w:rPr>
        <w:noProof/>
        <w:color w:val="00AAC3"/>
        <w:sz w:val="17"/>
        <w:szCs w:val="17"/>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E54" w:rsidRDefault="00945E54" w:rsidP="002C5165">
      <w:pPr>
        <w:spacing w:after="0"/>
      </w:pPr>
      <w:r>
        <w:separator/>
      </w:r>
    </w:p>
  </w:footnote>
  <w:footnote w:type="continuationSeparator" w:id="0">
    <w:p w:rsidR="00945E54" w:rsidRDefault="00945E54" w:rsidP="002C5165">
      <w:pPr>
        <w:spacing w:after="0"/>
      </w:pPr>
      <w:r>
        <w:continuationSeparator/>
      </w:r>
    </w:p>
  </w:footnote>
  <w:footnote w:id="1">
    <w:p w:rsidR="00230D98" w:rsidRPr="00C978FA" w:rsidRDefault="00230D98">
      <w:pPr>
        <w:pStyle w:val="FootnoteText"/>
        <w:rPr>
          <w:rFonts w:cs="Arial"/>
          <w:sz w:val="16"/>
          <w:szCs w:val="16"/>
        </w:rPr>
      </w:pPr>
      <w:r w:rsidRPr="00C978FA">
        <w:rPr>
          <w:rStyle w:val="FootnoteReference"/>
          <w:rFonts w:cs="Arial"/>
          <w:sz w:val="16"/>
          <w:szCs w:val="16"/>
        </w:rPr>
        <w:footnoteRef/>
      </w:r>
      <w:r w:rsidRPr="00C978FA">
        <w:rPr>
          <w:rFonts w:cs="Arial"/>
          <w:sz w:val="16"/>
          <w:szCs w:val="16"/>
        </w:rPr>
        <w:t xml:space="preserve"> </w:t>
      </w:r>
      <w:r w:rsidRPr="00C978FA">
        <w:rPr>
          <w:rFonts w:cs="Arial"/>
          <w:sz w:val="16"/>
          <w:szCs w:val="16"/>
          <w:lang w:eastAsia="en-AU"/>
        </w:rPr>
        <w:t>Eden Project post-mining alliance ‘101 things to do with a hole in the ground’, Pearman 2009</w:t>
      </w:r>
    </w:p>
  </w:footnote>
  <w:footnote w:id="2">
    <w:p w:rsidR="00230D98" w:rsidRPr="00C978FA" w:rsidRDefault="00230D98">
      <w:pPr>
        <w:pStyle w:val="FootnoteText"/>
        <w:rPr>
          <w:sz w:val="16"/>
          <w:szCs w:val="16"/>
        </w:rPr>
      </w:pPr>
      <w:r w:rsidRPr="00C978FA">
        <w:rPr>
          <w:rStyle w:val="FootnoteReference"/>
          <w:sz w:val="16"/>
          <w:szCs w:val="16"/>
        </w:rPr>
        <w:footnoteRef/>
      </w:r>
      <w:r w:rsidRPr="00C978FA">
        <w:rPr>
          <w:sz w:val="16"/>
          <w:szCs w:val="16"/>
        </w:rPr>
        <w:t xml:space="preserve"> </w:t>
      </w:r>
      <w:hyperlink r:id="rId1" w:history="1">
        <w:r w:rsidR="00467B99" w:rsidRPr="00EA2285">
          <w:rPr>
            <w:rStyle w:val="Hyperlink"/>
            <w:sz w:val="16"/>
            <w:szCs w:val="16"/>
          </w:rPr>
          <w:t>http://www.ausimm.com.au/content/docs/societies/heritage_databases_09102013.pdf</w:t>
        </w:r>
      </w:hyperlink>
      <w:r w:rsidR="00467B99">
        <w:rPr>
          <w:sz w:val="16"/>
          <w:szCs w:val="16"/>
        </w:rPr>
        <w:t xml:space="preserve"> </w:t>
      </w:r>
    </w:p>
  </w:footnote>
  <w:footnote w:id="3">
    <w:p w:rsidR="00230D98" w:rsidRPr="007405BB" w:rsidRDefault="00230D98">
      <w:pPr>
        <w:pStyle w:val="FootnoteText"/>
        <w:rPr>
          <w:sz w:val="16"/>
          <w:szCs w:val="16"/>
        </w:rPr>
      </w:pPr>
      <w:r w:rsidRPr="007405BB">
        <w:rPr>
          <w:rStyle w:val="FootnoteReference"/>
          <w:sz w:val="16"/>
          <w:szCs w:val="16"/>
        </w:rPr>
        <w:footnoteRef/>
      </w:r>
      <w:r w:rsidRPr="007405BB">
        <w:rPr>
          <w:sz w:val="16"/>
          <w:szCs w:val="16"/>
        </w:rPr>
        <w:t xml:space="preserve"> </w:t>
      </w:r>
      <w:hyperlink r:id="rId2" w:history="1">
        <w:r w:rsidRPr="003539F7">
          <w:rPr>
            <w:rStyle w:val="Hyperlink"/>
            <w:sz w:val="16"/>
            <w:szCs w:val="16"/>
          </w:rPr>
          <w:t>http://www.vulkaneifel.de/</w:t>
        </w:r>
      </w:hyperlink>
      <w:r>
        <w:rPr>
          <w:sz w:val="16"/>
          <w:szCs w:val="16"/>
        </w:rPr>
        <w:t xml:space="preserve"> </w:t>
      </w:r>
    </w:p>
  </w:footnote>
  <w:footnote w:id="4">
    <w:p w:rsidR="00230D98" w:rsidRPr="007405BB" w:rsidRDefault="00230D98" w:rsidP="007405BB">
      <w:pPr>
        <w:pStyle w:val="FootnoteText"/>
        <w:rPr>
          <w:sz w:val="16"/>
          <w:szCs w:val="16"/>
        </w:rPr>
      </w:pPr>
      <w:r>
        <w:rPr>
          <w:rStyle w:val="FootnoteReference"/>
        </w:rPr>
        <w:footnoteRef/>
      </w:r>
      <w:r>
        <w:t xml:space="preserve"> </w:t>
      </w:r>
      <w:hyperlink r:id="rId3" w:history="1">
        <w:r w:rsidRPr="007405BB">
          <w:rPr>
            <w:rStyle w:val="Hyperlink"/>
            <w:sz w:val="16"/>
            <w:szCs w:val="16"/>
          </w:rPr>
          <w:t>http://www.innovation.gov.au/resource/Mining/Pages/AbandonedMines.aspx</w:t>
        </w:r>
      </w:hyperlink>
    </w:p>
    <w:p w:rsidR="00230D98" w:rsidRDefault="00230D98" w:rsidP="007405BB">
      <w:pPr>
        <w:pStyle w:val="FootnoteText"/>
      </w:pPr>
      <w:r>
        <w:rPr>
          <w:sz w:val="16"/>
          <w:szCs w:val="16"/>
        </w:rPr>
        <w:t xml:space="preserve">Chapter 1 in </w:t>
      </w:r>
      <w:hyperlink r:id="rId4" w:history="1">
        <w:r w:rsidRPr="007405BB">
          <w:rPr>
            <w:rStyle w:val="Hyperlink"/>
            <w:sz w:val="16"/>
            <w:szCs w:val="16"/>
          </w:rPr>
          <w:t>http://www.innovation.gov.au/resource/Mining/Documents/StrategicFrameworkforManagingAbandonedMines.pdf</w:t>
        </w:r>
      </w:hyperlink>
    </w:p>
  </w:footnote>
  <w:footnote w:id="5">
    <w:p w:rsidR="00230D98" w:rsidRPr="00C978FA" w:rsidRDefault="00230D98">
      <w:pPr>
        <w:pStyle w:val="FootnoteText"/>
        <w:rPr>
          <w:sz w:val="16"/>
          <w:szCs w:val="16"/>
        </w:rPr>
      </w:pPr>
      <w:r w:rsidRPr="00C978FA">
        <w:rPr>
          <w:rStyle w:val="FootnoteReference"/>
          <w:sz w:val="16"/>
          <w:szCs w:val="16"/>
        </w:rPr>
        <w:footnoteRef/>
      </w:r>
      <w:r w:rsidRPr="00C978FA">
        <w:rPr>
          <w:sz w:val="16"/>
          <w:szCs w:val="16"/>
        </w:rPr>
        <w:t xml:space="preserve"> </w:t>
      </w:r>
      <w:hyperlink r:id="rId5" w:history="1">
        <w:r w:rsidR="009C528A" w:rsidRPr="00EA2285">
          <w:rPr>
            <w:rStyle w:val="Hyperlink"/>
            <w:sz w:val="16"/>
            <w:szCs w:val="16"/>
          </w:rPr>
          <w:t>http://www.innovation.gov.au/resource/Programs/LPSD/Pages/LPSDhandbooks.aspx</w:t>
        </w:r>
      </w:hyperlink>
      <w:r w:rsidR="009C528A">
        <w:rPr>
          <w:sz w:val="16"/>
          <w:szCs w:val="16"/>
        </w:rPr>
        <w:t xml:space="preserve"> </w:t>
      </w:r>
    </w:p>
  </w:footnote>
  <w:footnote w:id="6">
    <w:p w:rsidR="00230D98" w:rsidRPr="00EA7467" w:rsidRDefault="00230D98">
      <w:pPr>
        <w:pStyle w:val="FootnoteText"/>
        <w:rPr>
          <w:sz w:val="16"/>
          <w:szCs w:val="16"/>
        </w:rPr>
      </w:pPr>
      <w:r w:rsidRPr="00EA7467">
        <w:rPr>
          <w:rStyle w:val="FootnoteReference"/>
          <w:sz w:val="16"/>
          <w:szCs w:val="16"/>
        </w:rPr>
        <w:footnoteRef/>
      </w:r>
      <w:r w:rsidRPr="00EA7467">
        <w:rPr>
          <w:sz w:val="16"/>
          <w:szCs w:val="16"/>
        </w:rPr>
        <w:t xml:space="preserve"> Churchill Fellowship Report</w:t>
      </w:r>
      <w:r>
        <w:rPr>
          <w:sz w:val="16"/>
          <w:szCs w:val="16"/>
        </w:rPr>
        <w:t xml:space="preserve"> on leading practices abandoned mine management and post-mining land use</w:t>
      </w:r>
      <w:r w:rsidRPr="00EA7467">
        <w:rPr>
          <w:sz w:val="16"/>
          <w:szCs w:val="16"/>
        </w:rPr>
        <w:t xml:space="preserve"> </w:t>
      </w:r>
      <w:hyperlink r:id="rId6" w:history="1">
        <w:r w:rsidR="009C528A" w:rsidRPr="00EA2285">
          <w:rPr>
            <w:rStyle w:val="Hyperlink"/>
            <w:sz w:val="16"/>
            <w:szCs w:val="16"/>
          </w:rPr>
          <w:t>http://www.churchilltrust.com.au/media/fellows/UNGER_Corinne_2009.pdf</w:t>
        </w:r>
      </w:hyperlink>
      <w:r w:rsidR="009C528A">
        <w:rPr>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98" w:rsidRPr="00322B43" w:rsidRDefault="00E85371" w:rsidP="00322B4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1.7pt;margin-top:-18pt;width:414pt;height:153.75pt;z-index:251658240" o:allowoverlap="f">
          <v:imagedata r:id="rId1" o:title="AusIMM_POS_2COL_LTRHD"/>
          <w10:wrap type="squar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98" w:rsidRPr="00322B43" w:rsidRDefault="00E85371" w:rsidP="00322B43">
    <w:pPr>
      <w:pStyle w:val="Header"/>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49" type="#_x0000_t75" style="position:absolute;left:0;text-align:left;margin-left:345.45pt;margin-top:-19.05pt;width:162pt;height:64.5pt;z-index:251657216;visibility:visible">
          <v:imagedata r:id="rId1" o:title="AusIMM_POS_2COL_LTRHD"/>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6FAABB"/>
    <w:multiLevelType w:val="hybridMultilevel"/>
    <w:tmpl w:val="F7CF34A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9A1290E"/>
    <w:multiLevelType w:val="hybridMultilevel"/>
    <w:tmpl w:val="5A2F2D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984806"/>
    <w:multiLevelType w:val="hybridMultilevel"/>
    <w:tmpl w:val="88F6D61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6307D2B"/>
    <w:multiLevelType w:val="hybridMultilevel"/>
    <w:tmpl w:val="4CD85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EB96EC1"/>
    <w:multiLevelType w:val="hybridMultilevel"/>
    <w:tmpl w:val="548CEB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F927BEF"/>
    <w:multiLevelType w:val="hybridMultilevel"/>
    <w:tmpl w:val="73002B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0E467E"/>
    <w:multiLevelType w:val="hybridMultilevel"/>
    <w:tmpl w:val="C77EC8AC"/>
    <w:lvl w:ilvl="0" w:tplc="10D07B7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EE73557"/>
    <w:multiLevelType w:val="hybridMultilevel"/>
    <w:tmpl w:val="F4527D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2181808"/>
    <w:multiLevelType w:val="hybridMultilevel"/>
    <w:tmpl w:val="97E84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88E0E1A"/>
    <w:multiLevelType w:val="hybridMultilevel"/>
    <w:tmpl w:val="5FAA57CE"/>
    <w:lvl w:ilvl="0" w:tplc="C9A09C4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74757A6"/>
    <w:multiLevelType w:val="hybridMultilevel"/>
    <w:tmpl w:val="AAC616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EC47283"/>
    <w:multiLevelType w:val="hybridMultilevel"/>
    <w:tmpl w:val="7FCD20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0FD65F8"/>
    <w:multiLevelType w:val="hybridMultilevel"/>
    <w:tmpl w:val="DDB04B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nsid w:val="41DB2CD4"/>
    <w:multiLevelType w:val="hybridMultilevel"/>
    <w:tmpl w:val="12826F9A"/>
    <w:lvl w:ilvl="0" w:tplc="84C4C2AA">
      <w:start w:val="1"/>
      <w:numFmt w:val="decimal"/>
      <w:lvlText w:val="%1."/>
      <w:lvlJc w:val="left"/>
      <w:pPr>
        <w:ind w:left="360" w:hanging="360"/>
      </w:pPr>
      <w:rPr>
        <w:rFonts w:hint="default"/>
        <w:color w:val="2C3C4C"/>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42B56237"/>
    <w:multiLevelType w:val="hybridMultilevel"/>
    <w:tmpl w:val="658E92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2DA5E3E"/>
    <w:multiLevelType w:val="multilevel"/>
    <w:tmpl w:val="5AC0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797135"/>
    <w:multiLevelType w:val="hybridMultilevel"/>
    <w:tmpl w:val="C77EC8AC"/>
    <w:lvl w:ilvl="0" w:tplc="10D07B7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45E513B7"/>
    <w:multiLevelType w:val="hybridMultilevel"/>
    <w:tmpl w:val="06728F0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9">
    <w:nsid w:val="48AD5FD4"/>
    <w:multiLevelType w:val="hybridMultilevel"/>
    <w:tmpl w:val="2E62C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90B7BDD"/>
    <w:multiLevelType w:val="hybridMultilevel"/>
    <w:tmpl w:val="9618B3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B3E4302"/>
    <w:multiLevelType w:val="hybridMultilevel"/>
    <w:tmpl w:val="ADD67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CEC3260"/>
    <w:multiLevelType w:val="hybridMultilevel"/>
    <w:tmpl w:val="8D8835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73426C9"/>
    <w:multiLevelType w:val="hybridMultilevel"/>
    <w:tmpl w:val="C77EC8AC"/>
    <w:lvl w:ilvl="0" w:tplc="10D07B7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nsid w:val="5C3079E1"/>
    <w:multiLevelType w:val="hybridMultilevel"/>
    <w:tmpl w:val="1C4A85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D4747BF"/>
    <w:multiLevelType w:val="hybridMultilevel"/>
    <w:tmpl w:val="4E8CAFDC"/>
    <w:lvl w:ilvl="0" w:tplc="0C090005">
      <w:start w:val="1"/>
      <w:numFmt w:val="bullet"/>
      <w:lvlText w:val=""/>
      <w:lvlJc w:val="left"/>
      <w:pPr>
        <w:ind w:left="-708" w:hanging="360"/>
      </w:pPr>
      <w:rPr>
        <w:rFonts w:ascii="Wingdings" w:hAnsi="Wingdings" w:hint="default"/>
      </w:rPr>
    </w:lvl>
    <w:lvl w:ilvl="1" w:tplc="0C090003" w:tentative="1">
      <w:start w:val="1"/>
      <w:numFmt w:val="bullet"/>
      <w:lvlText w:val="o"/>
      <w:lvlJc w:val="left"/>
      <w:pPr>
        <w:ind w:left="12" w:hanging="360"/>
      </w:pPr>
      <w:rPr>
        <w:rFonts w:ascii="Courier New" w:hAnsi="Courier New" w:cs="Courier New" w:hint="default"/>
      </w:rPr>
    </w:lvl>
    <w:lvl w:ilvl="2" w:tplc="0C090005" w:tentative="1">
      <w:start w:val="1"/>
      <w:numFmt w:val="bullet"/>
      <w:lvlText w:val=""/>
      <w:lvlJc w:val="left"/>
      <w:pPr>
        <w:ind w:left="732" w:hanging="360"/>
      </w:pPr>
      <w:rPr>
        <w:rFonts w:ascii="Wingdings" w:hAnsi="Wingdings" w:hint="default"/>
      </w:rPr>
    </w:lvl>
    <w:lvl w:ilvl="3" w:tplc="0C090001" w:tentative="1">
      <w:start w:val="1"/>
      <w:numFmt w:val="bullet"/>
      <w:lvlText w:val=""/>
      <w:lvlJc w:val="left"/>
      <w:pPr>
        <w:ind w:left="1452" w:hanging="360"/>
      </w:pPr>
      <w:rPr>
        <w:rFonts w:ascii="Symbol" w:hAnsi="Symbol" w:hint="default"/>
      </w:rPr>
    </w:lvl>
    <w:lvl w:ilvl="4" w:tplc="0C090003" w:tentative="1">
      <w:start w:val="1"/>
      <w:numFmt w:val="bullet"/>
      <w:lvlText w:val="o"/>
      <w:lvlJc w:val="left"/>
      <w:pPr>
        <w:ind w:left="2172" w:hanging="360"/>
      </w:pPr>
      <w:rPr>
        <w:rFonts w:ascii="Courier New" w:hAnsi="Courier New" w:cs="Courier New" w:hint="default"/>
      </w:rPr>
    </w:lvl>
    <w:lvl w:ilvl="5" w:tplc="0C090005" w:tentative="1">
      <w:start w:val="1"/>
      <w:numFmt w:val="bullet"/>
      <w:lvlText w:val=""/>
      <w:lvlJc w:val="left"/>
      <w:pPr>
        <w:ind w:left="2892" w:hanging="360"/>
      </w:pPr>
      <w:rPr>
        <w:rFonts w:ascii="Wingdings" w:hAnsi="Wingdings" w:hint="default"/>
      </w:rPr>
    </w:lvl>
    <w:lvl w:ilvl="6" w:tplc="0C090001" w:tentative="1">
      <w:start w:val="1"/>
      <w:numFmt w:val="bullet"/>
      <w:lvlText w:val=""/>
      <w:lvlJc w:val="left"/>
      <w:pPr>
        <w:ind w:left="3612" w:hanging="360"/>
      </w:pPr>
      <w:rPr>
        <w:rFonts w:ascii="Symbol" w:hAnsi="Symbol" w:hint="default"/>
      </w:rPr>
    </w:lvl>
    <w:lvl w:ilvl="7" w:tplc="0C090003" w:tentative="1">
      <w:start w:val="1"/>
      <w:numFmt w:val="bullet"/>
      <w:lvlText w:val="o"/>
      <w:lvlJc w:val="left"/>
      <w:pPr>
        <w:ind w:left="4332" w:hanging="360"/>
      </w:pPr>
      <w:rPr>
        <w:rFonts w:ascii="Courier New" w:hAnsi="Courier New" w:cs="Courier New" w:hint="default"/>
      </w:rPr>
    </w:lvl>
    <w:lvl w:ilvl="8" w:tplc="0C090005" w:tentative="1">
      <w:start w:val="1"/>
      <w:numFmt w:val="bullet"/>
      <w:lvlText w:val=""/>
      <w:lvlJc w:val="left"/>
      <w:pPr>
        <w:ind w:left="5052" w:hanging="360"/>
      </w:pPr>
      <w:rPr>
        <w:rFonts w:ascii="Wingdings" w:hAnsi="Wingdings" w:hint="default"/>
      </w:rPr>
    </w:lvl>
  </w:abstractNum>
  <w:abstractNum w:abstractNumId="26">
    <w:nsid w:val="5EF51ACF"/>
    <w:multiLevelType w:val="hybridMultilevel"/>
    <w:tmpl w:val="F84060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nsid w:val="5FB03625"/>
    <w:multiLevelType w:val="hybridMultilevel"/>
    <w:tmpl w:val="AB72E1B8"/>
    <w:lvl w:ilvl="0" w:tplc="0C090001">
      <w:start w:val="1"/>
      <w:numFmt w:val="bullet"/>
      <w:lvlText w:val=""/>
      <w:lvlJc w:val="left"/>
      <w:pPr>
        <w:ind w:left="-351" w:hanging="360"/>
      </w:pPr>
      <w:rPr>
        <w:rFonts w:ascii="Symbol" w:hAnsi="Symbol" w:hint="default"/>
      </w:rPr>
    </w:lvl>
    <w:lvl w:ilvl="1" w:tplc="0C090003">
      <w:start w:val="1"/>
      <w:numFmt w:val="bullet"/>
      <w:lvlText w:val="o"/>
      <w:lvlJc w:val="left"/>
      <w:pPr>
        <w:ind w:left="369" w:hanging="360"/>
      </w:pPr>
      <w:rPr>
        <w:rFonts w:ascii="Courier New" w:hAnsi="Courier New" w:cs="Courier New" w:hint="default"/>
      </w:rPr>
    </w:lvl>
    <w:lvl w:ilvl="2" w:tplc="0C090003">
      <w:start w:val="1"/>
      <w:numFmt w:val="bullet"/>
      <w:lvlText w:val="o"/>
      <w:lvlJc w:val="left"/>
      <w:pPr>
        <w:ind w:left="1089" w:hanging="360"/>
      </w:pPr>
      <w:rPr>
        <w:rFonts w:ascii="Courier New" w:hAnsi="Courier New" w:cs="Courier New"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28">
    <w:nsid w:val="60F64C3E"/>
    <w:multiLevelType w:val="hybridMultilevel"/>
    <w:tmpl w:val="646EA43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611072FE"/>
    <w:multiLevelType w:val="hybridMultilevel"/>
    <w:tmpl w:val="C10201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58D17C9"/>
    <w:multiLevelType w:val="hybridMultilevel"/>
    <w:tmpl w:val="C03C6D98"/>
    <w:lvl w:ilvl="0" w:tplc="0C090001">
      <w:start w:val="1"/>
      <w:numFmt w:val="bullet"/>
      <w:lvlText w:val=""/>
      <w:lvlJc w:val="left"/>
      <w:pPr>
        <w:ind w:left="-351" w:hanging="360"/>
      </w:pPr>
      <w:rPr>
        <w:rFonts w:ascii="Symbol" w:hAnsi="Symbol" w:hint="default"/>
      </w:rPr>
    </w:lvl>
    <w:lvl w:ilvl="1" w:tplc="0C090003">
      <w:start w:val="1"/>
      <w:numFmt w:val="bullet"/>
      <w:lvlText w:val="o"/>
      <w:lvlJc w:val="left"/>
      <w:pPr>
        <w:ind w:left="369" w:hanging="360"/>
      </w:pPr>
      <w:rPr>
        <w:rFonts w:ascii="Courier New" w:hAnsi="Courier New" w:cs="Courier New" w:hint="default"/>
      </w:rPr>
    </w:lvl>
    <w:lvl w:ilvl="2" w:tplc="0C090005">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32">
    <w:nsid w:val="70640DC9"/>
    <w:multiLevelType w:val="hybridMultilevel"/>
    <w:tmpl w:val="355E9F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1C27096"/>
    <w:multiLevelType w:val="hybridMultilevel"/>
    <w:tmpl w:val="18B42AD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3C776E2"/>
    <w:multiLevelType w:val="multilevel"/>
    <w:tmpl w:val="F6D04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74CB5CD2"/>
    <w:multiLevelType w:val="hybridMultilevel"/>
    <w:tmpl w:val="5FBABB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6002C50"/>
    <w:multiLevelType w:val="hybridMultilevel"/>
    <w:tmpl w:val="89C24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8">
    <w:nsid w:val="7A1126D7"/>
    <w:multiLevelType w:val="hybridMultilevel"/>
    <w:tmpl w:val="15EC7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2"/>
  </w:num>
  <w:num w:numId="3">
    <w:abstractNumId w:val="25"/>
  </w:num>
  <w:num w:numId="4">
    <w:abstractNumId w:val="33"/>
  </w:num>
  <w:num w:numId="5">
    <w:abstractNumId w:val="31"/>
  </w:num>
  <w:num w:numId="6">
    <w:abstractNumId w:val="21"/>
  </w:num>
  <w:num w:numId="7">
    <w:abstractNumId w:val="27"/>
  </w:num>
  <w:num w:numId="8">
    <w:abstractNumId w:val="0"/>
  </w:num>
  <w:num w:numId="9">
    <w:abstractNumId w:val="28"/>
  </w:num>
  <w:num w:numId="10">
    <w:abstractNumId w:val="12"/>
  </w:num>
  <w:num w:numId="11">
    <w:abstractNumId w:val="1"/>
  </w:num>
  <w:num w:numId="12">
    <w:abstractNumId w:val="29"/>
  </w:num>
  <w:num w:numId="13">
    <w:abstractNumId w:val="8"/>
  </w:num>
  <w:num w:numId="14">
    <w:abstractNumId w:val="7"/>
  </w:num>
  <w:num w:numId="15">
    <w:abstractNumId w:val="38"/>
  </w:num>
  <w:num w:numId="16">
    <w:abstractNumId w:val="5"/>
  </w:num>
  <w:num w:numId="17">
    <w:abstractNumId w:val="22"/>
  </w:num>
  <w:num w:numId="18">
    <w:abstractNumId w:val="9"/>
  </w:num>
  <w:num w:numId="19">
    <w:abstractNumId w:val="6"/>
  </w:num>
  <w:num w:numId="20">
    <w:abstractNumId w:val="17"/>
  </w:num>
  <w:num w:numId="21">
    <w:abstractNumId w:val="23"/>
  </w:num>
  <w:num w:numId="22">
    <w:abstractNumId w:val="20"/>
  </w:num>
  <w:num w:numId="23">
    <w:abstractNumId w:val="18"/>
  </w:num>
  <w:num w:numId="24">
    <w:abstractNumId w:val="11"/>
  </w:num>
  <w:num w:numId="25">
    <w:abstractNumId w:val="16"/>
  </w:num>
  <w:num w:numId="26">
    <w:abstractNumId w:val="15"/>
  </w:num>
  <w:num w:numId="27">
    <w:abstractNumId w:val="3"/>
  </w:num>
  <w:num w:numId="28">
    <w:abstractNumId w:val="14"/>
  </w:num>
  <w:num w:numId="29">
    <w:abstractNumId w:val="34"/>
  </w:num>
  <w:num w:numId="30">
    <w:abstractNumId w:val="19"/>
  </w:num>
  <w:num w:numId="31">
    <w:abstractNumId w:val="13"/>
  </w:num>
  <w:num w:numId="32">
    <w:abstractNumId w:val="24"/>
  </w:num>
  <w:num w:numId="33">
    <w:abstractNumId w:val="26"/>
  </w:num>
  <w:num w:numId="34">
    <w:abstractNumId w:val="4"/>
  </w:num>
  <w:num w:numId="35">
    <w:abstractNumId w:val="37"/>
  </w:num>
  <w:num w:numId="36">
    <w:abstractNumId w:val="30"/>
  </w:num>
  <w:num w:numId="37">
    <w:abstractNumId w:val="10"/>
  </w:num>
  <w:num w:numId="38">
    <w:abstractNumId w:val="36"/>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TrackMov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12C13"/>
    <w:rsid w:val="00001957"/>
    <w:rsid w:val="00003342"/>
    <w:rsid w:val="000048C3"/>
    <w:rsid w:val="000257C3"/>
    <w:rsid w:val="0003081F"/>
    <w:rsid w:val="00032894"/>
    <w:rsid w:val="000365D4"/>
    <w:rsid w:val="000376B6"/>
    <w:rsid w:val="00041F93"/>
    <w:rsid w:val="000427ED"/>
    <w:rsid w:val="0005580A"/>
    <w:rsid w:val="00070983"/>
    <w:rsid w:val="00080473"/>
    <w:rsid w:val="00080B8D"/>
    <w:rsid w:val="00093F99"/>
    <w:rsid w:val="00095739"/>
    <w:rsid w:val="000979BD"/>
    <w:rsid w:val="000A3999"/>
    <w:rsid w:val="000C01D0"/>
    <w:rsid w:val="000C1ED2"/>
    <w:rsid w:val="000C2077"/>
    <w:rsid w:val="000D5E92"/>
    <w:rsid w:val="000D68D6"/>
    <w:rsid w:val="000D797E"/>
    <w:rsid w:val="000E2586"/>
    <w:rsid w:val="000E7B03"/>
    <w:rsid w:val="000E7C62"/>
    <w:rsid w:val="000F2150"/>
    <w:rsid w:val="000F67BF"/>
    <w:rsid w:val="00101DBF"/>
    <w:rsid w:val="00101DE2"/>
    <w:rsid w:val="00106EC8"/>
    <w:rsid w:val="00112075"/>
    <w:rsid w:val="00125AAF"/>
    <w:rsid w:val="00127758"/>
    <w:rsid w:val="00130CCB"/>
    <w:rsid w:val="00141719"/>
    <w:rsid w:val="001519DF"/>
    <w:rsid w:val="00152889"/>
    <w:rsid w:val="00153724"/>
    <w:rsid w:val="00157D07"/>
    <w:rsid w:val="001608DD"/>
    <w:rsid w:val="00162140"/>
    <w:rsid w:val="001672A0"/>
    <w:rsid w:val="00171C2D"/>
    <w:rsid w:val="00173668"/>
    <w:rsid w:val="00182041"/>
    <w:rsid w:val="0019130B"/>
    <w:rsid w:val="001A3F15"/>
    <w:rsid w:val="001A5486"/>
    <w:rsid w:val="001B11AA"/>
    <w:rsid w:val="001B25C6"/>
    <w:rsid w:val="001B5D5E"/>
    <w:rsid w:val="001B5E29"/>
    <w:rsid w:val="001C2B2F"/>
    <w:rsid w:val="001C39EB"/>
    <w:rsid w:val="001C768A"/>
    <w:rsid w:val="001E1412"/>
    <w:rsid w:val="001E4FC0"/>
    <w:rsid w:val="001E7050"/>
    <w:rsid w:val="00200FF0"/>
    <w:rsid w:val="00201DCE"/>
    <w:rsid w:val="002040D5"/>
    <w:rsid w:val="00205914"/>
    <w:rsid w:val="002063A5"/>
    <w:rsid w:val="00212CD5"/>
    <w:rsid w:val="00215804"/>
    <w:rsid w:val="0022019C"/>
    <w:rsid w:val="00223739"/>
    <w:rsid w:val="002259D4"/>
    <w:rsid w:val="00230D98"/>
    <w:rsid w:val="00234822"/>
    <w:rsid w:val="00264AE3"/>
    <w:rsid w:val="00270FE1"/>
    <w:rsid w:val="00277A8E"/>
    <w:rsid w:val="00282F92"/>
    <w:rsid w:val="00283F76"/>
    <w:rsid w:val="00287695"/>
    <w:rsid w:val="0029028A"/>
    <w:rsid w:val="00291D64"/>
    <w:rsid w:val="002A08EA"/>
    <w:rsid w:val="002A2B35"/>
    <w:rsid w:val="002A4A61"/>
    <w:rsid w:val="002A5D59"/>
    <w:rsid w:val="002A6493"/>
    <w:rsid w:val="002A6A67"/>
    <w:rsid w:val="002B03AE"/>
    <w:rsid w:val="002B6EDB"/>
    <w:rsid w:val="002C026A"/>
    <w:rsid w:val="002C06EB"/>
    <w:rsid w:val="002C5165"/>
    <w:rsid w:val="002C73BC"/>
    <w:rsid w:val="002C79FF"/>
    <w:rsid w:val="002D1049"/>
    <w:rsid w:val="002D4174"/>
    <w:rsid w:val="002D51D1"/>
    <w:rsid w:val="002E4EC0"/>
    <w:rsid w:val="0030790B"/>
    <w:rsid w:val="00322B43"/>
    <w:rsid w:val="00322D45"/>
    <w:rsid w:val="0032566B"/>
    <w:rsid w:val="00326953"/>
    <w:rsid w:val="0033230B"/>
    <w:rsid w:val="00340903"/>
    <w:rsid w:val="0034091E"/>
    <w:rsid w:val="00345A08"/>
    <w:rsid w:val="00346523"/>
    <w:rsid w:val="00347ADC"/>
    <w:rsid w:val="003565A2"/>
    <w:rsid w:val="00360A34"/>
    <w:rsid w:val="00364CCB"/>
    <w:rsid w:val="00366401"/>
    <w:rsid w:val="003759C8"/>
    <w:rsid w:val="00393EE2"/>
    <w:rsid w:val="003960B3"/>
    <w:rsid w:val="003A6A2A"/>
    <w:rsid w:val="003C3BFF"/>
    <w:rsid w:val="003D32EC"/>
    <w:rsid w:val="003D383C"/>
    <w:rsid w:val="003E2897"/>
    <w:rsid w:val="003F0175"/>
    <w:rsid w:val="0040362D"/>
    <w:rsid w:val="00406E2A"/>
    <w:rsid w:val="0041166C"/>
    <w:rsid w:val="0041473A"/>
    <w:rsid w:val="00416CE3"/>
    <w:rsid w:val="00424CD2"/>
    <w:rsid w:val="00426BE0"/>
    <w:rsid w:val="00427BFF"/>
    <w:rsid w:val="00436D4D"/>
    <w:rsid w:val="00440FF6"/>
    <w:rsid w:val="00442D1D"/>
    <w:rsid w:val="00443BB1"/>
    <w:rsid w:val="00447F19"/>
    <w:rsid w:val="00453D54"/>
    <w:rsid w:val="00455154"/>
    <w:rsid w:val="00467B99"/>
    <w:rsid w:val="004737CA"/>
    <w:rsid w:val="00473FDA"/>
    <w:rsid w:val="004755D7"/>
    <w:rsid w:val="00477A4A"/>
    <w:rsid w:val="00482F17"/>
    <w:rsid w:val="00484C72"/>
    <w:rsid w:val="00485F46"/>
    <w:rsid w:val="00492039"/>
    <w:rsid w:val="0049333B"/>
    <w:rsid w:val="0049716C"/>
    <w:rsid w:val="004A5637"/>
    <w:rsid w:val="004B36B2"/>
    <w:rsid w:val="004B5BAD"/>
    <w:rsid w:val="004B7770"/>
    <w:rsid w:val="004C6C73"/>
    <w:rsid w:val="004D2A58"/>
    <w:rsid w:val="004D4FD1"/>
    <w:rsid w:val="004D59C0"/>
    <w:rsid w:val="004E0B49"/>
    <w:rsid w:val="004E46CE"/>
    <w:rsid w:val="004F3175"/>
    <w:rsid w:val="004F3754"/>
    <w:rsid w:val="004F6277"/>
    <w:rsid w:val="00500A98"/>
    <w:rsid w:val="00501A82"/>
    <w:rsid w:val="0050345C"/>
    <w:rsid w:val="00507561"/>
    <w:rsid w:val="00507808"/>
    <w:rsid w:val="00537655"/>
    <w:rsid w:val="00537A7F"/>
    <w:rsid w:val="00541900"/>
    <w:rsid w:val="00546F0D"/>
    <w:rsid w:val="00552D2E"/>
    <w:rsid w:val="00555DD4"/>
    <w:rsid w:val="00556A25"/>
    <w:rsid w:val="00560E6B"/>
    <w:rsid w:val="00562A00"/>
    <w:rsid w:val="005679A7"/>
    <w:rsid w:val="00575A8D"/>
    <w:rsid w:val="005773E3"/>
    <w:rsid w:val="00577C38"/>
    <w:rsid w:val="00582E69"/>
    <w:rsid w:val="00595236"/>
    <w:rsid w:val="0059735C"/>
    <w:rsid w:val="005A3445"/>
    <w:rsid w:val="005B0063"/>
    <w:rsid w:val="005B58CF"/>
    <w:rsid w:val="005C02A5"/>
    <w:rsid w:val="005C6D70"/>
    <w:rsid w:val="005D50D0"/>
    <w:rsid w:val="005D54F9"/>
    <w:rsid w:val="005F2DBA"/>
    <w:rsid w:val="005F4AF6"/>
    <w:rsid w:val="005F5931"/>
    <w:rsid w:val="006035FD"/>
    <w:rsid w:val="00611670"/>
    <w:rsid w:val="00611FF1"/>
    <w:rsid w:val="0062252A"/>
    <w:rsid w:val="00630A0D"/>
    <w:rsid w:val="00641416"/>
    <w:rsid w:val="00645EE8"/>
    <w:rsid w:val="00651933"/>
    <w:rsid w:val="00653836"/>
    <w:rsid w:val="006758D7"/>
    <w:rsid w:val="00675C25"/>
    <w:rsid w:val="00680425"/>
    <w:rsid w:val="006935DF"/>
    <w:rsid w:val="0069369B"/>
    <w:rsid w:val="006A6396"/>
    <w:rsid w:val="006B1569"/>
    <w:rsid w:val="006C6275"/>
    <w:rsid w:val="006D031F"/>
    <w:rsid w:val="006D259C"/>
    <w:rsid w:val="006D3560"/>
    <w:rsid w:val="006D7D04"/>
    <w:rsid w:val="006E08D9"/>
    <w:rsid w:val="006E0DF0"/>
    <w:rsid w:val="006E3932"/>
    <w:rsid w:val="006E41A0"/>
    <w:rsid w:val="006E703E"/>
    <w:rsid w:val="006F0908"/>
    <w:rsid w:val="0070027E"/>
    <w:rsid w:val="00705A7A"/>
    <w:rsid w:val="00706A6D"/>
    <w:rsid w:val="00712C13"/>
    <w:rsid w:val="00712F06"/>
    <w:rsid w:val="00720066"/>
    <w:rsid w:val="00723CB9"/>
    <w:rsid w:val="007262B6"/>
    <w:rsid w:val="00730DE8"/>
    <w:rsid w:val="00732215"/>
    <w:rsid w:val="00732C48"/>
    <w:rsid w:val="00733855"/>
    <w:rsid w:val="007405BB"/>
    <w:rsid w:val="007453FA"/>
    <w:rsid w:val="00753E47"/>
    <w:rsid w:val="00756F4B"/>
    <w:rsid w:val="00760ADE"/>
    <w:rsid w:val="00760EA4"/>
    <w:rsid w:val="00761729"/>
    <w:rsid w:val="0076274E"/>
    <w:rsid w:val="007643F7"/>
    <w:rsid w:val="0077632B"/>
    <w:rsid w:val="00776EDF"/>
    <w:rsid w:val="00780D36"/>
    <w:rsid w:val="007918AD"/>
    <w:rsid w:val="00797033"/>
    <w:rsid w:val="007A2C04"/>
    <w:rsid w:val="007A3BB1"/>
    <w:rsid w:val="007B796C"/>
    <w:rsid w:val="007D7775"/>
    <w:rsid w:val="007E1AE6"/>
    <w:rsid w:val="007E58CC"/>
    <w:rsid w:val="007F0C8B"/>
    <w:rsid w:val="007F3C69"/>
    <w:rsid w:val="007F41D9"/>
    <w:rsid w:val="007F4B79"/>
    <w:rsid w:val="007F636F"/>
    <w:rsid w:val="00802806"/>
    <w:rsid w:val="00810A7B"/>
    <w:rsid w:val="00810C10"/>
    <w:rsid w:val="008122DE"/>
    <w:rsid w:val="00815768"/>
    <w:rsid w:val="00821A06"/>
    <w:rsid w:val="008252D4"/>
    <w:rsid w:val="00827F55"/>
    <w:rsid w:val="00834FD7"/>
    <w:rsid w:val="00835893"/>
    <w:rsid w:val="00844068"/>
    <w:rsid w:val="008447D4"/>
    <w:rsid w:val="0084532E"/>
    <w:rsid w:val="00852A3E"/>
    <w:rsid w:val="008559B4"/>
    <w:rsid w:val="00857D71"/>
    <w:rsid w:val="008605BD"/>
    <w:rsid w:val="008647A4"/>
    <w:rsid w:val="00867FF1"/>
    <w:rsid w:val="00873350"/>
    <w:rsid w:val="00873460"/>
    <w:rsid w:val="00874AC4"/>
    <w:rsid w:val="00874D5F"/>
    <w:rsid w:val="00885211"/>
    <w:rsid w:val="00885656"/>
    <w:rsid w:val="008A0B20"/>
    <w:rsid w:val="008A12F9"/>
    <w:rsid w:val="008A47C8"/>
    <w:rsid w:val="008A6DF0"/>
    <w:rsid w:val="008B3A85"/>
    <w:rsid w:val="008B5AEA"/>
    <w:rsid w:val="008C15F1"/>
    <w:rsid w:val="008C56BA"/>
    <w:rsid w:val="008D3291"/>
    <w:rsid w:val="008D6737"/>
    <w:rsid w:val="008E2357"/>
    <w:rsid w:val="008F1307"/>
    <w:rsid w:val="00907026"/>
    <w:rsid w:val="009077AE"/>
    <w:rsid w:val="00920B9F"/>
    <w:rsid w:val="00937AD2"/>
    <w:rsid w:val="00942063"/>
    <w:rsid w:val="0094353E"/>
    <w:rsid w:val="00943772"/>
    <w:rsid w:val="00945E54"/>
    <w:rsid w:val="0095203B"/>
    <w:rsid w:val="009634B9"/>
    <w:rsid w:val="00973FC3"/>
    <w:rsid w:val="00976C9E"/>
    <w:rsid w:val="00991733"/>
    <w:rsid w:val="00991921"/>
    <w:rsid w:val="009A20C6"/>
    <w:rsid w:val="009A3999"/>
    <w:rsid w:val="009B02C9"/>
    <w:rsid w:val="009C0137"/>
    <w:rsid w:val="009C0DB4"/>
    <w:rsid w:val="009C3FC2"/>
    <w:rsid w:val="009C528A"/>
    <w:rsid w:val="009D1742"/>
    <w:rsid w:val="009D31BE"/>
    <w:rsid w:val="009D54E8"/>
    <w:rsid w:val="009E452B"/>
    <w:rsid w:val="009F1223"/>
    <w:rsid w:val="009F5054"/>
    <w:rsid w:val="00A10374"/>
    <w:rsid w:val="00A205C1"/>
    <w:rsid w:val="00A36A58"/>
    <w:rsid w:val="00A43609"/>
    <w:rsid w:val="00A5693B"/>
    <w:rsid w:val="00A61876"/>
    <w:rsid w:val="00A66ED7"/>
    <w:rsid w:val="00A70D91"/>
    <w:rsid w:val="00A71772"/>
    <w:rsid w:val="00A73D2D"/>
    <w:rsid w:val="00A76C29"/>
    <w:rsid w:val="00A80EE9"/>
    <w:rsid w:val="00A937F2"/>
    <w:rsid w:val="00A975F1"/>
    <w:rsid w:val="00AA41B5"/>
    <w:rsid w:val="00AA5620"/>
    <w:rsid w:val="00AB0921"/>
    <w:rsid w:val="00AC4326"/>
    <w:rsid w:val="00AD0009"/>
    <w:rsid w:val="00AD5129"/>
    <w:rsid w:val="00AD6A5C"/>
    <w:rsid w:val="00AE1EF5"/>
    <w:rsid w:val="00AE4A77"/>
    <w:rsid w:val="00AE4BF0"/>
    <w:rsid w:val="00AE4DE3"/>
    <w:rsid w:val="00AF2302"/>
    <w:rsid w:val="00AF43F9"/>
    <w:rsid w:val="00AF5143"/>
    <w:rsid w:val="00AF6901"/>
    <w:rsid w:val="00AF74DF"/>
    <w:rsid w:val="00AF7D44"/>
    <w:rsid w:val="00B0663F"/>
    <w:rsid w:val="00B111A5"/>
    <w:rsid w:val="00B140BB"/>
    <w:rsid w:val="00B20D79"/>
    <w:rsid w:val="00B25FA2"/>
    <w:rsid w:val="00B3403A"/>
    <w:rsid w:val="00B37407"/>
    <w:rsid w:val="00B421BE"/>
    <w:rsid w:val="00B4223E"/>
    <w:rsid w:val="00B43513"/>
    <w:rsid w:val="00B46F90"/>
    <w:rsid w:val="00B51FB3"/>
    <w:rsid w:val="00B536D8"/>
    <w:rsid w:val="00B5478D"/>
    <w:rsid w:val="00B57E4C"/>
    <w:rsid w:val="00B62BE6"/>
    <w:rsid w:val="00B72050"/>
    <w:rsid w:val="00B751CE"/>
    <w:rsid w:val="00B7751A"/>
    <w:rsid w:val="00B923BE"/>
    <w:rsid w:val="00B959CB"/>
    <w:rsid w:val="00BA06DF"/>
    <w:rsid w:val="00BA18D0"/>
    <w:rsid w:val="00BA1ABC"/>
    <w:rsid w:val="00BA726F"/>
    <w:rsid w:val="00BB06CF"/>
    <w:rsid w:val="00BB5154"/>
    <w:rsid w:val="00BC2E6E"/>
    <w:rsid w:val="00BC38A4"/>
    <w:rsid w:val="00BD5811"/>
    <w:rsid w:val="00BD606A"/>
    <w:rsid w:val="00BE128B"/>
    <w:rsid w:val="00BE1CED"/>
    <w:rsid w:val="00BE3DE0"/>
    <w:rsid w:val="00BE5F0D"/>
    <w:rsid w:val="00BF0AF7"/>
    <w:rsid w:val="00C051E6"/>
    <w:rsid w:val="00C10DBA"/>
    <w:rsid w:val="00C301B2"/>
    <w:rsid w:val="00C341A3"/>
    <w:rsid w:val="00C34B7C"/>
    <w:rsid w:val="00C364B0"/>
    <w:rsid w:val="00C364D8"/>
    <w:rsid w:val="00C43929"/>
    <w:rsid w:val="00C449DB"/>
    <w:rsid w:val="00C44D2A"/>
    <w:rsid w:val="00C5563A"/>
    <w:rsid w:val="00C55F92"/>
    <w:rsid w:val="00C63E7D"/>
    <w:rsid w:val="00C65485"/>
    <w:rsid w:val="00C71302"/>
    <w:rsid w:val="00C820D8"/>
    <w:rsid w:val="00C8380A"/>
    <w:rsid w:val="00C86EE1"/>
    <w:rsid w:val="00C878C9"/>
    <w:rsid w:val="00C91F55"/>
    <w:rsid w:val="00C978FA"/>
    <w:rsid w:val="00CA2EBF"/>
    <w:rsid w:val="00CA3DF9"/>
    <w:rsid w:val="00CA4861"/>
    <w:rsid w:val="00CA72B5"/>
    <w:rsid w:val="00CC4666"/>
    <w:rsid w:val="00CC6C7F"/>
    <w:rsid w:val="00CD4F98"/>
    <w:rsid w:val="00CD5056"/>
    <w:rsid w:val="00CE23C5"/>
    <w:rsid w:val="00CE402F"/>
    <w:rsid w:val="00CE53EC"/>
    <w:rsid w:val="00CF4475"/>
    <w:rsid w:val="00CF50FA"/>
    <w:rsid w:val="00D04B03"/>
    <w:rsid w:val="00D04DB1"/>
    <w:rsid w:val="00D11DC5"/>
    <w:rsid w:val="00D2107A"/>
    <w:rsid w:val="00D255B9"/>
    <w:rsid w:val="00D2705D"/>
    <w:rsid w:val="00D3011B"/>
    <w:rsid w:val="00D30844"/>
    <w:rsid w:val="00D51D54"/>
    <w:rsid w:val="00D606B8"/>
    <w:rsid w:val="00D67D59"/>
    <w:rsid w:val="00D71505"/>
    <w:rsid w:val="00D733FA"/>
    <w:rsid w:val="00D74CD6"/>
    <w:rsid w:val="00D75FA4"/>
    <w:rsid w:val="00D76A36"/>
    <w:rsid w:val="00D80AB5"/>
    <w:rsid w:val="00D82444"/>
    <w:rsid w:val="00D831D0"/>
    <w:rsid w:val="00D83DE7"/>
    <w:rsid w:val="00D97BD7"/>
    <w:rsid w:val="00DA157A"/>
    <w:rsid w:val="00DA4F1C"/>
    <w:rsid w:val="00DA7FC1"/>
    <w:rsid w:val="00DC1343"/>
    <w:rsid w:val="00DC4940"/>
    <w:rsid w:val="00DD3397"/>
    <w:rsid w:val="00DD3DF2"/>
    <w:rsid w:val="00DD5FC9"/>
    <w:rsid w:val="00DD6056"/>
    <w:rsid w:val="00DE34B0"/>
    <w:rsid w:val="00DE3BA5"/>
    <w:rsid w:val="00DE3C56"/>
    <w:rsid w:val="00DE3D2C"/>
    <w:rsid w:val="00DE79E6"/>
    <w:rsid w:val="00DF1C5F"/>
    <w:rsid w:val="00DF315F"/>
    <w:rsid w:val="00DF4A34"/>
    <w:rsid w:val="00E0195C"/>
    <w:rsid w:val="00E12B8B"/>
    <w:rsid w:val="00E2019C"/>
    <w:rsid w:val="00E20A21"/>
    <w:rsid w:val="00E2600C"/>
    <w:rsid w:val="00E348EB"/>
    <w:rsid w:val="00E54692"/>
    <w:rsid w:val="00E54AF6"/>
    <w:rsid w:val="00E561B3"/>
    <w:rsid w:val="00E56504"/>
    <w:rsid w:val="00E56CD4"/>
    <w:rsid w:val="00E60AA8"/>
    <w:rsid w:val="00E63658"/>
    <w:rsid w:val="00E66544"/>
    <w:rsid w:val="00E71BEC"/>
    <w:rsid w:val="00E75951"/>
    <w:rsid w:val="00E7598B"/>
    <w:rsid w:val="00E848E6"/>
    <w:rsid w:val="00E85371"/>
    <w:rsid w:val="00E855A8"/>
    <w:rsid w:val="00E87B7A"/>
    <w:rsid w:val="00E906C5"/>
    <w:rsid w:val="00E910D2"/>
    <w:rsid w:val="00E94406"/>
    <w:rsid w:val="00E9511E"/>
    <w:rsid w:val="00EA3D2C"/>
    <w:rsid w:val="00EA6FD8"/>
    <w:rsid w:val="00EA7467"/>
    <w:rsid w:val="00EA786F"/>
    <w:rsid w:val="00EB1C95"/>
    <w:rsid w:val="00EB4B2B"/>
    <w:rsid w:val="00EB5152"/>
    <w:rsid w:val="00EB55D3"/>
    <w:rsid w:val="00EB7FBD"/>
    <w:rsid w:val="00EC4052"/>
    <w:rsid w:val="00ED3111"/>
    <w:rsid w:val="00ED6CE9"/>
    <w:rsid w:val="00EE0A1B"/>
    <w:rsid w:val="00EE76EE"/>
    <w:rsid w:val="00EF2262"/>
    <w:rsid w:val="00EF32CF"/>
    <w:rsid w:val="00EF40B0"/>
    <w:rsid w:val="00EF5DB3"/>
    <w:rsid w:val="00F0472D"/>
    <w:rsid w:val="00F13975"/>
    <w:rsid w:val="00F13E7B"/>
    <w:rsid w:val="00F22130"/>
    <w:rsid w:val="00F3178E"/>
    <w:rsid w:val="00F3361E"/>
    <w:rsid w:val="00F33EC4"/>
    <w:rsid w:val="00F405D0"/>
    <w:rsid w:val="00F47458"/>
    <w:rsid w:val="00F53CBE"/>
    <w:rsid w:val="00F55855"/>
    <w:rsid w:val="00F55DF4"/>
    <w:rsid w:val="00F70C31"/>
    <w:rsid w:val="00F71089"/>
    <w:rsid w:val="00F71A14"/>
    <w:rsid w:val="00F72CA5"/>
    <w:rsid w:val="00F80A7B"/>
    <w:rsid w:val="00F84588"/>
    <w:rsid w:val="00F91827"/>
    <w:rsid w:val="00F92C50"/>
    <w:rsid w:val="00F97124"/>
    <w:rsid w:val="00FA365D"/>
    <w:rsid w:val="00FA47C8"/>
    <w:rsid w:val="00FA70CC"/>
    <w:rsid w:val="00FA7EB3"/>
    <w:rsid w:val="00FB1198"/>
    <w:rsid w:val="00FB7D86"/>
    <w:rsid w:val="00FC338A"/>
    <w:rsid w:val="00FC5699"/>
    <w:rsid w:val="00FC6FC9"/>
    <w:rsid w:val="00FC7D2A"/>
    <w:rsid w:val="00FD1289"/>
    <w:rsid w:val="00FD3F95"/>
    <w:rsid w:val="00FD7E50"/>
    <w:rsid w:val="00FE2562"/>
    <w:rsid w:val="00FE3304"/>
    <w:rsid w:val="00FE4BDA"/>
    <w:rsid w:val="00FF6387"/>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F93"/>
    <w:pPr>
      <w:spacing w:after="160"/>
    </w:pPr>
    <w:rPr>
      <w:szCs w:val="22"/>
      <w:lang w:eastAsia="en-US"/>
    </w:rPr>
  </w:style>
  <w:style w:type="paragraph" w:styleId="Heading1">
    <w:name w:val="heading 1"/>
    <w:basedOn w:val="Normal"/>
    <w:next w:val="Normal"/>
    <w:link w:val="Heading1Char"/>
    <w:uiPriority w:val="9"/>
    <w:qFormat/>
    <w:rsid w:val="00712C13"/>
    <w:pPr>
      <w:keepNext/>
      <w:keepLines/>
      <w:spacing w:before="240" w:after="240"/>
      <w:outlineLvl w:val="0"/>
    </w:pPr>
    <w:rPr>
      <w:rFonts w:eastAsia="Times New Roman"/>
      <w:b/>
      <w:bCs/>
      <w:caps/>
      <w:color w:val="365F91"/>
      <w:sz w:val="28"/>
      <w:szCs w:val="28"/>
    </w:rPr>
  </w:style>
  <w:style w:type="paragraph" w:styleId="Heading2">
    <w:name w:val="heading 2"/>
    <w:basedOn w:val="Normal"/>
    <w:next w:val="Normal"/>
    <w:link w:val="Heading2Char"/>
    <w:uiPriority w:val="9"/>
    <w:qFormat/>
    <w:rsid w:val="00712C13"/>
    <w:pPr>
      <w:keepNext/>
      <w:keepLines/>
      <w:spacing w:before="240" w:after="240"/>
      <w:outlineLvl w:val="1"/>
    </w:pPr>
    <w:rPr>
      <w:rFonts w:eastAsia="Times New Roman"/>
      <w:b/>
      <w:bCs/>
      <w:sz w:val="26"/>
      <w:szCs w:val="26"/>
    </w:rPr>
  </w:style>
  <w:style w:type="paragraph" w:styleId="Heading3">
    <w:name w:val="heading 3"/>
    <w:basedOn w:val="Normal"/>
    <w:next w:val="Normal"/>
    <w:link w:val="Heading3Char"/>
    <w:uiPriority w:val="9"/>
    <w:qFormat/>
    <w:rsid w:val="00041F93"/>
    <w:pPr>
      <w:keepNext/>
      <w:keepLines/>
      <w:spacing w:before="240" w:after="120"/>
      <w:outlineLvl w:val="2"/>
    </w:pPr>
    <w:rPr>
      <w:rFonts w:eastAsia="Times New Roman"/>
      <w:bCs/>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2C13"/>
    <w:rPr>
      <w:rFonts w:eastAsia="Times New Roman" w:cs="Times New Roman"/>
      <w:b/>
      <w:bCs/>
      <w:caps/>
      <w:color w:val="365F91"/>
      <w:sz w:val="28"/>
      <w:szCs w:val="28"/>
    </w:rPr>
  </w:style>
  <w:style w:type="character" w:customStyle="1" w:styleId="Heading2Char">
    <w:name w:val="Heading 2 Char"/>
    <w:link w:val="Heading2"/>
    <w:uiPriority w:val="9"/>
    <w:rsid w:val="00712C13"/>
    <w:rPr>
      <w:rFonts w:eastAsia="Times New Roman" w:cs="Times New Roman"/>
      <w:b/>
      <w:bCs/>
      <w:sz w:val="26"/>
      <w:szCs w:val="26"/>
    </w:rPr>
  </w:style>
  <w:style w:type="character" w:customStyle="1" w:styleId="Heading3Char">
    <w:name w:val="Heading 3 Char"/>
    <w:link w:val="Heading3"/>
    <w:uiPriority w:val="9"/>
    <w:rsid w:val="00041F93"/>
    <w:rPr>
      <w:rFonts w:eastAsia="Times New Roman" w:cs="Times New Roman"/>
      <w:bCs/>
      <w:i/>
      <w:sz w:val="22"/>
    </w:rPr>
  </w:style>
  <w:style w:type="paragraph" w:styleId="Header">
    <w:name w:val="header"/>
    <w:basedOn w:val="Normal"/>
    <w:link w:val="HeaderChar"/>
    <w:uiPriority w:val="99"/>
    <w:unhideWhenUsed/>
    <w:rsid w:val="002C5165"/>
    <w:pPr>
      <w:tabs>
        <w:tab w:val="center" w:pos="4513"/>
        <w:tab w:val="right" w:pos="9026"/>
      </w:tabs>
      <w:spacing w:after="0"/>
    </w:pPr>
  </w:style>
  <w:style w:type="character" w:customStyle="1" w:styleId="HeaderChar">
    <w:name w:val="Header Char"/>
    <w:basedOn w:val="DefaultParagraphFont"/>
    <w:link w:val="Header"/>
    <w:uiPriority w:val="99"/>
    <w:rsid w:val="002C5165"/>
  </w:style>
  <w:style w:type="paragraph" w:styleId="Footer">
    <w:name w:val="footer"/>
    <w:basedOn w:val="Normal"/>
    <w:link w:val="FooterChar"/>
    <w:uiPriority w:val="99"/>
    <w:unhideWhenUsed/>
    <w:rsid w:val="002C5165"/>
    <w:pPr>
      <w:tabs>
        <w:tab w:val="center" w:pos="4513"/>
        <w:tab w:val="right" w:pos="9026"/>
      </w:tabs>
      <w:spacing w:after="0"/>
    </w:pPr>
  </w:style>
  <w:style w:type="character" w:customStyle="1" w:styleId="FooterChar">
    <w:name w:val="Footer Char"/>
    <w:basedOn w:val="DefaultParagraphFont"/>
    <w:link w:val="Footer"/>
    <w:uiPriority w:val="99"/>
    <w:rsid w:val="002C5165"/>
  </w:style>
  <w:style w:type="paragraph" w:styleId="BalloonText">
    <w:name w:val="Balloon Text"/>
    <w:basedOn w:val="Normal"/>
    <w:link w:val="BalloonTextChar"/>
    <w:uiPriority w:val="99"/>
    <w:semiHidden/>
    <w:unhideWhenUsed/>
    <w:rsid w:val="002C5165"/>
    <w:pPr>
      <w:spacing w:after="0"/>
    </w:pPr>
    <w:rPr>
      <w:rFonts w:ascii="Tahoma" w:hAnsi="Tahoma" w:cs="Tahoma"/>
      <w:sz w:val="16"/>
      <w:szCs w:val="16"/>
    </w:rPr>
  </w:style>
  <w:style w:type="character" w:customStyle="1" w:styleId="BalloonTextChar">
    <w:name w:val="Balloon Text Char"/>
    <w:link w:val="BalloonText"/>
    <w:uiPriority w:val="99"/>
    <w:semiHidden/>
    <w:rsid w:val="002C5165"/>
    <w:rPr>
      <w:rFonts w:ascii="Tahoma" w:hAnsi="Tahoma" w:cs="Tahoma"/>
      <w:sz w:val="16"/>
      <w:szCs w:val="16"/>
    </w:rPr>
  </w:style>
  <w:style w:type="paragraph" w:styleId="ListParagraph">
    <w:name w:val="List Paragraph"/>
    <w:basedOn w:val="Normal"/>
    <w:uiPriority w:val="34"/>
    <w:qFormat/>
    <w:rsid w:val="00B421BE"/>
    <w:pPr>
      <w:ind w:left="720"/>
      <w:contextualSpacing/>
    </w:pPr>
  </w:style>
  <w:style w:type="paragraph" w:styleId="FootnoteText">
    <w:name w:val="footnote text"/>
    <w:basedOn w:val="Normal"/>
    <w:link w:val="FootnoteTextChar"/>
    <w:uiPriority w:val="99"/>
    <w:semiHidden/>
    <w:unhideWhenUsed/>
    <w:rsid w:val="001E1412"/>
    <w:pPr>
      <w:spacing w:after="0"/>
    </w:pPr>
    <w:rPr>
      <w:szCs w:val="20"/>
    </w:rPr>
  </w:style>
  <w:style w:type="character" w:customStyle="1" w:styleId="FootnoteTextChar">
    <w:name w:val="Footnote Text Char"/>
    <w:link w:val="FootnoteText"/>
    <w:uiPriority w:val="99"/>
    <w:semiHidden/>
    <w:rsid w:val="001E1412"/>
    <w:rPr>
      <w:szCs w:val="20"/>
    </w:rPr>
  </w:style>
  <w:style w:type="character" w:styleId="FootnoteReference">
    <w:name w:val="footnote reference"/>
    <w:uiPriority w:val="99"/>
    <w:semiHidden/>
    <w:unhideWhenUsed/>
    <w:rsid w:val="001E1412"/>
    <w:rPr>
      <w:vertAlign w:val="superscript"/>
    </w:rPr>
  </w:style>
  <w:style w:type="character" w:styleId="Hyperlink">
    <w:name w:val="Hyperlink"/>
    <w:uiPriority w:val="99"/>
    <w:unhideWhenUsed/>
    <w:rsid w:val="001E1412"/>
    <w:rPr>
      <w:color w:val="0000FF"/>
      <w:u w:val="single"/>
    </w:rPr>
  </w:style>
  <w:style w:type="table" w:styleId="TableGrid">
    <w:name w:val="Table Grid"/>
    <w:basedOn w:val="TableNormal"/>
    <w:uiPriority w:val="59"/>
    <w:rsid w:val="00FC33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41473A"/>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uiPriority w:val="99"/>
    <w:semiHidden/>
    <w:unhideWhenUsed/>
    <w:rsid w:val="00447F19"/>
    <w:rPr>
      <w:sz w:val="16"/>
      <w:szCs w:val="16"/>
    </w:rPr>
  </w:style>
  <w:style w:type="paragraph" w:styleId="CommentText">
    <w:name w:val="annotation text"/>
    <w:basedOn w:val="Normal"/>
    <w:link w:val="CommentTextChar"/>
    <w:uiPriority w:val="99"/>
    <w:semiHidden/>
    <w:unhideWhenUsed/>
    <w:rsid w:val="00447F19"/>
    <w:rPr>
      <w:szCs w:val="20"/>
    </w:rPr>
  </w:style>
  <w:style w:type="character" w:customStyle="1" w:styleId="CommentTextChar">
    <w:name w:val="Comment Text Char"/>
    <w:link w:val="CommentText"/>
    <w:uiPriority w:val="99"/>
    <w:semiHidden/>
    <w:rsid w:val="00447F19"/>
    <w:rPr>
      <w:szCs w:val="20"/>
    </w:rPr>
  </w:style>
  <w:style w:type="paragraph" w:styleId="CommentSubject">
    <w:name w:val="annotation subject"/>
    <w:basedOn w:val="CommentText"/>
    <w:next w:val="CommentText"/>
    <w:link w:val="CommentSubjectChar"/>
    <w:uiPriority w:val="99"/>
    <w:semiHidden/>
    <w:unhideWhenUsed/>
    <w:rsid w:val="00447F19"/>
    <w:rPr>
      <w:b/>
      <w:bCs/>
    </w:rPr>
  </w:style>
  <w:style w:type="character" w:customStyle="1" w:styleId="CommentSubjectChar">
    <w:name w:val="Comment Subject Char"/>
    <w:link w:val="CommentSubject"/>
    <w:uiPriority w:val="99"/>
    <w:semiHidden/>
    <w:rsid w:val="00447F19"/>
    <w:rPr>
      <w:b/>
      <w:bCs/>
      <w:szCs w:val="20"/>
    </w:rPr>
  </w:style>
  <w:style w:type="paragraph" w:customStyle="1" w:styleId="Default">
    <w:name w:val="Default"/>
    <w:rsid w:val="00D11DC5"/>
    <w:pPr>
      <w:autoSpaceDE w:val="0"/>
      <w:autoSpaceDN w:val="0"/>
      <w:adjustRightInd w:val="0"/>
    </w:pPr>
    <w:rPr>
      <w:rFonts w:cs="Arial"/>
      <w:color w:val="000000"/>
      <w:sz w:val="24"/>
      <w:szCs w:val="24"/>
      <w:lang w:eastAsia="en-US"/>
    </w:rPr>
  </w:style>
  <w:style w:type="paragraph" w:customStyle="1" w:styleId="definition">
    <w:name w:val="definition"/>
    <w:basedOn w:val="Normal"/>
    <w:rsid w:val="001B11AA"/>
    <w:pPr>
      <w:spacing w:before="100" w:beforeAutospacing="1" w:after="100" w:afterAutospacing="1"/>
    </w:pPr>
    <w:rPr>
      <w:rFonts w:ascii="Times New Roman" w:eastAsia="Times New Roman" w:hAnsi="Times New Roman"/>
      <w:sz w:val="24"/>
      <w:szCs w:val="24"/>
      <w:lang w:eastAsia="en-AU"/>
    </w:rPr>
  </w:style>
  <w:style w:type="paragraph" w:customStyle="1" w:styleId="paragraph">
    <w:name w:val="paragraph"/>
    <w:basedOn w:val="Normal"/>
    <w:rsid w:val="001B11AA"/>
    <w:pPr>
      <w:spacing w:before="100" w:beforeAutospacing="1" w:after="100" w:afterAutospacing="1"/>
    </w:pPr>
    <w:rPr>
      <w:rFonts w:ascii="Times New Roman" w:eastAsia="Times New Roman" w:hAnsi="Times New Roman"/>
      <w:sz w:val="24"/>
      <w:szCs w:val="24"/>
      <w:lang w:eastAsia="en-AU"/>
    </w:rPr>
  </w:style>
  <w:style w:type="paragraph" w:customStyle="1" w:styleId="paragraphsub">
    <w:name w:val="paragraphsub"/>
    <w:basedOn w:val="Normal"/>
    <w:rsid w:val="001B11AA"/>
    <w:pPr>
      <w:spacing w:before="100" w:beforeAutospacing="1" w:after="100" w:afterAutospacing="1"/>
    </w:pPr>
    <w:rPr>
      <w:rFonts w:ascii="Times New Roman" w:eastAsia="Times New Roman" w:hAnsi="Times New Roman"/>
      <w:sz w:val="24"/>
      <w:szCs w:val="24"/>
      <w:lang w:eastAsia="en-AU"/>
    </w:rPr>
  </w:style>
  <w:style w:type="paragraph" w:styleId="NormalWeb">
    <w:name w:val="Normal (Web)"/>
    <w:basedOn w:val="Normal"/>
    <w:uiPriority w:val="99"/>
    <w:semiHidden/>
    <w:unhideWhenUsed/>
    <w:rsid w:val="0041166C"/>
    <w:pPr>
      <w:spacing w:before="100" w:beforeAutospacing="1" w:after="100" w:afterAutospacing="1"/>
    </w:pPr>
    <w:rPr>
      <w:rFonts w:ascii="Times New Roman" w:eastAsia="Times New Roman" w:hAnsi="Times New Roman"/>
      <w:sz w:val="24"/>
      <w:szCs w:val="24"/>
      <w:lang w:eastAsia="en-AU"/>
    </w:rPr>
  </w:style>
  <w:style w:type="character" w:styleId="FollowedHyperlink">
    <w:name w:val="FollowedHyperlink"/>
    <w:uiPriority w:val="99"/>
    <w:semiHidden/>
    <w:unhideWhenUsed/>
    <w:rsid w:val="00582E69"/>
    <w:rPr>
      <w:color w:val="800080"/>
      <w:u w:val="single"/>
    </w:rPr>
  </w:style>
  <w:style w:type="character" w:customStyle="1" w:styleId="A5">
    <w:name w:val="A5"/>
    <w:uiPriority w:val="99"/>
    <w:rsid w:val="00575A8D"/>
    <w:rPr>
      <w:rFonts w:cs="HelveticaNeue Condensed"/>
      <w:color w:val="000000"/>
      <w:sz w:val="48"/>
      <w:szCs w:val="48"/>
    </w:rPr>
  </w:style>
  <w:style w:type="paragraph" w:styleId="EndnoteText">
    <w:name w:val="endnote text"/>
    <w:basedOn w:val="Normal"/>
    <w:link w:val="EndnoteTextChar"/>
    <w:uiPriority w:val="99"/>
    <w:semiHidden/>
    <w:unhideWhenUsed/>
    <w:rsid w:val="000D68D6"/>
    <w:rPr>
      <w:szCs w:val="20"/>
    </w:rPr>
  </w:style>
  <w:style w:type="character" w:customStyle="1" w:styleId="EndnoteTextChar">
    <w:name w:val="Endnote Text Char"/>
    <w:link w:val="EndnoteText"/>
    <w:uiPriority w:val="99"/>
    <w:semiHidden/>
    <w:rsid w:val="000D68D6"/>
    <w:rPr>
      <w:lang w:eastAsia="en-US"/>
    </w:rPr>
  </w:style>
  <w:style w:type="character" w:styleId="EndnoteReference">
    <w:name w:val="endnote reference"/>
    <w:uiPriority w:val="99"/>
    <w:semiHidden/>
    <w:unhideWhenUsed/>
    <w:rsid w:val="000D68D6"/>
    <w:rPr>
      <w:vertAlign w:val="superscript"/>
    </w:rPr>
  </w:style>
  <w:style w:type="numbering" w:customStyle="1" w:styleId="KeyPoints">
    <w:name w:val="Key Points"/>
    <w:basedOn w:val="NoList"/>
    <w:uiPriority w:val="99"/>
    <w:rsid w:val="00B959CB"/>
    <w:pPr>
      <w:numPr>
        <w:numId w:val="35"/>
      </w:numPr>
    </w:pPr>
  </w:style>
  <w:style w:type="paragraph" w:styleId="ListNumber">
    <w:name w:val="List Number"/>
    <w:basedOn w:val="Normal"/>
    <w:uiPriority w:val="99"/>
    <w:qFormat/>
    <w:rsid w:val="00B959CB"/>
    <w:pPr>
      <w:numPr>
        <w:numId w:val="36"/>
      </w:numPr>
      <w:spacing w:after="200" w:line="276" w:lineRule="auto"/>
    </w:pPr>
    <w:rPr>
      <w:sz w:val="22"/>
    </w:rPr>
  </w:style>
  <w:style w:type="paragraph" w:styleId="ListNumber2">
    <w:name w:val="List Number 2"/>
    <w:basedOn w:val="Normal"/>
    <w:uiPriority w:val="99"/>
    <w:rsid w:val="00B959CB"/>
    <w:pPr>
      <w:numPr>
        <w:ilvl w:val="1"/>
        <w:numId w:val="36"/>
      </w:numPr>
      <w:spacing w:after="200" w:line="276" w:lineRule="auto"/>
    </w:pPr>
    <w:rPr>
      <w:sz w:val="22"/>
    </w:rPr>
  </w:style>
  <w:style w:type="paragraph" w:styleId="ListNumber3">
    <w:name w:val="List Number 3"/>
    <w:basedOn w:val="Normal"/>
    <w:uiPriority w:val="99"/>
    <w:rsid w:val="00B959CB"/>
    <w:pPr>
      <w:numPr>
        <w:ilvl w:val="2"/>
        <w:numId w:val="36"/>
      </w:numPr>
      <w:spacing w:after="200" w:line="276" w:lineRule="auto"/>
    </w:pPr>
    <w:rPr>
      <w:sz w:val="22"/>
    </w:rPr>
  </w:style>
  <w:style w:type="paragraph" w:styleId="ListNumber4">
    <w:name w:val="List Number 4"/>
    <w:basedOn w:val="Normal"/>
    <w:uiPriority w:val="99"/>
    <w:rsid w:val="00B959CB"/>
    <w:pPr>
      <w:numPr>
        <w:ilvl w:val="3"/>
        <w:numId w:val="36"/>
      </w:numPr>
      <w:spacing w:after="200" w:line="276" w:lineRule="auto"/>
    </w:pPr>
    <w:rPr>
      <w:sz w:val="22"/>
    </w:rPr>
  </w:style>
  <w:style w:type="paragraph" w:styleId="ListNumber5">
    <w:name w:val="List Number 5"/>
    <w:basedOn w:val="Normal"/>
    <w:uiPriority w:val="99"/>
    <w:rsid w:val="00B959CB"/>
    <w:pPr>
      <w:numPr>
        <w:ilvl w:val="4"/>
        <w:numId w:val="36"/>
      </w:numPr>
      <w:spacing w:after="200" w:line="276" w:lineRule="auto"/>
    </w:pPr>
    <w:rPr>
      <w:sz w:val="22"/>
    </w:rPr>
  </w:style>
  <w:style w:type="paragraph" w:customStyle="1" w:styleId="Style2">
    <w:name w:val="Style2"/>
    <w:basedOn w:val="Heading1"/>
    <w:link w:val="Style2Char"/>
    <w:qFormat/>
    <w:rsid w:val="00B959CB"/>
    <w:pPr>
      <w:keepLines w:val="0"/>
      <w:spacing w:before="60" w:after="60"/>
    </w:pPr>
    <w:rPr>
      <w:bCs w:val="0"/>
      <w:caps w:val="0"/>
      <w:color w:val="A1664C"/>
      <w:kern w:val="20"/>
    </w:rPr>
  </w:style>
  <w:style w:type="character" w:customStyle="1" w:styleId="Style2Char">
    <w:name w:val="Style2 Char"/>
    <w:link w:val="Style2"/>
    <w:locked/>
    <w:rsid w:val="00B959CB"/>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divs>
    <w:div w:id="68777209">
      <w:bodyDiv w:val="1"/>
      <w:marLeft w:val="0"/>
      <w:marRight w:val="0"/>
      <w:marTop w:val="0"/>
      <w:marBottom w:val="0"/>
      <w:divBdr>
        <w:top w:val="none" w:sz="0" w:space="0" w:color="auto"/>
        <w:left w:val="none" w:sz="0" w:space="0" w:color="auto"/>
        <w:bottom w:val="none" w:sz="0" w:space="0" w:color="auto"/>
        <w:right w:val="none" w:sz="0" w:space="0" w:color="auto"/>
      </w:divBdr>
      <w:divsChild>
        <w:div w:id="1435860187">
          <w:marLeft w:val="0"/>
          <w:marRight w:val="0"/>
          <w:marTop w:val="0"/>
          <w:marBottom w:val="0"/>
          <w:divBdr>
            <w:top w:val="none" w:sz="0" w:space="0" w:color="auto"/>
            <w:left w:val="none" w:sz="0" w:space="0" w:color="auto"/>
            <w:bottom w:val="none" w:sz="0" w:space="0" w:color="auto"/>
            <w:right w:val="none" w:sz="0" w:space="0" w:color="auto"/>
          </w:divBdr>
          <w:divsChild>
            <w:div w:id="1853183508">
              <w:marLeft w:val="0"/>
              <w:marRight w:val="0"/>
              <w:marTop w:val="0"/>
              <w:marBottom w:val="0"/>
              <w:divBdr>
                <w:top w:val="none" w:sz="0" w:space="0" w:color="auto"/>
                <w:left w:val="none" w:sz="0" w:space="0" w:color="auto"/>
                <w:bottom w:val="none" w:sz="0" w:space="0" w:color="auto"/>
                <w:right w:val="none" w:sz="0" w:space="0" w:color="auto"/>
              </w:divBdr>
              <w:divsChild>
                <w:div w:id="208341976">
                  <w:marLeft w:val="0"/>
                  <w:marRight w:val="0"/>
                  <w:marTop w:val="0"/>
                  <w:marBottom w:val="0"/>
                  <w:divBdr>
                    <w:top w:val="none" w:sz="0" w:space="0" w:color="auto"/>
                    <w:left w:val="none" w:sz="0" w:space="0" w:color="auto"/>
                    <w:bottom w:val="none" w:sz="0" w:space="0" w:color="auto"/>
                    <w:right w:val="none" w:sz="0" w:space="0" w:color="auto"/>
                  </w:divBdr>
                  <w:divsChild>
                    <w:div w:id="714157383">
                      <w:marLeft w:val="0"/>
                      <w:marRight w:val="0"/>
                      <w:marTop w:val="0"/>
                      <w:marBottom w:val="0"/>
                      <w:divBdr>
                        <w:top w:val="none" w:sz="0" w:space="0" w:color="auto"/>
                        <w:left w:val="none" w:sz="0" w:space="0" w:color="auto"/>
                        <w:bottom w:val="none" w:sz="0" w:space="0" w:color="auto"/>
                        <w:right w:val="none" w:sz="0" w:space="0" w:color="auto"/>
                      </w:divBdr>
                      <w:divsChild>
                        <w:div w:id="679165117">
                          <w:marLeft w:val="0"/>
                          <w:marRight w:val="0"/>
                          <w:marTop w:val="0"/>
                          <w:marBottom w:val="0"/>
                          <w:divBdr>
                            <w:top w:val="none" w:sz="0" w:space="0" w:color="auto"/>
                            <w:left w:val="none" w:sz="0" w:space="0" w:color="auto"/>
                            <w:bottom w:val="none" w:sz="0" w:space="0" w:color="auto"/>
                            <w:right w:val="none" w:sz="0" w:space="0" w:color="auto"/>
                          </w:divBdr>
                          <w:divsChild>
                            <w:div w:id="1280601647">
                              <w:marLeft w:val="0"/>
                              <w:marRight w:val="0"/>
                              <w:marTop w:val="0"/>
                              <w:marBottom w:val="0"/>
                              <w:divBdr>
                                <w:top w:val="none" w:sz="0" w:space="0" w:color="auto"/>
                                <w:left w:val="none" w:sz="0" w:space="0" w:color="auto"/>
                                <w:bottom w:val="none" w:sz="0" w:space="0" w:color="auto"/>
                                <w:right w:val="none" w:sz="0" w:space="0" w:color="auto"/>
                              </w:divBdr>
                              <w:divsChild>
                                <w:div w:id="212129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9142682">
      <w:bodyDiv w:val="1"/>
      <w:marLeft w:val="0"/>
      <w:marRight w:val="0"/>
      <w:marTop w:val="0"/>
      <w:marBottom w:val="0"/>
      <w:divBdr>
        <w:top w:val="none" w:sz="0" w:space="0" w:color="auto"/>
        <w:left w:val="none" w:sz="0" w:space="0" w:color="auto"/>
        <w:bottom w:val="none" w:sz="0" w:space="0" w:color="auto"/>
        <w:right w:val="none" w:sz="0" w:space="0" w:color="auto"/>
      </w:divBdr>
    </w:div>
    <w:div w:id="478808470">
      <w:bodyDiv w:val="1"/>
      <w:marLeft w:val="0"/>
      <w:marRight w:val="0"/>
      <w:marTop w:val="0"/>
      <w:marBottom w:val="0"/>
      <w:divBdr>
        <w:top w:val="none" w:sz="0" w:space="0" w:color="auto"/>
        <w:left w:val="none" w:sz="0" w:space="0" w:color="auto"/>
        <w:bottom w:val="none" w:sz="0" w:space="0" w:color="auto"/>
        <w:right w:val="none" w:sz="0" w:space="0" w:color="auto"/>
      </w:divBdr>
    </w:div>
    <w:div w:id="647511361">
      <w:bodyDiv w:val="1"/>
      <w:marLeft w:val="0"/>
      <w:marRight w:val="0"/>
      <w:marTop w:val="0"/>
      <w:marBottom w:val="0"/>
      <w:divBdr>
        <w:top w:val="none" w:sz="0" w:space="0" w:color="auto"/>
        <w:left w:val="none" w:sz="0" w:space="0" w:color="auto"/>
        <w:bottom w:val="none" w:sz="0" w:space="0" w:color="auto"/>
        <w:right w:val="none" w:sz="0" w:space="0" w:color="auto"/>
      </w:divBdr>
      <w:divsChild>
        <w:div w:id="660742684">
          <w:marLeft w:val="0"/>
          <w:marRight w:val="0"/>
          <w:marTop w:val="0"/>
          <w:marBottom w:val="0"/>
          <w:divBdr>
            <w:top w:val="none" w:sz="0" w:space="0" w:color="auto"/>
            <w:left w:val="none" w:sz="0" w:space="0" w:color="auto"/>
            <w:bottom w:val="none" w:sz="0" w:space="0" w:color="auto"/>
            <w:right w:val="none" w:sz="0" w:space="0" w:color="auto"/>
          </w:divBdr>
          <w:divsChild>
            <w:div w:id="403114599">
              <w:marLeft w:val="0"/>
              <w:marRight w:val="0"/>
              <w:marTop w:val="0"/>
              <w:marBottom w:val="0"/>
              <w:divBdr>
                <w:top w:val="none" w:sz="0" w:space="0" w:color="auto"/>
                <w:left w:val="none" w:sz="0" w:space="0" w:color="auto"/>
                <w:bottom w:val="none" w:sz="0" w:space="0" w:color="auto"/>
                <w:right w:val="none" w:sz="0" w:space="0" w:color="auto"/>
              </w:divBdr>
              <w:divsChild>
                <w:div w:id="161774918">
                  <w:marLeft w:val="0"/>
                  <w:marRight w:val="0"/>
                  <w:marTop w:val="0"/>
                  <w:marBottom w:val="0"/>
                  <w:divBdr>
                    <w:top w:val="none" w:sz="0" w:space="0" w:color="auto"/>
                    <w:left w:val="none" w:sz="0" w:space="0" w:color="auto"/>
                    <w:bottom w:val="none" w:sz="0" w:space="0" w:color="auto"/>
                    <w:right w:val="none" w:sz="0" w:space="0" w:color="auto"/>
                  </w:divBdr>
                  <w:divsChild>
                    <w:div w:id="1001540874">
                      <w:marLeft w:val="0"/>
                      <w:marRight w:val="0"/>
                      <w:marTop w:val="0"/>
                      <w:marBottom w:val="0"/>
                      <w:divBdr>
                        <w:top w:val="none" w:sz="0" w:space="0" w:color="auto"/>
                        <w:left w:val="none" w:sz="0" w:space="0" w:color="auto"/>
                        <w:bottom w:val="none" w:sz="0" w:space="0" w:color="auto"/>
                        <w:right w:val="none" w:sz="0" w:space="0" w:color="auto"/>
                      </w:divBdr>
                      <w:divsChild>
                        <w:div w:id="727148312">
                          <w:marLeft w:val="0"/>
                          <w:marRight w:val="0"/>
                          <w:marTop w:val="0"/>
                          <w:marBottom w:val="0"/>
                          <w:divBdr>
                            <w:top w:val="none" w:sz="0" w:space="0" w:color="auto"/>
                            <w:left w:val="none" w:sz="0" w:space="0" w:color="auto"/>
                            <w:bottom w:val="none" w:sz="0" w:space="0" w:color="auto"/>
                            <w:right w:val="none" w:sz="0" w:space="0" w:color="auto"/>
                          </w:divBdr>
                          <w:divsChild>
                            <w:div w:id="1362363940">
                              <w:marLeft w:val="0"/>
                              <w:marRight w:val="0"/>
                              <w:marTop w:val="0"/>
                              <w:marBottom w:val="0"/>
                              <w:divBdr>
                                <w:top w:val="none" w:sz="0" w:space="0" w:color="auto"/>
                                <w:left w:val="none" w:sz="0" w:space="0" w:color="auto"/>
                                <w:bottom w:val="none" w:sz="0" w:space="0" w:color="auto"/>
                                <w:right w:val="none" w:sz="0" w:space="0" w:color="auto"/>
                              </w:divBdr>
                              <w:divsChild>
                                <w:div w:id="477646813">
                                  <w:marLeft w:val="0"/>
                                  <w:marRight w:val="0"/>
                                  <w:marTop w:val="0"/>
                                  <w:marBottom w:val="0"/>
                                  <w:divBdr>
                                    <w:top w:val="none" w:sz="0" w:space="0" w:color="auto"/>
                                    <w:left w:val="none" w:sz="0" w:space="0" w:color="auto"/>
                                    <w:bottom w:val="none" w:sz="0" w:space="0" w:color="auto"/>
                                    <w:right w:val="none" w:sz="0" w:space="0" w:color="auto"/>
                                  </w:divBdr>
                                </w:div>
                                <w:div w:id="559485485">
                                  <w:marLeft w:val="0"/>
                                  <w:marRight w:val="0"/>
                                  <w:marTop w:val="0"/>
                                  <w:marBottom w:val="0"/>
                                  <w:divBdr>
                                    <w:top w:val="none" w:sz="0" w:space="0" w:color="auto"/>
                                    <w:left w:val="none" w:sz="0" w:space="0" w:color="auto"/>
                                    <w:bottom w:val="none" w:sz="0" w:space="0" w:color="auto"/>
                                    <w:right w:val="none" w:sz="0" w:space="0" w:color="auto"/>
                                  </w:divBdr>
                                  <w:divsChild>
                                    <w:div w:id="1757052013">
                                      <w:marLeft w:val="0"/>
                                      <w:marRight w:val="0"/>
                                      <w:marTop w:val="0"/>
                                      <w:marBottom w:val="0"/>
                                      <w:divBdr>
                                        <w:top w:val="none" w:sz="0" w:space="0" w:color="auto"/>
                                        <w:left w:val="none" w:sz="0" w:space="0" w:color="auto"/>
                                        <w:bottom w:val="none" w:sz="0" w:space="0" w:color="auto"/>
                                        <w:right w:val="none" w:sz="0" w:space="0" w:color="auto"/>
                                      </w:divBdr>
                                    </w:div>
                                  </w:divsChild>
                                </w:div>
                                <w:div w:id="9261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6595446">
      <w:bodyDiv w:val="1"/>
      <w:marLeft w:val="0"/>
      <w:marRight w:val="0"/>
      <w:marTop w:val="0"/>
      <w:marBottom w:val="0"/>
      <w:divBdr>
        <w:top w:val="none" w:sz="0" w:space="0" w:color="auto"/>
        <w:left w:val="none" w:sz="0" w:space="0" w:color="auto"/>
        <w:bottom w:val="none" w:sz="0" w:space="0" w:color="auto"/>
        <w:right w:val="none" w:sz="0" w:space="0" w:color="auto"/>
      </w:divBdr>
    </w:div>
    <w:div w:id="1016418344">
      <w:bodyDiv w:val="1"/>
      <w:marLeft w:val="0"/>
      <w:marRight w:val="0"/>
      <w:marTop w:val="0"/>
      <w:marBottom w:val="0"/>
      <w:divBdr>
        <w:top w:val="none" w:sz="0" w:space="0" w:color="auto"/>
        <w:left w:val="none" w:sz="0" w:space="0" w:color="auto"/>
        <w:bottom w:val="none" w:sz="0" w:space="0" w:color="auto"/>
        <w:right w:val="none" w:sz="0" w:space="0" w:color="auto"/>
      </w:divBdr>
    </w:div>
    <w:div w:id="1173489840">
      <w:bodyDiv w:val="1"/>
      <w:marLeft w:val="0"/>
      <w:marRight w:val="0"/>
      <w:marTop w:val="0"/>
      <w:marBottom w:val="0"/>
      <w:divBdr>
        <w:top w:val="none" w:sz="0" w:space="0" w:color="auto"/>
        <w:left w:val="none" w:sz="0" w:space="0" w:color="auto"/>
        <w:bottom w:val="none" w:sz="0" w:space="0" w:color="auto"/>
        <w:right w:val="none" w:sz="0" w:space="0" w:color="auto"/>
      </w:divBdr>
    </w:div>
    <w:div w:id="1224802337">
      <w:bodyDiv w:val="1"/>
      <w:marLeft w:val="0"/>
      <w:marRight w:val="0"/>
      <w:marTop w:val="0"/>
      <w:marBottom w:val="0"/>
      <w:divBdr>
        <w:top w:val="none" w:sz="0" w:space="0" w:color="auto"/>
        <w:left w:val="none" w:sz="0" w:space="0" w:color="auto"/>
        <w:bottom w:val="none" w:sz="0" w:space="0" w:color="auto"/>
        <w:right w:val="none" w:sz="0" w:space="0" w:color="auto"/>
      </w:divBdr>
    </w:div>
    <w:div w:id="1344166817">
      <w:bodyDiv w:val="1"/>
      <w:marLeft w:val="0"/>
      <w:marRight w:val="0"/>
      <w:marTop w:val="0"/>
      <w:marBottom w:val="0"/>
      <w:divBdr>
        <w:top w:val="none" w:sz="0" w:space="0" w:color="auto"/>
        <w:left w:val="none" w:sz="0" w:space="0" w:color="auto"/>
        <w:bottom w:val="none" w:sz="0" w:space="0" w:color="auto"/>
        <w:right w:val="none" w:sz="0" w:space="0" w:color="auto"/>
      </w:divBdr>
    </w:div>
    <w:div w:id="1426462615">
      <w:bodyDiv w:val="1"/>
      <w:marLeft w:val="0"/>
      <w:marRight w:val="0"/>
      <w:marTop w:val="0"/>
      <w:marBottom w:val="0"/>
      <w:divBdr>
        <w:top w:val="none" w:sz="0" w:space="0" w:color="auto"/>
        <w:left w:val="none" w:sz="0" w:space="0" w:color="auto"/>
        <w:bottom w:val="none" w:sz="0" w:space="0" w:color="auto"/>
        <w:right w:val="none" w:sz="0" w:space="0" w:color="auto"/>
      </w:divBdr>
    </w:div>
    <w:div w:id="1531189149">
      <w:bodyDiv w:val="1"/>
      <w:marLeft w:val="0"/>
      <w:marRight w:val="0"/>
      <w:marTop w:val="0"/>
      <w:marBottom w:val="0"/>
      <w:divBdr>
        <w:top w:val="none" w:sz="0" w:space="0" w:color="auto"/>
        <w:left w:val="none" w:sz="0" w:space="0" w:color="auto"/>
        <w:bottom w:val="none" w:sz="0" w:space="0" w:color="auto"/>
        <w:right w:val="none" w:sz="0" w:space="0" w:color="auto"/>
      </w:divBdr>
    </w:div>
    <w:div w:id="1537813317">
      <w:bodyDiv w:val="1"/>
      <w:marLeft w:val="0"/>
      <w:marRight w:val="0"/>
      <w:marTop w:val="0"/>
      <w:marBottom w:val="0"/>
      <w:divBdr>
        <w:top w:val="none" w:sz="0" w:space="0" w:color="auto"/>
        <w:left w:val="none" w:sz="0" w:space="0" w:color="auto"/>
        <w:bottom w:val="none" w:sz="0" w:space="0" w:color="auto"/>
        <w:right w:val="none" w:sz="0" w:space="0" w:color="auto"/>
      </w:divBdr>
    </w:div>
    <w:div w:id="1655134892">
      <w:bodyDiv w:val="1"/>
      <w:marLeft w:val="0"/>
      <w:marRight w:val="0"/>
      <w:marTop w:val="0"/>
      <w:marBottom w:val="0"/>
      <w:divBdr>
        <w:top w:val="none" w:sz="0" w:space="0" w:color="auto"/>
        <w:left w:val="none" w:sz="0" w:space="0" w:color="auto"/>
        <w:bottom w:val="none" w:sz="0" w:space="0" w:color="auto"/>
        <w:right w:val="none" w:sz="0" w:space="0" w:color="auto"/>
      </w:divBdr>
    </w:div>
    <w:div w:id="204305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nnovation.gov.au/resource/Mining/Pages/AbandonedMines.aspx" TargetMode="External"/><Relationship Id="rId2" Type="http://schemas.openxmlformats.org/officeDocument/2006/relationships/hyperlink" Target="http://www.vulkaneifel.de/" TargetMode="External"/><Relationship Id="rId1" Type="http://schemas.openxmlformats.org/officeDocument/2006/relationships/hyperlink" Target="http://www.ausimm.com.au/content/docs/societies/heritage_databases_09102013.pdf" TargetMode="External"/><Relationship Id="rId6" Type="http://schemas.openxmlformats.org/officeDocument/2006/relationships/hyperlink" Target="http://www.churchilltrust.com.au/media/fellows/UNGER_Corinne_2009.pdf" TargetMode="External"/><Relationship Id="rId5" Type="http://schemas.openxmlformats.org/officeDocument/2006/relationships/hyperlink" Target="http://www.innovation.gov.au/resource/Programs/LPSD/Pages/LPSDhandbooks.aspx" TargetMode="External"/><Relationship Id="rId4" Type="http://schemas.openxmlformats.org/officeDocument/2006/relationships/hyperlink" Target="http://www.innovation.gov.au/resource/Mining/Documents/StrategicFrameworkforManagingAbandonedMin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3126</Words>
  <Characters>17819</Characters>
  <Application>Microsoft Office Word</Application>
  <DocSecurity>0</DocSecurity>
  <Lines>148</Lines>
  <Paragraphs>41</Paragraphs>
  <ScaleCrop>false</ScaleCrop>
  <Company/>
  <LinksUpToDate>false</LinksUpToDate>
  <CharactersWithSpaces>20904</CharactersWithSpaces>
  <SharedDoc>false</SharedDoc>
  <HLinks>
    <vt:vector size="60" baseType="variant">
      <vt:variant>
        <vt:i4>1245296</vt:i4>
      </vt:variant>
      <vt:variant>
        <vt:i4>9</vt:i4>
      </vt:variant>
      <vt:variant>
        <vt:i4>0</vt:i4>
      </vt:variant>
      <vt:variant>
        <vt:i4>5</vt:i4>
      </vt:variant>
      <vt:variant>
        <vt:lpwstr>mailto:bmilles@ausimm.com.au</vt:lpwstr>
      </vt:variant>
      <vt:variant>
        <vt:lpwstr/>
      </vt:variant>
      <vt:variant>
        <vt:i4>327786</vt:i4>
      </vt:variant>
      <vt:variant>
        <vt:i4>6</vt:i4>
      </vt:variant>
      <vt:variant>
        <vt:i4>0</vt:i4>
      </vt:variant>
      <vt:variant>
        <vt:i4>5</vt:i4>
      </vt:variant>
      <vt:variant>
        <vt:lpwstr>mailto:wrobins@ausimm.com.au</vt:lpwstr>
      </vt:variant>
      <vt:variant>
        <vt:lpwstr/>
      </vt:variant>
      <vt:variant>
        <vt:i4>5177391</vt:i4>
      </vt:variant>
      <vt:variant>
        <vt:i4>3</vt:i4>
      </vt:variant>
      <vt:variant>
        <vt:i4>0</vt:i4>
      </vt:variant>
      <vt:variant>
        <vt:i4>5</vt:i4>
      </vt:variant>
      <vt:variant>
        <vt:lpwstr>mailto:mcatchpole@ausimm.com.au</vt:lpwstr>
      </vt:variant>
      <vt:variant>
        <vt:lpwstr/>
      </vt:variant>
      <vt:variant>
        <vt:i4>3801135</vt:i4>
      </vt:variant>
      <vt:variant>
        <vt:i4>0</vt:i4>
      </vt:variant>
      <vt:variant>
        <vt:i4>0</vt:i4>
      </vt:variant>
      <vt:variant>
        <vt:i4>5</vt:i4>
      </vt:variant>
      <vt:variant>
        <vt:lpwstr>http://www.ausimm.com/</vt:lpwstr>
      </vt:variant>
      <vt:variant>
        <vt:lpwstr/>
      </vt:variant>
      <vt:variant>
        <vt:i4>786451</vt:i4>
      </vt:variant>
      <vt:variant>
        <vt:i4>15</vt:i4>
      </vt:variant>
      <vt:variant>
        <vt:i4>0</vt:i4>
      </vt:variant>
      <vt:variant>
        <vt:i4>5</vt:i4>
      </vt:variant>
      <vt:variant>
        <vt:lpwstr>http://www.churchilltrust.com.au/media/fellows/UNGER_Corinne_2009.pdf</vt:lpwstr>
      </vt:variant>
      <vt:variant>
        <vt:lpwstr/>
      </vt:variant>
      <vt:variant>
        <vt:i4>5177436</vt:i4>
      </vt:variant>
      <vt:variant>
        <vt:i4>12</vt:i4>
      </vt:variant>
      <vt:variant>
        <vt:i4>0</vt:i4>
      </vt:variant>
      <vt:variant>
        <vt:i4>5</vt:i4>
      </vt:variant>
      <vt:variant>
        <vt:lpwstr>http://www.innovation.gov.au/resource/Programs/LPSD/Pages/LPSDhandbooks.aspx</vt:lpwstr>
      </vt:variant>
      <vt:variant>
        <vt:lpwstr/>
      </vt:variant>
      <vt:variant>
        <vt:i4>6422561</vt:i4>
      </vt:variant>
      <vt:variant>
        <vt:i4>9</vt:i4>
      </vt:variant>
      <vt:variant>
        <vt:i4>0</vt:i4>
      </vt:variant>
      <vt:variant>
        <vt:i4>5</vt:i4>
      </vt:variant>
      <vt:variant>
        <vt:lpwstr>http://www.innovation.gov.au/resource/Mining/Documents/StrategicFrameworkforManagingAbandonedMines.pdf</vt:lpwstr>
      </vt:variant>
      <vt:variant>
        <vt:lpwstr/>
      </vt:variant>
      <vt:variant>
        <vt:i4>2556027</vt:i4>
      </vt:variant>
      <vt:variant>
        <vt:i4>6</vt:i4>
      </vt:variant>
      <vt:variant>
        <vt:i4>0</vt:i4>
      </vt:variant>
      <vt:variant>
        <vt:i4>5</vt:i4>
      </vt:variant>
      <vt:variant>
        <vt:lpwstr>http://www.innovation.gov.au/resource/Mining/Pages/AbandonedMines.aspx</vt:lpwstr>
      </vt:variant>
      <vt:variant>
        <vt:lpwstr/>
      </vt:variant>
      <vt:variant>
        <vt:i4>7602279</vt:i4>
      </vt:variant>
      <vt:variant>
        <vt:i4>3</vt:i4>
      </vt:variant>
      <vt:variant>
        <vt:i4>0</vt:i4>
      </vt:variant>
      <vt:variant>
        <vt:i4>5</vt:i4>
      </vt:variant>
      <vt:variant>
        <vt:lpwstr>http://www.vulkaneifel.de/</vt:lpwstr>
      </vt:variant>
      <vt:variant>
        <vt:lpwstr/>
      </vt:variant>
      <vt:variant>
        <vt:i4>7340095</vt:i4>
      </vt:variant>
      <vt:variant>
        <vt:i4>0</vt:i4>
      </vt:variant>
      <vt:variant>
        <vt:i4>0</vt:i4>
      </vt:variant>
      <vt:variant>
        <vt:i4>5</vt:i4>
      </vt:variant>
      <vt:variant>
        <vt:lpwstr>http://www.ausimm.com.au/content/docs/societies/heritage_databases_09102013.pdf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104-australasian-institute-of-mining-and-metallurgy </dc:title>
  <dc:creator/>
  <cp:lastModifiedBy/>
  <cp:revision>1</cp:revision>
  <dcterms:created xsi:type="dcterms:W3CDTF">2014-10-28T22:36:00Z</dcterms:created>
  <dcterms:modified xsi:type="dcterms:W3CDTF">2014-10-28T22:37:00Z</dcterms:modified>
</cp:coreProperties>
</file>