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FF3" w:rsidRPr="0001355B" w:rsidRDefault="003A1DE0" w:rsidP="006B2A98">
      <w:pPr>
        <w:spacing w:after="0"/>
        <w:rPr>
          <w:rFonts w:ascii="Arial" w:hAnsi="Arial" w:cs="Arial"/>
          <w:sz w:val="20"/>
          <w:szCs w:val="20"/>
        </w:rPr>
      </w:pPr>
      <w:r>
        <w:rPr>
          <w:rFonts w:ascii="Arial" w:hAnsi="Arial" w:cs="Arial"/>
          <w:sz w:val="20"/>
          <w:szCs w:val="20"/>
        </w:rPr>
        <w:t xml:space="preserve">2 June </w:t>
      </w:r>
      <w:r w:rsidR="00ED702F">
        <w:rPr>
          <w:rFonts w:ascii="Arial" w:hAnsi="Arial" w:cs="Arial"/>
          <w:sz w:val="20"/>
          <w:szCs w:val="20"/>
        </w:rPr>
        <w:t>2014</w:t>
      </w:r>
    </w:p>
    <w:p w:rsidR="007F1FF3" w:rsidRDefault="007F1FF3" w:rsidP="006B2A98">
      <w:pPr>
        <w:spacing w:after="0"/>
        <w:rPr>
          <w:rFonts w:ascii="Arial" w:hAnsi="Arial" w:cs="Arial"/>
          <w:sz w:val="20"/>
          <w:szCs w:val="20"/>
        </w:rPr>
      </w:pPr>
    </w:p>
    <w:p w:rsidR="007F1FF3" w:rsidRPr="0001355B" w:rsidRDefault="006B2A98" w:rsidP="006B2A98">
      <w:pPr>
        <w:spacing w:after="0"/>
        <w:rPr>
          <w:rFonts w:ascii="Arial" w:hAnsi="Arial" w:cs="Arial"/>
          <w:sz w:val="20"/>
          <w:szCs w:val="20"/>
        </w:rPr>
      </w:pPr>
      <w:r>
        <w:rPr>
          <w:rFonts w:ascii="Arial" w:hAnsi="Arial" w:cs="Arial"/>
          <w:sz w:val="20"/>
          <w:szCs w:val="20"/>
        </w:rPr>
        <w:br/>
      </w:r>
      <w:r w:rsidR="007F1FF3" w:rsidRPr="0001355B">
        <w:rPr>
          <w:rFonts w:ascii="Arial" w:hAnsi="Arial" w:cs="Arial"/>
          <w:sz w:val="20"/>
          <w:szCs w:val="20"/>
        </w:rPr>
        <w:t>Australian Heritage Strategy Submissions</w:t>
      </w:r>
    </w:p>
    <w:p w:rsidR="007F1FF3" w:rsidRPr="0001355B" w:rsidRDefault="007F1FF3" w:rsidP="006B2A98">
      <w:pPr>
        <w:spacing w:after="0"/>
        <w:rPr>
          <w:rFonts w:ascii="Arial" w:hAnsi="Arial" w:cs="Arial"/>
          <w:sz w:val="20"/>
          <w:szCs w:val="20"/>
        </w:rPr>
      </w:pPr>
      <w:r w:rsidRPr="0001355B">
        <w:rPr>
          <w:rFonts w:ascii="Arial" w:hAnsi="Arial" w:cs="Arial"/>
          <w:sz w:val="20"/>
          <w:szCs w:val="20"/>
        </w:rPr>
        <w:t>Heritage Branch</w:t>
      </w:r>
    </w:p>
    <w:p w:rsidR="007F1FF3" w:rsidRPr="0001355B" w:rsidRDefault="007F1FF3" w:rsidP="006B2A98">
      <w:pPr>
        <w:spacing w:after="0"/>
        <w:rPr>
          <w:rFonts w:ascii="Arial" w:hAnsi="Arial" w:cs="Arial"/>
          <w:sz w:val="20"/>
          <w:szCs w:val="20"/>
        </w:rPr>
      </w:pPr>
      <w:r w:rsidRPr="0001355B">
        <w:rPr>
          <w:rFonts w:ascii="Arial" w:hAnsi="Arial" w:cs="Arial"/>
          <w:sz w:val="20"/>
          <w:szCs w:val="20"/>
        </w:rPr>
        <w:t>Department of Environment</w:t>
      </w:r>
    </w:p>
    <w:p w:rsidR="007F1FF3" w:rsidRPr="0001355B" w:rsidRDefault="007F1FF3" w:rsidP="006B2A98">
      <w:pPr>
        <w:spacing w:after="0"/>
        <w:rPr>
          <w:rFonts w:ascii="Arial" w:hAnsi="Arial" w:cs="Arial"/>
          <w:sz w:val="20"/>
          <w:szCs w:val="20"/>
        </w:rPr>
      </w:pPr>
      <w:r w:rsidRPr="0001355B">
        <w:rPr>
          <w:rFonts w:ascii="Arial" w:hAnsi="Arial" w:cs="Arial"/>
          <w:sz w:val="20"/>
          <w:szCs w:val="20"/>
        </w:rPr>
        <w:t>GPO Box 787</w:t>
      </w:r>
    </w:p>
    <w:p w:rsidR="007F1FF3" w:rsidRPr="0001355B" w:rsidRDefault="006B2A98" w:rsidP="006B2A98">
      <w:pPr>
        <w:spacing w:after="0"/>
        <w:rPr>
          <w:rFonts w:ascii="Arial" w:hAnsi="Arial" w:cs="Arial"/>
          <w:sz w:val="20"/>
          <w:szCs w:val="20"/>
        </w:rPr>
      </w:pPr>
      <w:proofErr w:type="gramStart"/>
      <w:r w:rsidRPr="0001355B">
        <w:rPr>
          <w:rFonts w:ascii="Arial" w:hAnsi="Arial" w:cs="Arial"/>
          <w:sz w:val="20"/>
          <w:szCs w:val="20"/>
        </w:rPr>
        <w:t>CANBERRA  ACT</w:t>
      </w:r>
      <w:proofErr w:type="gramEnd"/>
      <w:r w:rsidRPr="0001355B">
        <w:rPr>
          <w:rFonts w:ascii="Arial" w:hAnsi="Arial" w:cs="Arial"/>
          <w:sz w:val="20"/>
          <w:szCs w:val="20"/>
        </w:rPr>
        <w:t xml:space="preserve">  2601</w:t>
      </w:r>
    </w:p>
    <w:p w:rsidR="007F1FF3" w:rsidRPr="0001355B" w:rsidRDefault="007F1FF3" w:rsidP="006B2A98">
      <w:pPr>
        <w:spacing w:after="0"/>
        <w:rPr>
          <w:rFonts w:ascii="Arial" w:hAnsi="Arial" w:cs="Arial"/>
          <w:sz w:val="20"/>
          <w:szCs w:val="20"/>
        </w:rPr>
      </w:pPr>
    </w:p>
    <w:p w:rsidR="007F1FF3" w:rsidRDefault="007F1FF3" w:rsidP="006B2A98">
      <w:pPr>
        <w:spacing w:after="0"/>
        <w:rPr>
          <w:rFonts w:ascii="Arial" w:hAnsi="Arial" w:cs="Arial"/>
          <w:sz w:val="20"/>
          <w:szCs w:val="20"/>
        </w:rPr>
      </w:pPr>
    </w:p>
    <w:p w:rsidR="006B2A98" w:rsidRDefault="006B2A98" w:rsidP="006B2A98">
      <w:pPr>
        <w:spacing w:after="0"/>
        <w:rPr>
          <w:rFonts w:ascii="Arial" w:hAnsi="Arial" w:cs="Arial"/>
          <w:sz w:val="20"/>
          <w:szCs w:val="20"/>
        </w:rPr>
      </w:pPr>
    </w:p>
    <w:p w:rsidR="006B2A98" w:rsidRDefault="006B2A98" w:rsidP="006B2A98">
      <w:pPr>
        <w:spacing w:after="0"/>
        <w:rPr>
          <w:rFonts w:ascii="Arial" w:hAnsi="Arial" w:cs="Arial"/>
          <w:sz w:val="20"/>
          <w:szCs w:val="20"/>
        </w:rPr>
      </w:pPr>
    </w:p>
    <w:p w:rsidR="007F1FF3" w:rsidRPr="0001355B" w:rsidRDefault="00ED702F" w:rsidP="006B2A98">
      <w:pPr>
        <w:rPr>
          <w:rFonts w:ascii="Arial" w:hAnsi="Arial" w:cs="Arial"/>
          <w:sz w:val="20"/>
          <w:szCs w:val="20"/>
        </w:rPr>
      </w:pPr>
      <w:r>
        <w:rPr>
          <w:rFonts w:ascii="Arial" w:hAnsi="Arial" w:cs="Arial"/>
          <w:sz w:val="20"/>
          <w:szCs w:val="20"/>
        </w:rPr>
        <w:t>To Whom I</w:t>
      </w:r>
      <w:r w:rsidR="006B2A98">
        <w:rPr>
          <w:rFonts w:ascii="Arial" w:hAnsi="Arial" w:cs="Arial"/>
          <w:sz w:val="20"/>
          <w:szCs w:val="20"/>
        </w:rPr>
        <w:t>t May Concern</w:t>
      </w:r>
    </w:p>
    <w:p w:rsidR="007F1FF3" w:rsidRPr="0001355B" w:rsidRDefault="007F1FF3" w:rsidP="006B2A98">
      <w:pPr>
        <w:rPr>
          <w:rFonts w:ascii="Arial" w:hAnsi="Arial" w:cs="Arial"/>
          <w:b/>
          <w:sz w:val="20"/>
          <w:szCs w:val="20"/>
        </w:rPr>
      </w:pPr>
      <w:r w:rsidRPr="0001355B">
        <w:rPr>
          <w:rFonts w:ascii="Arial" w:hAnsi="Arial" w:cs="Arial"/>
          <w:b/>
          <w:sz w:val="20"/>
          <w:szCs w:val="20"/>
        </w:rPr>
        <w:t>A Strategy for Australia’s Heritage</w:t>
      </w:r>
    </w:p>
    <w:p w:rsidR="007F1FF3" w:rsidRDefault="007F1FF3" w:rsidP="006B2A98">
      <w:pPr>
        <w:rPr>
          <w:rFonts w:ascii="Arial" w:hAnsi="Arial" w:cs="Arial"/>
          <w:sz w:val="20"/>
          <w:szCs w:val="20"/>
        </w:rPr>
      </w:pPr>
      <w:r>
        <w:rPr>
          <w:rFonts w:ascii="Arial" w:hAnsi="Arial" w:cs="Arial"/>
          <w:sz w:val="20"/>
          <w:szCs w:val="20"/>
        </w:rPr>
        <w:t xml:space="preserve">This submission is made by the </w:t>
      </w:r>
      <w:bookmarkStart w:id="0" w:name="OLE_LINK1"/>
      <w:bookmarkStart w:id="1" w:name="OLE_LINK2"/>
      <w:r>
        <w:rPr>
          <w:rFonts w:ascii="Arial" w:hAnsi="Arial" w:cs="Arial"/>
          <w:sz w:val="20"/>
          <w:szCs w:val="20"/>
        </w:rPr>
        <w:t xml:space="preserve">Minerals Council of Australia </w:t>
      </w:r>
      <w:bookmarkEnd w:id="0"/>
      <w:bookmarkEnd w:id="1"/>
      <w:r>
        <w:rPr>
          <w:rFonts w:ascii="Arial" w:hAnsi="Arial" w:cs="Arial"/>
          <w:sz w:val="20"/>
          <w:szCs w:val="20"/>
        </w:rPr>
        <w:t xml:space="preserve">(MCA) in response to the Minister for Environment’s </w:t>
      </w:r>
      <w:r w:rsidRPr="003936F8">
        <w:rPr>
          <w:rFonts w:ascii="Arial" w:hAnsi="Arial" w:cs="Arial"/>
          <w:i/>
          <w:sz w:val="20"/>
          <w:szCs w:val="20"/>
        </w:rPr>
        <w:t>Strategy for Australia’s Heritage</w:t>
      </w:r>
      <w:r>
        <w:rPr>
          <w:rFonts w:ascii="Arial" w:hAnsi="Arial" w:cs="Arial"/>
          <w:sz w:val="20"/>
          <w:szCs w:val="20"/>
        </w:rPr>
        <w:t>. The MCA welcomes the opportunity to respond to the draft strategy which identifies how Australia’s valued natural and cultural heritage is protected for future generations.</w:t>
      </w:r>
    </w:p>
    <w:p w:rsidR="007F1FF3" w:rsidRDefault="007F1FF3" w:rsidP="006B2A98">
      <w:pPr>
        <w:rPr>
          <w:rFonts w:ascii="Arial" w:hAnsi="Arial" w:cs="Arial"/>
          <w:sz w:val="20"/>
          <w:szCs w:val="20"/>
        </w:rPr>
      </w:pPr>
      <w:r>
        <w:rPr>
          <w:rFonts w:ascii="Arial" w:hAnsi="Arial" w:cs="Arial"/>
          <w:sz w:val="20"/>
          <w:szCs w:val="20"/>
        </w:rPr>
        <w:t>The MCA is the peak national industry association representing exploration, mining and minerals processing companies in Australia.  MCA members account for more than 85 per cent of annual minerals production in Australia and a slightly higher proportion of mineral exports.</w:t>
      </w:r>
    </w:p>
    <w:p w:rsidR="007F1FF3" w:rsidRDefault="007F1FF3" w:rsidP="006B2A98">
      <w:pPr>
        <w:rPr>
          <w:rFonts w:ascii="Arial" w:hAnsi="Arial" w:cs="Arial"/>
          <w:sz w:val="20"/>
          <w:szCs w:val="20"/>
        </w:rPr>
      </w:pPr>
      <w:r>
        <w:rPr>
          <w:rFonts w:ascii="Arial" w:hAnsi="Arial" w:cs="Arial"/>
          <w:sz w:val="20"/>
          <w:szCs w:val="20"/>
        </w:rPr>
        <w:t>The MCA endorses the need for a clearly articulated Government vision and strategy on how Australia’s extraordinary natural and cu</w:t>
      </w:r>
      <w:r w:rsidR="00B73854">
        <w:rPr>
          <w:rFonts w:ascii="Arial" w:hAnsi="Arial" w:cs="Arial"/>
          <w:sz w:val="20"/>
          <w:szCs w:val="20"/>
        </w:rPr>
        <w:t>ltural heritage is protected. We support</w:t>
      </w:r>
      <w:r>
        <w:rPr>
          <w:rFonts w:ascii="Arial" w:hAnsi="Arial" w:cs="Arial"/>
          <w:sz w:val="20"/>
          <w:szCs w:val="20"/>
        </w:rPr>
        <w:t xml:space="preserve"> the proposed definition of heritage and the essential management framework elements being national leadership, partnerships and community engagement.</w:t>
      </w:r>
    </w:p>
    <w:p w:rsidR="007F1FF3" w:rsidRDefault="007F1FF3" w:rsidP="006B2A98">
      <w:pPr>
        <w:rPr>
          <w:rFonts w:ascii="Arial" w:hAnsi="Arial" w:cs="Arial"/>
          <w:sz w:val="20"/>
          <w:szCs w:val="20"/>
        </w:rPr>
      </w:pPr>
      <w:r>
        <w:rPr>
          <w:rFonts w:ascii="Arial" w:hAnsi="Arial" w:cs="Arial"/>
          <w:sz w:val="20"/>
          <w:szCs w:val="20"/>
        </w:rPr>
        <w:t>The MCA submits that the draft strategy could be enhanced be providing further consideration to the following concerns and suggestions:</w:t>
      </w:r>
    </w:p>
    <w:p w:rsidR="007F1FF3" w:rsidRPr="00641A9C" w:rsidRDefault="007F1FF3" w:rsidP="006B2A98">
      <w:pPr>
        <w:pStyle w:val="ListParagraph"/>
        <w:numPr>
          <w:ilvl w:val="0"/>
          <w:numId w:val="1"/>
        </w:numPr>
        <w:contextualSpacing w:val="0"/>
        <w:rPr>
          <w:rFonts w:ascii="Arial" w:hAnsi="Arial" w:cs="Arial"/>
          <w:b/>
          <w:sz w:val="20"/>
          <w:szCs w:val="20"/>
        </w:rPr>
      </w:pPr>
      <w:r w:rsidRPr="00641A9C">
        <w:rPr>
          <w:rFonts w:ascii="Arial" w:hAnsi="Arial" w:cs="Arial"/>
          <w:b/>
          <w:sz w:val="20"/>
          <w:szCs w:val="20"/>
        </w:rPr>
        <w:t xml:space="preserve">Clarifying the role of </w:t>
      </w:r>
      <w:r w:rsidR="00F6179E">
        <w:rPr>
          <w:rFonts w:ascii="Arial" w:hAnsi="Arial" w:cs="Arial"/>
          <w:b/>
          <w:sz w:val="20"/>
          <w:szCs w:val="20"/>
        </w:rPr>
        <w:t>the Commonwealth and state g</w:t>
      </w:r>
      <w:r w:rsidRPr="00641A9C">
        <w:rPr>
          <w:rFonts w:ascii="Arial" w:hAnsi="Arial" w:cs="Arial"/>
          <w:b/>
          <w:sz w:val="20"/>
          <w:szCs w:val="20"/>
        </w:rPr>
        <w:t xml:space="preserve">overnments in protecting heritage and in particular the heritage </w:t>
      </w:r>
      <w:r>
        <w:rPr>
          <w:rFonts w:ascii="Arial" w:hAnsi="Arial" w:cs="Arial"/>
          <w:b/>
          <w:sz w:val="20"/>
          <w:szCs w:val="20"/>
        </w:rPr>
        <w:t xml:space="preserve">listing, </w:t>
      </w:r>
      <w:r w:rsidRPr="00641A9C">
        <w:rPr>
          <w:rFonts w:ascii="Arial" w:hAnsi="Arial" w:cs="Arial"/>
          <w:b/>
          <w:sz w:val="20"/>
          <w:szCs w:val="20"/>
        </w:rPr>
        <w:t>assessment and approvals process.</w:t>
      </w:r>
    </w:p>
    <w:p w:rsidR="007F1FF3" w:rsidRDefault="007F1FF3" w:rsidP="006B2A98">
      <w:pPr>
        <w:ind w:left="360"/>
        <w:rPr>
          <w:rFonts w:ascii="Arial" w:hAnsi="Arial" w:cs="Arial"/>
          <w:sz w:val="20"/>
          <w:szCs w:val="20"/>
        </w:rPr>
      </w:pPr>
      <w:r>
        <w:rPr>
          <w:rFonts w:ascii="Arial" w:hAnsi="Arial" w:cs="Arial"/>
          <w:sz w:val="20"/>
          <w:szCs w:val="20"/>
        </w:rPr>
        <w:t>U</w:t>
      </w:r>
      <w:r w:rsidRPr="004473AE">
        <w:rPr>
          <w:rFonts w:ascii="Arial" w:hAnsi="Arial" w:cs="Arial"/>
          <w:sz w:val="20"/>
          <w:szCs w:val="20"/>
        </w:rPr>
        <w:t>nder the national leadership element</w:t>
      </w:r>
      <w:r>
        <w:rPr>
          <w:rFonts w:ascii="Arial" w:hAnsi="Arial" w:cs="Arial"/>
          <w:sz w:val="20"/>
          <w:szCs w:val="20"/>
        </w:rPr>
        <w:t xml:space="preserve"> clarification is required </w:t>
      </w:r>
      <w:r w:rsidRPr="004473AE">
        <w:rPr>
          <w:rFonts w:ascii="Arial" w:hAnsi="Arial" w:cs="Arial"/>
          <w:sz w:val="20"/>
          <w:szCs w:val="20"/>
        </w:rPr>
        <w:t xml:space="preserve">about the roles and responsibilities of the Commonwealth </w:t>
      </w:r>
      <w:r>
        <w:rPr>
          <w:rFonts w:ascii="Arial" w:hAnsi="Arial" w:cs="Arial"/>
          <w:sz w:val="20"/>
          <w:szCs w:val="20"/>
        </w:rPr>
        <w:t>and</w:t>
      </w:r>
      <w:r w:rsidR="00F6179E">
        <w:rPr>
          <w:rFonts w:ascii="Arial" w:hAnsi="Arial" w:cs="Arial"/>
          <w:sz w:val="20"/>
          <w:szCs w:val="20"/>
        </w:rPr>
        <w:t xml:space="preserve"> state g</w:t>
      </w:r>
      <w:r w:rsidRPr="004473AE">
        <w:rPr>
          <w:rFonts w:ascii="Arial" w:hAnsi="Arial" w:cs="Arial"/>
          <w:sz w:val="20"/>
          <w:szCs w:val="20"/>
        </w:rPr>
        <w:t>overnments</w:t>
      </w:r>
      <w:r>
        <w:rPr>
          <w:rFonts w:ascii="Arial" w:hAnsi="Arial" w:cs="Arial"/>
          <w:sz w:val="20"/>
          <w:szCs w:val="20"/>
        </w:rPr>
        <w:t>.</w:t>
      </w:r>
      <w:r w:rsidRPr="004473AE">
        <w:rPr>
          <w:rFonts w:ascii="Arial" w:hAnsi="Arial" w:cs="Arial"/>
          <w:sz w:val="20"/>
          <w:szCs w:val="20"/>
        </w:rPr>
        <w:t xml:space="preserve"> </w:t>
      </w:r>
    </w:p>
    <w:p w:rsidR="007F1FF3" w:rsidRDefault="007F1FF3" w:rsidP="006B2A98">
      <w:pPr>
        <w:ind w:left="360"/>
        <w:rPr>
          <w:rFonts w:ascii="Arial" w:hAnsi="Arial" w:cs="Arial"/>
          <w:sz w:val="20"/>
          <w:szCs w:val="20"/>
        </w:rPr>
      </w:pPr>
      <w:r w:rsidRPr="00641A9C">
        <w:rPr>
          <w:rFonts w:ascii="Arial" w:hAnsi="Arial" w:cs="Arial"/>
          <w:sz w:val="20"/>
          <w:szCs w:val="20"/>
        </w:rPr>
        <w:t>The MCA is concerned wit</w:t>
      </w:r>
      <w:r w:rsidR="00F6179E">
        <w:rPr>
          <w:rFonts w:ascii="Arial" w:hAnsi="Arial" w:cs="Arial"/>
          <w:sz w:val="20"/>
          <w:szCs w:val="20"/>
        </w:rPr>
        <w:t>h the existing overlap between s</w:t>
      </w:r>
      <w:r w:rsidRPr="00641A9C">
        <w:rPr>
          <w:rFonts w:ascii="Arial" w:hAnsi="Arial" w:cs="Arial"/>
          <w:sz w:val="20"/>
          <w:szCs w:val="20"/>
        </w:rPr>
        <w:t xml:space="preserve">tate and Commonwealth heritage processes and </w:t>
      </w:r>
      <w:r>
        <w:rPr>
          <w:rFonts w:ascii="Arial" w:hAnsi="Arial" w:cs="Arial"/>
          <w:sz w:val="20"/>
          <w:szCs w:val="20"/>
        </w:rPr>
        <w:t>relevant</w:t>
      </w:r>
      <w:r w:rsidR="00B73854">
        <w:rPr>
          <w:rFonts w:ascii="Arial" w:hAnsi="Arial" w:cs="Arial"/>
          <w:sz w:val="20"/>
          <w:szCs w:val="20"/>
        </w:rPr>
        <w:t xml:space="preserve"> </w:t>
      </w:r>
      <w:r w:rsidRPr="00641A9C">
        <w:rPr>
          <w:rFonts w:ascii="Arial" w:hAnsi="Arial" w:cs="Arial"/>
          <w:sz w:val="20"/>
          <w:szCs w:val="20"/>
        </w:rPr>
        <w:t xml:space="preserve">environmental </w:t>
      </w:r>
      <w:r>
        <w:rPr>
          <w:rFonts w:ascii="Arial" w:hAnsi="Arial" w:cs="Arial"/>
          <w:sz w:val="20"/>
          <w:szCs w:val="20"/>
        </w:rPr>
        <w:t>regulation</w:t>
      </w:r>
      <w:r w:rsidRPr="00641A9C">
        <w:rPr>
          <w:rFonts w:ascii="Arial" w:hAnsi="Arial" w:cs="Arial"/>
          <w:sz w:val="20"/>
          <w:szCs w:val="20"/>
        </w:rPr>
        <w:t xml:space="preserve">.  </w:t>
      </w:r>
      <w:r>
        <w:rPr>
          <w:rFonts w:ascii="Arial" w:hAnsi="Arial" w:cs="Arial"/>
          <w:sz w:val="20"/>
          <w:szCs w:val="20"/>
        </w:rPr>
        <w:t>The MCA is hopeful</w:t>
      </w:r>
      <w:r w:rsidRPr="004473AE">
        <w:rPr>
          <w:rFonts w:ascii="Arial" w:hAnsi="Arial" w:cs="Arial"/>
          <w:sz w:val="20"/>
          <w:szCs w:val="20"/>
        </w:rPr>
        <w:t xml:space="preserve"> that changes currently </w:t>
      </w:r>
      <w:r>
        <w:rPr>
          <w:rFonts w:ascii="Arial" w:hAnsi="Arial" w:cs="Arial"/>
          <w:sz w:val="20"/>
          <w:szCs w:val="20"/>
        </w:rPr>
        <w:t>underway</w:t>
      </w:r>
      <w:r w:rsidR="00F6179E">
        <w:rPr>
          <w:rFonts w:ascii="Arial" w:hAnsi="Arial" w:cs="Arial"/>
          <w:sz w:val="20"/>
          <w:szCs w:val="20"/>
        </w:rPr>
        <w:t xml:space="preserve"> in establishing the one-stop s</w:t>
      </w:r>
      <w:r w:rsidRPr="004473AE">
        <w:rPr>
          <w:rFonts w:ascii="Arial" w:hAnsi="Arial" w:cs="Arial"/>
          <w:sz w:val="20"/>
          <w:szCs w:val="20"/>
        </w:rPr>
        <w:t xml:space="preserve">hop under the </w:t>
      </w:r>
      <w:r w:rsidRPr="00033A35">
        <w:rPr>
          <w:rFonts w:ascii="Arial" w:hAnsi="Arial" w:cs="Arial"/>
          <w:i/>
          <w:sz w:val="20"/>
          <w:szCs w:val="20"/>
        </w:rPr>
        <w:t>Environmental Protection Biodiversity Conservation (EPBC) Act</w:t>
      </w:r>
      <w:r w:rsidRPr="004473AE">
        <w:rPr>
          <w:rFonts w:ascii="Arial" w:hAnsi="Arial" w:cs="Arial"/>
          <w:sz w:val="20"/>
          <w:szCs w:val="20"/>
        </w:rPr>
        <w:t xml:space="preserve"> </w:t>
      </w:r>
      <w:r>
        <w:rPr>
          <w:rFonts w:ascii="Arial" w:hAnsi="Arial" w:cs="Arial"/>
          <w:sz w:val="20"/>
          <w:szCs w:val="20"/>
        </w:rPr>
        <w:t>will help alleviate costly time delays in assessment and approval processes and provide more certainty for all stakeholders for listed national heritage.</w:t>
      </w:r>
    </w:p>
    <w:p w:rsidR="006B2A98" w:rsidRDefault="007F1FF3" w:rsidP="006B2A98">
      <w:pPr>
        <w:ind w:left="360"/>
        <w:rPr>
          <w:rFonts w:ascii="Arial" w:hAnsi="Arial" w:cs="Arial"/>
          <w:sz w:val="20"/>
          <w:szCs w:val="20"/>
        </w:rPr>
        <w:sectPr w:rsidR="006B2A98" w:rsidSect="007E4EBF">
          <w:headerReference w:type="default" r:id="rId7"/>
          <w:pgSz w:w="11906" w:h="16838"/>
          <w:pgMar w:top="2835" w:right="1440" w:bottom="993" w:left="1440" w:header="708" w:footer="708" w:gutter="0"/>
          <w:cols w:space="708"/>
          <w:docGrid w:linePitch="360"/>
        </w:sectPr>
      </w:pPr>
      <w:r>
        <w:rPr>
          <w:rFonts w:ascii="Arial" w:hAnsi="Arial" w:cs="Arial"/>
          <w:sz w:val="20"/>
          <w:szCs w:val="20"/>
        </w:rPr>
        <w:t xml:space="preserve">With respect to </w:t>
      </w:r>
      <w:r w:rsidR="00B73854">
        <w:rPr>
          <w:rFonts w:ascii="Arial" w:hAnsi="Arial" w:cs="Arial"/>
          <w:sz w:val="20"/>
          <w:szCs w:val="20"/>
        </w:rPr>
        <w:t>I</w:t>
      </w:r>
      <w:r>
        <w:rPr>
          <w:rFonts w:ascii="Arial" w:hAnsi="Arial" w:cs="Arial"/>
          <w:sz w:val="20"/>
          <w:szCs w:val="20"/>
        </w:rPr>
        <w:t xml:space="preserve">ndigenous heritage, parallel layers of legislation </w:t>
      </w:r>
      <w:r w:rsidRPr="00641A9C">
        <w:rPr>
          <w:rFonts w:ascii="Arial" w:hAnsi="Arial" w:cs="Arial"/>
          <w:sz w:val="20"/>
          <w:szCs w:val="20"/>
        </w:rPr>
        <w:t>can enco</w:t>
      </w:r>
      <w:r w:rsidR="00F6179E">
        <w:rPr>
          <w:rFonts w:ascii="Arial" w:hAnsi="Arial" w:cs="Arial"/>
          <w:sz w:val="20"/>
          <w:szCs w:val="20"/>
        </w:rPr>
        <w:t xml:space="preserve">urage ‘forum shopping’ </w:t>
      </w:r>
      <w:r w:rsidRPr="00641A9C">
        <w:rPr>
          <w:rFonts w:ascii="Arial" w:hAnsi="Arial" w:cs="Arial"/>
          <w:sz w:val="20"/>
          <w:szCs w:val="20"/>
        </w:rPr>
        <w:t xml:space="preserve">for </w:t>
      </w:r>
      <w:r>
        <w:rPr>
          <w:rFonts w:ascii="Arial" w:hAnsi="Arial" w:cs="Arial"/>
          <w:sz w:val="20"/>
          <w:szCs w:val="20"/>
        </w:rPr>
        <w:t xml:space="preserve">example, </w:t>
      </w:r>
      <w:r w:rsidRPr="00641A9C">
        <w:rPr>
          <w:rFonts w:ascii="Arial" w:hAnsi="Arial" w:cs="Arial"/>
          <w:sz w:val="20"/>
          <w:szCs w:val="20"/>
        </w:rPr>
        <w:t xml:space="preserve">where a group is dissatisfied with the outcome of a state based cultural heritage approval process, it may utilise the </w:t>
      </w:r>
      <w:r w:rsidRPr="00641A9C">
        <w:rPr>
          <w:rFonts w:ascii="Arial" w:hAnsi="Arial" w:cs="Arial"/>
          <w:i/>
          <w:sz w:val="20"/>
          <w:szCs w:val="20"/>
        </w:rPr>
        <w:t>Aboriginal and Torres Strait Islander Heritage Protection Act</w:t>
      </w:r>
      <w:r w:rsidR="00F6179E">
        <w:rPr>
          <w:rFonts w:ascii="Arial" w:hAnsi="Arial" w:cs="Arial"/>
          <w:sz w:val="20"/>
          <w:szCs w:val="20"/>
        </w:rPr>
        <w:t xml:space="preserve"> to overturn the s</w:t>
      </w:r>
      <w:r w:rsidRPr="00641A9C">
        <w:rPr>
          <w:rFonts w:ascii="Arial" w:hAnsi="Arial" w:cs="Arial"/>
          <w:sz w:val="20"/>
          <w:szCs w:val="20"/>
        </w:rPr>
        <w:t>tate decision.</w:t>
      </w:r>
      <w:r>
        <w:rPr>
          <w:rFonts w:ascii="Arial" w:hAnsi="Arial" w:cs="Arial"/>
          <w:sz w:val="20"/>
          <w:szCs w:val="20"/>
        </w:rPr>
        <w:t xml:space="preserve">  Accordingly, the MCA recognises and suppor</w:t>
      </w:r>
      <w:r w:rsidR="007E4EBF">
        <w:rPr>
          <w:rFonts w:ascii="Arial" w:hAnsi="Arial" w:cs="Arial"/>
          <w:sz w:val="20"/>
          <w:szCs w:val="20"/>
        </w:rPr>
        <w:t>ts recent</w:t>
      </w:r>
    </w:p>
    <w:p w:rsidR="00B73854" w:rsidRDefault="00F6179E" w:rsidP="007E4EBF">
      <w:pPr>
        <w:ind w:left="360"/>
        <w:rPr>
          <w:rFonts w:ascii="Arial" w:hAnsi="Arial" w:cs="Arial"/>
          <w:sz w:val="20"/>
          <w:szCs w:val="20"/>
        </w:rPr>
      </w:pPr>
      <w:proofErr w:type="gramStart"/>
      <w:r>
        <w:rPr>
          <w:rFonts w:ascii="Arial" w:hAnsi="Arial" w:cs="Arial"/>
          <w:sz w:val="20"/>
          <w:szCs w:val="20"/>
        </w:rPr>
        <w:lastRenderedPageBreak/>
        <w:t>Commonwealth and s</w:t>
      </w:r>
      <w:r w:rsidR="007F1FF3">
        <w:rPr>
          <w:rFonts w:ascii="Arial" w:hAnsi="Arial" w:cs="Arial"/>
          <w:sz w:val="20"/>
          <w:szCs w:val="20"/>
        </w:rPr>
        <w:t xml:space="preserve">tate </w:t>
      </w:r>
      <w:r>
        <w:rPr>
          <w:rFonts w:ascii="Arial" w:hAnsi="Arial" w:cs="Arial"/>
          <w:sz w:val="20"/>
          <w:szCs w:val="20"/>
        </w:rPr>
        <w:t>g</w:t>
      </w:r>
      <w:r w:rsidR="00B73854">
        <w:rPr>
          <w:rFonts w:ascii="Arial" w:hAnsi="Arial" w:cs="Arial"/>
          <w:sz w:val="20"/>
          <w:szCs w:val="20"/>
        </w:rPr>
        <w:t xml:space="preserve">overnment </w:t>
      </w:r>
      <w:r w:rsidR="007F1FF3">
        <w:rPr>
          <w:rFonts w:ascii="Arial" w:hAnsi="Arial" w:cs="Arial"/>
          <w:sz w:val="20"/>
          <w:szCs w:val="20"/>
        </w:rPr>
        <w:t xml:space="preserve">commitments </w:t>
      </w:r>
      <w:r w:rsidR="00B73854">
        <w:rPr>
          <w:rFonts w:ascii="Arial" w:hAnsi="Arial" w:cs="Arial"/>
          <w:sz w:val="20"/>
          <w:szCs w:val="20"/>
        </w:rPr>
        <w:t xml:space="preserve">through COAG </w:t>
      </w:r>
      <w:r w:rsidR="007F1FF3">
        <w:rPr>
          <w:rFonts w:ascii="Arial" w:hAnsi="Arial" w:cs="Arial"/>
          <w:sz w:val="20"/>
          <w:szCs w:val="20"/>
        </w:rPr>
        <w:t xml:space="preserve">to streamlining regulation beyond the </w:t>
      </w:r>
      <w:r w:rsidR="00297689">
        <w:rPr>
          <w:rFonts w:ascii="Arial" w:hAnsi="Arial" w:cs="Arial"/>
          <w:sz w:val="20"/>
          <w:szCs w:val="20"/>
        </w:rPr>
        <w:t>EPBC</w:t>
      </w:r>
      <w:r w:rsidR="007F1FF3" w:rsidRPr="00F6179E">
        <w:rPr>
          <w:rFonts w:ascii="Arial" w:hAnsi="Arial" w:cs="Arial"/>
          <w:sz w:val="20"/>
          <w:szCs w:val="20"/>
        </w:rPr>
        <w:t xml:space="preserve"> </w:t>
      </w:r>
      <w:r w:rsidR="007F1FF3" w:rsidRPr="00297689">
        <w:rPr>
          <w:rFonts w:ascii="Arial" w:hAnsi="Arial" w:cs="Arial"/>
          <w:sz w:val="20"/>
          <w:szCs w:val="20"/>
        </w:rPr>
        <w:t>Act</w:t>
      </w:r>
      <w:r w:rsidR="007F1FF3">
        <w:rPr>
          <w:rFonts w:ascii="Arial" w:hAnsi="Arial" w:cs="Arial"/>
          <w:sz w:val="20"/>
          <w:szCs w:val="20"/>
        </w:rPr>
        <w:t>.</w:t>
      </w:r>
      <w:proofErr w:type="gramEnd"/>
      <w:r w:rsidR="007F1FF3">
        <w:rPr>
          <w:rFonts w:ascii="Arial" w:hAnsi="Arial" w:cs="Arial"/>
          <w:sz w:val="20"/>
          <w:szCs w:val="20"/>
        </w:rPr>
        <w:t xml:space="preserve"> </w:t>
      </w:r>
    </w:p>
    <w:p w:rsidR="007F1FF3" w:rsidRPr="005318CA" w:rsidRDefault="003A1DE0" w:rsidP="006B2A98">
      <w:pPr>
        <w:pStyle w:val="ListParagraph"/>
        <w:numPr>
          <w:ilvl w:val="0"/>
          <w:numId w:val="1"/>
        </w:numPr>
        <w:contextualSpacing w:val="0"/>
        <w:rPr>
          <w:rFonts w:ascii="Arial" w:hAnsi="Arial" w:cs="Arial"/>
          <w:b/>
          <w:sz w:val="20"/>
          <w:szCs w:val="20"/>
        </w:rPr>
      </w:pPr>
      <w:r>
        <w:rPr>
          <w:rFonts w:ascii="Arial" w:hAnsi="Arial" w:cs="Arial"/>
          <w:b/>
          <w:sz w:val="20"/>
          <w:szCs w:val="20"/>
        </w:rPr>
        <w:t>Establishing a consolidated heritage l</w:t>
      </w:r>
      <w:r w:rsidR="007F1FF3" w:rsidRPr="005318CA">
        <w:rPr>
          <w:rFonts w:ascii="Arial" w:hAnsi="Arial" w:cs="Arial"/>
          <w:b/>
          <w:sz w:val="20"/>
          <w:szCs w:val="20"/>
        </w:rPr>
        <w:t>ist</w:t>
      </w:r>
    </w:p>
    <w:p w:rsidR="007F1FF3" w:rsidRPr="005318CA" w:rsidRDefault="007F1FF3" w:rsidP="006B2A98">
      <w:pPr>
        <w:ind w:left="363"/>
        <w:rPr>
          <w:rFonts w:ascii="Arial" w:hAnsi="Arial" w:cs="Arial"/>
          <w:sz w:val="20"/>
          <w:szCs w:val="20"/>
        </w:rPr>
      </w:pPr>
      <w:r w:rsidRPr="005318CA">
        <w:rPr>
          <w:rFonts w:ascii="Arial" w:hAnsi="Arial" w:cs="Arial"/>
          <w:sz w:val="20"/>
          <w:szCs w:val="20"/>
        </w:rPr>
        <w:t xml:space="preserve">In line with </w:t>
      </w:r>
      <w:r>
        <w:rPr>
          <w:rFonts w:ascii="Arial" w:hAnsi="Arial" w:cs="Arial"/>
          <w:sz w:val="20"/>
          <w:szCs w:val="20"/>
        </w:rPr>
        <w:t>earlier proposed</w:t>
      </w:r>
      <w:r w:rsidRPr="005318CA">
        <w:rPr>
          <w:rFonts w:ascii="Arial" w:hAnsi="Arial" w:cs="Arial"/>
          <w:sz w:val="20"/>
          <w:szCs w:val="20"/>
        </w:rPr>
        <w:t xml:space="preserve"> reforms of </w:t>
      </w:r>
      <w:r w:rsidR="007E4EBF">
        <w:rPr>
          <w:rFonts w:ascii="Arial" w:hAnsi="Arial" w:cs="Arial"/>
          <w:sz w:val="20"/>
          <w:szCs w:val="20"/>
        </w:rPr>
        <w:t>n</w:t>
      </w:r>
      <w:r w:rsidRPr="005318CA">
        <w:rPr>
          <w:rFonts w:ascii="Arial" w:hAnsi="Arial" w:cs="Arial"/>
          <w:sz w:val="20"/>
          <w:szCs w:val="20"/>
        </w:rPr>
        <w:t xml:space="preserve">ational </w:t>
      </w:r>
      <w:r w:rsidR="007E4EBF">
        <w:rPr>
          <w:rFonts w:ascii="Arial" w:hAnsi="Arial" w:cs="Arial"/>
          <w:sz w:val="20"/>
          <w:szCs w:val="20"/>
        </w:rPr>
        <w:t>e</w:t>
      </w:r>
      <w:r w:rsidRPr="005318CA">
        <w:rPr>
          <w:rFonts w:ascii="Arial" w:hAnsi="Arial" w:cs="Arial"/>
          <w:sz w:val="20"/>
          <w:szCs w:val="20"/>
        </w:rPr>
        <w:t xml:space="preserve">nvironmental </w:t>
      </w:r>
      <w:r w:rsidR="007E4EBF">
        <w:rPr>
          <w:rFonts w:ascii="Arial" w:hAnsi="Arial" w:cs="Arial"/>
          <w:sz w:val="20"/>
          <w:szCs w:val="20"/>
        </w:rPr>
        <w:t>l</w:t>
      </w:r>
      <w:r w:rsidRPr="005318CA">
        <w:rPr>
          <w:rFonts w:ascii="Arial" w:hAnsi="Arial" w:cs="Arial"/>
          <w:sz w:val="20"/>
          <w:szCs w:val="20"/>
        </w:rPr>
        <w:t>aw, the MCA considers that significant opportunity exists t</w:t>
      </w:r>
      <w:r w:rsidR="00F6179E">
        <w:rPr>
          <w:rFonts w:ascii="Arial" w:hAnsi="Arial" w:cs="Arial"/>
          <w:sz w:val="20"/>
          <w:szCs w:val="20"/>
        </w:rPr>
        <w:t>o reduce the complexity of the h</w:t>
      </w:r>
      <w:r w:rsidRPr="005318CA">
        <w:rPr>
          <w:rFonts w:ascii="Arial" w:hAnsi="Arial" w:cs="Arial"/>
          <w:sz w:val="20"/>
          <w:szCs w:val="20"/>
        </w:rPr>
        <w:t>eritage processes through the consolidation of heritage listings in a National</w:t>
      </w:r>
      <w:r>
        <w:rPr>
          <w:rFonts w:ascii="Arial" w:hAnsi="Arial" w:cs="Arial"/>
          <w:sz w:val="20"/>
          <w:szCs w:val="20"/>
        </w:rPr>
        <w:t xml:space="preserve"> </w:t>
      </w:r>
      <w:r w:rsidRPr="005318CA">
        <w:rPr>
          <w:rFonts w:ascii="Arial" w:hAnsi="Arial" w:cs="Arial"/>
          <w:sz w:val="20"/>
          <w:szCs w:val="20"/>
        </w:rPr>
        <w:t>Heritage Register.  A si</w:t>
      </w:r>
      <w:r w:rsidR="00297689">
        <w:rPr>
          <w:rFonts w:ascii="Arial" w:hAnsi="Arial" w:cs="Arial"/>
          <w:sz w:val="20"/>
          <w:szCs w:val="20"/>
        </w:rPr>
        <w:t>ngle register would reduce the challenge of identify</w:t>
      </w:r>
      <w:r w:rsidRPr="005318CA">
        <w:rPr>
          <w:rFonts w:ascii="Arial" w:hAnsi="Arial" w:cs="Arial"/>
          <w:sz w:val="20"/>
          <w:szCs w:val="20"/>
        </w:rPr>
        <w:t xml:space="preserve">ing the </w:t>
      </w:r>
      <w:r>
        <w:rPr>
          <w:rFonts w:ascii="Arial" w:hAnsi="Arial" w:cs="Arial"/>
          <w:sz w:val="20"/>
          <w:szCs w:val="20"/>
        </w:rPr>
        <w:t>heritage values within a region</w:t>
      </w:r>
      <w:r w:rsidR="00297689">
        <w:rPr>
          <w:rFonts w:ascii="Arial" w:hAnsi="Arial" w:cs="Arial"/>
          <w:sz w:val="20"/>
          <w:szCs w:val="20"/>
        </w:rPr>
        <w:t xml:space="preserve"> caused by the need to</w:t>
      </w:r>
      <w:r w:rsidRPr="005318CA">
        <w:rPr>
          <w:rFonts w:ascii="Arial" w:hAnsi="Arial" w:cs="Arial"/>
          <w:sz w:val="20"/>
          <w:szCs w:val="20"/>
        </w:rPr>
        <w:t xml:space="preserve"> consult multiple registers.  Consistent with the reforms to the EPBC Act, </w:t>
      </w:r>
      <w:r>
        <w:rPr>
          <w:rFonts w:ascii="Arial" w:hAnsi="Arial" w:cs="Arial"/>
          <w:sz w:val="20"/>
          <w:szCs w:val="20"/>
        </w:rPr>
        <w:t>the register could enable heritage matters to</w:t>
      </w:r>
      <w:r w:rsidRPr="005318CA">
        <w:rPr>
          <w:rFonts w:ascii="Arial" w:hAnsi="Arial" w:cs="Arial"/>
          <w:sz w:val="20"/>
          <w:szCs w:val="20"/>
        </w:rPr>
        <w:t xml:space="preserve"> be appropriately flagged in accordance with the</w:t>
      </w:r>
      <w:r>
        <w:rPr>
          <w:rFonts w:ascii="Arial" w:hAnsi="Arial" w:cs="Arial"/>
          <w:sz w:val="20"/>
          <w:szCs w:val="20"/>
        </w:rPr>
        <w:t>ir significance at a state or national l</w:t>
      </w:r>
      <w:r w:rsidRPr="005318CA">
        <w:rPr>
          <w:rFonts w:ascii="Arial" w:hAnsi="Arial" w:cs="Arial"/>
          <w:sz w:val="20"/>
          <w:szCs w:val="20"/>
        </w:rPr>
        <w:t>evel to avoid any perception that all matters have national value and therefore trigger Commonwealth legislation.</w:t>
      </w:r>
    </w:p>
    <w:p w:rsidR="00ED702F" w:rsidRDefault="007F1FF3" w:rsidP="006B2A98">
      <w:pPr>
        <w:pStyle w:val="ListParagraph"/>
        <w:ind w:left="363"/>
        <w:contextualSpacing w:val="0"/>
        <w:rPr>
          <w:rFonts w:ascii="Arial" w:hAnsi="Arial" w:cs="Arial"/>
          <w:sz w:val="20"/>
          <w:szCs w:val="20"/>
        </w:rPr>
      </w:pPr>
      <w:r>
        <w:rPr>
          <w:rFonts w:ascii="Arial" w:hAnsi="Arial" w:cs="Arial"/>
          <w:sz w:val="20"/>
          <w:szCs w:val="20"/>
        </w:rPr>
        <w:t>Whilst the complexity and resource intensity of compiling such a register retrospectively is ac</w:t>
      </w:r>
      <w:r w:rsidR="00297689">
        <w:rPr>
          <w:rFonts w:ascii="Arial" w:hAnsi="Arial" w:cs="Arial"/>
          <w:sz w:val="20"/>
          <w:szCs w:val="20"/>
        </w:rPr>
        <w:t>knowledged, the MCA encourages g</w:t>
      </w:r>
      <w:r>
        <w:rPr>
          <w:rFonts w:ascii="Arial" w:hAnsi="Arial" w:cs="Arial"/>
          <w:sz w:val="20"/>
          <w:szCs w:val="20"/>
        </w:rPr>
        <w:t>overnment to consider registering all new heritage listings in a Na</w:t>
      </w:r>
      <w:r w:rsidR="00297689">
        <w:rPr>
          <w:rFonts w:ascii="Arial" w:hAnsi="Arial" w:cs="Arial"/>
          <w:sz w:val="20"/>
          <w:szCs w:val="20"/>
        </w:rPr>
        <w:t>tional Heritage Register.  The g</w:t>
      </w:r>
      <w:r>
        <w:rPr>
          <w:rFonts w:ascii="Arial" w:hAnsi="Arial" w:cs="Arial"/>
          <w:sz w:val="20"/>
          <w:szCs w:val="20"/>
        </w:rPr>
        <w:t>overnment is also encouraged to consult with Indigenous stakeholders and identify the feasibility of establishing protocols for recording Indigenous heritage into the future.</w:t>
      </w:r>
    </w:p>
    <w:p w:rsidR="007F1FF3" w:rsidRPr="003000A7" w:rsidRDefault="007F1FF3" w:rsidP="006B2A98">
      <w:pPr>
        <w:pStyle w:val="ListParagraph"/>
        <w:numPr>
          <w:ilvl w:val="0"/>
          <w:numId w:val="1"/>
        </w:numPr>
        <w:contextualSpacing w:val="0"/>
        <w:rPr>
          <w:rFonts w:ascii="Arial" w:hAnsi="Arial" w:cs="Arial"/>
          <w:b/>
          <w:sz w:val="20"/>
          <w:szCs w:val="20"/>
        </w:rPr>
      </w:pPr>
      <w:r w:rsidRPr="003000A7">
        <w:rPr>
          <w:rFonts w:ascii="Arial" w:hAnsi="Arial" w:cs="Arial"/>
          <w:b/>
          <w:sz w:val="20"/>
          <w:szCs w:val="20"/>
        </w:rPr>
        <w:t xml:space="preserve">Establishing </w:t>
      </w:r>
      <w:r>
        <w:rPr>
          <w:rFonts w:ascii="Arial" w:hAnsi="Arial" w:cs="Arial"/>
          <w:b/>
          <w:sz w:val="20"/>
          <w:szCs w:val="20"/>
        </w:rPr>
        <w:t xml:space="preserve">an Indigenous heritage study clearinghouse </w:t>
      </w:r>
    </w:p>
    <w:p w:rsidR="007F1FF3" w:rsidRDefault="007F1FF3" w:rsidP="006B2A98">
      <w:pPr>
        <w:ind w:left="360"/>
        <w:rPr>
          <w:rFonts w:ascii="Arial" w:hAnsi="Arial" w:cs="Arial"/>
          <w:sz w:val="20"/>
          <w:szCs w:val="20"/>
        </w:rPr>
      </w:pPr>
      <w:r w:rsidRPr="005318CA">
        <w:rPr>
          <w:rFonts w:ascii="Arial" w:hAnsi="Arial" w:cs="Arial"/>
          <w:sz w:val="20"/>
          <w:szCs w:val="20"/>
        </w:rPr>
        <w:t>MCA members are required to undertake extensive anthropolog</w:t>
      </w:r>
      <w:r>
        <w:rPr>
          <w:rFonts w:ascii="Arial" w:hAnsi="Arial" w:cs="Arial"/>
          <w:sz w:val="20"/>
          <w:szCs w:val="20"/>
        </w:rPr>
        <w:t>ical</w:t>
      </w:r>
      <w:r w:rsidRPr="005318CA">
        <w:rPr>
          <w:rFonts w:ascii="Arial" w:hAnsi="Arial" w:cs="Arial"/>
          <w:sz w:val="20"/>
          <w:szCs w:val="20"/>
        </w:rPr>
        <w:t xml:space="preserve"> and archaeolog</w:t>
      </w:r>
      <w:r>
        <w:rPr>
          <w:rFonts w:ascii="Arial" w:hAnsi="Arial" w:cs="Arial"/>
          <w:sz w:val="20"/>
          <w:szCs w:val="20"/>
        </w:rPr>
        <w:t>ical</w:t>
      </w:r>
      <w:r w:rsidRPr="005318CA">
        <w:rPr>
          <w:rFonts w:ascii="Arial" w:hAnsi="Arial" w:cs="Arial"/>
          <w:sz w:val="20"/>
          <w:szCs w:val="20"/>
        </w:rPr>
        <w:t xml:space="preserve"> </w:t>
      </w:r>
      <w:r>
        <w:rPr>
          <w:rFonts w:ascii="Arial" w:hAnsi="Arial" w:cs="Arial"/>
          <w:sz w:val="20"/>
          <w:szCs w:val="20"/>
        </w:rPr>
        <w:t>studies in order to identify</w:t>
      </w:r>
      <w:r w:rsidRPr="005318CA">
        <w:rPr>
          <w:rFonts w:ascii="Arial" w:hAnsi="Arial" w:cs="Arial"/>
          <w:sz w:val="20"/>
          <w:szCs w:val="20"/>
        </w:rPr>
        <w:t xml:space="preserve"> </w:t>
      </w:r>
      <w:r>
        <w:rPr>
          <w:rFonts w:ascii="Arial" w:hAnsi="Arial" w:cs="Arial"/>
          <w:sz w:val="20"/>
          <w:szCs w:val="20"/>
        </w:rPr>
        <w:t>sites of historical value and</w:t>
      </w:r>
      <w:r w:rsidRPr="005318CA">
        <w:rPr>
          <w:rFonts w:ascii="Arial" w:hAnsi="Arial" w:cs="Arial"/>
          <w:sz w:val="20"/>
          <w:szCs w:val="20"/>
        </w:rPr>
        <w:t xml:space="preserve"> develop appropriate mediation and compensation strategies.</w:t>
      </w:r>
      <w:r>
        <w:rPr>
          <w:rFonts w:ascii="Arial" w:hAnsi="Arial" w:cs="Arial"/>
          <w:sz w:val="20"/>
          <w:szCs w:val="20"/>
        </w:rPr>
        <w:t xml:space="preserve">  These studies often involve extensive resourcing and consultation with Traditional Own</w:t>
      </w:r>
      <w:r w:rsidR="00297689">
        <w:rPr>
          <w:rFonts w:ascii="Arial" w:hAnsi="Arial" w:cs="Arial"/>
          <w:sz w:val="20"/>
          <w:szCs w:val="20"/>
        </w:rPr>
        <w:t>ers.  When the studies are</w:t>
      </w:r>
      <w:r>
        <w:rPr>
          <w:rFonts w:ascii="Arial" w:hAnsi="Arial" w:cs="Arial"/>
          <w:sz w:val="20"/>
          <w:szCs w:val="20"/>
        </w:rPr>
        <w:t xml:space="preserve"> completed</w:t>
      </w:r>
      <w:r w:rsidR="00297689">
        <w:rPr>
          <w:rFonts w:ascii="Arial" w:hAnsi="Arial" w:cs="Arial"/>
          <w:sz w:val="20"/>
          <w:szCs w:val="20"/>
        </w:rPr>
        <w:t>,</w:t>
      </w:r>
      <w:r>
        <w:rPr>
          <w:rFonts w:ascii="Arial" w:hAnsi="Arial" w:cs="Arial"/>
          <w:sz w:val="20"/>
          <w:szCs w:val="20"/>
        </w:rPr>
        <w:t xml:space="preserve"> the information stays with the company and in some cases governments.</w:t>
      </w:r>
    </w:p>
    <w:p w:rsidR="007F1FF3" w:rsidRDefault="007F1FF3" w:rsidP="006B2A98">
      <w:pPr>
        <w:ind w:left="357"/>
        <w:rPr>
          <w:rFonts w:ascii="Arial" w:hAnsi="Arial" w:cs="Arial"/>
          <w:sz w:val="20"/>
          <w:szCs w:val="20"/>
        </w:rPr>
      </w:pPr>
      <w:r>
        <w:rPr>
          <w:rFonts w:ascii="Arial" w:hAnsi="Arial" w:cs="Arial"/>
          <w:sz w:val="20"/>
          <w:szCs w:val="20"/>
        </w:rPr>
        <w:t>Industry members are aware that the ‘ownership’</w:t>
      </w:r>
      <w:r w:rsidR="00297689">
        <w:rPr>
          <w:rFonts w:ascii="Arial" w:hAnsi="Arial" w:cs="Arial"/>
          <w:sz w:val="20"/>
          <w:szCs w:val="20"/>
        </w:rPr>
        <w:t xml:space="preserve"> of</w:t>
      </w:r>
      <w:r>
        <w:rPr>
          <w:rFonts w:ascii="Arial" w:hAnsi="Arial" w:cs="Arial"/>
          <w:sz w:val="20"/>
          <w:szCs w:val="20"/>
        </w:rPr>
        <w:t xml:space="preserve"> and ‘accessibility’ </w:t>
      </w:r>
      <w:r w:rsidR="00297689">
        <w:rPr>
          <w:rFonts w:ascii="Arial" w:hAnsi="Arial" w:cs="Arial"/>
          <w:sz w:val="20"/>
          <w:szCs w:val="20"/>
        </w:rPr>
        <w:t>to</w:t>
      </w:r>
      <w:r>
        <w:rPr>
          <w:rFonts w:ascii="Arial" w:hAnsi="Arial" w:cs="Arial"/>
          <w:sz w:val="20"/>
          <w:szCs w:val="20"/>
        </w:rPr>
        <w:t xml:space="preserve"> this information is </w:t>
      </w:r>
      <w:r w:rsidR="00297689">
        <w:rPr>
          <w:rFonts w:ascii="Arial" w:hAnsi="Arial" w:cs="Arial"/>
          <w:sz w:val="20"/>
          <w:szCs w:val="20"/>
        </w:rPr>
        <w:t>an issue of increasing concern because the studies</w:t>
      </w:r>
      <w:r>
        <w:rPr>
          <w:rFonts w:ascii="Arial" w:hAnsi="Arial" w:cs="Arial"/>
          <w:sz w:val="20"/>
          <w:szCs w:val="20"/>
        </w:rPr>
        <w:t xml:space="preserve"> contain valuable and confidential information provided by Traditional O</w:t>
      </w:r>
      <w:r w:rsidR="00297689">
        <w:rPr>
          <w:rFonts w:ascii="Arial" w:hAnsi="Arial" w:cs="Arial"/>
          <w:sz w:val="20"/>
          <w:szCs w:val="20"/>
        </w:rPr>
        <w:t xml:space="preserve">wners. </w:t>
      </w:r>
      <w:r w:rsidR="00DC5FFA">
        <w:rPr>
          <w:rFonts w:ascii="Arial" w:hAnsi="Arial" w:cs="Arial"/>
          <w:sz w:val="20"/>
          <w:szCs w:val="20"/>
        </w:rPr>
        <w:t xml:space="preserve">Other companies that have commercial interests in the same site are required to undertake their own studies which require additional consultation with Traditional Owners and further </w:t>
      </w:r>
      <w:r w:rsidR="00DC5FFA" w:rsidRPr="00DC5FFA">
        <w:rPr>
          <w:rFonts w:ascii="Arial" w:hAnsi="Arial" w:cs="Arial"/>
          <w:sz w:val="20"/>
          <w:szCs w:val="20"/>
        </w:rPr>
        <w:t>resourcing to undertake studies which are</w:t>
      </w:r>
      <w:r w:rsidR="00DC5FFA">
        <w:rPr>
          <w:rFonts w:ascii="Arial" w:hAnsi="Arial" w:cs="Arial"/>
          <w:sz w:val="20"/>
          <w:szCs w:val="20"/>
        </w:rPr>
        <w:t xml:space="preserve"> duplicative of work already undertaken</w:t>
      </w:r>
      <w:r w:rsidR="00DC5FFA">
        <w:rPr>
          <w:rFonts w:ascii="Arial" w:hAnsi="Arial" w:cs="Arial"/>
          <w:color w:val="1F497D"/>
          <w:sz w:val="20"/>
          <w:szCs w:val="20"/>
        </w:rPr>
        <w:t>.</w:t>
      </w:r>
    </w:p>
    <w:p w:rsidR="006B2A98" w:rsidRDefault="00297689" w:rsidP="006B2A98">
      <w:pPr>
        <w:ind w:left="360"/>
        <w:rPr>
          <w:rFonts w:ascii="Arial" w:hAnsi="Arial" w:cs="Arial"/>
          <w:sz w:val="20"/>
          <w:szCs w:val="20"/>
        </w:rPr>
      </w:pPr>
      <w:r>
        <w:rPr>
          <w:rFonts w:ascii="Arial" w:hAnsi="Arial" w:cs="Arial"/>
          <w:sz w:val="20"/>
          <w:szCs w:val="20"/>
        </w:rPr>
        <w:t>The MCA recommends g</w:t>
      </w:r>
      <w:r w:rsidR="007F1FF3">
        <w:rPr>
          <w:rFonts w:ascii="Arial" w:hAnsi="Arial" w:cs="Arial"/>
          <w:sz w:val="20"/>
          <w:szCs w:val="20"/>
        </w:rPr>
        <w:t>overn</w:t>
      </w:r>
      <w:r>
        <w:rPr>
          <w:rFonts w:ascii="Arial" w:hAnsi="Arial" w:cs="Arial"/>
          <w:sz w:val="20"/>
          <w:szCs w:val="20"/>
        </w:rPr>
        <w:t>ment consider developing</w:t>
      </w:r>
      <w:r w:rsidR="007F1FF3">
        <w:rPr>
          <w:rFonts w:ascii="Arial" w:hAnsi="Arial" w:cs="Arial"/>
          <w:sz w:val="20"/>
          <w:szCs w:val="20"/>
        </w:rPr>
        <w:t xml:space="preserve"> a clearinghouse strategy for these studies that is both respectful of the confidential nature of the material they contain and the intellectual property of Traditional Owners and the company that initially sourced them, as well as provid</w:t>
      </w:r>
      <w:r w:rsidR="007E4EBF">
        <w:rPr>
          <w:rFonts w:ascii="Arial" w:hAnsi="Arial" w:cs="Arial"/>
          <w:sz w:val="20"/>
          <w:szCs w:val="20"/>
        </w:rPr>
        <w:t>ing</w:t>
      </w:r>
      <w:r w:rsidR="007F1FF3">
        <w:rPr>
          <w:rFonts w:ascii="Arial" w:hAnsi="Arial" w:cs="Arial"/>
          <w:sz w:val="20"/>
          <w:szCs w:val="20"/>
        </w:rPr>
        <w:t xml:space="preserve"> appropriate levels of access to information to interested stakeholders.  </w:t>
      </w:r>
    </w:p>
    <w:p w:rsidR="006B2A98" w:rsidRDefault="007F1FF3" w:rsidP="007E4EBF">
      <w:pPr>
        <w:ind w:left="360"/>
        <w:rPr>
          <w:rFonts w:ascii="Arial" w:hAnsi="Arial" w:cs="Arial"/>
          <w:b/>
          <w:sz w:val="20"/>
          <w:szCs w:val="20"/>
        </w:rPr>
      </w:pPr>
      <w:r>
        <w:rPr>
          <w:rFonts w:ascii="Arial" w:hAnsi="Arial" w:cs="Arial"/>
          <w:sz w:val="20"/>
          <w:szCs w:val="20"/>
        </w:rPr>
        <w:t>Whilst the MCA acknowledges the sensitivity of th</w:t>
      </w:r>
      <w:r w:rsidR="006B2A98">
        <w:rPr>
          <w:rFonts w:ascii="Arial" w:hAnsi="Arial" w:cs="Arial"/>
          <w:sz w:val="20"/>
          <w:szCs w:val="20"/>
        </w:rPr>
        <w:t>is task and the need for a well-</w:t>
      </w:r>
      <w:r>
        <w:rPr>
          <w:rFonts w:ascii="Arial" w:hAnsi="Arial" w:cs="Arial"/>
          <w:sz w:val="20"/>
          <w:szCs w:val="20"/>
        </w:rPr>
        <w:t xml:space="preserve">constructed consultation strategy, the </w:t>
      </w:r>
      <w:r w:rsidR="00297689">
        <w:rPr>
          <w:rFonts w:ascii="Arial" w:hAnsi="Arial" w:cs="Arial"/>
          <w:sz w:val="20"/>
          <w:szCs w:val="20"/>
        </w:rPr>
        <w:t>benefit</w:t>
      </w:r>
      <w:r>
        <w:rPr>
          <w:rFonts w:ascii="Arial" w:hAnsi="Arial" w:cs="Arial"/>
          <w:sz w:val="20"/>
          <w:szCs w:val="20"/>
        </w:rPr>
        <w:t xml:space="preserve"> would be that Traditional Ow</w:t>
      </w:r>
      <w:r w:rsidR="00297689">
        <w:rPr>
          <w:rFonts w:ascii="Arial" w:hAnsi="Arial" w:cs="Arial"/>
          <w:sz w:val="20"/>
          <w:szCs w:val="20"/>
        </w:rPr>
        <w:t xml:space="preserve">ners have access to information </w:t>
      </w:r>
      <w:r>
        <w:rPr>
          <w:rFonts w:ascii="Arial" w:hAnsi="Arial" w:cs="Arial"/>
          <w:sz w:val="20"/>
          <w:szCs w:val="20"/>
        </w:rPr>
        <w:t>pertaining to their country and it would potentially decrease costs to minerals industry operators (and other industries/sectors)</w:t>
      </w:r>
      <w:r w:rsidR="00ED702F">
        <w:rPr>
          <w:rFonts w:ascii="Arial" w:hAnsi="Arial" w:cs="Arial"/>
          <w:sz w:val="20"/>
          <w:szCs w:val="20"/>
        </w:rPr>
        <w:t xml:space="preserve"> by removing duplication and regulatory burden</w:t>
      </w:r>
      <w:r>
        <w:rPr>
          <w:rFonts w:ascii="Arial" w:hAnsi="Arial" w:cs="Arial"/>
          <w:sz w:val="20"/>
          <w:szCs w:val="20"/>
        </w:rPr>
        <w:t xml:space="preserve">.  </w:t>
      </w:r>
    </w:p>
    <w:p w:rsidR="007F1FF3" w:rsidRPr="0005166D" w:rsidRDefault="007F1FF3" w:rsidP="006B2A98">
      <w:pPr>
        <w:pStyle w:val="ListParagraph"/>
        <w:numPr>
          <w:ilvl w:val="0"/>
          <w:numId w:val="1"/>
        </w:numPr>
        <w:contextualSpacing w:val="0"/>
        <w:rPr>
          <w:rFonts w:ascii="Arial" w:hAnsi="Arial" w:cs="Arial"/>
          <w:b/>
          <w:sz w:val="20"/>
          <w:szCs w:val="20"/>
        </w:rPr>
      </w:pPr>
      <w:r w:rsidRPr="0005166D">
        <w:rPr>
          <w:rFonts w:ascii="Arial" w:hAnsi="Arial" w:cs="Arial"/>
          <w:b/>
          <w:sz w:val="20"/>
          <w:szCs w:val="20"/>
        </w:rPr>
        <w:t>Supporting ‘tangible’ economic development opportunities</w:t>
      </w:r>
    </w:p>
    <w:p w:rsidR="00ED702F" w:rsidRDefault="007F1FF3" w:rsidP="006B2A98">
      <w:pPr>
        <w:pStyle w:val="ListParagraph"/>
        <w:ind w:left="360"/>
        <w:contextualSpacing w:val="0"/>
        <w:rPr>
          <w:rFonts w:ascii="Arial" w:hAnsi="Arial" w:cs="Arial"/>
          <w:sz w:val="20"/>
          <w:szCs w:val="20"/>
        </w:rPr>
      </w:pPr>
      <w:r>
        <w:rPr>
          <w:rFonts w:ascii="Arial" w:hAnsi="Arial" w:cs="Arial"/>
          <w:sz w:val="20"/>
          <w:szCs w:val="20"/>
        </w:rPr>
        <w:t xml:space="preserve">The MCA supports the recognition of heritage as an important driver of national and regional economies. </w:t>
      </w:r>
      <w:r w:rsidR="00ED702F">
        <w:rPr>
          <w:rFonts w:ascii="Arial" w:hAnsi="Arial" w:cs="Arial"/>
          <w:sz w:val="20"/>
          <w:szCs w:val="20"/>
        </w:rPr>
        <w:t xml:space="preserve"> It considers that the protection of heritage should be complementary to development (where appropriate) and should maximise opportunities for collaborative management.</w:t>
      </w:r>
      <w:r>
        <w:rPr>
          <w:rFonts w:ascii="Arial" w:hAnsi="Arial" w:cs="Arial"/>
          <w:sz w:val="20"/>
          <w:szCs w:val="20"/>
        </w:rPr>
        <w:t xml:space="preserve"> </w:t>
      </w:r>
    </w:p>
    <w:p w:rsidR="007E4EBF" w:rsidRDefault="007E4EBF">
      <w:pPr>
        <w:rPr>
          <w:rFonts w:ascii="Arial" w:hAnsi="Arial" w:cs="Arial"/>
          <w:sz w:val="20"/>
          <w:szCs w:val="20"/>
        </w:rPr>
      </w:pPr>
      <w:r>
        <w:rPr>
          <w:rFonts w:ascii="Arial" w:hAnsi="Arial" w:cs="Arial"/>
          <w:sz w:val="20"/>
          <w:szCs w:val="20"/>
        </w:rPr>
        <w:br w:type="page"/>
      </w:r>
    </w:p>
    <w:p w:rsidR="007F1FF3" w:rsidRDefault="007F1FF3" w:rsidP="006B2A98">
      <w:pPr>
        <w:pStyle w:val="ListParagraph"/>
        <w:ind w:left="360"/>
        <w:contextualSpacing w:val="0"/>
        <w:rPr>
          <w:rFonts w:ascii="Arial" w:hAnsi="Arial" w:cs="Arial"/>
          <w:sz w:val="20"/>
          <w:szCs w:val="20"/>
        </w:rPr>
      </w:pPr>
      <w:r>
        <w:rPr>
          <w:rFonts w:ascii="Arial" w:hAnsi="Arial" w:cs="Arial"/>
          <w:sz w:val="20"/>
          <w:szCs w:val="20"/>
        </w:rPr>
        <w:lastRenderedPageBreak/>
        <w:t>The minerals industry has in recent years been requested to support the development of Indigenous heritage tourism products.  The industry has learned that it is important not to overstate the potential in regional and remote communities where the economies of scale are low and the en</w:t>
      </w:r>
      <w:r w:rsidR="00297689">
        <w:rPr>
          <w:rFonts w:ascii="Arial" w:hAnsi="Arial" w:cs="Arial"/>
          <w:sz w:val="20"/>
          <w:szCs w:val="20"/>
        </w:rPr>
        <w:t>terprise development capacity</w:t>
      </w:r>
      <w:r>
        <w:rPr>
          <w:rFonts w:ascii="Arial" w:hAnsi="Arial" w:cs="Arial"/>
          <w:sz w:val="20"/>
          <w:szCs w:val="20"/>
        </w:rPr>
        <w:t xml:space="preserve"> in its early stages.  H</w:t>
      </w:r>
      <w:r w:rsidR="00297689">
        <w:rPr>
          <w:rFonts w:ascii="Arial" w:hAnsi="Arial" w:cs="Arial"/>
          <w:sz w:val="20"/>
          <w:szCs w:val="20"/>
        </w:rPr>
        <w:t>owever the MCA would encourage g</w:t>
      </w:r>
      <w:r>
        <w:rPr>
          <w:rFonts w:ascii="Arial" w:hAnsi="Arial" w:cs="Arial"/>
          <w:sz w:val="20"/>
          <w:szCs w:val="20"/>
        </w:rPr>
        <w:t xml:space="preserve">overnment to develop tourism enterprise partnership models and capacity building structures </w:t>
      </w:r>
      <w:proofErr w:type="gramStart"/>
      <w:r>
        <w:rPr>
          <w:rFonts w:ascii="Arial" w:hAnsi="Arial" w:cs="Arial"/>
          <w:sz w:val="20"/>
          <w:szCs w:val="20"/>
        </w:rPr>
        <w:t>that Indigenous enterprises</w:t>
      </w:r>
      <w:proofErr w:type="gramEnd"/>
      <w:r>
        <w:rPr>
          <w:rFonts w:ascii="Arial" w:hAnsi="Arial" w:cs="Arial"/>
          <w:sz w:val="20"/>
          <w:szCs w:val="20"/>
        </w:rPr>
        <w:t xml:space="preserve"> could utilise.</w:t>
      </w:r>
    </w:p>
    <w:p w:rsidR="007F1FF3" w:rsidRDefault="007F1FF3" w:rsidP="006B2A98">
      <w:pPr>
        <w:pStyle w:val="ListParagraph"/>
        <w:ind w:left="360"/>
        <w:contextualSpacing w:val="0"/>
        <w:rPr>
          <w:rFonts w:ascii="Arial" w:hAnsi="Arial" w:cs="Arial"/>
          <w:sz w:val="20"/>
          <w:szCs w:val="20"/>
        </w:rPr>
      </w:pPr>
      <w:r>
        <w:rPr>
          <w:rFonts w:ascii="Arial" w:hAnsi="Arial" w:cs="Arial"/>
          <w:sz w:val="20"/>
          <w:szCs w:val="20"/>
        </w:rPr>
        <w:t>The MCA notes that the focus of the strategy is place</w:t>
      </w:r>
      <w:r w:rsidR="00297689">
        <w:rPr>
          <w:rFonts w:ascii="Arial" w:hAnsi="Arial" w:cs="Arial"/>
          <w:sz w:val="20"/>
          <w:szCs w:val="20"/>
        </w:rPr>
        <w:t>-</w:t>
      </w:r>
      <w:r>
        <w:rPr>
          <w:rFonts w:ascii="Arial" w:hAnsi="Arial" w:cs="Arial"/>
          <w:sz w:val="20"/>
          <w:szCs w:val="20"/>
        </w:rPr>
        <w:t xml:space="preserve">based heritage.  </w:t>
      </w:r>
      <w:r w:rsidR="00297689">
        <w:rPr>
          <w:rFonts w:ascii="Arial" w:hAnsi="Arial" w:cs="Arial"/>
          <w:sz w:val="20"/>
          <w:szCs w:val="20"/>
        </w:rPr>
        <w:t>MCA i</w:t>
      </w:r>
      <w:r>
        <w:rPr>
          <w:rFonts w:ascii="Arial" w:hAnsi="Arial" w:cs="Arial"/>
          <w:sz w:val="20"/>
          <w:szCs w:val="20"/>
        </w:rPr>
        <w:t xml:space="preserve">s of the view that story telling is another extremely valuable means of recording </w:t>
      </w:r>
      <w:r w:rsidR="00297689">
        <w:rPr>
          <w:rFonts w:ascii="Arial" w:hAnsi="Arial" w:cs="Arial"/>
          <w:sz w:val="20"/>
          <w:szCs w:val="20"/>
        </w:rPr>
        <w:t>and celebrating heritage and</w:t>
      </w:r>
      <w:r>
        <w:rPr>
          <w:rFonts w:ascii="Arial" w:hAnsi="Arial" w:cs="Arial"/>
          <w:sz w:val="20"/>
          <w:szCs w:val="20"/>
        </w:rPr>
        <w:t xml:space="preserve"> deserving of attention. Where the significance of cultural heritage is of lower value, the recording and telling of stories may be a very valid means of protecting its significance for present and future generations.  Building the capacity of this means of preserving heritage could provide more economic development choices to Traditional Owners.</w:t>
      </w:r>
    </w:p>
    <w:p w:rsidR="00297689" w:rsidRDefault="007F1FF3" w:rsidP="007E4EBF">
      <w:pPr>
        <w:spacing w:after="240"/>
        <w:rPr>
          <w:rStyle w:val="Hyperlink"/>
          <w:rFonts w:ascii="Arial" w:hAnsi="Arial" w:cs="Arial"/>
          <w:sz w:val="20"/>
          <w:szCs w:val="20"/>
        </w:rPr>
      </w:pPr>
      <w:r>
        <w:rPr>
          <w:rFonts w:ascii="Arial" w:hAnsi="Arial" w:cs="Arial"/>
          <w:sz w:val="20"/>
          <w:szCs w:val="20"/>
        </w:rPr>
        <w:t xml:space="preserve">The MCA is grateful for the opportunity to provide input into the development of the </w:t>
      </w:r>
      <w:r w:rsidRPr="00233B1E">
        <w:rPr>
          <w:rFonts w:ascii="Arial" w:hAnsi="Arial" w:cs="Arial"/>
          <w:i/>
          <w:sz w:val="20"/>
          <w:szCs w:val="20"/>
        </w:rPr>
        <w:t>Draft Strategy for Australia’s Heritage</w:t>
      </w:r>
      <w:r>
        <w:rPr>
          <w:rFonts w:ascii="Arial" w:hAnsi="Arial" w:cs="Arial"/>
          <w:sz w:val="20"/>
          <w:szCs w:val="20"/>
        </w:rPr>
        <w:t xml:space="preserve"> to date, and looks forward to further engagement.  </w:t>
      </w:r>
    </w:p>
    <w:p w:rsidR="007F1FF3" w:rsidRDefault="006B2A98" w:rsidP="007F1FF3">
      <w:pPr>
        <w:rPr>
          <w:rFonts w:ascii="Arial" w:hAnsi="Arial" w:cs="Arial"/>
          <w:sz w:val="20"/>
          <w:szCs w:val="20"/>
        </w:rPr>
      </w:pPr>
      <w:r>
        <w:rPr>
          <w:rFonts w:ascii="Arial" w:hAnsi="Arial" w:cs="Arial"/>
          <w:sz w:val="20"/>
          <w:szCs w:val="20"/>
        </w:rPr>
        <w:t>Yours sincerely</w:t>
      </w:r>
    </w:p>
    <w:p w:rsidR="007F1FF3" w:rsidRDefault="007F1FF3" w:rsidP="007F1FF3">
      <w:pPr>
        <w:rPr>
          <w:rFonts w:ascii="Arial" w:hAnsi="Arial" w:cs="Arial"/>
          <w:sz w:val="20"/>
          <w:szCs w:val="20"/>
        </w:rPr>
      </w:pPr>
    </w:p>
    <w:p w:rsidR="007F1FF3" w:rsidRPr="00547920" w:rsidRDefault="007F1FF3" w:rsidP="007F1FF3">
      <w:pPr>
        <w:spacing w:after="0"/>
        <w:rPr>
          <w:rFonts w:ascii="Arial" w:hAnsi="Arial" w:cs="Arial"/>
          <w:b/>
          <w:sz w:val="20"/>
          <w:szCs w:val="20"/>
        </w:rPr>
      </w:pPr>
      <w:r w:rsidRPr="00547920">
        <w:rPr>
          <w:rFonts w:ascii="Arial" w:hAnsi="Arial" w:cs="Arial"/>
          <w:b/>
          <w:sz w:val="20"/>
          <w:szCs w:val="20"/>
        </w:rPr>
        <w:t>BRENDAN PEARSON</w:t>
      </w:r>
    </w:p>
    <w:p w:rsidR="007F1FF3" w:rsidRPr="00547920" w:rsidRDefault="007F1FF3" w:rsidP="007F1FF3">
      <w:pPr>
        <w:spacing w:after="0"/>
        <w:rPr>
          <w:rFonts w:ascii="Arial" w:hAnsi="Arial" w:cs="Arial"/>
          <w:b/>
          <w:sz w:val="20"/>
          <w:szCs w:val="20"/>
        </w:rPr>
      </w:pPr>
      <w:r w:rsidRPr="00547920">
        <w:rPr>
          <w:rFonts w:ascii="Arial" w:hAnsi="Arial" w:cs="Arial"/>
          <w:b/>
          <w:sz w:val="20"/>
          <w:szCs w:val="20"/>
        </w:rPr>
        <w:t>CHIEF EXECUTIVE</w:t>
      </w:r>
    </w:p>
    <w:p w:rsidR="007F1FF3" w:rsidRDefault="007F1FF3" w:rsidP="007F1FF3"/>
    <w:p w:rsidR="007F1FF3" w:rsidRDefault="007F1FF3" w:rsidP="007F1FF3"/>
    <w:p w:rsidR="001E6616" w:rsidRDefault="00206CB5"/>
    <w:sectPr w:rsidR="001E6616" w:rsidSect="007E4EBF">
      <w:headerReference w:type="default" r:id="rId8"/>
      <w:type w:val="continuous"/>
      <w:pgSz w:w="11906" w:h="16838"/>
      <w:pgMar w:top="1383" w:right="1440" w:bottom="1440" w:left="1440" w:header="70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EA2" w:rsidRDefault="00810EA2" w:rsidP="006B2A98">
      <w:pPr>
        <w:spacing w:after="0" w:line="240" w:lineRule="auto"/>
      </w:pPr>
      <w:r>
        <w:separator/>
      </w:r>
    </w:p>
  </w:endnote>
  <w:endnote w:type="continuationSeparator" w:id="0">
    <w:p w:rsidR="00810EA2" w:rsidRDefault="00810EA2" w:rsidP="006B2A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EA2" w:rsidRDefault="00810EA2" w:rsidP="006B2A98">
      <w:pPr>
        <w:spacing w:after="0" w:line="240" w:lineRule="auto"/>
      </w:pPr>
      <w:r>
        <w:separator/>
      </w:r>
    </w:p>
  </w:footnote>
  <w:footnote w:type="continuationSeparator" w:id="0">
    <w:p w:rsidR="00810EA2" w:rsidRDefault="00810EA2" w:rsidP="006B2A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98" w:rsidRPr="006B2A98" w:rsidRDefault="006B2A98">
    <w:pPr>
      <w:pStyle w:val="Header"/>
    </w:pPr>
    <w:r>
      <w:rPr>
        <w:noProof/>
        <w:lang w:eastAsia="en-AU"/>
      </w:rPr>
      <w:drawing>
        <wp:anchor distT="0" distB="0" distL="114300" distR="114300" simplePos="0" relativeHeight="251659264" behindDoc="1" locked="0" layoutInCell="1" allowOverlap="1">
          <wp:simplePos x="0" y="0"/>
          <wp:positionH relativeFrom="page">
            <wp:posOffset>270510</wp:posOffset>
          </wp:positionH>
          <wp:positionV relativeFrom="page">
            <wp:posOffset>304165</wp:posOffset>
          </wp:positionV>
          <wp:extent cx="7277491" cy="10296525"/>
          <wp:effectExtent l="0" t="0" r="0" b="0"/>
          <wp:wrapNone/>
          <wp:docPr id="1" name="Picture 1" descr="A4 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4 letterhea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77491" cy="1029652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98" w:rsidRPr="006B2A98" w:rsidRDefault="006B2A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5001D"/>
    <w:multiLevelType w:val="hybridMultilevel"/>
    <w:tmpl w:val="065EB31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grammar="clean"/>
  <w:defaultTabStop w:val="720"/>
  <w:characterSpacingControl w:val="doNotCompress"/>
  <w:footnotePr>
    <w:footnote w:id="-1"/>
    <w:footnote w:id="0"/>
  </w:footnotePr>
  <w:endnotePr>
    <w:endnote w:id="-1"/>
    <w:endnote w:id="0"/>
  </w:endnotePr>
  <w:compat/>
  <w:rsids>
    <w:rsidRoot w:val="007F1FF3"/>
    <w:rsid w:val="000A5B29"/>
    <w:rsid w:val="000B3640"/>
    <w:rsid w:val="00206CB5"/>
    <w:rsid w:val="00297689"/>
    <w:rsid w:val="0035088C"/>
    <w:rsid w:val="00377452"/>
    <w:rsid w:val="003A1DE0"/>
    <w:rsid w:val="005A4656"/>
    <w:rsid w:val="006112B5"/>
    <w:rsid w:val="006B2A98"/>
    <w:rsid w:val="00723DC0"/>
    <w:rsid w:val="0078018E"/>
    <w:rsid w:val="007E4EBF"/>
    <w:rsid w:val="007F1FF3"/>
    <w:rsid w:val="00810EA2"/>
    <w:rsid w:val="00B73854"/>
    <w:rsid w:val="00DC5FFA"/>
    <w:rsid w:val="00DD665E"/>
    <w:rsid w:val="00E42C94"/>
    <w:rsid w:val="00E71578"/>
    <w:rsid w:val="00EB741D"/>
    <w:rsid w:val="00EC2DBA"/>
    <w:rsid w:val="00ED702F"/>
    <w:rsid w:val="00F6179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FF3"/>
    <w:pPr>
      <w:ind w:left="720"/>
      <w:contextualSpacing/>
    </w:pPr>
  </w:style>
  <w:style w:type="character" w:styleId="Hyperlink">
    <w:name w:val="Hyperlink"/>
    <w:basedOn w:val="DefaultParagraphFont"/>
    <w:uiPriority w:val="99"/>
    <w:unhideWhenUsed/>
    <w:rsid w:val="007F1FF3"/>
    <w:rPr>
      <w:color w:val="0000FF" w:themeColor="hyperlink"/>
      <w:u w:val="single"/>
    </w:rPr>
  </w:style>
  <w:style w:type="paragraph" w:styleId="Header">
    <w:name w:val="header"/>
    <w:basedOn w:val="Normal"/>
    <w:link w:val="HeaderChar"/>
    <w:uiPriority w:val="99"/>
    <w:unhideWhenUsed/>
    <w:rsid w:val="006B2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2A98"/>
  </w:style>
  <w:style w:type="paragraph" w:styleId="Footer">
    <w:name w:val="footer"/>
    <w:basedOn w:val="Normal"/>
    <w:link w:val="FooterChar"/>
    <w:uiPriority w:val="99"/>
    <w:unhideWhenUsed/>
    <w:rsid w:val="006B2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2A98"/>
  </w:style>
  <w:style w:type="paragraph" w:styleId="BalloonText">
    <w:name w:val="Balloon Text"/>
    <w:basedOn w:val="Normal"/>
    <w:link w:val="BalloonTextChar"/>
    <w:uiPriority w:val="99"/>
    <w:semiHidden/>
    <w:unhideWhenUsed/>
    <w:rsid w:val="007E4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E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FF3"/>
    <w:pPr>
      <w:ind w:left="720"/>
      <w:contextualSpacing/>
    </w:pPr>
  </w:style>
  <w:style w:type="character" w:styleId="Hyperlink">
    <w:name w:val="Hyperlink"/>
    <w:basedOn w:val="DefaultParagraphFont"/>
    <w:uiPriority w:val="99"/>
    <w:unhideWhenUsed/>
    <w:rsid w:val="007F1FF3"/>
    <w:rPr>
      <w:color w:val="0000FF" w:themeColor="hyperlink"/>
      <w:u w:val="single"/>
    </w:rPr>
  </w:style>
  <w:style w:type="paragraph" w:styleId="Header">
    <w:name w:val="header"/>
    <w:basedOn w:val="Normal"/>
    <w:link w:val="HeaderChar"/>
    <w:uiPriority w:val="99"/>
    <w:unhideWhenUsed/>
    <w:rsid w:val="006B2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2A98"/>
  </w:style>
  <w:style w:type="paragraph" w:styleId="Footer">
    <w:name w:val="footer"/>
    <w:basedOn w:val="Normal"/>
    <w:link w:val="FooterChar"/>
    <w:uiPriority w:val="99"/>
    <w:unhideWhenUsed/>
    <w:rsid w:val="006B2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2A98"/>
  </w:style>
  <w:style w:type="paragraph" w:styleId="BalloonText">
    <w:name w:val="Balloon Text"/>
    <w:basedOn w:val="Normal"/>
    <w:link w:val="BalloonTextChar"/>
    <w:uiPriority w:val="99"/>
    <w:semiHidden/>
    <w:unhideWhenUsed/>
    <w:rsid w:val="007E4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E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1028</Words>
  <Characters>5865</Characters>
  <Application>Microsoft Office Word</Application>
  <DocSecurity>0</DocSecurity>
  <Lines>48</Lines>
  <Paragraphs>13</Paragraphs>
  <ScaleCrop>false</ScaleCrop>
  <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092-minerals-council-of-australia </dc:title>
  <dc:creator/>
  <cp:lastModifiedBy/>
  <cp:revision>1</cp:revision>
  <dcterms:created xsi:type="dcterms:W3CDTF">2014-10-28T22:28:00Z</dcterms:created>
  <dcterms:modified xsi:type="dcterms:W3CDTF">2014-11-18T00:30:00Z</dcterms:modified>
</cp:coreProperties>
</file>